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glossary/settings.xml" ContentType="application/vnd.openxmlformats-officedocument.wordprocessingml.settings+xml"/>
  <Override PartName="/word/glossary/document.xml" ContentType="application/vnd.openxmlformats-officedocument.wordprocessingml.document.glossary+xml"/>
  <Override PartName="/word/settings.xml" ContentType="application/vnd.openxmlformats-officedocument.wordprocessingml.settings+xml"/>
  <Override PartName="/word/webSettings.xml" ContentType="application/vnd.openxmlformats-officedocument.wordprocessingml.webSettings+xml"/>
  <Override PartName="/word/glossary/styles.xml" ContentType="application/vnd.openxmlformats-officedocument.wordprocessingml.styles+xml"/>
  <Override PartName="/word/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docProps/custom.xml" ContentType="application/vnd.openxmlformats-officedocument.custom-properties+xml"/>
  <Override PartName="/customXml/itemProps5.xml" ContentType="application/vnd.openxmlformats-officedocument.customXmlProperties+xml"/>
  <Override PartName="/customXml/itemProps4.xml" ContentType="application/vnd.openxmlformats-officedocument.customXml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0F744C" w:rsidR="0095711B" w:rsidP="54260729" w:rsidRDefault="00124040" w14:paraId="3BBAB1B5" w14:textId="666EB322">
      <w:pPr>
        <w:spacing w:before="120" w:after="120" w:line="240" w:lineRule="auto"/>
        <w:jc w:val="center"/>
        <w:rPr>
          <w:rFonts w:ascii="Arial" w:hAnsi="Arial" w:eastAsia="Arial" w:cs="Arial"/>
          <w:b/>
          <w:bCs/>
          <w:sz w:val="24"/>
          <w:szCs w:val="24"/>
        </w:rPr>
      </w:pPr>
      <w:r w:rsidRPr="26B9D784">
        <w:rPr>
          <w:rFonts w:ascii="Arial" w:hAnsi="Arial" w:eastAsia="Arial" w:cs="Arial"/>
          <w:b/>
          <w:bCs/>
          <w:sz w:val="24"/>
          <w:szCs w:val="24"/>
          <w:lang w:val="fr-FR"/>
        </w:rPr>
        <w:t>TC</w:t>
      </w:r>
      <w:r w:rsidRPr="26B9D784" w:rsidR="00340BC1">
        <w:rPr>
          <w:rFonts w:ascii="Arial" w:hAnsi="Arial" w:eastAsia="Arial" w:cs="Arial"/>
          <w:b/>
          <w:bCs/>
          <w:sz w:val="24"/>
          <w:szCs w:val="24"/>
          <w:lang w:val="fr-FR"/>
        </w:rPr>
        <w:t xml:space="preserve"> </w:t>
      </w:r>
      <w:r w:rsidRPr="26B9D784" w:rsidR="00017B41">
        <w:rPr>
          <w:rFonts w:ascii="Arial" w:hAnsi="Arial" w:eastAsia="Arial" w:cs="Arial"/>
          <w:b/>
          <w:bCs/>
          <w:sz w:val="24"/>
          <w:szCs w:val="24"/>
          <w:lang w:val="fr-FR"/>
        </w:rPr>
        <w:t>Document</w:t>
      </w:r>
    </w:p>
    <w:p w:rsidRPr="00326ED0" w:rsidR="005D330B" w:rsidP="00326ED0" w:rsidRDefault="005D330B" w14:paraId="3BBAB1BA" w14:textId="77777777">
      <w:pPr>
        <w:spacing w:before="120" w:after="120" w:line="240" w:lineRule="auto"/>
        <w:jc w:val="both"/>
        <w:rPr>
          <w:rFonts w:ascii="Arial" w:hAnsi="Arial" w:cs="Arial"/>
        </w:rPr>
      </w:pPr>
    </w:p>
    <w:p w:rsidRPr="000F744C" w:rsidR="0095711B" w:rsidP="54260729" w:rsidRDefault="54260729" w14:paraId="3BBAB1BB" w14:textId="77777777">
      <w:pPr>
        <w:pStyle w:val="ListParagraph"/>
        <w:numPr>
          <w:ilvl w:val="0"/>
          <w:numId w:val="5"/>
        </w:numPr>
        <w:spacing w:before="120" w:after="120" w:line="240" w:lineRule="auto"/>
        <w:contextualSpacing w:val="0"/>
        <w:rPr>
          <w:rFonts w:ascii="Arial" w:hAnsi="Arial" w:eastAsia="Arial" w:cs="Arial"/>
          <w:b/>
          <w:bCs/>
        </w:rPr>
      </w:pPr>
      <w:r w:rsidRPr="54260729">
        <w:rPr>
          <w:rFonts w:ascii="Arial" w:hAnsi="Arial" w:eastAsia="Arial" w:cs="Arial"/>
          <w:b/>
          <w:bCs/>
        </w:rPr>
        <w:t>Basic Information for TC</w:t>
      </w:r>
    </w:p>
    <w:tbl>
      <w:tblPr>
        <w:tblStyle w:val="TableGrid"/>
        <w:tblW w:w="9540" w:type="dxa"/>
        <w:tblInd w:w="-342" w:type="dxa"/>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single" w:color="D9D9D9" w:themeColor="background1" w:themeShade="D9" w:sz="4" w:space="0"/>
          <w:insideV w:val="single" w:color="D9D9D9" w:themeColor="background1" w:themeShade="D9" w:sz="4" w:space="0"/>
        </w:tblBorders>
        <w:tblLook w:val="04A0" w:firstRow="1" w:lastRow="0" w:firstColumn="1" w:lastColumn="0" w:noHBand="0" w:noVBand="1"/>
      </w:tblPr>
      <w:tblGrid>
        <w:gridCol w:w="3456"/>
        <w:gridCol w:w="6084"/>
      </w:tblGrid>
      <w:tr w:rsidRPr="00B811D8" w:rsidR="009F33FF" w:rsidTr="727D1F03" w14:paraId="3BBAB1BE" w14:textId="77777777">
        <w:tc>
          <w:tcPr>
            <w:tcW w:w="3456" w:type="dxa"/>
          </w:tcPr>
          <w:p w:rsidRPr="000F744C" w:rsidR="009F33FF" w:rsidP="54260729" w:rsidRDefault="54260729" w14:paraId="3BBAB1BC" w14:textId="77777777">
            <w:pPr>
              <w:pStyle w:val="ListParagraph"/>
              <w:numPr>
                <w:ilvl w:val="0"/>
                <w:numId w:val="2"/>
              </w:numPr>
              <w:spacing w:after="60"/>
              <w:ind w:left="180" w:hanging="180"/>
              <w:contextualSpacing w:val="0"/>
              <w:jc w:val="both"/>
              <w:rPr>
                <w:rFonts w:ascii="Arial" w:hAnsi="Arial" w:eastAsia="Arial" w:cs="Arial"/>
                <w:sz w:val="18"/>
                <w:szCs w:val="18"/>
              </w:rPr>
            </w:pPr>
            <w:r w:rsidRPr="54260729">
              <w:rPr>
                <w:rFonts w:ascii="Arial" w:hAnsi="Arial" w:eastAsia="Arial" w:cs="Arial"/>
                <w:sz w:val="18"/>
                <w:szCs w:val="18"/>
              </w:rPr>
              <w:t>Country/Region:</w:t>
            </w:r>
          </w:p>
        </w:tc>
        <w:sdt>
          <w:sdtPr>
            <w:rPr>
              <w:rFonts w:ascii="Arial" w:hAnsi="Arial" w:cs="Arial"/>
              <w:sz w:val="18"/>
              <w:szCs w:val="18"/>
            </w:rPr>
            <w:alias w:val="COUNTRY"/>
            <w:tag w:val="COUNTRY"/>
            <w:id w:val="-33273071"/>
            <w:lock w:val="sdtContentLocked"/>
            <w:placeholder>
              <w:docPart w:val="DefaultPlaceholder_1082065158"/>
            </w:placeholder>
            <w:showingPlcHdr/>
          </w:sdtPr>
          <w:sdtContent>
            <w:tc>
              <w:tcPr>
                <w:tcW w:w="6084" w:type="dxa"/>
              </w:tcPr>
              <w:p w:rsidRPr="00B811D8" w:rsidR="009F33FF" w:rsidP="0028247E" w:rsidRDefault="0028247E" w14:paraId="3BBAB1BD" w14:textId="44D6A840">
                <w:pPr>
                  <w:spacing w:after="60"/>
                  <w:rPr>
                    <w:rFonts w:ascii="Arial" w:hAnsi="Arial" w:cs="Arial"/>
                    <w:sz w:val="18"/>
                    <w:szCs w:val="18"/>
                    <w:lang w:val="es-ES_tradnl"/>
                  </w:rPr>
                </w:pPr>
                <w:r>
                  <w:rPr>
                    <w:rFonts w:ascii="Arial" w:hAnsi="Arial" w:cs="Arial"/>
                    <w:sz w:val="18"/>
                    <w:szCs w:val="18"/>
                  </w:rPr>
                  <w:t>BRAZIL</w:t>
                </w:r>
              </w:p>
            </w:tc>
          </w:sdtContent>
        </w:sdt>
      </w:tr>
      <w:tr w:rsidRPr="00B811D8" w:rsidR="009F33FF" w:rsidTr="727D1F03" w14:paraId="3BBAB1C1" w14:textId="77777777">
        <w:tc>
          <w:tcPr>
            <w:tcW w:w="3456" w:type="dxa"/>
          </w:tcPr>
          <w:p w:rsidRPr="000F744C" w:rsidR="009F33FF" w:rsidP="54260729" w:rsidRDefault="54260729" w14:paraId="3BBAB1BF" w14:textId="77777777">
            <w:pPr>
              <w:pStyle w:val="ListParagraph"/>
              <w:numPr>
                <w:ilvl w:val="0"/>
                <w:numId w:val="2"/>
              </w:numPr>
              <w:spacing w:after="60"/>
              <w:ind w:left="180" w:hanging="180"/>
              <w:contextualSpacing w:val="0"/>
              <w:jc w:val="both"/>
              <w:rPr>
                <w:rFonts w:ascii="Arial" w:hAnsi="Arial" w:eastAsia="Arial" w:cs="Arial"/>
                <w:sz w:val="18"/>
                <w:szCs w:val="18"/>
              </w:rPr>
            </w:pPr>
            <w:r w:rsidRPr="54260729">
              <w:rPr>
                <w:rFonts w:ascii="Arial" w:hAnsi="Arial" w:eastAsia="Arial" w:cs="Arial"/>
                <w:sz w:val="18"/>
                <w:szCs w:val="18"/>
              </w:rPr>
              <w:t>TC Name:</w:t>
            </w:r>
          </w:p>
        </w:tc>
        <w:sdt>
          <w:sdtPr>
            <w:rPr>
              <w:rFonts w:ascii="Arial" w:hAnsi="Arial" w:cs="Arial"/>
              <w:sz w:val="18"/>
              <w:szCs w:val="18"/>
            </w:rPr>
            <w:alias w:val="TC_NAME"/>
            <w:tag w:val="TC_NAME"/>
            <w:id w:val="-2134543230"/>
            <w:lock w:val="sdtContentLocked"/>
            <w:placeholder>
              <w:docPart w:val="44C358C58149445BA2755ADBB9F4F8AF"/>
            </w:placeholder>
            <w:showingPlcHdr/>
          </w:sdtPr>
          <w:sdtContent>
            <w:tc>
              <w:tcPr>
                <w:tcW w:w="6084" w:type="dxa"/>
              </w:tcPr>
              <w:p w:rsidRPr="00B840AE" w:rsidR="009F33FF" w:rsidP="0028247E" w:rsidRDefault="0028247E" w14:paraId="3BBAB1C0" w14:textId="7A017364">
                <w:pPr>
                  <w:spacing w:after="60"/>
                  <w:rPr>
                    <w:rFonts w:ascii="Arial" w:hAnsi="Arial" w:cs="Arial"/>
                    <w:sz w:val="18"/>
                    <w:szCs w:val="18"/>
                  </w:rPr>
                </w:pPr>
                <w:r>
                  <w:rPr>
                    <w:rFonts w:ascii="Arial" w:hAnsi="Arial" w:cs="Arial"/>
                    <w:sz w:val="18"/>
                    <w:szCs w:val="18"/>
                  </w:rPr>
                  <w:t>Improving Amazon’s sustainable development through technical education (TVET) course for açaí</w:t>
                </w:r>
              </w:p>
            </w:tc>
          </w:sdtContent>
        </w:sdt>
      </w:tr>
      <w:tr w:rsidRPr="00B811D8" w:rsidR="009F33FF" w:rsidTr="727D1F03" w14:paraId="3BBAB1C4" w14:textId="77777777">
        <w:trPr>
          <w:trHeight w:val="263"/>
        </w:trPr>
        <w:tc>
          <w:tcPr>
            <w:tcW w:w="3456" w:type="dxa"/>
          </w:tcPr>
          <w:p w:rsidRPr="000F744C" w:rsidR="009F33FF" w:rsidP="54260729" w:rsidRDefault="54260729" w14:paraId="3BBAB1C2" w14:textId="77777777">
            <w:pPr>
              <w:pStyle w:val="ListParagraph"/>
              <w:numPr>
                <w:ilvl w:val="0"/>
                <w:numId w:val="2"/>
              </w:numPr>
              <w:spacing w:after="60"/>
              <w:ind w:left="180" w:hanging="180"/>
              <w:contextualSpacing w:val="0"/>
              <w:jc w:val="both"/>
              <w:rPr>
                <w:rFonts w:ascii="Arial" w:hAnsi="Arial" w:eastAsia="Arial" w:cs="Arial"/>
                <w:sz w:val="18"/>
                <w:szCs w:val="18"/>
              </w:rPr>
            </w:pPr>
            <w:r w:rsidRPr="54260729">
              <w:rPr>
                <w:rFonts w:ascii="Arial" w:hAnsi="Arial" w:eastAsia="Arial" w:cs="Arial"/>
                <w:sz w:val="18"/>
                <w:szCs w:val="18"/>
              </w:rPr>
              <w:t>TC Number:</w:t>
            </w:r>
          </w:p>
        </w:tc>
        <w:tc>
          <w:tcPr>
            <w:tcW w:w="6084" w:type="dxa"/>
          </w:tcPr>
          <w:p w:rsidRPr="00B811D8" w:rsidR="009F33FF" w:rsidP="00EC6CAF" w:rsidRDefault="007A62DD" w14:paraId="3BBAB1C3" w14:textId="74F09155">
            <w:pPr>
              <w:spacing w:after="60"/>
              <w:rPr>
                <w:rFonts w:ascii="Arial" w:hAnsi="Arial" w:cs="Arial"/>
                <w:sz w:val="18"/>
                <w:szCs w:val="18"/>
                <w:lang w:val="es-ES_tradnl"/>
              </w:rPr>
            </w:pPr>
            <w:sdt>
              <w:sdtPr>
                <w:rPr>
                  <w:rFonts w:ascii="Arial" w:hAnsi="Arial" w:cs="Arial"/>
                  <w:sz w:val="18"/>
                  <w:szCs w:val="18"/>
                </w:rPr>
                <w:alias w:val="TC_NUMBER"/>
                <w:tag w:val="TC_NUMBER"/>
                <w:id w:val="1461377678"/>
                <w:lock w:val="sdtContentLocked"/>
                <w:placeholder>
                  <w:docPart w:val="467533B11B3842A885C4CE0AFBB936CB"/>
                </w:placeholder>
              </w:sdtPr>
              <w:sdtContent>
                <w:r w:rsidR="00664574">
                  <w:rPr>
                    <w:rFonts w:ascii="Arial" w:hAnsi="Arial" w:cs="Arial"/>
                    <w:sz w:val="18"/>
                    <w:szCs w:val="18"/>
                  </w:rPr>
                  <w:t>BR-T1531</w:t>
                </w:r>
              </w:sdtContent>
            </w:sdt>
          </w:p>
        </w:tc>
      </w:tr>
      <w:tr w:rsidRPr="005C790F" w:rsidR="009F33FF" w:rsidTr="727D1F03" w14:paraId="3BBAB1C7" w14:textId="77777777">
        <w:trPr>
          <w:trHeight w:val="288"/>
        </w:trPr>
        <w:tc>
          <w:tcPr>
            <w:tcW w:w="3456" w:type="dxa"/>
          </w:tcPr>
          <w:p w:rsidRPr="000F744C" w:rsidR="009F33FF" w:rsidP="26B9D784" w:rsidRDefault="00E85797" w14:paraId="3BBAB1C5"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Team Leader/Members:</w:t>
            </w:r>
          </w:p>
        </w:tc>
        <w:tc>
          <w:tcPr>
            <w:tcW w:w="6084" w:type="dxa"/>
          </w:tcPr>
          <w:p w:rsidRPr="006A250E" w:rsidR="00B83CCE" w:rsidP="009F705D" w:rsidRDefault="007A62DD" w14:paraId="3BBAB1C6" w14:textId="42BB716C">
            <w:pPr>
              <w:spacing w:after="60"/>
              <w:rPr>
                <w:rFonts w:ascii="Arial" w:hAnsi="Arial" w:eastAsia="Arial" w:cs="Arial"/>
                <w:sz w:val="18"/>
                <w:szCs w:val="18"/>
              </w:rPr>
            </w:pPr>
            <w:sdt>
              <w:sdtPr>
                <w:rPr>
                  <w:rFonts w:ascii="Arial" w:hAnsi="Arial" w:cs="Arial"/>
                  <w:sz w:val="18"/>
                  <w:szCs w:val="18"/>
                </w:rPr>
                <w:alias w:val="TEAM_MEMBER"/>
                <w:tag w:val="TEAM_MEMBER"/>
                <w:id w:val="-1287965550"/>
                <w:lock w:val="sdtLocked"/>
                <w:placeholder>
                  <w:docPart w:val="340553074E0848D2AE8D6AF27714379D"/>
                </w:placeholder>
              </w:sdtPr>
              <w:sdtContent>
                <w:r w:rsidRPr="006A250E" w:rsidR="00664574">
                  <w:rPr>
                    <w:rFonts w:ascii="Arial" w:hAnsi="Arial" w:cs="Arial"/>
                    <w:sz w:val="18"/>
                    <w:szCs w:val="18"/>
                  </w:rPr>
                  <w:t xml:space="preserve">Cossi Fernandes, Joao Paulo (SCL/EDU) Team Leader; Blasco, Ivana (SCL/EDU); Emilio Laguillo Gutierrez (SCL/EDU); Eschoyez, Guillermo Antonio (LEG/SGO); Roberta Felix (CSC/CBR); Verissimo Da Silva, Carolina (LEG/SGO) </w:t>
                </w:r>
              </w:sdtContent>
            </w:sdt>
          </w:p>
        </w:tc>
      </w:tr>
      <w:tr w:rsidRPr="002D7FB5" w:rsidR="00E85797" w:rsidTr="727D1F03" w14:paraId="3BBAB1CA" w14:textId="77777777">
        <w:tc>
          <w:tcPr>
            <w:tcW w:w="3456" w:type="dxa"/>
          </w:tcPr>
          <w:p w:rsidRPr="000F744C" w:rsidR="00E85797" w:rsidP="26B9D784" w:rsidRDefault="00B811D8" w14:paraId="3BBAB1C8" w14:textId="77777777">
            <w:pPr>
              <w:pStyle w:val="ListParagraph"/>
              <w:numPr>
                <w:ilvl w:val="0"/>
                <w:numId w:val="2"/>
              </w:numPr>
              <w:spacing w:after="60"/>
              <w:ind w:left="162" w:hanging="162"/>
              <w:jc w:val="both"/>
              <w:rPr>
                <w:rFonts w:ascii="Arial" w:hAnsi="Arial" w:eastAsia="Arial" w:cs="Arial"/>
                <w:sz w:val="18"/>
                <w:szCs w:val="18"/>
              </w:rPr>
            </w:pPr>
            <w:r w:rsidRPr="26B9D784">
              <w:rPr>
                <w:rFonts w:ascii="Arial" w:hAnsi="Arial" w:eastAsia="Arial" w:cs="Arial"/>
                <w:sz w:val="18"/>
                <w:szCs w:val="18"/>
              </w:rPr>
              <w:t>Taxonomy:</w:t>
            </w:r>
          </w:p>
        </w:tc>
        <w:sdt>
          <w:sdtPr>
            <w:rPr>
              <w:rFonts w:ascii="Arial" w:hAnsi="Arial" w:cs="Arial"/>
              <w:sz w:val="18"/>
              <w:szCs w:val="18"/>
            </w:rPr>
            <w:alias w:val="OP_ATTRIBUTE"/>
            <w:tag w:val="OP_ATTRIBUTE"/>
            <w:id w:val="964085681"/>
            <w:lock w:val="sdtContentLocked"/>
            <w:placeholder>
              <w:docPart w:val="CF15AFC5698F4E5498FB27BD95CD782F"/>
            </w:placeholder>
            <w:showingPlcHdr/>
          </w:sdtPr>
          <w:sdtContent>
            <w:tc>
              <w:tcPr>
                <w:tcW w:w="6084" w:type="dxa"/>
              </w:tcPr>
              <w:p w:rsidRPr="00B811D8" w:rsidR="00E85797" w:rsidP="002D7FB5" w:rsidRDefault="00C70C8B" w14:paraId="3BBAB1C9" w14:textId="14AE1621">
                <w:pPr>
                  <w:spacing w:after="60"/>
                  <w:rPr>
                    <w:rFonts w:ascii="Arial" w:hAnsi="Arial" w:cs="Arial"/>
                    <w:sz w:val="18"/>
                    <w:szCs w:val="18"/>
                    <w:lang w:val="es-ES_tradnl"/>
                  </w:rPr>
                </w:pPr>
                <w:r>
                  <w:rPr>
                    <w:rFonts w:ascii="Arial" w:hAnsi="Arial" w:cs="Arial"/>
                    <w:sz w:val="18"/>
                    <w:szCs w:val="18"/>
                  </w:rPr>
                  <w:t>Client Support</w:t>
                </w:r>
              </w:p>
            </w:tc>
          </w:sdtContent>
        </w:sdt>
      </w:tr>
      <w:tr w:rsidRPr="00B811D8" w:rsidR="00E85797" w:rsidTr="727D1F03" w14:paraId="3BBAB1CD" w14:textId="77777777">
        <w:tc>
          <w:tcPr>
            <w:tcW w:w="3456" w:type="dxa"/>
          </w:tcPr>
          <w:p w:rsidRPr="000F744C" w:rsidR="00E85797" w:rsidP="26B9D784" w:rsidRDefault="00E85797" w14:paraId="3BBAB1CB" w14:textId="77777777">
            <w:pPr>
              <w:pStyle w:val="ListParagraph"/>
              <w:numPr>
                <w:ilvl w:val="0"/>
                <w:numId w:val="2"/>
              </w:numPr>
              <w:spacing w:after="60"/>
              <w:ind w:left="162" w:hanging="162"/>
              <w:jc w:val="both"/>
              <w:rPr>
                <w:rFonts w:ascii="Arial" w:hAnsi="Arial" w:eastAsia="Arial" w:cs="Arial"/>
                <w:sz w:val="18"/>
                <w:szCs w:val="18"/>
              </w:rPr>
            </w:pPr>
            <w:r w:rsidRPr="26B9D784">
              <w:rPr>
                <w:rFonts w:ascii="Arial" w:hAnsi="Arial" w:eastAsia="Arial" w:cs="Arial"/>
                <w:sz w:val="18"/>
                <w:szCs w:val="18"/>
              </w:rPr>
              <w:t>Operation Supported by the TC:</w:t>
            </w:r>
          </w:p>
        </w:tc>
        <w:tc>
          <w:tcPr>
            <w:tcW w:w="6084" w:type="dxa"/>
          </w:tcPr>
          <w:p w:rsidRPr="00B811D8" w:rsidR="00E85797" w:rsidP="727D1F03" w:rsidRDefault="007A62DD" w14:paraId="3BBAB1CC" w14:textId="3DC3D17D">
            <w:pPr>
              <w:spacing w:after="60"/>
              <w:rPr>
                <w:rFonts w:ascii="Arial" w:hAnsi="Arial" w:cs="Arial"/>
                <w:color w:val="000000" w:themeColor="text1"/>
                <w:sz w:val="18"/>
                <w:szCs w:val="18"/>
                <w:lang w:val="es-ES_tradnl"/>
              </w:rPr>
            </w:pPr>
            <w:sdt>
              <w:sdtPr>
                <w:rPr>
                  <w:rFonts w:ascii="Arial" w:hAnsi="Arial" w:cs="Arial"/>
                  <w:sz w:val="18"/>
                  <w:szCs w:val="18"/>
                </w:rPr>
                <w:alias w:val="OP_SUPPORT"/>
                <w:tag w:val="OP_SUPPORT"/>
                <w:id w:val="192474953"/>
                <w:lock w:val="sdtContentLocked"/>
                <w:placeholder>
                  <w:docPart w:val="F21B320DC5CC4CA29D18953BBE653F77"/>
                </w:placeholder>
                <w:showingPlcHdr/>
              </w:sdtPr>
              <w:sdtContent>
                <w:r w:rsidRPr="727D1F03" w:rsidR="00EC6CAF">
                  <w:rPr>
                    <w:rFonts w:ascii="Arial" w:hAnsi="Arial" w:cs="Arial"/>
                    <w:sz w:val="18"/>
                    <w:szCs w:val="18"/>
                  </w:rPr>
                  <w:t xml:space="preserve"> </w:t>
                </w:r>
              </w:sdtContent>
            </w:sdt>
          </w:p>
        </w:tc>
      </w:tr>
      <w:tr w:rsidRPr="00B811D8" w:rsidR="009F33FF" w:rsidTr="727D1F03" w14:paraId="3BBAB1D0" w14:textId="77777777">
        <w:tc>
          <w:tcPr>
            <w:tcW w:w="3456" w:type="dxa"/>
          </w:tcPr>
          <w:p w:rsidRPr="000F744C" w:rsidR="009F33FF" w:rsidP="26B9D784" w:rsidRDefault="009F33FF" w14:paraId="3BBAB1CE"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Date of TC Abstract authorization:</w:t>
            </w:r>
          </w:p>
        </w:tc>
        <w:tc>
          <w:tcPr>
            <w:tcW w:w="6084" w:type="dxa"/>
          </w:tcPr>
          <w:p w:rsidRPr="00B811D8" w:rsidR="009F33FF" w:rsidP="00EC6CAF" w:rsidRDefault="007A62DD" w14:paraId="3BBAB1CF" w14:textId="512DF123">
            <w:pPr>
              <w:spacing w:after="60"/>
              <w:rPr>
                <w:rFonts w:ascii="Arial" w:hAnsi="Arial" w:cs="Arial"/>
                <w:sz w:val="18"/>
                <w:szCs w:val="18"/>
                <w:lang w:val="es-ES_tradnl"/>
              </w:rPr>
            </w:pPr>
            <w:sdt>
              <w:sdtPr>
                <w:rPr>
                  <w:rFonts w:ascii="Arial" w:hAnsi="Arial" w:cs="Arial"/>
                  <w:sz w:val="18"/>
                  <w:szCs w:val="18"/>
                </w:rPr>
                <w:alias w:val="DATE_TC"/>
                <w:tag w:val="DATE_TC"/>
                <w:id w:val="1154412429"/>
                <w:lock w:val="sdtContentLocked"/>
                <w:placeholder>
                  <w:docPart w:val="19F5288FE7CC4C80A1FC8C20A439351A"/>
                </w:placeholder>
                <w:showingPlcHdr/>
              </w:sdtPr>
              <w:sdtContent>
                <w:r w:rsidR="00EC6CAF">
                  <w:rPr>
                    <w:rFonts w:ascii="Arial" w:hAnsi="Arial" w:cs="Arial"/>
                    <w:sz w:val="18"/>
                    <w:szCs w:val="18"/>
                  </w:rPr>
                  <w:t>17 Oct 2022</w:t>
                </w:r>
              </w:sdtContent>
            </w:sdt>
            <w:r w:rsidRPr="00E40AE6" w:rsidR="002E65F5">
              <w:rPr>
                <w:rFonts w:ascii="Arial" w:hAnsi="Arial" w:cs="Arial"/>
                <w:color w:val="000000" w:themeColor="text1"/>
                <w:sz w:val="18"/>
                <w:szCs w:val="18"/>
                <w:lang w:val="es-ES_tradnl"/>
              </w:rPr>
              <w:t>.</w:t>
            </w:r>
          </w:p>
        </w:tc>
      </w:tr>
      <w:tr w:rsidRPr="00A93365" w:rsidR="009F33FF" w:rsidTr="727D1F03" w14:paraId="3BBAB1D3" w14:textId="77777777">
        <w:trPr>
          <w:trHeight w:val="288"/>
        </w:trPr>
        <w:tc>
          <w:tcPr>
            <w:tcW w:w="3456" w:type="dxa"/>
          </w:tcPr>
          <w:p w:rsidRPr="000F744C" w:rsidR="009F33FF" w:rsidP="26B9D784" w:rsidRDefault="009F33FF" w14:paraId="3BBAB1D1"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Beneficiary:</w:t>
            </w:r>
          </w:p>
        </w:tc>
        <w:tc>
          <w:tcPr>
            <w:tcW w:w="6084" w:type="dxa"/>
          </w:tcPr>
          <w:p w:rsidRPr="00A93365" w:rsidR="009F33FF" w:rsidP="00825F8B" w:rsidRDefault="005B4758" w14:paraId="3BBAB1D2" w14:textId="35DB6CFC">
            <w:pPr>
              <w:tabs>
                <w:tab w:val="left" w:pos="3740"/>
                <w:tab w:val="left" w:pos="4256"/>
              </w:tabs>
              <w:spacing w:after="60"/>
              <w:rPr>
                <w:rFonts w:ascii="Arial" w:hAnsi="Arial" w:eastAsia="Arial" w:cs="Arial"/>
                <w:sz w:val="18"/>
                <w:szCs w:val="18"/>
              </w:rPr>
            </w:pPr>
            <w:r w:rsidRPr="00A93365">
              <w:rPr>
                <w:rFonts w:ascii="Arial" w:hAnsi="Arial" w:eastAsia="Arial" w:cs="Arial"/>
                <w:sz w:val="18"/>
                <w:szCs w:val="18"/>
              </w:rPr>
              <w:t xml:space="preserve">State of Pará, through </w:t>
            </w:r>
            <w:r w:rsidRPr="00A93365" w:rsidR="00A93365">
              <w:rPr>
                <w:rFonts w:ascii="Arial" w:hAnsi="Arial" w:eastAsia="Arial" w:cs="Arial"/>
                <w:sz w:val="18"/>
                <w:szCs w:val="18"/>
              </w:rPr>
              <w:t>Fundação Itaú para Educação e Cultura (FIEC)</w:t>
            </w:r>
            <w:r w:rsidR="00A93365">
              <w:rPr>
                <w:rFonts w:ascii="Arial" w:hAnsi="Arial" w:eastAsia="Arial" w:cs="Arial"/>
                <w:sz w:val="18"/>
                <w:szCs w:val="18"/>
              </w:rPr>
              <w:t xml:space="preserve"> </w:t>
            </w:r>
          </w:p>
        </w:tc>
      </w:tr>
      <w:tr w:rsidRPr="00C92529" w:rsidR="009F33FF" w:rsidTr="727D1F03" w14:paraId="3BBAB1D6" w14:textId="77777777">
        <w:tc>
          <w:tcPr>
            <w:tcW w:w="3456" w:type="dxa"/>
          </w:tcPr>
          <w:p w:rsidRPr="000F744C" w:rsidR="009F33FF" w:rsidP="26B9D784" w:rsidRDefault="009F33FF" w14:paraId="3BBAB1D4"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Executing Agency and contact name</w:t>
            </w:r>
            <w:r w:rsidRPr="26B9D784" w:rsidR="00B811D8">
              <w:rPr>
                <w:rFonts w:ascii="Arial" w:hAnsi="Arial" w:eastAsia="Arial" w:cs="Arial"/>
                <w:sz w:val="18"/>
                <w:szCs w:val="18"/>
              </w:rPr>
              <w:t>:</w:t>
            </w:r>
            <w:r w:rsidRPr="26B9D784">
              <w:rPr>
                <w:rFonts w:ascii="Arial" w:hAnsi="Arial" w:eastAsia="Arial" w:cs="Arial"/>
                <w:sz w:val="18"/>
                <w:szCs w:val="18"/>
              </w:rPr>
              <w:t xml:space="preserve"> </w:t>
            </w:r>
          </w:p>
        </w:tc>
        <w:tc>
          <w:tcPr>
            <w:tcW w:w="6084" w:type="dxa"/>
          </w:tcPr>
          <w:p w:rsidRPr="00B840AE" w:rsidR="009F33FF" w:rsidP="000F6D52" w:rsidRDefault="007A62DD" w14:paraId="3BBAB1D5" w14:textId="28F42572">
            <w:pPr>
              <w:spacing w:after="60"/>
              <w:rPr>
                <w:rFonts w:ascii="Arial" w:hAnsi="Arial" w:cs="Arial"/>
                <w:sz w:val="18"/>
                <w:szCs w:val="18"/>
                <w:lang w:val="pt-BR"/>
              </w:rPr>
            </w:pPr>
            <w:sdt>
              <w:sdtPr>
                <w:rPr>
                  <w:rFonts w:ascii="Arial" w:hAnsi="Arial" w:cs="Arial"/>
                  <w:sz w:val="18"/>
                  <w:szCs w:val="18"/>
                </w:rPr>
                <w:alias w:val="AGENCY"/>
                <w:tag w:val="AGENCY"/>
                <w:id w:val="1409500846"/>
                <w:lock w:val="sdtContentLocked"/>
                <w:placeholder>
                  <w:docPart w:val="1826176F614340649BFAC28C3B63B783"/>
                </w:placeholder>
              </w:sdtPr>
              <w:sdtContent>
                <w:r w:rsidR="00EC6CAF">
                  <w:rPr>
                    <w:rFonts w:ascii="Arial" w:hAnsi="Arial" w:cs="Arial"/>
                    <w:sz w:val="18"/>
                    <w:szCs w:val="18"/>
                  </w:rPr>
                  <w:t xml:space="preserve">Fundacao Itau Para A Educacao E Cultura 
        </w:t>
                </w:r>
              </w:sdtContent>
            </w:sdt>
            <w:r w:rsidRPr="00B840AE" w:rsidR="00432C3D">
              <w:rPr>
                <w:rFonts w:ascii="Arial" w:hAnsi="Arial" w:cs="Arial"/>
                <w:sz w:val="18"/>
                <w:szCs w:val="18"/>
                <w:lang w:val="pt-BR"/>
              </w:rPr>
              <w:t xml:space="preserve">  </w:t>
            </w:r>
          </w:p>
        </w:tc>
      </w:tr>
      <w:tr w:rsidRPr="00B811D8" w:rsidR="00FA40C9" w:rsidTr="727D1F03" w14:paraId="3BBAB1D9" w14:textId="77777777">
        <w:trPr>
          <w:trHeight w:val="288"/>
        </w:trPr>
        <w:tc>
          <w:tcPr>
            <w:tcW w:w="3456" w:type="dxa"/>
          </w:tcPr>
          <w:p w:rsidRPr="000F744C" w:rsidR="00FA40C9" w:rsidP="5AE2A808" w:rsidRDefault="00FA40C9" w14:paraId="3BBAB1D7" w14:textId="5827CF42">
            <w:pPr>
              <w:pStyle w:val="ListParagraph"/>
              <w:numPr>
                <w:ilvl w:val="0"/>
                <w:numId w:val="2"/>
              </w:numPr>
              <w:spacing w:after="60"/>
              <w:ind w:left="180" w:hanging="180"/>
              <w:jc w:val="both"/>
              <w:rPr>
                <w:rFonts w:ascii="Arial" w:hAnsi="Arial" w:eastAsia="Arial" w:cs="Arial"/>
                <w:sz w:val="18"/>
                <w:szCs w:val="18"/>
              </w:rPr>
            </w:pPr>
            <w:r w:rsidRPr="26B9D784">
              <w:rPr>
                <w:rFonts w:ascii="Arial" w:hAnsi="Arial" w:eastAsia="Arial" w:cs="Arial"/>
                <w:sz w:val="18"/>
                <w:szCs w:val="18"/>
              </w:rPr>
              <w:t>Donors providing funding:</w:t>
            </w:r>
          </w:p>
        </w:tc>
        <w:sdt>
          <w:sdtPr>
            <w:rPr>
              <w:rFonts w:ascii="Arial" w:hAnsi="Arial" w:cs="Arial"/>
              <w:sz w:val="18"/>
              <w:szCs w:val="18"/>
            </w:rPr>
            <w:alias w:val="DONOR"/>
            <w:tag w:val="DONOR"/>
            <w:id w:val="-188450512"/>
            <w:lock w:val="sdtContentLocked"/>
            <w:placeholder>
              <w:docPart w:val="6055CACF63754C38AEFAE0ADE58AB52F"/>
            </w:placeholder>
            <w:showingPlcHdr/>
            <w:text w:multiLine="1"/>
          </w:sdtPr>
          <w:sdtContent>
            <w:tc>
              <w:tcPr>
                <w:tcW w:w="6084" w:type="dxa"/>
              </w:tcPr>
              <w:p w:rsidRPr="001127C3" w:rsidR="00084849" w:rsidP="00364A0B" w:rsidRDefault="00431EE3" w14:paraId="3BBAB1D8" w14:textId="017B5D99">
                <w:pPr>
                  <w:spacing w:after="60"/>
                  <w:rPr>
                    <w:rFonts w:ascii="Arial" w:hAnsi="Arial" w:cs="Arial"/>
                    <w:sz w:val="18"/>
                    <w:szCs w:val="18"/>
                  </w:rPr>
                </w:pPr>
                <w:r>
                  <w:rPr>
                    <w:rFonts w:ascii="Arial" w:hAnsi="Arial" w:cs="Arial"/>
                    <w:sz w:val="18"/>
                    <w:szCs w:val="18"/>
                  </w:rPr>
                  <w:t xml:space="preserve"> Multi-Donor Fund for the Transformation of Technical and Vocational Education and Training(TVT); OC SDP Window 3 - Sustainable Development in the Amazon(W3A)</w:t>
                </w:r>
              </w:p>
            </w:tc>
          </w:sdtContent>
        </w:sdt>
      </w:tr>
      <w:tr w:rsidRPr="00B811D8" w:rsidR="009F33FF" w:rsidTr="727D1F03" w14:paraId="3BBAB1DC" w14:textId="77777777">
        <w:tc>
          <w:tcPr>
            <w:tcW w:w="3456" w:type="dxa"/>
          </w:tcPr>
          <w:p w:rsidRPr="000F744C" w:rsidR="009F33FF" w:rsidP="26B9D784" w:rsidRDefault="009F33FF" w14:paraId="3BBAB1DA"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IDB Funding Requested:</w:t>
            </w:r>
          </w:p>
        </w:tc>
        <w:sdt>
          <w:sdtPr>
            <w:rPr>
              <w:rStyle w:val="PlaceholderText"/>
              <w:color w:val="auto"/>
            </w:rPr>
            <w:alias w:val="FUNDING_REQ"/>
            <w:tag w:val="FUNDING_REQ"/>
            <w:id w:val="250395411"/>
            <w:lock w:val="sdtContentLocked"/>
            <w:placeholder>
              <w:docPart w:val="D43C05E765C742E5A882436BE6D57E8E"/>
            </w:placeholder>
            <w:showingPlcHdr/>
            <w:text/>
          </w:sdtPr>
          <w:sdtEndPr>
            <w:rPr>
              <w:rStyle w:val="PlaceholderText"/>
              <w:rFonts w:ascii="Arial" w:hAnsi="Arial" w:cs="Arial"/>
              <w:sz w:val="18"/>
              <w:szCs w:val="18"/>
            </w:rPr>
          </w:sdtEndPr>
          <w:sdtContent>
            <w:tc>
              <w:tcPr>
                <w:tcW w:w="6084" w:type="dxa"/>
              </w:tcPr>
              <w:p w:rsidRPr="00B840AE" w:rsidR="009F33FF" w:rsidP="00EC6CAF" w:rsidRDefault="0028247E" w14:paraId="3BBAB1DB" w14:textId="2A25C944">
                <w:pPr>
                  <w:spacing w:after="60"/>
                  <w:rPr>
                    <w:rFonts w:ascii="Arial" w:hAnsi="Arial" w:cs="Arial"/>
                    <w:sz w:val="18"/>
                    <w:szCs w:val="18"/>
                  </w:rPr>
                </w:pPr>
                <w:r>
                  <w:rPr>
                    <w:rFonts w:ascii="Arial"/>
                    <w:sz w:val="18"/>
                  </w:rPr>
                  <w:t>Multi-Donor Fund for the Transformation of Technical and Vocational Education and Training (TVT): US$500,000.00</w:t>
                  <w:br/>
                  <w:t>OC SDP Window 3 - Sustainable Development in the Amazon (W3A): US$210,000.00</w:t>
                  <w:br/>
                  <w:t>Total: US$710,000.00</w:t>
                  <w:br/>
                  <w:t/>
                </w:r>
              </w:p>
            </w:tc>
          </w:sdtContent>
        </w:sdt>
      </w:tr>
      <w:tr w:rsidRPr="00B811D8" w:rsidR="009F33FF" w:rsidTr="727D1F03" w14:paraId="3BBAB1DF" w14:textId="77777777">
        <w:tc>
          <w:tcPr>
            <w:tcW w:w="3456" w:type="dxa"/>
          </w:tcPr>
          <w:p w:rsidRPr="000F744C" w:rsidR="009F33FF" w:rsidP="26B9D784" w:rsidRDefault="009F33FF" w14:paraId="3BBAB1DD"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Local counterpart funding, if any:</w:t>
            </w:r>
          </w:p>
        </w:tc>
        <w:sdt>
          <w:sdtPr>
            <w:rPr>
              <w:rFonts w:ascii="Arial" w:hAnsi="Arial" w:cs="Arial"/>
              <w:sz w:val="18"/>
              <w:szCs w:val="18"/>
            </w:rPr>
            <w:alias w:val="COUNTER_PART"/>
            <w:tag w:val="COUNTER_PART"/>
            <w:id w:val="-956483133"/>
            <w:lock w:val="sdtContentLocked"/>
            <w:placeholder>
              <w:docPart w:val="F1F45581D58E40429AD189DD80ED4007"/>
            </w:placeholder>
            <w:showingPlcHdr/>
            <w:text w:multiLine="1"/>
          </w:sdtPr>
          <w:sdtContent>
            <w:tc>
              <w:tcPr>
                <w:tcW w:w="6084" w:type="dxa"/>
              </w:tcPr>
              <w:p w:rsidRPr="00B811D8" w:rsidR="009F33FF" w:rsidP="004A0A91" w:rsidRDefault="004A0A91" w14:paraId="3BBAB1DE" w14:textId="5A9A3C52">
                <w:pPr>
                  <w:spacing w:after="60"/>
                  <w:rPr>
                    <w:rFonts w:ascii="Arial" w:hAnsi="Arial" w:cs="Arial"/>
                    <w:sz w:val="18"/>
                    <w:szCs w:val="18"/>
                    <w:lang w:val="es-ES_tradnl"/>
                  </w:rPr>
                </w:pPr>
                <w:r w:rsidRPr="004A0A91">
                  <w:rPr>
                    <w:rFonts w:ascii="Arial" w:hAnsi="Arial" w:cs="Arial"/>
                    <w:sz w:val="18"/>
                    <w:szCs w:val="18"/>
                  </w:rPr>
                  <w:t>US$0</w:t>
                </w:r>
              </w:p>
            </w:tc>
          </w:sdtContent>
        </w:sdt>
      </w:tr>
      <w:tr w:rsidRPr="00B811D8" w:rsidR="00825F8B" w:rsidTr="727D1F03" w14:paraId="3BBAB1E2" w14:textId="77777777">
        <w:tc>
          <w:tcPr>
            <w:tcW w:w="3456" w:type="dxa"/>
          </w:tcPr>
          <w:p w:rsidRPr="000F744C" w:rsidR="00825F8B" w:rsidP="00825F8B" w:rsidRDefault="00825F8B" w14:paraId="3BBAB1E0"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Disbursement period (which includes Execution period):</w:t>
            </w:r>
          </w:p>
        </w:tc>
        <w:tc>
          <w:tcPr>
            <w:tcW w:w="6084" w:type="dxa"/>
          </w:tcPr>
          <w:p w:rsidRPr="00F45E82" w:rsidR="00825F8B" w:rsidP="00825F8B" w:rsidRDefault="00EA70C5" w14:paraId="3BBAB1E1" w14:textId="39ACCF51">
            <w:pPr>
              <w:tabs>
                <w:tab w:val="left" w:pos="3675"/>
              </w:tabs>
              <w:spacing w:after="60"/>
              <w:rPr>
                <w:rFonts w:ascii="Arial" w:hAnsi="Arial" w:eastAsia="Arial" w:cs="Arial"/>
                <w:sz w:val="18"/>
                <w:szCs w:val="18"/>
              </w:rPr>
            </w:pPr>
            <w:r>
              <w:rPr>
                <w:rFonts w:ascii="Arial" w:hAnsi="Arial" w:eastAsia="Arial" w:cs="Arial"/>
                <w:sz w:val="18"/>
                <w:szCs w:val="18"/>
              </w:rPr>
              <w:t>24 months</w:t>
            </w:r>
          </w:p>
        </w:tc>
      </w:tr>
      <w:tr w:rsidRPr="00B811D8" w:rsidR="00825F8B" w:rsidTr="727D1F03" w14:paraId="3BBAB1E5" w14:textId="77777777">
        <w:tc>
          <w:tcPr>
            <w:tcW w:w="3456" w:type="dxa"/>
          </w:tcPr>
          <w:p w:rsidRPr="000F744C" w:rsidR="00825F8B" w:rsidP="2B7AE44C" w:rsidRDefault="00825F8B" w14:paraId="3BBAB1E3" w14:textId="4F4BDB48">
            <w:pPr>
              <w:pStyle w:val="ListParagraph"/>
              <w:numPr>
                <w:ilvl w:val="0"/>
                <w:numId w:val="2"/>
              </w:numPr>
              <w:spacing w:after="60"/>
              <w:ind w:left="180" w:hanging="180"/>
              <w:jc w:val="both"/>
              <w:rPr>
                <w:rFonts w:ascii="Arial" w:hAnsi="Arial" w:eastAsia="Arial" w:cs="Arial"/>
                <w:sz w:val="18"/>
                <w:szCs w:val="18"/>
              </w:rPr>
            </w:pPr>
            <w:r>
              <w:rPr>
                <w:rFonts w:ascii="Arial" w:hAnsi="Arial" w:eastAsia="Arial" w:cs="Arial"/>
                <w:sz w:val="18"/>
                <w:szCs w:val="18"/>
              </w:rPr>
              <w:t xml:space="preserve">Required start </w:t>
            </w:r>
            <w:r w:rsidRPr="2B7AE44C">
              <w:rPr>
                <w:rFonts w:ascii="Arial" w:hAnsi="Arial" w:eastAsia="Arial" w:cs="Arial"/>
                <w:sz w:val="18"/>
                <w:szCs w:val="18"/>
              </w:rPr>
              <w:t>date</w:t>
            </w:r>
            <w:r>
              <w:rPr>
                <w:rFonts w:ascii="Arial" w:hAnsi="Arial" w:eastAsia="Arial" w:cs="Arial"/>
                <w:sz w:val="18"/>
                <w:szCs w:val="18"/>
              </w:rPr>
              <w:t>:</w:t>
            </w:r>
          </w:p>
        </w:tc>
        <w:tc>
          <w:tcPr>
            <w:tcW w:w="6084" w:type="dxa"/>
          </w:tcPr>
          <w:p w:rsidRPr="00B811D8" w:rsidR="00825F8B" w:rsidP="00825F8B" w:rsidRDefault="00652C07" w14:paraId="3BBAB1E4" w14:textId="7264552E">
            <w:pPr>
              <w:tabs>
                <w:tab w:val="left" w:pos="3460"/>
                <w:tab w:val="left" w:pos="4900"/>
              </w:tabs>
              <w:spacing w:after="60"/>
              <w:rPr>
                <w:rFonts w:ascii="Arial" w:hAnsi="Arial" w:eastAsia="Arial" w:cs="Arial"/>
                <w:sz w:val="18"/>
                <w:szCs w:val="18"/>
                <w:lang w:val="es-ES"/>
              </w:rPr>
            </w:pPr>
            <w:r>
              <w:rPr>
                <w:rFonts w:ascii="Arial" w:hAnsi="Arial" w:eastAsia="Arial" w:cs="Arial"/>
                <w:sz w:val="18"/>
                <w:szCs w:val="18"/>
                <w:lang w:val="es-ES"/>
              </w:rPr>
              <w:t>March, 15th, 2023.</w:t>
            </w:r>
          </w:p>
        </w:tc>
      </w:tr>
      <w:tr w:rsidRPr="00B811D8" w:rsidR="00825F8B" w:rsidTr="727D1F03" w14:paraId="3BBAB1E8" w14:textId="77777777">
        <w:tc>
          <w:tcPr>
            <w:tcW w:w="3456" w:type="dxa"/>
          </w:tcPr>
          <w:p w:rsidRPr="000F744C" w:rsidR="00825F8B" w:rsidP="00825F8B" w:rsidRDefault="00825F8B" w14:paraId="3BBAB1E6" w14:textId="4C78BE9A">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Types of consultants:</w:t>
            </w:r>
          </w:p>
        </w:tc>
        <w:tc>
          <w:tcPr>
            <w:tcW w:w="6084" w:type="dxa"/>
          </w:tcPr>
          <w:p w:rsidRPr="002C2664" w:rsidR="00825F8B" w:rsidP="00825F8B" w:rsidRDefault="2D4B5895" w14:paraId="3BBAB1E7" w14:textId="3F445182">
            <w:pPr>
              <w:tabs>
                <w:tab w:val="left" w:pos="3536"/>
                <w:tab w:val="left" w:pos="4900"/>
              </w:tabs>
              <w:spacing w:after="60"/>
              <w:rPr>
                <w:rFonts w:ascii="Arial" w:hAnsi="Arial" w:eastAsia="Arial" w:cs="Arial"/>
                <w:sz w:val="18"/>
                <w:szCs w:val="18"/>
              </w:rPr>
            </w:pPr>
            <w:r w:rsidRPr="002C2664">
              <w:rPr>
                <w:rFonts w:ascii="Arial" w:hAnsi="Arial" w:eastAsia="Arial" w:cs="Arial"/>
                <w:sz w:val="18"/>
                <w:szCs w:val="18"/>
              </w:rPr>
              <w:t>Consulting Firms and Individual Consultants</w:t>
            </w:r>
          </w:p>
        </w:tc>
      </w:tr>
      <w:tr w:rsidRPr="00B811D8" w:rsidR="009F33FF" w:rsidTr="727D1F03" w14:paraId="3BBAB1EB" w14:textId="77777777">
        <w:tc>
          <w:tcPr>
            <w:tcW w:w="3456" w:type="dxa"/>
          </w:tcPr>
          <w:p w:rsidRPr="000F744C" w:rsidR="009F33FF" w:rsidP="26B9D784" w:rsidRDefault="009F33FF" w14:paraId="3BBAB1E9"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Prepared by Unit:</w:t>
            </w:r>
          </w:p>
        </w:tc>
        <w:sdt>
          <w:sdtPr>
            <w:rPr>
              <w:rFonts w:ascii="Arial" w:hAnsi="Arial" w:cs="Arial"/>
              <w:sz w:val="18"/>
              <w:szCs w:val="18"/>
            </w:rPr>
            <w:alias w:val="UNIT"/>
            <w:tag w:val="UNIT"/>
            <w:id w:val="350455193"/>
            <w:lock w:val="sdtContentLocked"/>
            <w:placeholder>
              <w:docPart w:val="9A70A810BF2C48C0A541AB223DAB3587"/>
            </w:placeholder>
            <w:showingPlcHdr/>
            <w:text/>
          </w:sdtPr>
          <w:sdtContent>
            <w:tc>
              <w:tcPr>
                <w:tcW w:w="6084" w:type="dxa"/>
              </w:tcPr>
              <w:p w:rsidRPr="00B811D8" w:rsidR="009F33FF" w:rsidP="00EC6CAF" w:rsidRDefault="00EC6CAF" w14:paraId="3BBAB1EA" w14:textId="76C265D0">
                <w:pPr>
                  <w:tabs>
                    <w:tab w:val="left" w:pos="3772"/>
                  </w:tabs>
                  <w:spacing w:after="60"/>
                  <w:rPr>
                    <w:rFonts w:ascii="Arial" w:hAnsi="Arial" w:cs="Arial"/>
                    <w:sz w:val="18"/>
                    <w:szCs w:val="18"/>
                    <w:lang w:val="es-ES_tradnl"/>
                  </w:rPr>
                </w:pPr>
                <w:r>
                  <w:rPr>
                    <w:rFonts w:ascii="Arial" w:hAnsi="Arial" w:cs="Arial"/>
                    <w:sz w:val="18"/>
                    <w:szCs w:val="18"/>
                  </w:rPr>
                  <w:t>SCL/EDU-Education</w:t>
                </w:r>
              </w:p>
            </w:tc>
          </w:sdtContent>
        </w:sdt>
      </w:tr>
      <w:tr w:rsidRPr="00B811D8" w:rsidR="009F33FF" w:rsidTr="727D1F03" w14:paraId="3BBAB1EE" w14:textId="77777777">
        <w:tc>
          <w:tcPr>
            <w:tcW w:w="3456" w:type="dxa"/>
          </w:tcPr>
          <w:p w:rsidRPr="000F744C" w:rsidR="009F33FF" w:rsidP="26B9D784" w:rsidRDefault="009F33FF" w14:paraId="3BBAB1EC"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Unit of Disbursement Responsibility:</w:t>
            </w:r>
          </w:p>
        </w:tc>
        <w:sdt>
          <w:sdtPr>
            <w:rPr>
              <w:rFonts w:ascii="Arial" w:hAnsi="Arial" w:cs="Arial"/>
              <w:sz w:val="18"/>
              <w:szCs w:val="18"/>
            </w:rPr>
            <w:alias w:val="UNIT_DISBUR"/>
            <w:tag w:val="UNIT_DISBUR"/>
            <w:id w:val="-1723972663"/>
            <w:lock w:val="sdtContentLocked"/>
            <w:placeholder>
              <w:docPart w:val="D40DDF1DE070443EBC57BF857042D2F1"/>
            </w:placeholder>
            <w:showingPlcHdr/>
          </w:sdtPr>
          <w:sdtContent>
            <w:tc>
              <w:tcPr>
                <w:tcW w:w="6084" w:type="dxa"/>
              </w:tcPr>
              <w:p w:rsidRPr="00B840AE" w:rsidR="009F33FF" w:rsidP="00EC6CAF" w:rsidRDefault="00EC6CAF" w14:paraId="3BBAB1ED" w14:textId="4D9FCC7F">
                <w:pPr>
                  <w:tabs>
                    <w:tab w:val="left" w:pos="3772"/>
                  </w:tabs>
                  <w:spacing w:after="60"/>
                  <w:rPr>
                    <w:rFonts w:ascii="Arial" w:hAnsi="Arial" w:cs="Arial"/>
                    <w:sz w:val="18"/>
                    <w:szCs w:val="18"/>
                  </w:rPr>
                </w:pPr>
                <w:r>
                  <w:rPr>
                    <w:rFonts w:ascii="Arial" w:hAnsi="Arial" w:cs="Arial"/>
                    <w:sz w:val="18"/>
                    <w:szCs w:val="18"/>
                  </w:rPr>
                  <w:t>CSC/CBR-Country Office Brazil</w:t>
                </w:r>
              </w:p>
            </w:tc>
          </w:sdtContent>
        </w:sdt>
      </w:tr>
      <w:tr w:rsidRPr="00B811D8" w:rsidR="00825F8B" w:rsidTr="727D1F03" w14:paraId="3BBAB1F1" w14:textId="77777777">
        <w:tc>
          <w:tcPr>
            <w:tcW w:w="3456" w:type="dxa"/>
          </w:tcPr>
          <w:p w:rsidRPr="000F744C" w:rsidR="00825F8B" w:rsidP="00825F8B" w:rsidRDefault="00825F8B" w14:paraId="3BBAB1EF" w14:textId="7D762BA4">
            <w:pPr>
              <w:pStyle w:val="ListParagraph"/>
              <w:numPr>
                <w:ilvl w:val="0"/>
                <w:numId w:val="2"/>
              </w:numPr>
              <w:spacing w:after="60"/>
              <w:ind w:left="180" w:hanging="180"/>
              <w:contextualSpacing w:val="0"/>
              <w:jc w:val="both"/>
              <w:rPr>
                <w:rFonts w:ascii="Arial" w:hAnsi="Arial" w:eastAsia="Arial" w:cs="Arial"/>
                <w:sz w:val="18"/>
                <w:szCs w:val="18"/>
              </w:rPr>
            </w:pPr>
            <w:r>
              <w:rPr>
                <w:rFonts w:ascii="Arial" w:hAnsi="Arial" w:eastAsia="Arial" w:cs="Arial"/>
                <w:sz w:val="18"/>
                <w:szCs w:val="18"/>
              </w:rPr>
              <w:t>TC i</w:t>
            </w:r>
            <w:r w:rsidRPr="26B9D784">
              <w:rPr>
                <w:rFonts w:ascii="Arial" w:hAnsi="Arial" w:eastAsia="Arial" w:cs="Arial"/>
                <w:sz w:val="18"/>
                <w:szCs w:val="18"/>
              </w:rPr>
              <w:t xml:space="preserve">ncluded in Country Strategy (y/n): </w:t>
            </w:r>
          </w:p>
        </w:tc>
        <w:tc>
          <w:tcPr>
            <w:tcW w:w="6084" w:type="dxa"/>
          </w:tcPr>
          <w:p w:rsidRPr="00F45E82" w:rsidR="00825F8B" w:rsidP="00825F8B" w:rsidRDefault="00EA70C5" w14:paraId="3BBAB1F0" w14:textId="1EF1BCCB">
            <w:pPr>
              <w:tabs>
                <w:tab w:val="left" w:pos="3976"/>
              </w:tabs>
              <w:spacing w:after="60"/>
              <w:rPr>
                <w:rFonts w:ascii="Arial" w:hAnsi="Arial" w:eastAsia="Arial" w:cs="Arial"/>
                <w:sz w:val="18"/>
                <w:szCs w:val="18"/>
              </w:rPr>
            </w:pPr>
            <w:r w:rsidRPr="727D1F03">
              <w:rPr>
                <w:rFonts w:ascii="Arial" w:hAnsi="Arial" w:eastAsia="Arial" w:cs="Arial"/>
                <w:sz w:val="18"/>
                <w:szCs w:val="18"/>
              </w:rPr>
              <w:t>N</w:t>
            </w:r>
            <w:r w:rsidRPr="727D1F03" w:rsidR="5971C4C5">
              <w:rPr>
                <w:rFonts w:ascii="Arial" w:hAnsi="Arial" w:eastAsia="Arial" w:cs="Arial"/>
                <w:sz w:val="18"/>
                <w:szCs w:val="18"/>
              </w:rPr>
              <w:t>o</w:t>
            </w:r>
          </w:p>
        </w:tc>
      </w:tr>
      <w:tr w:rsidRPr="00B811D8" w:rsidR="00825F8B" w:rsidTr="727D1F03" w14:paraId="3BBAB1F4" w14:textId="77777777">
        <w:tc>
          <w:tcPr>
            <w:tcW w:w="3456" w:type="dxa"/>
          </w:tcPr>
          <w:p w:rsidRPr="000F744C" w:rsidR="00825F8B" w:rsidP="00825F8B" w:rsidRDefault="00825F8B" w14:paraId="3BBAB1F2"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TC included in CPD (y/n):</w:t>
            </w:r>
          </w:p>
        </w:tc>
        <w:tc>
          <w:tcPr>
            <w:tcW w:w="6084" w:type="dxa"/>
          </w:tcPr>
          <w:p w:rsidRPr="00F45E82" w:rsidR="00825F8B" w:rsidP="00825F8B" w:rsidRDefault="00EA70C5" w14:paraId="3BBAB1F3" w14:textId="38E54484">
            <w:pPr>
              <w:tabs>
                <w:tab w:val="left" w:pos="3439"/>
                <w:tab w:val="left" w:pos="4578"/>
              </w:tabs>
              <w:spacing w:after="60"/>
              <w:rPr>
                <w:rFonts w:ascii="Arial" w:hAnsi="Arial" w:eastAsia="Arial" w:cs="Arial"/>
                <w:sz w:val="18"/>
                <w:szCs w:val="18"/>
              </w:rPr>
            </w:pPr>
            <w:r w:rsidRPr="727D1F03">
              <w:rPr>
                <w:rFonts w:ascii="Arial" w:hAnsi="Arial" w:eastAsia="Arial" w:cs="Arial"/>
                <w:sz w:val="18"/>
                <w:szCs w:val="18"/>
              </w:rPr>
              <w:t>N</w:t>
            </w:r>
            <w:r w:rsidRPr="727D1F03" w:rsidR="1F9D08A7">
              <w:rPr>
                <w:rFonts w:ascii="Arial" w:hAnsi="Arial" w:eastAsia="Arial" w:cs="Arial"/>
                <w:sz w:val="18"/>
                <w:szCs w:val="18"/>
              </w:rPr>
              <w:t>o</w:t>
            </w:r>
          </w:p>
        </w:tc>
      </w:tr>
      <w:tr w:rsidRPr="00B811D8" w:rsidR="009F33FF" w:rsidTr="005C790F" w14:paraId="3BBAB1F7" w14:textId="77777777">
        <w:trPr>
          <w:trHeight w:val="530"/>
        </w:trPr>
        <w:tc>
          <w:tcPr>
            <w:tcW w:w="3456" w:type="dxa"/>
          </w:tcPr>
          <w:p w:rsidRPr="000F744C" w:rsidR="009F33FF" w:rsidP="26B9D784" w:rsidRDefault="00B811D8" w14:paraId="3BBAB1F5" w14:textId="77777777">
            <w:pPr>
              <w:pStyle w:val="ListParagraph"/>
              <w:numPr>
                <w:ilvl w:val="0"/>
                <w:numId w:val="2"/>
              </w:numPr>
              <w:spacing w:after="60"/>
              <w:ind w:left="180" w:hanging="180"/>
              <w:contextualSpacing w:val="0"/>
              <w:jc w:val="both"/>
              <w:rPr>
                <w:rFonts w:ascii="Arial" w:hAnsi="Arial" w:eastAsia="Arial" w:cs="Arial"/>
                <w:sz w:val="18"/>
                <w:szCs w:val="18"/>
              </w:rPr>
            </w:pPr>
            <w:r w:rsidRPr="26B9D784">
              <w:rPr>
                <w:rFonts w:ascii="Arial" w:hAnsi="Arial" w:eastAsia="Arial" w:cs="Arial"/>
                <w:sz w:val="18"/>
                <w:szCs w:val="18"/>
              </w:rPr>
              <w:t>Alignment to the Update to the Institutional Strategy 2010-2020:</w:t>
            </w:r>
          </w:p>
        </w:tc>
        <w:sdt>
          <w:sdtPr>
            <w:rPr>
              <w:rFonts w:ascii="Arial" w:hAnsi="Arial" w:cs="Arial"/>
              <w:sz w:val="18"/>
              <w:szCs w:val="18"/>
            </w:rPr>
            <w:alias w:val="ALINGMENT"/>
            <w:tag w:val="ALINGMENT"/>
            <w:id w:val="-1710644844"/>
            <w:lock w:val="sdtContentLocked"/>
            <w:placeholder>
              <w:docPart w:val="C1EE1F5E5F3847209E73C9FEB6220E04"/>
            </w:placeholder>
            <w:showingPlcHdr/>
            <w:text/>
          </w:sdtPr>
          <w:sdtContent>
            <w:tc>
              <w:tcPr>
                <w:tcW w:w="6084" w:type="dxa"/>
              </w:tcPr>
              <w:p w:rsidRPr="00B840AE" w:rsidR="009F33FF" w:rsidP="00F45E82" w:rsidRDefault="00F45E82" w14:paraId="3BBAB1F6" w14:textId="7FB6AE35">
                <w:pPr>
                  <w:tabs>
                    <w:tab w:val="left" w:pos="3772"/>
                  </w:tabs>
                  <w:spacing w:after="60"/>
                  <w:rPr>
                    <w:rFonts w:ascii="Arial" w:hAnsi="Arial" w:eastAsia="Arial" w:cs="Arial"/>
                    <w:sz w:val="18"/>
                    <w:szCs w:val="18"/>
                  </w:rPr>
                </w:pPr>
                <w:r>
                  <w:rPr>
                    <w:rFonts w:ascii="Arial" w:hAnsi="Arial" w:cs="Arial"/>
                    <w:sz w:val="18"/>
                    <w:szCs w:val="18"/>
                  </w:rPr>
                  <w:t xml:space="preserve"> Social inclusion and equality; Environmental sustainability</w:t>
                </w:r>
              </w:p>
            </w:tc>
          </w:sdtContent>
        </w:sdt>
      </w:tr>
    </w:tbl>
    <w:p w:rsidRPr="000F744C" w:rsidR="00065D4D" w:rsidP="008B3E0F" w:rsidRDefault="0FBA85EA" w14:paraId="3BBAB1FA" w14:textId="00233EE5">
      <w:pPr>
        <w:pStyle w:val="ListParagraph"/>
        <w:pageBreakBefore/>
        <w:numPr>
          <w:ilvl w:val="0"/>
          <w:numId w:val="5"/>
        </w:numPr>
        <w:spacing w:before="120" w:after="120" w:line="240" w:lineRule="auto"/>
        <w:contextualSpacing w:val="0"/>
        <w:rPr>
          <w:rFonts w:ascii="Arial" w:hAnsi="Arial" w:eastAsia="Arial" w:cs="Arial"/>
          <w:b/>
          <w:bCs/>
        </w:rPr>
      </w:pPr>
      <w:r w:rsidRPr="0FBA85EA">
        <w:rPr>
          <w:rFonts w:ascii="Arial" w:hAnsi="Arial" w:eastAsia="Arial" w:cs="Arial"/>
          <w:b/>
          <w:bCs/>
        </w:rPr>
        <w:t>Objectives and Justification of the TC</w:t>
      </w:r>
    </w:p>
    <w:p w:rsidR="00160B08" w:rsidP="009322A6" w:rsidRDefault="00160B08" w14:paraId="69E1EE72" w14:textId="55347C44">
      <w:pPr>
        <w:pStyle w:val="ListParagraph"/>
        <w:numPr>
          <w:ilvl w:val="1"/>
          <w:numId w:val="5"/>
        </w:numPr>
        <w:spacing w:before="120" w:after="120" w:line="240" w:lineRule="auto"/>
        <w:ind w:hanging="547"/>
        <w:contextualSpacing w:val="0"/>
        <w:jc w:val="both"/>
        <w:rPr>
          <w:rFonts w:ascii="Arial" w:hAnsi="Arial" w:eastAsia="Arial" w:cs="Arial"/>
        </w:rPr>
      </w:pPr>
      <w:r>
        <w:rPr>
          <w:rFonts w:ascii="Arial" w:hAnsi="Arial" w:eastAsia="Arial" w:cs="Arial"/>
        </w:rPr>
        <w:t xml:space="preserve">The objective of this TC is to pilot a hybrid TVET course </w:t>
      </w:r>
      <w:r w:rsidR="00177A1F">
        <w:rPr>
          <w:rFonts w:ascii="Arial" w:hAnsi="Arial" w:eastAsia="Arial" w:cs="Arial"/>
        </w:rPr>
        <w:t xml:space="preserve">regarding </w:t>
      </w:r>
      <w:r>
        <w:rPr>
          <w:rFonts w:ascii="Arial" w:hAnsi="Arial" w:eastAsia="Arial" w:cs="Arial"/>
        </w:rPr>
        <w:t xml:space="preserve">açaí </w:t>
      </w:r>
      <w:r w:rsidR="00177A1F">
        <w:rPr>
          <w:rFonts w:ascii="Arial" w:hAnsi="Arial" w:eastAsia="Arial" w:cs="Arial"/>
        </w:rPr>
        <w:t>to the “Ribeirinho</w:t>
      </w:r>
      <w:r w:rsidR="001055F6">
        <w:rPr>
          <w:rFonts w:ascii="Arial" w:hAnsi="Arial" w:eastAsia="Arial" w:cs="Arial"/>
        </w:rPr>
        <w:t>s</w:t>
      </w:r>
      <w:r w:rsidR="00177A1F">
        <w:rPr>
          <w:rFonts w:ascii="Arial" w:hAnsi="Arial" w:eastAsia="Arial" w:cs="Arial"/>
        </w:rPr>
        <w:t>”</w:t>
      </w:r>
      <w:r w:rsidRPr="001055F6" w:rsidR="001055F6">
        <w:rPr>
          <w:rStyle w:val="FootnoteReference"/>
          <w:rFonts w:ascii="Arial" w:hAnsi="Arial" w:eastAsia="Arial" w:cs="Arial"/>
          <w:i/>
          <w:iCs/>
        </w:rPr>
        <w:t xml:space="preserve"> </w:t>
      </w:r>
      <w:r w:rsidR="001055F6">
        <w:rPr>
          <w:rStyle w:val="FootnoteReference"/>
          <w:rFonts w:ascii="Arial" w:hAnsi="Arial" w:eastAsia="Arial" w:cs="Arial"/>
          <w:i/>
          <w:iCs/>
        </w:rPr>
        <w:footnoteReference w:id="2"/>
      </w:r>
      <w:r w:rsidR="00177A1F">
        <w:rPr>
          <w:rFonts w:ascii="Arial" w:hAnsi="Arial" w:eastAsia="Arial" w:cs="Arial"/>
        </w:rPr>
        <w:t xml:space="preserve"> communities in the State of Pará</w:t>
      </w:r>
      <w:r w:rsidR="001055F6">
        <w:rPr>
          <w:rFonts w:ascii="Arial" w:hAnsi="Arial" w:eastAsia="Arial" w:cs="Arial"/>
        </w:rPr>
        <w:t>, as well as developing knowledge regarding the impact of this type of intervention in this population.</w:t>
      </w:r>
    </w:p>
    <w:p w:rsidRPr="0003723F" w:rsidR="0003723F" w:rsidP="0003723F" w:rsidRDefault="0003723F" w14:paraId="761D8A83" w14:textId="5C27472A">
      <w:pPr>
        <w:pStyle w:val="ListParagraph"/>
        <w:numPr>
          <w:ilvl w:val="1"/>
          <w:numId w:val="5"/>
        </w:numPr>
        <w:spacing w:before="120" w:after="120" w:line="240" w:lineRule="auto"/>
        <w:ind w:hanging="540"/>
        <w:contextualSpacing w:val="0"/>
        <w:jc w:val="both"/>
        <w:rPr>
          <w:rFonts w:ascii="Arial" w:hAnsi="Arial" w:eastAsia="Arial" w:cs="Arial"/>
        </w:rPr>
      </w:pPr>
      <w:r w:rsidRPr="0003723F">
        <w:rPr>
          <w:rFonts w:ascii="Arial" w:hAnsi="Arial" w:eastAsia="Arial" w:cs="Arial"/>
        </w:rPr>
        <w:t>Innovation in bioeconomy chains is rare in the Brazilian Amazon; and we often see companies from other regions of the country, and even from outside Brazil, taking advantage of innovation opportunities for regional raw materials. Lack of capital for larger investments combined with low technological and market knowledge are the main causes for this low development in several production chains in this region (doi.org/10.1590/1809-4422asoc20200123vu2020L3ID).</w:t>
      </w:r>
    </w:p>
    <w:p w:rsidRPr="0003723F" w:rsidR="0003723F" w:rsidP="00604A1A" w:rsidRDefault="0003723F" w14:paraId="6657AD9D" w14:textId="372EBE24">
      <w:pPr>
        <w:pStyle w:val="ListParagraph"/>
        <w:numPr>
          <w:ilvl w:val="1"/>
          <w:numId w:val="5"/>
        </w:numPr>
        <w:spacing w:before="120" w:after="120" w:line="240" w:lineRule="auto"/>
        <w:ind w:hanging="547"/>
        <w:contextualSpacing w:val="0"/>
        <w:jc w:val="both"/>
        <w:rPr>
          <w:rFonts w:ascii="Arial" w:hAnsi="Arial" w:eastAsia="Arial" w:cs="Arial"/>
        </w:rPr>
      </w:pPr>
      <w:r w:rsidRPr="0003723F">
        <w:rPr>
          <w:rFonts w:ascii="Arial" w:hAnsi="Arial" w:eastAsia="Arial" w:cs="Arial"/>
        </w:rPr>
        <w:t xml:space="preserve">The açaí is another example of this reality. This berry is rich in polyphenols, with high antioxidant activity, and has </w:t>
      </w:r>
      <w:r w:rsidRPr="0003723F" w:rsidR="0E194C95">
        <w:rPr>
          <w:rFonts w:ascii="Arial" w:hAnsi="Arial" w:eastAsia="Arial" w:cs="Arial"/>
        </w:rPr>
        <w:t xml:space="preserve">been </w:t>
      </w:r>
      <w:r w:rsidRPr="0003723F">
        <w:rPr>
          <w:rFonts w:ascii="Arial" w:hAnsi="Arial" w:eastAsia="Arial" w:cs="Arial"/>
        </w:rPr>
        <w:t>recently incorporated by many people across the world with healthy diets (doi.org/10.1590/1981-6723.09217). The product is obtained from its fruit and is commercialized as pulp, ice cream, energy drink</w:t>
      </w:r>
      <w:r w:rsidRPr="0003723F" w:rsidR="138C91A1">
        <w:rPr>
          <w:rFonts w:ascii="Arial" w:hAnsi="Arial" w:eastAsia="Arial" w:cs="Arial"/>
        </w:rPr>
        <w:t>, among others</w:t>
      </w:r>
      <w:r w:rsidRPr="0003723F" w:rsidR="18A9C49A">
        <w:rPr>
          <w:rFonts w:ascii="Arial" w:hAnsi="Arial" w:eastAsia="Arial" w:cs="Arial"/>
        </w:rPr>
        <w:t>.</w:t>
      </w:r>
      <w:r w:rsidRPr="0003723F">
        <w:rPr>
          <w:rFonts w:ascii="Arial" w:hAnsi="Arial" w:eastAsia="Arial" w:cs="Arial"/>
        </w:rPr>
        <w:t xml:space="preserve"> In addition to the recently opened international market, it is one of the main dietary supplement for traditional </w:t>
      </w:r>
      <w:r w:rsidRPr="00A474F9" w:rsidR="00A474F9">
        <w:rPr>
          <w:rFonts w:ascii="Arial" w:hAnsi="Arial" w:eastAsia="Arial" w:cs="Arial"/>
          <w:i/>
          <w:iCs/>
        </w:rPr>
        <w:t>Ribeirinhos</w:t>
      </w:r>
      <w:r w:rsidR="00A474F9">
        <w:rPr>
          <w:rFonts w:ascii="Arial" w:hAnsi="Arial" w:eastAsia="Arial" w:cs="Arial"/>
        </w:rPr>
        <w:t xml:space="preserve"> </w:t>
      </w:r>
      <w:r w:rsidRPr="0003723F">
        <w:rPr>
          <w:rFonts w:ascii="Arial" w:hAnsi="Arial" w:eastAsia="Arial" w:cs="Arial"/>
        </w:rPr>
        <w:t xml:space="preserve">populations and residents of large </w:t>
      </w:r>
      <w:r w:rsidRPr="0003723F" w:rsidR="3AADC935">
        <w:rPr>
          <w:rFonts w:ascii="Arial" w:hAnsi="Arial" w:eastAsia="Arial" w:cs="Arial"/>
        </w:rPr>
        <w:t xml:space="preserve">urban </w:t>
      </w:r>
      <w:r w:rsidRPr="0003723F">
        <w:rPr>
          <w:rFonts w:ascii="Arial" w:hAnsi="Arial" w:eastAsia="Arial" w:cs="Arial"/>
        </w:rPr>
        <w:t>centers.</w:t>
      </w:r>
    </w:p>
    <w:p w:rsidRPr="0003723F" w:rsidR="0003723F" w:rsidP="009322A6" w:rsidRDefault="0003723F" w14:paraId="4CAC3AC6" w14:textId="2D713B03">
      <w:pPr>
        <w:pStyle w:val="ListParagraph"/>
        <w:numPr>
          <w:ilvl w:val="1"/>
          <w:numId w:val="5"/>
        </w:numPr>
        <w:spacing w:before="120" w:after="120" w:line="240" w:lineRule="auto"/>
        <w:ind w:hanging="547"/>
        <w:contextualSpacing w:val="0"/>
        <w:jc w:val="both"/>
        <w:rPr>
          <w:rFonts w:ascii="Arial" w:hAnsi="Arial" w:eastAsia="Arial" w:cs="Arial"/>
        </w:rPr>
      </w:pPr>
      <w:r w:rsidRPr="0003723F">
        <w:rPr>
          <w:rFonts w:ascii="Arial" w:hAnsi="Arial" w:eastAsia="Arial" w:cs="Arial"/>
        </w:rPr>
        <w:t xml:space="preserve">Açaí is now considered the most important non-timber product in the region and the main source of income for </w:t>
      </w:r>
      <w:r w:rsidRPr="00E91DF1" w:rsidR="00770E8F">
        <w:rPr>
          <w:rFonts w:ascii="Arial" w:hAnsi="Arial" w:eastAsia="Arial" w:cs="Arial"/>
          <w:i/>
          <w:iCs/>
        </w:rPr>
        <w:t>ribeirinhos</w:t>
      </w:r>
      <w:r w:rsidRPr="0003723F">
        <w:rPr>
          <w:rFonts w:ascii="Arial" w:hAnsi="Arial" w:eastAsia="Arial" w:cs="Arial"/>
        </w:rPr>
        <w:t>, making it essential to the regional economy (doi.org/10.1016/j.biocon.2021.109251). The fruit grows on palm trees which are irrigated and fertilized with the change of river tide. People from small communities, such as Chaves, in the Marajó Island, harvest the fruit and prepare the pulp at their own houses, with poor infrastructure and hygiene processes. Additionally, according to the Brazilian Institute of Geography and Statistics (IBGE), açaí berry production grew 32% compared to last year, with 95% of its production being concentrated in the state of Pará. This amount injects around US$1.5 billion into the Pará economy.</w:t>
      </w:r>
    </w:p>
    <w:p w:rsidRPr="0003723F" w:rsidR="0003723F" w:rsidP="0003723F" w:rsidRDefault="0003723F" w14:paraId="06579680" w14:textId="77777777">
      <w:pPr>
        <w:pStyle w:val="ListParagraph"/>
        <w:numPr>
          <w:ilvl w:val="1"/>
          <w:numId w:val="5"/>
        </w:numPr>
        <w:spacing w:before="120" w:after="120" w:line="240" w:lineRule="auto"/>
        <w:ind w:hanging="540"/>
        <w:contextualSpacing w:val="0"/>
        <w:jc w:val="both"/>
        <w:rPr>
          <w:rFonts w:ascii="Arial" w:hAnsi="Arial" w:eastAsia="Arial" w:cs="Arial"/>
        </w:rPr>
      </w:pPr>
      <w:r w:rsidRPr="0003723F">
        <w:rPr>
          <w:rFonts w:ascii="Arial" w:hAnsi="Arial" w:eastAsia="Arial" w:cs="Arial"/>
        </w:rPr>
        <w:t>However, the low efficiency in the harvest and production processes is a challenge. The State Agricultural Defense and Surveillance Agency estimates that most of the Açaí do Pará is lost at the foot of the tree. Consequently, there are two possible solutions to meet this increasing demand: improve productivity or deforest the Amazon, which should not be an option for many different reasons (doi.org/10.1016/j.biocon.2021.109251).</w:t>
      </w:r>
    </w:p>
    <w:p w:rsidRPr="0003723F" w:rsidR="0003723F" w:rsidP="0003723F" w:rsidRDefault="0003723F" w14:paraId="6935546F" w14:textId="74F0F279">
      <w:pPr>
        <w:pStyle w:val="ListParagraph"/>
        <w:numPr>
          <w:ilvl w:val="1"/>
          <w:numId w:val="5"/>
        </w:numPr>
        <w:spacing w:before="120" w:after="120" w:line="240" w:lineRule="auto"/>
        <w:ind w:hanging="540"/>
        <w:contextualSpacing w:val="0"/>
        <w:jc w:val="both"/>
        <w:rPr>
          <w:rFonts w:ascii="Arial" w:hAnsi="Arial" w:eastAsia="Arial" w:cs="Arial"/>
        </w:rPr>
      </w:pPr>
      <w:r w:rsidRPr="0003723F">
        <w:rPr>
          <w:rFonts w:ascii="Arial" w:hAnsi="Arial" w:eastAsia="Arial" w:cs="Arial"/>
        </w:rPr>
        <w:t>To improve the efficiency of these processes, the Department of Sciency, Technology and Technical Education of the State of Pará (SecTet), in partnership with local industries, will design a hybrid technical education (TVET) course to improve efficiency in the harvest, production and commercialization processes. The course will be part online and part in person. To solve the challenge of offering specialized education to low-density regions, SecTet will equip a truck-cart (see similar example in Picture 1, used by the state to offer other technical courses or public services to remote communities), which will be moved across the distant areas of the state. The course will be taken by students who are enrolled in regular high schools or by adults, who will have access to this portable laboratory near their own houses. In addition to creating the course and the laboratory, the project aims to identify other bottle necks in the supply chain and pilot a management information system to identify the regions where the production is growing or need more support from the state. In the context of High School Reform, which will expand technical education, and with SecTet’s focus to expand this kind of course, this pilot will be used as reference in many other courses in the state, and around the Country. In fact, SecTet has approached the Bank to design an operation with EDU to build technical education centers and expand the offer of TVET courses across the state, showing the potential of this project.</w:t>
      </w:r>
    </w:p>
    <w:p w:rsidRPr="0003723F" w:rsidR="0003723F" w:rsidP="0003723F" w:rsidRDefault="0003723F" w14:paraId="3DF51F69" w14:textId="77777777">
      <w:pPr>
        <w:pStyle w:val="ListParagraph"/>
        <w:numPr>
          <w:ilvl w:val="1"/>
          <w:numId w:val="5"/>
        </w:numPr>
        <w:spacing w:before="120" w:after="120" w:line="240" w:lineRule="auto"/>
        <w:ind w:hanging="540"/>
        <w:contextualSpacing w:val="0"/>
        <w:jc w:val="both"/>
        <w:rPr>
          <w:rFonts w:ascii="Arial" w:hAnsi="Arial" w:eastAsia="Arial" w:cs="Arial"/>
        </w:rPr>
      </w:pPr>
      <w:r w:rsidRPr="0003723F">
        <w:rPr>
          <w:rFonts w:ascii="Arial" w:hAnsi="Arial" w:eastAsia="Arial" w:cs="Arial"/>
        </w:rPr>
        <w:t>This project complies with all three criteria required by the TVET Fund, as follows:</w:t>
      </w:r>
    </w:p>
    <w:p w:rsidRPr="0003723F" w:rsidR="0003723F" w:rsidP="0003723F" w:rsidRDefault="0003723F" w14:paraId="7FC2C6FF" w14:textId="4238D8F2">
      <w:pPr>
        <w:pStyle w:val="ListParagraph"/>
        <w:numPr>
          <w:ilvl w:val="2"/>
          <w:numId w:val="5"/>
        </w:numPr>
        <w:spacing w:before="120" w:after="120" w:line="240" w:lineRule="auto"/>
        <w:contextualSpacing w:val="0"/>
        <w:jc w:val="both"/>
        <w:rPr>
          <w:rFonts w:ascii="Arial" w:hAnsi="Arial" w:eastAsia="Arial" w:cs="Arial"/>
        </w:rPr>
      </w:pPr>
      <w:r w:rsidRPr="0003723F">
        <w:rPr>
          <w:rFonts w:ascii="Arial" w:hAnsi="Arial" w:eastAsia="Arial" w:cs="Arial"/>
        </w:rPr>
        <w:t xml:space="preserve">Private sector leadership: Frooty is one of the biggest acaí industry in the world and was the first one to be contacted by SecTet. Other industries will be involved </w:t>
      </w:r>
      <w:r w:rsidR="00F10AB0">
        <w:rPr>
          <w:rFonts w:ascii="Arial" w:hAnsi="Arial" w:eastAsia="Arial" w:cs="Arial"/>
        </w:rPr>
        <w:t>when the project is signed</w:t>
      </w:r>
      <w:r w:rsidRPr="0003723F">
        <w:rPr>
          <w:rFonts w:ascii="Arial" w:hAnsi="Arial" w:eastAsia="Arial" w:cs="Arial"/>
        </w:rPr>
        <w:t xml:space="preserve">. Frooty is willing to help to design the curriculum, provide training for teachers and students, and equip </w:t>
      </w:r>
      <w:r w:rsidR="00213023">
        <w:rPr>
          <w:rFonts w:ascii="Arial" w:hAnsi="Arial" w:eastAsia="Arial" w:cs="Arial"/>
        </w:rPr>
        <w:t xml:space="preserve">laboratories </w:t>
      </w:r>
      <w:r w:rsidRPr="0003723F">
        <w:rPr>
          <w:rFonts w:ascii="Arial" w:hAnsi="Arial" w:eastAsia="Arial" w:cs="Arial"/>
        </w:rPr>
        <w:t>so that students may use similar machinery as used by industries.</w:t>
      </w:r>
      <w:r w:rsidR="00B6368D">
        <w:rPr>
          <w:rFonts w:ascii="Arial" w:hAnsi="Arial" w:eastAsia="Arial" w:cs="Arial"/>
        </w:rPr>
        <w:t xml:space="preserve"> </w:t>
      </w:r>
      <w:r w:rsidR="00B03A0D">
        <w:rPr>
          <w:rFonts w:ascii="Arial" w:hAnsi="Arial" w:eastAsia="Arial" w:cs="Arial"/>
        </w:rPr>
        <w:t>C</w:t>
      </w:r>
      <w:r w:rsidR="00772DA8">
        <w:rPr>
          <w:rFonts w:ascii="Arial" w:hAnsi="Arial" w:eastAsia="Arial" w:cs="Arial"/>
        </w:rPr>
        <w:t>ooperatives</w:t>
      </w:r>
      <w:r w:rsidR="00B03A0D">
        <w:rPr>
          <w:rFonts w:ascii="Arial" w:hAnsi="Arial" w:eastAsia="Arial" w:cs="Arial"/>
        </w:rPr>
        <w:t xml:space="preserve"> of </w:t>
      </w:r>
      <w:r w:rsidR="002F4DD6">
        <w:rPr>
          <w:rFonts w:ascii="Arial" w:hAnsi="Arial" w:eastAsia="Arial" w:cs="Arial"/>
        </w:rPr>
        <w:t xml:space="preserve">açaí </w:t>
      </w:r>
      <w:r w:rsidR="00B03A0D">
        <w:rPr>
          <w:rFonts w:ascii="Arial" w:hAnsi="Arial" w:eastAsia="Arial" w:cs="Arial"/>
        </w:rPr>
        <w:t>workers</w:t>
      </w:r>
      <w:r w:rsidR="002F4DD6">
        <w:rPr>
          <w:rFonts w:ascii="Arial" w:hAnsi="Arial" w:eastAsia="Arial" w:cs="Arial"/>
        </w:rPr>
        <w:t xml:space="preserve"> will also be involved in a way so the view of independent workers is represented in the proposal.</w:t>
      </w:r>
    </w:p>
    <w:p w:rsidRPr="0003723F" w:rsidR="0003723F" w:rsidP="5AE2A808" w:rsidRDefault="0003723F" w14:paraId="6E592C41" w14:textId="17413E54">
      <w:pPr>
        <w:pStyle w:val="ListParagraph"/>
        <w:numPr>
          <w:ilvl w:val="2"/>
          <w:numId w:val="5"/>
        </w:numPr>
        <w:spacing w:before="120" w:after="120" w:line="240" w:lineRule="auto"/>
        <w:contextualSpacing w:val="0"/>
        <w:jc w:val="both"/>
        <w:rPr>
          <w:rFonts w:ascii="Arial" w:hAnsi="Arial" w:eastAsia="Arial" w:cs="Arial"/>
        </w:rPr>
      </w:pPr>
      <w:r w:rsidRPr="0003723F">
        <w:rPr>
          <w:rFonts w:ascii="Arial" w:hAnsi="Arial" w:eastAsia="Arial" w:cs="Arial"/>
        </w:rPr>
        <w:t>Innovation: This is the first TVET course focused to serve isolated</w:t>
      </w:r>
      <w:r w:rsidR="00650A66">
        <w:rPr>
          <w:rFonts w:ascii="Arial" w:hAnsi="Arial" w:eastAsia="Arial" w:cs="Arial"/>
        </w:rPr>
        <w:t xml:space="preserve"> </w:t>
      </w:r>
      <w:r w:rsidRPr="00650A66" w:rsidR="00650A66">
        <w:rPr>
          <w:rFonts w:ascii="Arial" w:hAnsi="Arial" w:eastAsia="Arial" w:cs="Arial"/>
          <w:i/>
          <w:iCs/>
        </w:rPr>
        <w:t>ribeirinhos</w:t>
      </w:r>
      <w:r w:rsidRPr="0003723F">
        <w:rPr>
          <w:rFonts w:ascii="Arial" w:hAnsi="Arial" w:eastAsia="Arial" w:cs="Arial"/>
        </w:rPr>
        <w:t xml:space="preserve"> communities, which are usually underserved by public policies. This is also the first TVET course focusing on strengthen an important bioeconomy chain in the </w:t>
      </w:r>
      <w:r w:rsidRPr="0003723F" w:rsidR="001825BE">
        <w:rPr>
          <w:rFonts w:ascii="Arial" w:hAnsi="Arial" w:eastAsia="Arial" w:cs="Arial"/>
        </w:rPr>
        <w:t>Amazon</w:t>
      </w:r>
      <w:r w:rsidR="001825BE">
        <w:rPr>
          <w:rFonts w:ascii="Arial" w:hAnsi="Arial" w:eastAsia="Arial" w:cs="Arial"/>
        </w:rPr>
        <w:t xml:space="preserve"> </w:t>
      </w:r>
      <w:r w:rsidRPr="0003723F" w:rsidR="001825BE">
        <w:rPr>
          <w:rFonts w:ascii="Arial" w:hAnsi="Arial" w:eastAsia="Arial" w:cs="Arial"/>
        </w:rPr>
        <w:t>Forest</w:t>
      </w:r>
      <w:r w:rsidR="00E1563C">
        <w:rPr>
          <w:rFonts w:ascii="Arial" w:hAnsi="Arial" w:eastAsia="Arial" w:cs="Arial"/>
        </w:rPr>
        <w:t xml:space="preserve"> which is</w:t>
      </w:r>
      <w:r w:rsidRPr="0003723F">
        <w:rPr>
          <w:rFonts w:ascii="Arial" w:hAnsi="Arial" w:eastAsia="Arial" w:cs="Arial"/>
        </w:rPr>
        <w:t xml:space="preserve"> key to fight climate change. Finally, an impact evaluation of a hybrid course in the context of isolated communities will </w:t>
      </w:r>
      <w:r w:rsidRPr="5AE2A808" w:rsidR="66FAF205">
        <w:rPr>
          <w:rFonts w:ascii="Arial" w:hAnsi="Arial" w:eastAsia="Arial" w:cs="Arial"/>
        </w:rPr>
        <w:t xml:space="preserve">be </w:t>
      </w:r>
      <w:r w:rsidRPr="0003723F">
        <w:rPr>
          <w:rFonts w:ascii="Arial" w:hAnsi="Arial" w:eastAsia="Arial" w:cs="Arial"/>
        </w:rPr>
        <w:t>conducted. Since these communities are usually not served by public policies, there is little evidence in the context</w:t>
      </w:r>
      <w:r w:rsidRPr="5AE2A808" w:rsidR="46825CEA">
        <w:rPr>
          <w:rFonts w:ascii="Arial" w:hAnsi="Arial" w:eastAsia="Arial" w:cs="Arial"/>
        </w:rPr>
        <w:t>.</w:t>
      </w:r>
    </w:p>
    <w:p w:rsidRPr="006A250E" w:rsidR="0003723F" w:rsidP="0003723F" w:rsidRDefault="0003723F" w14:paraId="6E03B11F" w14:textId="109DC1A7">
      <w:pPr>
        <w:pStyle w:val="ListParagraph"/>
        <w:numPr>
          <w:ilvl w:val="2"/>
          <w:numId w:val="5"/>
        </w:numPr>
        <w:spacing w:before="120" w:after="120" w:line="240" w:lineRule="auto"/>
        <w:contextualSpacing w:val="0"/>
        <w:jc w:val="both"/>
        <w:rPr>
          <w:rFonts w:ascii="Arial" w:hAnsi="Arial" w:eastAsia="Arial" w:cs="Arial"/>
        </w:rPr>
      </w:pPr>
      <w:r w:rsidRPr="0003723F">
        <w:rPr>
          <w:rFonts w:ascii="Arial" w:hAnsi="Arial" w:eastAsia="Arial" w:cs="Arial"/>
        </w:rPr>
        <w:t xml:space="preserve">Sustainability/Scalability: Brazil is implementing the </w:t>
      </w:r>
      <w:r w:rsidR="009322A6">
        <w:rPr>
          <w:rFonts w:ascii="Arial" w:hAnsi="Arial" w:eastAsia="Arial" w:cs="Arial"/>
        </w:rPr>
        <w:t>high school</w:t>
      </w:r>
      <w:r w:rsidRPr="0003723F">
        <w:rPr>
          <w:rFonts w:ascii="Arial" w:hAnsi="Arial" w:eastAsia="Arial" w:cs="Arial"/>
        </w:rPr>
        <w:t xml:space="preserve"> reform and it will be mandatory that states expand the technical education, so having pilots like this will make it easier to states to replicate the model for their specific context; and Brazil has many other products as açaí in its biomes. Additionally, the responsibility for offering TVET courses in the state of Pará has recently moved from the education department to the Department of Science, Technology</w:t>
      </w:r>
      <w:r w:rsidR="001825BE">
        <w:rPr>
          <w:rFonts w:ascii="Arial" w:hAnsi="Arial" w:eastAsia="Arial" w:cs="Arial"/>
        </w:rPr>
        <w:t>,</w:t>
      </w:r>
      <w:r w:rsidRPr="0003723F">
        <w:rPr>
          <w:rFonts w:ascii="Arial" w:hAnsi="Arial" w:eastAsia="Arial" w:cs="Arial"/>
        </w:rPr>
        <w:t xml:space="preserve"> and </w:t>
      </w:r>
      <w:r w:rsidRPr="0003723F" w:rsidR="001825BE">
        <w:rPr>
          <w:rFonts w:ascii="Arial" w:hAnsi="Arial" w:eastAsia="Arial" w:cs="Arial"/>
        </w:rPr>
        <w:t>Technical Education</w:t>
      </w:r>
      <w:r w:rsidRPr="0003723F">
        <w:rPr>
          <w:rFonts w:ascii="Arial" w:hAnsi="Arial" w:eastAsia="Arial" w:cs="Arial"/>
        </w:rPr>
        <w:t xml:space="preserve"> (SecTet), which aims to </w:t>
      </w:r>
      <w:r w:rsidR="00226F70">
        <w:rPr>
          <w:rFonts w:ascii="Arial" w:hAnsi="Arial" w:eastAsia="Arial" w:cs="Arial"/>
        </w:rPr>
        <w:t xml:space="preserve">expand </w:t>
      </w:r>
      <w:r w:rsidR="008628FC">
        <w:rPr>
          <w:rFonts w:ascii="Arial" w:hAnsi="Arial" w:eastAsia="Arial" w:cs="Arial"/>
        </w:rPr>
        <w:t xml:space="preserve">the enrollment for </w:t>
      </w:r>
      <w:r w:rsidR="00EC2100">
        <w:rPr>
          <w:rFonts w:ascii="Arial" w:hAnsi="Arial" w:eastAsia="Arial" w:cs="Arial"/>
        </w:rPr>
        <w:t>technical education</w:t>
      </w:r>
      <w:r w:rsidR="006F5D3A">
        <w:rPr>
          <w:rFonts w:ascii="Arial" w:hAnsi="Arial" w:eastAsia="Arial" w:cs="Arial"/>
        </w:rPr>
        <w:t xml:space="preserve">, especially </w:t>
      </w:r>
      <w:r w:rsidR="0047402C">
        <w:rPr>
          <w:rFonts w:ascii="Arial" w:hAnsi="Arial" w:eastAsia="Arial" w:cs="Arial"/>
        </w:rPr>
        <w:t xml:space="preserve">on these related to </w:t>
      </w:r>
      <w:r w:rsidR="006A49AD">
        <w:rPr>
          <w:rFonts w:ascii="Arial" w:hAnsi="Arial" w:eastAsia="Arial" w:cs="Arial"/>
        </w:rPr>
        <w:t>bioeconomy</w:t>
      </w:r>
      <w:r w:rsidRPr="0003723F">
        <w:rPr>
          <w:rFonts w:ascii="Arial" w:hAnsi="Arial" w:eastAsia="Arial" w:cs="Arial"/>
        </w:rPr>
        <w:t xml:space="preserve">. Furthermore, this project will favor that </w:t>
      </w:r>
      <w:r w:rsidRPr="00E91DF1" w:rsidR="00E91DF1">
        <w:rPr>
          <w:rFonts w:ascii="Arial" w:hAnsi="Arial" w:eastAsia="Arial" w:cs="Arial"/>
          <w:i/>
          <w:iCs/>
        </w:rPr>
        <w:t>ribeirinhos</w:t>
      </w:r>
      <w:r w:rsidRPr="0003723F">
        <w:rPr>
          <w:rFonts w:ascii="Arial" w:hAnsi="Arial" w:eastAsia="Arial" w:cs="Arial"/>
        </w:rPr>
        <w:t xml:space="preserve"> keep living at their places, protecting the Amazon Forest</w:t>
      </w:r>
      <w:r w:rsidR="00E9303D">
        <w:rPr>
          <w:rFonts w:ascii="Arial" w:hAnsi="Arial" w:eastAsia="Arial" w:cs="Arial"/>
        </w:rPr>
        <w:t xml:space="preserve"> from external</w:t>
      </w:r>
      <w:r w:rsidR="00674E83">
        <w:rPr>
          <w:rFonts w:ascii="Arial" w:hAnsi="Arial" w:eastAsia="Arial" w:cs="Arial"/>
        </w:rPr>
        <w:t xml:space="preserve"> exploitation</w:t>
      </w:r>
      <w:r w:rsidRPr="0003723F">
        <w:rPr>
          <w:rFonts w:ascii="Arial" w:hAnsi="Arial" w:eastAsia="Arial" w:cs="Arial"/>
        </w:rPr>
        <w:t>.</w:t>
      </w:r>
    </w:p>
    <w:p w:rsidRPr="00C11FAB" w:rsidR="00C11FAB" w:rsidP="0003723F" w:rsidRDefault="0003723F" w14:paraId="4EBCD781" w14:textId="1EAEE7AD">
      <w:pPr>
        <w:pStyle w:val="ListParagraph"/>
        <w:numPr>
          <w:ilvl w:val="1"/>
          <w:numId w:val="5"/>
        </w:numPr>
        <w:spacing w:before="120" w:after="120" w:line="240" w:lineRule="auto"/>
        <w:ind w:hanging="540"/>
        <w:contextualSpacing w:val="0"/>
        <w:jc w:val="both"/>
        <w:rPr>
          <w:rFonts w:ascii="Arial" w:hAnsi="Arial" w:eastAsia="Arial" w:cs="Arial"/>
        </w:rPr>
      </w:pPr>
      <w:r w:rsidRPr="0003723F">
        <w:rPr>
          <w:rFonts w:ascii="Arial" w:hAnsi="Arial" w:eastAsia="Arial" w:cs="Arial"/>
        </w:rPr>
        <w:t>Value Added by the project: The Region has many different diverse biomes and products as açaí, but communities are not equipped to sustainably explore them. This project will show that focalized education initiatives have the potential to not only improve education outcomes but also improve communities’ lives and protect these important biomes. Açaí will be the first product, but other raw goods will be used when the model proves to be successful.</w:t>
      </w:r>
    </w:p>
    <w:p w:rsidRPr="00EA23DE" w:rsidR="001825BE" w:rsidP="00EA23DE" w:rsidRDefault="00FF4182" w14:paraId="4A0DD77E" w14:textId="13B2D448">
      <w:pPr>
        <w:pStyle w:val="ListParagraph"/>
        <w:numPr>
          <w:ilvl w:val="1"/>
          <w:numId w:val="5"/>
        </w:numPr>
        <w:spacing w:before="120" w:after="120" w:line="240" w:lineRule="auto"/>
        <w:ind w:hanging="540"/>
        <w:contextualSpacing w:val="0"/>
        <w:jc w:val="both"/>
        <w:rPr>
          <w:rFonts w:ascii="Arial" w:hAnsi="Arial" w:eastAsia="Arial" w:cs="Arial"/>
        </w:rPr>
      </w:pPr>
      <w:r w:rsidRPr="005312FF">
        <w:rPr>
          <w:rFonts w:ascii="Arial" w:hAnsi="Arial" w:eastAsia="Arial" w:cs="Arial"/>
        </w:rPr>
        <w:t>Strategic alignment. The program is consistent with the Second Update to the Institutional Strategy (UIS) 2020-2023 (AB-3190-2) and is aligned with the</w:t>
      </w:r>
      <w:r w:rsidRPr="0033158C">
        <w:rPr>
          <w:rFonts w:ascii="Arial" w:hAnsi="Arial" w:eastAsia="Arial" w:cs="Arial"/>
        </w:rPr>
        <w:t xml:space="preserve"> development challenge of Social Inclusion and Equality, by expanding students’ access to high-quality</w:t>
      </w:r>
      <w:r w:rsidRPr="0033158C" w:rsidR="005312FF">
        <w:rPr>
          <w:rFonts w:ascii="Arial" w:hAnsi="Arial" w:eastAsia="Arial" w:cs="Arial"/>
        </w:rPr>
        <w:t>, pertinent</w:t>
      </w:r>
      <w:r w:rsidRPr="0033158C">
        <w:rPr>
          <w:rFonts w:ascii="Arial" w:hAnsi="Arial" w:eastAsia="Arial" w:cs="Arial"/>
        </w:rPr>
        <w:t xml:space="preserve"> education.</w:t>
      </w:r>
      <w:r w:rsidRPr="0033158C" w:rsidR="005312FF">
        <w:rPr>
          <w:rFonts w:ascii="Arial" w:hAnsi="Arial" w:eastAsia="Arial" w:cs="Arial"/>
        </w:rPr>
        <w:t xml:space="preserve"> </w:t>
      </w:r>
      <w:r w:rsidRPr="0033158C">
        <w:rPr>
          <w:rFonts w:ascii="Arial" w:hAnsi="Arial" w:eastAsia="Arial" w:cs="Arial"/>
        </w:rPr>
        <w:t xml:space="preserve">It is also aligned with the cross-cutting themes of: (i) Gender Equality and Diversity by adapting and designing inclusive curriculums and expanding access to </w:t>
      </w:r>
      <w:r w:rsidRPr="0033158C" w:rsidR="00A474F9">
        <w:rPr>
          <w:rFonts w:ascii="Arial" w:hAnsi="Arial" w:eastAsia="Arial" w:cs="Arial"/>
        </w:rPr>
        <w:t>high-</w:t>
      </w:r>
      <w:r w:rsidRPr="0033158C">
        <w:rPr>
          <w:rFonts w:ascii="Arial" w:hAnsi="Arial" w:eastAsia="Arial" w:cs="Arial"/>
        </w:rPr>
        <w:t>quality</w:t>
      </w:r>
      <w:r w:rsidRPr="0033158C" w:rsidR="00A474F9">
        <w:rPr>
          <w:rFonts w:ascii="Arial" w:hAnsi="Arial" w:eastAsia="Arial" w:cs="Arial"/>
        </w:rPr>
        <w:t>, pertinent</w:t>
      </w:r>
      <w:r w:rsidRPr="0033158C">
        <w:rPr>
          <w:rFonts w:ascii="Arial" w:hAnsi="Arial" w:eastAsia="Arial" w:cs="Arial"/>
        </w:rPr>
        <w:t xml:space="preserve"> education for </w:t>
      </w:r>
      <w:r w:rsidRPr="004810B1" w:rsidR="00CB4A05">
        <w:rPr>
          <w:rFonts w:ascii="Arial" w:hAnsi="Arial" w:eastAsia="Arial" w:cs="Arial"/>
        </w:rPr>
        <w:t>Ribeirinhos</w:t>
      </w:r>
      <w:r w:rsidRPr="0033158C">
        <w:rPr>
          <w:rFonts w:ascii="Arial" w:hAnsi="Arial" w:eastAsia="Arial" w:cs="Arial"/>
        </w:rPr>
        <w:t>.</w:t>
      </w:r>
      <w:r w:rsidRPr="004810B1">
        <w:rPr>
          <w:rFonts w:ascii="Arial" w:hAnsi="Arial" w:eastAsia="Arial" w:cs="Arial"/>
        </w:rPr>
        <w:t xml:space="preserve"> </w:t>
      </w:r>
      <w:r w:rsidRPr="0033158C">
        <w:rPr>
          <w:rFonts w:ascii="Arial" w:hAnsi="Arial" w:eastAsia="Arial" w:cs="Arial"/>
        </w:rPr>
        <w:t>Additionally, it will contribute to the Corporate Results Framework (GN</w:t>
      </w:r>
      <w:r w:rsidR="004528FC">
        <w:rPr>
          <w:rFonts w:ascii="Arial" w:hAnsi="Arial" w:eastAsia="Arial" w:cs="Arial"/>
        </w:rPr>
        <w:t>-</w:t>
      </w:r>
      <w:r w:rsidRPr="0033158C">
        <w:rPr>
          <w:rFonts w:ascii="Arial" w:hAnsi="Arial" w:eastAsia="Arial" w:cs="Arial"/>
        </w:rPr>
        <w:t>2727-12) indicator “2.1 - Students benefited by education projects</w:t>
      </w:r>
      <w:r w:rsidRPr="0033158C" w:rsidR="0033158C">
        <w:rPr>
          <w:rFonts w:ascii="Arial" w:hAnsi="Arial" w:eastAsia="Arial" w:cs="Arial"/>
        </w:rPr>
        <w:t>.</w:t>
      </w:r>
      <w:r w:rsidRPr="0033158C">
        <w:rPr>
          <w:rFonts w:ascii="Arial" w:hAnsi="Arial" w:eastAsia="Arial" w:cs="Arial"/>
        </w:rPr>
        <w:t>”</w:t>
      </w:r>
      <w:r w:rsidR="00EA23DE">
        <w:rPr>
          <w:rFonts w:ascii="Arial" w:hAnsi="Arial" w:eastAsia="Arial" w:cs="Arial"/>
        </w:rPr>
        <w:t xml:space="preserve"> </w:t>
      </w:r>
      <w:r w:rsidRPr="00EA23DE">
        <w:rPr>
          <w:rFonts w:ascii="Arial" w:hAnsi="Arial" w:eastAsia="Arial" w:cs="Arial"/>
        </w:rPr>
        <w:t xml:space="preserve">It is also aligned with the strategic objective defined in IDB Group Country Strategy with Brazil 2019-2022 (GN-2973) to improve infrastructure as well as management and quality of spending in the health and education sectors, by </w:t>
      </w:r>
      <w:r w:rsidRPr="00EA23DE" w:rsidR="00232EF6">
        <w:rPr>
          <w:rFonts w:ascii="Arial" w:hAnsi="Arial" w:eastAsia="Arial" w:cs="Arial"/>
        </w:rPr>
        <w:t xml:space="preserve">designing an intervention which </w:t>
      </w:r>
      <w:r w:rsidRPr="00EA23DE" w:rsidR="00616EA1">
        <w:rPr>
          <w:rFonts w:ascii="Arial" w:hAnsi="Arial" w:eastAsia="Arial" w:cs="Arial"/>
        </w:rPr>
        <w:t>provide education to a population which would not have access to i</w:t>
      </w:r>
      <w:r w:rsidRPr="00EA23DE" w:rsidR="00D97243">
        <w:rPr>
          <w:rFonts w:ascii="Arial" w:hAnsi="Arial" w:eastAsia="Arial" w:cs="Arial"/>
        </w:rPr>
        <w:t>t</w:t>
      </w:r>
      <w:r w:rsidRPr="00EA23DE">
        <w:rPr>
          <w:rFonts w:ascii="Arial" w:hAnsi="Arial" w:eastAsia="Arial" w:cs="Arial"/>
        </w:rPr>
        <w:t>. The program is consistent with the Skills Development Sector Framework Document (GN</w:t>
      </w:r>
      <w:r w:rsidR="00551331">
        <w:rPr>
          <w:rFonts w:ascii="Arial" w:hAnsi="Arial" w:eastAsia="Arial" w:cs="Arial"/>
        </w:rPr>
        <w:t>-</w:t>
      </w:r>
      <w:r w:rsidRPr="00EA23DE">
        <w:rPr>
          <w:rFonts w:ascii="Arial" w:hAnsi="Arial" w:eastAsia="Arial" w:cs="Arial"/>
        </w:rPr>
        <w:t>3012</w:t>
      </w:r>
      <w:r w:rsidR="00551331">
        <w:rPr>
          <w:rFonts w:ascii="Arial" w:hAnsi="Arial" w:eastAsia="Arial" w:cs="Arial"/>
        </w:rPr>
        <w:t>-</w:t>
      </w:r>
      <w:r w:rsidRPr="00EA23DE">
        <w:rPr>
          <w:rFonts w:ascii="Arial" w:hAnsi="Arial" w:eastAsia="Arial" w:cs="Arial"/>
        </w:rPr>
        <w:t xml:space="preserve">3) in Lines of Action (1) Ensure access to high quality and relevant learning opportunities throughout life, by expanding access to regular and full-time education. The program is also aligned with the Gender and Diversity Sector Framework (GN-2800-8) financing "interventions to support development with identity and social inclusion of indigenous peoples, Afro-descendants, and other diverse populations” and “Improve educational outcomes for indigenous peoples and Afro-descendants” by providing culturally appropriate curricula and expanding educational access for </w:t>
      </w:r>
      <w:r w:rsidRPr="00EA23DE" w:rsidR="00C26F71">
        <w:rPr>
          <w:rFonts w:ascii="Arial" w:hAnsi="Arial" w:eastAsia="Arial" w:cs="Arial"/>
          <w:i/>
          <w:iCs/>
        </w:rPr>
        <w:t>ribeirinhos</w:t>
      </w:r>
      <w:r w:rsidRPr="00EA23DE">
        <w:rPr>
          <w:rFonts w:ascii="Arial" w:hAnsi="Arial" w:eastAsia="Arial" w:cs="Arial"/>
        </w:rPr>
        <w:t>.</w:t>
      </w:r>
      <w:r w:rsidRPr="00EA23DE" w:rsidR="00BD08F2">
        <w:rPr>
          <w:rFonts w:ascii="Arial" w:hAnsi="Arial" w:eastAsia="Arial" w:cs="Arial"/>
        </w:rPr>
        <w:t xml:space="preserve"> </w:t>
      </w:r>
      <w:r w:rsidR="00796095">
        <w:rPr>
          <w:rFonts w:ascii="Arial" w:hAnsi="Arial" w:eastAsia="Arial" w:cs="Arial"/>
        </w:rPr>
        <w:t>T</w:t>
      </w:r>
      <w:r w:rsidR="00337A9A">
        <w:rPr>
          <w:rFonts w:ascii="Arial" w:hAnsi="Arial" w:eastAsia="Arial" w:cs="Arial"/>
        </w:rPr>
        <w:t>he</w:t>
      </w:r>
      <w:r w:rsidRPr="00EA23DE" w:rsidR="00337A9A">
        <w:rPr>
          <w:rFonts w:ascii="Arial" w:hAnsi="Arial" w:eastAsia="Arial" w:cs="Arial"/>
        </w:rPr>
        <w:t xml:space="preserve"> program is aligned with Amazonian Initiative (GN-3036), by </w:t>
      </w:r>
      <w:r w:rsidRPr="00EA23DE" w:rsidR="00F72DDF">
        <w:rPr>
          <w:rFonts w:ascii="Arial" w:hAnsi="Arial" w:eastAsia="Arial" w:cs="Arial"/>
        </w:rPr>
        <w:t>improving the quality of labor</w:t>
      </w:r>
      <w:r w:rsidRPr="00EA23DE" w:rsidR="00CB1DBE">
        <w:rPr>
          <w:rFonts w:ascii="Arial" w:hAnsi="Arial" w:eastAsia="Arial" w:cs="Arial"/>
        </w:rPr>
        <w:t xml:space="preserve"> and by improving the quality of sustainable agriculture.</w:t>
      </w:r>
      <w:r w:rsidR="00796095">
        <w:rPr>
          <w:rFonts w:ascii="Arial" w:hAnsi="Arial" w:eastAsia="Arial" w:cs="Arial"/>
        </w:rPr>
        <w:t xml:space="preserve"> Finally, the program is also aligned with </w:t>
      </w:r>
      <w:r w:rsidRPr="00E751E1" w:rsidR="00E751E1">
        <w:rPr>
          <w:rFonts w:ascii="Arial" w:hAnsi="Arial" w:eastAsia="Arial" w:cs="Arial"/>
        </w:rPr>
        <w:t>OC SDP Window 3 - Sustainable Development in the Amazon (W3A) (GN-2819-14)</w:t>
      </w:r>
      <w:r w:rsidR="00C02A8B">
        <w:rPr>
          <w:rFonts w:ascii="Arial" w:hAnsi="Arial" w:eastAsia="Arial" w:cs="Arial"/>
        </w:rPr>
        <w:t xml:space="preserve"> through </w:t>
      </w:r>
      <w:r w:rsidR="00DC0602">
        <w:rPr>
          <w:rFonts w:ascii="Arial" w:hAnsi="Arial" w:eastAsia="Arial" w:cs="Arial"/>
        </w:rPr>
        <w:t>“</w:t>
      </w:r>
      <w:r w:rsidR="00960A1A">
        <w:rPr>
          <w:rFonts w:ascii="Arial" w:hAnsi="Arial" w:eastAsia="Arial" w:cs="Arial"/>
        </w:rPr>
        <w:t>E</w:t>
      </w:r>
      <w:r w:rsidR="00C02A8B">
        <w:rPr>
          <w:rFonts w:ascii="Arial" w:hAnsi="Arial" w:eastAsia="Arial" w:cs="Arial"/>
        </w:rPr>
        <w:t>merging need 1: Amazon’s sustainable development</w:t>
      </w:r>
      <w:r w:rsidR="00DC0602">
        <w:rPr>
          <w:rFonts w:ascii="Arial" w:hAnsi="Arial" w:eastAsia="Arial" w:cs="Arial"/>
        </w:rPr>
        <w:t xml:space="preserve">” by </w:t>
      </w:r>
      <w:r w:rsidR="00703076">
        <w:rPr>
          <w:rFonts w:ascii="Arial" w:hAnsi="Arial" w:eastAsia="Arial" w:cs="Arial"/>
        </w:rPr>
        <w:t xml:space="preserve">piloting a model of education which will support </w:t>
      </w:r>
      <w:r w:rsidR="00DC7ADB">
        <w:rPr>
          <w:rFonts w:ascii="Arial" w:hAnsi="Arial" w:eastAsia="Arial" w:cs="Arial"/>
        </w:rPr>
        <w:t xml:space="preserve">Amazon’s </w:t>
      </w:r>
      <w:r w:rsidR="00703076">
        <w:rPr>
          <w:rFonts w:ascii="Arial" w:hAnsi="Arial" w:eastAsia="Arial" w:cs="Arial"/>
        </w:rPr>
        <w:t>sustainable and inclusive development.</w:t>
      </w:r>
    </w:p>
    <w:p w:rsidRPr="000F744C" w:rsidR="0095711B" w:rsidP="26B9D784" w:rsidRDefault="00D95606" w14:paraId="3BBAB1FF" w14:textId="0395F5D6">
      <w:pPr>
        <w:pStyle w:val="ListParagraph"/>
        <w:numPr>
          <w:ilvl w:val="0"/>
          <w:numId w:val="5"/>
        </w:numPr>
        <w:spacing w:before="120" w:after="120" w:line="240" w:lineRule="auto"/>
        <w:contextualSpacing w:val="0"/>
        <w:rPr>
          <w:rFonts w:ascii="Arial" w:hAnsi="Arial" w:eastAsia="Arial" w:cs="Arial"/>
          <w:b/>
          <w:bCs/>
        </w:rPr>
      </w:pPr>
      <w:r w:rsidRPr="26B9D784">
        <w:rPr>
          <w:rFonts w:ascii="Arial" w:hAnsi="Arial" w:eastAsia="Arial" w:cs="Arial"/>
          <w:b/>
          <w:bCs/>
        </w:rPr>
        <w:t>D</w:t>
      </w:r>
      <w:r w:rsidRPr="26B9D784" w:rsidR="0095711B">
        <w:rPr>
          <w:rFonts w:ascii="Arial" w:hAnsi="Arial" w:eastAsia="Arial" w:cs="Arial"/>
          <w:b/>
          <w:bCs/>
        </w:rPr>
        <w:t xml:space="preserve">escription </w:t>
      </w:r>
      <w:r w:rsidRPr="26B9D784" w:rsidR="00A12C27">
        <w:rPr>
          <w:rFonts w:ascii="Arial" w:hAnsi="Arial" w:eastAsia="Arial" w:cs="Arial"/>
          <w:b/>
          <w:bCs/>
        </w:rPr>
        <w:t>of activities</w:t>
      </w:r>
      <w:r w:rsidRPr="26B9D784" w:rsidR="00F6363D">
        <w:rPr>
          <w:rFonts w:ascii="Arial" w:hAnsi="Arial" w:eastAsia="Arial" w:cs="Arial"/>
          <w:b/>
          <w:bCs/>
        </w:rPr>
        <w:t>/components</w:t>
      </w:r>
      <w:r w:rsidRPr="26B9D784" w:rsidR="009C5C06">
        <w:rPr>
          <w:rFonts w:ascii="Arial" w:hAnsi="Arial" w:eastAsia="Arial" w:cs="Arial"/>
          <w:b/>
          <w:bCs/>
        </w:rPr>
        <w:t xml:space="preserve"> </w:t>
      </w:r>
      <w:r w:rsidRPr="26B9D784" w:rsidR="0023302F">
        <w:rPr>
          <w:rFonts w:ascii="Arial" w:hAnsi="Arial" w:eastAsia="Arial" w:cs="Arial"/>
          <w:b/>
          <w:bCs/>
        </w:rPr>
        <w:t>and budget</w:t>
      </w:r>
    </w:p>
    <w:p w:rsidRPr="00AB0B2A" w:rsidR="00AB0B2A" w:rsidP="00683B6D" w:rsidRDefault="00AB0B2A" w14:paraId="76D99B2D" w14:textId="78AC4236">
      <w:pPr>
        <w:pStyle w:val="ListParagraph"/>
        <w:numPr>
          <w:ilvl w:val="1"/>
          <w:numId w:val="5"/>
        </w:numPr>
        <w:spacing w:before="120" w:after="120" w:line="240" w:lineRule="auto"/>
        <w:ind w:hanging="547"/>
        <w:contextualSpacing w:val="0"/>
        <w:jc w:val="both"/>
        <w:rPr>
          <w:rFonts w:ascii="Arial" w:hAnsi="Arial" w:eastAsia="Arial" w:cs="Arial"/>
        </w:rPr>
      </w:pPr>
      <w:r w:rsidRPr="00937F82">
        <w:rPr>
          <w:rFonts w:ascii="Arial" w:hAnsi="Arial" w:eastAsia="Arial" w:cs="Arial"/>
          <w:b/>
          <w:bCs/>
        </w:rPr>
        <w:t>Component 1 (activity 1): Curriculum Development (IDB: USD1</w:t>
      </w:r>
      <w:r w:rsidR="0078486E">
        <w:rPr>
          <w:rFonts w:ascii="Arial" w:hAnsi="Arial" w:eastAsia="Arial" w:cs="Arial"/>
          <w:b/>
          <w:bCs/>
        </w:rPr>
        <w:t>4</w:t>
      </w:r>
      <w:r w:rsidRPr="00937F82">
        <w:rPr>
          <w:rFonts w:ascii="Arial" w:hAnsi="Arial" w:eastAsia="Arial" w:cs="Arial"/>
          <w:b/>
          <w:bCs/>
        </w:rPr>
        <w:t>0,000).</w:t>
      </w:r>
      <w:r w:rsidRPr="00AB0B2A">
        <w:rPr>
          <w:rFonts w:ascii="Arial" w:hAnsi="Arial" w:eastAsia="Arial" w:cs="Arial"/>
        </w:rPr>
        <w:t xml:space="preserve"> It will finance: (i) </w:t>
      </w:r>
      <w:r w:rsidR="00D67054">
        <w:rPr>
          <w:rFonts w:ascii="Arial" w:hAnsi="Arial" w:eastAsia="Arial" w:cs="Arial"/>
        </w:rPr>
        <w:t>individua</w:t>
      </w:r>
      <w:r w:rsidR="003C3F57">
        <w:rPr>
          <w:rFonts w:ascii="Arial" w:hAnsi="Arial" w:eastAsia="Arial" w:cs="Arial"/>
        </w:rPr>
        <w:t xml:space="preserve">l and firm consultancies to conduct a </w:t>
      </w:r>
      <w:r w:rsidRPr="00AB0B2A">
        <w:rPr>
          <w:rFonts w:ascii="Arial" w:hAnsi="Arial" w:eastAsia="Arial" w:cs="Arial"/>
        </w:rPr>
        <w:t xml:space="preserve">market analysis to understand the demand from the industry and from the market; and (ii) </w:t>
      </w:r>
      <w:r w:rsidR="003C3F57">
        <w:rPr>
          <w:rFonts w:ascii="Arial" w:hAnsi="Arial" w:eastAsia="Arial" w:cs="Arial"/>
        </w:rPr>
        <w:t>firm consultancies</w:t>
      </w:r>
      <w:r w:rsidRPr="00AB0B2A" w:rsidR="003C3F57">
        <w:rPr>
          <w:rFonts w:ascii="Arial" w:hAnsi="Arial" w:eastAsia="Arial" w:cs="Arial"/>
        </w:rPr>
        <w:t xml:space="preserve"> </w:t>
      </w:r>
      <w:r w:rsidR="003C3F57">
        <w:rPr>
          <w:rFonts w:ascii="Arial" w:hAnsi="Arial" w:eastAsia="Arial" w:cs="Arial"/>
        </w:rPr>
        <w:t xml:space="preserve">to develop a </w:t>
      </w:r>
      <w:r w:rsidRPr="00AB0B2A">
        <w:rPr>
          <w:rFonts w:ascii="Arial" w:hAnsi="Arial" w:eastAsia="Arial" w:cs="Arial"/>
        </w:rPr>
        <w:t>curricul</w:t>
      </w:r>
      <w:r w:rsidR="003C3F57">
        <w:rPr>
          <w:rFonts w:ascii="Arial" w:hAnsi="Arial" w:eastAsia="Arial" w:cs="Arial"/>
        </w:rPr>
        <w:t>um for the TVET course</w:t>
      </w:r>
      <w:r w:rsidRPr="00AB0B2A">
        <w:rPr>
          <w:rFonts w:ascii="Arial" w:hAnsi="Arial" w:eastAsia="Arial" w:cs="Arial"/>
        </w:rPr>
        <w:t xml:space="preserve">. Outputs </w:t>
      </w:r>
      <w:r w:rsidR="0001111B">
        <w:rPr>
          <w:rFonts w:ascii="Arial" w:hAnsi="Arial" w:eastAsia="Arial" w:cs="Arial"/>
        </w:rPr>
        <w:t>are</w:t>
      </w:r>
      <w:r w:rsidR="00915972">
        <w:rPr>
          <w:rFonts w:ascii="Arial" w:hAnsi="Arial" w:eastAsia="Arial" w:cs="Arial"/>
        </w:rPr>
        <w:t xml:space="preserve"> (i) “</w:t>
      </w:r>
      <w:r w:rsidRPr="00915972" w:rsidR="00915972">
        <w:rPr>
          <w:rFonts w:ascii="Arial" w:hAnsi="Arial" w:eastAsia="Arial" w:cs="Arial"/>
        </w:rPr>
        <w:t>Diagnostics and assessments completed</w:t>
      </w:r>
      <w:r w:rsidR="00915972">
        <w:rPr>
          <w:rFonts w:ascii="Arial" w:hAnsi="Arial" w:eastAsia="Arial" w:cs="Arial"/>
        </w:rPr>
        <w:t>”</w:t>
      </w:r>
      <w:r w:rsidRPr="00AB0B2A">
        <w:rPr>
          <w:rFonts w:ascii="Arial" w:hAnsi="Arial" w:eastAsia="Arial" w:cs="Arial"/>
        </w:rPr>
        <w:t xml:space="preserve"> </w:t>
      </w:r>
      <w:r w:rsidR="00597E8E">
        <w:rPr>
          <w:rFonts w:ascii="Arial" w:hAnsi="Arial" w:eastAsia="Arial" w:cs="Arial"/>
        </w:rPr>
        <w:t>regarding</w:t>
      </w:r>
      <w:r w:rsidR="004B1FD7">
        <w:rPr>
          <w:rFonts w:ascii="Arial" w:hAnsi="Arial" w:eastAsia="Arial" w:cs="Arial"/>
        </w:rPr>
        <w:t xml:space="preserve"> the market analysis; and </w:t>
      </w:r>
      <w:r w:rsidRPr="00AB0B2A" w:rsidR="00915972">
        <w:rPr>
          <w:rFonts w:ascii="Arial" w:hAnsi="Arial" w:eastAsia="Arial" w:cs="Arial"/>
        </w:rPr>
        <w:t>“</w:t>
      </w:r>
      <w:r w:rsidR="008A3189">
        <w:rPr>
          <w:rFonts w:ascii="Arial" w:hAnsi="Arial" w:eastAsia="Arial" w:cs="Arial"/>
        </w:rPr>
        <w:t>Policy Designed</w:t>
      </w:r>
      <w:r w:rsidRPr="5AE2A808" w:rsidR="00915972">
        <w:rPr>
          <w:rFonts w:ascii="Arial" w:hAnsi="Arial" w:eastAsia="Arial" w:cs="Arial"/>
        </w:rPr>
        <w:t>”</w:t>
      </w:r>
      <w:r w:rsidR="00915972">
        <w:rPr>
          <w:rFonts w:ascii="Arial" w:hAnsi="Arial" w:eastAsia="Arial" w:cs="Arial"/>
        </w:rPr>
        <w:t xml:space="preserve"> </w:t>
      </w:r>
      <w:r w:rsidR="008A3189">
        <w:rPr>
          <w:rFonts w:ascii="Arial" w:hAnsi="Arial" w:eastAsia="Arial" w:cs="Arial"/>
        </w:rPr>
        <w:t>for</w:t>
      </w:r>
      <w:r w:rsidR="004B1FD7">
        <w:rPr>
          <w:rFonts w:ascii="Arial" w:hAnsi="Arial" w:eastAsia="Arial" w:cs="Arial"/>
        </w:rPr>
        <w:t xml:space="preserve"> the detailed curriculum</w:t>
      </w:r>
      <w:r w:rsidRPr="5AE2A808" w:rsidR="287242E7">
        <w:rPr>
          <w:rFonts w:ascii="Arial" w:hAnsi="Arial" w:eastAsia="Arial" w:cs="Arial"/>
        </w:rPr>
        <w:t>.</w:t>
      </w:r>
    </w:p>
    <w:p w:rsidRPr="00AB0B2A" w:rsidR="00AB0B2A" w:rsidP="00683B6D" w:rsidRDefault="00AB0B2A" w14:paraId="1522F367" w14:textId="1C69C891">
      <w:pPr>
        <w:pStyle w:val="ListParagraph"/>
        <w:numPr>
          <w:ilvl w:val="1"/>
          <w:numId w:val="5"/>
        </w:numPr>
        <w:spacing w:before="120" w:after="120" w:line="240" w:lineRule="auto"/>
        <w:ind w:hanging="547"/>
        <w:contextualSpacing w:val="0"/>
        <w:jc w:val="both"/>
        <w:rPr>
          <w:rFonts w:ascii="Arial" w:hAnsi="Arial" w:eastAsia="Arial" w:cs="Arial"/>
        </w:rPr>
      </w:pPr>
      <w:r w:rsidRPr="00937F82">
        <w:rPr>
          <w:rFonts w:ascii="Arial" w:hAnsi="Arial" w:eastAsia="Arial" w:cs="Arial"/>
          <w:b/>
          <w:bCs/>
        </w:rPr>
        <w:t>Component 2 (activities 2 and 3): Pilot course (IDB: USD3</w:t>
      </w:r>
      <w:r w:rsidR="0078486E">
        <w:rPr>
          <w:rFonts w:ascii="Arial" w:hAnsi="Arial" w:eastAsia="Arial" w:cs="Arial"/>
          <w:b/>
          <w:bCs/>
        </w:rPr>
        <w:t>6</w:t>
      </w:r>
      <w:r w:rsidRPr="00937F82">
        <w:rPr>
          <w:rFonts w:ascii="Arial" w:hAnsi="Arial" w:eastAsia="Arial" w:cs="Arial"/>
          <w:b/>
          <w:bCs/>
        </w:rPr>
        <w:t>0,000).</w:t>
      </w:r>
      <w:r w:rsidRPr="00AB0B2A">
        <w:rPr>
          <w:rFonts w:ascii="Arial" w:hAnsi="Arial" w:eastAsia="Arial" w:cs="Arial"/>
        </w:rPr>
        <w:t xml:space="preserve"> It will finance: (i) </w:t>
      </w:r>
      <w:r w:rsidR="00CD00A6">
        <w:rPr>
          <w:rFonts w:ascii="Arial" w:hAnsi="Arial" w:eastAsia="Arial" w:cs="Arial"/>
        </w:rPr>
        <w:t xml:space="preserve">firm consultancies to develop </w:t>
      </w:r>
      <w:r w:rsidRPr="00AB0B2A">
        <w:rPr>
          <w:rFonts w:ascii="Arial" w:hAnsi="Arial" w:eastAsia="Arial" w:cs="Arial"/>
        </w:rPr>
        <w:t>teacher training</w:t>
      </w:r>
      <w:r w:rsidR="00CD00A6">
        <w:rPr>
          <w:rFonts w:ascii="Arial" w:hAnsi="Arial" w:eastAsia="Arial" w:cs="Arial"/>
        </w:rPr>
        <w:t xml:space="preserve"> </w:t>
      </w:r>
      <w:r w:rsidR="008452CA">
        <w:rPr>
          <w:rFonts w:ascii="Arial" w:hAnsi="Arial" w:eastAsia="Arial" w:cs="Arial"/>
        </w:rPr>
        <w:t xml:space="preserve">material </w:t>
      </w:r>
      <w:r w:rsidR="00CD00A6">
        <w:rPr>
          <w:rFonts w:ascii="Arial" w:hAnsi="Arial" w:eastAsia="Arial" w:cs="Arial"/>
        </w:rPr>
        <w:t xml:space="preserve">and </w:t>
      </w:r>
      <w:r w:rsidR="008452CA">
        <w:rPr>
          <w:rFonts w:ascii="Arial" w:hAnsi="Arial" w:eastAsia="Arial" w:cs="Arial"/>
        </w:rPr>
        <w:t>conduct training sections</w:t>
      </w:r>
      <w:r w:rsidRPr="00AB0B2A">
        <w:rPr>
          <w:rFonts w:ascii="Arial" w:hAnsi="Arial" w:eastAsia="Arial" w:cs="Arial"/>
        </w:rPr>
        <w:t xml:space="preserve">; (ii) truck-cart and </w:t>
      </w:r>
      <w:r w:rsidR="003A034A">
        <w:rPr>
          <w:rFonts w:ascii="Arial" w:hAnsi="Arial" w:eastAsia="Arial" w:cs="Arial"/>
        </w:rPr>
        <w:t xml:space="preserve">its </w:t>
      </w:r>
      <w:r w:rsidRPr="00AB0B2A">
        <w:rPr>
          <w:rFonts w:ascii="Arial" w:hAnsi="Arial" w:eastAsia="Arial" w:cs="Arial"/>
        </w:rPr>
        <w:t>equipment</w:t>
      </w:r>
      <w:r w:rsidR="003A034A">
        <w:rPr>
          <w:rFonts w:ascii="Arial" w:hAnsi="Arial" w:eastAsia="Arial" w:cs="Arial"/>
        </w:rPr>
        <w:t xml:space="preserve"> to be used as mobile pedagogical laboratory which will </w:t>
      </w:r>
      <w:r w:rsidR="002E72C1">
        <w:rPr>
          <w:rFonts w:ascii="Arial" w:hAnsi="Arial" w:eastAsia="Arial" w:cs="Arial"/>
        </w:rPr>
        <w:t xml:space="preserve">be available for communities </w:t>
      </w:r>
      <w:r w:rsidR="00274E0E">
        <w:rPr>
          <w:rFonts w:ascii="Arial" w:hAnsi="Arial" w:eastAsia="Arial" w:cs="Arial"/>
        </w:rPr>
        <w:t>in loco for specific period of time</w:t>
      </w:r>
      <w:r w:rsidRPr="00AB0B2A">
        <w:rPr>
          <w:rFonts w:ascii="Arial" w:hAnsi="Arial" w:eastAsia="Arial" w:cs="Arial"/>
        </w:rPr>
        <w:t>. Outputs are: “</w:t>
      </w:r>
      <w:r w:rsidR="009C7E28">
        <w:rPr>
          <w:rFonts w:ascii="Arial" w:hAnsi="Arial" w:eastAsia="Arial" w:cs="Arial"/>
        </w:rPr>
        <w:t xml:space="preserve">supervision </w:t>
      </w:r>
      <w:r w:rsidR="00546665">
        <w:rPr>
          <w:rFonts w:ascii="Arial" w:hAnsi="Arial" w:eastAsia="Arial" w:cs="Arial"/>
        </w:rPr>
        <w:t>report</w:t>
      </w:r>
      <w:r w:rsidR="009C7E28">
        <w:rPr>
          <w:rFonts w:ascii="Arial" w:hAnsi="Arial" w:eastAsia="Arial" w:cs="Arial"/>
        </w:rPr>
        <w:t xml:space="preserve">s” regarding </w:t>
      </w:r>
      <w:r w:rsidR="004B5139">
        <w:rPr>
          <w:rFonts w:ascii="Arial" w:hAnsi="Arial" w:eastAsia="Arial" w:cs="Arial"/>
        </w:rPr>
        <w:t xml:space="preserve">(i) </w:t>
      </w:r>
      <w:r w:rsidRPr="00AB0B2A">
        <w:rPr>
          <w:rFonts w:ascii="Arial" w:hAnsi="Arial" w:eastAsia="Arial" w:cs="Arial"/>
        </w:rPr>
        <w:t xml:space="preserve">teachers </w:t>
      </w:r>
      <w:r w:rsidR="009C7E28">
        <w:rPr>
          <w:rFonts w:ascii="Arial" w:hAnsi="Arial" w:eastAsia="Arial" w:cs="Arial"/>
        </w:rPr>
        <w:t xml:space="preserve">training </w:t>
      </w:r>
      <w:r w:rsidR="00115900">
        <w:rPr>
          <w:rFonts w:ascii="Arial" w:hAnsi="Arial" w:eastAsia="Arial" w:cs="Arial"/>
        </w:rPr>
        <w:t>process</w:t>
      </w:r>
      <w:r w:rsidR="009C7E28">
        <w:rPr>
          <w:rFonts w:ascii="Arial" w:hAnsi="Arial" w:eastAsia="Arial" w:cs="Arial"/>
        </w:rPr>
        <w:t xml:space="preserve"> and </w:t>
      </w:r>
      <w:r w:rsidR="007217B3">
        <w:rPr>
          <w:rFonts w:ascii="Arial" w:hAnsi="Arial" w:eastAsia="Arial" w:cs="Arial"/>
        </w:rPr>
        <w:t xml:space="preserve">(ii) </w:t>
      </w:r>
      <w:r w:rsidR="009C7E28">
        <w:rPr>
          <w:rFonts w:ascii="Arial" w:hAnsi="Arial" w:eastAsia="Arial" w:cs="Arial"/>
        </w:rPr>
        <w:t>students benefitted by education programs</w:t>
      </w:r>
      <w:r w:rsidRPr="00AB0B2A">
        <w:rPr>
          <w:rFonts w:ascii="Arial" w:hAnsi="Arial" w:eastAsia="Arial" w:cs="Arial"/>
        </w:rPr>
        <w:t>,</w:t>
      </w:r>
      <w:r w:rsidR="009C7E28">
        <w:rPr>
          <w:rFonts w:ascii="Arial" w:hAnsi="Arial" w:eastAsia="Arial" w:cs="Arial"/>
        </w:rPr>
        <w:t xml:space="preserve"> and</w:t>
      </w:r>
      <w:r w:rsidRPr="00AB0B2A">
        <w:rPr>
          <w:rFonts w:ascii="Arial" w:hAnsi="Arial" w:eastAsia="Arial" w:cs="Arial"/>
        </w:rPr>
        <w:t xml:space="preserve"> “truck-cart equipped”.</w:t>
      </w:r>
    </w:p>
    <w:p w:rsidR="00AB0B2A" w:rsidP="00683B6D" w:rsidRDefault="00AB0B2A" w14:paraId="7280327B" w14:textId="1D5E83A1">
      <w:pPr>
        <w:pStyle w:val="ListParagraph"/>
        <w:numPr>
          <w:ilvl w:val="1"/>
          <w:numId w:val="5"/>
        </w:numPr>
        <w:spacing w:before="120" w:after="120" w:line="240" w:lineRule="auto"/>
        <w:ind w:hanging="547"/>
        <w:contextualSpacing w:val="0"/>
        <w:jc w:val="both"/>
        <w:rPr>
          <w:rFonts w:ascii="Arial" w:hAnsi="Arial" w:eastAsia="Arial" w:cs="Arial"/>
        </w:rPr>
      </w:pPr>
      <w:r w:rsidRPr="00937F82">
        <w:rPr>
          <w:rFonts w:ascii="Arial" w:hAnsi="Arial" w:eastAsia="Arial" w:cs="Arial"/>
          <w:b/>
          <w:bCs/>
        </w:rPr>
        <w:t>Component 3 (activities 4 and 5): Management and knowledge generation (IDB: USD</w:t>
      </w:r>
      <w:r w:rsidR="0078486E">
        <w:rPr>
          <w:rFonts w:ascii="Arial" w:hAnsi="Arial" w:eastAsia="Arial" w:cs="Arial"/>
          <w:b/>
          <w:bCs/>
        </w:rPr>
        <w:t>21</w:t>
      </w:r>
      <w:r w:rsidRPr="00937F82">
        <w:rPr>
          <w:rFonts w:ascii="Arial" w:hAnsi="Arial" w:eastAsia="Arial" w:cs="Arial"/>
          <w:b/>
          <w:bCs/>
        </w:rPr>
        <w:t>0,000).</w:t>
      </w:r>
      <w:r w:rsidRPr="00AB0B2A">
        <w:rPr>
          <w:rFonts w:ascii="Arial" w:hAnsi="Arial" w:eastAsia="Arial" w:cs="Arial"/>
        </w:rPr>
        <w:t xml:space="preserve"> It will finance: (i) </w:t>
      </w:r>
      <w:r w:rsidR="00274E0E">
        <w:rPr>
          <w:rFonts w:ascii="Arial" w:hAnsi="Arial" w:eastAsia="Arial" w:cs="Arial"/>
        </w:rPr>
        <w:t>individual or firm consultancies to develop</w:t>
      </w:r>
      <w:r w:rsidRPr="00AB0B2A" w:rsidR="00274E0E">
        <w:rPr>
          <w:rFonts w:ascii="Arial" w:hAnsi="Arial" w:eastAsia="Arial" w:cs="Arial"/>
        </w:rPr>
        <w:t xml:space="preserve"> </w:t>
      </w:r>
      <w:r w:rsidRPr="00AB0B2A">
        <w:rPr>
          <w:rFonts w:ascii="Arial" w:hAnsi="Arial" w:eastAsia="Arial" w:cs="Arial"/>
        </w:rPr>
        <w:t xml:space="preserve">a diagnosis about other bottle </w:t>
      </w:r>
      <w:r w:rsidRPr="5AE2A808" w:rsidR="287242E7">
        <w:rPr>
          <w:rFonts w:ascii="Arial" w:hAnsi="Arial" w:eastAsia="Arial" w:cs="Arial"/>
        </w:rPr>
        <w:t>neck</w:t>
      </w:r>
      <w:r w:rsidRPr="5AE2A808" w:rsidR="24E38F9D">
        <w:rPr>
          <w:rFonts w:ascii="Arial" w:hAnsi="Arial" w:eastAsia="Arial" w:cs="Arial"/>
        </w:rPr>
        <w:t>s</w:t>
      </w:r>
      <w:r w:rsidRPr="00AB0B2A">
        <w:rPr>
          <w:rFonts w:ascii="Arial" w:hAnsi="Arial" w:eastAsia="Arial" w:cs="Arial"/>
        </w:rPr>
        <w:t xml:space="preserve"> in the açaí supply chain, and (ii) </w:t>
      </w:r>
      <w:r w:rsidR="00274E0E">
        <w:rPr>
          <w:rFonts w:ascii="Arial" w:hAnsi="Arial" w:eastAsia="Arial" w:cs="Arial"/>
        </w:rPr>
        <w:t>firm consultancies to develop</w:t>
      </w:r>
      <w:r w:rsidRPr="00AB0B2A" w:rsidR="00274E0E">
        <w:rPr>
          <w:rFonts w:ascii="Arial" w:hAnsi="Arial" w:eastAsia="Arial" w:cs="Arial"/>
        </w:rPr>
        <w:t xml:space="preserve"> </w:t>
      </w:r>
      <w:r w:rsidRPr="00AB0B2A">
        <w:rPr>
          <w:rFonts w:ascii="Arial" w:hAnsi="Arial" w:eastAsia="Arial" w:cs="Arial"/>
        </w:rPr>
        <w:t xml:space="preserve">a robust impact evaluation of the project in </w:t>
      </w:r>
      <w:r w:rsidRPr="00E91DF1" w:rsidR="00E91DF1">
        <w:rPr>
          <w:rFonts w:ascii="Arial" w:hAnsi="Arial" w:eastAsia="Arial" w:cs="Arial"/>
          <w:i/>
          <w:iCs/>
        </w:rPr>
        <w:t>ribeirinhos</w:t>
      </w:r>
      <w:r w:rsidRPr="00AB0B2A">
        <w:rPr>
          <w:rFonts w:ascii="Arial" w:hAnsi="Arial" w:eastAsia="Arial" w:cs="Arial"/>
        </w:rPr>
        <w:t xml:space="preserve"> communities regarding income, quality of the products</w:t>
      </w:r>
      <w:r w:rsidRPr="5AE2A808" w:rsidR="2D0FBFA8">
        <w:rPr>
          <w:rFonts w:ascii="Arial" w:hAnsi="Arial" w:eastAsia="Arial" w:cs="Arial"/>
        </w:rPr>
        <w:t>,</w:t>
      </w:r>
      <w:r w:rsidRPr="00AB0B2A">
        <w:rPr>
          <w:rFonts w:ascii="Arial" w:hAnsi="Arial" w:eastAsia="Arial" w:cs="Arial"/>
        </w:rPr>
        <w:t xml:space="preserve"> and education. Randomization of families and communities is being discussed to evaluate the impact on education (e.g.: years of schooling for families or target people) and economic variables (income, employment, etc). Additionally, qualitative research will be conducted to identify the perception of the families to stay in the communities and protect the forest. The impact evaluation in this project is expensive since travelling to this location is expensive and may require travel with car, boat and airplane in the same trip. Output </w:t>
      </w:r>
      <w:r w:rsidR="00DD2890">
        <w:rPr>
          <w:rFonts w:ascii="Arial" w:hAnsi="Arial" w:eastAsia="Arial" w:cs="Arial"/>
        </w:rPr>
        <w:t>are “</w:t>
      </w:r>
      <w:r w:rsidRPr="00DD2890" w:rsidR="00DD2890">
        <w:rPr>
          <w:rFonts w:ascii="Arial" w:hAnsi="Arial" w:eastAsia="Arial" w:cs="Arial"/>
        </w:rPr>
        <w:t>Diagnostics and assessments completed</w:t>
      </w:r>
      <w:r w:rsidR="00DD2890">
        <w:rPr>
          <w:rFonts w:ascii="Arial" w:hAnsi="Arial" w:eastAsia="Arial" w:cs="Arial"/>
        </w:rPr>
        <w:t>”</w:t>
      </w:r>
      <w:r w:rsidRPr="00AB0B2A">
        <w:rPr>
          <w:rFonts w:ascii="Arial" w:hAnsi="Arial" w:eastAsia="Arial" w:cs="Arial"/>
        </w:rPr>
        <w:t xml:space="preserve"> </w:t>
      </w:r>
      <w:r w:rsidR="00DD2890">
        <w:rPr>
          <w:rFonts w:ascii="Arial" w:hAnsi="Arial" w:eastAsia="Arial" w:cs="Arial"/>
        </w:rPr>
        <w:t xml:space="preserve">for the açaí chain bottlenecks, and </w:t>
      </w:r>
      <w:r w:rsidRPr="00AB0B2A">
        <w:rPr>
          <w:rFonts w:ascii="Arial" w:hAnsi="Arial" w:eastAsia="Arial" w:cs="Arial"/>
        </w:rPr>
        <w:t>“</w:t>
      </w:r>
      <w:r w:rsidRPr="006D2DF1" w:rsidR="006D2DF1">
        <w:rPr>
          <w:rFonts w:ascii="Arial" w:hAnsi="Arial" w:eastAsia="Arial" w:cs="Arial"/>
        </w:rPr>
        <w:t>Discussion papers developed</w:t>
      </w:r>
      <w:r w:rsidRPr="00AB0B2A">
        <w:rPr>
          <w:rFonts w:ascii="Arial" w:hAnsi="Arial" w:eastAsia="Arial" w:cs="Arial"/>
        </w:rPr>
        <w:t>”</w:t>
      </w:r>
      <w:r w:rsidR="006D2DF1">
        <w:rPr>
          <w:rFonts w:ascii="Arial" w:hAnsi="Arial" w:eastAsia="Arial" w:cs="Arial"/>
        </w:rPr>
        <w:t xml:space="preserve"> as a draft of the technical note which will be developed regarding the </w:t>
      </w:r>
      <w:r w:rsidR="00EE2DDD">
        <w:rPr>
          <w:rFonts w:ascii="Arial" w:hAnsi="Arial" w:eastAsia="Arial" w:cs="Arial"/>
        </w:rPr>
        <w:t>results of the program</w:t>
      </w:r>
      <w:r w:rsidRPr="00AB0B2A">
        <w:rPr>
          <w:rFonts w:ascii="Arial" w:hAnsi="Arial" w:eastAsia="Arial" w:cs="Arial"/>
        </w:rPr>
        <w:t>.</w:t>
      </w:r>
    </w:p>
    <w:p w:rsidR="00BA1503" w:rsidP="00683B6D" w:rsidRDefault="00BA1503" w14:paraId="59200B28" w14:textId="7B6CCED4">
      <w:pPr>
        <w:pStyle w:val="ListParagraph"/>
        <w:numPr>
          <w:ilvl w:val="1"/>
          <w:numId w:val="5"/>
        </w:numPr>
        <w:spacing w:before="120" w:after="120" w:line="240" w:lineRule="auto"/>
        <w:ind w:hanging="547"/>
        <w:contextualSpacing w:val="0"/>
        <w:jc w:val="both"/>
        <w:rPr>
          <w:rFonts w:ascii="Arial" w:hAnsi="Arial" w:eastAsia="Arial" w:cs="Arial"/>
        </w:rPr>
      </w:pPr>
      <w:r>
        <w:rPr>
          <w:rFonts w:ascii="Arial" w:hAnsi="Arial" w:eastAsia="Arial" w:cs="Arial"/>
          <w:b/>
          <w:bCs/>
        </w:rPr>
        <w:t xml:space="preserve">This TC will be financed the </w:t>
      </w:r>
      <w:r w:rsidR="00E53BFF">
        <w:rPr>
          <w:rFonts w:ascii="Arial" w:hAnsi="Arial" w:eastAsia="Arial" w:cs="Arial"/>
          <w:b/>
          <w:bCs/>
        </w:rPr>
        <w:t>following funds:</w:t>
      </w:r>
      <w:r w:rsidR="00E53BFF">
        <w:rPr>
          <w:rFonts w:ascii="Arial" w:hAnsi="Arial" w:eastAsia="Arial" w:cs="Arial"/>
        </w:rPr>
        <w:t xml:space="preserve"> </w:t>
      </w:r>
      <w:r w:rsidRPr="00E53BFF" w:rsidR="00E53BFF">
        <w:rPr>
          <w:rFonts w:ascii="Arial" w:hAnsi="Arial" w:eastAsia="Arial" w:cs="Arial"/>
        </w:rPr>
        <w:t>Multi-Donor Fund for the Transformation of Technical and Vocational Education and Training</w:t>
      </w:r>
      <w:r w:rsidR="00194453">
        <w:rPr>
          <w:rFonts w:ascii="Arial" w:hAnsi="Arial" w:eastAsia="Arial" w:cs="Arial"/>
        </w:rPr>
        <w:t xml:space="preserve"> </w:t>
      </w:r>
      <w:r w:rsidRPr="00E53BFF" w:rsidR="00E53BFF">
        <w:rPr>
          <w:rFonts w:ascii="Arial" w:hAnsi="Arial" w:eastAsia="Arial" w:cs="Arial"/>
        </w:rPr>
        <w:t>(TVT)</w:t>
      </w:r>
      <w:r w:rsidR="00E53BFF">
        <w:rPr>
          <w:rFonts w:ascii="Arial" w:hAnsi="Arial" w:eastAsia="Arial" w:cs="Arial"/>
        </w:rPr>
        <w:t>, which will finance USD500,000</w:t>
      </w:r>
      <w:r w:rsidRPr="00E53BFF" w:rsidR="00E53BFF">
        <w:rPr>
          <w:rFonts w:ascii="Arial" w:hAnsi="Arial" w:eastAsia="Arial" w:cs="Arial"/>
        </w:rPr>
        <w:t>; OC SDP Window 3 - Sustainable Development in the Amazon</w:t>
      </w:r>
      <w:r w:rsidR="00B62397">
        <w:rPr>
          <w:rFonts w:ascii="Arial" w:hAnsi="Arial" w:eastAsia="Arial" w:cs="Arial"/>
        </w:rPr>
        <w:t xml:space="preserve"> </w:t>
      </w:r>
      <w:r w:rsidRPr="00E53BFF" w:rsidR="00E53BFF">
        <w:rPr>
          <w:rFonts w:ascii="Arial" w:hAnsi="Arial" w:eastAsia="Arial" w:cs="Arial"/>
        </w:rPr>
        <w:t>(W3A)</w:t>
      </w:r>
      <w:r w:rsidR="00931E14">
        <w:rPr>
          <w:rFonts w:ascii="Arial" w:hAnsi="Arial" w:eastAsia="Arial" w:cs="Arial"/>
        </w:rPr>
        <w:t>, which will finance USD210</w:t>
      </w:r>
      <w:r w:rsidR="003B0812">
        <w:rPr>
          <w:rFonts w:ascii="Arial" w:hAnsi="Arial" w:eastAsia="Arial" w:cs="Arial"/>
        </w:rPr>
        <w:t>,000</w:t>
      </w:r>
      <w:r w:rsidR="00931E14">
        <w:rPr>
          <w:rFonts w:ascii="Arial" w:hAnsi="Arial" w:eastAsia="Arial" w:cs="Arial"/>
        </w:rPr>
        <w:t>. The proposed execution period is 24 months.</w:t>
      </w:r>
    </w:p>
    <w:p w:rsidR="00971A7E" w:rsidP="00971A7E" w:rsidRDefault="00971A7E" w14:paraId="2294D3FD" w14:textId="77777777">
      <w:pPr>
        <w:spacing w:before="120" w:after="120" w:line="240" w:lineRule="auto"/>
        <w:jc w:val="both"/>
        <w:rPr>
          <w:rFonts w:ascii="Arial" w:hAnsi="Arial" w:eastAsia="Arial" w:cs="Arial"/>
        </w:rPr>
      </w:pPr>
    </w:p>
    <w:p w:rsidR="007F73BA" w:rsidP="00A85AEA" w:rsidRDefault="007F73BA" w14:paraId="443C5753" w14:textId="77777777">
      <w:pPr>
        <w:pStyle w:val="ListParagraph"/>
        <w:spacing w:before="60" w:after="0" w:line="240" w:lineRule="auto"/>
        <w:ind w:left="360"/>
        <w:contextualSpacing w:val="0"/>
        <w:jc w:val="center"/>
        <w:rPr>
          <w:rFonts w:ascii="Arial" w:hAnsi="Arial" w:eastAsia="Arial" w:cs="Arial"/>
          <w:b/>
          <w:bCs/>
        </w:rPr>
      </w:pPr>
    </w:p>
    <w:p w:rsidR="00F6363D" w:rsidP="00A85AEA" w:rsidRDefault="00F6363D" w14:paraId="3BBAB203" w14:textId="6895ABDD">
      <w:pPr>
        <w:pStyle w:val="ListParagraph"/>
        <w:spacing w:before="60" w:after="0" w:line="240" w:lineRule="auto"/>
        <w:ind w:left="360"/>
        <w:contextualSpacing w:val="0"/>
        <w:jc w:val="center"/>
        <w:rPr>
          <w:rFonts w:ascii="Arial" w:hAnsi="Arial" w:eastAsia="Arial" w:cs="Arial"/>
          <w:b/>
          <w:bCs/>
        </w:rPr>
      </w:pPr>
      <w:r w:rsidRPr="26B9D784">
        <w:rPr>
          <w:rFonts w:ascii="Arial" w:hAnsi="Arial" w:eastAsia="Arial" w:cs="Arial"/>
          <w:b/>
          <w:bCs/>
        </w:rPr>
        <w:t>Indicative Budget</w:t>
      </w:r>
    </w:p>
    <w:p w:rsidR="007F73BA" w:rsidP="00A85AEA" w:rsidRDefault="007F73BA" w14:paraId="5EC4FC5C" w14:textId="77777777">
      <w:pPr>
        <w:pStyle w:val="ListParagraph"/>
        <w:spacing w:before="60" w:after="0" w:line="240" w:lineRule="auto"/>
        <w:ind w:left="360"/>
        <w:contextualSpacing w:val="0"/>
        <w:jc w:val="center"/>
        <w:rPr>
          <w:rFonts w:ascii="Arial" w:hAnsi="Arial" w:eastAsia="Arial" w:cs="Arial"/>
          <w:b/>
          <w:bCs/>
        </w:rPr>
      </w:pPr>
    </w:p>
    <w:p w:rsidRPr="00A85AEA" w:rsidR="007F73BA" w:rsidP="00A85AEA" w:rsidRDefault="007F73BA" w14:paraId="4504B3FC" w14:textId="77777777">
      <w:pPr>
        <w:pStyle w:val="ListParagraph"/>
        <w:spacing w:before="60" w:after="0" w:line="240" w:lineRule="auto"/>
        <w:ind w:left="360"/>
        <w:contextualSpacing w:val="0"/>
        <w:jc w:val="center"/>
        <w:rPr>
          <w:rFonts w:ascii="Arial" w:hAnsi="Arial" w:eastAsia="Arial" w:cs="Arial"/>
          <w:b/>
          <w:bCs/>
        </w:rPr>
      </w:pPr>
    </w:p>
    <w:tbl>
      <w:tblPr>
        <w:tblW w:w="8995" w:type="dxa"/>
        <w:jc w:val="center"/>
        <w:tblLook w:val="04A0" w:firstRow="1" w:lastRow="0" w:firstColumn="1" w:lastColumn="0" w:noHBand="0" w:noVBand="1"/>
      </w:tblPr>
      <w:tblGrid>
        <w:gridCol w:w="1327"/>
        <w:gridCol w:w="3565"/>
        <w:gridCol w:w="1403"/>
        <w:gridCol w:w="1440"/>
        <w:gridCol w:w="1260"/>
      </w:tblGrid>
      <w:tr w:rsidRPr="006F498F" w:rsidR="007F73BA" w:rsidTr="00F65A0E" w14:paraId="53DADD38" w14:textId="05E503BF">
        <w:trPr>
          <w:trHeight w:val="300"/>
          <w:jc w:val="center"/>
        </w:trPr>
        <w:tc>
          <w:tcPr>
            <w:tcW w:w="1327" w:type="dxa"/>
            <w:tcBorders>
              <w:top w:val="single" w:color="auto" w:sz="4" w:space="0"/>
              <w:left w:val="single" w:color="auto" w:sz="4" w:space="0"/>
              <w:bottom w:val="single" w:color="auto" w:sz="4" w:space="0"/>
              <w:right w:val="single" w:color="auto" w:sz="4" w:space="0"/>
            </w:tcBorders>
            <w:shd w:val="clear" w:color="000000" w:fill="D9D9D9"/>
            <w:noWrap/>
            <w:vAlign w:val="center"/>
            <w:hideMark/>
          </w:tcPr>
          <w:p w:rsidRPr="006F498F" w:rsidR="00D81CDF" w:rsidRDefault="00857315" w14:paraId="7F0645F2" w14:textId="77E50E83">
            <w:pPr>
              <w:spacing w:after="0" w:line="240" w:lineRule="auto"/>
              <w:jc w:val="center"/>
              <w:rPr>
                <w:rFonts w:ascii="Arial" w:hAnsi="Arial" w:eastAsia="Times New Roman" w:cs="Arial"/>
                <w:b/>
                <w:bCs/>
                <w:color w:val="000000"/>
                <w:sz w:val="20"/>
                <w:szCs w:val="20"/>
              </w:rPr>
            </w:pPr>
            <w:r w:rsidRPr="006F498F">
              <w:rPr>
                <w:rFonts w:ascii="Arial" w:hAnsi="Arial" w:eastAsia="Times New Roman" w:cs="Arial"/>
                <w:b/>
                <w:bCs/>
                <w:color w:val="000000"/>
                <w:sz w:val="20"/>
                <w:szCs w:val="20"/>
              </w:rPr>
              <w:t>Component</w:t>
            </w:r>
          </w:p>
        </w:tc>
        <w:tc>
          <w:tcPr>
            <w:tcW w:w="3565" w:type="dxa"/>
            <w:tcBorders>
              <w:top w:val="single" w:color="auto" w:sz="4" w:space="0"/>
              <w:left w:val="nil"/>
              <w:bottom w:val="single" w:color="auto" w:sz="4" w:space="0"/>
              <w:right w:val="single" w:color="auto" w:sz="4" w:space="0"/>
            </w:tcBorders>
            <w:shd w:val="clear" w:color="000000" w:fill="D9D9D9"/>
            <w:noWrap/>
            <w:vAlign w:val="center"/>
            <w:hideMark/>
          </w:tcPr>
          <w:p w:rsidRPr="006F498F" w:rsidR="00D81CDF" w:rsidRDefault="00D81CDF" w14:paraId="2EB64FF3" w14:textId="77777777">
            <w:pPr>
              <w:spacing w:after="0" w:line="240" w:lineRule="auto"/>
              <w:jc w:val="center"/>
              <w:rPr>
                <w:rFonts w:ascii="Arial" w:hAnsi="Arial" w:eastAsia="Times New Roman" w:cs="Arial"/>
                <w:b/>
                <w:bCs/>
                <w:color w:val="000000"/>
                <w:sz w:val="20"/>
                <w:szCs w:val="20"/>
              </w:rPr>
            </w:pPr>
            <w:r w:rsidRPr="006F498F">
              <w:rPr>
                <w:rFonts w:ascii="Arial" w:hAnsi="Arial" w:eastAsia="Times New Roman" w:cs="Arial"/>
                <w:b/>
                <w:bCs/>
                <w:color w:val="000000"/>
                <w:sz w:val="20"/>
                <w:szCs w:val="20"/>
              </w:rPr>
              <w:t>Description</w:t>
            </w:r>
          </w:p>
        </w:tc>
        <w:tc>
          <w:tcPr>
            <w:tcW w:w="1403" w:type="dxa"/>
            <w:tcBorders>
              <w:top w:val="single" w:color="auto" w:sz="4" w:space="0"/>
              <w:left w:val="nil"/>
              <w:bottom w:val="single" w:color="auto" w:sz="4" w:space="0"/>
              <w:right w:val="single" w:color="auto" w:sz="4" w:space="0"/>
            </w:tcBorders>
            <w:shd w:val="clear" w:color="000000" w:fill="D9D9D9"/>
            <w:noWrap/>
            <w:vAlign w:val="center"/>
            <w:hideMark/>
          </w:tcPr>
          <w:p w:rsidRPr="006F498F" w:rsidR="00D81CDF" w:rsidRDefault="00B07248" w14:paraId="2325DAA5" w14:textId="3B13FC2A">
            <w:pPr>
              <w:spacing w:after="0" w:line="240" w:lineRule="auto"/>
              <w:jc w:val="center"/>
              <w:rPr>
                <w:rFonts w:ascii="Arial" w:hAnsi="Arial" w:eastAsia="Times New Roman" w:cs="Arial"/>
                <w:b/>
                <w:bCs/>
                <w:color w:val="000000"/>
                <w:sz w:val="20"/>
                <w:szCs w:val="20"/>
              </w:rPr>
            </w:pPr>
            <w:r w:rsidRPr="006F498F">
              <w:rPr>
                <w:rFonts w:ascii="Arial" w:hAnsi="Arial" w:eastAsia="Times New Roman" w:cs="Arial"/>
                <w:b/>
                <w:bCs/>
                <w:color w:val="000000"/>
                <w:sz w:val="20"/>
                <w:szCs w:val="20"/>
              </w:rPr>
              <w:t xml:space="preserve"> W3A (USD)</w:t>
            </w:r>
          </w:p>
        </w:tc>
        <w:tc>
          <w:tcPr>
            <w:tcW w:w="1440" w:type="dxa"/>
            <w:tcBorders>
              <w:top w:val="single" w:color="auto" w:sz="4" w:space="0"/>
              <w:left w:val="nil"/>
              <w:bottom w:val="single" w:color="auto" w:sz="4" w:space="0"/>
              <w:right w:val="single" w:color="auto" w:sz="4" w:space="0"/>
            </w:tcBorders>
            <w:shd w:val="clear" w:color="000000" w:fill="D9D9D9"/>
            <w:vAlign w:val="center"/>
          </w:tcPr>
          <w:p w:rsidRPr="006F498F" w:rsidR="00B07248" w:rsidP="00A80B3E" w:rsidRDefault="00B07248" w14:paraId="5912F0B2" w14:textId="097B4B50">
            <w:pPr>
              <w:spacing w:after="0" w:line="240" w:lineRule="auto"/>
              <w:jc w:val="center"/>
              <w:rPr>
                <w:rFonts w:ascii="Arial" w:hAnsi="Arial" w:eastAsia="Times New Roman" w:cs="Arial"/>
                <w:b/>
                <w:bCs/>
                <w:color w:val="000000"/>
                <w:sz w:val="20"/>
                <w:szCs w:val="20"/>
              </w:rPr>
            </w:pPr>
            <w:r w:rsidRPr="006F498F">
              <w:rPr>
                <w:rFonts w:ascii="Arial" w:hAnsi="Arial" w:eastAsia="Times New Roman" w:cs="Arial"/>
                <w:b/>
                <w:bCs/>
                <w:color w:val="000000"/>
                <w:sz w:val="20"/>
                <w:szCs w:val="20"/>
              </w:rPr>
              <w:t>TVT (USD)</w:t>
            </w:r>
          </w:p>
        </w:tc>
        <w:tc>
          <w:tcPr>
            <w:tcW w:w="1260" w:type="dxa"/>
            <w:tcBorders>
              <w:top w:val="single" w:color="auto" w:sz="4" w:space="0"/>
              <w:left w:val="nil"/>
              <w:bottom w:val="single" w:color="auto" w:sz="4" w:space="0"/>
              <w:right w:val="single" w:color="auto" w:sz="4" w:space="0"/>
            </w:tcBorders>
            <w:shd w:val="clear" w:color="000000" w:fill="D9D9D9"/>
            <w:vAlign w:val="center"/>
          </w:tcPr>
          <w:p w:rsidRPr="006F498F" w:rsidR="00B07248" w:rsidP="00B07248" w:rsidRDefault="00B07248" w14:paraId="3F473D0A" w14:textId="414B50FC">
            <w:pPr>
              <w:spacing w:after="0" w:line="240" w:lineRule="auto"/>
              <w:jc w:val="center"/>
              <w:rPr>
                <w:rFonts w:ascii="Arial" w:hAnsi="Arial" w:eastAsia="Times New Roman" w:cs="Arial"/>
                <w:b/>
                <w:bCs/>
                <w:color w:val="000000"/>
                <w:sz w:val="20"/>
                <w:szCs w:val="20"/>
              </w:rPr>
            </w:pPr>
            <w:r w:rsidRPr="006F498F">
              <w:rPr>
                <w:rFonts w:ascii="Arial" w:hAnsi="Arial" w:eastAsia="Times New Roman" w:cs="Arial"/>
                <w:b/>
                <w:bCs/>
                <w:color w:val="000000"/>
                <w:sz w:val="20"/>
                <w:szCs w:val="20"/>
              </w:rPr>
              <w:t>Total (USD)</w:t>
            </w:r>
          </w:p>
        </w:tc>
      </w:tr>
      <w:tr w:rsidRPr="006F498F" w:rsidR="0022432D" w:rsidTr="009C4123" w14:paraId="0C3215ED" w14:textId="72D569FD">
        <w:trPr>
          <w:trHeight w:val="300"/>
          <w:jc w:val="center"/>
        </w:trPr>
        <w:tc>
          <w:tcPr>
            <w:tcW w:w="1327" w:type="dxa"/>
            <w:vMerge w:val="restart"/>
            <w:tcBorders>
              <w:top w:val="single" w:color="auto" w:sz="4" w:space="0"/>
              <w:left w:val="single" w:color="auto" w:sz="4" w:space="0"/>
              <w:right w:val="single" w:color="auto" w:sz="4" w:space="0"/>
            </w:tcBorders>
            <w:shd w:val="clear" w:color="000000" w:fill="D9D9D9"/>
            <w:noWrap/>
            <w:vAlign w:val="center"/>
            <w:hideMark/>
          </w:tcPr>
          <w:p w:rsidRPr="006F498F" w:rsidR="00D81CDF" w:rsidP="007F73BA" w:rsidRDefault="00D81CDF" w14:paraId="0E659FB0" w14:textId="33364DDE">
            <w:pPr>
              <w:spacing w:after="0" w:line="240" w:lineRule="auto"/>
              <w:jc w:val="center"/>
              <w:rPr>
                <w:rFonts w:ascii="Arial" w:hAnsi="Arial" w:eastAsia="Times New Roman" w:cs="Arial"/>
                <w:b/>
                <w:bCs/>
                <w:color w:val="000000"/>
                <w:sz w:val="20"/>
                <w:szCs w:val="20"/>
              </w:rPr>
            </w:pPr>
            <w:r w:rsidRPr="006F498F">
              <w:rPr>
                <w:rFonts w:ascii="Arial" w:hAnsi="Arial" w:eastAsia="Times New Roman" w:cs="Arial"/>
                <w:b/>
                <w:bCs/>
                <w:color w:val="000000"/>
                <w:sz w:val="20"/>
                <w:szCs w:val="20"/>
              </w:rPr>
              <w:t>1</w:t>
            </w:r>
          </w:p>
        </w:tc>
        <w:tc>
          <w:tcPr>
            <w:tcW w:w="3565" w:type="dxa"/>
            <w:tcBorders>
              <w:top w:val="single" w:color="auto" w:sz="4" w:space="0"/>
              <w:left w:val="nil"/>
              <w:bottom w:val="single" w:color="auto" w:sz="4" w:space="0"/>
              <w:right w:val="single" w:color="auto" w:sz="4" w:space="0"/>
            </w:tcBorders>
            <w:shd w:val="clear" w:color="auto" w:fill="auto"/>
            <w:noWrap/>
            <w:vAlign w:val="center"/>
            <w:hideMark/>
          </w:tcPr>
          <w:p w:rsidRPr="006F498F" w:rsidR="00D81CDF" w:rsidP="009C4123" w:rsidRDefault="00D81CDF" w14:paraId="6BABDD74" w14:textId="06D23F3D">
            <w:pPr>
              <w:spacing w:after="0" w:line="240" w:lineRule="auto"/>
              <w:rPr>
                <w:rFonts w:ascii="Arial" w:hAnsi="Arial" w:eastAsia="Times New Roman" w:cs="Arial"/>
                <w:color w:val="000000"/>
                <w:sz w:val="20"/>
                <w:szCs w:val="20"/>
              </w:rPr>
            </w:pPr>
            <w:r w:rsidRPr="006F498F">
              <w:rPr>
                <w:rFonts w:ascii="Arial" w:hAnsi="Arial" w:eastAsia="Times New Roman" w:cs="Arial"/>
                <w:color w:val="000000"/>
                <w:sz w:val="20"/>
                <w:szCs w:val="20"/>
              </w:rPr>
              <w:t>Market research</w:t>
            </w:r>
          </w:p>
        </w:tc>
        <w:tc>
          <w:tcPr>
            <w:tcW w:w="1403" w:type="dxa"/>
            <w:tcBorders>
              <w:top w:val="single" w:color="auto" w:sz="4" w:space="0"/>
              <w:left w:val="nil"/>
              <w:bottom w:val="single" w:color="auto" w:sz="4" w:space="0"/>
              <w:right w:val="single" w:color="auto" w:sz="4" w:space="0"/>
            </w:tcBorders>
            <w:shd w:val="clear" w:color="auto" w:fill="auto"/>
            <w:noWrap/>
            <w:vAlign w:val="center"/>
          </w:tcPr>
          <w:p w:rsidRPr="006F498F" w:rsidR="00D81CDF" w:rsidP="009C4123" w:rsidRDefault="00D81CDF" w14:paraId="3B5BA606" w14:textId="3C002BAD">
            <w:pPr>
              <w:spacing w:after="0" w:line="240" w:lineRule="auto"/>
              <w:jc w:val="center"/>
              <w:rPr>
                <w:rFonts w:ascii="Arial" w:hAnsi="Arial" w:eastAsia="Times New Roman" w:cs="Arial"/>
                <w:color w:val="000000"/>
                <w:sz w:val="20"/>
                <w:szCs w:val="20"/>
              </w:rPr>
            </w:pPr>
          </w:p>
        </w:tc>
        <w:tc>
          <w:tcPr>
            <w:tcW w:w="1440" w:type="dxa"/>
            <w:tcBorders>
              <w:top w:val="single" w:color="auto" w:sz="4" w:space="0"/>
              <w:left w:val="nil"/>
              <w:bottom w:val="single" w:color="auto" w:sz="4" w:space="0"/>
              <w:right w:val="single" w:color="auto" w:sz="4" w:space="0"/>
            </w:tcBorders>
            <w:vAlign w:val="center"/>
          </w:tcPr>
          <w:p w:rsidRPr="006F498F" w:rsidR="006E4E0B" w:rsidP="009C4123" w:rsidRDefault="006E4E0B" w14:paraId="674A62B3" w14:textId="7D574B50">
            <w:pPr>
              <w:spacing w:after="0" w:line="240" w:lineRule="auto"/>
              <w:jc w:val="center"/>
              <w:rPr>
                <w:rFonts w:ascii="Arial" w:hAnsi="Arial" w:eastAsia="Times New Roman" w:cs="Arial"/>
                <w:color w:val="000000"/>
                <w:sz w:val="20"/>
                <w:szCs w:val="20"/>
              </w:rPr>
            </w:pPr>
            <w:r w:rsidRPr="006F498F">
              <w:rPr>
                <w:rFonts w:ascii="Arial" w:hAnsi="Arial" w:eastAsia="Times New Roman" w:cs="Arial"/>
                <w:color w:val="000000"/>
                <w:sz w:val="20"/>
                <w:szCs w:val="20"/>
              </w:rPr>
              <w:t>70,000</w:t>
            </w:r>
          </w:p>
        </w:tc>
        <w:tc>
          <w:tcPr>
            <w:tcW w:w="1260" w:type="dxa"/>
            <w:tcBorders>
              <w:top w:val="single" w:color="auto" w:sz="4" w:space="0"/>
              <w:left w:val="nil"/>
              <w:bottom w:val="single" w:color="auto" w:sz="4" w:space="0"/>
              <w:right w:val="single" w:color="auto" w:sz="4" w:space="0"/>
            </w:tcBorders>
            <w:vAlign w:val="center"/>
          </w:tcPr>
          <w:p w:rsidRPr="006F498F" w:rsidR="006E4E0B" w:rsidP="009C4123" w:rsidRDefault="006E4E0B" w14:paraId="6D090083" w14:textId="74D67684">
            <w:pPr>
              <w:spacing w:after="0" w:line="240" w:lineRule="auto"/>
              <w:jc w:val="center"/>
              <w:rPr>
                <w:rFonts w:ascii="Arial" w:hAnsi="Arial" w:eastAsia="Times New Roman" w:cs="Arial"/>
                <w:color w:val="000000"/>
                <w:sz w:val="20"/>
                <w:szCs w:val="20"/>
              </w:rPr>
            </w:pPr>
            <w:r w:rsidRPr="006F498F">
              <w:rPr>
                <w:rFonts w:ascii="Arial" w:hAnsi="Arial" w:eastAsia="Times New Roman" w:cs="Arial"/>
                <w:color w:val="000000"/>
                <w:sz w:val="20"/>
                <w:szCs w:val="20"/>
              </w:rPr>
              <w:t>70,000</w:t>
            </w:r>
          </w:p>
        </w:tc>
      </w:tr>
      <w:tr w:rsidRPr="006F498F" w:rsidR="0022432D" w:rsidTr="009C4123" w14:paraId="1DBEC548" w14:textId="77777777">
        <w:trPr>
          <w:trHeight w:val="300"/>
          <w:jc w:val="center"/>
        </w:trPr>
        <w:tc>
          <w:tcPr>
            <w:tcW w:w="1327" w:type="dxa"/>
            <w:vMerge/>
            <w:tcBorders>
              <w:left w:val="single" w:color="auto" w:sz="4" w:space="0"/>
              <w:bottom w:val="single" w:color="auto" w:sz="4" w:space="0"/>
              <w:right w:val="single" w:color="auto" w:sz="4" w:space="0"/>
            </w:tcBorders>
            <w:shd w:val="clear" w:color="000000" w:fill="D9D9D9"/>
            <w:noWrap/>
            <w:vAlign w:val="bottom"/>
          </w:tcPr>
          <w:p w:rsidRPr="006F498F" w:rsidR="006E4E0B" w:rsidP="00713718" w:rsidRDefault="006E4E0B" w14:paraId="4D860614" w14:textId="77777777">
            <w:pPr>
              <w:spacing w:after="0" w:line="240" w:lineRule="auto"/>
              <w:jc w:val="center"/>
              <w:rPr>
                <w:rFonts w:ascii="Arial" w:hAnsi="Arial" w:eastAsia="Times New Roman" w:cs="Arial"/>
                <w:b/>
                <w:bCs/>
                <w:color w:val="000000"/>
                <w:sz w:val="20"/>
                <w:szCs w:val="20"/>
              </w:rPr>
            </w:pPr>
          </w:p>
        </w:tc>
        <w:tc>
          <w:tcPr>
            <w:tcW w:w="3565" w:type="dxa"/>
            <w:tcBorders>
              <w:top w:val="single" w:color="auto" w:sz="4" w:space="0"/>
              <w:left w:val="nil"/>
              <w:bottom w:val="single" w:color="auto" w:sz="4" w:space="0"/>
              <w:right w:val="single" w:color="auto" w:sz="4" w:space="0"/>
            </w:tcBorders>
            <w:shd w:val="clear" w:color="auto" w:fill="auto"/>
            <w:noWrap/>
            <w:vAlign w:val="center"/>
          </w:tcPr>
          <w:p w:rsidRPr="006F498F" w:rsidR="006E4E0B" w:rsidP="009C4123" w:rsidRDefault="006E4E0B" w14:paraId="29A41E56" w14:textId="16994F7F">
            <w:pPr>
              <w:spacing w:after="0" w:line="240" w:lineRule="auto"/>
              <w:rPr>
                <w:rFonts w:ascii="Arial" w:hAnsi="Arial" w:eastAsia="Times New Roman" w:cs="Arial"/>
                <w:color w:val="000000"/>
                <w:sz w:val="20"/>
                <w:szCs w:val="20"/>
              </w:rPr>
            </w:pPr>
            <w:r w:rsidRPr="006F498F">
              <w:rPr>
                <w:rFonts w:ascii="Arial" w:hAnsi="Arial" w:eastAsia="Times New Roman" w:cs="Arial"/>
                <w:color w:val="000000"/>
                <w:sz w:val="20"/>
                <w:szCs w:val="20"/>
              </w:rPr>
              <w:t>Curriculum development</w:t>
            </w:r>
          </w:p>
        </w:tc>
        <w:tc>
          <w:tcPr>
            <w:tcW w:w="1403" w:type="dxa"/>
            <w:tcBorders>
              <w:top w:val="single" w:color="auto" w:sz="4" w:space="0"/>
              <w:left w:val="nil"/>
              <w:bottom w:val="single" w:color="auto" w:sz="4" w:space="0"/>
              <w:right w:val="single" w:color="auto" w:sz="4" w:space="0"/>
            </w:tcBorders>
            <w:shd w:val="clear" w:color="auto" w:fill="auto"/>
            <w:noWrap/>
            <w:vAlign w:val="center"/>
          </w:tcPr>
          <w:p w:rsidRPr="006F498F" w:rsidR="006E4E0B" w:rsidDel="00713718" w:rsidP="009C4123" w:rsidRDefault="006E4E0B" w14:paraId="182C8064" w14:textId="77777777">
            <w:pPr>
              <w:spacing w:after="0" w:line="240" w:lineRule="auto"/>
              <w:jc w:val="center"/>
              <w:rPr>
                <w:rFonts w:ascii="Arial" w:hAnsi="Arial" w:eastAsia="Times New Roman" w:cs="Arial"/>
                <w:color w:val="000000"/>
                <w:sz w:val="20"/>
                <w:szCs w:val="20"/>
              </w:rPr>
            </w:pPr>
          </w:p>
        </w:tc>
        <w:tc>
          <w:tcPr>
            <w:tcW w:w="1440" w:type="dxa"/>
            <w:tcBorders>
              <w:top w:val="single" w:color="auto" w:sz="4" w:space="0"/>
              <w:left w:val="nil"/>
              <w:bottom w:val="single" w:color="auto" w:sz="4" w:space="0"/>
              <w:right w:val="single" w:color="auto" w:sz="4" w:space="0"/>
            </w:tcBorders>
            <w:vAlign w:val="center"/>
          </w:tcPr>
          <w:p w:rsidRPr="006F498F" w:rsidR="006E4E0B" w:rsidP="009C4123" w:rsidRDefault="006E4E0B" w14:paraId="7E464A2D" w14:textId="370A8C35">
            <w:pPr>
              <w:spacing w:after="0" w:line="240" w:lineRule="auto"/>
              <w:jc w:val="center"/>
              <w:rPr>
                <w:rFonts w:ascii="Arial" w:hAnsi="Arial" w:eastAsia="Times New Roman" w:cs="Arial"/>
                <w:color w:val="000000"/>
                <w:sz w:val="20"/>
                <w:szCs w:val="20"/>
              </w:rPr>
            </w:pPr>
            <w:r w:rsidRPr="006F498F">
              <w:rPr>
                <w:rFonts w:ascii="Arial" w:hAnsi="Arial" w:eastAsia="Times New Roman" w:cs="Arial"/>
                <w:color w:val="000000"/>
                <w:sz w:val="20"/>
                <w:szCs w:val="20"/>
              </w:rPr>
              <w:t>70,000</w:t>
            </w:r>
          </w:p>
        </w:tc>
        <w:tc>
          <w:tcPr>
            <w:tcW w:w="1260" w:type="dxa"/>
            <w:tcBorders>
              <w:top w:val="single" w:color="auto" w:sz="4" w:space="0"/>
              <w:left w:val="nil"/>
              <w:bottom w:val="single" w:color="auto" w:sz="4" w:space="0"/>
              <w:right w:val="single" w:color="auto" w:sz="4" w:space="0"/>
            </w:tcBorders>
            <w:vAlign w:val="center"/>
          </w:tcPr>
          <w:p w:rsidRPr="006F498F" w:rsidR="006E4E0B" w:rsidP="009C4123" w:rsidRDefault="006E4E0B" w14:paraId="699895FC" w14:textId="7454EADB">
            <w:pPr>
              <w:spacing w:after="0" w:line="240" w:lineRule="auto"/>
              <w:jc w:val="center"/>
              <w:rPr>
                <w:rFonts w:ascii="Arial" w:hAnsi="Arial" w:eastAsia="Times New Roman" w:cs="Arial"/>
                <w:color w:val="000000"/>
                <w:sz w:val="20"/>
                <w:szCs w:val="20"/>
              </w:rPr>
            </w:pPr>
            <w:r w:rsidRPr="006F498F">
              <w:rPr>
                <w:rFonts w:ascii="Arial" w:hAnsi="Arial" w:eastAsia="Times New Roman" w:cs="Arial"/>
                <w:color w:val="000000"/>
                <w:sz w:val="20"/>
                <w:szCs w:val="20"/>
              </w:rPr>
              <w:t>70,000</w:t>
            </w:r>
          </w:p>
        </w:tc>
      </w:tr>
      <w:tr w:rsidRPr="006F498F" w:rsidR="0022432D" w:rsidTr="009C4123" w14:paraId="1FC198E9" w14:textId="28CB18B1">
        <w:trPr>
          <w:trHeight w:val="300"/>
          <w:jc w:val="center"/>
        </w:trPr>
        <w:tc>
          <w:tcPr>
            <w:tcW w:w="1327" w:type="dxa"/>
            <w:vMerge w:val="restart"/>
            <w:tcBorders>
              <w:top w:val="single" w:color="auto" w:sz="4" w:space="0"/>
              <w:left w:val="single" w:color="auto" w:sz="4" w:space="0"/>
              <w:right w:val="single" w:color="auto" w:sz="4" w:space="0"/>
            </w:tcBorders>
            <w:shd w:val="clear" w:color="000000" w:fill="D9D9D9"/>
            <w:noWrap/>
            <w:vAlign w:val="center"/>
            <w:hideMark/>
          </w:tcPr>
          <w:p w:rsidRPr="006F498F" w:rsidR="00863349" w:rsidP="007F73BA" w:rsidRDefault="00863349" w14:paraId="787FDE57" w14:textId="45560BCC">
            <w:pPr>
              <w:spacing w:after="0" w:line="240" w:lineRule="auto"/>
              <w:jc w:val="center"/>
              <w:rPr>
                <w:rFonts w:ascii="Arial" w:hAnsi="Arial" w:eastAsia="Times New Roman" w:cs="Arial"/>
                <w:b/>
                <w:bCs/>
                <w:color w:val="000000"/>
                <w:sz w:val="20"/>
                <w:szCs w:val="20"/>
              </w:rPr>
            </w:pPr>
            <w:r w:rsidRPr="006F498F">
              <w:rPr>
                <w:rFonts w:ascii="Arial" w:hAnsi="Arial" w:eastAsia="Times New Roman" w:cs="Arial"/>
                <w:b/>
                <w:bCs/>
                <w:color w:val="000000"/>
                <w:sz w:val="20"/>
                <w:szCs w:val="20"/>
              </w:rPr>
              <w:t>2</w:t>
            </w:r>
          </w:p>
        </w:tc>
        <w:tc>
          <w:tcPr>
            <w:tcW w:w="3565" w:type="dxa"/>
            <w:tcBorders>
              <w:top w:val="single" w:color="auto" w:sz="4" w:space="0"/>
              <w:left w:val="nil"/>
              <w:bottom w:val="single" w:color="auto" w:sz="4" w:space="0"/>
              <w:right w:val="single" w:color="auto" w:sz="4" w:space="0"/>
            </w:tcBorders>
            <w:shd w:val="clear" w:color="auto" w:fill="auto"/>
            <w:noWrap/>
            <w:vAlign w:val="center"/>
            <w:hideMark/>
          </w:tcPr>
          <w:p w:rsidRPr="006F498F" w:rsidR="00863349" w:rsidP="009C4123" w:rsidRDefault="00863349" w14:paraId="5C81A71D" w14:textId="3ACF6AE0">
            <w:pPr>
              <w:spacing w:after="0" w:line="240" w:lineRule="auto"/>
              <w:rPr>
                <w:rFonts w:ascii="Arial" w:hAnsi="Arial" w:eastAsia="Times New Roman" w:cs="Arial"/>
                <w:color w:val="000000"/>
                <w:sz w:val="20"/>
                <w:szCs w:val="20"/>
              </w:rPr>
            </w:pPr>
            <w:r w:rsidRPr="006F498F">
              <w:rPr>
                <w:rFonts w:ascii="Arial" w:hAnsi="Arial" w:eastAsia="Times New Roman" w:cs="Arial"/>
                <w:color w:val="000000"/>
                <w:sz w:val="20"/>
                <w:szCs w:val="20"/>
              </w:rPr>
              <w:t>Teacher training</w:t>
            </w:r>
            <w:r w:rsidRPr="006F498F" w:rsidR="00097436">
              <w:rPr>
                <w:rFonts w:ascii="Arial" w:hAnsi="Arial" w:eastAsia="Times New Roman" w:cs="Arial"/>
                <w:color w:val="000000"/>
                <w:sz w:val="20"/>
                <w:szCs w:val="20"/>
              </w:rPr>
              <w:t xml:space="preserve"> and implementation</w:t>
            </w:r>
          </w:p>
        </w:tc>
        <w:tc>
          <w:tcPr>
            <w:tcW w:w="1403" w:type="dxa"/>
            <w:tcBorders>
              <w:top w:val="single" w:color="auto" w:sz="4" w:space="0"/>
              <w:left w:val="nil"/>
              <w:bottom w:val="single" w:color="auto" w:sz="4" w:space="0"/>
              <w:right w:val="single" w:color="auto" w:sz="4" w:space="0"/>
            </w:tcBorders>
            <w:shd w:val="clear" w:color="auto" w:fill="auto"/>
            <w:noWrap/>
            <w:vAlign w:val="center"/>
          </w:tcPr>
          <w:p w:rsidRPr="006F498F" w:rsidR="00863349" w:rsidP="009C4123" w:rsidRDefault="00863349" w14:paraId="74F4F8F2" w14:textId="21DD8293">
            <w:pPr>
              <w:spacing w:after="0" w:line="240" w:lineRule="auto"/>
              <w:jc w:val="center"/>
              <w:rPr>
                <w:rFonts w:ascii="Arial" w:hAnsi="Arial" w:eastAsia="Times New Roman" w:cs="Arial"/>
                <w:color w:val="000000"/>
                <w:sz w:val="20"/>
                <w:szCs w:val="20"/>
              </w:rPr>
            </w:pPr>
          </w:p>
        </w:tc>
        <w:tc>
          <w:tcPr>
            <w:tcW w:w="1440" w:type="dxa"/>
            <w:tcBorders>
              <w:top w:val="single" w:color="auto" w:sz="4" w:space="0"/>
              <w:left w:val="nil"/>
              <w:bottom w:val="single" w:color="auto" w:sz="4" w:space="0"/>
              <w:right w:val="single" w:color="auto" w:sz="4" w:space="0"/>
            </w:tcBorders>
            <w:vAlign w:val="center"/>
          </w:tcPr>
          <w:p w:rsidRPr="006F498F" w:rsidR="00097436" w:rsidP="009C4123" w:rsidRDefault="00097436" w14:paraId="122B3AAE" w14:textId="41FF2A84">
            <w:pPr>
              <w:spacing w:after="0" w:line="240" w:lineRule="auto"/>
              <w:jc w:val="center"/>
              <w:rPr>
                <w:rFonts w:ascii="Arial" w:hAnsi="Arial" w:eastAsia="Times New Roman" w:cs="Arial"/>
                <w:color w:val="000000"/>
                <w:sz w:val="20"/>
                <w:szCs w:val="20"/>
              </w:rPr>
            </w:pPr>
            <w:r w:rsidRPr="006F498F">
              <w:rPr>
                <w:rFonts w:ascii="Arial" w:hAnsi="Arial" w:eastAsia="Times New Roman" w:cs="Arial"/>
                <w:color w:val="000000"/>
                <w:sz w:val="20"/>
                <w:szCs w:val="20"/>
              </w:rPr>
              <w:t>150</w:t>
            </w:r>
            <w:r w:rsidRPr="006F498F" w:rsidR="00713718">
              <w:rPr>
                <w:rFonts w:ascii="Arial" w:hAnsi="Arial" w:eastAsia="Times New Roman" w:cs="Arial"/>
                <w:color w:val="000000"/>
                <w:sz w:val="20"/>
                <w:szCs w:val="20"/>
              </w:rPr>
              <w:t>,000</w:t>
            </w:r>
          </w:p>
        </w:tc>
        <w:tc>
          <w:tcPr>
            <w:tcW w:w="1260" w:type="dxa"/>
            <w:tcBorders>
              <w:top w:val="single" w:color="auto" w:sz="4" w:space="0"/>
              <w:left w:val="nil"/>
              <w:bottom w:val="single" w:color="auto" w:sz="4" w:space="0"/>
              <w:right w:val="single" w:color="auto" w:sz="4" w:space="0"/>
            </w:tcBorders>
            <w:vAlign w:val="center"/>
          </w:tcPr>
          <w:p w:rsidRPr="006F498F" w:rsidR="00713718" w:rsidP="009C4123" w:rsidRDefault="00713718" w14:paraId="0B719238" w14:textId="230937F9">
            <w:pPr>
              <w:spacing w:after="0" w:line="240" w:lineRule="auto"/>
              <w:jc w:val="center"/>
              <w:rPr>
                <w:rFonts w:ascii="Arial" w:hAnsi="Arial" w:eastAsia="Times New Roman" w:cs="Arial"/>
                <w:color w:val="000000"/>
                <w:sz w:val="20"/>
                <w:szCs w:val="20"/>
              </w:rPr>
            </w:pPr>
            <w:r w:rsidRPr="006F498F">
              <w:rPr>
                <w:rFonts w:ascii="Arial" w:hAnsi="Arial" w:eastAsia="Times New Roman" w:cs="Arial"/>
                <w:color w:val="000000"/>
                <w:sz w:val="20"/>
                <w:szCs w:val="20"/>
              </w:rPr>
              <w:t>1</w:t>
            </w:r>
            <w:r w:rsidRPr="006F498F" w:rsidR="00097436">
              <w:rPr>
                <w:rFonts w:ascii="Arial" w:hAnsi="Arial" w:eastAsia="Times New Roman" w:cs="Arial"/>
                <w:color w:val="000000"/>
                <w:sz w:val="20"/>
                <w:szCs w:val="20"/>
              </w:rPr>
              <w:t>5</w:t>
            </w:r>
            <w:r w:rsidRPr="006F498F">
              <w:rPr>
                <w:rFonts w:ascii="Arial" w:hAnsi="Arial" w:eastAsia="Times New Roman" w:cs="Arial"/>
                <w:color w:val="000000"/>
                <w:sz w:val="20"/>
                <w:szCs w:val="20"/>
              </w:rPr>
              <w:t>0,000</w:t>
            </w:r>
          </w:p>
        </w:tc>
      </w:tr>
      <w:tr w:rsidRPr="006F498F" w:rsidR="0022432D" w:rsidTr="009C4123" w14:paraId="7080C0BE" w14:textId="5D37F600">
        <w:trPr>
          <w:trHeight w:val="300"/>
          <w:jc w:val="center"/>
        </w:trPr>
        <w:tc>
          <w:tcPr>
            <w:tcW w:w="1327" w:type="dxa"/>
            <w:vMerge/>
            <w:tcBorders>
              <w:left w:val="single" w:color="auto" w:sz="4" w:space="0"/>
              <w:bottom w:val="single" w:color="auto" w:sz="4" w:space="0"/>
              <w:right w:val="single" w:color="auto" w:sz="4" w:space="0"/>
            </w:tcBorders>
            <w:shd w:val="clear" w:color="000000" w:fill="D9D9D9"/>
            <w:noWrap/>
            <w:vAlign w:val="bottom"/>
            <w:hideMark/>
          </w:tcPr>
          <w:p w:rsidRPr="006F498F" w:rsidR="00863349" w:rsidRDefault="00863349" w14:paraId="6113F584" w14:textId="110F7C43">
            <w:pPr>
              <w:spacing w:after="0" w:line="240" w:lineRule="auto"/>
              <w:jc w:val="center"/>
              <w:rPr>
                <w:rFonts w:ascii="Arial" w:hAnsi="Arial" w:eastAsia="Times New Roman" w:cs="Arial"/>
                <w:b/>
                <w:bCs/>
                <w:color w:val="000000"/>
                <w:sz w:val="20"/>
                <w:szCs w:val="20"/>
              </w:rPr>
            </w:pPr>
          </w:p>
        </w:tc>
        <w:tc>
          <w:tcPr>
            <w:tcW w:w="3565" w:type="dxa"/>
            <w:tcBorders>
              <w:top w:val="single" w:color="auto" w:sz="4" w:space="0"/>
              <w:left w:val="nil"/>
              <w:bottom w:val="single" w:color="auto" w:sz="4" w:space="0"/>
              <w:right w:val="single" w:color="auto" w:sz="4" w:space="0"/>
            </w:tcBorders>
            <w:shd w:val="clear" w:color="auto" w:fill="auto"/>
            <w:noWrap/>
            <w:vAlign w:val="center"/>
            <w:hideMark/>
          </w:tcPr>
          <w:p w:rsidRPr="006F498F" w:rsidR="00863349" w:rsidP="009C4123" w:rsidRDefault="006E4E0B" w14:paraId="55BEAA3F" w14:textId="3AEB485E">
            <w:pPr>
              <w:spacing w:after="0" w:line="240" w:lineRule="auto"/>
              <w:rPr>
                <w:rFonts w:ascii="Arial" w:hAnsi="Arial" w:eastAsia="Times New Roman" w:cs="Arial"/>
                <w:color w:val="000000"/>
                <w:sz w:val="20"/>
                <w:szCs w:val="20"/>
              </w:rPr>
            </w:pPr>
            <w:r w:rsidRPr="006F498F">
              <w:rPr>
                <w:rFonts w:ascii="Arial" w:hAnsi="Arial" w:eastAsia="Times New Roman" w:cs="Arial"/>
                <w:color w:val="000000"/>
                <w:sz w:val="20"/>
                <w:szCs w:val="20"/>
              </w:rPr>
              <w:t>Truck-cart equipped</w:t>
            </w:r>
          </w:p>
        </w:tc>
        <w:tc>
          <w:tcPr>
            <w:tcW w:w="1403" w:type="dxa"/>
            <w:tcBorders>
              <w:top w:val="single" w:color="auto" w:sz="4" w:space="0"/>
              <w:left w:val="nil"/>
              <w:bottom w:val="single" w:color="auto" w:sz="4" w:space="0"/>
              <w:right w:val="single" w:color="auto" w:sz="4" w:space="0"/>
            </w:tcBorders>
            <w:shd w:val="clear" w:color="auto" w:fill="auto"/>
            <w:noWrap/>
            <w:vAlign w:val="center"/>
          </w:tcPr>
          <w:p w:rsidRPr="006F498F" w:rsidR="00863349" w:rsidP="009C4123" w:rsidRDefault="00863349" w14:paraId="0E961A97" w14:textId="5E2E7B79">
            <w:pPr>
              <w:spacing w:after="0" w:line="240" w:lineRule="auto"/>
              <w:jc w:val="center"/>
              <w:rPr>
                <w:rFonts w:ascii="Arial" w:hAnsi="Arial" w:eastAsia="Times New Roman" w:cs="Arial"/>
                <w:color w:val="000000"/>
                <w:sz w:val="20"/>
                <w:szCs w:val="20"/>
              </w:rPr>
            </w:pPr>
          </w:p>
        </w:tc>
        <w:tc>
          <w:tcPr>
            <w:tcW w:w="1440" w:type="dxa"/>
            <w:tcBorders>
              <w:top w:val="single" w:color="auto" w:sz="4" w:space="0"/>
              <w:left w:val="nil"/>
              <w:bottom w:val="single" w:color="auto" w:sz="4" w:space="0"/>
              <w:right w:val="single" w:color="auto" w:sz="4" w:space="0"/>
            </w:tcBorders>
            <w:vAlign w:val="center"/>
          </w:tcPr>
          <w:p w:rsidRPr="006F498F" w:rsidR="00713718" w:rsidP="009C4123" w:rsidRDefault="006E4E0B" w14:paraId="7EE56C82" w14:textId="33B507DA">
            <w:pPr>
              <w:spacing w:after="0" w:line="240" w:lineRule="auto"/>
              <w:jc w:val="center"/>
              <w:rPr>
                <w:rFonts w:ascii="Arial" w:hAnsi="Arial" w:eastAsia="Times New Roman" w:cs="Arial"/>
                <w:color w:val="000000"/>
                <w:sz w:val="20"/>
                <w:szCs w:val="20"/>
              </w:rPr>
            </w:pPr>
            <w:r w:rsidRPr="006F498F">
              <w:rPr>
                <w:rFonts w:ascii="Arial" w:hAnsi="Arial" w:eastAsia="Times New Roman" w:cs="Arial"/>
                <w:color w:val="000000"/>
                <w:sz w:val="20"/>
                <w:szCs w:val="20"/>
              </w:rPr>
              <w:t>210</w:t>
            </w:r>
            <w:r w:rsidRPr="006F498F" w:rsidR="00713718">
              <w:rPr>
                <w:rFonts w:ascii="Arial" w:hAnsi="Arial" w:eastAsia="Times New Roman" w:cs="Arial"/>
                <w:color w:val="000000"/>
                <w:sz w:val="20"/>
                <w:szCs w:val="20"/>
              </w:rPr>
              <w:t>,000</w:t>
            </w:r>
          </w:p>
        </w:tc>
        <w:tc>
          <w:tcPr>
            <w:tcW w:w="1260" w:type="dxa"/>
            <w:tcBorders>
              <w:top w:val="single" w:color="auto" w:sz="4" w:space="0"/>
              <w:left w:val="nil"/>
              <w:bottom w:val="single" w:color="auto" w:sz="4" w:space="0"/>
              <w:right w:val="single" w:color="auto" w:sz="4" w:space="0"/>
            </w:tcBorders>
            <w:vAlign w:val="center"/>
          </w:tcPr>
          <w:p w:rsidRPr="006F498F" w:rsidR="00713718" w:rsidP="009C4123" w:rsidRDefault="00713718" w14:paraId="355605C1" w14:textId="42FAF91B">
            <w:pPr>
              <w:spacing w:after="0" w:line="240" w:lineRule="auto"/>
              <w:jc w:val="center"/>
              <w:rPr>
                <w:rFonts w:ascii="Arial" w:hAnsi="Arial" w:eastAsia="Times New Roman" w:cs="Arial"/>
                <w:color w:val="000000"/>
                <w:sz w:val="20"/>
                <w:szCs w:val="20"/>
              </w:rPr>
            </w:pPr>
            <w:r w:rsidRPr="006F498F">
              <w:rPr>
                <w:rFonts w:ascii="Arial" w:hAnsi="Arial" w:eastAsia="Times New Roman" w:cs="Arial"/>
                <w:color w:val="000000"/>
                <w:sz w:val="20"/>
                <w:szCs w:val="20"/>
              </w:rPr>
              <w:t>210,000</w:t>
            </w:r>
          </w:p>
        </w:tc>
      </w:tr>
      <w:tr w:rsidRPr="006F498F" w:rsidR="0022432D" w:rsidTr="009C4123" w14:paraId="5045BF72" w14:textId="10F83D89">
        <w:trPr>
          <w:trHeight w:val="300"/>
          <w:jc w:val="center"/>
        </w:trPr>
        <w:tc>
          <w:tcPr>
            <w:tcW w:w="1327" w:type="dxa"/>
            <w:vMerge w:val="restart"/>
            <w:tcBorders>
              <w:top w:val="single" w:color="auto" w:sz="4" w:space="0"/>
              <w:left w:val="single" w:color="auto" w:sz="4" w:space="0"/>
              <w:right w:val="single" w:color="auto" w:sz="4" w:space="0"/>
            </w:tcBorders>
            <w:shd w:val="clear" w:color="000000" w:fill="D9D9D9"/>
            <w:noWrap/>
            <w:vAlign w:val="center"/>
          </w:tcPr>
          <w:p w:rsidRPr="006F498F" w:rsidR="00863349" w:rsidP="007F73BA" w:rsidRDefault="00863349" w14:paraId="166F2BD1" w14:textId="3B2D8930">
            <w:pPr>
              <w:spacing w:after="0" w:line="240" w:lineRule="auto"/>
              <w:jc w:val="center"/>
              <w:rPr>
                <w:rFonts w:ascii="Arial" w:hAnsi="Arial" w:eastAsia="Times New Roman" w:cs="Arial"/>
                <w:b/>
                <w:bCs/>
                <w:color w:val="000000"/>
                <w:sz w:val="20"/>
                <w:szCs w:val="20"/>
              </w:rPr>
            </w:pPr>
            <w:r w:rsidRPr="006F498F">
              <w:rPr>
                <w:rFonts w:ascii="Arial" w:hAnsi="Arial" w:eastAsia="Times New Roman" w:cs="Arial"/>
                <w:b/>
                <w:bCs/>
                <w:color w:val="000000"/>
                <w:sz w:val="20"/>
                <w:szCs w:val="20"/>
              </w:rPr>
              <w:t>3</w:t>
            </w:r>
          </w:p>
        </w:tc>
        <w:tc>
          <w:tcPr>
            <w:tcW w:w="3565" w:type="dxa"/>
            <w:tcBorders>
              <w:top w:val="single" w:color="auto" w:sz="4" w:space="0"/>
              <w:left w:val="nil"/>
              <w:bottom w:val="single" w:color="auto" w:sz="4" w:space="0"/>
              <w:right w:val="single" w:color="auto" w:sz="4" w:space="0"/>
            </w:tcBorders>
            <w:shd w:val="clear" w:color="auto" w:fill="auto"/>
            <w:noWrap/>
            <w:vAlign w:val="center"/>
            <w:hideMark/>
          </w:tcPr>
          <w:p w:rsidRPr="006F498F" w:rsidR="00863349" w:rsidP="009C4123" w:rsidRDefault="00E86AB6" w14:paraId="41F0AEE4" w14:textId="235898EB">
            <w:pPr>
              <w:spacing w:after="0" w:line="240" w:lineRule="auto"/>
              <w:rPr>
                <w:rFonts w:ascii="Arial" w:hAnsi="Arial" w:eastAsia="Times New Roman" w:cs="Arial"/>
                <w:color w:val="000000"/>
                <w:sz w:val="20"/>
                <w:szCs w:val="20"/>
              </w:rPr>
            </w:pPr>
            <w:r w:rsidRPr="006F498F">
              <w:rPr>
                <w:rFonts w:ascii="Arial" w:hAnsi="Arial" w:eastAsia="Times New Roman" w:cs="Arial"/>
                <w:color w:val="000000"/>
                <w:sz w:val="20"/>
                <w:szCs w:val="20"/>
              </w:rPr>
              <w:t xml:space="preserve">Impact </w:t>
            </w:r>
            <w:r w:rsidRPr="006F498F" w:rsidR="00863349">
              <w:rPr>
                <w:rFonts w:ascii="Arial" w:hAnsi="Arial" w:eastAsia="Times New Roman" w:cs="Arial"/>
                <w:color w:val="000000"/>
                <w:sz w:val="20"/>
                <w:szCs w:val="20"/>
              </w:rPr>
              <w:t>evaluation</w:t>
            </w:r>
          </w:p>
        </w:tc>
        <w:tc>
          <w:tcPr>
            <w:tcW w:w="1403" w:type="dxa"/>
            <w:tcBorders>
              <w:top w:val="single" w:color="auto" w:sz="4" w:space="0"/>
              <w:left w:val="nil"/>
              <w:bottom w:val="single" w:color="auto" w:sz="4" w:space="0"/>
              <w:right w:val="single" w:color="auto" w:sz="4" w:space="0"/>
            </w:tcBorders>
            <w:shd w:val="clear" w:color="auto" w:fill="auto"/>
            <w:noWrap/>
            <w:vAlign w:val="center"/>
            <w:hideMark/>
          </w:tcPr>
          <w:p w:rsidRPr="006F498F" w:rsidR="00863349" w:rsidP="009C4123" w:rsidRDefault="00E86AB6" w14:paraId="497242FC" w14:textId="31336284">
            <w:pPr>
              <w:spacing w:after="0" w:line="240" w:lineRule="auto"/>
              <w:jc w:val="center"/>
              <w:rPr>
                <w:rFonts w:ascii="Arial" w:hAnsi="Arial" w:eastAsia="Times New Roman" w:cs="Arial"/>
                <w:color w:val="000000"/>
                <w:sz w:val="20"/>
                <w:szCs w:val="20"/>
              </w:rPr>
            </w:pPr>
            <w:r w:rsidRPr="006F498F">
              <w:rPr>
                <w:rFonts w:ascii="Arial" w:hAnsi="Arial" w:eastAsia="Times New Roman" w:cs="Arial"/>
                <w:color w:val="000000"/>
                <w:sz w:val="20"/>
                <w:szCs w:val="20"/>
              </w:rPr>
              <w:t>150</w:t>
            </w:r>
            <w:r w:rsidRPr="006F498F" w:rsidR="00863349">
              <w:rPr>
                <w:rFonts w:ascii="Arial" w:hAnsi="Arial" w:eastAsia="Times New Roman" w:cs="Arial"/>
                <w:color w:val="000000"/>
                <w:sz w:val="20"/>
                <w:szCs w:val="20"/>
              </w:rPr>
              <w:t>,000</w:t>
            </w:r>
          </w:p>
        </w:tc>
        <w:tc>
          <w:tcPr>
            <w:tcW w:w="1440" w:type="dxa"/>
            <w:tcBorders>
              <w:top w:val="single" w:color="auto" w:sz="4" w:space="0"/>
              <w:left w:val="nil"/>
              <w:bottom w:val="single" w:color="auto" w:sz="4" w:space="0"/>
              <w:right w:val="single" w:color="auto" w:sz="4" w:space="0"/>
            </w:tcBorders>
            <w:vAlign w:val="center"/>
          </w:tcPr>
          <w:p w:rsidRPr="006F498F" w:rsidR="00B07248" w:rsidP="009C4123" w:rsidRDefault="00B07248" w14:paraId="6AC2548C" w14:textId="77777777">
            <w:pPr>
              <w:spacing w:after="0" w:line="240" w:lineRule="auto"/>
              <w:jc w:val="center"/>
              <w:rPr>
                <w:rFonts w:ascii="Arial" w:hAnsi="Arial" w:eastAsia="Times New Roman" w:cs="Arial"/>
                <w:color w:val="000000"/>
                <w:sz w:val="20"/>
                <w:szCs w:val="20"/>
              </w:rPr>
            </w:pPr>
          </w:p>
        </w:tc>
        <w:tc>
          <w:tcPr>
            <w:tcW w:w="1260" w:type="dxa"/>
            <w:tcBorders>
              <w:top w:val="single" w:color="auto" w:sz="4" w:space="0"/>
              <w:left w:val="nil"/>
              <w:bottom w:val="single" w:color="auto" w:sz="4" w:space="0"/>
              <w:right w:val="single" w:color="auto" w:sz="4" w:space="0"/>
            </w:tcBorders>
            <w:vAlign w:val="center"/>
          </w:tcPr>
          <w:p w:rsidRPr="006F498F" w:rsidR="00B07248" w:rsidP="009C4123" w:rsidRDefault="006E6222" w14:paraId="329CDC19" w14:textId="1B573666">
            <w:pPr>
              <w:spacing w:after="0" w:line="240" w:lineRule="auto"/>
              <w:jc w:val="center"/>
              <w:rPr>
                <w:rFonts w:ascii="Arial" w:hAnsi="Arial" w:eastAsia="Times New Roman" w:cs="Arial"/>
                <w:color w:val="000000"/>
                <w:sz w:val="20"/>
                <w:szCs w:val="20"/>
              </w:rPr>
            </w:pPr>
            <w:r w:rsidRPr="006F498F">
              <w:rPr>
                <w:rFonts w:ascii="Arial" w:hAnsi="Arial" w:eastAsia="Times New Roman" w:cs="Arial"/>
                <w:color w:val="000000"/>
                <w:sz w:val="20"/>
                <w:szCs w:val="20"/>
              </w:rPr>
              <w:t>150</w:t>
            </w:r>
            <w:r w:rsidRPr="006F498F" w:rsidR="00B07248">
              <w:rPr>
                <w:rFonts w:ascii="Arial" w:hAnsi="Arial" w:eastAsia="Times New Roman" w:cs="Arial"/>
                <w:color w:val="000000"/>
                <w:sz w:val="20"/>
                <w:szCs w:val="20"/>
              </w:rPr>
              <w:t>,000</w:t>
            </w:r>
          </w:p>
        </w:tc>
      </w:tr>
      <w:tr w:rsidRPr="006F498F" w:rsidR="0022432D" w:rsidTr="009C4123" w14:paraId="02A12AF2" w14:textId="530D825E">
        <w:trPr>
          <w:trHeight w:val="300"/>
          <w:jc w:val="center"/>
        </w:trPr>
        <w:tc>
          <w:tcPr>
            <w:tcW w:w="1327" w:type="dxa"/>
            <w:vMerge/>
            <w:tcBorders>
              <w:left w:val="single" w:color="auto" w:sz="4" w:space="0"/>
              <w:bottom w:val="single" w:color="auto" w:sz="4" w:space="0"/>
              <w:right w:val="single" w:color="auto" w:sz="4" w:space="0"/>
            </w:tcBorders>
            <w:shd w:val="clear" w:color="000000" w:fill="D9D9D9"/>
            <w:noWrap/>
            <w:vAlign w:val="bottom"/>
          </w:tcPr>
          <w:p w:rsidRPr="006F498F" w:rsidR="00863349" w:rsidRDefault="00863349" w14:paraId="1ECE6344" w14:textId="28BB7969">
            <w:pPr>
              <w:spacing w:after="0" w:line="240" w:lineRule="auto"/>
              <w:jc w:val="center"/>
              <w:rPr>
                <w:rFonts w:ascii="Arial" w:hAnsi="Arial" w:eastAsia="Times New Roman" w:cs="Arial"/>
                <w:b/>
                <w:bCs/>
                <w:color w:val="000000"/>
                <w:sz w:val="20"/>
                <w:szCs w:val="20"/>
              </w:rPr>
            </w:pPr>
          </w:p>
        </w:tc>
        <w:tc>
          <w:tcPr>
            <w:tcW w:w="3565" w:type="dxa"/>
            <w:tcBorders>
              <w:top w:val="single" w:color="auto" w:sz="4" w:space="0"/>
              <w:left w:val="nil"/>
              <w:bottom w:val="single" w:color="auto" w:sz="4" w:space="0"/>
              <w:right w:val="single" w:color="auto" w:sz="4" w:space="0"/>
            </w:tcBorders>
            <w:shd w:val="clear" w:color="auto" w:fill="auto"/>
            <w:noWrap/>
            <w:vAlign w:val="center"/>
          </w:tcPr>
          <w:p w:rsidRPr="006F498F" w:rsidR="00863349" w:rsidP="009C4123" w:rsidRDefault="00863349" w14:paraId="6EC2DBED" w14:textId="499D2E47">
            <w:pPr>
              <w:spacing w:after="0" w:line="240" w:lineRule="auto"/>
              <w:rPr>
                <w:rFonts w:ascii="Arial" w:hAnsi="Arial" w:eastAsia="Times New Roman" w:cs="Arial"/>
                <w:color w:val="000000"/>
                <w:sz w:val="20"/>
                <w:szCs w:val="20"/>
              </w:rPr>
            </w:pPr>
            <w:r w:rsidRPr="006F498F">
              <w:rPr>
                <w:rFonts w:ascii="Arial" w:hAnsi="Arial" w:eastAsia="Times New Roman" w:cs="Arial"/>
                <w:color w:val="000000"/>
                <w:sz w:val="20"/>
                <w:szCs w:val="20"/>
              </w:rPr>
              <w:t>Bottleneck analysis</w:t>
            </w:r>
          </w:p>
        </w:tc>
        <w:tc>
          <w:tcPr>
            <w:tcW w:w="1403" w:type="dxa"/>
            <w:tcBorders>
              <w:top w:val="single" w:color="auto" w:sz="4" w:space="0"/>
              <w:left w:val="nil"/>
              <w:bottom w:val="single" w:color="auto" w:sz="4" w:space="0"/>
              <w:right w:val="single" w:color="auto" w:sz="4" w:space="0"/>
            </w:tcBorders>
            <w:shd w:val="clear" w:color="auto" w:fill="auto"/>
            <w:noWrap/>
            <w:vAlign w:val="center"/>
          </w:tcPr>
          <w:p w:rsidRPr="006F498F" w:rsidR="00863349" w:rsidP="009C4123" w:rsidRDefault="00E86AB6" w14:paraId="447C0417" w14:textId="6CED113D">
            <w:pPr>
              <w:spacing w:after="0" w:line="240" w:lineRule="auto"/>
              <w:jc w:val="center"/>
              <w:rPr>
                <w:rFonts w:ascii="Arial" w:hAnsi="Arial" w:eastAsia="Times New Roman" w:cs="Arial"/>
                <w:color w:val="000000"/>
                <w:sz w:val="20"/>
                <w:szCs w:val="20"/>
              </w:rPr>
            </w:pPr>
            <w:r w:rsidRPr="006F498F">
              <w:rPr>
                <w:rFonts w:ascii="Arial" w:hAnsi="Arial" w:eastAsia="Times New Roman" w:cs="Arial"/>
                <w:color w:val="000000"/>
                <w:sz w:val="20"/>
                <w:szCs w:val="20"/>
              </w:rPr>
              <w:t>60</w:t>
            </w:r>
            <w:r w:rsidRPr="006F498F" w:rsidR="00863349">
              <w:rPr>
                <w:rFonts w:ascii="Arial" w:hAnsi="Arial" w:eastAsia="Times New Roman" w:cs="Arial"/>
                <w:color w:val="000000"/>
                <w:sz w:val="20"/>
                <w:szCs w:val="20"/>
              </w:rPr>
              <w:t>,000</w:t>
            </w:r>
          </w:p>
        </w:tc>
        <w:tc>
          <w:tcPr>
            <w:tcW w:w="1440" w:type="dxa"/>
            <w:tcBorders>
              <w:top w:val="single" w:color="auto" w:sz="4" w:space="0"/>
              <w:left w:val="nil"/>
              <w:bottom w:val="single" w:color="auto" w:sz="4" w:space="0"/>
              <w:right w:val="single" w:color="auto" w:sz="4" w:space="0"/>
            </w:tcBorders>
            <w:vAlign w:val="center"/>
          </w:tcPr>
          <w:p w:rsidRPr="006F498F" w:rsidR="00B07248" w:rsidP="009C4123" w:rsidRDefault="00B07248" w14:paraId="7C1A08CF" w14:textId="77777777">
            <w:pPr>
              <w:spacing w:after="0" w:line="240" w:lineRule="auto"/>
              <w:jc w:val="center"/>
              <w:rPr>
                <w:rFonts w:ascii="Arial" w:hAnsi="Arial" w:eastAsia="Times New Roman" w:cs="Arial"/>
                <w:color w:val="000000"/>
                <w:sz w:val="20"/>
                <w:szCs w:val="20"/>
              </w:rPr>
            </w:pPr>
          </w:p>
        </w:tc>
        <w:tc>
          <w:tcPr>
            <w:tcW w:w="1260" w:type="dxa"/>
            <w:tcBorders>
              <w:top w:val="single" w:color="auto" w:sz="4" w:space="0"/>
              <w:left w:val="nil"/>
              <w:bottom w:val="single" w:color="auto" w:sz="4" w:space="0"/>
              <w:right w:val="single" w:color="auto" w:sz="4" w:space="0"/>
            </w:tcBorders>
            <w:vAlign w:val="center"/>
          </w:tcPr>
          <w:p w:rsidRPr="006F498F" w:rsidR="00B07248" w:rsidP="009C4123" w:rsidRDefault="006E6222" w14:paraId="556BB36A" w14:textId="65B16CF7">
            <w:pPr>
              <w:spacing w:after="0" w:line="240" w:lineRule="auto"/>
              <w:jc w:val="center"/>
              <w:rPr>
                <w:rFonts w:ascii="Arial" w:hAnsi="Arial" w:eastAsia="Times New Roman" w:cs="Arial"/>
                <w:color w:val="000000"/>
                <w:sz w:val="20"/>
                <w:szCs w:val="20"/>
              </w:rPr>
            </w:pPr>
            <w:r w:rsidRPr="006F498F">
              <w:rPr>
                <w:rFonts w:ascii="Arial" w:hAnsi="Arial" w:eastAsia="Times New Roman" w:cs="Arial"/>
                <w:color w:val="000000"/>
                <w:sz w:val="20"/>
                <w:szCs w:val="20"/>
              </w:rPr>
              <w:t>6</w:t>
            </w:r>
            <w:r w:rsidRPr="006F498F" w:rsidR="00B07248">
              <w:rPr>
                <w:rFonts w:ascii="Arial" w:hAnsi="Arial" w:eastAsia="Times New Roman" w:cs="Arial"/>
                <w:color w:val="000000"/>
                <w:sz w:val="20"/>
                <w:szCs w:val="20"/>
              </w:rPr>
              <w:t>0,000</w:t>
            </w:r>
          </w:p>
        </w:tc>
      </w:tr>
      <w:tr w:rsidRPr="006F498F" w:rsidR="0022432D" w:rsidTr="009C4123" w14:paraId="23AA3377" w14:textId="77777777">
        <w:trPr>
          <w:trHeight w:val="300"/>
          <w:jc w:val="center"/>
        </w:trPr>
        <w:tc>
          <w:tcPr>
            <w:tcW w:w="1327" w:type="dxa"/>
            <w:tcBorders>
              <w:left w:val="single" w:color="auto" w:sz="4" w:space="0"/>
              <w:bottom w:val="single" w:color="auto" w:sz="4" w:space="0"/>
              <w:right w:val="single" w:color="auto" w:sz="4" w:space="0"/>
            </w:tcBorders>
            <w:shd w:val="clear" w:color="000000" w:fill="D9D9D9"/>
            <w:noWrap/>
            <w:vAlign w:val="bottom"/>
          </w:tcPr>
          <w:p w:rsidRPr="006F498F" w:rsidR="00713718" w:rsidP="00B07248" w:rsidRDefault="00713718" w14:paraId="272625B5" w14:textId="77777777">
            <w:pPr>
              <w:spacing w:after="0" w:line="240" w:lineRule="auto"/>
              <w:jc w:val="center"/>
              <w:rPr>
                <w:rFonts w:ascii="Arial" w:hAnsi="Arial" w:eastAsia="Times New Roman" w:cs="Arial"/>
                <w:b/>
                <w:bCs/>
                <w:color w:val="000000"/>
                <w:sz w:val="20"/>
                <w:szCs w:val="20"/>
              </w:rPr>
            </w:pPr>
          </w:p>
        </w:tc>
        <w:tc>
          <w:tcPr>
            <w:tcW w:w="3565" w:type="dxa"/>
            <w:tcBorders>
              <w:top w:val="single" w:color="auto" w:sz="4" w:space="0"/>
              <w:left w:val="nil"/>
              <w:bottom w:val="single" w:color="auto" w:sz="4" w:space="0"/>
              <w:right w:val="single" w:color="auto" w:sz="4" w:space="0"/>
            </w:tcBorders>
            <w:shd w:val="clear" w:color="auto" w:fill="auto"/>
            <w:noWrap/>
            <w:vAlign w:val="center"/>
          </w:tcPr>
          <w:p w:rsidRPr="006F498F" w:rsidR="00713718" w:rsidP="00A62930" w:rsidRDefault="00713718" w14:paraId="7D81626C" w14:textId="743BC65C">
            <w:pPr>
              <w:spacing w:after="0" w:line="240" w:lineRule="auto"/>
              <w:jc w:val="right"/>
              <w:rPr>
                <w:rFonts w:ascii="Arial" w:hAnsi="Arial" w:eastAsia="Times New Roman" w:cs="Arial"/>
                <w:b/>
                <w:bCs/>
                <w:color w:val="000000"/>
                <w:sz w:val="20"/>
                <w:szCs w:val="20"/>
              </w:rPr>
            </w:pPr>
            <w:r w:rsidRPr="006F498F">
              <w:rPr>
                <w:rFonts w:ascii="Arial" w:hAnsi="Arial" w:eastAsia="Times New Roman" w:cs="Arial"/>
                <w:b/>
                <w:bCs/>
                <w:color w:val="000000"/>
                <w:sz w:val="20"/>
                <w:szCs w:val="20"/>
              </w:rPr>
              <w:t>Total</w:t>
            </w:r>
          </w:p>
        </w:tc>
        <w:tc>
          <w:tcPr>
            <w:tcW w:w="1403" w:type="dxa"/>
            <w:tcBorders>
              <w:top w:val="single" w:color="auto" w:sz="4" w:space="0"/>
              <w:left w:val="nil"/>
              <w:bottom w:val="single" w:color="auto" w:sz="4" w:space="0"/>
              <w:right w:val="single" w:color="auto" w:sz="4" w:space="0"/>
            </w:tcBorders>
            <w:shd w:val="clear" w:color="auto" w:fill="auto"/>
            <w:noWrap/>
            <w:vAlign w:val="center"/>
          </w:tcPr>
          <w:p w:rsidRPr="006F498F" w:rsidR="00713718" w:rsidP="009C4123" w:rsidRDefault="00713718" w14:paraId="67A9C8FC" w14:textId="37F49920">
            <w:pPr>
              <w:spacing w:after="0" w:line="240" w:lineRule="auto"/>
              <w:jc w:val="center"/>
              <w:rPr>
                <w:rFonts w:ascii="Arial" w:hAnsi="Arial" w:eastAsia="Times New Roman" w:cs="Arial"/>
                <w:b/>
                <w:bCs/>
                <w:color w:val="000000"/>
                <w:sz w:val="20"/>
                <w:szCs w:val="20"/>
              </w:rPr>
            </w:pPr>
            <w:r w:rsidRPr="006F498F">
              <w:rPr>
                <w:rFonts w:ascii="Arial" w:hAnsi="Arial" w:eastAsia="Times New Roman" w:cs="Arial"/>
                <w:b/>
                <w:bCs/>
                <w:color w:val="000000"/>
                <w:sz w:val="20"/>
                <w:szCs w:val="20"/>
              </w:rPr>
              <w:t>210,000</w:t>
            </w:r>
          </w:p>
        </w:tc>
        <w:tc>
          <w:tcPr>
            <w:tcW w:w="1440" w:type="dxa"/>
            <w:tcBorders>
              <w:top w:val="single" w:color="auto" w:sz="4" w:space="0"/>
              <w:left w:val="nil"/>
              <w:bottom w:val="single" w:color="auto" w:sz="4" w:space="0"/>
              <w:right w:val="single" w:color="auto" w:sz="4" w:space="0"/>
            </w:tcBorders>
            <w:vAlign w:val="center"/>
          </w:tcPr>
          <w:p w:rsidRPr="006F498F" w:rsidR="00713718" w:rsidP="009C4123" w:rsidRDefault="006E4E0B" w14:paraId="77906035" w14:textId="47AE2C19">
            <w:pPr>
              <w:spacing w:after="0" w:line="240" w:lineRule="auto"/>
              <w:jc w:val="center"/>
              <w:rPr>
                <w:rFonts w:ascii="Arial" w:hAnsi="Arial" w:eastAsia="Times New Roman" w:cs="Arial"/>
                <w:b/>
                <w:bCs/>
                <w:color w:val="000000"/>
                <w:sz w:val="20"/>
                <w:szCs w:val="20"/>
              </w:rPr>
            </w:pPr>
            <w:r w:rsidRPr="006F498F">
              <w:rPr>
                <w:rFonts w:ascii="Arial" w:hAnsi="Arial" w:eastAsia="Times New Roman" w:cs="Arial"/>
                <w:b/>
                <w:bCs/>
                <w:color w:val="000000"/>
                <w:sz w:val="20"/>
                <w:szCs w:val="20"/>
              </w:rPr>
              <w:t>500,000</w:t>
            </w:r>
          </w:p>
        </w:tc>
        <w:tc>
          <w:tcPr>
            <w:tcW w:w="1260" w:type="dxa"/>
            <w:tcBorders>
              <w:top w:val="single" w:color="auto" w:sz="4" w:space="0"/>
              <w:left w:val="nil"/>
              <w:bottom w:val="single" w:color="auto" w:sz="4" w:space="0"/>
              <w:right w:val="single" w:color="auto" w:sz="4" w:space="0"/>
            </w:tcBorders>
            <w:vAlign w:val="center"/>
          </w:tcPr>
          <w:p w:rsidRPr="006F498F" w:rsidR="00713718" w:rsidP="009C4123" w:rsidRDefault="006E4E0B" w14:paraId="78C7CA56" w14:textId="2E86EF6E">
            <w:pPr>
              <w:spacing w:after="0" w:line="240" w:lineRule="auto"/>
              <w:jc w:val="center"/>
              <w:rPr>
                <w:rFonts w:ascii="Arial" w:hAnsi="Arial" w:eastAsia="Times New Roman" w:cs="Arial"/>
                <w:b/>
                <w:bCs/>
                <w:color w:val="000000"/>
                <w:sz w:val="20"/>
                <w:szCs w:val="20"/>
              </w:rPr>
            </w:pPr>
            <w:r w:rsidRPr="006F498F">
              <w:rPr>
                <w:rFonts w:ascii="Arial" w:hAnsi="Arial" w:eastAsia="Times New Roman" w:cs="Arial"/>
                <w:b/>
                <w:bCs/>
                <w:color w:val="000000"/>
                <w:sz w:val="20"/>
                <w:szCs w:val="20"/>
              </w:rPr>
              <w:t>710,000</w:t>
            </w:r>
          </w:p>
        </w:tc>
      </w:tr>
    </w:tbl>
    <w:p w:rsidRPr="000F744C" w:rsidR="00682309" w:rsidP="00682309" w:rsidRDefault="00682309" w14:paraId="1FC73BE6" w14:textId="77777777">
      <w:pPr>
        <w:pStyle w:val="ListParagraph"/>
        <w:spacing w:before="120" w:after="120" w:line="240" w:lineRule="auto"/>
        <w:ind w:left="360"/>
        <w:contextualSpacing w:val="0"/>
        <w:jc w:val="both"/>
        <w:rPr>
          <w:rFonts w:ascii="Arial" w:hAnsi="Arial" w:cs="Arial"/>
        </w:rPr>
      </w:pPr>
    </w:p>
    <w:p w:rsidRPr="000F744C" w:rsidR="0095711B" w:rsidP="54260729" w:rsidRDefault="0095711B" w14:paraId="3BBAB21F" w14:textId="72AF4F93">
      <w:pPr>
        <w:pStyle w:val="ListParagraph"/>
        <w:numPr>
          <w:ilvl w:val="0"/>
          <w:numId w:val="5"/>
        </w:numPr>
        <w:spacing w:before="120" w:after="120" w:line="240" w:lineRule="auto"/>
        <w:contextualSpacing w:val="0"/>
        <w:rPr>
          <w:rFonts w:ascii="Arial" w:hAnsi="Arial" w:eastAsia="Arial" w:cs="Arial"/>
          <w:b/>
          <w:bCs/>
        </w:rPr>
      </w:pPr>
      <w:r w:rsidRPr="26B9D784">
        <w:rPr>
          <w:rFonts w:ascii="Arial" w:hAnsi="Arial" w:eastAsia="Arial" w:cs="Arial"/>
          <w:b/>
          <w:bCs/>
        </w:rPr>
        <w:t>Executing agency and execution structure</w:t>
      </w:r>
    </w:p>
    <w:p w:rsidRPr="009C0879" w:rsidR="002571A8" w:rsidP="00C17C73" w:rsidRDefault="002571A8" w14:paraId="291DA06A" w14:textId="554835D5">
      <w:pPr>
        <w:pStyle w:val="ListParagraph"/>
        <w:numPr>
          <w:ilvl w:val="1"/>
          <w:numId w:val="5"/>
        </w:numPr>
        <w:spacing w:before="120" w:after="120" w:line="240" w:lineRule="auto"/>
        <w:ind w:hanging="547"/>
        <w:contextualSpacing w:val="0"/>
        <w:jc w:val="both"/>
        <w:rPr>
          <w:rFonts w:ascii="Arial" w:hAnsi="Arial" w:eastAsia="Arial" w:cs="Arial"/>
        </w:rPr>
      </w:pPr>
      <w:r w:rsidRPr="009C0879">
        <w:rPr>
          <w:rFonts w:ascii="Arial" w:hAnsi="Arial" w:eastAsia="Arial" w:cs="Arial"/>
        </w:rPr>
        <w:t xml:space="preserve">As requested by </w:t>
      </w:r>
      <w:r w:rsidRPr="009C0879" w:rsidR="00D26717">
        <w:rPr>
          <w:rFonts w:ascii="Arial" w:hAnsi="Arial" w:eastAsia="Arial" w:cs="Arial"/>
        </w:rPr>
        <w:t>SecTet (see annexes)</w:t>
      </w:r>
      <w:r w:rsidRPr="009C0879">
        <w:rPr>
          <w:rFonts w:ascii="Arial" w:hAnsi="Arial" w:eastAsia="Arial" w:cs="Arial"/>
        </w:rPr>
        <w:t xml:space="preserve">, the executing agency of this TC will be the </w:t>
      </w:r>
      <w:r w:rsidR="0074447A">
        <w:rPr>
          <w:rFonts w:ascii="Arial" w:hAnsi="Arial" w:eastAsia="Arial" w:cs="Arial"/>
        </w:rPr>
        <w:t>Fundação Itaú para Educação e Cultura (</w:t>
      </w:r>
      <w:r w:rsidRPr="009C0879">
        <w:rPr>
          <w:rFonts w:ascii="Arial" w:hAnsi="Arial" w:eastAsia="Arial" w:cs="Arial"/>
        </w:rPr>
        <w:t>FIEC</w:t>
      </w:r>
      <w:r w:rsidR="0074447A">
        <w:rPr>
          <w:rFonts w:ascii="Arial" w:hAnsi="Arial" w:eastAsia="Arial" w:cs="Arial"/>
        </w:rPr>
        <w:t>)</w:t>
      </w:r>
      <w:r w:rsidRPr="009C0879">
        <w:rPr>
          <w:rFonts w:ascii="Arial" w:hAnsi="Arial" w:eastAsia="Arial" w:cs="Arial"/>
        </w:rPr>
        <w:t>. The IDB will sign a TC Agreement with FIEC to formalize the terms and conditions of the transfer and use of the non-reimbursable technical cooperation resources.</w:t>
      </w:r>
      <w:r w:rsidRPr="009C0879" w:rsidR="009C0879">
        <w:rPr>
          <w:rFonts w:ascii="Arial" w:hAnsi="Arial" w:eastAsia="Arial" w:cs="Arial"/>
        </w:rPr>
        <w:t xml:space="preserve"> F</w:t>
      </w:r>
      <w:r w:rsidRPr="009C0879">
        <w:rPr>
          <w:rFonts w:ascii="Arial" w:hAnsi="Arial" w:eastAsia="Arial" w:cs="Arial"/>
        </w:rPr>
        <w:t xml:space="preserve">IEC is a private, non-profit foundation, and was created by Itaú Unibanco, which for more than 30 years have developed several programs committed to improving Brazilian public education. </w:t>
      </w:r>
      <w:r w:rsidRPr="009C0879" w:rsidR="009C0879">
        <w:rPr>
          <w:rFonts w:ascii="Arial" w:hAnsi="Arial" w:eastAsia="Arial" w:cs="Arial"/>
        </w:rPr>
        <w:t xml:space="preserve">Besides having experience working with most of states in Brazil in the TVET topic, FIEC has already experience to execute IDB’s TC (BR-T1460). </w:t>
      </w:r>
      <w:r w:rsidRPr="009C0879">
        <w:rPr>
          <w:rFonts w:ascii="Arial" w:hAnsi="Arial" w:eastAsia="Arial" w:cs="Arial"/>
        </w:rPr>
        <w:t>FIEC will use its systems for procurement, financial management and reporting, project management, and monitoring and evaluation of the project effectiveness. A training regarding IDBs financial procedures will be scheduled after the approval of the TC and before starting the execution.</w:t>
      </w:r>
    </w:p>
    <w:p w:rsidRPr="00EF090C" w:rsidR="002571A8" w:rsidP="00C17C73" w:rsidRDefault="000B76D4" w14:paraId="3D28F2C9" w14:textId="7CB96150">
      <w:pPr>
        <w:pStyle w:val="ListParagraph"/>
        <w:numPr>
          <w:ilvl w:val="1"/>
          <w:numId w:val="5"/>
        </w:numPr>
        <w:spacing w:before="120" w:after="120" w:line="240" w:lineRule="auto"/>
        <w:ind w:hanging="547"/>
        <w:contextualSpacing w:val="0"/>
        <w:jc w:val="both"/>
        <w:rPr>
          <w:rFonts w:ascii="Arial" w:hAnsi="Arial" w:eastAsia="Arial" w:cs="Arial"/>
        </w:rPr>
      </w:pPr>
      <w:r w:rsidRPr="00EF090C">
        <w:rPr>
          <w:rFonts w:ascii="Arial" w:hAnsi="Arial" w:eastAsia="Arial" w:cs="Arial"/>
        </w:rPr>
        <w:t xml:space="preserve">IDB will closely monitor the TC execution. </w:t>
      </w:r>
      <w:r w:rsidRPr="00EF090C" w:rsidR="002571A8">
        <w:rPr>
          <w:rFonts w:ascii="Arial" w:hAnsi="Arial" w:eastAsia="Arial" w:cs="Arial"/>
        </w:rPr>
        <w:t xml:space="preserve">The active role of the Bank in this TC may have positive externalities for other countries in the region. Finally, the IDB, with its relationship with Consed (the national council of head of state departments of education) will be able to scale the learnings from this initiative to other states. The TC disbursement and execution period will be </w:t>
      </w:r>
      <w:r w:rsidR="00EF090C">
        <w:rPr>
          <w:rFonts w:ascii="Arial" w:hAnsi="Arial" w:eastAsia="Arial" w:cs="Arial"/>
        </w:rPr>
        <w:t>24</w:t>
      </w:r>
      <w:r w:rsidRPr="00EF090C" w:rsidR="002571A8">
        <w:rPr>
          <w:rFonts w:ascii="Arial" w:hAnsi="Arial" w:eastAsia="Arial" w:cs="Arial"/>
        </w:rPr>
        <w:t xml:space="preserve"> months.</w:t>
      </w:r>
    </w:p>
    <w:p w:rsidR="00AA3BA8" w:rsidP="00626F59" w:rsidRDefault="002571A8" w14:paraId="32561C8C" w14:textId="6033DEA9">
      <w:pPr>
        <w:pStyle w:val="ListParagraph"/>
        <w:numPr>
          <w:ilvl w:val="1"/>
          <w:numId w:val="5"/>
        </w:numPr>
        <w:spacing w:before="120" w:after="120" w:line="240" w:lineRule="auto"/>
        <w:ind w:hanging="547"/>
        <w:contextualSpacing w:val="0"/>
        <w:jc w:val="both"/>
        <w:rPr>
          <w:rFonts w:ascii="Arial" w:hAnsi="Arial" w:eastAsia="Arial" w:cs="Arial"/>
        </w:rPr>
      </w:pPr>
      <w:r w:rsidRPr="00EA4599">
        <w:rPr>
          <w:rFonts w:ascii="Arial" w:hAnsi="Arial" w:eastAsia="Arial" w:cs="Arial"/>
        </w:rPr>
        <w:t>Activities to be executed under this TC have been included in the Procurement Plan 2 (see Annex IV) and, considering that FIEC is a private sector entity, procurement will be made using FIEC’</w:t>
      </w:r>
      <w:r w:rsidRPr="00EA4599" w:rsidR="009655B3">
        <w:rPr>
          <w:rFonts w:ascii="Arial" w:hAnsi="Arial" w:eastAsia="Arial" w:cs="Arial"/>
        </w:rPr>
        <w:t>s</w:t>
      </w:r>
      <w:r w:rsidRPr="00EA4599">
        <w:rPr>
          <w:rFonts w:ascii="Arial" w:hAnsi="Arial" w:eastAsia="Arial" w:cs="Arial"/>
        </w:rPr>
        <w:t xml:space="preserve"> procedures according to appendix IV of the Policies for the Procurement of Goods and Works financed by the IDB (GN-2349-15) and appendix IV of the Policies for the Selection and Contracting of Consultants financed by the IDB (GN-2350-15), both of May 2019. FIEC has extensive experience in the execution of similar projects to the one targeted by this TC so the risks are considered low from the point of view of procurement and financial management. As a result, it is expected that the procurement supervision modality will be ex post. </w:t>
      </w:r>
      <w:r w:rsidR="00EA4599">
        <w:rPr>
          <w:rFonts w:ascii="Arial" w:hAnsi="Arial" w:eastAsia="Arial" w:cs="Arial"/>
        </w:rPr>
        <w:t xml:space="preserve">Finally, </w:t>
      </w:r>
      <w:r w:rsidR="00D73ABE">
        <w:rPr>
          <w:rFonts w:ascii="Arial" w:hAnsi="Arial" w:eastAsia="Arial" w:cs="Arial"/>
        </w:rPr>
        <w:t xml:space="preserve">there is one good </w:t>
      </w:r>
      <w:r w:rsidR="004131B1">
        <w:rPr>
          <w:rFonts w:ascii="Arial" w:hAnsi="Arial" w:eastAsia="Arial" w:cs="Arial"/>
        </w:rPr>
        <w:t>of approximate</w:t>
      </w:r>
      <w:r w:rsidR="00356126">
        <w:rPr>
          <w:rFonts w:ascii="Arial" w:hAnsi="Arial" w:eastAsia="Arial" w:cs="Arial"/>
        </w:rPr>
        <w:t>ly</w:t>
      </w:r>
      <w:r w:rsidR="004131B1">
        <w:rPr>
          <w:rFonts w:ascii="Arial" w:hAnsi="Arial" w:eastAsia="Arial" w:cs="Arial"/>
        </w:rPr>
        <w:t xml:space="preserve"> USD200,000 </w:t>
      </w:r>
      <w:r w:rsidR="00D73ABE">
        <w:rPr>
          <w:rFonts w:ascii="Arial" w:hAnsi="Arial" w:eastAsia="Arial" w:cs="Arial"/>
        </w:rPr>
        <w:t>which will be purchased for this project</w:t>
      </w:r>
      <w:r w:rsidR="004131B1">
        <w:rPr>
          <w:rFonts w:ascii="Arial" w:hAnsi="Arial" w:eastAsia="Arial" w:cs="Arial"/>
        </w:rPr>
        <w:t>.</w:t>
      </w:r>
      <w:r w:rsidR="00D73ABE">
        <w:rPr>
          <w:rFonts w:ascii="Arial" w:hAnsi="Arial" w:eastAsia="Arial" w:cs="Arial"/>
        </w:rPr>
        <w:t xml:space="preserve"> </w:t>
      </w:r>
      <w:r w:rsidR="004131B1">
        <w:rPr>
          <w:rFonts w:ascii="Arial" w:hAnsi="Arial" w:eastAsia="Arial" w:cs="Arial"/>
        </w:rPr>
        <w:t xml:space="preserve">It </w:t>
      </w:r>
      <w:r w:rsidR="007F255F">
        <w:rPr>
          <w:rFonts w:ascii="Arial" w:hAnsi="Arial" w:eastAsia="Arial" w:cs="Arial"/>
        </w:rPr>
        <w:t>is</w:t>
      </w:r>
      <w:r w:rsidR="004131B1">
        <w:rPr>
          <w:rFonts w:ascii="Arial" w:hAnsi="Arial" w:eastAsia="Arial" w:cs="Arial"/>
        </w:rPr>
        <w:t xml:space="preserve"> </w:t>
      </w:r>
      <w:r w:rsidR="00D73ABE">
        <w:rPr>
          <w:rFonts w:ascii="Arial" w:hAnsi="Arial" w:eastAsia="Arial" w:cs="Arial"/>
        </w:rPr>
        <w:t xml:space="preserve">the truck cart which will contain the pedagogic laboratory </w:t>
      </w:r>
      <w:r w:rsidR="00A32BC3">
        <w:rPr>
          <w:rFonts w:ascii="Arial" w:hAnsi="Arial" w:eastAsia="Arial" w:cs="Arial"/>
        </w:rPr>
        <w:t>with equipment required for teaching-learning practices</w:t>
      </w:r>
      <w:r w:rsidR="002127A7">
        <w:rPr>
          <w:rFonts w:ascii="Arial" w:hAnsi="Arial" w:eastAsia="Arial" w:cs="Arial"/>
        </w:rPr>
        <w:t>.</w:t>
      </w:r>
      <w:r w:rsidR="007F255F">
        <w:rPr>
          <w:rFonts w:ascii="Arial" w:hAnsi="Arial" w:eastAsia="Arial" w:cs="Arial"/>
        </w:rPr>
        <w:t xml:space="preserve"> The process for that is </w:t>
      </w:r>
      <w:r w:rsidR="006F635C">
        <w:rPr>
          <w:rFonts w:ascii="Arial" w:hAnsi="Arial" w:eastAsia="Arial" w:cs="Arial"/>
        </w:rPr>
        <w:t>simplified competitive process.</w:t>
      </w:r>
      <w:r w:rsidR="00FC0D58">
        <w:rPr>
          <w:rFonts w:ascii="Arial" w:hAnsi="Arial" w:eastAsia="Arial" w:cs="Arial"/>
        </w:rPr>
        <w:t xml:space="preserve"> As per IDB’s policy, </w:t>
      </w:r>
      <w:r w:rsidR="00AC6282">
        <w:rPr>
          <w:rFonts w:ascii="Arial" w:hAnsi="Arial" w:eastAsia="Arial" w:cs="Arial"/>
        </w:rPr>
        <w:t xml:space="preserve">in the case of a TC executed outside the Bank, </w:t>
      </w:r>
      <w:r w:rsidR="00FC0D58">
        <w:rPr>
          <w:rFonts w:ascii="Arial" w:hAnsi="Arial" w:eastAsia="Arial" w:cs="Arial"/>
        </w:rPr>
        <w:t xml:space="preserve">the procurement of goods should </w:t>
      </w:r>
      <w:r w:rsidRPr="5AE2A808" w:rsidR="1E5C0B6A">
        <w:rPr>
          <w:rFonts w:ascii="Arial" w:hAnsi="Arial" w:eastAsia="Arial" w:cs="Arial"/>
        </w:rPr>
        <w:t>not</w:t>
      </w:r>
      <w:r w:rsidRPr="5AE2A808" w:rsidR="7142E1C8">
        <w:rPr>
          <w:rFonts w:ascii="Arial" w:hAnsi="Arial" w:eastAsia="Arial" w:cs="Arial"/>
        </w:rPr>
        <w:t xml:space="preserve"> </w:t>
      </w:r>
      <w:r w:rsidR="00FC0D58">
        <w:rPr>
          <w:rFonts w:ascii="Arial" w:hAnsi="Arial" w:eastAsia="Arial" w:cs="Arial"/>
        </w:rPr>
        <w:t xml:space="preserve">be </w:t>
      </w:r>
      <w:r w:rsidRPr="5AE2A808" w:rsidR="1FFF9A58">
        <w:rPr>
          <w:rFonts w:ascii="Arial" w:hAnsi="Arial" w:eastAsia="Arial" w:cs="Arial"/>
        </w:rPr>
        <w:t>greater</w:t>
      </w:r>
      <w:r w:rsidRPr="5AE2A808" w:rsidR="7142E1C8">
        <w:rPr>
          <w:rFonts w:ascii="Arial" w:hAnsi="Arial" w:eastAsia="Arial" w:cs="Arial"/>
        </w:rPr>
        <w:t xml:space="preserve"> </w:t>
      </w:r>
      <w:r w:rsidR="00FC0D58">
        <w:rPr>
          <w:rFonts w:ascii="Arial" w:hAnsi="Arial" w:eastAsia="Arial" w:cs="Arial"/>
        </w:rPr>
        <w:t>than 30% of the total amount of the TC</w:t>
      </w:r>
      <w:r w:rsidR="00AC6282">
        <w:rPr>
          <w:rFonts w:ascii="Arial" w:hAnsi="Arial" w:eastAsia="Arial" w:cs="Arial"/>
        </w:rPr>
        <w:t>.</w:t>
      </w:r>
      <w:r w:rsidR="00F17C40">
        <w:rPr>
          <w:rFonts w:ascii="Arial" w:hAnsi="Arial" w:eastAsia="Arial" w:cs="Arial"/>
        </w:rPr>
        <w:t xml:space="preserve"> This truck</w:t>
      </w:r>
      <w:r w:rsidR="002F074A">
        <w:rPr>
          <w:rFonts w:ascii="Arial" w:hAnsi="Arial" w:eastAsia="Arial" w:cs="Arial"/>
        </w:rPr>
        <w:t>-</w:t>
      </w:r>
      <w:r w:rsidR="00F17C40">
        <w:rPr>
          <w:rFonts w:ascii="Arial" w:hAnsi="Arial" w:eastAsia="Arial" w:cs="Arial"/>
        </w:rPr>
        <w:t>cart will be procured by FIEC and</w:t>
      </w:r>
      <w:r w:rsidR="00744E1B">
        <w:rPr>
          <w:rFonts w:ascii="Arial" w:hAnsi="Arial" w:eastAsia="Arial" w:cs="Arial"/>
        </w:rPr>
        <w:t xml:space="preserve"> the agreement between FIEC and SecTet (see 5.5) should specify that </w:t>
      </w:r>
      <w:r w:rsidR="00134C96">
        <w:rPr>
          <w:rFonts w:ascii="Arial" w:hAnsi="Arial" w:eastAsia="Arial" w:cs="Arial"/>
        </w:rPr>
        <w:t>this cart will be donated to SecTet, which will be responsible for maintaining and operating it</w:t>
      </w:r>
      <w:r w:rsidR="00BA4D31">
        <w:rPr>
          <w:rFonts w:ascii="Arial" w:hAnsi="Arial" w:eastAsia="Arial" w:cs="Arial"/>
        </w:rPr>
        <w:t>.</w:t>
      </w:r>
    </w:p>
    <w:p w:rsidRPr="00EA4599" w:rsidR="002571A8" w:rsidP="00626F59" w:rsidRDefault="00AA3BA8" w14:paraId="10F9F403" w14:textId="11E803FC">
      <w:pPr>
        <w:pStyle w:val="ListParagraph"/>
        <w:numPr>
          <w:ilvl w:val="1"/>
          <w:numId w:val="5"/>
        </w:numPr>
        <w:spacing w:before="120" w:after="120" w:line="240" w:lineRule="auto"/>
        <w:ind w:hanging="547"/>
        <w:contextualSpacing w:val="0"/>
        <w:jc w:val="both"/>
        <w:rPr>
          <w:rFonts w:ascii="Arial" w:hAnsi="Arial" w:eastAsia="Arial" w:cs="Arial"/>
        </w:rPr>
      </w:pPr>
      <w:r w:rsidRPr="00AA3BA8">
        <w:rPr>
          <w:rFonts w:ascii="Arial" w:hAnsi="Arial" w:eastAsia="Arial" w:cs="Arial"/>
        </w:rPr>
        <w:t xml:space="preserve">Intellectual property. </w:t>
      </w:r>
      <w:r w:rsidRPr="00E9160C" w:rsidR="00E9160C">
        <w:rPr>
          <w:rFonts w:ascii="Arial" w:hAnsi="Arial" w:eastAsia="Arial" w:cs="Arial"/>
        </w:rPr>
        <w:t xml:space="preserve">The intellectual property rights of the products derived from this TC shall be owned by the Bank. In any case, the Bank may enter into contractual arrangements to license </w:t>
      </w:r>
      <w:r w:rsidR="00A75ED9">
        <w:rPr>
          <w:rFonts w:ascii="Arial" w:hAnsi="Arial" w:eastAsia="Arial" w:cs="Arial"/>
        </w:rPr>
        <w:t xml:space="preserve">these </w:t>
      </w:r>
      <w:r w:rsidRPr="00E9160C" w:rsidR="00E9160C">
        <w:rPr>
          <w:rFonts w:ascii="Arial" w:hAnsi="Arial" w:eastAsia="Arial" w:cs="Arial"/>
        </w:rPr>
        <w:t xml:space="preserve">products so that </w:t>
      </w:r>
      <w:r w:rsidR="00A75ED9">
        <w:rPr>
          <w:rFonts w:ascii="Arial" w:hAnsi="Arial" w:eastAsia="Arial" w:cs="Arial"/>
        </w:rPr>
        <w:t>FIEC and SecTet</w:t>
      </w:r>
      <w:r w:rsidRPr="00E9160C" w:rsidR="00E9160C">
        <w:rPr>
          <w:rFonts w:ascii="Arial" w:hAnsi="Arial" w:eastAsia="Arial" w:cs="Arial"/>
        </w:rPr>
        <w:t xml:space="preserve"> may take advantage of the products financed by this TC for non-commercial purposes, in accordance with its AM-331 of the Bank's Administrative Manual (Procedures for the Publication of Knowledge Products).</w:t>
      </w:r>
      <w:r w:rsidR="00D20677">
        <w:rPr>
          <w:rFonts w:ascii="Arial" w:hAnsi="Arial" w:eastAsia="Arial" w:cs="Arial"/>
        </w:rPr>
        <w:t xml:space="preserve"> </w:t>
      </w:r>
    </w:p>
    <w:p w:rsidRPr="004D46C7" w:rsidR="002571A8" w:rsidP="00626F59" w:rsidRDefault="002571A8" w14:paraId="7C0F9DB3" w14:textId="7D2A5140">
      <w:pPr>
        <w:pStyle w:val="ListParagraph"/>
        <w:numPr>
          <w:ilvl w:val="1"/>
          <w:numId w:val="5"/>
        </w:numPr>
        <w:spacing w:before="120" w:after="120" w:line="240" w:lineRule="auto"/>
        <w:ind w:hanging="547"/>
        <w:contextualSpacing w:val="0"/>
        <w:jc w:val="both"/>
        <w:rPr>
          <w:rFonts w:ascii="Arial" w:hAnsi="Arial" w:eastAsia="Arial" w:cs="Arial"/>
        </w:rPr>
      </w:pPr>
      <w:r w:rsidRPr="004D46C7">
        <w:rPr>
          <w:rFonts w:ascii="Arial" w:hAnsi="Arial" w:eastAsia="Arial" w:cs="Arial"/>
        </w:rPr>
        <w:t>Financial Management</w:t>
      </w:r>
      <w:r w:rsidR="008F0165">
        <w:rPr>
          <w:rFonts w:ascii="Arial" w:hAnsi="Arial" w:eastAsia="Arial" w:cs="Arial"/>
        </w:rPr>
        <w:t xml:space="preserve"> and Monitoring</w:t>
      </w:r>
      <w:r w:rsidRPr="004D46C7">
        <w:rPr>
          <w:rFonts w:ascii="Arial" w:hAnsi="Arial" w:eastAsia="Arial" w:cs="Arial"/>
        </w:rPr>
        <w:t xml:space="preserve">. The project team has determined that an external audit of the TC will not be required, due to the funding amount, the low level of risk, and the nature and complexity of the TC. To supervise the financial management, FIEC will present to the Bank semi-annual </w:t>
      </w:r>
      <w:r w:rsidR="00C015C4">
        <w:rPr>
          <w:rFonts w:ascii="Arial" w:hAnsi="Arial" w:eastAsia="Arial" w:cs="Arial"/>
        </w:rPr>
        <w:t>implementa</w:t>
      </w:r>
      <w:r w:rsidR="00295A59">
        <w:rPr>
          <w:rFonts w:ascii="Arial" w:hAnsi="Arial" w:eastAsia="Arial" w:cs="Arial"/>
        </w:rPr>
        <w:t>tion and</w:t>
      </w:r>
      <w:r w:rsidRPr="004D46C7">
        <w:rPr>
          <w:rFonts w:ascii="Arial" w:hAnsi="Arial" w:eastAsia="Arial" w:cs="Arial"/>
        </w:rPr>
        <w:t xml:space="preserve"> unaudited financial reports</w:t>
      </w:r>
      <w:r w:rsidR="00FD0817">
        <w:rPr>
          <w:rFonts w:ascii="Arial" w:hAnsi="Arial" w:eastAsia="Arial" w:cs="Arial"/>
        </w:rPr>
        <w:t xml:space="preserve">, which shall be </w:t>
      </w:r>
      <w:r w:rsidR="005C640B">
        <w:rPr>
          <w:rFonts w:ascii="Arial" w:hAnsi="Arial" w:eastAsia="Arial" w:cs="Arial"/>
        </w:rPr>
        <w:t>presented three months after the end of each semester</w:t>
      </w:r>
      <w:r w:rsidRPr="004D46C7">
        <w:rPr>
          <w:rFonts w:ascii="Arial" w:hAnsi="Arial" w:eastAsia="Arial" w:cs="Arial"/>
        </w:rPr>
        <w:t>.</w:t>
      </w:r>
      <w:r w:rsidRPr="004D46C7" w:rsidR="004D46C7">
        <w:rPr>
          <w:rFonts w:ascii="Arial" w:hAnsi="Arial" w:eastAsia="Arial" w:cs="Arial"/>
        </w:rPr>
        <w:t xml:space="preserve"> These </w:t>
      </w:r>
      <w:r w:rsidRPr="004D46C7">
        <w:rPr>
          <w:rFonts w:ascii="Arial" w:hAnsi="Arial" w:eastAsia="Arial" w:cs="Arial"/>
        </w:rPr>
        <w:t>reports shall include</w:t>
      </w:r>
      <w:r w:rsidRPr="004D46C7" w:rsidR="004D46C7">
        <w:rPr>
          <w:rFonts w:ascii="Arial" w:hAnsi="Arial" w:eastAsia="Arial" w:cs="Arial"/>
        </w:rPr>
        <w:t xml:space="preserve">, </w:t>
      </w:r>
      <w:r w:rsidRPr="004D46C7">
        <w:rPr>
          <w:rFonts w:ascii="Arial" w:hAnsi="Arial" w:eastAsia="Arial" w:cs="Arial"/>
        </w:rPr>
        <w:t xml:space="preserve">among other aspects, a description of the progress of execution, an update on implementation and financial status, and updated disbursement projections. Additionally, FIEC shall collaborate with the Bank and </w:t>
      </w:r>
      <w:r w:rsidRPr="004D46C7" w:rsidR="004D46C7">
        <w:rPr>
          <w:rFonts w:ascii="Arial" w:hAnsi="Arial" w:eastAsia="Arial" w:cs="Arial"/>
        </w:rPr>
        <w:t>SecTet</w:t>
      </w:r>
      <w:r w:rsidRPr="004D46C7">
        <w:rPr>
          <w:rFonts w:ascii="Arial" w:hAnsi="Arial" w:eastAsia="Arial" w:cs="Arial"/>
        </w:rPr>
        <w:t xml:space="preserve"> in the preparation of the </w:t>
      </w:r>
      <w:r w:rsidR="00546D78">
        <w:rPr>
          <w:rFonts w:ascii="Arial" w:hAnsi="Arial" w:eastAsia="Arial" w:cs="Arial"/>
        </w:rPr>
        <w:t>TC’s</w:t>
      </w:r>
      <w:r w:rsidR="00B07248">
        <w:rPr>
          <w:rFonts w:ascii="Arial" w:hAnsi="Arial" w:eastAsia="Arial" w:cs="Arial"/>
        </w:rPr>
        <w:t xml:space="preserve"> </w:t>
      </w:r>
      <w:r w:rsidR="00927192">
        <w:rPr>
          <w:rFonts w:ascii="Arial" w:hAnsi="Arial" w:eastAsia="Arial" w:cs="Arial"/>
        </w:rPr>
        <w:t>final report</w:t>
      </w:r>
      <w:r w:rsidR="00A837F8">
        <w:rPr>
          <w:rFonts w:ascii="Arial" w:hAnsi="Arial" w:eastAsia="Arial" w:cs="Arial"/>
        </w:rPr>
        <w:t>,</w:t>
      </w:r>
      <w:r w:rsidR="00DC7ED8">
        <w:rPr>
          <w:rFonts w:ascii="Arial" w:hAnsi="Arial" w:eastAsia="Arial" w:cs="Arial"/>
        </w:rPr>
        <w:t xml:space="preserve"> according to </w:t>
      </w:r>
      <w:r w:rsidR="00B140E0">
        <w:rPr>
          <w:rFonts w:ascii="Arial" w:hAnsi="Arial" w:eastAsia="Arial" w:cs="Arial"/>
        </w:rPr>
        <w:t>the IDB’s standards</w:t>
      </w:r>
      <w:r w:rsidR="00DF7A37">
        <w:rPr>
          <w:rFonts w:ascii="Arial" w:hAnsi="Arial" w:eastAsia="Arial" w:cs="Arial"/>
        </w:rPr>
        <w:t xml:space="preserve"> to report for the donors</w:t>
      </w:r>
      <w:r w:rsidR="00B140E0">
        <w:rPr>
          <w:rFonts w:ascii="Arial" w:hAnsi="Arial" w:eastAsia="Arial" w:cs="Arial"/>
        </w:rPr>
        <w:t>,</w:t>
      </w:r>
      <w:r w:rsidR="00A837F8">
        <w:rPr>
          <w:rFonts w:ascii="Arial" w:hAnsi="Arial" w:eastAsia="Arial" w:cs="Arial"/>
        </w:rPr>
        <w:t xml:space="preserve"> which </w:t>
      </w:r>
      <w:r w:rsidR="002C5024">
        <w:rPr>
          <w:rFonts w:ascii="Arial" w:hAnsi="Arial" w:eastAsia="Arial" w:cs="Arial"/>
        </w:rPr>
        <w:t xml:space="preserve">shall include the project’s overall results and </w:t>
      </w:r>
      <w:r w:rsidR="002E4089">
        <w:rPr>
          <w:rFonts w:ascii="Arial" w:hAnsi="Arial" w:eastAsia="Arial" w:cs="Arial"/>
        </w:rPr>
        <w:t>learnings for future projects</w:t>
      </w:r>
      <w:r w:rsidR="00D74F1B">
        <w:rPr>
          <w:rFonts w:ascii="Arial" w:hAnsi="Arial" w:eastAsia="Arial" w:cs="Arial"/>
        </w:rPr>
        <w:t>.</w:t>
      </w:r>
    </w:p>
    <w:p w:rsidRPr="00895B2A" w:rsidR="009E1945" w:rsidP="00895B2A" w:rsidRDefault="00B03C22" w14:paraId="098773E5" w14:textId="236695C0">
      <w:pPr>
        <w:pStyle w:val="ListParagraph"/>
        <w:numPr>
          <w:ilvl w:val="1"/>
          <w:numId w:val="5"/>
        </w:numPr>
        <w:spacing w:before="120" w:after="120" w:line="240" w:lineRule="auto"/>
        <w:ind w:hanging="540"/>
        <w:contextualSpacing w:val="0"/>
        <w:jc w:val="both"/>
        <w:rPr>
          <w:rFonts w:ascii="Arial" w:hAnsi="Arial" w:eastAsia="Arial" w:cs="Arial"/>
        </w:rPr>
      </w:pPr>
      <w:r w:rsidRPr="00B03C22">
        <w:rPr>
          <w:rFonts w:ascii="Arial" w:hAnsi="Arial" w:eastAsia="Arial" w:cs="Arial"/>
        </w:rPr>
        <w:t xml:space="preserve">Condition Precedent to First Disbursement. The first disbursement of the resources of the contribution shall be subject to the fulfilment, to the satisfaction of the Bank, of the following condition: </w:t>
      </w:r>
      <w:r w:rsidR="002F074A">
        <w:rPr>
          <w:rFonts w:ascii="Arial" w:hAnsi="Arial" w:eastAsia="Arial" w:cs="Arial"/>
        </w:rPr>
        <w:t>e</w:t>
      </w:r>
      <w:r w:rsidRPr="00B03C22">
        <w:rPr>
          <w:rFonts w:ascii="Arial" w:hAnsi="Arial" w:eastAsia="Arial" w:cs="Arial"/>
        </w:rPr>
        <w:t xml:space="preserve">vidence of an agreement that has been signed and entered into effect between FIEC and SecTet that contains, among other aspects, the terms and conditions of the cooperation between the parties regarding the project, including the roles and responsibilities of each institution and the respective working plan. </w:t>
      </w:r>
      <w:r w:rsidR="00C42B8B">
        <w:rPr>
          <w:rFonts w:ascii="Arial" w:hAnsi="Arial" w:eastAsia="Arial" w:cs="Arial"/>
        </w:rPr>
        <w:t>The Bank will not be part of this agreement</w:t>
      </w:r>
      <w:r w:rsidR="00DD643B">
        <w:rPr>
          <w:rFonts w:ascii="Arial" w:hAnsi="Arial" w:eastAsia="Arial" w:cs="Arial"/>
        </w:rPr>
        <w:t xml:space="preserve">. </w:t>
      </w:r>
    </w:p>
    <w:p w:rsidRPr="000F744C" w:rsidR="0095711B" w:rsidP="54260729" w:rsidRDefault="54260729" w14:paraId="3BBAB22C" w14:textId="427CCC27">
      <w:pPr>
        <w:pStyle w:val="ListParagraph"/>
        <w:numPr>
          <w:ilvl w:val="0"/>
          <w:numId w:val="5"/>
        </w:numPr>
        <w:spacing w:before="120" w:after="120" w:line="240" w:lineRule="auto"/>
        <w:contextualSpacing w:val="0"/>
        <w:rPr>
          <w:rFonts w:ascii="Arial" w:hAnsi="Arial" w:eastAsia="Arial" w:cs="Arial"/>
          <w:b/>
          <w:bCs/>
        </w:rPr>
      </w:pPr>
      <w:r w:rsidRPr="54260729">
        <w:rPr>
          <w:rFonts w:ascii="Arial" w:hAnsi="Arial" w:eastAsia="Arial" w:cs="Arial"/>
          <w:b/>
          <w:bCs/>
        </w:rPr>
        <w:t>Major issues</w:t>
      </w:r>
    </w:p>
    <w:p w:rsidRPr="00E82315" w:rsidR="00236D2C" w:rsidP="00E82315" w:rsidRDefault="00236D2C" w14:paraId="1B302C29" w14:textId="0E55CE4B">
      <w:pPr>
        <w:pStyle w:val="ListParagraph"/>
        <w:numPr>
          <w:ilvl w:val="1"/>
          <w:numId w:val="5"/>
        </w:numPr>
        <w:spacing w:before="120" w:after="120" w:line="240" w:lineRule="auto"/>
        <w:ind w:hanging="540"/>
        <w:contextualSpacing w:val="0"/>
        <w:jc w:val="both"/>
        <w:rPr>
          <w:rFonts w:ascii="Arial" w:hAnsi="Arial" w:eastAsia="Arial" w:cs="Arial"/>
        </w:rPr>
      </w:pPr>
      <w:r w:rsidRPr="00E82315">
        <w:rPr>
          <w:rFonts w:ascii="Arial" w:hAnsi="Arial" w:eastAsia="Arial" w:cs="Arial"/>
        </w:rPr>
        <w:t xml:space="preserve">The risks associated with this operation are low, mainly associated with delays and changes intrinsic for work with government. </w:t>
      </w:r>
      <w:r w:rsidR="00E82315">
        <w:rPr>
          <w:rFonts w:ascii="Arial" w:hAnsi="Arial" w:eastAsia="Arial" w:cs="Arial"/>
        </w:rPr>
        <w:t>Fundação Itaú and the Bank has experience executing similar projects, which decrease t</w:t>
      </w:r>
      <w:r w:rsidR="00935064">
        <w:rPr>
          <w:rFonts w:ascii="Arial" w:hAnsi="Arial" w:eastAsia="Arial" w:cs="Arial"/>
        </w:rPr>
        <w:t>hese risks.</w:t>
      </w:r>
      <w:r w:rsidRPr="00E82315">
        <w:rPr>
          <w:rFonts w:ascii="Arial" w:hAnsi="Arial" w:eastAsia="Arial" w:cs="Arial"/>
        </w:rPr>
        <w:t xml:space="preserve"> </w:t>
      </w:r>
      <w:r w:rsidR="005C2BE5">
        <w:rPr>
          <w:rFonts w:ascii="Arial" w:hAnsi="Arial" w:eastAsia="Arial" w:cs="Arial"/>
        </w:rPr>
        <w:t xml:space="preserve">Monthly follow-up meetings will be performed to avoid </w:t>
      </w:r>
      <w:r w:rsidR="008F0165">
        <w:rPr>
          <w:rFonts w:ascii="Arial" w:hAnsi="Arial" w:eastAsia="Arial" w:cs="Arial"/>
        </w:rPr>
        <w:t>major delays.</w:t>
      </w:r>
    </w:p>
    <w:p w:rsidRPr="000F744C" w:rsidR="00F72899" w:rsidP="54260729" w:rsidRDefault="54260729" w14:paraId="3BBAB22F" w14:textId="77777777">
      <w:pPr>
        <w:pStyle w:val="ListParagraph"/>
        <w:numPr>
          <w:ilvl w:val="0"/>
          <w:numId w:val="5"/>
        </w:numPr>
        <w:spacing w:before="120" w:after="120" w:line="240" w:lineRule="auto"/>
        <w:contextualSpacing w:val="0"/>
        <w:rPr>
          <w:rFonts w:ascii="Arial" w:hAnsi="Arial" w:eastAsia="Arial" w:cs="Arial"/>
          <w:b/>
          <w:bCs/>
        </w:rPr>
      </w:pPr>
      <w:r w:rsidRPr="54260729">
        <w:rPr>
          <w:rFonts w:ascii="Arial" w:hAnsi="Arial" w:eastAsia="Arial" w:cs="Arial"/>
          <w:b/>
          <w:bCs/>
        </w:rPr>
        <w:t>Exceptions to Bank policy</w:t>
      </w:r>
    </w:p>
    <w:p w:rsidRPr="00522E4E" w:rsidR="00F72899" w:rsidP="54260729" w:rsidRDefault="00522E4E" w14:paraId="3BBAB230" w14:textId="48082ECF">
      <w:pPr>
        <w:pStyle w:val="ListParagraph"/>
        <w:numPr>
          <w:ilvl w:val="1"/>
          <w:numId w:val="5"/>
        </w:numPr>
        <w:spacing w:before="120" w:after="120" w:line="240" w:lineRule="auto"/>
        <w:ind w:hanging="540"/>
        <w:contextualSpacing w:val="0"/>
        <w:jc w:val="both"/>
        <w:rPr>
          <w:rFonts w:ascii="Arial" w:hAnsi="Arial" w:eastAsia="Arial" w:cs="Arial"/>
        </w:rPr>
      </w:pPr>
      <w:r w:rsidRPr="00522E4E">
        <w:rPr>
          <w:rFonts w:ascii="Arial" w:hAnsi="Arial" w:eastAsia="Arial" w:cs="Arial"/>
        </w:rPr>
        <w:t>None.</w:t>
      </w:r>
    </w:p>
    <w:p w:rsidRPr="000F744C" w:rsidR="0095711B" w:rsidP="54260729" w:rsidRDefault="54260729" w14:paraId="3BBAB231" w14:textId="77777777">
      <w:pPr>
        <w:pStyle w:val="ListParagraph"/>
        <w:numPr>
          <w:ilvl w:val="0"/>
          <w:numId w:val="5"/>
        </w:numPr>
        <w:spacing w:before="120" w:after="120" w:line="240" w:lineRule="auto"/>
        <w:contextualSpacing w:val="0"/>
        <w:rPr>
          <w:rFonts w:ascii="Arial" w:hAnsi="Arial" w:eastAsia="Arial" w:cs="Arial"/>
          <w:b/>
          <w:bCs/>
        </w:rPr>
      </w:pPr>
      <w:r w:rsidRPr="54260729">
        <w:rPr>
          <w:rFonts w:ascii="Arial" w:hAnsi="Arial" w:eastAsia="Arial" w:cs="Arial"/>
          <w:b/>
          <w:bCs/>
        </w:rPr>
        <w:t xml:space="preserve">Environmental and Social Strategy </w:t>
      </w:r>
    </w:p>
    <w:p w:rsidRPr="00106AE4" w:rsidR="0095711B" w:rsidP="00106AE4" w:rsidRDefault="00424613" w14:paraId="3BBAB232" w14:textId="6A9C5AAF">
      <w:pPr>
        <w:pStyle w:val="ListParagraph"/>
        <w:numPr>
          <w:ilvl w:val="1"/>
          <w:numId w:val="5"/>
        </w:numPr>
        <w:spacing w:before="120" w:after="120" w:line="240" w:lineRule="auto"/>
        <w:ind w:hanging="540"/>
        <w:contextualSpacing w:val="0"/>
        <w:jc w:val="both"/>
        <w:rPr>
          <w:rFonts w:ascii="Arial" w:hAnsi="Arial" w:eastAsia="Arial" w:cs="Arial"/>
        </w:rPr>
      </w:pPr>
      <w:r w:rsidRPr="00106AE4">
        <w:rPr>
          <w:rFonts w:ascii="Arial" w:hAnsi="Arial" w:eastAsia="Arial" w:cs="Arial"/>
        </w:rPr>
        <w:t>This Technical Cooperation is not intended to finance pre-feasibility or feasibility studies of specific investment projects or environmental and social studies associated with them; therefore, this TC does not have applicable requirements of the Banks Environmental and Social Policy Framework (ESPF).</w:t>
      </w:r>
    </w:p>
    <w:p w:rsidRPr="000F744C" w:rsidR="00F72899" w:rsidP="006060EC" w:rsidRDefault="54260729" w14:paraId="3BBAB233" w14:textId="08F43783">
      <w:pPr>
        <w:spacing w:before="120" w:after="120" w:line="240" w:lineRule="auto"/>
        <w:ind w:hanging="270"/>
        <w:jc w:val="both"/>
        <w:rPr>
          <w:rFonts w:ascii="Arial" w:hAnsi="Arial" w:eastAsia="Arial" w:cs="Arial"/>
          <w:b/>
          <w:bCs/>
        </w:rPr>
      </w:pPr>
      <w:r w:rsidRPr="54260729">
        <w:rPr>
          <w:rFonts w:ascii="Arial" w:hAnsi="Arial" w:eastAsia="Arial" w:cs="Arial"/>
          <w:b/>
          <w:bCs/>
        </w:rPr>
        <w:t>Required Annexes:</w:t>
      </w:r>
    </w:p>
    <w:sdt>
      <w:sdtPr>
        <w:alias w:val="ANNEXES"/>
        <w:tag w:val="ANNEXES"/>
        <w:id w:val="918745576"/>
        <w:lock w:val="sdtLocked"/>
        <w:placeholder>
          <w:docPart w:val="DefaultPlaceholder_1081868574"/>
        </w:placeholder>
      </w:sdtPr>
      <w:sdtContent>
        <w:p>
          <w:hyperlink w:history="true" r:id="R7b59d9ee1f504ab0">
            <w:proofErr w:type="gramStart"/>
            <w:r>
              <w:rPr>
                <w:u w:val="single"/>
                <w:color w:themeColor="hyperlink"/>
              </w:rPr>
              <w:t>Request from the Client - BR-T1531</w:t>
            </w:r>
          </w:hyperlink>
        </w:p>
        <w:p>
          <w:hyperlink w:history="true" r:id="R1bb072516b03436c">
            <w:proofErr w:type="gramStart"/>
            <w:r>
              <w:rPr>
                <w:u w:val="single"/>
                <w:color w:themeColor="hyperlink"/>
              </w:rPr>
              <w:t>Results Matrix - BR-T1531</w:t>
            </w:r>
          </w:hyperlink>
        </w:p>
        <w:p>
          <w:hyperlink w:history="true" r:id="Ra11f6c91cadc466b">
            <w:proofErr w:type="gramStart"/>
            <w:r>
              <w:rPr>
                <w:u w:val="single"/>
                <w:color w:themeColor="hyperlink"/>
              </w:rPr>
              <w:t>Terms of Reference - BR-T1531</w:t>
            </w:r>
          </w:hyperlink>
        </w:p>
        <w:p>
          <w:hyperlink w:history="true" r:id="R8e7038ba04af4aad">
            <w:proofErr w:type="gramStart"/>
            <w:r>
              <w:rPr>
                <w:u w:val="single"/>
                <w:color w:themeColor="hyperlink"/>
              </w:rPr>
              <w:t>Procurement Plan - BR-T1531</w:t>
            </w:r>
          </w:hyperlink>
        </w:p>
      </w:sdtContent>
    </w:sdt>
    <w:sectPr w:rsidRPr="004D3346" w:rsidR="00466C7E" w:rsidSect="00CC26BC">
      <w:headerReference w:type="default" r:id="rId18"/>
      <w:footerReference w:type="default" r:id="rId19"/>
      <w:pgSz w:w="12240" w:h="15840" w:orient="portrait"/>
      <w:pgMar w:top="1440" w:right="1800" w:bottom="180" w:left="180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96F4E" w:rsidP="0095711B" w:rsidRDefault="00E96F4E" w14:paraId="16673A5B" w14:textId="77777777">
      <w:pPr>
        <w:spacing w:after="0" w:line="240" w:lineRule="auto"/>
      </w:pPr>
      <w:r>
        <w:separator/>
      </w:r>
    </w:p>
  </w:endnote>
  <w:endnote w:type="continuationSeparator" w:id="0">
    <w:p w:rsidR="00E96F4E" w:rsidP="0095711B" w:rsidRDefault="00E96F4E" w14:paraId="6F0D44AC" w14:textId="77777777">
      <w:pPr>
        <w:spacing w:after="0" w:line="240" w:lineRule="auto"/>
      </w:pPr>
      <w:r>
        <w:continuationSeparator/>
      </w:r>
    </w:p>
  </w:endnote>
  <w:endnote w:type="continuationNotice" w:id="1">
    <w:p w:rsidR="00E96F4E" w:rsidRDefault="00E96F4E" w14:paraId="705F7934"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9F3CA2" w:rsidRDefault="009F3CA2" w14:paraId="3BBAB23E" w14:textId="77777777">
    <w:pPr>
      <w:pStyle w:val="Footer"/>
      <w:jc w:val="center"/>
    </w:pPr>
  </w:p>
  <w:p w:rsidR="009F3CA2" w:rsidRDefault="009F3CA2" w14:paraId="3BBAB23F"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96F4E" w:rsidP="0095711B" w:rsidRDefault="00E96F4E" w14:paraId="5536A86A" w14:textId="77777777">
      <w:pPr>
        <w:spacing w:after="0" w:line="240" w:lineRule="auto"/>
      </w:pPr>
      <w:r>
        <w:separator/>
      </w:r>
    </w:p>
  </w:footnote>
  <w:footnote w:type="continuationSeparator" w:id="0">
    <w:p w:rsidR="00E96F4E" w:rsidP="0095711B" w:rsidRDefault="00E96F4E" w14:paraId="5286DA73" w14:textId="77777777">
      <w:pPr>
        <w:spacing w:after="0" w:line="240" w:lineRule="auto"/>
      </w:pPr>
      <w:r>
        <w:continuationSeparator/>
      </w:r>
    </w:p>
  </w:footnote>
  <w:footnote w:type="continuationNotice" w:id="1">
    <w:p w:rsidR="00E96F4E" w:rsidRDefault="00E96F4E" w14:paraId="71085BC5" w14:textId="77777777">
      <w:pPr>
        <w:spacing w:after="0" w:line="240" w:lineRule="auto"/>
      </w:pPr>
    </w:p>
  </w:footnote>
  <w:footnote w:id="2">
    <w:p w:rsidRPr="00604A1A" w:rsidR="001055F6" w:rsidP="00604A1A" w:rsidRDefault="001055F6" w14:paraId="76D4C771" w14:textId="77777777">
      <w:pPr>
        <w:pStyle w:val="FootnoteText"/>
        <w:jc w:val="both"/>
        <w:rPr>
          <w:rFonts w:ascii="Arial" w:hAnsi="Arial" w:cs="Arial"/>
          <w:sz w:val="18"/>
          <w:szCs w:val="18"/>
        </w:rPr>
      </w:pPr>
      <w:r w:rsidRPr="00604A1A">
        <w:rPr>
          <w:rStyle w:val="FootnoteReference"/>
          <w:rFonts w:ascii="Arial" w:hAnsi="Arial" w:cs="Arial"/>
          <w:sz w:val="18"/>
          <w:szCs w:val="18"/>
        </w:rPr>
        <w:footnoteRef/>
      </w:r>
      <w:r w:rsidRPr="00604A1A">
        <w:rPr>
          <w:rFonts w:ascii="Arial" w:hAnsi="Arial" w:cs="Arial"/>
          <w:sz w:val="18"/>
          <w:szCs w:val="18"/>
        </w:rPr>
        <w:t xml:space="preserve"> </w:t>
      </w:r>
      <w:r w:rsidRPr="00604A1A">
        <w:rPr>
          <w:rFonts w:ascii="Arial" w:hAnsi="Arial" w:cs="Arial"/>
          <w:i/>
          <w:iCs/>
          <w:sz w:val="18"/>
          <w:szCs w:val="18"/>
        </w:rPr>
        <w:t xml:space="preserve">Ribeirinhos </w:t>
      </w:r>
      <w:r w:rsidRPr="00604A1A">
        <w:rPr>
          <w:rFonts w:ascii="Arial" w:hAnsi="Arial" w:cs="Arial"/>
          <w:sz w:val="18"/>
          <w:szCs w:val="18"/>
        </w:rPr>
        <w:t>live near rivers and have subsistence livelihoods based on natural resources. A significant part of them are Indigenous and/or Afro descendants.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AC07CF" w:rsidR="0059194E" w:rsidRDefault="0059194E" w14:paraId="3BBAB23C" w14:textId="2AD61C99">
    <w:pPr>
      <w:pStyle w:val="Header"/>
      <w:jc w:val="center"/>
      <w:rPr>
        <w:rFonts w:ascii="Arial" w:hAnsi="Arial" w:cs="Arial"/>
        <w:sz w:val="18"/>
        <w:szCs w:val="18"/>
      </w:rPr>
    </w:pPr>
    <w:r w:rsidRPr="00AC07CF">
      <w:rPr>
        <w:rFonts w:ascii="Arial" w:hAnsi="Arial" w:cs="Arial"/>
        <w:sz w:val="18"/>
        <w:szCs w:val="18"/>
      </w:rPr>
      <w:t>- </w:t>
    </w:r>
    <w:sdt>
      <w:sdtPr>
        <w:rPr>
          <w:rFonts w:ascii="Arial" w:hAnsi="Arial" w:cs="Arial"/>
          <w:sz w:val="18"/>
          <w:szCs w:val="18"/>
        </w:rPr>
        <w:id w:val="2129964275"/>
        <w:docPartObj>
          <w:docPartGallery w:val="Page Numbers (Top of Page)"/>
          <w:docPartUnique/>
        </w:docPartObj>
      </w:sdtPr>
      <w:sdtEndPr>
        <w:rPr>
          <w:noProof/>
        </w:rPr>
      </w:sdtEndPr>
      <w:sdtContent>
        <w:r w:rsidRPr="00AC07CF">
          <w:rPr>
            <w:rFonts w:ascii="Arial" w:hAnsi="Arial" w:cs="Arial"/>
            <w:sz w:val="18"/>
            <w:szCs w:val="18"/>
          </w:rPr>
          <w:fldChar w:fldCharType="begin"/>
        </w:r>
        <w:r w:rsidRPr="00AC07CF">
          <w:rPr>
            <w:rFonts w:ascii="Arial" w:hAnsi="Arial" w:cs="Arial"/>
            <w:sz w:val="18"/>
            <w:szCs w:val="18"/>
          </w:rPr>
          <w:instrText xml:space="preserve"> PAGE   \* MERGEFORMAT </w:instrText>
        </w:r>
        <w:r w:rsidRPr="00AC07CF">
          <w:rPr>
            <w:rFonts w:ascii="Arial" w:hAnsi="Arial" w:cs="Arial"/>
            <w:sz w:val="18"/>
            <w:szCs w:val="18"/>
          </w:rPr>
          <w:fldChar w:fldCharType="separate"/>
        </w:r>
        <w:r w:rsidR="00EE7001">
          <w:rPr>
            <w:rFonts w:ascii="Arial" w:hAnsi="Arial" w:cs="Arial"/>
            <w:noProof/>
            <w:sz w:val="18"/>
            <w:szCs w:val="18"/>
          </w:rPr>
          <w:t>4</w:t>
        </w:r>
        <w:r w:rsidRPr="00AC07CF">
          <w:rPr>
            <w:rFonts w:ascii="Arial" w:hAnsi="Arial" w:cs="Arial"/>
            <w:noProof/>
            <w:sz w:val="18"/>
            <w:szCs w:val="18"/>
          </w:rPr>
          <w:fldChar w:fldCharType="end"/>
        </w:r>
        <w:r w:rsidRPr="00AC07CF">
          <w:rPr>
            <w:rFonts w:ascii="Arial" w:hAnsi="Arial" w:cs="Arial"/>
            <w:noProof/>
            <w:sz w:val="18"/>
            <w:szCs w:val="18"/>
          </w:rPr>
          <w:t> -</w:t>
        </w:r>
      </w:sdtContent>
    </w:sdt>
  </w:p>
  <w:p w:rsidRPr="00AC07CF" w:rsidR="0059194E" w:rsidP="0059194E" w:rsidRDefault="0059194E" w14:paraId="3BBAB23D" w14:textId="77777777">
    <w:pPr>
      <w:pStyle w:val="Header"/>
      <w:jc w:val="center"/>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nsid w:val="0C665631"/>
    <w:multiLevelType w:val="hybridMultilevel"/>
    <w:tmpl w:val="F83489CA"/>
    <w:lvl w:ilvl="0" w:tplc="757A2E48">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nsid w:val="27354963"/>
    <w:multiLevelType w:val="hybridMultilevel"/>
    <w:tmpl w:val="95EAD726"/>
    <w:lvl w:ilvl="0" w:tplc="AC6C38CE">
      <w:numFmt w:val="bullet"/>
      <w:lvlText w:val=""/>
      <w:lvlJc w:val="left"/>
      <w:pPr>
        <w:ind w:left="390" w:hanging="360"/>
      </w:pPr>
      <w:rPr>
        <w:rFonts w:hint="default" w:ascii="Symbol" w:hAnsi="Symbol" w:eastAsiaTheme="minorHAnsi" w:cstheme="minorBidi"/>
      </w:rPr>
    </w:lvl>
    <w:lvl w:ilvl="1" w:tplc="04090003" w:tentative="1">
      <w:start w:val="1"/>
      <w:numFmt w:val="bullet"/>
      <w:lvlText w:val="o"/>
      <w:lvlJc w:val="left"/>
      <w:pPr>
        <w:ind w:left="1110" w:hanging="360"/>
      </w:pPr>
      <w:rPr>
        <w:rFonts w:hint="default" w:ascii="Courier New" w:hAnsi="Courier New" w:cs="Courier New"/>
      </w:rPr>
    </w:lvl>
    <w:lvl w:ilvl="2" w:tplc="04090005" w:tentative="1">
      <w:start w:val="1"/>
      <w:numFmt w:val="bullet"/>
      <w:lvlText w:val=""/>
      <w:lvlJc w:val="left"/>
      <w:pPr>
        <w:ind w:left="1830" w:hanging="360"/>
      </w:pPr>
      <w:rPr>
        <w:rFonts w:hint="default" w:ascii="Wingdings" w:hAnsi="Wingdings"/>
      </w:rPr>
    </w:lvl>
    <w:lvl w:ilvl="3" w:tplc="04090001" w:tentative="1">
      <w:start w:val="1"/>
      <w:numFmt w:val="bullet"/>
      <w:lvlText w:val=""/>
      <w:lvlJc w:val="left"/>
      <w:pPr>
        <w:ind w:left="2550" w:hanging="360"/>
      </w:pPr>
      <w:rPr>
        <w:rFonts w:hint="default" w:ascii="Symbol" w:hAnsi="Symbol"/>
      </w:rPr>
    </w:lvl>
    <w:lvl w:ilvl="4" w:tplc="04090003" w:tentative="1">
      <w:start w:val="1"/>
      <w:numFmt w:val="bullet"/>
      <w:lvlText w:val="o"/>
      <w:lvlJc w:val="left"/>
      <w:pPr>
        <w:ind w:left="3270" w:hanging="360"/>
      </w:pPr>
      <w:rPr>
        <w:rFonts w:hint="default" w:ascii="Courier New" w:hAnsi="Courier New" w:cs="Courier New"/>
      </w:rPr>
    </w:lvl>
    <w:lvl w:ilvl="5" w:tplc="04090005" w:tentative="1">
      <w:start w:val="1"/>
      <w:numFmt w:val="bullet"/>
      <w:lvlText w:val=""/>
      <w:lvlJc w:val="left"/>
      <w:pPr>
        <w:ind w:left="3990" w:hanging="360"/>
      </w:pPr>
      <w:rPr>
        <w:rFonts w:hint="default" w:ascii="Wingdings" w:hAnsi="Wingdings"/>
      </w:rPr>
    </w:lvl>
    <w:lvl w:ilvl="6" w:tplc="04090001" w:tentative="1">
      <w:start w:val="1"/>
      <w:numFmt w:val="bullet"/>
      <w:lvlText w:val=""/>
      <w:lvlJc w:val="left"/>
      <w:pPr>
        <w:ind w:left="4710" w:hanging="360"/>
      </w:pPr>
      <w:rPr>
        <w:rFonts w:hint="default" w:ascii="Symbol" w:hAnsi="Symbol"/>
      </w:rPr>
    </w:lvl>
    <w:lvl w:ilvl="7" w:tplc="04090003" w:tentative="1">
      <w:start w:val="1"/>
      <w:numFmt w:val="bullet"/>
      <w:lvlText w:val="o"/>
      <w:lvlJc w:val="left"/>
      <w:pPr>
        <w:ind w:left="5430" w:hanging="360"/>
      </w:pPr>
      <w:rPr>
        <w:rFonts w:hint="default" w:ascii="Courier New" w:hAnsi="Courier New" w:cs="Courier New"/>
      </w:rPr>
    </w:lvl>
    <w:lvl w:ilvl="8" w:tplc="04090005" w:tentative="1">
      <w:start w:val="1"/>
      <w:numFmt w:val="bullet"/>
      <w:lvlText w:val=""/>
      <w:lvlJc w:val="left"/>
      <w:pPr>
        <w:ind w:left="6150" w:hanging="360"/>
      </w:pPr>
      <w:rPr>
        <w:rFonts w:hint="default" w:ascii="Wingdings" w:hAnsi="Wingdings"/>
      </w:rPr>
    </w:lvl>
  </w:abstractNum>
  <w:abstractNum w:abstractNumId="2">
    <w:nsid w:val="28311683"/>
    <w:multiLevelType w:val="hybridMultilevel"/>
    <w:tmpl w:val="9C7A60C2"/>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3">
    <w:nsid w:val="292E025C"/>
    <w:multiLevelType w:val="hybridMultilevel"/>
    <w:tmpl w:val="B2248766"/>
    <w:lvl w:ilvl="0" w:tplc="C700CC4A">
      <w:numFmt w:val="bullet"/>
      <w:lvlText w:val=""/>
      <w:lvlJc w:val="left"/>
      <w:pPr>
        <w:ind w:left="750" w:hanging="360"/>
      </w:pPr>
      <w:rPr>
        <w:rFonts w:hint="default" w:ascii="Symbol" w:hAnsi="Symbol" w:eastAsiaTheme="minorHAnsi" w:cstheme="minorBidi"/>
      </w:rPr>
    </w:lvl>
    <w:lvl w:ilvl="1" w:tplc="04090003" w:tentative="1">
      <w:start w:val="1"/>
      <w:numFmt w:val="bullet"/>
      <w:lvlText w:val="o"/>
      <w:lvlJc w:val="left"/>
      <w:pPr>
        <w:ind w:left="1470" w:hanging="360"/>
      </w:pPr>
      <w:rPr>
        <w:rFonts w:hint="default" w:ascii="Courier New" w:hAnsi="Courier New" w:cs="Courier New"/>
      </w:rPr>
    </w:lvl>
    <w:lvl w:ilvl="2" w:tplc="04090005" w:tentative="1">
      <w:start w:val="1"/>
      <w:numFmt w:val="bullet"/>
      <w:lvlText w:val=""/>
      <w:lvlJc w:val="left"/>
      <w:pPr>
        <w:ind w:left="2190" w:hanging="360"/>
      </w:pPr>
      <w:rPr>
        <w:rFonts w:hint="default" w:ascii="Wingdings" w:hAnsi="Wingdings"/>
      </w:rPr>
    </w:lvl>
    <w:lvl w:ilvl="3" w:tplc="04090001" w:tentative="1">
      <w:start w:val="1"/>
      <w:numFmt w:val="bullet"/>
      <w:lvlText w:val=""/>
      <w:lvlJc w:val="left"/>
      <w:pPr>
        <w:ind w:left="2910" w:hanging="360"/>
      </w:pPr>
      <w:rPr>
        <w:rFonts w:hint="default" w:ascii="Symbol" w:hAnsi="Symbol"/>
      </w:rPr>
    </w:lvl>
    <w:lvl w:ilvl="4" w:tplc="04090003" w:tentative="1">
      <w:start w:val="1"/>
      <w:numFmt w:val="bullet"/>
      <w:lvlText w:val="o"/>
      <w:lvlJc w:val="left"/>
      <w:pPr>
        <w:ind w:left="3630" w:hanging="360"/>
      </w:pPr>
      <w:rPr>
        <w:rFonts w:hint="default" w:ascii="Courier New" w:hAnsi="Courier New" w:cs="Courier New"/>
      </w:rPr>
    </w:lvl>
    <w:lvl w:ilvl="5" w:tplc="04090005" w:tentative="1">
      <w:start w:val="1"/>
      <w:numFmt w:val="bullet"/>
      <w:lvlText w:val=""/>
      <w:lvlJc w:val="left"/>
      <w:pPr>
        <w:ind w:left="4350" w:hanging="360"/>
      </w:pPr>
      <w:rPr>
        <w:rFonts w:hint="default" w:ascii="Wingdings" w:hAnsi="Wingdings"/>
      </w:rPr>
    </w:lvl>
    <w:lvl w:ilvl="6" w:tplc="04090001" w:tentative="1">
      <w:start w:val="1"/>
      <w:numFmt w:val="bullet"/>
      <w:lvlText w:val=""/>
      <w:lvlJc w:val="left"/>
      <w:pPr>
        <w:ind w:left="5070" w:hanging="360"/>
      </w:pPr>
      <w:rPr>
        <w:rFonts w:hint="default" w:ascii="Symbol" w:hAnsi="Symbol"/>
      </w:rPr>
    </w:lvl>
    <w:lvl w:ilvl="7" w:tplc="04090003" w:tentative="1">
      <w:start w:val="1"/>
      <w:numFmt w:val="bullet"/>
      <w:lvlText w:val="o"/>
      <w:lvlJc w:val="left"/>
      <w:pPr>
        <w:ind w:left="5790" w:hanging="360"/>
      </w:pPr>
      <w:rPr>
        <w:rFonts w:hint="default" w:ascii="Courier New" w:hAnsi="Courier New" w:cs="Courier New"/>
      </w:rPr>
    </w:lvl>
    <w:lvl w:ilvl="8" w:tplc="04090005" w:tentative="1">
      <w:start w:val="1"/>
      <w:numFmt w:val="bullet"/>
      <w:lvlText w:val=""/>
      <w:lvlJc w:val="left"/>
      <w:pPr>
        <w:ind w:left="6510" w:hanging="360"/>
      </w:pPr>
      <w:rPr>
        <w:rFonts w:hint="default" w:ascii="Wingdings" w:hAnsi="Wingdings"/>
      </w:rPr>
    </w:lvl>
  </w:abstractNum>
  <w:abstractNum w:abstractNumId="4">
    <w:nsid w:val="2C2F5421"/>
    <w:multiLevelType w:val="hybridMultilevel"/>
    <w:tmpl w:val="0B1458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BD0B9B"/>
    <w:multiLevelType w:val="hybridMultilevel"/>
    <w:tmpl w:val="D51891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C10A8F"/>
    <w:multiLevelType w:val="hybridMultilevel"/>
    <w:tmpl w:val="92400A96"/>
    <w:lvl w:ilvl="0" w:tplc="04090005">
      <w:start w:val="1"/>
      <w:numFmt w:val="bullet"/>
      <w:lvlText w:val=""/>
      <w:lvlJc w:val="left"/>
      <w:pPr>
        <w:ind w:left="720" w:hanging="360"/>
      </w:pPr>
      <w:rPr>
        <w:rFonts w:hint="default" w:ascii="Wingdings" w:hAnsi="Wingdings"/>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7">
    <w:nsid w:val="3E96518F"/>
    <w:multiLevelType w:val="hybridMultilevel"/>
    <w:tmpl w:val="51580E20"/>
    <w:lvl w:ilvl="0" w:tplc="04090001">
      <w:start w:val="1"/>
      <w:numFmt w:val="bullet"/>
      <w:lvlText w:val=""/>
      <w:lvlJc w:val="left"/>
      <w:pPr>
        <w:ind w:left="1080" w:hanging="360"/>
      </w:pPr>
      <w:rPr>
        <w:rFonts w:hint="default" w:ascii="Symbol" w:hAnsi="Symbol"/>
      </w:rPr>
    </w:lvl>
    <w:lvl w:ilvl="1" w:tplc="04090003" w:tentative="1">
      <w:start w:val="1"/>
      <w:numFmt w:val="bullet"/>
      <w:lvlText w:val="o"/>
      <w:lvlJc w:val="left"/>
      <w:pPr>
        <w:ind w:left="1800" w:hanging="360"/>
      </w:pPr>
      <w:rPr>
        <w:rFonts w:hint="default" w:ascii="Courier New" w:hAnsi="Courier New" w:cs="Courier New"/>
      </w:rPr>
    </w:lvl>
    <w:lvl w:ilvl="2" w:tplc="04090005" w:tentative="1">
      <w:start w:val="1"/>
      <w:numFmt w:val="bullet"/>
      <w:lvlText w:val=""/>
      <w:lvlJc w:val="left"/>
      <w:pPr>
        <w:ind w:left="2520" w:hanging="360"/>
      </w:pPr>
      <w:rPr>
        <w:rFonts w:hint="default" w:ascii="Wingdings" w:hAnsi="Wingdings"/>
      </w:rPr>
    </w:lvl>
    <w:lvl w:ilvl="3" w:tplc="04090001" w:tentative="1">
      <w:start w:val="1"/>
      <w:numFmt w:val="bullet"/>
      <w:lvlText w:val=""/>
      <w:lvlJc w:val="left"/>
      <w:pPr>
        <w:ind w:left="3240" w:hanging="360"/>
      </w:pPr>
      <w:rPr>
        <w:rFonts w:hint="default" w:ascii="Symbol" w:hAnsi="Symbol"/>
      </w:rPr>
    </w:lvl>
    <w:lvl w:ilvl="4" w:tplc="04090003" w:tentative="1">
      <w:start w:val="1"/>
      <w:numFmt w:val="bullet"/>
      <w:lvlText w:val="o"/>
      <w:lvlJc w:val="left"/>
      <w:pPr>
        <w:ind w:left="3960" w:hanging="360"/>
      </w:pPr>
      <w:rPr>
        <w:rFonts w:hint="default" w:ascii="Courier New" w:hAnsi="Courier New" w:cs="Courier New"/>
      </w:rPr>
    </w:lvl>
    <w:lvl w:ilvl="5" w:tplc="04090005" w:tentative="1">
      <w:start w:val="1"/>
      <w:numFmt w:val="bullet"/>
      <w:lvlText w:val=""/>
      <w:lvlJc w:val="left"/>
      <w:pPr>
        <w:ind w:left="4680" w:hanging="360"/>
      </w:pPr>
      <w:rPr>
        <w:rFonts w:hint="default" w:ascii="Wingdings" w:hAnsi="Wingdings"/>
      </w:rPr>
    </w:lvl>
    <w:lvl w:ilvl="6" w:tplc="04090001" w:tentative="1">
      <w:start w:val="1"/>
      <w:numFmt w:val="bullet"/>
      <w:lvlText w:val=""/>
      <w:lvlJc w:val="left"/>
      <w:pPr>
        <w:ind w:left="5400" w:hanging="360"/>
      </w:pPr>
      <w:rPr>
        <w:rFonts w:hint="default" w:ascii="Symbol" w:hAnsi="Symbol"/>
      </w:rPr>
    </w:lvl>
    <w:lvl w:ilvl="7" w:tplc="04090003" w:tentative="1">
      <w:start w:val="1"/>
      <w:numFmt w:val="bullet"/>
      <w:lvlText w:val="o"/>
      <w:lvlJc w:val="left"/>
      <w:pPr>
        <w:ind w:left="6120" w:hanging="360"/>
      </w:pPr>
      <w:rPr>
        <w:rFonts w:hint="default" w:ascii="Courier New" w:hAnsi="Courier New" w:cs="Courier New"/>
      </w:rPr>
    </w:lvl>
    <w:lvl w:ilvl="8" w:tplc="04090005" w:tentative="1">
      <w:start w:val="1"/>
      <w:numFmt w:val="bullet"/>
      <w:lvlText w:val=""/>
      <w:lvlJc w:val="left"/>
      <w:pPr>
        <w:ind w:left="6840" w:hanging="360"/>
      </w:pPr>
      <w:rPr>
        <w:rFonts w:hint="default" w:ascii="Wingdings" w:hAnsi="Wingdings"/>
      </w:rPr>
    </w:lvl>
  </w:abstractNum>
  <w:abstractNum w:abstractNumId="8">
    <w:nsid w:val="439F744C"/>
    <w:multiLevelType w:val="hybridMultilevel"/>
    <w:tmpl w:val="24E840F0"/>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9">
    <w:nsid w:val="48A17B5D"/>
    <w:multiLevelType w:val="hybridMultilevel"/>
    <w:tmpl w:val="E90C111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0">
    <w:nsid w:val="4ACB180A"/>
    <w:multiLevelType w:val="hybridMultilevel"/>
    <w:tmpl w:val="CAD2504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nsid w:val="4E183EB3"/>
    <w:multiLevelType w:val="hybridMultilevel"/>
    <w:tmpl w:val="59BC09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2140642"/>
    <w:multiLevelType w:val="hybridMultilevel"/>
    <w:tmpl w:val="999A52E2"/>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nsid w:val="5C0747DB"/>
    <w:multiLevelType w:val="hybridMultilevel"/>
    <w:tmpl w:val="E130B120"/>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nsid w:val="60DB0E83"/>
    <w:multiLevelType w:val="hybridMultilevel"/>
    <w:tmpl w:val="72CEE1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1B73F46"/>
    <w:multiLevelType w:val="hybridMultilevel"/>
    <w:tmpl w:val="5532F74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6">
    <w:nsid w:val="73DA472B"/>
    <w:multiLevelType w:val="multilevel"/>
    <w:tmpl w:val="096A6CE2"/>
    <w:lvl w:ilvl="0">
      <w:start w:val="1"/>
      <w:numFmt w:val="upperRoman"/>
      <w:lvlText w:val="%1."/>
      <w:lvlJc w:val="right"/>
      <w:pPr>
        <w:ind w:left="360" w:hanging="360"/>
      </w:pPr>
      <w:rPr>
        <w:rFonts w:hint="default"/>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7">
    <w:nsid w:val="7F5C51C3"/>
    <w:multiLevelType w:val="hybridMultilevel"/>
    <w:tmpl w:val="7C0C5914"/>
    <w:lvl w:ilvl="0" w:tplc="E2FC7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6"/>
  </w:num>
  <w:num w:numId="3">
    <w:abstractNumId w:val="11"/>
  </w:num>
  <w:num w:numId="4">
    <w:abstractNumId w:val="17"/>
  </w:num>
  <w:num w:numId="5">
    <w:abstractNumId w:val="16"/>
  </w:num>
  <w:num w:numId="6">
    <w:abstractNumId w:val="1"/>
  </w:num>
  <w:num w:numId="7">
    <w:abstractNumId w:val="3"/>
  </w:num>
  <w:num w:numId="8">
    <w:abstractNumId w:val="5"/>
  </w:num>
  <w:num w:numId="9">
    <w:abstractNumId w:val="13"/>
  </w:num>
  <w:num w:numId="10">
    <w:abstractNumId w:val="14"/>
  </w:num>
  <w:num w:numId="11">
    <w:abstractNumId w:val="0"/>
  </w:num>
  <w:num w:numId="12">
    <w:abstractNumId w:val="4"/>
  </w:num>
  <w:num w:numId="13">
    <w:abstractNumId w:val="7"/>
  </w:num>
  <w:num w:numId="14">
    <w:abstractNumId w:val="2"/>
  </w:num>
  <w:num w:numId="15">
    <w:abstractNumId w:val="9"/>
  </w:num>
  <w:num w:numId="16">
    <w:abstractNumId w:val="15"/>
  </w:num>
  <w:num w:numId="17">
    <w:abstractNumId w:val="12"/>
  </w:num>
  <w:num w:numId="18">
    <w:abstractNumId w:val="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26"/>
  <w:trackRevisions w:val="false"/>
  <w:doNotTrackFormatting/>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7CwMDUyMjI0NTYzMzBW0lEKTi0uzszPAykwqwUA95OCdCwAAAA="/>
  </w:docVars>
  <w:rsids>
    <w:rsidRoot w:val="0095711B"/>
    <w:rsid w:val="00001A5F"/>
    <w:rsid w:val="000022AC"/>
    <w:rsid w:val="0001111B"/>
    <w:rsid w:val="000147E3"/>
    <w:rsid w:val="00015A1F"/>
    <w:rsid w:val="00017B41"/>
    <w:rsid w:val="0002104E"/>
    <w:rsid w:val="00023007"/>
    <w:rsid w:val="000261C3"/>
    <w:rsid w:val="000267BA"/>
    <w:rsid w:val="000269F9"/>
    <w:rsid w:val="00033CFE"/>
    <w:rsid w:val="0003723F"/>
    <w:rsid w:val="00041E0C"/>
    <w:rsid w:val="0004502C"/>
    <w:rsid w:val="00051C01"/>
    <w:rsid w:val="000539C4"/>
    <w:rsid w:val="00060E40"/>
    <w:rsid w:val="00064D0F"/>
    <w:rsid w:val="00065D4D"/>
    <w:rsid w:val="0006695D"/>
    <w:rsid w:val="00084849"/>
    <w:rsid w:val="00084A73"/>
    <w:rsid w:val="00086CFF"/>
    <w:rsid w:val="00090A9B"/>
    <w:rsid w:val="00097436"/>
    <w:rsid w:val="000A5A39"/>
    <w:rsid w:val="000A7B76"/>
    <w:rsid w:val="000B575F"/>
    <w:rsid w:val="000B76A4"/>
    <w:rsid w:val="000B76D4"/>
    <w:rsid w:val="000C2077"/>
    <w:rsid w:val="000C27C8"/>
    <w:rsid w:val="000C579D"/>
    <w:rsid w:val="000C6D2C"/>
    <w:rsid w:val="000E064F"/>
    <w:rsid w:val="000E7D5D"/>
    <w:rsid w:val="000F39D2"/>
    <w:rsid w:val="000F6D52"/>
    <w:rsid w:val="000F744C"/>
    <w:rsid w:val="00102DAE"/>
    <w:rsid w:val="00103F0D"/>
    <w:rsid w:val="001055F6"/>
    <w:rsid w:val="00106AE4"/>
    <w:rsid w:val="00111A8C"/>
    <w:rsid w:val="001127C3"/>
    <w:rsid w:val="001129A4"/>
    <w:rsid w:val="00115900"/>
    <w:rsid w:val="00124040"/>
    <w:rsid w:val="001316E2"/>
    <w:rsid w:val="00134C96"/>
    <w:rsid w:val="001353A5"/>
    <w:rsid w:val="0014474E"/>
    <w:rsid w:val="001508F1"/>
    <w:rsid w:val="00157483"/>
    <w:rsid w:val="00160B08"/>
    <w:rsid w:val="00162BA8"/>
    <w:rsid w:val="0017216B"/>
    <w:rsid w:val="00177A1F"/>
    <w:rsid w:val="00181BC6"/>
    <w:rsid w:val="001825BE"/>
    <w:rsid w:val="0018339C"/>
    <w:rsid w:val="00185942"/>
    <w:rsid w:val="001906C1"/>
    <w:rsid w:val="00194453"/>
    <w:rsid w:val="00194A1C"/>
    <w:rsid w:val="001A08AC"/>
    <w:rsid w:val="001A6ADD"/>
    <w:rsid w:val="001C18FD"/>
    <w:rsid w:val="001C6EDE"/>
    <w:rsid w:val="001D3ECA"/>
    <w:rsid w:val="001D4A34"/>
    <w:rsid w:val="001D6479"/>
    <w:rsid w:val="001E7462"/>
    <w:rsid w:val="001F1ECA"/>
    <w:rsid w:val="001F20C4"/>
    <w:rsid w:val="001F41E2"/>
    <w:rsid w:val="001F7559"/>
    <w:rsid w:val="00210317"/>
    <w:rsid w:val="002107CC"/>
    <w:rsid w:val="002127A7"/>
    <w:rsid w:val="00213023"/>
    <w:rsid w:val="00214DA3"/>
    <w:rsid w:val="0022432D"/>
    <w:rsid w:val="00225B5A"/>
    <w:rsid w:val="00225D55"/>
    <w:rsid w:val="00226465"/>
    <w:rsid w:val="00226F70"/>
    <w:rsid w:val="00231773"/>
    <w:rsid w:val="00232EF6"/>
    <w:rsid w:val="0023302F"/>
    <w:rsid w:val="00236249"/>
    <w:rsid w:val="00236D2C"/>
    <w:rsid w:val="00236FB9"/>
    <w:rsid w:val="00240337"/>
    <w:rsid w:val="00243AA2"/>
    <w:rsid w:val="00244170"/>
    <w:rsid w:val="00244A9D"/>
    <w:rsid w:val="00247336"/>
    <w:rsid w:val="00253BB0"/>
    <w:rsid w:val="002571A8"/>
    <w:rsid w:val="00257BDD"/>
    <w:rsid w:val="00262A68"/>
    <w:rsid w:val="00270E14"/>
    <w:rsid w:val="00270E92"/>
    <w:rsid w:val="00273865"/>
    <w:rsid w:val="00274E0E"/>
    <w:rsid w:val="0027764B"/>
    <w:rsid w:val="0028127C"/>
    <w:rsid w:val="0028247E"/>
    <w:rsid w:val="00283316"/>
    <w:rsid w:val="002959D8"/>
    <w:rsid w:val="00295A59"/>
    <w:rsid w:val="002A1C78"/>
    <w:rsid w:val="002A4AAF"/>
    <w:rsid w:val="002A5E27"/>
    <w:rsid w:val="002B15BC"/>
    <w:rsid w:val="002C2664"/>
    <w:rsid w:val="002C31D2"/>
    <w:rsid w:val="002C37CE"/>
    <w:rsid w:val="002C5024"/>
    <w:rsid w:val="002D387E"/>
    <w:rsid w:val="002D4B50"/>
    <w:rsid w:val="002D7FB5"/>
    <w:rsid w:val="002E2870"/>
    <w:rsid w:val="002E4089"/>
    <w:rsid w:val="002E5AA4"/>
    <w:rsid w:val="002E65F5"/>
    <w:rsid w:val="002E72C1"/>
    <w:rsid w:val="002F074A"/>
    <w:rsid w:val="002F4DD6"/>
    <w:rsid w:val="00302426"/>
    <w:rsid w:val="00307668"/>
    <w:rsid w:val="00324CB8"/>
    <w:rsid w:val="00326ED0"/>
    <w:rsid w:val="0033158C"/>
    <w:rsid w:val="00334783"/>
    <w:rsid w:val="00335B4C"/>
    <w:rsid w:val="00337A9A"/>
    <w:rsid w:val="00340BC1"/>
    <w:rsid w:val="00342FD2"/>
    <w:rsid w:val="00346E79"/>
    <w:rsid w:val="003473BD"/>
    <w:rsid w:val="00353069"/>
    <w:rsid w:val="00356126"/>
    <w:rsid w:val="0036068D"/>
    <w:rsid w:val="00361C6C"/>
    <w:rsid w:val="003622D9"/>
    <w:rsid w:val="00364A0B"/>
    <w:rsid w:val="00367E4F"/>
    <w:rsid w:val="003733F5"/>
    <w:rsid w:val="003836F5"/>
    <w:rsid w:val="003842FC"/>
    <w:rsid w:val="003903CC"/>
    <w:rsid w:val="00395A99"/>
    <w:rsid w:val="003979FA"/>
    <w:rsid w:val="003A031D"/>
    <w:rsid w:val="003A034A"/>
    <w:rsid w:val="003B0812"/>
    <w:rsid w:val="003B3E9F"/>
    <w:rsid w:val="003C0BFE"/>
    <w:rsid w:val="003C2106"/>
    <w:rsid w:val="003C3DB3"/>
    <w:rsid w:val="003C3F57"/>
    <w:rsid w:val="003D2319"/>
    <w:rsid w:val="003D2892"/>
    <w:rsid w:val="003D609D"/>
    <w:rsid w:val="003D76EB"/>
    <w:rsid w:val="003E20E2"/>
    <w:rsid w:val="003E6080"/>
    <w:rsid w:val="003F4766"/>
    <w:rsid w:val="00403D49"/>
    <w:rsid w:val="00405990"/>
    <w:rsid w:val="004131B1"/>
    <w:rsid w:val="004137C4"/>
    <w:rsid w:val="0041575B"/>
    <w:rsid w:val="00416432"/>
    <w:rsid w:val="00417FB9"/>
    <w:rsid w:val="00422FA0"/>
    <w:rsid w:val="00423F56"/>
    <w:rsid w:val="00424613"/>
    <w:rsid w:val="00425430"/>
    <w:rsid w:val="00426219"/>
    <w:rsid w:val="004311D4"/>
    <w:rsid w:val="00431EE3"/>
    <w:rsid w:val="00432C3D"/>
    <w:rsid w:val="00433246"/>
    <w:rsid w:val="00441753"/>
    <w:rsid w:val="00451C1B"/>
    <w:rsid w:val="004528FC"/>
    <w:rsid w:val="00453E1D"/>
    <w:rsid w:val="00454218"/>
    <w:rsid w:val="0046687E"/>
    <w:rsid w:val="00466C7E"/>
    <w:rsid w:val="00471214"/>
    <w:rsid w:val="004722D9"/>
    <w:rsid w:val="00472C12"/>
    <w:rsid w:val="0047402C"/>
    <w:rsid w:val="00476DDB"/>
    <w:rsid w:val="004810B1"/>
    <w:rsid w:val="00482240"/>
    <w:rsid w:val="004863DF"/>
    <w:rsid w:val="0049065C"/>
    <w:rsid w:val="004920A4"/>
    <w:rsid w:val="004938D0"/>
    <w:rsid w:val="00494731"/>
    <w:rsid w:val="0049528E"/>
    <w:rsid w:val="004A0A91"/>
    <w:rsid w:val="004B1FD7"/>
    <w:rsid w:val="004B37B6"/>
    <w:rsid w:val="004B5139"/>
    <w:rsid w:val="004B62BF"/>
    <w:rsid w:val="004B657E"/>
    <w:rsid w:val="004C6060"/>
    <w:rsid w:val="004C6890"/>
    <w:rsid w:val="004D3346"/>
    <w:rsid w:val="004D46C7"/>
    <w:rsid w:val="004D5823"/>
    <w:rsid w:val="004D7049"/>
    <w:rsid w:val="004E727D"/>
    <w:rsid w:val="004F386F"/>
    <w:rsid w:val="004F7E01"/>
    <w:rsid w:val="0050104A"/>
    <w:rsid w:val="005013CA"/>
    <w:rsid w:val="00503285"/>
    <w:rsid w:val="00507F38"/>
    <w:rsid w:val="00510DB8"/>
    <w:rsid w:val="00512024"/>
    <w:rsid w:val="00517D4B"/>
    <w:rsid w:val="00520F58"/>
    <w:rsid w:val="00522E4E"/>
    <w:rsid w:val="00525C75"/>
    <w:rsid w:val="0053058C"/>
    <w:rsid w:val="005312FF"/>
    <w:rsid w:val="00531E51"/>
    <w:rsid w:val="00533110"/>
    <w:rsid w:val="0053328B"/>
    <w:rsid w:val="00534ED1"/>
    <w:rsid w:val="005364CE"/>
    <w:rsid w:val="00537532"/>
    <w:rsid w:val="00544613"/>
    <w:rsid w:val="00546665"/>
    <w:rsid w:val="00546D78"/>
    <w:rsid w:val="005503F6"/>
    <w:rsid w:val="0055062B"/>
    <w:rsid w:val="00551331"/>
    <w:rsid w:val="00561BFE"/>
    <w:rsid w:val="005637C2"/>
    <w:rsid w:val="00567CC8"/>
    <w:rsid w:val="00572805"/>
    <w:rsid w:val="0058137A"/>
    <w:rsid w:val="005833C9"/>
    <w:rsid w:val="00584F1E"/>
    <w:rsid w:val="00587692"/>
    <w:rsid w:val="0059194E"/>
    <w:rsid w:val="005968F5"/>
    <w:rsid w:val="0059722E"/>
    <w:rsid w:val="00597E8C"/>
    <w:rsid w:val="00597E8E"/>
    <w:rsid w:val="005A1056"/>
    <w:rsid w:val="005A65CC"/>
    <w:rsid w:val="005A7F87"/>
    <w:rsid w:val="005B1361"/>
    <w:rsid w:val="005B29D2"/>
    <w:rsid w:val="005B4758"/>
    <w:rsid w:val="005C2BE5"/>
    <w:rsid w:val="005C640B"/>
    <w:rsid w:val="005C790F"/>
    <w:rsid w:val="005D330B"/>
    <w:rsid w:val="005F1662"/>
    <w:rsid w:val="0060089A"/>
    <w:rsid w:val="00604A1A"/>
    <w:rsid w:val="006060EC"/>
    <w:rsid w:val="006113E5"/>
    <w:rsid w:val="00615DEC"/>
    <w:rsid w:val="00616EA1"/>
    <w:rsid w:val="00626F59"/>
    <w:rsid w:val="0062725A"/>
    <w:rsid w:val="00631698"/>
    <w:rsid w:val="006339EC"/>
    <w:rsid w:val="00641ED4"/>
    <w:rsid w:val="006424BE"/>
    <w:rsid w:val="0064697D"/>
    <w:rsid w:val="00646B82"/>
    <w:rsid w:val="00647EFF"/>
    <w:rsid w:val="00650A66"/>
    <w:rsid w:val="00652C07"/>
    <w:rsid w:val="006562DB"/>
    <w:rsid w:val="006569A0"/>
    <w:rsid w:val="006579D8"/>
    <w:rsid w:val="00657E36"/>
    <w:rsid w:val="00663603"/>
    <w:rsid w:val="00664574"/>
    <w:rsid w:val="00665A24"/>
    <w:rsid w:val="00665F44"/>
    <w:rsid w:val="00670648"/>
    <w:rsid w:val="00673BF3"/>
    <w:rsid w:val="00674E83"/>
    <w:rsid w:val="00675032"/>
    <w:rsid w:val="00675E7A"/>
    <w:rsid w:val="00682309"/>
    <w:rsid w:val="006824BB"/>
    <w:rsid w:val="00683B6D"/>
    <w:rsid w:val="00690EEA"/>
    <w:rsid w:val="0069692C"/>
    <w:rsid w:val="006A1798"/>
    <w:rsid w:val="006A250E"/>
    <w:rsid w:val="006A3665"/>
    <w:rsid w:val="006A49AD"/>
    <w:rsid w:val="006B0BE6"/>
    <w:rsid w:val="006C1347"/>
    <w:rsid w:val="006C35DA"/>
    <w:rsid w:val="006C654E"/>
    <w:rsid w:val="006D2DF1"/>
    <w:rsid w:val="006D7064"/>
    <w:rsid w:val="006E385D"/>
    <w:rsid w:val="006E4E0B"/>
    <w:rsid w:val="006E6222"/>
    <w:rsid w:val="006E6E0F"/>
    <w:rsid w:val="006F498F"/>
    <w:rsid w:val="006F5D3A"/>
    <w:rsid w:val="006F635C"/>
    <w:rsid w:val="006F65C2"/>
    <w:rsid w:val="00702A56"/>
    <w:rsid w:val="00703076"/>
    <w:rsid w:val="00713718"/>
    <w:rsid w:val="007217B3"/>
    <w:rsid w:val="00721922"/>
    <w:rsid w:val="0072553F"/>
    <w:rsid w:val="00725899"/>
    <w:rsid w:val="007262F2"/>
    <w:rsid w:val="007363A8"/>
    <w:rsid w:val="007367DF"/>
    <w:rsid w:val="0074447A"/>
    <w:rsid w:val="00744973"/>
    <w:rsid w:val="00744E1B"/>
    <w:rsid w:val="00746260"/>
    <w:rsid w:val="00746840"/>
    <w:rsid w:val="00746E55"/>
    <w:rsid w:val="007530CD"/>
    <w:rsid w:val="0075402C"/>
    <w:rsid w:val="00757129"/>
    <w:rsid w:val="00761AC9"/>
    <w:rsid w:val="00770E8F"/>
    <w:rsid w:val="007721C1"/>
    <w:rsid w:val="00772DA8"/>
    <w:rsid w:val="00780ACE"/>
    <w:rsid w:val="0078486E"/>
    <w:rsid w:val="007869F4"/>
    <w:rsid w:val="0079228F"/>
    <w:rsid w:val="00796095"/>
    <w:rsid w:val="007A4350"/>
    <w:rsid w:val="007A62DD"/>
    <w:rsid w:val="007B0420"/>
    <w:rsid w:val="007B500B"/>
    <w:rsid w:val="007B6B61"/>
    <w:rsid w:val="007C3374"/>
    <w:rsid w:val="007D7DDB"/>
    <w:rsid w:val="007F255F"/>
    <w:rsid w:val="007F73BA"/>
    <w:rsid w:val="007F7B13"/>
    <w:rsid w:val="00801D9C"/>
    <w:rsid w:val="008052A0"/>
    <w:rsid w:val="00806A79"/>
    <w:rsid w:val="00807C07"/>
    <w:rsid w:val="00810075"/>
    <w:rsid w:val="00817C41"/>
    <w:rsid w:val="00822F44"/>
    <w:rsid w:val="008257A3"/>
    <w:rsid w:val="00825F8B"/>
    <w:rsid w:val="00830BDA"/>
    <w:rsid w:val="008321C5"/>
    <w:rsid w:val="008372C2"/>
    <w:rsid w:val="00841608"/>
    <w:rsid w:val="00844C94"/>
    <w:rsid w:val="008452CA"/>
    <w:rsid w:val="008528D3"/>
    <w:rsid w:val="0085349F"/>
    <w:rsid w:val="0085412F"/>
    <w:rsid w:val="00855325"/>
    <w:rsid w:val="008564AD"/>
    <w:rsid w:val="00857315"/>
    <w:rsid w:val="008628FC"/>
    <w:rsid w:val="00863349"/>
    <w:rsid w:val="00865A6F"/>
    <w:rsid w:val="0087190C"/>
    <w:rsid w:val="008739E3"/>
    <w:rsid w:val="00874C23"/>
    <w:rsid w:val="008813B9"/>
    <w:rsid w:val="00884EF9"/>
    <w:rsid w:val="008902BA"/>
    <w:rsid w:val="00895B2A"/>
    <w:rsid w:val="008A3189"/>
    <w:rsid w:val="008B3E0F"/>
    <w:rsid w:val="008B4882"/>
    <w:rsid w:val="008C4945"/>
    <w:rsid w:val="008D2CC3"/>
    <w:rsid w:val="008D525D"/>
    <w:rsid w:val="008F0165"/>
    <w:rsid w:val="0090126C"/>
    <w:rsid w:val="009067F6"/>
    <w:rsid w:val="00915206"/>
    <w:rsid w:val="00915972"/>
    <w:rsid w:val="0091715B"/>
    <w:rsid w:val="00922AA4"/>
    <w:rsid w:val="0092554B"/>
    <w:rsid w:val="00925C27"/>
    <w:rsid w:val="00927192"/>
    <w:rsid w:val="00930A8F"/>
    <w:rsid w:val="00931E14"/>
    <w:rsid w:val="009322A6"/>
    <w:rsid w:val="009332E2"/>
    <w:rsid w:val="00933A84"/>
    <w:rsid w:val="00934C6D"/>
    <w:rsid w:val="00935064"/>
    <w:rsid w:val="0093554E"/>
    <w:rsid w:val="00937A43"/>
    <w:rsid w:val="00937F82"/>
    <w:rsid w:val="00940A06"/>
    <w:rsid w:val="00943C1A"/>
    <w:rsid w:val="0094553F"/>
    <w:rsid w:val="00947778"/>
    <w:rsid w:val="0095122E"/>
    <w:rsid w:val="0095144A"/>
    <w:rsid w:val="009526AF"/>
    <w:rsid w:val="00953879"/>
    <w:rsid w:val="00955553"/>
    <w:rsid w:val="0095711B"/>
    <w:rsid w:val="00960A1A"/>
    <w:rsid w:val="009655B3"/>
    <w:rsid w:val="00970799"/>
    <w:rsid w:val="00971A7E"/>
    <w:rsid w:val="009739EB"/>
    <w:rsid w:val="00980100"/>
    <w:rsid w:val="00984BC6"/>
    <w:rsid w:val="00994B24"/>
    <w:rsid w:val="009A2D1B"/>
    <w:rsid w:val="009A4E9F"/>
    <w:rsid w:val="009C0286"/>
    <w:rsid w:val="009C0879"/>
    <w:rsid w:val="009C0E24"/>
    <w:rsid w:val="009C4123"/>
    <w:rsid w:val="009C4C3F"/>
    <w:rsid w:val="009C5C06"/>
    <w:rsid w:val="009C7E28"/>
    <w:rsid w:val="009D73A8"/>
    <w:rsid w:val="009E1945"/>
    <w:rsid w:val="009F1441"/>
    <w:rsid w:val="009F33FF"/>
    <w:rsid w:val="009F3CA2"/>
    <w:rsid w:val="009F705D"/>
    <w:rsid w:val="00A0625F"/>
    <w:rsid w:val="00A067E6"/>
    <w:rsid w:val="00A07888"/>
    <w:rsid w:val="00A07BE2"/>
    <w:rsid w:val="00A10CD5"/>
    <w:rsid w:val="00A12C27"/>
    <w:rsid w:val="00A13EE1"/>
    <w:rsid w:val="00A20379"/>
    <w:rsid w:val="00A2474F"/>
    <w:rsid w:val="00A27CFE"/>
    <w:rsid w:val="00A3058E"/>
    <w:rsid w:val="00A32BC3"/>
    <w:rsid w:val="00A357F7"/>
    <w:rsid w:val="00A3678C"/>
    <w:rsid w:val="00A37381"/>
    <w:rsid w:val="00A37C9C"/>
    <w:rsid w:val="00A4634A"/>
    <w:rsid w:val="00A474F9"/>
    <w:rsid w:val="00A518A0"/>
    <w:rsid w:val="00A530F6"/>
    <w:rsid w:val="00A54370"/>
    <w:rsid w:val="00A57185"/>
    <w:rsid w:val="00A60B17"/>
    <w:rsid w:val="00A62930"/>
    <w:rsid w:val="00A63676"/>
    <w:rsid w:val="00A75ED9"/>
    <w:rsid w:val="00A773E8"/>
    <w:rsid w:val="00A80B3E"/>
    <w:rsid w:val="00A837F8"/>
    <w:rsid w:val="00A8462C"/>
    <w:rsid w:val="00A85AEA"/>
    <w:rsid w:val="00A872D6"/>
    <w:rsid w:val="00A876E7"/>
    <w:rsid w:val="00A93365"/>
    <w:rsid w:val="00A944F8"/>
    <w:rsid w:val="00A96B58"/>
    <w:rsid w:val="00AA3BA8"/>
    <w:rsid w:val="00AB0B2A"/>
    <w:rsid w:val="00AB54F2"/>
    <w:rsid w:val="00AC07CF"/>
    <w:rsid w:val="00AC081B"/>
    <w:rsid w:val="00AC6282"/>
    <w:rsid w:val="00AC7C95"/>
    <w:rsid w:val="00AD2633"/>
    <w:rsid w:val="00AD2D45"/>
    <w:rsid w:val="00AD3653"/>
    <w:rsid w:val="00AD3845"/>
    <w:rsid w:val="00AD38AA"/>
    <w:rsid w:val="00AE407E"/>
    <w:rsid w:val="00AF2F55"/>
    <w:rsid w:val="00AF5C75"/>
    <w:rsid w:val="00B00FD6"/>
    <w:rsid w:val="00B03687"/>
    <w:rsid w:val="00B03A0D"/>
    <w:rsid w:val="00B03C22"/>
    <w:rsid w:val="00B03E1E"/>
    <w:rsid w:val="00B07248"/>
    <w:rsid w:val="00B07D92"/>
    <w:rsid w:val="00B1113D"/>
    <w:rsid w:val="00B13125"/>
    <w:rsid w:val="00B140E0"/>
    <w:rsid w:val="00B15326"/>
    <w:rsid w:val="00B20D9A"/>
    <w:rsid w:val="00B217B3"/>
    <w:rsid w:val="00B22BAC"/>
    <w:rsid w:val="00B24731"/>
    <w:rsid w:val="00B307EC"/>
    <w:rsid w:val="00B347ED"/>
    <w:rsid w:val="00B523A7"/>
    <w:rsid w:val="00B60C91"/>
    <w:rsid w:val="00B62397"/>
    <w:rsid w:val="00B6368D"/>
    <w:rsid w:val="00B65DBF"/>
    <w:rsid w:val="00B70A3F"/>
    <w:rsid w:val="00B811D8"/>
    <w:rsid w:val="00B83CCE"/>
    <w:rsid w:val="00B840AE"/>
    <w:rsid w:val="00B912CB"/>
    <w:rsid w:val="00B951D6"/>
    <w:rsid w:val="00BA1503"/>
    <w:rsid w:val="00BA4D31"/>
    <w:rsid w:val="00BA7B34"/>
    <w:rsid w:val="00BB2778"/>
    <w:rsid w:val="00BB35B2"/>
    <w:rsid w:val="00BB5BAB"/>
    <w:rsid w:val="00BB612A"/>
    <w:rsid w:val="00BD023E"/>
    <w:rsid w:val="00BD08F2"/>
    <w:rsid w:val="00BD0CD1"/>
    <w:rsid w:val="00BE1D20"/>
    <w:rsid w:val="00BE3A0B"/>
    <w:rsid w:val="00BE7549"/>
    <w:rsid w:val="00BF2779"/>
    <w:rsid w:val="00C015C4"/>
    <w:rsid w:val="00C02A8B"/>
    <w:rsid w:val="00C03D12"/>
    <w:rsid w:val="00C11FAB"/>
    <w:rsid w:val="00C13A80"/>
    <w:rsid w:val="00C1501F"/>
    <w:rsid w:val="00C17C73"/>
    <w:rsid w:val="00C21E6D"/>
    <w:rsid w:val="00C24AAF"/>
    <w:rsid w:val="00C259A2"/>
    <w:rsid w:val="00C26F71"/>
    <w:rsid w:val="00C31A49"/>
    <w:rsid w:val="00C31ACD"/>
    <w:rsid w:val="00C3492D"/>
    <w:rsid w:val="00C4070C"/>
    <w:rsid w:val="00C42B8B"/>
    <w:rsid w:val="00C43E24"/>
    <w:rsid w:val="00C44C30"/>
    <w:rsid w:val="00C51AE8"/>
    <w:rsid w:val="00C571D0"/>
    <w:rsid w:val="00C5730B"/>
    <w:rsid w:val="00C70C8B"/>
    <w:rsid w:val="00C711D6"/>
    <w:rsid w:val="00C735E7"/>
    <w:rsid w:val="00C7449F"/>
    <w:rsid w:val="00C745F8"/>
    <w:rsid w:val="00C74904"/>
    <w:rsid w:val="00C91583"/>
    <w:rsid w:val="00C92529"/>
    <w:rsid w:val="00CA2F08"/>
    <w:rsid w:val="00CA5FE2"/>
    <w:rsid w:val="00CA6A34"/>
    <w:rsid w:val="00CB196B"/>
    <w:rsid w:val="00CB1DBE"/>
    <w:rsid w:val="00CB32B1"/>
    <w:rsid w:val="00CB4A05"/>
    <w:rsid w:val="00CB4AB1"/>
    <w:rsid w:val="00CC26BC"/>
    <w:rsid w:val="00CC4CF8"/>
    <w:rsid w:val="00CC610D"/>
    <w:rsid w:val="00CD00A6"/>
    <w:rsid w:val="00CD109E"/>
    <w:rsid w:val="00CD5F08"/>
    <w:rsid w:val="00CE2018"/>
    <w:rsid w:val="00CE3A7B"/>
    <w:rsid w:val="00CE3E03"/>
    <w:rsid w:val="00CE7C16"/>
    <w:rsid w:val="00CF2016"/>
    <w:rsid w:val="00D01324"/>
    <w:rsid w:val="00D07485"/>
    <w:rsid w:val="00D07EB4"/>
    <w:rsid w:val="00D10DE5"/>
    <w:rsid w:val="00D13510"/>
    <w:rsid w:val="00D1721D"/>
    <w:rsid w:val="00D200F9"/>
    <w:rsid w:val="00D20677"/>
    <w:rsid w:val="00D214BA"/>
    <w:rsid w:val="00D245CA"/>
    <w:rsid w:val="00D2491C"/>
    <w:rsid w:val="00D26717"/>
    <w:rsid w:val="00D32249"/>
    <w:rsid w:val="00D34949"/>
    <w:rsid w:val="00D46764"/>
    <w:rsid w:val="00D55EA9"/>
    <w:rsid w:val="00D663FD"/>
    <w:rsid w:val="00D67054"/>
    <w:rsid w:val="00D73ABE"/>
    <w:rsid w:val="00D74F1B"/>
    <w:rsid w:val="00D81CDF"/>
    <w:rsid w:val="00D84B54"/>
    <w:rsid w:val="00D900AE"/>
    <w:rsid w:val="00D95606"/>
    <w:rsid w:val="00D97243"/>
    <w:rsid w:val="00DB01C8"/>
    <w:rsid w:val="00DB639B"/>
    <w:rsid w:val="00DC0602"/>
    <w:rsid w:val="00DC1E68"/>
    <w:rsid w:val="00DC24FF"/>
    <w:rsid w:val="00DC52C2"/>
    <w:rsid w:val="00DC5688"/>
    <w:rsid w:val="00DC7ADB"/>
    <w:rsid w:val="00DC7ED8"/>
    <w:rsid w:val="00DD2890"/>
    <w:rsid w:val="00DD3115"/>
    <w:rsid w:val="00DD3E01"/>
    <w:rsid w:val="00DD643B"/>
    <w:rsid w:val="00DD75FB"/>
    <w:rsid w:val="00DE2731"/>
    <w:rsid w:val="00DE3B8C"/>
    <w:rsid w:val="00DF475D"/>
    <w:rsid w:val="00DF650E"/>
    <w:rsid w:val="00DF7A37"/>
    <w:rsid w:val="00E10064"/>
    <w:rsid w:val="00E119B8"/>
    <w:rsid w:val="00E1563C"/>
    <w:rsid w:val="00E165B8"/>
    <w:rsid w:val="00E20EBD"/>
    <w:rsid w:val="00E31AEC"/>
    <w:rsid w:val="00E34302"/>
    <w:rsid w:val="00E36743"/>
    <w:rsid w:val="00E40AE6"/>
    <w:rsid w:val="00E52408"/>
    <w:rsid w:val="00E5259A"/>
    <w:rsid w:val="00E53BFF"/>
    <w:rsid w:val="00E64FC4"/>
    <w:rsid w:val="00E65098"/>
    <w:rsid w:val="00E6675A"/>
    <w:rsid w:val="00E702E9"/>
    <w:rsid w:val="00E7285B"/>
    <w:rsid w:val="00E748C3"/>
    <w:rsid w:val="00E74D1B"/>
    <w:rsid w:val="00E751E1"/>
    <w:rsid w:val="00E7590C"/>
    <w:rsid w:val="00E75CB3"/>
    <w:rsid w:val="00E82315"/>
    <w:rsid w:val="00E82ADA"/>
    <w:rsid w:val="00E8560F"/>
    <w:rsid w:val="00E85797"/>
    <w:rsid w:val="00E86AB6"/>
    <w:rsid w:val="00E9069F"/>
    <w:rsid w:val="00E909E2"/>
    <w:rsid w:val="00E9160C"/>
    <w:rsid w:val="00E91DF1"/>
    <w:rsid w:val="00E9303D"/>
    <w:rsid w:val="00E93186"/>
    <w:rsid w:val="00E96F4E"/>
    <w:rsid w:val="00EA23DE"/>
    <w:rsid w:val="00EA3919"/>
    <w:rsid w:val="00EA4599"/>
    <w:rsid w:val="00EA70C5"/>
    <w:rsid w:val="00EB0468"/>
    <w:rsid w:val="00EB435F"/>
    <w:rsid w:val="00EB5DC4"/>
    <w:rsid w:val="00EC2100"/>
    <w:rsid w:val="00EC4075"/>
    <w:rsid w:val="00EC44A7"/>
    <w:rsid w:val="00EC6CAF"/>
    <w:rsid w:val="00ED3050"/>
    <w:rsid w:val="00ED361D"/>
    <w:rsid w:val="00ED3650"/>
    <w:rsid w:val="00ED4732"/>
    <w:rsid w:val="00ED70D1"/>
    <w:rsid w:val="00EE0122"/>
    <w:rsid w:val="00EE0BAD"/>
    <w:rsid w:val="00EE117E"/>
    <w:rsid w:val="00EE2230"/>
    <w:rsid w:val="00EE2DDD"/>
    <w:rsid w:val="00EE7001"/>
    <w:rsid w:val="00EF090C"/>
    <w:rsid w:val="00EF41CE"/>
    <w:rsid w:val="00EF5138"/>
    <w:rsid w:val="00F05030"/>
    <w:rsid w:val="00F06398"/>
    <w:rsid w:val="00F06E29"/>
    <w:rsid w:val="00F10AB0"/>
    <w:rsid w:val="00F16334"/>
    <w:rsid w:val="00F163D4"/>
    <w:rsid w:val="00F16677"/>
    <w:rsid w:val="00F17C40"/>
    <w:rsid w:val="00F25AC2"/>
    <w:rsid w:val="00F4258C"/>
    <w:rsid w:val="00F455F8"/>
    <w:rsid w:val="00F45E82"/>
    <w:rsid w:val="00F46B98"/>
    <w:rsid w:val="00F569BD"/>
    <w:rsid w:val="00F57286"/>
    <w:rsid w:val="00F6363D"/>
    <w:rsid w:val="00F65A0E"/>
    <w:rsid w:val="00F70187"/>
    <w:rsid w:val="00F72899"/>
    <w:rsid w:val="00F72DDF"/>
    <w:rsid w:val="00F7391D"/>
    <w:rsid w:val="00F75EC4"/>
    <w:rsid w:val="00F81AF2"/>
    <w:rsid w:val="00F95E27"/>
    <w:rsid w:val="00FA3160"/>
    <w:rsid w:val="00FA40C9"/>
    <w:rsid w:val="00FB1CCD"/>
    <w:rsid w:val="00FC0D58"/>
    <w:rsid w:val="00FC0D6D"/>
    <w:rsid w:val="00FD0817"/>
    <w:rsid w:val="00FD7CF6"/>
    <w:rsid w:val="00FE1499"/>
    <w:rsid w:val="00FE2CE6"/>
    <w:rsid w:val="00FE43C7"/>
    <w:rsid w:val="00FE4B7C"/>
    <w:rsid w:val="00FE6607"/>
    <w:rsid w:val="00FE7366"/>
    <w:rsid w:val="00FF0E64"/>
    <w:rsid w:val="00FF1250"/>
    <w:rsid w:val="00FF4182"/>
    <w:rsid w:val="00FF53EB"/>
    <w:rsid w:val="00FF5A10"/>
    <w:rsid w:val="02DFBCF4"/>
    <w:rsid w:val="04005BE9"/>
    <w:rsid w:val="08606492"/>
    <w:rsid w:val="0AA56A2F"/>
    <w:rsid w:val="0D4BAF42"/>
    <w:rsid w:val="0E194C95"/>
    <w:rsid w:val="0FBA85EA"/>
    <w:rsid w:val="138C91A1"/>
    <w:rsid w:val="1420C549"/>
    <w:rsid w:val="169806C9"/>
    <w:rsid w:val="16C4F3D3"/>
    <w:rsid w:val="170C2331"/>
    <w:rsid w:val="18A9C49A"/>
    <w:rsid w:val="1B505AA1"/>
    <w:rsid w:val="1E5C0B6A"/>
    <w:rsid w:val="1E982F70"/>
    <w:rsid w:val="1F9D08A7"/>
    <w:rsid w:val="1FFF9A58"/>
    <w:rsid w:val="20A7D15B"/>
    <w:rsid w:val="20A94524"/>
    <w:rsid w:val="20D4B836"/>
    <w:rsid w:val="2298E280"/>
    <w:rsid w:val="22D6FA86"/>
    <w:rsid w:val="236CA9D1"/>
    <w:rsid w:val="248AC454"/>
    <w:rsid w:val="24E38F9D"/>
    <w:rsid w:val="262694B5"/>
    <w:rsid w:val="26B9D784"/>
    <w:rsid w:val="27DF31B5"/>
    <w:rsid w:val="28394DDC"/>
    <w:rsid w:val="287242E7"/>
    <w:rsid w:val="2B7AE44C"/>
    <w:rsid w:val="2C106DB0"/>
    <w:rsid w:val="2D0FBFA8"/>
    <w:rsid w:val="2D4B5895"/>
    <w:rsid w:val="2E017657"/>
    <w:rsid w:val="2E28BCF5"/>
    <w:rsid w:val="2F684D86"/>
    <w:rsid w:val="33867D6B"/>
    <w:rsid w:val="36A49DBE"/>
    <w:rsid w:val="3944A07C"/>
    <w:rsid w:val="398EAF93"/>
    <w:rsid w:val="39D33ADD"/>
    <w:rsid w:val="3AADC935"/>
    <w:rsid w:val="3C0ED05D"/>
    <w:rsid w:val="4142CCAA"/>
    <w:rsid w:val="41670327"/>
    <w:rsid w:val="4252552F"/>
    <w:rsid w:val="450514E4"/>
    <w:rsid w:val="46825CEA"/>
    <w:rsid w:val="46D9A2F9"/>
    <w:rsid w:val="49223B8D"/>
    <w:rsid w:val="4A133862"/>
    <w:rsid w:val="526163AF"/>
    <w:rsid w:val="52C2ED10"/>
    <w:rsid w:val="53A0F24B"/>
    <w:rsid w:val="54260729"/>
    <w:rsid w:val="57EA13CD"/>
    <w:rsid w:val="5971C4C5"/>
    <w:rsid w:val="5A7C3B57"/>
    <w:rsid w:val="5AE2A808"/>
    <w:rsid w:val="5B9F2D25"/>
    <w:rsid w:val="6060CE18"/>
    <w:rsid w:val="6066141F"/>
    <w:rsid w:val="6184A985"/>
    <w:rsid w:val="6340C485"/>
    <w:rsid w:val="654A1C9E"/>
    <w:rsid w:val="66FAF205"/>
    <w:rsid w:val="68911694"/>
    <w:rsid w:val="68F11814"/>
    <w:rsid w:val="6B767707"/>
    <w:rsid w:val="712584EA"/>
    <w:rsid w:val="7142E1C8"/>
    <w:rsid w:val="726B1A10"/>
    <w:rsid w:val="727D1F03"/>
    <w:rsid w:val="734DD76C"/>
    <w:rsid w:val="73D5AFF6"/>
    <w:rsid w:val="75AB1566"/>
    <w:rsid w:val="79C521E5"/>
    <w:rsid w:val="7B1758E7"/>
    <w:rsid w:val="7C2D532C"/>
    <w:rsid w:val="7D05A76B"/>
    <w:rsid w:val="7D1D808B"/>
    <w:rsid w:val="7EB3016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BAB1B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EastAsia"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link w:val="ListParagraphChar"/>
    <w:uiPriority w:val="34"/>
    <w:qFormat/>
    <w:rsid w:val="0095711B"/>
    <w:pPr>
      <w:ind w:left="720"/>
      <w:contextualSpacing/>
    </w:pPr>
  </w:style>
  <w:style w:type="paragraph" w:styleId="Header">
    <w:name w:val="header"/>
    <w:basedOn w:val="Normal"/>
    <w:link w:val="HeaderChar"/>
    <w:uiPriority w:val="99"/>
    <w:unhideWhenUsed/>
    <w:rsid w:val="0095711B"/>
    <w:pPr>
      <w:tabs>
        <w:tab w:val="center" w:pos="4680"/>
        <w:tab w:val="right" w:pos="9360"/>
      </w:tabs>
      <w:spacing w:after="0" w:line="240" w:lineRule="auto"/>
    </w:pPr>
  </w:style>
  <w:style w:type="character" w:styleId="HeaderChar" w:customStyle="1">
    <w:name w:val="Header Char"/>
    <w:basedOn w:val="DefaultParagraphFont"/>
    <w:link w:val="Header"/>
    <w:uiPriority w:val="99"/>
    <w:rsid w:val="0095711B"/>
  </w:style>
  <w:style w:type="paragraph" w:styleId="Footer">
    <w:name w:val="footer"/>
    <w:basedOn w:val="Normal"/>
    <w:link w:val="FooterChar"/>
    <w:uiPriority w:val="99"/>
    <w:unhideWhenUsed/>
    <w:rsid w:val="0095711B"/>
    <w:pPr>
      <w:tabs>
        <w:tab w:val="center" w:pos="4680"/>
        <w:tab w:val="right" w:pos="9360"/>
      </w:tabs>
      <w:spacing w:after="0" w:line="240" w:lineRule="auto"/>
    </w:pPr>
  </w:style>
  <w:style w:type="character" w:styleId="FooterChar" w:customStyle="1">
    <w:name w:val="Footer Char"/>
    <w:basedOn w:val="DefaultParagraphFont"/>
    <w:link w:val="Footer"/>
    <w:uiPriority w:val="99"/>
    <w:rsid w:val="0095711B"/>
  </w:style>
  <w:style w:type="paragraph" w:styleId="BalloonText">
    <w:name w:val="Balloon Text"/>
    <w:basedOn w:val="Normal"/>
    <w:link w:val="BalloonTextChar"/>
    <w:uiPriority w:val="99"/>
    <w:semiHidden/>
    <w:unhideWhenUsed/>
    <w:rsid w:val="00A10CD5"/>
    <w:pPr>
      <w:spacing w:after="0" w:line="240" w:lineRule="auto"/>
    </w:pPr>
    <w:rPr>
      <w:rFonts w:ascii="Tahoma" w:hAnsi="Tahoma" w:cs="Tahoma"/>
      <w:sz w:val="16"/>
      <w:szCs w:val="16"/>
    </w:rPr>
  </w:style>
  <w:style w:type="character" w:styleId="BalloonTextChar" w:customStyle="1">
    <w:name w:val="Balloon Text Char"/>
    <w:basedOn w:val="DefaultParagraphFont"/>
    <w:link w:val="BalloonText"/>
    <w:uiPriority w:val="99"/>
    <w:semiHidden/>
    <w:rsid w:val="00A10CD5"/>
    <w:rPr>
      <w:rFonts w:ascii="Tahoma" w:hAnsi="Tahoma" w:cs="Tahoma"/>
      <w:sz w:val="16"/>
      <w:szCs w:val="16"/>
    </w:rPr>
  </w:style>
  <w:style w:type="character" w:styleId="CommentReference">
    <w:name w:val="annotation reference"/>
    <w:basedOn w:val="DefaultParagraphFont"/>
    <w:uiPriority w:val="99"/>
    <w:semiHidden/>
    <w:unhideWhenUsed/>
    <w:rsid w:val="00A13EE1"/>
    <w:rPr>
      <w:sz w:val="16"/>
      <w:szCs w:val="16"/>
    </w:rPr>
  </w:style>
  <w:style w:type="paragraph" w:styleId="CommentText">
    <w:name w:val="annotation text"/>
    <w:basedOn w:val="Normal"/>
    <w:link w:val="CommentTextChar"/>
    <w:uiPriority w:val="99"/>
    <w:unhideWhenUsed/>
    <w:rsid w:val="00A13EE1"/>
    <w:pPr>
      <w:spacing w:line="240" w:lineRule="auto"/>
    </w:pPr>
    <w:rPr>
      <w:sz w:val="20"/>
      <w:szCs w:val="20"/>
    </w:rPr>
  </w:style>
  <w:style w:type="character" w:styleId="CommentTextChar" w:customStyle="1">
    <w:name w:val="Comment Text Char"/>
    <w:basedOn w:val="DefaultParagraphFont"/>
    <w:link w:val="CommentText"/>
    <w:uiPriority w:val="99"/>
    <w:rsid w:val="00A13EE1"/>
    <w:rPr>
      <w:sz w:val="20"/>
      <w:szCs w:val="20"/>
    </w:rPr>
  </w:style>
  <w:style w:type="paragraph" w:styleId="CommentSubject">
    <w:name w:val="annotation subject"/>
    <w:basedOn w:val="CommentText"/>
    <w:next w:val="CommentText"/>
    <w:link w:val="CommentSubjectChar"/>
    <w:uiPriority w:val="99"/>
    <w:semiHidden/>
    <w:unhideWhenUsed/>
    <w:rsid w:val="00A13EE1"/>
    <w:rPr>
      <w:b/>
      <w:bCs/>
    </w:rPr>
  </w:style>
  <w:style w:type="character" w:styleId="CommentSubjectChar" w:customStyle="1">
    <w:name w:val="Comment Subject Char"/>
    <w:basedOn w:val="CommentTextChar"/>
    <w:link w:val="CommentSubject"/>
    <w:uiPriority w:val="99"/>
    <w:semiHidden/>
    <w:rsid w:val="00A13EE1"/>
    <w:rPr>
      <w:b/>
      <w:bCs/>
      <w:sz w:val="20"/>
      <w:szCs w:val="20"/>
    </w:rPr>
  </w:style>
  <w:style w:type="paragraph" w:styleId="Revision">
    <w:name w:val="Revision"/>
    <w:hidden/>
    <w:uiPriority w:val="99"/>
    <w:semiHidden/>
    <w:rsid w:val="00A13EE1"/>
    <w:pPr>
      <w:spacing w:after="0" w:line="240" w:lineRule="auto"/>
    </w:pPr>
  </w:style>
  <w:style w:type="table" w:styleId="TableGrid">
    <w:name w:val="Table Grid"/>
    <w:basedOn w:val="TableNormal"/>
    <w:uiPriority w:val="59"/>
    <w:rsid w:val="00F6363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PlaceholderText">
    <w:name w:val="Placeholder Text"/>
    <w:basedOn w:val="DefaultParagraphFont"/>
    <w:uiPriority w:val="99"/>
    <w:semiHidden/>
    <w:rsid w:val="00CE7C16"/>
    <w:rPr>
      <w:color w:val="808080"/>
    </w:rPr>
  </w:style>
  <w:style w:type="character" w:styleId="ListParagraphChar" w:customStyle="1">
    <w:name w:val="List Paragraph Char"/>
    <w:basedOn w:val="DefaultParagraphFont"/>
    <w:link w:val="ListParagraph"/>
    <w:uiPriority w:val="34"/>
    <w:locked/>
    <w:rsid w:val="00682309"/>
  </w:style>
  <w:style w:type="paragraph" w:styleId="FootnoteText">
    <w:name w:val="footnote text"/>
    <w:basedOn w:val="Normal"/>
    <w:link w:val="FootnoteTextChar"/>
    <w:uiPriority w:val="99"/>
    <w:semiHidden/>
    <w:unhideWhenUsed/>
    <w:rsid w:val="00A474F9"/>
    <w:pPr>
      <w:spacing w:after="0" w:line="240" w:lineRule="auto"/>
    </w:pPr>
    <w:rPr>
      <w:sz w:val="20"/>
      <w:szCs w:val="20"/>
    </w:rPr>
  </w:style>
  <w:style w:type="character" w:styleId="FootnoteTextChar" w:customStyle="1">
    <w:name w:val="Footnote Text Char"/>
    <w:basedOn w:val="DefaultParagraphFont"/>
    <w:link w:val="FootnoteText"/>
    <w:uiPriority w:val="99"/>
    <w:semiHidden/>
    <w:rsid w:val="00A474F9"/>
    <w:rPr>
      <w:sz w:val="20"/>
      <w:szCs w:val="20"/>
    </w:rPr>
  </w:style>
  <w:style w:type="character" w:styleId="FootnoteReference">
    <w:name w:val="footnote reference"/>
    <w:basedOn w:val="DefaultParagraphFont"/>
    <w:uiPriority w:val="99"/>
    <w:semiHidden/>
    <w:unhideWhenUsed/>
    <w:rsid w:val="00A474F9"/>
    <w:rPr>
      <w:vertAlign w:val="superscript"/>
    </w:rPr>
  </w:style>
  <w:style w:type="character" w:styleId="Mention">
    <w:name w:val="Mention"/>
    <w:basedOn w:val="DefaultParagraphFont"/>
    <w:uiPriority w:val="99"/>
    <w:unhideWhenUsed/>
    <w:rsid w:val="00F81AF2"/>
    <w:rPr>
      <w:color w:val="2B579A"/>
      <w:shd w:val="clear" w:color="auto" w:fill="E1DFDD"/>
    </w:rPr>
  </w:style>
  <w:style w:type="character" w:styleId="Hyperlink">
    <w:name w:val="Hyperlink"/>
    <w:basedOn w:val="DefaultParagraphFont"/>
    <w:uiPriority w:val="99"/>
    <w:unhideWhenUsed/>
    <w:rsid w:val="001353A5"/>
    <w:rPr>
      <w:color w:val="0000FF" w:themeColor="hyperlink"/>
      <w:u w:val="single"/>
    </w:rPr>
  </w:style>
  <w:style w:type="character" w:styleId="UnresolvedMention">
    <w:name w:val="Unresolved Mention"/>
    <w:basedOn w:val="DefaultParagraphFont"/>
    <w:uiPriority w:val="99"/>
    <w:semiHidden/>
    <w:unhideWhenUsed/>
    <w:rsid w:val="001353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627084">
      <w:bodyDiv w:val="1"/>
      <w:marLeft w:val="0"/>
      <w:marRight w:val="0"/>
      <w:marTop w:val="0"/>
      <w:marBottom w:val="0"/>
      <w:divBdr>
        <w:top w:val="none" w:color="auto" w:sz="0" w:space="0"/>
        <w:left w:val="none" w:color="auto" w:sz="0" w:space="0"/>
        <w:bottom w:val="none" w:color="auto" w:sz="0" w:space="0"/>
        <w:right w:val="none" w:color="auto" w:sz="0" w:space="0"/>
      </w:divBdr>
    </w:div>
    <w:div w:id="590699546">
      <w:bodyDiv w:val="1"/>
      <w:marLeft w:val="0"/>
      <w:marRight w:val="0"/>
      <w:marTop w:val="0"/>
      <w:marBottom w:val="0"/>
      <w:divBdr>
        <w:top w:val="none" w:color="auto" w:sz="0" w:space="0"/>
        <w:left w:val="none" w:color="auto" w:sz="0" w:space="0"/>
        <w:bottom w:val="none" w:color="auto" w:sz="0" w:space="0"/>
        <w:right w:val="none" w:color="auto" w:sz="0" w:space="0"/>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1.xml"/><Relationship Id="rId26" Type="http://schemas.openxmlformats.org/officeDocument/2006/relationships/customXml" Target="../customXml/item4.xml"/><Relationship Id="rId21" Type="http://schemas.openxmlformats.org/officeDocument/2006/relationships/glossaryDocument" Target="glossary/document.xml"/><Relationship Id="rId12" Type="http://schemas.openxmlformats.org/officeDocument/2006/relationships/footnotes" Target="footnotes.xml"/><Relationship Id="rId17" Type="http://schemas.openxmlformats.org/officeDocument/2006/relationships/hyperlink" Target="https://idbg.sharepoint.com/:x:/r/teams/EZ-BR-TCP/BR-T1531/_layouts/15/Doc.aspx?sourcedoc=%7Bf9ad0987-4734-4e54-b5a1-f50d6a5c1fa8%7D&amp;action=default&amp;mobileredirect=true" TargetMode="External"/><Relationship Id="R8e7038ba04af4aad" Type="http://schemas.openxmlformats.org/officeDocument/2006/relationships/hyperlink" Target="https://idbdocs.iadb.org/wsdocs/getDocument.aspx?DOCNUM=EZSHARE-1723806763-5" TargetMode="External"/><Relationship Id="rId25" Type="http://schemas.openxmlformats.org/officeDocument/2006/relationships/customXml" Target="../customXml/item3.xml"/><Relationship Id="rId16" Type="http://schemas.openxmlformats.org/officeDocument/2006/relationships/hyperlink" Target="https://idbg.sharepoint.com/:x:/r/teams/EZ-BR-TCP/BR-T1531/_layouts/15/Doc.aspx?sourcedoc=%7B206710bb-9bfe-4edc-bddb-d46338f1317f%7D&amp;action=default&amp;mobileredirect=true" TargetMode="External"/><Relationship Id="rId20" Type="http://schemas.openxmlformats.org/officeDocument/2006/relationships/fontTable" Target="fontTable.xml"/><Relationship Id="Ra11f6c91cadc466b" Type="http://schemas.openxmlformats.org/officeDocument/2006/relationships/hyperlink" Target="https://idbdocs.iadb.org/wsdocs/getDocument.aspx?DOCNUM=EZSHARE-1723806763-9" TargetMode="External"/><Relationship Id="rId11" Type="http://schemas.openxmlformats.org/officeDocument/2006/relationships/webSettings" Target="webSettings.xml"/><Relationship Id="rId24" Type="http://schemas.openxmlformats.org/officeDocument/2006/relationships/customXml" Target="../customXml/item2.xml"/><Relationship Id="rId15" Type="http://schemas.openxmlformats.org/officeDocument/2006/relationships/hyperlink" Target="https://idbg.sharepoint.com/:x:/r/teams/EZ-BR-TCP/BR-T1531/_layouts/15/Doc.aspx?sourcedoc=%7Bbfa7c061-0ec9-4387-b1d4-61fbd84413d3%7D&amp;action=default&amp;mobileredirect=true" TargetMode="External"/><Relationship Id="rId23" Type="http://schemas.openxmlformats.org/officeDocument/2006/relationships/customXml" Target="../customXml/item1.xml"/><Relationship Id="rId28" Type="http://schemas.openxmlformats.org/officeDocument/2006/relationships/customXml" Target="../customXml/item6.xml"/><Relationship Id="rId10" Type="http://schemas.openxmlformats.org/officeDocument/2006/relationships/settings" Target="settings.xml"/><Relationship Id="rId19" Type="http://schemas.openxmlformats.org/officeDocument/2006/relationships/footer" Target="footer1.xml"/><Relationship Id="R7b59d9ee1f504ab0" Type="http://schemas.openxmlformats.org/officeDocument/2006/relationships/hyperlink" Target="https://idbdocs.iadb.org/wsdocs/getDocument.aspx?DOCNUM=EZSHARE-1723806763-4" TargetMode="External"/><Relationship Id="R1bb072516b03436c" Type="http://schemas.openxmlformats.org/officeDocument/2006/relationships/hyperlink" Target="https://idbdocs.iadb.org/wsdocs/getDocument.aspx?DOCNUM=EZSHARE-1723806763-3" TargetMode="External"/><Relationship Id="rId9" Type="http://schemas.openxmlformats.org/officeDocument/2006/relationships/styles" Target="styles.xml"/><Relationship Id="rId14" Type="http://schemas.openxmlformats.org/officeDocument/2006/relationships/hyperlink" Target="chrome-extension://efaidnbmnnnibpcajpcglclefindmkaj/https:/idbg.sharepoint.com/teams/EZ-BR-TCP/BR-T1531/15%20LifeCycle%20Milestones/Request%20from%20the%20Client%20-%20BR-T1531.pdf" TargetMode="External"/><Relationship Id="rId22" Type="http://schemas.openxmlformats.org/officeDocument/2006/relationships/theme" Target="theme/theme1.xml"/><Relationship Id="R2982abef75b64cf8" Type="http://schemas.openxmlformats.org/officeDocument/2006/relationships/hyperlink" Target="https://idbg.sharepoint.com/:w:/r/teams/EZ-BR-TCP/BR-T1531/_layouts/15/Doc.aspx?sourcedoc=%7B9d86ab8b-5d09-4cbf-8bc4-c9952c25401d%7D&amp;action=default&amp;mobileredirect=true" TargetMode="External"/><Relationship Id="rId27" Type="http://schemas.openxmlformats.org/officeDocument/2006/relationships/customXml" Target="../customXml/item5.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082065158"/>
        <w:category>
          <w:name w:val="General"/>
          <w:gallery w:val="placeholder"/>
        </w:category>
        <w:types>
          <w:type w:val="bbPlcHdr"/>
        </w:types>
        <w:behaviors>
          <w:behavior w:val="content"/>
        </w:behaviors>
        <w:guid w:val="{D38BBA01-EB3A-4FF5-959C-F5F1C71C23CC}"/>
      </w:docPartPr>
      <w:docPartBody>
        <w:p w:rsidR="008D3E48" w:rsidP="00BE1D20" w:rsidRDefault="00BE1D20">
          <w:pPr>
            <w:pStyle w:val="DefaultPlaceholder1082065158"/>
          </w:pPr>
          <w:r>
            <w:rPr>
              <w:rFonts w:ascii="Arial" w:hAnsi="Arial" w:cs="Arial"/>
              <w:sz w:val="18"/>
              <w:szCs w:val="18"/>
            </w:rPr>
            <w:t>BRAZIL</w:t>
          </w:r>
        </w:p>
      </w:docPartBody>
    </w:docPart>
    <w:docPart>
      <w:docPartPr>
        <w:name w:val="DefaultPlaceholder_1081868574"/>
        <w:category>
          <w:name w:val="General"/>
          <w:gallery w:val="placeholder"/>
        </w:category>
        <w:types>
          <w:type w:val="bbPlcHdr"/>
        </w:types>
        <w:behaviors>
          <w:behavior w:val="content"/>
        </w:behaviors>
        <w:guid w:val="{DC3A5DD6-1868-4740-B978-940926062DAA}"/>
      </w:docPartPr>
      <w:docPartBody>
        <w:p w:rsidR="00F24AFF" w:rsidRDefault="00561BFE">
          <w:r w:rsidRPr="00A2367E">
            <w:rPr>
              <w:rStyle w:val="PlaceholderText"/>
            </w:rPr>
            <w:t>Haga clic aquí para escribir texto.</w:t>
          </w:r>
        </w:p>
      </w:docPartBody>
    </w:docPart>
    <w:docPart>
      <w:docPartPr>
        <w:name w:val="44C358C58149445BA2755ADBB9F4F8AF"/>
        <w:category>
          <w:name w:val="General"/>
          <w:gallery w:val="placeholder"/>
        </w:category>
        <w:types>
          <w:type w:val="bbPlcHdr"/>
        </w:types>
        <w:behaviors>
          <w:behavior w:val="content"/>
        </w:behaviors>
        <w:guid w:val="{BC78704A-731B-40EB-99EC-8B7F8AD074EB}"/>
      </w:docPartPr>
      <w:docPartBody>
        <w:p w:rsidR="00E71AF0" w:rsidP="00BE1D20" w:rsidRDefault="00BE1D20">
          <w:pPr>
            <w:pStyle w:val="44C358C58149445BA2755ADBB9F4F8AF"/>
          </w:pPr>
          <w:r>
            <w:rPr>
              <w:rFonts w:ascii="Arial" w:hAnsi="Arial" w:cs="Arial"/>
              <w:sz w:val="18"/>
              <w:szCs w:val="18"/>
            </w:rPr>
            <w:t>Improving Amazon’s sustainable development through technical education (TVET) course for açaí</w:t>
          </w:r>
        </w:p>
      </w:docPartBody>
    </w:docPart>
    <w:docPart>
      <w:docPartPr>
        <w:name w:val="1826176F614340649BFAC28C3B63B783"/>
        <w:category>
          <w:name w:val="General"/>
          <w:gallery w:val="placeholder"/>
        </w:category>
        <w:types>
          <w:type w:val="bbPlcHdr"/>
        </w:types>
        <w:behaviors>
          <w:behavior w:val="content"/>
        </w:behaviors>
        <w:guid w:val="{7E5C6E4E-46BB-4287-B4E1-2D54B186DF38}"/>
      </w:docPartPr>
      <w:docPartBody>
        <w:p w:rsidR="00142182" w:rsidP="00B1113D" w:rsidRDefault="00B1113D">
          <w:pPr>
            <w:pStyle w:val="1826176F614340649BFAC28C3B63B78317"/>
          </w:pPr>
          <w:r>
            <w:rPr>
              <w:rStyle w:val="PlaceholderText"/>
            </w:rPr>
            <w:t xml:space="preserve"> </w:t>
          </w:r>
        </w:p>
      </w:docPartBody>
    </w:docPart>
    <w:docPart>
      <w:docPartPr>
        <w:name w:val="F21B320DC5CC4CA29D18953BBE653F77"/>
        <w:category>
          <w:name w:val="General"/>
          <w:gallery w:val="placeholder"/>
        </w:category>
        <w:types>
          <w:type w:val="bbPlcHdr"/>
        </w:types>
        <w:behaviors>
          <w:behavior w:val="content"/>
        </w:behaviors>
        <w:guid w:val="{EC2E5322-095A-4CC0-B8D4-1F55A65E614F}"/>
      </w:docPartPr>
      <w:docPartBody>
        <w:p w:rsidR="00906F30" w:rsidP="00BE1D20" w:rsidRDefault="00BE1D20">
          <w:pPr>
            <w:pStyle w:val="F21B320DC5CC4CA29D18953BBE653F77"/>
          </w:pPr>
          <w:r>
            <w:rPr>
              <w:rFonts w:ascii="Arial" w:hAnsi="Arial" w:cs="Arial"/>
              <w:sz w:val="18"/>
              <w:szCs w:val="18"/>
            </w:rPr>
            <w:t xml:space="preserve"> </w:t>
          </w:r>
        </w:p>
      </w:docPartBody>
    </w:docPart>
    <w:docPart>
      <w:docPartPr>
        <w:name w:val="19F5288FE7CC4C80A1FC8C20A439351A"/>
        <w:category>
          <w:name w:val="General"/>
          <w:gallery w:val="placeholder"/>
        </w:category>
        <w:types>
          <w:type w:val="bbPlcHdr"/>
        </w:types>
        <w:behaviors>
          <w:behavior w:val="content"/>
        </w:behaviors>
        <w:guid w:val="{4E921A8D-A153-4741-85FD-1211BD94A731}"/>
      </w:docPartPr>
      <w:docPartBody>
        <w:p w:rsidR="00906F30" w:rsidP="00BE1D20" w:rsidRDefault="00BE1D20">
          <w:pPr>
            <w:pStyle w:val="19F5288FE7CC4C80A1FC8C20A439351A"/>
          </w:pPr>
          <w:r>
            <w:rPr>
              <w:rFonts w:ascii="Arial" w:hAnsi="Arial" w:cs="Arial"/>
              <w:sz w:val="18"/>
              <w:szCs w:val="18"/>
            </w:rPr>
            <w:t>17 Oct 2022</w:t>
          </w:r>
        </w:p>
      </w:docPartBody>
    </w:docPart>
    <w:docPart>
      <w:docPartPr>
        <w:name w:val="D43C05E765C742E5A882436BE6D57E8E"/>
        <w:category>
          <w:name w:val="General"/>
          <w:gallery w:val="placeholder"/>
        </w:category>
        <w:types>
          <w:type w:val="bbPlcHdr"/>
        </w:types>
        <w:behaviors>
          <w:behavior w:val="content"/>
        </w:behaviors>
        <w:guid w:val="{20FF06D1-50CD-422B-AFEC-9248985F570D}"/>
      </w:docPartPr>
      <w:docPartBody>
        <w:p w:rsidR="00B1113D" w:rsidP="00BE1D20" w:rsidRDefault="00BE1D20">
          <w:pPr>
            <w:pStyle w:val="D43C05E765C742E5A882436BE6D57E8E"/>
          </w:pPr>
          <w:r>
            <w:rPr>
              <w:rFonts w:ascii="Arial"/>
              <w:sz w:val="18"/>
            </w:rPr>
            <w:t>Multi-Donor Fund for the Transformation of Technical and Vocational Education and Training (TVT): US$500,000.00</w:t>
          </w:r>
          <w:r>
            <w:rPr>
              <w:rFonts w:ascii="Arial"/>
              <w:sz w:val="18"/>
            </w:rPr>
            <w:br/>
            <w:t>OC SDP Window 3 - Sustainable Development in the Amazon (W3A): US$210,000.00</w:t>
          </w:r>
          <w:r>
            <w:rPr>
              <w:rFonts w:ascii="Arial"/>
              <w:sz w:val="18"/>
            </w:rPr>
            <w:br/>
            <w:t>Total: US$710,000.00</w:t>
          </w:r>
          <w:r>
            <w:rPr>
              <w:rFonts w:ascii="Arial"/>
              <w:sz w:val="18"/>
            </w:rPr>
            <w:br/>
          </w:r>
        </w:p>
      </w:docPartBody>
    </w:docPart>
    <w:docPart>
      <w:docPartPr>
        <w:name w:val="9A70A810BF2C48C0A541AB223DAB3587"/>
        <w:category>
          <w:name w:val="General"/>
          <w:gallery w:val="placeholder"/>
        </w:category>
        <w:types>
          <w:type w:val="bbPlcHdr"/>
        </w:types>
        <w:behaviors>
          <w:behavior w:val="content"/>
        </w:behaviors>
        <w:guid w:val="{CC3B2129-89C1-42E8-A7CA-AC0AE2380225}"/>
      </w:docPartPr>
      <w:docPartBody>
        <w:p w:rsidR="00B1113D" w:rsidP="00BE1D20" w:rsidRDefault="00BE1D20">
          <w:pPr>
            <w:pStyle w:val="9A70A810BF2C48C0A541AB223DAB3587"/>
          </w:pPr>
          <w:r>
            <w:rPr>
              <w:rFonts w:ascii="Arial" w:hAnsi="Arial" w:cs="Arial"/>
              <w:sz w:val="18"/>
              <w:szCs w:val="18"/>
            </w:rPr>
            <w:t>SCL/EDU-Education</w:t>
          </w:r>
        </w:p>
      </w:docPartBody>
    </w:docPart>
    <w:docPart>
      <w:docPartPr>
        <w:name w:val="D40DDF1DE070443EBC57BF857042D2F1"/>
        <w:category>
          <w:name w:val="General"/>
          <w:gallery w:val="placeholder"/>
        </w:category>
        <w:types>
          <w:type w:val="bbPlcHdr"/>
        </w:types>
        <w:behaviors>
          <w:behavior w:val="content"/>
        </w:behaviors>
        <w:guid w:val="{60A0A042-65E7-47AA-8364-D34EC6B41E90}"/>
      </w:docPartPr>
      <w:docPartBody>
        <w:p w:rsidR="00B1113D" w:rsidP="00BE1D20" w:rsidRDefault="00BE1D20">
          <w:pPr>
            <w:pStyle w:val="D40DDF1DE070443EBC57BF857042D2F1"/>
          </w:pPr>
          <w:r>
            <w:rPr>
              <w:rFonts w:ascii="Arial" w:hAnsi="Arial" w:cs="Arial"/>
              <w:sz w:val="18"/>
              <w:szCs w:val="18"/>
            </w:rPr>
            <w:t>CSC/CBR-Country Office Brazil</w:t>
          </w:r>
        </w:p>
      </w:docPartBody>
    </w:docPart>
    <w:docPart>
      <w:docPartPr>
        <w:name w:val="6055CACF63754C38AEFAE0ADE58AB52F"/>
        <w:category>
          <w:name w:val="General"/>
          <w:gallery w:val="placeholder"/>
        </w:category>
        <w:types>
          <w:type w:val="bbPlcHdr"/>
        </w:types>
        <w:behaviors>
          <w:behavior w:val="content"/>
        </w:behaviors>
        <w:guid w:val="{3ADF025F-C024-4BEA-BEAA-12FA948CB5AF}"/>
      </w:docPartPr>
      <w:docPartBody>
        <w:p w:rsidR="009A3780" w:rsidP="00BE1D20" w:rsidRDefault="00BE1D20">
          <w:pPr>
            <w:pStyle w:val="6055CACF63754C38AEFAE0ADE58AB52F"/>
          </w:pPr>
          <w:r>
            <w:rPr>
              <w:rFonts w:ascii="Arial" w:hAnsi="Arial" w:cs="Arial"/>
              <w:sz w:val="18"/>
              <w:szCs w:val="18"/>
            </w:rPr>
            <w:t xml:space="preserve"> Multi-Donor Fund for the Transformation of Technical and Vocational Education and Training(TVT); OC SDP Window 3 - Sustainable Development in the Amazon(W3A)</w:t>
          </w:r>
        </w:p>
      </w:docPartBody>
    </w:docPart>
    <w:docPart>
      <w:docPartPr>
        <w:name w:val="F1F45581D58E40429AD189DD80ED4007"/>
        <w:category>
          <w:name w:val="General"/>
          <w:gallery w:val="placeholder"/>
        </w:category>
        <w:types>
          <w:type w:val="bbPlcHdr"/>
        </w:types>
        <w:behaviors>
          <w:behavior w:val="content"/>
        </w:behaviors>
        <w:guid w:val="{E840F2B2-B986-4169-A749-034B0BDCA6FF}"/>
      </w:docPartPr>
      <w:docPartBody>
        <w:p w:rsidR="00534ED1" w:rsidP="00BE1D20" w:rsidRDefault="00BE1D20">
          <w:pPr>
            <w:pStyle w:val="F1F45581D58E40429AD189DD80ED4007"/>
          </w:pPr>
          <w:r w:rsidRPr="004A0A91">
            <w:rPr>
              <w:rFonts w:ascii="Arial" w:hAnsi="Arial" w:cs="Arial"/>
              <w:sz w:val="18"/>
              <w:szCs w:val="18"/>
            </w:rPr>
            <w:t>US$0</w:t>
          </w:r>
        </w:p>
      </w:docPartBody>
    </w:docPart>
    <w:docPart>
      <w:docPartPr>
        <w:name w:val="467533B11B3842A885C4CE0AFBB936CB"/>
        <w:category>
          <w:name w:val="General"/>
          <w:gallery w:val="placeholder"/>
        </w:category>
        <w:types>
          <w:type w:val="bbPlcHdr"/>
        </w:types>
        <w:behaviors>
          <w:behavior w:val="content"/>
        </w:behaviors>
        <w:guid w:val="{F1F9CB4C-A853-45AE-A639-B87E31D66728}"/>
      </w:docPartPr>
      <w:docPartBody>
        <w:p w:rsidR="006A5A9B" w:rsidP="00534ED1" w:rsidRDefault="00534ED1">
          <w:pPr>
            <w:pStyle w:val="467533B11B3842A885C4CE0AFBB936CB"/>
          </w:pPr>
          <w:r>
            <w:rPr>
              <w:rStyle w:val="PlaceholderText"/>
            </w:rPr>
            <w:t xml:space="preserve"> </w:t>
          </w:r>
        </w:p>
      </w:docPartBody>
    </w:docPart>
    <w:docPart>
      <w:docPartPr>
        <w:name w:val="340553074E0848D2AE8D6AF27714379D"/>
        <w:category>
          <w:name w:val="General"/>
          <w:gallery w:val="placeholder"/>
        </w:category>
        <w:types>
          <w:type w:val="bbPlcHdr"/>
        </w:types>
        <w:behaviors>
          <w:behavior w:val="content"/>
        </w:behaviors>
        <w:guid w:val="{70557077-CB7B-4A77-86AB-D9ACAFFFACF3}"/>
      </w:docPartPr>
      <w:docPartBody>
        <w:p w:rsidR="006A5A9B" w:rsidP="00534ED1" w:rsidRDefault="00534ED1">
          <w:pPr>
            <w:pStyle w:val="340553074E0848D2AE8D6AF27714379D"/>
          </w:pPr>
          <w:r>
            <w:rPr>
              <w:rStyle w:val="PlaceholderText"/>
            </w:rPr>
            <w:t xml:space="preserve"> </w:t>
          </w:r>
        </w:p>
      </w:docPartBody>
    </w:docPart>
    <w:docPart>
      <w:docPartPr>
        <w:name w:val="CF15AFC5698F4E5498FB27BD95CD782F"/>
        <w:category>
          <w:name w:val="General"/>
          <w:gallery w:val="placeholder"/>
        </w:category>
        <w:types>
          <w:type w:val="bbPlcHdr"/>
        </w:types>
        <w:behaviors>
          <w:behavior w:val="content"/>
        </w:behaviors>
        <w:guid w:val="{19D34935-CE2A-4496-8574-769DEF721653}"/>
      </w:docPartPr>
      <w:docPartBody>
        <w:p w:rsidR="001D373F" w:rsidP="00BE1D20" w:rsidRDefault="00BE1D20">
          <w:pPr>
            <w:pStyle w:val="CF15AFC5698F4E5498FB27BD95CD782F"/>
          </w:pPr>
          <w:r>
            <w:rPr>
              <w:rFonts w:ascii="Arial" w:hAnsi="Arial" w:cs="Arial"/>
              <w:sz w:val="18"/>
              <w:szCs w:val="18"/>
            </w:rPr>
            <w:t>Client Support</w:t>
          </w:r>
        </w:p>
      </w:docPartBody>
    </w:docPart>
    <w:docPart>
      <w:docPartPr>
        <w:name w:val="C1EE1F5E5F3847209E73C9FEB6220E04"/>
        <w:category>
          <w:name w:val="General"/>
          <w:gallery w:val="placeholder"/>
        </w:category>
        <w:types>
          <w:type w:val="bbPlcHdr"/>
        </w:types>
        <w:behaviors>
          <w:behavior w:val="content"/>
        </w:behaviors>
        <w:guid w:val="{94A40B80-8D2C-425E-A541-EE9F38676FD8}"/>
      </w:docPartPr>
      <w:docPartBody>
        <w:p w:rsidR="009B7A62" w:rsidRDefault="00BE1D20">
          <w:pPr>
            <w:pStyle w:val="C1EE1F5E5F3847209E73C9FEB6220E04"/>
          </w:pPr>
          <w:r>
            <w:rPr>
              <w:rFonts w:ascii="Arial" w:hAnsi="Arial" w:cs="Arial"/>
              <w:sz w:val="18"/>
              <w:szCs w:val="18"/>
            </w:rPr>
            <w:t xml:space="preserve"> Social inclusion and equality; Environmental sustainability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Mincho">
    <w:altName w:val="Yu Gothic"/>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0451"/>
    <w:rsid w:val="00000F4A"/>
    <w:rsid w:val="00041BC8"/>
    <w:rsid w:val="0007568B"/>
    <w:rsid w:val="000A2111"/>
    <w:rsid w:val="000D175C"/>
    <w:rsid w:val="00142182"/>
    <w:rsid w:val="001850C8"/>
    <w:rsid w:val="00185B34"/>
    <w:rsid w:val="001B45EE"/>
    <w:rsid w:val="001B661B"/>
    <w:rsid w:val="001D373F"/>
    <w:rsid w:val="001E5D77"/>
    <w:rsid w:val="0022103E"/>
    <w:rsid w:val="002452C2"/>
    <w:rsid w:val="00254F74"/>
    <w:rsid w:val="002D632A"/>
    <w:rsid w:val="00315B57"/>
    <w:rsid w:val="00320348"/>
    <w:rsid w:val="003F15C7"/>
    <w:rsid w:val="003F3B06"/>
    <w:rsid w:val="00412BB1"/>
    <w:rsid w:val="004843B9"/>
    <w:rsid w:val="004F3C3C"/>
    <w:rsid w:val="00534ED1"/>
    <w:rsid w:val="0056121F"/>
    <w:rsid w:val="00561BFE"/>
    <w:rsid w:val="00567E3C"/>
    <w:rsid w:val="0057065C"/>
    <w:rsid w:val="00587CDD"/>
    <w:rsid w:val="005B3BA8"/>
    <w:rsid w:val="006602A4"/>
    <w:rsid w:val="006804EF"/>
    <w:rsid w:val="006A5A9B"/>
    <w:rsid w:val="006B16B6"/>
    <w:rsid w:val="007315FF"/>
    <w:rsid w:val="0079000E"/>
    <w:rsid w:val="007C4340"/>
    <w:rsid w:val="007E1F65"/>
    <w:rsid w:val="00822346"/>
    <w:rsid w:val="00832CE1"/>
    <w:rsid w:val="00833325"/>
    <w:rsid w:val="00860CBB"/>
    <w:rsid w:val="0086276C"/>
    <w:rsid w:val="00880451"/>
    <w:rsid w:val="008D3E48"/>
    <w:rsid w:val="00902C26"/>
    <w:rsid w:val="00906F30"/>
    <w:rsid w:val="00907F97"/>
    <w:rsid w:val="0094446A"/>
    <w:rsid w:val="00963A2D"/>
    <w:rsid w:val="009728D2"/>
    <w:rsid w:val="0098510C"/>
    <w:rsid w:val="009A3780"/>
    <w:rsid w:val="009B7A62"/>
    <w:rsid w:val="009E7876"/>
    <w:rsid w:val="00A12E80"/>
    <w:rsid w:val="00A15DA7"/>
    <w:rsid w:val="00A20006"/>
    <w:rsid w:val="00A233A9"/>
    <w:rsid w:val="00A33D69"/>
    <w:rsid w:val="00A5613E"/>
    <w:rsid w:val="00A76337"/>
    <w:rsid w:val="00AC6B54"/>
    <w:rsid w:val="00AD306F"/>
    <w:rsid w:val="00B1113D"/>
    <w:rsid w:val="00BB53B2"/>
    <w:rsid w:val="00BB6B78"/>
    <w:rsid w:val="00BE1D20"/>
    <w:rsid w:val="00C00479"/>
    <w:rsid w:val="00C023D8"/>
    <w:rsid w:val="00C07D3D"/>
    <w:rsid w:val="00C47B93"/>
    <w:rsid w:val="00C51ABA"/>
    <w:rsid w:val="00C5691A"/>
    <w:rsid w:val="00C57A44"/>
    <w:rsid w:val="00C60618"/>
    <w:rsid w:val="00C8492A"/>
    <w:rsid w:val="00C84E28"/>
    <w:rsid w:val="00CC2D4A"/>
    <w:rsid w:val="00CD0A59"/>
    <w:rsid w:val="00CE5F59"/>
    <w:rsid w:val="00CF6A9E"/>
    <w:rsid w:val="00D67B0D"/>
    <w:rsid w:val="00D763D0"/>
    <w:rsid w:val="00DB0BCB"/>
    <w:rsid w:val="00DB724C"/>
    <w:rsid w:val="00DD6FC8"/>
    <w:rsid w:val="00E00612"/>
    <w:rsid w:val="00E2481E"/>
    <w:rsid w:val="00E43702"/>
    <w:rsid w:val="00E71AF0"/>
    <w:rsid w:val="00E77576"/>
    <w:rsid w:val="00EB4238"/>
    <w:rsid w:val="00EB5604"/>
    <w:rsid w:val="00EC5915"/>
    <w:rsid w:val="00ED6A68"/>
    <w:rsid w:val="00F24AFF"/>
    <w:rsid w:val="00F34310"/>
    <w:rsid w:val="00F776C4"/>
    <w:rsid w:val="00FD7245"/>
    <w:rsid w:val="00FE67F7"/>
  </w:rsids>
  <m:mathPr>
    <m:mathFont m:val="Cambria Math"/>
    <m:brkBin m:val="before"/>
    <m:brkBinSub m:val="--"/>
    <m:smallFrac m:val="0"/>
    <m:dispDef/>
    <m:lMargin m:val="0"/>
    <m:rMargin m:val="0"/>
    <m:defJc m:val="centerGroup"/>
    <m:wrapIndent m:val="1440"/>
    <m:intLim m:val="subSup"/>
    <m:naryLim m:val="undOvr"/>
  </m:mathPr>
  <w:themeFontLang w:val="es-AR"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EastAsia"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PlaceholderText">
    <w:name w:val="Placeholder Text"/>
    <w:basedOn w:val="DefaultParagraphFont"/>
    <w:uiPriority w:val="99"/>
    <w:semiHidden/>
    <w:rsid w:val="00BE1D20"/>
    <w:rPr>
      <w:color w:val="808080"/>
    </w:rPr>
  </w:style>
  <w:style w:type="paragraph" w:styleId="1826176F614340649BFAC28C3B63B78317" w:customStyle="1">
    <w:name w:val="1826176F614340649BFAC28C3B63B78317"/>
    <w:rsid w:val="00B1113D"/>
    <w:rPr>
      <w:lang w:val="en-US" w:eastAsia="en-US"/>
    </w:rPr>
  </w:style>
  <w:style w:type="paragraph" w:styleId="467533B11B3842A885C4CE0AFBB936CB" w:customStyle="1">
    <w:name w:val="467533B11B3842A885C4CE0AFBB936CB"/>
    <w:rsid w:val="00534ED1"/>
    <w:pPr>
      <w:spacing w:after="160" w:line="259" w:lineRule="auto"/>
    </w:pPr>
    <w:rPr>
      <w:lang w:val="es-CL" w:eastAsia="es-CL"/>
    </w:rPr>
  </w:style>
  <w:style w:type="paragraph" w:styleId="340553074E0848D2AE8D6AF27714379D" w:customStyle="1">
    <w:name w:val="340553074E0848D2AE8D6AF27714379D"/>
    <w:rsid w:val="00534ED1"/>
    <w:pPr>
      <w:spacing w:after="160" w:line="259" w:lineRule="auto"/>
    </w:pPr>
    <w:rPr>
      <w:lang w:val="es-CL" w:eastAsia="es-CL"/>
    </w:rPr>
  </w:style>
  <w:style w:type="paragraph" w:styleId="DefaultPlaceholder1082065158" w:customStyle="1">
    <w:name w:val="DefaultPlaceholder_1082065158"/>
    <w:rsid w:val="00BE1D20"/>
    <w:rPr>
      <w:lang w:val="en-US" w:eastAsia="en-US"/>
    </w:rPr>
  </w:style>
  <w:style w:type="paragraph" w:styleId="44C358C58149445BA2755ADBB9F4F8AF" w:customStyle="1">
    <w:name w:val="44C358C58149445BA2755ADBB9F4F8AF"/>
    <w:rsid w:val="00BE1D20"/>
    <w:rPr>
      <w:lang w:val="en-US" w:eastAsia="en-US"/>
    </w:rPr>
  </w:style>
  <w:style w:type="paragraph" w:styleId="CF15AFC5698F4E5498FB27BD95CD782F" w:customStyle="1">
    <w:name w:val="CF15AFC5698F4E5498FB27BD95CD782F"/>
    <w:rsid w:val="00BE1D20"/>
    <w:rPr>
      <w:lang w:val="en-US" w:eastAsia="en-US"/>
    </w:rPr>
  </w:style>
  <w:style w:type="paragraph" w:styleId="F21B320DC5CC4CA29D18953BBE653F77" w:customStyle="1">
    <w:name w:val="F21B320DC5CC4CA29D18953BBE653F77"/>
    <w:rsid w:val="00BE1D20"/>
    <w:rPr>
      <w:lang w:val="en-US" w:eastAsia="en-US"/>
    </w:rPr>
  </w:style>
  <w:style w:type="paragraph" w:styleId="19F5288FE7CC4C80A1FC8C20A439351A" w:customStyle="1">
    <w:name w:val="19F5288FE7CC4C80A1FC8C20A439351A"/>
    <w:rsid w:val="00BE1D20"/>
    <w:rPr>
      <w:lang w:val="en-US" w:eastAsia="en-US"/>
    </w:rPr>
  </w:style>
  <w:style w:type="paragraph" w:styleId="6055CACF63754C38AEFAE0ADE58AB52F" w:customStyle="1">
    <w:name w:val="6055CACF63754C38AEFAE0ADE58AB52F"/>
    <w:rsid w:val="00BE1D20"/>
    <w:rPr>
      <w:lang w:val="en-US" w:eastAsia="en-US"/>
    </w:rPr>
  </w:style>
  <w:style w:type="paragraph" w:styleId="D43C05E765C742E5A882436BE6D57E8E" w:customStyle="1">
    <w:name w:val="D43C05E765C742E5A882436BE6D57E8E"/>
    <w:rsid w:val="00BE1D20"/>
    <w:rPr>
      <w:lang w:val="en-US" w:eastAsia="en-US"/>
    </w:rPr>
  </w:style>
  <w:style w:type="paragraph" w:styleId="F1F45581D58E40429AD189DD80ED4007" w:customStyle="1">
    <w:name w:val="F1F45581D58E40429AD189DD80ED4007"/>
    <w:rsid w:val="00BE1D20"/>
    <w:rPr>
      <w:lang w:val="en-US" w:eastAsia="en-US"/>
    </w:rPr>
  </w:style>
  <w:style w:type="paragraph" w:styleId="9A70A810BF2C48C0A541AB223DAB3587" w:customStyle="1">
    <w:name w:val="9A70A810BF2C48C0A541AB223DAB3587"/>
    <w:rsid w:val="00BE1D20"/>
    <w:rPr>
      <w:lang w:val="en-US" w:eastAsia="en-US"/>
    </w:rPr>
  </w:style>
  <w:style w:type="paragraph" w:styleId="D40DDF1DE070443EBC57BF857042D2F1" w:customStyle="1">
    <w:name w:val="D40DDF1DE070443EBC57BF857042D2F1"/>
    <w:rsid w:val="00BE1D20"/>
    <w:rPr>
      <w:lang w:val="en-US" w:eastAsia="en-US"/>
    </w:rPr>
  </w:style>
  <w:style w:type="paragraph" w:styleId="C1EE1F5E5F3847209E73C9FEB6220E04" w:customStyle="1">
    <w:name w:val="C1EE1F5E5F3847209E73C9FEB6220E04"/>
    <w:pPr>
      <w:spacing w:after="160" w:line="259" w:lineRule="auto"/>
    </w:pPr>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haredContentType xmlns="Microsoft.SharePoint.Taxonomy.ContentTypeSync" SourceId="ae61f9b1-e23d-4f49-b3d7-56b991556c4b" ContentTypeId="0x0101001A458A224826124E8B45B1D613300CFC" PreviousValue="false" LastSyncTimeStamp="2022-04-13T16:45:15.69Z"/>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2D4D569B0617C4419396433B6A25167C" ma:contentTypeVersion="0" ma:contentTypeDescription="A content type to manage public (operations) IDB documents" ma:contentTypeScope="" ma:versionID="486e74a93dcddd65a5819c476673d23f">
  <xsd:schema xmlns:xsd="http://www.w3.org/2001/XMLSchema" xmlns:xs="http://www.w3.org/2001/XMLSchema" xmlns:p="http://schemas.microsoft.com/office/2006/metadata/properties" xmlns:ns2="cdc7663a-08f0-4737-9e8c-148ce897a09c" targetNamespace="http://schemas.microsoft.com/office/2006/metadata/properties" ma:root="true" ma:fieldsID="eb2314bb322adc2e90b378ce6ee6ceeb"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element ref="ns2:Extracted_x0020_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element name="Extracted_x0020_Keywords" ma:index="55" nillable="true" ma:displayName="Extracted Keywords" ma:hidden="true" ma:internalName="Extracted_x0020_Keywords" ma:readOnly="false">
      <xsd:complexType>
        <xsd:complexContent>
          <xsd:extension base="dms:MultiChoiceFillIn">
            <xsd:sequence>
              <xsd:element name="Value" maxOccurs="unbounded" minOccurs="0" nillable="true">
                <xsd:simpleType>
                  <xsd:union memberTypes="dms:Text">
                    <xsd:simpleType>
                      <xsd:restriction base="dms:Choice">
                        <xsd:enumeration value="ez"/>
                      </xsd:restriction>
                    </xsd:simpleType>
                  </xsd:un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FormUrls xmlns="http://schemas.microsoft.com/sharepoint/v3/contenttype/forms/url">
  <Display>_catalogs/masterpage/ECMForms/DisclosureOperationsCT/View.aspx</Display>
  <Edit>_catalogs/masterpage/ECMForms/DisclosureOperationsCT/Edit.aspx</Edit>
  <NewComponentId>&lt;FormUrls xmlns="http://schemas.microsoft.com/sharepoint/v3/contenttype/forms/url"&gt;&lt;Display&gt;_catalogs/masterpage/ECMForms/DisclosureOperationsCT/View.aspx&lt;/Display&gt;&lt;Edit&gt;_catalogs/masterpage/ECMForms/DisclosureOperationsCT/Edit.aspx&lt;/Edit&gt;&lt;/FormUrls&gt;</NewComponentId>
  <DisplayFormTarget>NewWindow</DisplayFormTarget>
  <EditFormTarget>NewWindow</EditFormTarget>
  <NewFormTarget>NewWindow</NewFormTarget>
</FormUrls>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Brazil</TermName>
          <TermId xmlns="http://schemas.microsoft.com/office/infopath/2007/PartnerControls">7deb27ec-6837-4974-9aa8-6cfbac841ef8</TermId>
        </TermInfo>
      </Terms>
    </ic46d7e087fd4a108fb86518ca413cc6>
    <IDBDocs_x0020_Number xmlns="cdc7663a-08f0-4737-9e8c-148ce897a09c" xsi:nil="true"/>
    <Division_x0020_or_x0020_Unit xmlns="cdc7663a-08f0-4737-9e8c-148ce897a09c">SCL/EDU</Division_x0020_or_x0020_Unit>
    <Fiscal_x0020_Year_x0020_IDB xmlns="cdc7663a-08f0-4737-9e8c-148ce897a09c">2022</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Preparation Planning and Design</TermName>
          <TermId xmlns="http://schemas.microsoft.com/office/infopath/2007/PartnerControls">29ca0c72-1fc4-435f-a09c-28585cb5eac9</TermId>
        </TermInfo>
      </Terms>
    </e46fe2894295491da65140ffd2369f49>
    <Other_x0020_Author xmlns="cdc7663a-08f0-4737-9e8c-148ce897a09c" xsi:nil="true"/>
    <Migration_x0020_Info xmlns="cdc7663a-08f0-4737-9e8c-148ce897a09c" xsi:nil="true"/>
    <Approval_x0020_Number xmlns="cdc7663a-08f0-4737-9e8c-148ce897a09c" xsi:nil="true"/>
    <Phase xmlns="cdc7663a-08f0-4737-9e8c-148ce897a09c">PHASE_IMPLEMENTATION</Phase>
    <Document_x0020_Author xmlns="cdc7663a-08f0-4737-9e8c-148ce897a09c">Linares Eddy Adolfo</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VOCATIONAL ＆ TECHNICAL EDUCATION</TermName>
          <TermId xmlns="http://schemas.microsoft.com/office/infopath/2007/PartnerControls">a1cdf7bb-151a-465c-b2c9-b051aede673b</TermId>
        </TermInfo>
      </Terms>
    </b2ec7cfb18674cb8803df6b262e8b107>
    <Business_x0020_Area xmlns="cdc7663a-08f0-4737-9e8c-148ce897a09c">Life Cycle</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Related_x0020_SisCor_x0020_Number xmlns="cdc7663a-08f0-4737-9e8c-148ce897a09c" xsi:nil="true"/>
    <TaxCatchAll xmlns="cdc7663a-08f0-4737-9e8c-148ce897a09c">
      <Value>55</Value>
      <Value>32</Value>
      <Value>41</Value>
      <Value>451</Value>
      <Value>1</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BR-T1531</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EDUCATION</TermName>
          <TermId xmlns="http://schemas.microsoft.com/office/infopath/2007/PartnerControls">e61db9d8-dcb9-423f-a737-53d6e603e7c4</TermId>
        </TermInfo>
      </Terms>
    </nddeef1749674d76abdbe4b239a70bc6>
    <Record_x0020_Number xmlns="cdc7663a-08f0-4737-9e8c-148ce897a09c" xsi:nil="true"/>
    <Extracted_x0020_Keywords xmlns="cdc7663a-08f0-4737-9e8c-148ce897a09c" xsi:nil="true"/>
    <_dlc_DocId xmlns="cdc7663a-08f0-4737-9e8c-148ce897a09c">EZSHARE-1723806763-18</_dlc_DocId>
    <_dlc_DocIdUrl xmlns="cdc7663a-08f0-4737-9e8c-148ce897a09c">
      <Url>https://idbg.sharepoint.com/teams/EZ-BR-TCP/BR-T1531/_layouts/15/DocIdRedir.aspx?ID=EZSHARE-1723806763-18</Url>
      <Description>EZSHARE-1723806763-18</Description>
    </_dlc_DocIdUrl>
    <Disclosure_x0020_Activity xmlns="cdc7663a-08f0-4737-9e8c-148ce897a09c">TC Document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Props1.xml><?xml version="1.0" encoding="utf-8"?>
<ds:datastoreItem xmlns:ds="http://schemas.openxmlformats.org/officeDocument/2006/customXml" ds:itemID="{C44869D9-A35C-4549-B3F8-B13F29DC18B3}"/>
</file>

<file path=customXml/itemProps2.xml><?xml version="1.0" encoding="utf-8"?>
<ds:datastoreItem xmlns:ds="http://schemas.openxmlformats.org/officeDocument/2006/customXml" ds:itemID="{ECCF58A3-00EC-4FF0-81DD-6261B9811634}"/>
</file>

<file path=customXml/itemProps3.xml><?xml version="1.0" encoding="utf-8"?>
<ds:datastoreItem xmlns:ds="http://schemas.openxmlformats.org/officeDocument/2006/customXml" ds:itemID="{99D5253C-EC43-4007-B147-2C61A6E0E4CE}"/>
</file>

<file path=customXml/itemProps4.xml><?xml version="1.0" encoding="utf-8"?>
<ds:datastoreItem xmlns:ds="http://schemas.openxmlformats.org/officeDocument/2006/customXml" ds:itemID="{DD27F2BF-7214-4A86-8DA6-8AC25E7CA5C6}"/>
</file>

<file path=customXml/itemProps5.xml><?xml version="1.0" encoding="utf-8"?>
<ds:datastoreItem xmlns:ds="http://schemas.openxmlformats.org/officeDocument/2006/customXml" ds:itemID="{09604C08-142C-4C74-8DA8-3A1EB2032ECF}"/>
</file>

<file path=customXml/itemProps6.xml><?xml version="1.0" encoding="utf-8"?>
<ds:datastoreItem xmlns:ds="http://schemas.openxmlformats.org/officeDocument/2006/customXml" ds:itemID="{25111CFD-EF58-4F8B-9E81-F583055EBF39}"/>
</file>

<file path=docProps/app.xml><?xml version="1.0" encoding="utf-8"?>
<ap: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Inter-American Development Bank</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Yolanda Strachan;Viraj Kanjee</dc:creator>
  <cp:keywords/>
  <cp:lastModifiedBy>Emilio Laguillo Gutierrez</cp:lastModifiedBy>
  <cp:revision>229</cp:revision>
  <cp:lastPrinted>2011-03-28T17:34:00Z</cp:lastPrinted>
  <dcterms:created xsi:type="dcterms:W3CDTF">2019-05-21T21:01:00Z</dcterms:created>
  <dcterms:modified xsi:type="dcterms:W3CDTF">2022-12-08T22:40:57Z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0x0101001A458A224826124E8B45B1D613300CFC002D4D569B0617C4419396433B6A25167C</vt:lpwstr>
  </property>
  <property fmtid="{D5CDD505-2E9C-101B-9397-08002B2CF9AE}" pid="3" name="TaxKeyword">
    <vt:lpwstr/>
  </property>
  <property fmtid="{D5CDD505-2E9C-101B-9397-08002B2CF9AE}" pid="4" name="Sub_x002d_Sector">
    <vt:lpwstr/>
  </property>
  <property fmtid="{D5CDD505-2E9C-101B-9397-08002B2CF9AE}" pid="5" name="TaxKeywordTaxHTField">
    <vt:lpwstr/>
  </property>
  <property fmtid="{D5CDD505-2E9C-101B-9397-08002B2CF9AE}" pid="6" name="Country">
    <vt:lpwstr>32;#Brazil|7deb27ec-6837-4974-9aa8-6cfbac841ef8</vt:lpwstr>
  </property>
  <property fmtid="{D5CDD505-2E9C-101B-9397-08002B2CF9AE}" pid="7" name="Fund_x0020_IDB">
    <vt:lpwstr/>
  </property>
  <property fmtid="{D5CDD505-2E9C-101B-9397-08002B2CF9AE}" pid="8" name="Series_x0020_Operations_x0020_IDB">
    <vt:lpwstr/>
  </property>
  <property fmtid="{D5CDD505-2E9C-101B-9397-08002B2CF9AE}" pid="9" name="Function Operations IDB">
    <vt:lpwstr>1;#Project Preparation Planning and Design|29ca0c72-1fc4-435f-a09c-28585cb5eac9</vt:lpwstr>
  </property>
  <property fmtid="{D5CDD505-2E9C-101B-9397-08002B2CF9AE}" pid="10" name="Sector_x0020_IDB">
    <vt:lpwstr/>
  </property>
  <property fmtid="{D5CDD505-2E9C-101B-9397-08002B2CF9AE}" pid="11" name="Sub-Sector">
    <vt:lpwstr>451;#VOCATIONAL ＆ TECHNICAL EDUCATION|a1cdf7bb-151a-465c-b2c9-b051aede673b</vt:lpwstr>
  </property>
  <property fmtid="{D5CDD505-2E9C-101B-9397-08002B2CF9AE}" pid="13" name="Fund IDB">
    <vt:lpwstr>55;#TBD|d62f6e05-3e80-4abd-9bb4-5f10b4906ff6</vt:lpwstr>
  </property>
  <property fmtid="{D5CDD505-2E9C-101B-9397-08002B2CF9AE}" pid="14" name="Sector IDB">
    <vt:lpwstr>41;#EDUCATION|e61db9d8-dcb9-423f-a737-53d6e603e7c4</vt:lpwstr>
  </property>
  <property fmtid="{D5CDD505-2E9C-101B-9397-08002B2CF9AE}" pid="15" name="_dlc_DocIdItemGuid">
    <vt:lpwstr>c795e86e-01d4-4111-b79e-38ad2434b6d1</vt:lpwstr>
  </property>
  <property fmtid="{D5CDD505-2E9C-101B-9397-08002B2CF9AE}" pid="16" name="Series Operations IDB">
    <vt:lpwstr/>
  </property>
</Properties>
</file>