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DB432C" w14:textId="13417AF6" w:rsidR="00986257" w:rsidRPr="00386632" w:rsidRDefault="00986257" w:rsidP="00251F15">
      <w:pPr>
        <w:spacing w:after="120"/>
        <w:jc w:val="center"/>
        <w:rPr>
          <w:rFonts w:ascii="Arial" w:hAnsi="Arial" w:cs="Arial"/>
          <w:b/>
          <w:bCs/>
          <w:smallCaps/>
          <w:sz w:val="24"/>
          <w:szCs w:val="28"/>
          <w:lang w:val="es-ES_tradnl"/>
        </w:rPr>
      </w:pPr>
      <w:r w:rsidRPr="00386632">
        <w:rPr>
          <w:rFonts w:ascii="Arial" w:hAnsi="Arial" w:cs="Arial"/>
          <w:b/>
          <w:bCs/>
          <w:smallCaps/>
          <w:sz w:val="24"/>
          <w:szCs w:val="28"/>
          <w:lang w:val="es-ES_tradnl"/>
        </w:rPr>
        <w:t xml:space="preserve">Matriz de </w:t>
      </w:r>
      <w:r w:rsidR="00386632" w:rsidRPr="00386632">
        <w:rPr>
          <w:rFonts w:ascii="Arial" w:hAnsi="Arial" w:cs="Arial"/>
          <w:b/>
          <w:bCs/>
          <w:smallCaps/>
          <w:sz w:val="24"/>
          <w:szCs w:val="28"/>
          <w:lang w:val="es-ES_tradnl"/>
        </w:rPr>
        <w:t>M</w:t>
      </w:r>
      <w:r w:rsidR="00386632">
        <w:rPr>
          <w:rFonts w:ascii="Arial" w:hAnsi="Arial" w:cs="Arial"/>
          <w:b/>
          <w:bCs/>
          <w:smallCaps/>
          <w:sz w:val="24"/>
          <w:szCs w:val="28"/>
          <w:lang w:val="es-ES_tradnl"/>
        </w:rPr>
        <w:t>edios De Verificación</w:t>
      </w:r>
    </w:p>
    <w:tbl>
      <w:tblPr>
        <w:tblStyle w:val="TableGrid"/>
        <w:tblW w:w="5000" w:type="pct"/>
        <w:tblLook w:val="04A0" w:firstRow="1" w:lastRow="0" w:firstColumn="1" w:lastColumn="0" w:noHBand="0" w:noVBand="1"/>
      </w:tblPr>
      <w:tblGrid>
        <w:gridCol w:w="5484"/>
        <w:gridCol w:w="3331"/>
        <w:gridCol w:w="3415"/>
      </w:tblGrid>
      <w:tr w:rsidR="00083EE0" w:rsidRPr="00094439" w14:paraId="442E07CB" w14:textId="11FAAE11" w:rsidTr="0008284D">
        <w:trPr>
          <w:cantSplit/>
          <w:trHeight w:val="576"/>
          <w:tblHeader/>
        </w:trPr>
        <w:tc>
          <w:tcPr>
            <w:tcW w:w="2242" w:type="pct"/>
            <w:shd w:val="clear" w:color="auto" w:fill="A6A6A6" w:themeFill="background1" w:themeFillShade="A6"/>
            <w:vAlign w:val="center"/>
          </w:tcPr>
          <w:p w14:paraId="3F4DE796" w14:textId="685084E1" w:rsidR="00386632" w:rsidRPr="00B110B9" w:rsidRDefault="00386632" w:rsidP="00B110B9">
            <w:pPr>
              <w:spacing w:before="60" w:after="60"/>
              <w:jc w:val="center"/>
              <w:rPr>
                <w:rFonts w:ascii="Arial" w:hAnsi="Arial" w:cs="Arial"/>
                <w:b/>
                <w:sz w:val="20"/>
                <w:szCs w:val="20"/>
                <w:lang w:val="es-AR"/>
              </w:rPr>
            </w:pPr>
            <w:r w:rsidRPr="00B110B9">
              <w:rPr>
                <w:rFonts w:ascii="Arial" w:hAnsi="Arial" w:cs="Arial"/>
                <w:b/>
                <w:sz w:val="20"/>
                <w:szCs w:val="20"/>
                <w:lang w:val="es-AR"/>
              </w:rPr>
              <w:t>Condiciones para la Primera Operación</w:t>
            </w:r>
          </w:p>
        </w:tc>
        <w:tc>
          <w:tcPr>
            <w:tcW w:w="1362" w:type="pct"/>
            <w:shd w:val="clear" w:color="auto" w:fill="A6A6A6" w:themeFill="background1" w:themeFillShade="A6"/>
            <w:vAlign w:val="center"/>
          </w:tcPr>
          <w:p w14:paraId="2ABA3272" w14:textId="5D364182" w:rsidR="00386632" w:rsidRPr="00B110B9" w:rsidRDefault="00386632" w:rsidP="00B110B9">
            <w:pPr>
              <w:spacing w:before="60" w:after="60"/>
              <w:ind w:left="-110" w:right="-100"/>
              <w:jc w:val="center"/>
              <w:rPr>
                <w:rFonts w:ascii="Arial" w:eastAsia="Arial" w:hAnsi="Arial" w:cs="Arial"/>
                <w:b/>
                <w:bCs/>
                <w:sz w:val="20"/>
                <w:szCs w:val="20"/>
                <w:lang w:val="es-ES"/>
              </w:rPr>
            </w:pPr>
            <w:r w:rsidRPr="00B110B9">
              <w:rPr>
                <w:rFonts w:ascii="Arial" w:eastAsia="Arial" w:hAnsi="Arial" w:cs="Arial"/>
                <w:b/>
                <w:bCs/>
                <w:sz w:val="20"/>
                <w:szCs w:val="20"/>
                <w:lang w:val="es-ES"/>
              </w:rPr>
              <w:t>Medios de Verificación de la Primera Operación Programática</w:t>
            </w:r>
          </w:p>
        </w:tc>
        <w:tc>
          <w:tcPr>
            <w:tcW w:w="1396" w:type="pct"/>
            <w:shd w:val="clear" w:color="auto" w:fill="A6A6A6" w:themeFill="background1" w:themeFillShade="A6"/>
            <w:vAlign w:val="center"/>
          </w:tcPr>
          <w:p w14:paraId="58F48277" w14:textId="33F49AAF" w:rsidR="00386632" w:rsidRPr="00B110B9" w:rsidRDefault="00386632" w:rsidP="00B110B9">
            <w:pPr>
              <w:spacing w:before="60" w:after="60"/>
              <w:ind w:right="-100"/>
              <w:jc w:val="center"/>
              <w:rPr>
                <w:rFonts w:ascii="Arial" w:eastAsia="Arial" w:hAnsi="Arial" w:cs="Arial"/>
                <w:b/>
                <w:bCs/>
                <w:sz w:val="20"/>
                <w:szCs w:val="20"/>
                <w:lang w:val="es-ES"/>
              </w:rPr>
            </w:pPr>
            <w:r w:rsidRPr="00B110B9">
              <w:rPr>
                <w:rFonts w:ascii="Arial" w:eastAsia="Arial" w:hAnsi="Arial" w:cs="Arial"/>
                <w:b/>
                <w:bCs/>
                <w:sz w:val="20"/>
                <w:szCs w:val="20"/>
                <w:lang w:val="es-ES"/>
              </w:rPr>
              <w:t>Responsable</w:t>
            </w:r>
          </w:p>
        </w:tc>
      </w:tr>
      <w:tr w:rsidR="00083EE0" w:rsidRPr="00094439" w14:paraId="2FC3AEDF" w14:textId="77777777" w:rsidTr="00B110B9">
        <w:trPr>
          <w:trHeight w:val="332"/>
        </w:trPr>
        <w:tc>
          <w:tcPr>
            <w:tcW w:w="5000" w:type="pct"/>
            <w:gridSpan w:val="3"/>
            <w:shd w:val="clear" w:color="auto" w:fill="B4C6E7" w:themeFill="accent1" w:themeFillTint="66"/>
          </w:tcPr>
          <w:p w14:paraId="62569CA1" w14:textId="578B32E7" w:rsidR="00386632" w:rsidRPr="00B110B9" w:rsidRDefault="00386632" w:rsidP="00B110B9">
            <w:pPr>
              <w:spacing w:before="60" w:after="60"/>
              <w:ind w:right="-100"/>
              <w:rPr>
                <w:rFonts w:ascii="Arial" w:eastAsia="Arial" w:hAnsi="Arial" w:cs="Arial"/>
                <w:b/>
                <w:bCs/>
                <w:sz w:val="20"/>
                <w:szCs w:val="20"/>
                <w:lang w:val="es-ES"/>
              </w:rPr>
            </w:pPr>
            <w:r w:rsidRPr="00B110B9">
              <w:rPr>
                <w:rFonts w:ascii="Arial" w:hAnsi="Arial" w:cs="Arial"/>
                <w:b/>
                <w:bCs/>
                <w:kern w:val="18"/>
                <w:sz w:val="20"/>
                <w:szCs w:val="20"/>
                <w:lang w:val="es-ES"/>
              </w:rPr>
              <w:t>Componente I. Estabilidad macroeconómica</w:t>
            </w:r>
            <w:r w:rsidR="00481929">
              <w:rPr>
                <w:rFonts w:ascii="Arial" w:hAnsi="Arial" w:cs="Arial"/>
                <w:b/>
                <w:bCs/>
                <w:kern w:val="18"/>
                <w:sz w:val="20"/>
                <w:szCs w:val="20"/>
                <w:lang w:val="es-ES"/>
              </w:rPr>
              <w:t>.</w:t>
            </w:r>
          </w:p>
        </w:tc>
      </w:tr>
      <w:tr w:rsidR="00083EE0" w:rsidRPr="00094439" w14:paraId="470D85FD" w14:textId="0F7C928A" w:rsidTr="0008284D">
        <w:trPr>
          <w:trHeight w:val="20"/>
        </w:trPr>
        <w:tc>
          <w:tcPr>
            <w:tcW w:w="2242" w:type="pct"/>
            <w:tcBorders>
              <w:bottom w:val="single" w:sz="4" w:space="0" w:color="auto"/>
            </w:tcBorders>
          </w:tcPr>
          <w:p w14:paraId="05FFBEB1" w14:textId="494FBBA9" w:rsidR="00386632" w:rsidRPr="00B110B9" w:rsidRDefault="00386632" w:rsidP="00B110B9">
            <w:pPr>
              <w:pStyle w:val="ListParagraph"/>
              <w:numPr>
                <w:ilvl w:val="1"/>
                <w:numId w:val="24"/>
              </w:numPr>
              <w:spacing w:before="40" w:after="40"/>
              <w:jc w:val="both"/>
              <w:rPr>
                <w:rFonts w:ascii="Arial" w:hAnsi="Arial" w:cs="Arial"/>
                <w:sz w:val="20"/>
                <w:szCs w:val="20"/>
                <w:lang w:val="es-MX"/>
              </w:rPr>
            </w:pPr>
            <w:r w:rsidRPr="00B110B9">
              <w:rPr>
                <w:rFonts w:ascii="Arial" w:hAnsi="Arial" w:cs="Arial"/>
                <w:sz w:val="20"/>
                <w:szCs w:val="20"/>
                <w:lang w:val="es-ES_tradnl"/>
              </w:rPr>
              <w:t xml:space="preserve">Mantenimiento de un marco económico consistente con los objetivos del programa y con los lineamientos establecidos en la </w:t>
            </w:r>
            <w:r w:rsidR="00426808">
              <w:rPr>
                <w:rFonts w:ascii="Arial" w:hAnsi="Arial" w:cs="Arial"/>
                <w:sz w:val="20"/>
                <w:szCs w:val="20"/>
                <w:lang w:val="es-ES_tradnl"/>
              </w:rPr>
              <w:t>C</w:t>
            </w:r>
            <w:r w:rsidRPr="00B110B9">
              <w:rPr>
                <w:rFonts w:ascii="Arial" w:hAnsi="Arial" w:cs="Arial"/>
                <w:sz w:val="20"/>
                <w:szCs w:val="20"/>
                <w:lang w:val="es-ES_tradnl"/>
              </w:rPr>
              <w:t xml:space="preserve">arta de </w:t>
            </w:r>
            <w:r w:rsidR="00426808">
              <w:rPr>
                <w:rFonts w:ascii="Arial" w:hAnsi="Arial" w:cs="Arial"/>
                <w:sz w:val="20"/>
                <w:szCs w:val="20"/>
                <w:lang w:val="es-ES_tradnl"/>
              </w:rPr>
              <w:t>P</w:t>
            </w:r>
            <w:r w:rsidRPr="00B110B9">
              <w:rPr>
                <w:rFonts w:ascii="Arial" w:hAnsi="Arial" w:cs="Arial"/>
                <w:sz w:val="20"/>
                <w:szCs w:val="20"/>
                <w:lang w:val="es-ES_tradnl"/>
              </w:rPr>
              <w:t xml:space="preserve">olítica </w:t>
            </w:r>
            <w:r w:rsidR="00426808">
              <w:rPr>
                <w:rFonts w:ascii="Arial" w:hAnsi="Arial" w:cs="Arial"/>
                <w:sz w:val="20"/>
                <w:szCs w:val="20"/>
                <w:lang w:val="es-ES_tradnl"/>
              </w:rPr>
              <w:t>S</w:t>
            </w:r>
            <w:r w:rsidRPr="00B110B9">
              <w:rPr>
                <w:rFonts w:ascii="Arial" w:hAnsi="Arial" w:cs="Arial"/>
                <w:sz w:val="20"/>
                <w:szCs w:val="20"/>
                <w:lang w:val="es-ES_tradnl"/>
              </w:rPr>
              <w:t>ectorial.</w:t>
            </w:r>
          </w:p>
        </w:tc>
        <w:tc>
          <w:tcPr>
            <w:tcW w:w="1362" w:type="pct"/>
            <w:tcBorders>
              <w:bottom w:val="single" w:sz="4" w:space="0" w:color="auto"/>
            </w:tcBorders>
          </w:tcPr>
          <w:p w14:paraId="0A0D9B5A" w14:textId="02FE012C" w:rsidR="00386632" w:rsidRPr="00B110B9" w:rsidRDefault="00251F15" w:rsidP="00B110B9">
            <w:pPr>
              <w:shd w:val="clear" w:color="auto" w:fill="FFFFFF" w:themeFill="background1"/>
              <w:spacing w:before="40" w:after="40"/>
              <w:rPr>
                <w:rFonts w:ascii="Arial" w:hAnsi="Arial" w:cs="Arial"/>
                <w:sz w:val="20"/>
                <w:szCs w:val="20"/>
                <w:lang w:val="es-ES_tradnl"/>
              </w:rPr>
            </w:pPr>
            <w:r>
              <w:rPr>
                <w:rFonts w:ascii="Arial" w:hAnsi="Arial" w:cs="Arial"/>
                <w:sz w:val="20"/>
                <w:szCs w:val="20"/>
                <w:lang w:val="es-ES_tradnl"/>
              </w:rPr>
              <w:t>IAMC vigente</w:t>
            </w:r>
            <w:r w:rsidR="000741D5">
              <w:rPr>
                <w:rFonts w:ascii="Arial" w:hAnsi="Arial" w:cs="Arial"/>
                <w:sz w:val="20"/>
                <w:szCs w:val="20"/>
                <w:lang w:val="es-ES_tradnl"/>
              </w:rPr>
              <w:t>.</w:t>
            </w:r>
          </w:p>
        </w:tc>
        <w:tc>
          <w:tcPr>
            <w:tcW w:w="1396" w:type="pct"/>
            <w:tcBorders>
              <w:bottom w:val="single" w:sz="4" w:space="0" w:color="auto"/>
            </w:tcBorders>
          </w:tcPr>
          <w:p w14:paraId="390E6923" w14:textId="3EB36387" w:rsidR="00386632" w:rsidRPr="00B110B9" w:rsidRDefault="00371801" w:rsidP="00B110B9">
            <w:pPr>
              <w:spacing w:before="40" w:after="40"/>
              <w:jc w:val="both"/>
              <w:rPr>
                <w:rFonts w:ascii="Arial" w:hAnsi="Arial" w:cs="Arial"/>
                <w:sz w:val="20"/>
                <w:szCs w:val="20"/>
                <w:lang w:val="es-ES_tradnl"/>
              </w:rPr>
            </w:pPr>
            <w:r w:rsidRPr="00B110B9">
              <w:rPr>
                <w:rFonts w:ascii="Arial" w:hAnsi="Arial" w:cs="Arial"/>
                <w:sz w:val="20"/>
                <w:szCs w:val="20"/>
                <w:lang w:val="es-ES_tradnl"/>
              </w:rPr>
              <w:t>BID</w:t>
            </w:r>
            <w:r w:rsidR="000741D5">
              <w:rPr>
                <w:rFonts w:ascii="Arial" w:hAnsi="Arial" w:cs="Arial"/>
                <w:sz w:val="20"/>
                <w:szCs w:val="20"/>
                <w:lang w:val="es-ES_tradnl"/>
              </w:rPr>
              <w:t>.</w:t>
            </w:r>
          </w:p>
        </w:tc>
      </w:tr>
      <w:tr w:rsidR="003F6DF9" w:rsidRPr="001530EA" w14:paraId="48A499F7" w14:textId="77777777" w:rsidTr="00B110B9">
        <w:trPr>
          <w:trHeight w:val="20"/>
        </w:trPr>
        <w:tc>
          <w:tcPr>
            <w:tcW w:w="5000" w:type="pct"/>
            <w:gridSpan w:val="3"/>
            <w:tcBorders>
              <w:bottom w:val="single" w:sz="4" w:space="0" w:color="auto"/>
            </w:tcBorders>
            <w:shd w:val="clear" w:color="auto" w:fill="B4C6E7" w:themeFill="accent1" w:themeFillTint="66"/>
          </w:tcPr>
          <w:p w14:paraId="42EAE6CA" w14:textId="4E0CAE65" w:rsidR="003F6DF9" w:rsidRPr="00B110B9" w:rsidRDefault="003F6DF9" w:rsidP="00B110B9">
            <w:pPr>
              <w:spacing w:before="60" w:after="60"/>
              <w:jc w:val="both"/>
              <w:rPr>
                <w:rFonts w:ascii="Arial" w:hAnsi="Arial" w:cs="Arial"/>
                <w:sz w:val="20"/>
                <w:szCs w:val="20"/>
                <w:lang w:val="es-ES_tradnl"/>
              </w:rPr>
            </w:pPr>
            <w:r w:rsidRPr="007A4FC2">
              <w:rPr>
                <w:rFonts w:ascii="Arial" w:hAnsi="Arial" w:cs="Arial"/>
                <w:b/>
                <w:bCs/>
                <w:kern w:val="18"/>
                <w:sz w:val="20"/>
                <w:szCs w:val="20"/>
                <w:lang w:val="es-ES"/>
              </w:rPr>
              <w:t xml:space="preserve">Componente </w:t>
            </w:r>
            <w:r>
              <w:rPr>
                <w:rFonts w:ascii="Arial" w:hAnsi="Arial" w:cs="Arial"/>
                <w:b/>
                <w:bCs/>
                <w:kern w:val="18"/>
                <w:sz w:val="20"/>
                <w:szCs w:val="20"/>
                <w:lang w:val="es-ES"/>
              </w:rPr>
              <w:t>2</w:t>
            </w:r>
            <w:r w:rsidRPr="007A4FC2">
              <w:rPr>
                <w:rFonts w:ascii="Arial" w:hAnsi="Arial" w:cs="Arial"/>
                <w:b/>
                <w:bCs/>
                <w:kern w:val="18"/>
                <w:sz w:val="20"/>
                <w:szCs w:val="20"/>
                <w:lang w:val="es-ES"/>
              </w:rPr>
              <w:t xml:space="preserve">. </w:t>
            </w:r>
            <w:r w:rsidRPr="007A4FC2">
              <w:rPr>
                <w:rFonts w:ascii="Arial" w:hAnsi="Arial" w:cs="Arial"/>
                <w:b/>
                <w:bCs/>
                <w:spacing w:val="-4"/>
                <w:sz w:val="20"/>
                <w:szCs w:val="20"/>
                <w:lang w:val="es-MX"/>
              </w:rPr>
              <w:t xml:space="preserve">Fortalecimiento de la política </w:t>
            </w:r>
            <w:r w:rsidR="00481929">
              <w:rPr>
                <w:rFonts w:ascii="Arial" w:hAnsi="Arial" w:cs="Arial"/>
                <w:b/>
                <w:bCs/>
                <w:spacing w:val="-4"/>
                <w:sz w:val="20"/>
                <w:szCs w:val="20"/>
                <w:lang w:val="es-MX"/>
              </w:rPr>
              <w:t xml:space="preserve">pública </w:t>
            </w:r>
            <w:r w:rsidRPr="007A4FC2">
              <w:rPr>
                <w:rFonts w:ascii="Arial" w:hAnsi="Arial" w:cs="Arial"/>
                <w:b/>
                <w:bCs/>
                <w:spacing w:val="-4"/>
                <w:sz w:val="20"/>
                <w:szCs w:val="20"/>
                <w:lang w:val="es-MX"/>
              </w:rPr>
              <w:t xml:space="preserve">y gestión fiscal para la atención de la </w:t>
            </w:r>
            <w:r w:rsidR="004B3040">
              <w:rPr>
                <w:rFonts w:ascii="Arial" w:hAnsi="Arial" w:cs="Arial"/>
                <w:b/>
                <w:bCs/>
                <w:spacing w:val="-4"/>
                <w:sz w:val="20"/>
                <w:szCs w:val="20"/>
                <w:lang w:val="es-MX"/>
              </w:rPr>
              <w:t>crisis</w:t>
            </w:r>
            <w:r w:rsidRPr="007A4FC2">
              <w:rPr>
                <w:rFonts w:ascii="Arial" w:hAnsi="Arial" w:cs="Arial"/>
                <w:b/>
                <w:bCs/>
                <w:spacing w:val="-4"/>
                <w:sz w:val="20"/>
                <w:szCs w:val="20"/>
                <w:lang w:val="es-MX"/>
              </w:rPr>
              <w:t xml:space="preserve"> sanitaria</w:t>
            </w:r>
            <w:r>
              <w:rPr>
                <w:rFonts w:ascii="Arial" w:hAnsi="Arial" w:cs="Arial"/>
                <w:b/>
                <w:bCs/>
                <w:spacing w:val="-4"/>
                <w:sz w:val="20"/>
                <w:szCs w:val="20"/>
                <w:lang w:val="es-MX"/>
              </w:rPr>
              <w:t xml:space="preserve"> causada por el COVID-19</w:t>
            </w:r>
            <w:r w:rsidR="00481929">
              <w:rPr>
                <w:rFonts w:ascii="Arial" w:hAnsi="Arial" w:cs="Arial"/>
                <w:b/>
                <w:bCs/>
                <w:spacing w:val="-4"/>
                <w:sz w:val="20"/>
                <w:szCs w:val="20"/>
                <w:lang w:val="es-MX"/>
              </w:rPr>
              <w:t>.</w:t>
            </w:r>
          </w:p>
        </w:tc>
      </w:tr>
      <w:tr w:rsidR="00083EE0" w:rsidRPr="001530EA" w14:paraId="7523C9D0" w14:textId="77777777" w:rsidTr="00B110B9">
        <w:trPr>
          <w:trHeight w:val="20"/>
        </w:trPr>
        <w:tc>
          <w:tcPr>
            <w:tcW w:w="5000" w:type="pct"/>
            <w:gridSpan w:val="3"/>
            <w:tcBorders>
              <w:bottom w:val="single" w:sz="4" w:space="0" w:color="auto"/>
            </w:tcBorders>
            <w:shd w:val="clear" w:color="auto" w:fill="D9D9D9" w:themeFill="background1" w:themeFillShade="D9"/>
          </w:tcPr>
          <w:p w14:paraId="035BD5C0" w14:textId="5E1A7B95" w:rsidR="00386632" w:rsidRPr="00B110B9" w:rsidRDefault="00A3275D" w:rsidP="00B110B9">
            <w:pPr>
              <w:pStyle w:val="ListParagraph"/>
              <w:numPr>
                <w:ilvl w:val="0"/>
                <w:numId w:val="26"/>
              </w:numPr>
              <w:spacing w:before="60" w:after="60"/>
              <w:ind w:left="430" w:hanging="430"/>
              <w:jc w:val="both"/>
              <w:rPr>
                <w:rFonts w:ascii="Arial" w:hAnsi="Arial" w:cs="Arial"/>
                <w:kern w:val="18"/>
                <w:sz w:val="20"/>
                <w:szCs w:val="20"/>
                <w:lang w:val="es-ES"/>
              </w:rPr>
            </w:pPr>
            <w:r w:rsidRPr="00B110B9">
              <w:rPr>
                <w:rFonts w:ascii="Arial" w:hAnsi="Arial" w:cs="Arial"/>
                <w:kern w:val="18"/>
                <w:sz w:val="20"/>
                <w:szCs w:val="20"/>
                <w:lang w:val="es-ES"/>
              </w:rPr>
              <w:t xml:space="preserve">Promover la disponibilidad </w:t>
            </w:r>
            <w:r w:rsidR="003F6DF9" w:rsidRPr="00B110B9">
              <w:rPr>
                <w:rFonts w:ascii="Arial" w:hAnsi="Arial" w:cs="Arial"/>
                <w:kern w:val="18"/>
                <w:sz w:val="20"/>
                <w:szCs w:val="20"/>
                <w:lang w:val="es-ES"/>
              </w:rPr>
              <w:t xml:space="preserve">y ejecución </w:t>
            </w:r>
            <w:r w:rsidRPr="00B110B9">
              <w:rPr>
                <w:rFonts w:ascii="Arial" w:hAnsi="Arial" w:cs="Arial"/>
                <w:kern w:val="18"/>
                <w:sz w:val="20"/>
                <w:szCs w:val="20"/>
                <w:lang w:val="es-ES"/>
              </w:rPr>
              <w:t xml:space="preserve">oportuna de recursos </w:t>
            </w:r>
            <w:r w:rsidR="00D572D3">
              <w:rPr>
                <w:rFonts w:ascii="Arial" w:hAnsi="Arial" w:cs="Arial"/>
                <w:kern w:val="18"/>
                <w:sz w:val="20"/>
                <w:szCs w:val="20"/>
                <w:lang w:val="es-ES"/>
              </w:rPr>
              <w:t>públicos</w:t>
            </w:r>
            <w:r w:rsidR="003F6DF9" w:rsidRPr="00B110B9">
              <w:rPr>
                <w:rFonts w:ascii="Arial" w:hAnsi="Arial" w:cs="Arial"/>
                <w:kern w:val="18"/>
                <w:sz w:val="20"/>
                <w:szCs w:val="20"/>
                <w:lang w:val="es-ES"/>
              </w:rPr>
              <w:t xml:space="preserve"> </w:t>
            </w:r>
            <w:r w:rsidRPr="00B110B9">
              <w:rPr>
                <w:rFonts w:ascii="Arial" w:hAnsi="Arial" w:cs="Arial"/>
                <w:kern w:val="18"/>
                <w:sz w:val="20"/>
                <w:szCs w:val="20"/>
                <w:lang w:val="es-ES"/>
              </w:rPr>
              <w:t xml:space="preserve">para atender </w:t>
            </w:r>
            <w:r w:rsidR="003F6DF9" w:rsidRPr="00B110B9">
              <w:rPr>
                <w:rFonts w:ascii="Arial" w:hAnsi="Arial" w:cs="Arial"/>
                <w:kern w:val="18"/>
                <w:sz w:val="20"/>
                <w:szCs w:val="20"/>
                <w:lang w:val="es-ES"/>
              </w:rPr>
              <w:t xml:space="preserve">los efectos de </w:t>
            </w:r>
            <w:r w:rsidRPr="00B110B9">
              <w:rPr>
                <w:rFonts w:ascii="Arial" w:hAnsi="Arial" w:cs="Arial"/>
                <w:kern w:val="18"/>
                <w:sz w:val="20"/>
                <w:szCs w:val="20"/>
                <w:lang w:val="es-ES"/>
              </w:rPr>
              <w:t>la crisis sanitaria.</w:t>
            </w:r>
          </w:p>
        </w:tc>
      </w:tr>
      <w:tr w:rsidR="001530EA" w:rsidRPr="00094439" w14:paraId="67348F88" w14:textId="4C44DEF5" w:rsidTr="0008284D">
        <w:trPr>
          <w:trHeight w:val="20"/>
        </w:trPr>
        <w:tc>
          <w:tcPr>
            <w:tcW w:w="2242" w:type="pct"/>
          </w:tcPr>
          <w:p w14:paraId="42736C49" w14:textId="593D7CE6" w:rsidR="001530EA" w:rsidRPr="00B110B9" w:rsidRDefault="001530EA" w:rsidP="001530EA">
            <w:pPr>
              <w:spacing w:before="40" w:after="40"/>
              <w:ind w:left="425" w:hanging="425"/>
              <w:jc w:val="both"/>
              <w:rPr>
                <w:rFonts w:ascii="Arial" w:hAnsi="Arial" w:cs="Arial"/>
                <w:sz w:val="20"/>
                <w:szCs w:val="20"/>
                <w:lang w:val="es-ES_tradnl"/>
              </w:rPr>
            </w:pPr>
            <w:r w:rsidRPr="00B110B9">
              <w:rPr>
                <w:rFonts w:ascii="Arial" w:eastAsia="Times New Roman" w:hAnsi="Arial" w:cs="Arial"/>
                <w:sz w:val="20"/>
                <w:szCs w:val="20"/>
                <w:lang w:val="es-ES_tradnl"/>
              </w:rPr>
              <w:t>i</w:t>
            </w:r>
            <w:r>
              <w:rPr>
                <w:rFonts w:ascii="Arial" w:eastAsia="Times New Roman" w:hAnsi="Arial" w:cs="Arial"/>
                <w:sz w:val="20"/>
                <w:szCs w:val="20"/>
                <w:lang w:val="es-ES_tradnl"/>
              </w:rPr>
              <w:t>.</w:t>
            </w:r>
            <w:r w:rsidRPr="00B110B9">
              <w:rPr>
                <w:rFonts w:ascii="Arial" w:hAnsi="Arial" w:cs="Arial"/>
                <w:sz w:val="20"/>
                <w:szCs w:val="20"/>
                <w:lang w:val="es-ES_tradnl"/>
              </w:rPr>
              <w:tab/>
              <w:t>Que se haya autoriza</w:t>
            </w:r>
            <w:r>
              <w:rPr>
                <w:rFonts w:ascii="Arial" w:hAnsi="Arial" w:cs="Arial"/>
                <w:sz w:val="20"/>
                <w:szCs w:val="20"/>
                <w:lang w:val="es-ES_tradnl"/>
              </w:rPr>
              <w:t>do</w:t>
            </w:r>
            <w:r w:rsidRPr="00B110B9">
              <w:rPr>
                <w:rFonts w:ascii="Arial" w:hAnsi="Arial" w:cs="Arial"/>
                <w:sz w:val="20"/>
                <w:szCs w:val="20"/>
                <w:lang w:val="es-ES_tradnl"/>
              </w:rPr>
              <w:t xml:space="preserve"> al gobierno un endeudamiento excepcional de </w:t>
            </w:r>
            <w:r>
              <w:rPr>
                <w:rFonts w:ascii="Arial" w:hAnsi="Arial" w:cs="Arial"/>
                <w:sz w:val="20"/>
                <w:szCs w:val="20"/>
                <w:lang w:val="es-ES_tradnl"/>
              </w:rPr>
              <w:t>US</w:t>
            </w:r>
            <w:r w:rsidRPr="00B110B9">
              <w:rPr>
                <w:rFonts w:ascii="Arial" w:hAnsi="Arial" w:cs="Arial"/>
                <w:sz w:val="20"/>
                <w:szCs w:val="20"/>
                <w:lang w:val="es-ES_tradnl"/>
              </w:rPr>
              <w:t xml:space="preserve">$2.000 millones para </w:t>
            </w:r>
            <w:r>
              <w:rPr>
                <w:rFonts w:ascii="Arial" w:hAnsi="Arial" w:cs="Arial"/>
                <w:sz w:val="20"/>
                <w:szCs w:val="20"/>
                <w:lang w:val="es-ES_tradnl"/>
              </w:rPr>
              <w:t>f</w:t>
            </w:r>
            <w:r w:rsidRPr="00B110B9">
              <w:rPr>
                <w:rFonts w:ascii="Arial" w:hAnsi="Arial" w:cs="Arial"/>
                <w:sz w:val="20"/>
                <w:szCs w:val="20"/>
                <w:lang w:val="es-ES_tradnl"/>
              </w:rPr>
              <w:t>inanciamiento</w:t>
            </w:r>
            <w:r>
              <w:rPr>
                <w:rFonts w:ascii="Arial" w:hAnsi="Arial" w:cs="Arial"/>
                <w:sz w:val="20"/>
                <w:szCs w:val="20"/>
                <w:lang w:val="es-ES_tradnl"/>
              </w:rPr>
              <w:t xml:space="preserve"> de un FERRE; </w:t>
            </w:r>
          </w:p>
        </w:tc>
        <w:tc>
          <w:tcPr>
            <w:tcW w:w="1362" w:type="pct"/>
          </w:tcPr>
          <w:p w14:paraId="72A9627F" w14:textId="7BEB1470" w:rsidR="001530EA" w:rsidRPr="00B110B9" w:rsidRDefault="001530EA" w:rsidP="001530EA">
            <w:pPr>
              <w:spacing w:before="40" w:after="40"/>
              <w:jc w:val="both"/>
              <w:rPr>
                <w:rFonts w:ascii="Arial" w:hAnsi="Arial" w:cs="Arial"/>
                <w:sz w:val="20"/>
                <w:szCs w:val="20"/>
                <w:lang w:val="es-ES_tradnl"/>
              </w:rPr>
            </w:pPr>
            <w:r>
              <w:rPr>
                <w:rFonts w:ascii="Arial" w:hAnsi="Arial" w:cs="Arial"/>
                <w:sz w:val="20"/>
                <w:szCs w:val="20"/>
                <w:lang w:val="es-ES_tradnl"/>
              </w:rPr>
              <w:t>Ley de autorización de endeudamiento y de creación del FERRE vigente (</w:t>
            </w:r>
            <w:r w:rsidRPr="00B110B9">
              <w:rPr>
                <w:rFonts w:ascii="Arial" w:hAnsi="Arial" w:cs="Arial"/>
                <w:sz w:val="20"/>
                <w:szCs w:val="20"/>
                <w:lang w:val="es-ES_tradnl"/>
              </w:rPr>
              <w:t>Publicación en el Diario Oficial del Decreto Legislativo 608</w:t>
            </w:r>
            <w:r>
              <w:rPr>
                <w:rFonts w:ascii="Arial" w:hAnsi="Arial" w:cs="Arial"/>
                <w:sz w:val="20"/>
                <w:szCs w:val="20"/>
                <w:lang w:val="es-ES_tradnl"/>
              </w:rPr>
              <w:t>).</w:t>
            </w:r>
            <w:r w:rsidRPr="00B110B9">
              <w:rPr>
                <w:rFonts w:ascii="Arial" w:hAnsi="Arial" w:cs="Arial"/>
                <w:sz w:val="20"/>
                <w:szCs w:val="20"/>
                <w:lang w:val="es-ES_tradnl"/>
              </w:rPr>
              <w:t xml:space="preserve"> </w:t>
            </w:r>
          </w:p>
        </w:tc>
        <w:tc>
          <w:tcPr>
            <w:tcW w:w="1396" w:type="pct"/>
          </w:tcPr>
          <w:p w14:paraId="092A29E2" w14:textId="239794B7" w:rsidR="001530EA" w:rsidRPr="00B110B9" w:rsidRDefault="001530EA" w:rsidP="001530EA">
            <w:pPr>
              <w:spacing w:before="40" w:after="40"/>
              <w:contextualSpacing/>
              <w:rPr>
                <w:rFonts w:ascii="Arial" w:hAnsi="Arial" w:cs="Arial"/>
                <w:sz w:val="20"/>
                <w:szCs w:val="20"/>
                <w:lang w:val="es-419"/>
              </w:rPr>
            </w:pPr>
            <w:r w:rsidRPr="00B110B9">
              <w:rPr>
                <w:rFonts w:ascii="Arial" w:eastAsia="Times New Roman" w:hAnsi="Arial" w:cs="Arial"/>
                <w:sz w:val="20"/>
                <w:szCs w:val="20"/>
                <w:lang w:val="es-MX"/>
              </w:rPr>
              <w:t>Asamblea Legislativa</w:t>
            </w:r>
            <w:r>
              <w:rPr>
                <w:rFonts w:ascii="Arial" w:eastAsia="Times New Roman" w:hAnsi="Arial" w:cs="Arial"/>
                <w:sz w:val="20"/>
                <w:szCs w:val="20"/>
                <w:lang w:val="es-MX"/>
              </w:rPr>
              <w:t>.</w:t>
            </w:r>
          </w:p>
        </w:tc>
      </w:tr>
      <w:tr w:rsidR="00A63E23" w:rsidRPr="00094439" w14:paraId="239738AD" w14:textId="77777777" w:rsidTr="0008284D">
        <w:trPr>
          <w:trHeight w:val="20"/>
        </w:trPr>
        <w:tc>
          <w:tcPr>
            <w:tcW w:w="2242" w:type="pct"/>
          </w:tcPr>
          <w:p w14:paraId="355175FC" w14:textId="522FB1C0" w:rsidR="00A63E23" w:rsidRPr="00B110B9" w:rsidRDefault="00A63E23" w:rsidP="00A63E23">
            <w:pPr>
              <w:spacing w:before="40" w:after="40"/>
              <w:ind w:left="425" w:hanging="425"/>
              <w:jc w:val="both"/>
              <w:rPr>
                <w:rFonts w:ascii="Arial" w:eastAsia="Times New Roman" w:hAnsi="Arial" w:cs="Arial"/>
                <w:sz w:val="20"/>
                <w:szCs w:val="20"/>
                <w:lang w:val="es-ES_tradnl"/>
              </w:rPr>
            </w:pPr>
            <w:proofErr w:type="spellStart"/>
            <w:r>
              <w:rPr>
                <w:rFonts w:ascii="Arial" w:eastAsia="Times New Roman" w:hAnsi="Arial" w:cs="Arial"/>
                <w:sz w:val="20"/>
                <w:szCs w:val="20"/>
                <w:lang w:val="es-ES_tradnl"/>
              </w:rPr>
              <w:t>ii</w:t>
            </w:r>
            <w:proofErr w:type="spellEnd"/>
            <w:r>
              <w:rPr>
                <w:rFonts w:ascii="Arial" w:eastAsia="Times New Roman" w:hAnsi="Arial" w:cs="Arial"/>
                <w:sz w:val="20"/>
                <w:szCs w:val="20"/>
                <w:lang w:val="es-ES_tradnl"/>
              </w:rPr>
              <w:t>.</w:t>
            </w:r>
            <w:r>
              <w:rPr>
                <w:rFonts w:ascii="Arial" w:eastAsia="Times New Roman" w:hAnsi="Arial" w:cs="Arial"/>
                <w:sz w:val="20"/>
                <w:szCs w:val="20"/>
                <w:lang w:val="es-ES_tradnl"/>
              </w:rPr>
              <w:tab/>
            </w:r>
            <w:r w:rsidRPr="00230D15">
              <w:rPr>
                <w:rFonts w:ascii="Arial" w:eastAsia="Times New Roman" w:hAnsi="Arial" w:cs="Arial"/>
                <w:sz w:val="20"/>
                <w:szCs w:val="20"/>
                <w:lang w:val="es-ES_tradnl"/>
              </w:rPr>
              <w:t>Que se estén publicando los informes sobre los gastos relacionados con la emergencia COVID-19 previstos en el Decreto Legislativo 606</w:t>
            </w:r>
            <w:r>
              <w:rPr>
                <w:rFonts w:ascii="Arial" w:eastAsia="Times New Roman" w:hAnsi="Arial" w:cs="Arial"/>
                <w:sz w:val="20"/>
                <w:szCs w:val="20"/>
                <w:lang w:val="es-ES_tradnl"/>
              </w:rPr>
              <w:t>; y</w:t>
            </w:r>
          </w:p>
        </w:tc>
        <w:tc>
          <w:tcPr>
            <w:tcW w:w="1362" w:type="pct"/>
          </w:tcPr>
          <w:p w14:paraId="11280E94" w14:textId="0AC30159" w:rsidR="00A63E23" w:rsidRDefault="00A63E23" w:rsidP="00A63E23">
            <w:pPr>
              <w:spacing w:before="40" w:after="40"/>
              <w:jc w:val="both"/>
              <w:rPr>
                <w:rFonts w:ascii="Arial" w:hAnsi="Arial" w:cs="Arial"/>
                <w:sz w:val="20"/>
                <w:szCs w:val="20"/>
                <w:lang w:val="es-ES_tradnl"/>
              </w:rPr>
            </w:pPr>
            <w:r w:rsidRPr="00230D15">
              <w:rPr>
                <w:rFonts w:ascii="Arial" w:hAnsi="Arial" w:cs="Arial"/>
                <w:sz w:val="20"/>
                <w:szCs w:val="20"/>
                <w:lang w:val="es-ES_tradnl"/>
              </w:rPr>
              <w:t>Informes actualizados de todas las entidades públicas que ejecutan gastos relacionados con el COVID-19, disponibles en la página web de una institución gubernamental.</w:t>
            </w:r>
          </w:p>
        </w:tc>
        <w:tc>
          <w:tcPr>
            <w:tcW w:w="1396" w:type="pct"/>
          </w:tcPr>
          <w:p w14:paraId="48C408ED" w14:textId="76176AB3" w:rsidR="00A63E23" w:rsidRPr="00B110B9" w:rsidRDefault="00A63E23" w:rsidP="00A63E23">
            <w:pPr>
              <w:spacing w:before="40" w:after="40"/>
              <w:contextualSpacing/>
              <w:rPr>
                <w:rFonts w:ascii="Arial" w:eastAsia="Times New Roman" w:hAnsi="Arial" w:cs="Arial"/>
                <w:sz w:val="20"/>
                <w:szCs w:val="20"/>
                <w:lang w:val="es-MX"/>
              </w:rPr>
            </w:pPr>
            <w:r w:rsidRPr="004C05A6">
              <w:rPr>
                <w:rFonts w:ascii="Arial" w:eastAsia="Times New Roman" w:hAnsi="Arial" w:cs="Arial"/>
                <w:sz w:val="20"/>
                <w:szCs w:val="20"/>
                <w:lang w:val="es-ES_tradnl"/>
              </w:rPr>
              <w:t>Gobierno de El Salvador.</w:t>
            </w:r>
          </w:p>
        </w:tc>
      </w:tr>
      <w:tr w:rsidR="001C6858" w:rsidRPr="00094439" w14:paraId="12033ED1" w14:textId="77777777" w:rsidTr="0008284D">
        <w:trPr>
          <w:trHeight w:val="20"/>
        </w:trPr>
        <w:tc>
          <w:tcPr>
            <w:tcW w:w="2242" w:type="pct"/>
          </w:tcPr>
          <w:p w14:paraId="6638E9BC" w14:textId="67464497" w:rsidR="001C6858" w:rsidRPr="00B110B9" w:rsidRDefault="001C6858" w:rsidP="001C6858">
            <w:pPr>
              <w:spacing w:before="40" w:after="40"/>
              <w:ind w:left="425" w:hanging="425"/>
              <w:jc w:val="both"/>
              <w:rPr>
                <w:rFonts w:ascii="Arial" w:hAnsi="Arial" w:cs="Arial"/>
                <w:sz w:val="20"/>
                <w:szCs w:val="20"/>
                <w:lang w:val="es-ES_tradnl"/>
              </w:rPr>
            </w:pPr>
            <w:proofErr w:type="spellStart"/>
            <w:r w:rsidRPr="00B110B9">
              <w:rPr>
                <w:rFonts w:ascii="Arial" w:hAnsi="Arial" w:cs="Arial"/>
                <w:sz w:val="20"/>
                <w:szCs w:val="20"/>
                <w:lang w:val="es-ES_tradnl"/>
              </w:rPr>
              <w:t>ii</w:t>
            </w:r>
            <w:r>
              <w:rPr>
                <w:rFonts w:ascii="Arial" w:hAnsi="Arial" w:cs="Arial"/>
                <w:sz w:val="20"/>
                <w:szCs w:val="20"/>
                <w:lang w:val="es-ES_tradnl"/>
              </w:rPr>
              <w:t>i</w:t>
            </w:r>
            <w:proofErr w:type="spellEnd"/>
            <w:r>
              <w:rPr>
                <w:rFonts w:ascii="Arial" w:hAnsi="Arial" w:cs="Arial"/>
                <w:sz w:val="20"/>
                <w:szCs w:val="20"/>
                <w:lang w:val="es-ES_tradnl"/>
              </w:rPr>
              <w:t>.</w:t>
            </w:r>
            <w:r w:rsidRPr="00B110B9">
              <w:rPr>
                <w:rFonts w:ascii="Arial" w:hAnsi="Arial" w:cs="Arial"/>
                <w:sz w:val="20"/>
                <w:szCs w:val="20"/>
                <w:lang w:val="es-ES_tradnl"/>
              </w:rPr>
              <w:tab/>
              <w:t xml:space="preserve">Que se haya relajado la regla fiscal existente </w:t>
            </w:r>
            <w:r>
              <w:rPr>
                <w:rFonts w:ascii="Arial" w:hAnsi="Arial" w:cs="Arial"/>
                <w:sz w:val="20"/>
                <w:szCs w:val="20"/>
                <w:lang w:val="es-ES_tradnl"/>
              </w:rPr>
              <w:t xml:space="preserve">(LRF) </w:t>
            </w:r>
            <w:r w:rsidRPr="00B110B9">
              <w:rPr>
                <w:rFonts w:ascii="Arial" w:hAnsi="Arial" w:cs="Arial"/>
                <w:sz w:val="20"/>
                <w:szCs w:val="20"/>
                <w:lang w:val="es-ES_tradnl"/>
              </w:rPr>
              <w:t xml:space="preserve">mientras duran los efectos de la emergencia nacional por la pandemia.  </w:t>
            </w:r>
          </w:p>
        </w:tc>
        <w:tc>
          <w:tcPr>
            <w:tcW w:w="1362" w:type="pct"/>
          </w:tcPr>
          <w:p w14:paraId="306BB9E6" w14:textId="6F2FA131" w:rsidR="001C6858" w:rsidRPr="00B110B9" w:rsidRDefault="001C6858" w:rsidP="001C6858">
            <w:pPr>
              <w:spacing w:before="40" w:after="40"/>
              <w:jc w:val="both"/>
              <w:rPr>
                <w:rFonts w:ascii="Arial" w:hAnsi="Arial" w:cs="Arial"/>
                <w:sz w:val="20"/>
                <w:szCs w:val="20"/>
                <w:lang w:val="es-ES_tradnl"/>
              </w:rPr>
            </w:pPr>
            <w:r>
              <w:rPr>
                <w:rFonts w:ascii="Arial" w:hAnsi="Arial" w:cs="Arial"/>
                <w:sz w:val="20"/>
                <w:szCs w:val="20"/>
                <w:lang w:val="es-ES_tradnl"/>
              </w:rPr>
              <w:t>Ley que aprueba suspensión temporal de la aplicación de la LRF, vigente (</w:t>
            </w:r>
            <w:r w:rsidRPr="00B110B9">
              <w:rPr>
                <w:rFonts w:ascii="Arial" w:hAnsi="Arial" w:cs="Arial"/>
                <w:sz w:val="20"/>
                <w:szCs w:val="20"/>
                <w:lang w:val="es-ES_tradnl"/>
              </w:rPr>
              <w:t>Publicación en el Diario Oficial del Decreto Legislativo 607</w:t>
            </w:r>
            <w:r>
              <w:rPr>
                <w:rFonts w:ascii="Arial" w:hAnsi="Arial" w:cs="Arial"/>
                <w:sz w:val="20"/>
                <w:szCs w:val="20"/>
                <w:lang w:val="es-ES_tradnl"/>
              </w:rPr>
              <w:t>).</w:t>
            </w:r>
          </w:p>
        </w:tc>
        <w:tc>
          <w:tcPr>
            <w:tcW w:w="1396" w:type="pct"/>
          </w:tcPr>
          <w:p w14:paraId="2FC775E9" w14:textId="0C47932A" w:rsidR="001C6858" w:rsidRPr="00B110B9" w:rsidRDefault="001C6858" w:rsidP="001C6858">
            <w:pPr>
              <w:spacing w:before="40" w:after="40"/>
              <w:contextualSpacing/>
              <w:rPr>
                <w:rFonts w:ascii="Arial" w:eastAsia="Times New Roman" w:hAnsi="Arial" w:cs="Arial"/>
                <w:sz w:val="20"/>
                <w:szCs w:val="20"/>
                <w:lang w:val="es-MX"/>
              </w:rPr>
            </w:pPr>
            <w:r w:rsidRPr="00B110B9">
              <w:rPr>
                <w:rFonts w:ascii="Arial" w:eastAsia="Times New Roman" w:hAnsi="Arial" w:cs="Arial"/>
                <w:sz w:val="20"/>
                <w:szCs w:val="20"/>
                <w:lang w:val="es-MX"/>
              </w:rPr>
              <w:t>Asamblea Legislativa</w:t>
            </w:r>
            <w:r>
              <w:rPr>
                <w:rFonts w:ascii="Arial" w:eastAsia="Times New Roman" w:hAnsi="Arial" w:cs="Arial"/>
                <w:sz w:val="20"/>
                <w:szCs w:val="20"/>
                <w:lang w:val="es-MX"/>
              </w:rPr>
              <w:t>.</w:t>
            </w:r>
          </w:p>
        </w:tc>
      </w:tr>
      <w:tr w:rsidR="00083EE0" w:rsidRPr="001530EA" w14:paraId="25F966FF" w14:textId="77777777" w:rsidTr="00B110B9">
        <w:trPr>
          <w:trHeight w:val="20"/>
        </w:trPr>
        <w:tc>
          <w:tcPr>
            <w:tcW w:w="5000" w:type="pct"/>
            <w:gridSpan w:val="3"/>
            <w:shd w:val="clear" w:color="auto" w:fill="D9D9D9" w:themeFill="background1" w:themeFillShade="D9"/>
          </w:tcPr>
          <w:p w14:paraId="3F25BE11" w14:textId="30DD04D8" w:rsidR="00E97F73" w:rsidRPr="00B110B9" w:rsidRDefault="00E97F73" w:rsidP="00B110B9">
            <w:pPr>
              <w:pStyle w:val="ListParagraph"/>
              <w:numPr>
                <w:ilvl w:val="1"/>
                <w:numId w:val="28"/>
              </w:numPr>
              <w:spacing w:before="60" w:after="60"/>
              <w:ind w:left="430" w:hanging="430"/>
              <w:jc w:val="both"/>
              <w:rPr>
                <w:rFonts w:ascii="Arial" w:hAnsi="Arial" w:cs="Arial"/>
                <w:kern w:val="18"/>
                <w:sz w:val="20"/>
                <w:szCs w:val="20"/>
                <w:lang w:val="es-ES"/>
              </w:rPr>
            </w:pPr>
            <w:r w:rsidRPr="00B110B9">
              <w:rPr>
                <w:rFonts w:ascii="Arial" w:hAnsi="Arial" w:cs="Arial"/>
                <w:kern w:val="18"/>
                <w:sz w:val="20"/>
                <w:szCs w:val="20"/>
                <w:lang w:val="es-ES"/>
              </w:rPr>
              <w:t xml:space="preserve">Promover la ejecución oportuna </w:t>
            </w:r>
            <w:r w:rsidR="000125AF">
              <w:rPr>
                <w:rFonts w:ascii="Arial" w:hAnsi="Arial" w:cs="Arial"/>
                <w:kern w:val="18"/>
                <w:sz w:val="20"/>
                <w:szCs w:val="20"/>
                <w:lang w:val="es-ES"/>
              </w:rPr>
              <w:t xml:space="preserve">y transparente </w:t>
            </w:r>
            <w:r w:rsidRPr="00B110B9">
              <w:rPr>
                <w:rFonts w:ascii="Arial" w:hAnsi="Arial" w:cs="Arial"/>
                <w:kern w:val="18"/>
                <w:sz w:val="20"/>
                <w:szCs w:val="20"/>
                <w:lang w:val="es-ES"/>
              </w:rPr>
              <w:t>de recursos.</w:t>
            </w:r>
          </w:p>
        </w:tc>
      </w:tr>
      <w:tr w:rsidR="003F32A2" w:rsidRPr="00094439" w14:paraId="271C7C5C" w14:textId="31958484" w:rsidTr="0008284D">
        <w:trPr>
          <w:trHeight w:val="1088"/>
        </w:trPr>
        <w:tc>
          <w:tcPr>
            <w:tcW w:w="2242" w:type="pct"/>
          </w:tcPr>
          <w:p w14:paraId="61336BBB" w14:textId="0A0B9575" w:rsidR="003F32A2" w:rsidRPr="00B110B9" w:rsidRDefault="003F32A2" w:rsidP="003F32A2">
            <w:pPr>
              <w:spacing w:before="40" w:after="40"/>
              <w:ind w:left="425" w:hanging="425"/>
              <w:jc w:val="both"/>
              <w:rPr>
                <w:rFonts w:ascii="Arial" w:hAnsi="Arial" w:cs="Arial"/>
                <w:sz w:val="20"/>
                <w:szCs w:val="20"/>
                <w:lang w:val="es-MX"/>
              </w:rPr>
            </w:pPr>
            <w:r w:rsidRPr="00B110B9">
              <w:rPr>
                <w:rFonts w:ascii="Arial" w:hAnsi="Arial" w:cs="Arial"/>
                <w:sz w:val="20"/>
                <w:szCs w:val="20"/>
                <w:lang w:val="es-MX"/>
              </w:rPr>
              <w:t>i</w:t>
            </w:r>
            <w:r>
              <w:rPr>
                <w:rFonts w:ascii="Arial" w:hAnsi="Arial" w:cs="Arial"/>
                <w:sz w:val="20"/>
                <w:szCs w:val="20"/>
                <w:lang w:val="es-MX"/>
              </w:rPr>
              <w:t>.</w:t>
            </w:r>
            <w:r w:rsidRPr="00B110B9">
              <w:rPr>
                <w:rFonts w:ascii="Arial" w:hAnsi="Arial" w:cs="Arial"/>
                <w:sz w:val="20"/>
                <w:szCs w:val="20"/>
                <w:lang w:val="es-MX"/>
              </w:rPr>
              <w:tab/>
              <w:t xml:space="preserve">Que se </w:t>
            </w:r>
            <w:r>
              <w:rPr>
                <w:rFonts w:ascii="Arial" w:hAnsi="Arial" w:cs="Arial"/>
                <w:sz w:val="20"/>
                <w:szCs w:val="20"/>
                <w:lang w:val="es-MX"/>
              </w:rPr>
              <w:t xml:space="preserve">haya autorizado la </w:t>
            </w:r>
            <w:r w:rsidRPr="00B110B9">
              <w:rPr>
                <w:rFonts w:ascii="Arial" w:hAnsi="Arial" w:cs="Arial"/>
                <w:sz w:val="20"/>
                <w:szCs w:val="20"/>
                <w:lang w:val="es-MX"/>
              </w:rPr>
              <w:t>utiliza</w:t>
            </w:r>
            <w:r>
              <w:rPr>
                <w:rFonts w:ascii="Arial" w:hAnsi="Arial" w:cs="Arial"/>
                <w:sz w:val="20"/>
                <w:szCs w:val="20"/>
                <w:lang w:val="es-MX"/>
              </w:rPr>
              <w:t>ción de</w:t>
            </w:r>
            <w:r w:rsidRPr="00B110B9">
              <w:rPr>
                <w:rFonts w:ascii="Arial" w:hAnsi="Arial" w:cs="Arial"/>
                <w:sz w:val="20"/>
                <w:szCs w:val="20"/>
                <w:lang w:val="es-MX"/>
              </w:rPr>
              <w:t xml:space="preserve"> los procedimientos de emergencia, tales como contratación directa, autorizado para las contrataciones de obras, bienes y servicios relacionados a la prevención, tratamiento, contención y atención a la pandemia</w:t>
            </w:r>
            <w:r>
              <w:rPr>
                <w:rFonts w:ascii="Arial" w:hAnsi="Arial" w:cs="Arial"/>
                <w:sz w:val="20"/>
                <w:szCs w:val="20"/>
                <w:lang w:val="es-MX"/>
              </w:rPr>
              <w:t>;</w:t>
            </w:r>
          </w:p>
        </w:tc>
        <w:tc>
          <w:tcPr>
            <w:tcW w:w="1362" w:type="pct"/>
          </w:tcPr>
          <w:p w14:paraId="0CB8C2F9" w14:textId="0EA3E85D" w:rsidR="003F32A2" w:rsidRPr="00B110B9" w:rsidRDefault="003F32A2" w:rsidP="003F32A2">
            <w:pPr>
              <w:spacing w:before="40" w:after="40"/>
              <w:jc w:val="both"/>
              <w:rPr>
                <w:rFonts w:ascii="Arial" w:hAnsi="Arial" w:cs="Arial"/>
                <w:sz w:val="20"/>
                <w:szCs w:val="20"/>
                <w:lang w:val="es-ES_tradnl"/>
              </w:rPr>
            </w:pPr>
            <w:r>
              <w:rPr>
                <w:rFonts w:ascii="Arial" w:hAnsi="Arial" w:cs="Arial"/>
                <w:sz w:val="20"/>
                <w:szCs w:val="20"/>
                <w:lang w:val="es-MX"/>
              </w:rPr>
              <w:t>Ley que autoriza el uso de contrataciones directas durante el Estado de Emergencia Nacional, vigente (</w:t>
            </w:r>
            <w:r w:rsidRPr="00B110B9">
              <w:rPr>
                <w:rFonts w:ascii="Arial" w:hAnsi="Arial" w:cs="Arial"/>
                <w:sz w:val="20"/>
                <w:szCs w:val="20"/>
                <w:lang w:val="es-ES_tradnl"/>
              </w:rPr>
              <w:t>Publicación en el Diario Oficial del Decreto</w:t>
            </w:r>
            <w:r w:rsidRPr="00B110B9">
              <w:rPr>
                <w:rFonts w:ascii="Arial" w:hAnsi="Arial" w:cs="Arial"/>
                <w:bCs/>
                <w:kern w:val="18"/>
                <w:sz w:val="20"/>
                <w:szCs w:val="20"/>
                <w:lang w:val="es-ES"/>
              </w:rPr>
              <w:t xml:space="preserve"> </w:t>
            </w:r>
            <w:r w:rsidRPr="00B110B9">
              <w:rPr>
                <w:rFonts w:ascii="Arial" w:hAnsi="Arial" w:cs="Arial"/>
                <w:sz w:val="20"/>
                <w:szCs w:val="20"/>
                <w:lang w:val="es-ES_tradnl"/>
              </w:rPr>
              <w:t>Legislativo</w:t>
            </w:r>
            <w:r w:rsidRPr="00B110B9">
              <w:rPr>
                <w:rFonts w:ascii="Arial" w:hAnsi="Arial" w:cs="Arial"/>
                <w:bCs/>
                <w:kern w:val="18"/>
                <w:sz w:val="20"/>
                <w:szCs w:val="20"/>
                <w:lang w:val="es-ES"/>
              </w:rPr>
              <w:t xml:space="preserve"> 593, Art</w:t>
            </w:r>
            <w:r>
              <w:rPr>
                <w:rFonts w:ascii="Arial" w:hAnsi="Arial" w:cs="Arial"/>
                <w:bCs/>
                <w:kern w:val="18"/>
                <w:sz w:val="20"/>
                <w:szCs w:val="20"/>
                <w:lang w:val="es-ES"/>
              </w:rPr>
              <w:t> </w:t>
            </w:r>
            <w:r w:rsidRPr="00B110B9">
              <w:rPr>
                <w:rFonts w:ascii="Arial" w:hAnsi="Arial" w:cs="Arial"/>
                <w:bCs/>
                <w:kern w:val="18"/>
                <w:sz w:val="20"/>
                <w:szCs w:val="20"/>
                <w:lang w:val="es-ES"/>
              </w:rPr>
              <w:t>13</w:t>
            </w:r>
            <w:r>
              <w:rPr>
                <w:rFonts w:ascii="Arial" w:hAnsi="Arial" w:cs="Arial"/>
                <w:bCs/>
                <w:kern w:val="18"/>
                <w:sz w:val="20"/>
                <w:szCs w:val="20"/>
                <w:lang w:val="es-ES"/>
              </w:rPr>
              <w:t>).</w:t>
            </w:r>
          </w:p>
        </w:tc>
        <w:tc>
          <w:tcPr>
            <w:tcW w:w="1396" w:type="pct"/>
          </w:tcPr>
          <w:p w14:paraId="50098562" w14:textId="048CD15F" w:rsidR="003F32A2" w:rsidRPr="00B110B9" w:rsidRDefault="003F32A2" w:rsidP="003F32A2">
            <w:pPr>
              <w:spacing w:before="40" w:after="40"/>
              <w:rPr>
                <w:rFonts w:ascii="Arial" w:hAnsi="Arial" w:cs="Arial"/>
                <w:sz w:val="20"/>
                <w:szCs w:val="20"/>
                <w:lang w:val="es-ES_tradnl"/>
              </w:rPr>
            </w:pPr>
            <w:r w:rsidRPr="00B110B9">
              <w:rPr>
                <w:rFonts w:ascii="Arial" w:eastAsia="Times New Roman" w:hAnsi="Arial" w:cs="Arial"/>
                <w:sz w:val="20"/>
                <w:szCs w:val="20"/>
                <w:lang w:val="es-MX"/>
              </w:rPr>
              <w:t>Asamblea Legislativa</w:t>
            </w:r>
            <w:r>
              <w:rPr>
                <w:rFonts w:ascii="Arial" w:eastAsia="Times New Roman" w:hAnsi="Arial" w:cs="Arial"/>
                <w:sz w:val="20"/>
                <w:szCs w:val="20"/>
                <w:lang w:val="es-MX"/>
              </w:rPr>
              <w:t>.</w:t>
            </w:r>
          </w:p>
        </w:tc>
      </w:tr>
      <w:tr w:rsidR="00D21E73" w:rsidRPr="00094439" w14:paraId="19A6A254" w14:textId="0B6C242A" w:rsidTr="0008284D">
        <w:trPr>
          <w:trHeight w:val="1016"/>
        </w:trPr>
        <w:tc>
          <w:tcPr>
            <w:tcW w:w="2242" w:type="pct"/>
          </w:tcPr>
          <w:p w14:paraId="544DD456" w14:textId="16899A78" w:rsidR="00D21E73" w:rsidRPr="00B110B9" w:rsidRDefault="00D21E73" w:rsidP="00D21E73">
            <w:pPr>
              <w:spacing w:before="40" w:after="40"/>
              <w:ind w:left="425" w:hanging="425"/>
              <w:jc w:val="both"/>
              <w:rPr>
                <w:rFonts w:ascii="Arial" w:hAnsi="Arial" w:cs="Arial"/>
                <w:sz w:val="20"/>
                <w:szCs w:val="20"/>
                <w:lang w:val="es-MX"/>
              </w:rPr>
            </w:pPr>
            <w:proofErr w:type="spellStart"/>
            <w:r w:rsidRPr="00B110B9">
              <w:rPr>
                <w:rFonts w:ascii="Arial" w:hAnsi="Arial" w:cs="Arial"/>
                <w:sz w:val="20"/>
                <w:szCs w:val="20"/>
                <w:lang w:val="es-MX"/>
              </w:rPr>
              <w:t>ii</w:t>
            </w:r>
            <w:proofErr w:type="spellEnd"/>
            <w:r w:rsidRPr="00B110B9">
              <w:rPr>
                <w:rFonts w:ascii="Arial" w:hAnsi="Arial" w:cs="Arial"/>
                <w:sz w:val="20"/>
                <w:szCs w:val="20"/>
                <w:lang w:val="es-MX"/>
              </w:rPr>
              <w:t xml:space="preserve">. </w:t>
            </w:r>
            <w:r w:rsidRPr="00B110B9">
              <w:rPr>
                <w:rFonts w:ascii="Arial" w:hAnsi="Arial" w:cs="Arial"/>
                <w:sz w:val="20"/>
                <w:szCs w:val="20"/>
                <w:lang w:val="es-MX"/>
              </w:rPr>
              <w:tab/>
              <w:t xml:space="preserve">Que se </w:t>
            </w:r>
            <w:r>
              <w:rPr>
                <w:rFonts w:ascii="Arial" w:hAnsi="Arial" w:cs="Arial"/>
                <w:sz w:val="20"/>
                <w:szCs w:val="20"/>
                <w:lang w:val="es-MX"/>
              </w:rPr>
              <w:t>haya emitido norma que</w:t>
            </w:r>
            <w:r w:rsidRPr="00B110B9">
              <w:rPr>
                <w:rFonts w:ascii="Arial" w:hAnsi="Arial" w:cs="Arial"/>
                <w:sz w:val="20"/>
                <w:szCs w:val="20"/>
                <w:lang w:val="es-MX"/>
              </w:rPr>
              <w:t xml:space="preserve"> mantenga la transparencia en las contrataciones, las resoluciones o acuerdos de contratación directa mediante su publicación en el sitio electrónico de compras </w:t>
            </w:r>
            <w:r w:rsidRPr="00B110B9">
              <w:rPr>
                <w:rFonts w:ascii="Arial" w:hAnsi="Arial" w:cs="Arial"/>
                <w:sz w:val="20"/>
                <w:szCs w:val="20"/>
                <w:lang w:val="es-MX"/>
              </w:rPr>
              <w:lastRenderedPageBreak/>
              <w:t>COMPRASAL, posteriormente a la realización del proceso</w:t>
            </w:r>
            <w:r>
              <w:rPr>
                <w:rFonts w:ascii="Arial" w:hAnsi="Arial" w:cs="Arial"/>
                <w:sz w:val="20"/>
                <w:szCs w:val="20"/>
                <w:lang w:val="es-MX"/>
              </w:rPr>
              <w:t>; y</w:t>
            </w:r>
          </w:p>
        </w:tc>
        <w:tc>
          <w:tcPr>
            <w:tcW w:w="1362" w:type="pct"/>
          </w:tcPr>
          <w:p w14:paraId="48D7CB7F" w14:textId="34AE2166" w:rsidR="00D21E73" w:rsidRPr="00B110B9" w:rsidRDefault="00D21E73" w:rsidP="00D21E73">
            <w:pPr>
              <w:spacing w:before="40" w:after="40"/>
              <w:rPr>
                <w:rFonts w:ascii="Arial" w:hAnsi="Arial" w:cs="Arial"/>
                <w:sz w:val="20"/>
                <w:szCs w:val="20"/>
                <w:lang w:val="es-ES_tradnl"/>
              </w:rPr>
            </w:pPr>
            <w:r w:rsidRPr="00B110B9">
              <w:rPr>
                <w:rFonts w:ascii="Arial" w:hAnsi="Arial" w:cs="Arial"/>
                <w:bCs/>
                <w:kern w:val="18"/>
                <w:sz w:val="20"/>
                <w:szCs w:val="20"/>
                <w:lang w:val="es-MX"/>
              </w:rPr>
              <w:lastRenderedPageBreak/>
              <w:t xml:space="preserve">Lineamientos </w:t>
            </w:r>
            <w:r>
              <w:rPr>
                <w:rFonts w:ascii="Arial" w:hAnsi="Arial" w:cs="Arial"/>
                <w:bCs/>
                <w:kern w:val="18"/>
                <w:sz w:val="20"/>
                <w:szCs w:val="20"/>
                <w:lang w:val="es-MX"/>
              </w:rPr>
              <w:t>03-19</w:t>
            </w:r>
            <w:r w:rsidRPr="00B110B9">
              <w:rPr>
                <w:rFonts w:ascii="Arial" w:hAnsi="Arial" w:cs="Arial"/>
                <w:bCs/>
                <w:kern w:val="18"/>
                <w:sz w:val="20"/>
                <w:szCs w:val="20"/>
                <w:lang w:val="es-MX"/>
              </w:rPr>
              <w:t xml:space="preserve"> emitido por UNAC</w:t>
            </w:r>
            <w:r>
              <w:rPr>
                <w:rFonts w:ascii="Arial" w:hAnsi="Arial" w:cs="Arial"/>
                <w:bCs/>
                <w:kern w:val="18"/>
                <w:sz w:val="20"/>
                <w:szCs w:val="20"/>
                <w:lang w:val="es-MX"/>
              </w:rPr>
              <w:t>.</w:t>
            </w:r>
          </w:p>
        </w:tc>
        <w:tc>
          <w:tcPr>
            <w:tcW w:w="1396" w:type="pct"/>
          </w:tcPr>
          <w:p w14:paraId="4EB4089E" w14:textId="290482D5" w:rsidR="00D21E73" w:rsidRPr="00B110B9" w:rsidRDefault="00D21E73" w:rsidP="00D21E73">
            <w:pPr>
              <w:spacing w:before="40" w:after="40"/>
              <w:rPr>
                <w:rFonts w:ascii="Arial" w:hAnsi="Arial" w:cs="Arial"/>
                <w:sz w:val="20"/>
                <w:szCs w:val="20"/>
                <w:lang w:val="es-ES_tradnl"/>
              </w:rPr>
            </w:pPr>
            <w:r w:rsidRPr="00B110B9">
              <w:rPr>
                <w:rFonts w:ascii="Arial" w:eastAsia="Times New Roman" w:hAnsi="Arial" w:cs="Arial"/>
                <w:sz w:val="20"/>
                <w:szCs w:val="20"/>
                <w:lang w:val="es-MX"/>
              </w:rPr>
              <w:t>UNAC</w:t>
            </w:r>
            <w:r>
              <w:rPr>
                <w:rFonts w:ascii="Arial" w:eastAsia="Times New Roman" w:hAnsi="Arial" w:cs="Arial"/>
                <w:sz w:val="20"/>
                <w:szCs w:val="20"/>
                <w:lang w:val="es-MX"/>
              </w:rPr>
              <w:t>.</w:t>
            </w:r>
          </w:p>
        </w:tc>
      </w:tr>
      <w:tr w:rsidR="00EB6EDB" w:rsidRPr="00094439" w14:paraId="6B7A1605" w14:textId="77777777" w:rsidTr="0008284D">
        <w:trPr>
          <w:trHeight w:val="620"/>
        </w:trPr>
        <w:tc>
          <w:tcPr>
            <w:tcW w:w="2242" w:type="pct"/>
            <w:tcBorders>
              <w:bottom w:val="single" w:sz="4" w:space="0" w:color="auto"/>
            </w:tcBorders>
          </w:tcPr>
          <w:p w14:paraId="125B2319" w14:textId="41C9B0D7" w:rsidR="00EB6EDB" w:rsidRPr="00B110B9" w:rsidRDefault="00EB6EDB" w:rsidP="00EB6EDB">
            <w:pPr>
              <w:pStyle w:val="ListParagraph"/>
              <w:numPr>
                <w:ilvl w:val="0"/>
                <w:numId w:val="29"/>
              </w:numPr>
              <w:spacing w:before="40" w:after="40"/>
              <w:ind w:left="360"/>
              <w:contextualSpacing w:val="0"/>
              <w:jc w:val="both"/>
              <w:rPr>
                <w:rFonts w:ascii="Arial" w:hAnsi="Arial" w:cs="Arial"/>
                <w:sz w:val="20"/>
                <w:szCs w:val="20"/>
                <w:lang w:val="es-MX"/>
              </w:rPr>
            </w:pPr>
            <w:bookmarkStart w:id="0" w:name="_Hlk38395838"/>
            <w:bookmarkStart w:id="1" w:name="_Hlk38396028"/>
            <w:r w:rsidRPr="00B110B9">
              <w:rPr>
                <w:rFonts w:ascii="Arial" w:hAnsi="Arial" w:cs="Arial"/>
                <w:sz w:val="20"/>
                <w:szCs w:val="20"/>
                <w:lang w:val="es-MX"/>
              </w:rPr>
              <w:t xml:space="preserve">Que se haya </w:t>
            </w:r>
            <w:r w:rsidRPr="00DE0433">
              <w:rPr>
                <w:rFonts w:ascii="Arial" w:hAnsi="Arial" w:cs="Arial"/>
                <w:sz w:val="20"/>
                <w:szCs w:val="20"/>
                <w:lang w:val="es-MX"/>
              </w:rPr>
              <w:t xml:space="preserve">acordado </w:t>
            </w:r>
            <w:r w:rsidRPr="00B110B9">
              <w:rPr>
                <w:rFonts w:ascii="Arial" w:hAnsi="Arial" w:cs="Arial"/>
                <w:sz w:val="20"/>
                <w:szCs w:val="20"/>
                <w:lang w:val="es-MX"/>
              </w:rPr>
              <w:t xml:space="preserve">con la </w:t>
            </w:r>
            <w:r w:rsidRPr="00DE0433">
              <w:rPr>
                <w:rFonts w:ascii="Arial" w:hAnsi="Arial" w:cs="Arial"/>
                <w:sz w:val="20"/>
                <w:szCs w:val="20"/>
                <w:lang w:val="es-MX"/>
              </w:rPr>
              <w:t>Organización de Estados Americanos (</w:t>
            </w:r>
            <w:r w:rsidRPr="00B110B9">
              <w:rPr>
                <w:rFonts w:ascii="Arial" w:hAnsi="Arial" w:cs="Arial"/>
                <w:sz w:val="20"/>
                <w:szCs w:val="20"/>
                <w:lang w:val="es-MX"/>
              </w:rPr>
              <w:t>OEA</w:t>
            </w:r>
            <w:r w:rsidRPr="00DE0433">
              <w:rPr>
                <w:rFonts w:ascii="Arial" w:hAnsi="Arial" w:cs="Arial"/>
                <w:sz w:val="20"/>
                <w:szCs w:val="20"/>
                <w:lang w:val="es-MX"/>
              </w:rPr>
              <w:t>)</w:t>
            </w:r>
            <w:r w:rsidRPr="00B110B9">
              <w:rPr>
                <w:rFonts w:ascii="Arial" w:hAnsi="Arial" w:cs="Arial"/>
                <w:sz w:val="20"/>
                <w:szCs w:val="20"/>
                <w:lang w:val="es-MX"/>
              </w:rPr>
              <w:t xml:space="preserve"> la provisión de auditores para supervisar las adquisiciones derivadas del programa de respuesta a la pandemia</w:t>
            </w:r>
            <w:r w:rsidRPr="00DE0433">
              <w:rPr>
                <w:rFonts w:ascii="Arial" w:hAnsi="Arial" w:cs="Arial"/>
                <w:sz w:val="20"/>
                <w:szCs w:val="20"/>
                <w:lang w:val="es-MX"/>
              </w:rPr>
              <w:t>, en el marco del convenio de creación de</w:t>
            </w:r>
            <w:r>
              <w:rPr>
                <w:rFonts w:ascii="Arial" w:hAnsi="Arial" w:cs="Arial"/>
                <w:sz w:val="20"/>
                <w:szCs w:val="20"/>
                <w:lang w:val="es-MX"/>
              </w:rPr>
              <w:t xml:space="preserve"> </w:t>
            </w:r>
            <w:r w:rsidRPr="00DE0433">
              <w:rPr>
                <w:rFonts w:ascii="Arial" w:hAnsi="Arial" w:cs="Arial"/>
                <w:sz w:val="20"/>
                <w:szCs w:val="20"/>
                <w:lang w:val="es-MX"/>
              </w:rPr>
              <w:t>l</w:t>
            </w:r>
            <w:r>
              <w:rPr>
                <w:rFonts w:ascii="Arial" w:hAnsi="Arial" w:cs="Arial"/>
                <w:sz w:val="20"/>
                <w:szCs w:val="20"/>
                <w:lang w:val="es-MX"/>
              </w:rPr>
              <w:t>a</w:t>
            </w:r>
            <w:r w:rsidRPr="00DE0433">
              <w:rPr>
                <w:rFonts w:ascii="Arial" w:hAnsi="Arial" w:cs="Arial"/>
                <w:sz w:val="20"/>
                <w:szCs w:val="20"/>
                <w:lang w:val="es-MX"/>
              </w:rPr>
              <w:t xml:space="preserve"> CICIES</w:t>
            </w:r>
            <w:r w:rsidRPr="00B110B9">
              <w:rPr>
                <w:rFonts w:ascii="Arial" w:hAnsi="Arial" w:cs="Arial"/>
                <w:sz w:val="20"/>
                <w:szCs w:val="20"/>
                <w:lang w:val="es-MX"/>
              </w:rPr>
              <w:t>.</w:t>
            </w:r>
          </w:p>
        </w:tc>
        <w:tc>
          <w:tcPr>
            <w:tcW w:w="1362" w:type="pct"/>
            <w:tcBorders>
              <w:bottom w:val="single" w:sz="4" w:space="0" w:color="auto"/>
            </w:tcBorders>
          </w:tcPr>
          <w:p w14:paraId="4D5E4043" w14:textId="076D4918" w:rsidR="00EB6EDB" w:rsidRPr="00B110B9" w:rsidRDefault="00EB6EDB" w:rsidP="00EB6EDB">
            <w:pPr>
              <w:spacing w:before="40" w:after="40"/>
              <w:rPr>
                <w:rFonts w:ascii="Arial" w:hAnsi="Arial" w:cs="Arial"/>
                <w:bCs/>
                <w:kern w:val="18"/>
                <w:sz w:val="20"/>
                <w:szCs w:val="20"/>
                <w:lang w:val="es-MX"/>
              </w:rPr>
            </w:pPr>
            <w:r>
              <w:rPr>
                <w:rFonts w:ascii="Arial" w:hAnsi="Arial" w:cs="Arial"/>
                <w:bCs/>
                <w:kern w:val="18"/>
                <w:sz w:val="20"/>
                <w:szCs w:val="20"/>
                <w:lang w:val="es-ES"/>
              </w:rPr>
              <w:t>Documento oficial de la OEA donde certifica el acuerdo con el Gobierno de El Salvador sobre la provisión de auditores.</w:t>
            </w:r>
          </w:p>
        </w:tc>
        <w:tc>
          <w:tcPr>
            <w:tcW w:w="1396" w:type="pct"/>
            <w:tcBorders>
              <w:bottom w:val="single" w:sz="4" w:space="0" w:color="auto"/>
            </w:tcBorders>
          </w:tcPr>
          <w:p w14:paraId="33D41D70" w14:textId="5423D20B" w:rsidR="00EB6EDB" w:rsidRPr="00B110B9" w:rsidRDefault="00EB6EDB" w:rsidP="00EB6EDB">
            <w:pPr>
              <w:spacing w:before="40" w:after="40"/>
              <w:rPr>
                <w:rFonts w:ascii="Arial" w:hAnsi="Arial" w:cs="Arial"/>
                <w:sz w:val="20"/>
                <w:szCs w:val="20"/>
                <w:lang w:val="es-MX"/>
              </w:rPr>
            </w:pPr>
            <w:r>
              <w:rPr>
                <w:rFonts w:ascii="Arial" w:hAnsi="Arial" w:cs="Arial"/>
                <w:sz w:val="20"/>
                <w:szCs w:val="20"/>
                <w:lang w:val="es-MX"/>
              </w:rPr>
              <w:t>Ministerio de Hacienda.</w:t>
            </w:r>
          </w:p>
        </w:tc>
      </w:tr>
      <w:tr w:rsidR="000125AF" w:rsidRPr="001530EA" w14:paraId="19B0DD63" w14:textId="77777777" w:rsidTr="00B110B9">
        <w:trPr>
          <w:trHeight w:val="296"/>
        </w:trPr>
        <w:tc>
          <w:tcPr>
            <w:tcW w:w="5000" w:type="pct"/>
            <w:gridSpan w:val="3"/>
            <w:tcBorders>
              <w:top w:val="single" w:sz="4" w:space="0" w:color="FFFFFF" w:themeColor="background1"/>
            </w:tcBorders>
            <w:shd w:val="clear" w:color="auto" w:fill="B4C6E7" w:themeFill="accent1" w:themeFillTint="66"/>
          </w:tcPr>
          <w:p w14:paraId="429643B9" w14:textId="6AEAE675" w:rsidR="000125AF" w:rsidRPr="00B110B9" w:rsidRDefault="000125AF" w:rsidP="00B110B9">
            <w:pPr>
              <w:spacing w:before="60" w:after="60"/>
              <w:jc w:val="both"/>
              <w:rPr>
                <w:rFonts w:ascii="Arial" w:hAnsi="Arial" w:cs="Arial"/>
                <w:b/>
                <w:bCs/>
                <w:kern w:val="18"/>
                <w:sz w:val="20"/>
                <w:szCs w:val="20"/>
                <w:lang w:val="es-ES"/>
              </w:rPr>
            </w:pPr>
            <w:r w:rsidRPr="0054117E">
              <w:rPr>
                <w:rFonts w:ascii="Arial" w:hAnsi="Arial" w:cs="Arial"/>
                <w:b/>
                <w:bCs/>
                <w:kern w:val="18"/>
                <w:sz w:val="20"/>
                <w:szCs w:val="20"/>
                <w:lang w:val="es-MX"/>
              </w:rPr>
              <w:t xml:space="preserve">Componente </w:t>
            </w:r>
            <w:r>
              <w:rPr>
                <w:rFonts w:ascii="Arial" w:hAnsi="Arial" w:cs="Arial"/>
                <w:b/>
                <w:bCs/>
                <w:kern w:val="18"/>
                <w:sz w:val="20"/>
                <w:szCs w:val="20"/>
                <w:lang w:val="es-MX"/>
              </w:rPr>
              <w:t>3</w:t>
            </w:r>
            <w:r w:rsidRPr="0054117E">
              <w:rPr>
                <w:rFonts w:ascii="Arial" w:hAnsi="Arial" w:cs="Arial"/>
                <w:b/>
                <w:bCs/>
                <w:kern w:val="18"/>
                <w:sz w:val="20"/>
                <w:szCs w:val="20"/>
                <w:lang w:val="es-MX"/>
              </w:rPr>
              <w:t xml:space="preserve">. </w:t>
            </w:r>
            <w:r w:rsidRPr="0054117E">
              <w:rPr>
                <w:rFonts w:ascii="Arial" w:hAnsi="Arial" w:cs="Arial"/>
                <w:b/>
                <w:bCs/>
                <w:spacing w:val="-4"/>
                <w:sz w:val="20"/>
                <w:szCs w:val="20"/>
                <w:lang w:val="es-MX"/>
              </w:rPr>
              <w:t xml:space="preserve">Fortalecimiento de la </w:t>
            </w:r>
            <w:r w:rsidRPr="0054117E">
              <w:rPr>
                <w:rFonts w:ascii="Arial" w:hAnsi="Arial" w:cs="Arial"/>
                <w:b/>
                <w:bCs/>
                <w:sz w:val="20"/>
                <w:szCs w:val="20"/>
                <w:lang w:val="es-ES_tradnl"/>
              </w:rPr>
              <w:t>política pública y gestión fiscal para la atención de la crisis económica</w:t>
            </w:r>
          </w:p>
        </w:tc>
      </w:tr>
      <w:tr w:rsidR="00083EE0" w:rsidRPr="001530EA" w14:paraId="26F84DC2" w14:textId="77777777" w:rsidTr="00B110B9">
        <w:trPr>
          <w:trHeight w:val="179"/>
        </w:trPr>
        <w:tc>
          <w:tcPr>
            <w:tcW w:w="5000" w:type="pct"/>
            <w:gridSpan w:val="3"/>
            <w:shd w:val="clear" w:color="auto" w:fill="D9D9D9" w:themeFill="background1" w:themeFillShade="D9"/>
          </w:tcPr>
          <w:p w14:paraId="5B6AB03F" w14:textId="2198C707" w:rsidR="004C55E7" w:rsidRPr="00B110B9" w:rsidRDefault="00944503" w:rsidP="00B110B9">
            <w:pPr>
              <w:pStyle w:val="ListParagraph"/>
              <w:numPr>
                <w:ilvl w:val="0"/>
                <w:numId w:val="30"/>
              </w:numPr>
              <w:spacing w:before="60" w:after="60"/>
              <w:ind w:left="430" w:hanging="430"/>
              <w:rPr>
                <w:rFonts w:ascii="Arial" w:hAnsi="Arial" w:cs="Arial"/>
                <w:sz w:val="20"/>
                <w:szCs w:val="20"/>
                <w:lang w:val="es-ES_tradnl"/>
              </w:rPr>
            </w:pPr>
            <w:r w:rsidRPr="00B110B9">
              <w:rPr>
                <w:rFonts w:ascii="Arial" w:hAnsi="Arial" w:cs="Arial"/>
                <w:sz w:val="20"/>
                <w:szCs w:val="20"/>
                <w:lang w:val="es-ES_tradnl"/>
              </w:rPr>
              <w:t>Fortalecer el efecto anticíclico de la política pública a través de la introducción temporal de medidas para la protección del ingreso de los hogares vulnerables.</w:t>
            </w:r>
          </w:p>
        </w:tc>
      </w:tr>
      <w:tr w:rsidR="001A3FB3" w:rsidRPr="00094439" w14:paraId="7061D6E7" w14:textId="4B7FC69A" w:rsidTr="0008284D">
        <w:trPr>
          <w:trHeight w:val="971"/>
        </w:trPr>
        <w:tc>
          <w:tcPr>
            <w:tcW w:w="2242" w:type="pct"/>
          </w:tcPr>
          <w:p w14:paraId="4C1EC3FB" w14:textId="162E9B05" w:rsidR="001A3FB3" w:rsidRPr="00B110B9" w:rsidRDefault="001A3FB3" w:rsidP="001A3FB3">
            <w:pPr>
              <w:pStyle w:val="ListParagraph"/>
              <w:numPr>
                <w:ilvl w:val="0"/>
                <w:numId w:val="6"/>
              </w:numPr>
              <w:spacing w:before="40" w:after="40"/>
              <w:ind w:left="270" w:hanging="270"/>
              <w:jc w:val="both"/>
              <w:rPr>
                <w:rFonts w:ascii="Arial" w:hAnsi="Arial" w:cs="Arial"/>
                <w:spacing w:val="-4"/>
                <w:sz w:val="20"/>
                <w:szCs w:val="20"/>
                <w:lang w:val="es-ES"/>
              </w:rPr>
            </w:pPr>
            <w:bookmarkStart w:id="2" w:name="_Hlk38396545"/>
            <w:bookmarkEnd w:id="0"/>
            <w:bookmarkEnd w:id="1"/>
            <w:r w:rsidRPr="00B110B9">
              <w:rPr>
                <w:rFonts w:ascii="Arial" w:hAnsi="Arial" w:cs="Arial"/>
                <w:spacing w:val="-4"/>
                <w:sz w:val="20"/>
                <w:szCs w:val="20"/>
                <w:lang w:val="es-ES"/>
              </w:rPr>
              <w:t xml:space="preserve">Que se haya </w:t>
            </w:r>
            <w:r>
              <w:rPr>
                <w:rFonts w:ascii="Arial" w:hAnsi="Arial" w:cs="Arial"/>
                <w:spacing w:val="-4"/>
                <w:sz w:val="20"/>
                <w:szCs w:val="20"/>
                <w:lang w:val="es-ES"/>
              </w:rPr>
              <w:t>aprobado una transferencia monetaria</w:t>
            </w:r>
            <w:r w:rsidRPr="00B110B9">
              <w:rPr>
                <w:rFonts w:ascii="Arial" w:hAnsi="Arial" w:cs="Arial"/>
                <w:spacing w:val="-4"/>
                <w:sz w:val="20"/>
                <w:szCs w:val="20"/>
                <w:lang w:val="es-ES"/>
              </w:rPr>
              <w:t xml:space="preserve"> únic</w:t>
            </w:r>
            <w:r>
              <w:rPr>
                <w:rFonts w:ascii="Arial" w:hAnsi="Arial" w:cs="Arial"/>
                <w:spacing w:val="-4"/>
                <w:sz w:val="20"/>
                <w:szCs w:val="20"/>
                <w:lang w:val="es-ES"/>
              </w:rPr>
              <w:t>a</w:t>
            </w:r>
            <w:r w:rsidRPr="00B110B9">
              <w:rPr>
                <w:rFonts w:ascii="Arial" w:hAnsi="Arial" w:cs="Arial"/>
                <w:spacing w:val="-4"/>
                <w:sz w:val="20"/>
                <w:szCs w:val="20"/>
                <w:lang w:val="es-ES"/>
              </w:rPr>
              <w:t xml:space="preserve"> de </w:t>
            </w:r>
            <w:r>
              <w:rPr>
                <w:rFonts w:ascii="Arial" w:hAnsi="Arial" w:cs="Arial"/>
                <w:spacing w:val="-4"/>
                <w:sz w:val="20"/>
                <w:szCs w:val="20"/>
                <w:lang w:val="es-ES"/>
              </w:rPr>
              <w:t>US</w:t>
            </w:r>
            <w:r w:rsidRPr="00B110B9">
              <w:rPr>
                <w:rFonts w:ascii="Arial" w:hAnsi="Arial" w:cs="Arial"/>
                <w:spacing w:val="-4"/>
                <w:sz w:val="20"/>
                <w:szCs w:val="20"/>
                <w:lang w:val="es-ES"/>
              </w:rPr>
              <w:t>$300 a los hogares identificados como de menores ingresos según el registro de beneficiarios del subsidio al gas y otros registros complementarios;</w:t>
            </w:r>
          </w:p>
        </w:tc>
        <w:tc>
          <w:tcPr>
            <w:tcW w:w="1362" w:type="pct"/>
          </w:tcPr>
          <w:p w14:paraId="535148C7" w14:textId="6952438A" w:rsidR="001A3FB3" w:rsidRPr="00B110B9" w:rsidRDefault="001A3FB3" w:rsidP="001A3FB3">
            <w:pPr>
              <w:spacing w:before="40" w:after="40"/>
              <w:rPr>
                <w:rFonts w:ascii="Arial" w:hAnsi="Arial" w:cs="Arial"/>
                <w:sz w:val="20"/>
                <w:szCs w:val="20"/>
                <w:lang w:val="es-ES_tradnl"/>
              </w:rPr>
            </w:pPr>
            <w:r>
              <w:rPr>
                <w:rFonts w:ascii="Arial" w:hAnsi="Arial" w:cs="Arial"/>
                <w:sz w:val="20"/>
                <w:szCs w:val="20"/>
                <w:lang w:val="es-ES_tradnl"/>
              </w:rPr>
              <w:t>Decreto por el que se aprueba una transferencia monetaria de US$300 de acuerdo con lo previsto en la condición, vigente (</w:t>
            </w:r>
            <w:r w:rsidRPr="00B110B9">
              <w:rPr>
                <w:rFonts w:ascii="Arial" w:hAnsi="Arial" w:cs="Arial"/>
                <w:sz w:val="20"/>
                <w:szCs w:val="20"/>
                <w:lang w:val="es-ES_tradnl"/>
              </w:rPr>
              <w:t>Publicación en el Diario Oficial Decreto Ejecutivo 12 Art. 7</w:t>
            </w:r>
            <w:r>
              <w:rPr>
                <w:rFonts w:ascii="Arial" w:hAnsi="Arial" w:cs="Arial"/>
                <w:sz w:val="20"/>
                <w:szCs w:val="20"/>
                <w:lang w:val="es-ES_tradnl"/>
              </w:rPr>
              <w:t>).</w:t>
            </w:r>
          </w:p>
        </w:tc>
        <w:tc>
          <w:tcPr>
            <w:tcW w:w="1396" w:type="pct"/>
          </w:tcPr>
          <w:p w14:paraId="7FF2D7F6" w14:textId="5FE429AA" w:rsidR="001A3FB3" w:rsidRPr="00B110B9" w:rsidRDefault="001A3FB3" w:rsidP="001A3FB3">
            <w:pPr>
              <w:spacing w:before="40" w:after="40"/>
              <w:rPr>
                <w:rFonts w:ascii="Arial" w:hAnsi="Arial" w:cs="Arial"/>
                <w:sz w:val="20"/>
                <w:szCs w:val="20"/>
                <w:lang w:val="es-ES_tradnl"/>
              </w:rPr>
            </w:pPr>
            <w:r>
              <w:rPr>
                <w:rFonts w:ascii="Arial" w:hAnsi="Arial" w:cs="Arial"/>
                <w:sz w:val="20"/>
                <w:szCs w:val="20"/>
                <w:lang w:val="es-ES_tradnl"/>
              </w:rPr>
              <w:t>Ministerio de Salud.</w:t>
            </w:r>
          </w:p>
        </w:tc>
      </w:tr>
      <w:tr w:rsidR="00004CF1" w:rsidRPr="00094439" w14:paraId="6021EBB5" w14:textId="2D240623" w:rsidTr="0008284D">
        <w:trPr>
          <w:trHeight w:val="888"/>
        </w:trPr>
        <w:tc>
          <w:tcPr>
            <w:tcW w:w="2242" w:type="pct"/>
          </w:tcPr>
          <w:p w14:paraId="3F909BD2" w14:textId="2BF2441E" w:rsidR="00004CF1" w:rsidRPr="00B110B9" w:rsidRDefault="00004CF1" w:rsidP="00004CF1">
            <w:pPr>
              <w:pStyle w:val="ListParagraph"/>
              <w:numPr>
                <w:ilvl w:val="0"/>
                <w:numId w:val="6"/>
              </w:numPr>
              <w:spacing w:before="40" w:after="40"/>
              <w:ind w:left="270" w:hanging="270"/>
              <w:contextualSpacing w:val="0"/>
              <w:jc w:val="both"/>
              <w:rPr>
                <w:rFonts w:ascii="Arial" w:hAnsi="Arial" w:cs="Arial"/>
                <w:spacing w:val="-4"/>
                <w:sz w:val="20"/>
                <w:szCs w:val="20"/>
                <w:lang w:val="es-ES"/>
              </w:rPr>
            </w:pPr>
            <w:bookmarkStart w:id="3" w:name="_Hlk38396289"/>
            <w:bookmarkEnd w:id="2"/>
            <w:r w:rsidRPr="00B110B9">
              <w:rPr>
                <w:rFonts w:ascii="Arial" w:hAnsi="Arial" w:cs="Arial"/>
                <w:spacing w:val="-4"/>
                <w:sz w:val="20"/>
                <w:szCs w:val="20"/>
                <w:lang w:val="es-ES_tradnl"/>
              </w:rPr>
              <w:t xml:space="preserve">Que se haya </w:t>
            </w:r>
            <w:r>
              <w:rPr>
                <w:rFonts w:ascii="Arial" w:hAnsi="Arial" w:cs="Arial"/>
                <w:spacing w:val="-4"/>
                <w:sz w:val="20"/>
                <w:szCs w:val="20"/>
                <w:lang w:val="es-ES_tradnl"/>
              </w:rPr>
              <w:t>aprobado el diferimiento d</w:t>
            </w:r>
            <w:r w:rsidRPr="00B110B9">
              <w:rPr>
                <w:rFonts w:ascii="Arial" w:hAnsi="Arial" w:cs="Arial"/>
                <w:spacing w:val="-4"/>
                <w:sz w:val="20"/>
                <w:szCs w:val="20"/>
                <w:lang w:val="es-ES"/>
              </w:rPr>
              <w:t>el pago de las facturas de servicios de agua potable, energía y telecomunicaciones de marzo, abril y mayo de 2020, las cuales se pagarán de forma prorrateada en las cuotas de los siguientes 24 meses, con medidas de focalización a los hogares más vulnerables</w:t>
            </w:r>
            <w:r>
              <w:rPr>
                <w:rFonts w:ascii="Arial" w:hAnsi="Arial" w:cs="Arial"/>
                <w:spacing w:val="-4"/>
                <w:sz w:val="20"/>
                <w:szCs w:val="20"/>
                <w:lang w:val="es-ES"/>
              </w:rPr>
              <w:t>; y</w:t>
            </w:r>
          </w:p>
        </w:tc>
        <w:tc>
          <w:tcPr>
            <w:tcW w:w="1362" w:type="pct"/>
          </w:tcPr>
          <w:p w14:paraId="29B6AD45" w14:textId="1C2B2942" w:rsidR="00004CF1" w:rsidRPr="00B110B9" w:rsidRDefault="00004CF1" w:rsidP="00004CF1">
            <w:pPr>
              <w:spacing w:before="40" w:after="40"/>
              <w:rPr>
                <w:rFonts w:ascii="Arial" w:hAnsi="Arial" w:cs="Arial"/>
                <w:sz w:val="20"/>
                <w:szCs w:val="20"/>
                <w:lang w:val="es-ES_tradnl"/>
              </w:rPr>
            </w:pPr>
            <w:r>
              <w:rPr>
                <w:rFonts w:ascii="Arial" w:hAnsi="Arial" w:cs="Arial"/>
                <w:sz w:val="20"/>
                <w:szCs w:val="20"/>
                <w:lang w:val="es-ES"/>
              </w:rPr>
              <w:t>Ley por la que se aprueba el diferimiento del pago de las facturas de marzo, abril y mayo de 2020 en la forma señalada en la condición, vigente (</w:t>
            </w:r>
            <w:r w:rsidRPr="00B110B9">
              <w:rPr>
                <w:rFonts w:ascii="Arial" w:hAnsi="Arial" w:cs="Arial"/>
                <w:sz w:val="20"/>
                <w:szCs w:val="20"/>
                <w:lang w:val="es-ES_tradnl"/>
              </w:rPr>
              <w:t>Publicación en el Diario Oficial Decreto Legislativo 601</w:t>
            </w:r>
            <w:r>
              <w:rPr>
                <w:rFonts w:ascii="Arial" w:hAnsi="Arial" w:cs="Arial"/>
                <w:sz w:val="20"/>
                <w:szCs w:val="20"/>
                <w:lang w:val="es-ES_tradnl"/>
              </w:rPr>
              <w:t>).</w:t>
            </w:r>
            <w:r w:rsidRPr="00B110B9">
              <w:rPr>
                <w:rFonts w:ascii="Arial" w:hAnsi="Arial" w:cs="Arial"/>
                <w:sz w:val="20"/>
                <w:szCs w:val="20"/>
                <w:lang w:val="es-ES_tradnl"/>
              </w:rPr>
              <w:t xml:space="preserve"> </w:t>
            </w:r>
          </w:p>
        </w:tc>
        <w:tc>
          <w:tcPr>
            <w:tcW w:w="1396" w:type="pct"/>
          </w:tcPr>
          <w:p w14:paraId="5A0C3E3C" w14:textId="6132854D" w:rsidR="00004CF1" w:rsidRPr="00B110B9" w:rsidRDefault="00004CF1" w:rsidP="00004CF1">
            <w:pPr>
              <w:spacing w:before="40" w:after="40"/>
              <w:rPr>
                <w:rFonts w:ascii="Arial" w:hAnsi="Arial" w:cs="Arial"/>
                <w:sz w:val="20"/>
                <w:szCs w:val="20"/>
                <w:lang w:val="es-ES_tradnl"/>
              </w:rPr>
            </w:pPr>
            <w:r w:rsidRPr="00B110B9">
              <w:rPr>
                <w:rFonts w:ascii="Arial" w:hAnsi="Arial" w:cs="Arial"/>
                <w:sz w:val="20"/>
                <w:szCs w:val="20"/>
                <w:lang w:val="es-ES_tradnl"/>
              </w:rPr>
              <w:t>Asamblea Legislativa</w:t>
            </w:r>
            <w:r>
              <w:rPr>
                <w:rFonts w:ascii="Arial" w:hAnsi="Arial" w:cs="Arial"/>
                <w:sz w:val="20"/>
                <w:szCs w:val="20"/>
                <w:lang w:val="es-ES_tradnl"/>
              </w:rPr>
              <w:t>.</w:t>
            </w:r>
          </w:p>
        </w:tc>
      </w:tr>
      <w:bookmarkEnd w:id="3"/>
      <w:tr w:rsidR="008531A7" w:rsidRPr="001530EA" w14:paraId="707F83EE" w14:textId="77777777" w:rsidTr="008531A7">
        <w:trPr>
          <w:trHeight w:val="888"/>
        </w:trPr>
        <w:tc>
          <w:tcPr>
            <w:tcW w:w="2242" w:type="pct"/>
            <w:tcBorders>
              <w:bottom w:val="single" w:sz="4" w:space="0" w:color="auto"/>
            </w:tcBorders>
          </w:tcPr>
          <w:p w14:paraId="5AFA53C6" w14:textId="3DA97B08" w:rsidR="008531A7" w:rsidRPr="00B110B9" w:rsidRDefault="008531A7" w:rsidP="008531A7">
            <w:pPr>
              <w:pStyle w:val="ListParagraph"/>
              <w:numPr>
                <w:ilvl w:val="0"/>
                <w:numId w:val="6"/>
              </w:numPr>
              <w:spacing w:before="40" w:after="40"/>
              <w:ind w:left="270" w:hanging="270"/>
              <w:contextualSpacing w:val="0"/>
              <w:jc w:val="both"/>
              <w:rPr>
                <w:rFonts w:ascii="Arial" w:hAnsi="Arial" w:cs="Arial"/>
                <w:spacing w:val="-4"/>
                <w:sz w:val="20"/>
                <w:szCs w:val="20"/>
                <w:lang w:val="es-ES"/>
              </w:rPr>
            </w:pPr>
            <w:r w:rsidRPr="00B110B9">
              <w:rPr>
                <w:rFonts w:ascii="Arial" w:hAnsi="Arial" w:cs="Arial"/>
                <w:spacing w:val="-4"/>
                <w:sz w:val="20"/>
                <w:szCs w:val="20"/>
                <w:lang w:val="es-ES"/>
              </w:rPr>
              <w:t xml:space="preserve">Que se haya </w:t>
            </w:r>
            <w:r>
              <w:rPr>
                <w:rFonts w:ascii="Arial" w:hAnsi="Arial" w:cs="Arial"/>
                <w:spacing w:val="-4"/>
                <w:sz w:val="20"/>
                <w:szCs w:val="20"/>
                <w:lang w:val="es-ES"/>
              </w:rPr>
              <w:t xml:space="preserve">aprobado la </w:t>
            </w:r>
            <w:r w:rsidRPr="00B110B9">
              <w:rPr>
                <w:rFonts w:ascii="Arial" w:hAnsi="Arial" w:cs="Arial"/>
                <w:spacing w:val="-4"/>
                <w:sz w:val="20"/>
                <w:szCs w:val="20"/>
                <w:lang w:val="es-ES"/>
              </w:rPr>
              <w:t>asigna</w:t>
            </w:r>
            <w:r>
              <w:rPr>
                <w:rFonts w:ascii="Arial" w:hAnsi="Arial" w:cs="Arial"/>
                <w:spacing w:val="-4"/>
                <w:sz w:val="20"/>
                <w:szCs w:val="20"/>
                <w:lang w:val="es-ES"/>
              </w:rPr>
              <w:t xml:space="preserve">ción </w:t>
            </w:r>
            <w:r w:rsidRPr="00B110B9">
              <w:rPr>
                <w:rFonts w:ascii="Arial" w:hAnsi="Arial" w:cs="Arial"/>
                <w:spacing w:val="-4"/>
                <w:sz w:val="20"/>
                <w:szCs w:val="20"/>
                <w:lang w:val="es-ES"/>
              </w:rPr>
              <w:t>d</w:t>
            </w:r>
            <w:r>
              <w:rPr>
                <w:rFonts w:ascii="Arial" w:hAnsi="Arial" w:cs="Arial"/>
                <w:spacing w:val="-4"/>
                <w:sz w:val="20"/>
                <w:szCs w:val="20"/>
                <w:lang w:val="es-ES"/>
              </w:rPr>
              <w:t>e</w:t>
            </w:r>
            <w:r w:rsidRPr="00B110B9">
              <w:rPr>
                <w:rFonts w:ascii="Arial" w:hAnsi="Arial" w:cs="Arial"/>
                <w:spacing w:val="-4"/>
                <w:sz w:val="20"/>
                <w:szCs w:val="20"/>
                <w:lang w:val="es-ES"/>
              </w:rPr>
              <w:t xml:space="preserve"> un</w:t>
            </w:r>
            <w:r>
              <w:rPr>
                <w:rFonts w:ascii="Arial" w:hAnsi="Arial" w:cs="Arial"/>
                <w:spacing w:val="-4"/>
                <w:sz w:val="20"/>
                <w:szCs w:val="20"/>
                <w:lang w:val="es-ES"/>
              </w:rPr>
              <w:t>a</w:t>
            </w:r>
            <w:r w:rsidRPr="00B110B9">
              <w:rPr>
                <w:rFonts w:ascii="Arial" w:hAnsi="Arial" w:cs="Arial"/>
                <w:spacing w:val="-4"/>
                <w:sz w:val="20"/>
                <w:szCs w:val="20"/>
                <w:lang w:val="es-ES"/>
              </w:rPr>
              <w:t xml:space="preserve"> </w:t>
            </w:r>
            <w:r>
              <w:rPr>
                <w:rFonts w:ascii="Arial" w:hAnsi="Arial" w:cs="Arial"/>
                <w:spacing w:val="-4"/>
                <w:sz w:val="20"/>
                <w:szCs w:val="20"/>
                <w:lang w:val="es-ES"/>
              </w:rPr>
              <w:t>cuota compensatoria de viáticos</w:t>
            </w:r>
            <w:r w:rsidRPr="00B110B9">
              <w:rPr>
                <w:rFonts w:ascii="Arial" w:hAnsi="Arial" w:cs="Arial"/>
                <w:spacing w:val="-4"/>
                <w:sz w:val="20"/>
                <w:szCs w:val="20"/>
                <w:lang w:val="es-ES"/>
              </w:rPr>
              <w:t xml:space="preserve"> </w:t>
            </w:r>
            <w:r>
              <w:rPr>
                <w:rFonts w:ascii="Arial" w:hAnsi="Arial" w:cs="Arial"/>
                <w:spacing w:val="-4"/>
                <w:sz w:val="20"/>
                <w:szCs w:val="20"/>
                <w:lang w:val="es-ES"/>
              </w:rPr>
              <w:t>mensual</w:t>
            </w:r>
            <w:r w:rsidRPr="00B110B9">
              <w:rPr>
                <w:rFonts w:ascii="Arial" w:hAnsi="Arial" w:cs="Arial"/>
                <w:spacing w:val="-4"/>
                <w:sz w:val="20"/>
                <w:szCs w:val="20"/>
                <w:lang w:val="es-ES"/>
              </w:rPr>
              <w:t xml:space="preserve"> de </w:t>
            </w:r>
            <w:r>
              <w:rPr>
                <w:rFonts w:ascii="Arial" w:hAnsi="Arial" w:cs="Arial"/>
                <w:spacing w:val="-4"/>
                <w:sz w:val="20"/>
                <w:szCs w:val="20"/>
                <w:lang w:val="es-ES"/>
              </w:rPr>
              <w:t>US</w:t>
            </w:r>
            <w:r w:rsidRPr="00B110B9">
              <w:rPr>
                <w:rFonts w:ascii="Arial" w:hAnsi="Arial" w:cs="Arial"/>
                <w:spacing w:val="-4"/>
                <w:sz w:val="20"/>
                <w:szCs w:val="20"/>
                <w:lang w:val="es-ES"/>
              </w:rPr>
              <w:t>$150</w:t>
            </w:r>
            <w:r>
              <w:rPr>
                <w:rFonts w:ascii="Arial" w:hAnsi="Arial" w:cs="Arial"/>
                <w:spacing w:val="-4"/>
                <w:sz w:val="20"/>
                <w:szCs w:val="20"/>
                <w:lang w:val="es-ES"/>
              </w:rPr>
              <w:t>, durante el estado de emergencia,</w:t>
            </w:r>
            <w:r w:rsidRPr="00B110B9">
              <w:rPr>
                <w:rFonts w:ascii="Arial" w:hAnsi="Arial" w:cs="Arial"/>
                <w:spacing w:val="-4"/>
                <w:sz w:val="20"/>
                <w:szCs w:val="20"/>
                <w:lang w:val="es-ES"/>
              </w:rPr>
              <w:t xml:space="preserve"> </w:t>
            </w:r>
            <w:r>
              <w:rPr>
                <w:rFonts w:ascii="Arial" w:hAnsi="Arial" w:cs="Arial"/>
                <w:spacing w:val="-4"/>
                <w:sz w:val="20"/>
                <w:szCs w:val="20"/>
                <w:lang w:val="es-ES"/>
              </w:rPr>
              <w:t xml:space="preserve">a </w:t>
            </w:r>
            <w:r w:rsidRPr="00B110B9">
              <w:rPr>
                <w:rFonts w:ascii="Arial" w:hAnsi="Arial" w:cs="Arial"/>
                <w:spacing w:val="-4"/>
                <w:sz w:val="20"/>
                <w:szCs w:val="20"/>
                <w:lang w:val="es-ES"/>
              </w:rPr>
              <w:t xml:space="preserve">los trabajadores del Estado </w:t>
            </w:r>
            <w:r>
              <w:rPr>
                <w:rFonts w:ascii="Arial" w:hAnsi="Arial" w:cs="Arial"/>
                <w:spacing w:val="-4"/>
                <w:sz w:val="20"/>
                <w:szCs w:val="20"/>
                <w:lang w:val="es-ES"/>
              </w:rPr>
              <w:t>designados para participar en el combate al COVID-19.</w:t>
            </w:r>
          </w:p>
        </w:tc>
        <w:tc>
          <w:tcPr>
            <w:tcW w:w="1362" w:type="pct"/>
            <w:tcBorders>
              <w:bottom w:val="single" w:sz="4" w:space="0" w:color="auto"/>
            </w:tcBorders>
          </w:tcPr>
          <w:p w14:paraId="506CB828" w14:textId="5550D005" w:rsidR="008531A7" w:rsidRPr="00B110B9" w:rsidRDefault="008531A7" w:rsidP="008531A7">
            <w:pPr>
              <w:spacing w:before="40" w:after="40"/>
              <w:rPr>
                <w:rFonts w:ascii="Arial" w:hAnsi="Arial" w:cs="Arial"/>
                <w:sz w:val="20"/>
                <w:szCs w:val="20"/>
                <w:lang w:val="es-ES_tradnl"/>
              </w:rPr>
            </w:pPr>
            <w:r>
              <w:rPr>
                <w:rFonts w:ascii="Arial" w:hAnsi="Arial" w:cs="Arial"/>
                <w:sz w:val="20"/>
                <w:szCs w:val="20"/>
                <w:lang w:val="es-ES_tradnl"/>
              </w:rPr>
              <w:t>Decreto por el que se aprueba la asignación de una cuota compensatoria de viáticos de US$150 de acuerdo con lo previsto en la condición, vigente (</w:t>
            </w:r>
            <w:r w:rsidRPr="00B110B9">
              <w:rPr>
                <w:rFonts w:ascii="Arial" w:hAnsi="Arial" w:cs="Arial"/>
                <w:sz w:val="20"/>
                <w:szCs w:val="20"/>
                <w:lang w:val="es-ES_tradnl"/>
              </w:rPr>
              <w:t>Publicación en el Diario Oficial Decreto Ejecutivo 16</w:t>
            </w:r>
            <w:r>
              <w:rPr>
                <w:rFonts w:ascii="Arial" w:hAnsi="Arial" w:cs="Arial"/>
                <w:sz w:val="20"/>
                <w:szCs w:val="20"/>
                <w:lang w:val="es-ES_tradnl"/>
              </w:rPr>
              <w:t>).</w:t>
            </w:r>
          </w:p>
        </w:tc>
        <w:tc>
          <w:tcPr>
            <w:tcW w:w="1396" w:type="pct"/>
            <w:tcBorders>
              <w:bottom w:val="single" w:sz="4" w:space="0" w:color="auto"/>
            </w:tcBorders>
          </w:tcPr>
          <w:p w14:paraId="75E1BF94" w14:textId="4DA6F779" w:rsidR="008531A7" w:rsidRPr="00B110B9" w:rsidRDefault="008531A7" w:rsidP="008531A7">
            <w:pPr>
              <w:spacing w:before="40" w:after="40"/>
              <w:rPr>
                <w:rFonts w:ascii="Arial" w:hAnsi="Arial" w:cs="Arial"/>
                <w:sz w:val="20"/>
                <w:szCs w:val="20"/>
                <w:lang w:val="es-ES_tradnl"/>
              </w:rPr>
            </w:pPr>
            <w:r w:rsidRPr="00756702">
              <w:rPr>
                <w:rFonts w:ascii="Arial" w:hAnsi="Arial" w:cs="Arial"/>
                <w:sz w:val="20"/>
                <w:szCs w:val="20"/>
                <w:lang w:val="es-ES_tradnl"/>
              </w:rPr>
              <w:t>Secretaría Jurídica de la Presidencia de la República de El Salvador</w:t>
            </w:r>
            <w:r>
              <w:rPr>
                <w:rFonts w:ascii="Arial" w:hAnsi="Arial" w:cs="Arial"/>
                <w:sz w:val="20"/>
                <w:szCs w:val="20"/>
                <w:lang w:val="es-ES_tradnl"/>
              </w:rPr>
              <w:t>.</w:t>
            </w:r>
          </w:p>
        </w:tc>
      </w:tr>
      <w:tr w:rsidR="008531A7" w:rsidRPr="001530EA" w14:paraId="10D94A1E" w14:textId="77777777" w:rsidTr="008531A7">
        <w:trPr>
          <w:trHeight w:val="50"/>
        </w:trPr>
        <w:tc>
          <w:tcPr>
            <w:tcW w:w="2242" w:type="pct"/>
            <w:tcBorders>
              <w:left w:val="nil"/>
              <w:bottom w:val="single" w:sz="4" w:space="0" w:color="FFFFFF" w:themeColor="background1"/>
              <w:right w:val="nil"/>
            </w:tcBorders>
          </w:tcPr>
          <w:p w14:paraId="66F7A8A0" w14:textId="77777777" w:rsidR="008531A7" w:rsidRPr="00B110B9" w:rsidRDefault="008531A7" w:rsidP="008531A7">
            <w:pPr>
              <w:pStyle w:val="ListParagraph"/>
              <w:spacing w:before="40" w:after="40"/>
              <w:ind w:left="270"/>
              <w:contextualSpacing w:val="0"/>
              <w:jc w:val="both"/>
              <w:rPr>
                <w:rFonts w:ascii="Arial" w:hAnsi="Arial" w:cs="Arial"/>
                <w:spacing w:val="-4"/>
                <w:sz w:val="20"/>
                <w:szCs w:val="20"/>
                <w:lang w:val="es-ES"/>
              </w:rPr>
            </w:pPr>
          </w:p>
        </w:tc>
        <w:tc>
          <w:tcPr>
            <w:tcW w:w="1362" w:type="pct"/>
            <w:tcBorders>
              <w:left w:val="nil"/>
              <w:bottom w:val="single" w:sz="4" w:space="0" w:color="FFFFFF" w:themeColor="background1"/>
              <w:right w:val="nil"/>
            </w:tcBorders>
          </w:tcPr>
          <w:p w14:paraId="460CF25E" w14:textId="77777777" w:rsidR="008531A7" w:rsidRDefault="008531A7" w:rsidP="008531A7">
            <w:pPr>
              <w:spacing w:before="40" w:after="40"/>
              <w:rPr>
                <w:rFonts w:ascii="Arial" w:hAnsi="Arial" w:cs="Arial"/>
                <w:sz w:val="20"/>
                <w:szCs w:val="20"/>
                <w:lang w:val="es-ES_tradnl"/>
              </w:rPr>
            </w:pPr>
          </w:p>
        </w:tc>
        <w:tc>
          <w:tcPr>
            <w:tcW w:w="1396" w:type="pct"/>
            <w:tcBorders>
              <w:left w:val="nil"/>
              <w:bottom w:val="single" w:sz="4" w:space="0" w:color="FFFFFF" w:themeColor="background1"/>
              <w:right w:val="nil"/>
            </w:tcBorders>
          </w:tcPr>
          <w:p w14:paraId="79BADDBB" w14:textId="77777777" w:rsidR="008531A7" w:rsidRPr="00756702" w:rsidRDefault="008531A7" w:rsidP="008531A7">
            <w:pPr>
              <w:spacing w:before="40" w:after="40"/>
              <w:rPr>
                <w:rFonts w:ascii="Arial" w:hAnsi="Arial" w:cs="Arial"/>
                <w:sz w:val="20"/>
                <w:szCs w:val="20"/>
                <w:lang w:val="es-ES_tradnl"/>
              </w:rPr>
            </w:pPr>
          </w:p>
        </w:tc>
      </w:tr>
      <w:tr w:rsidR="00083EE0" w:rsidRPr="001530EA" w14:paraId="2E6540A0" w14:textId="77777777" w:rsidTr="008531A7">
        <w:trPr>
          <w:trHeight w:val="359"/>
        </w:trPr>
        <w:tc>
          <w:tcPr>
            <w:tcW w:w="5000" w:type="pct"/>
            <w:gridSpan w:val="3"/>
            <w:tcBorders>
              <w:top w:val="single" w:sz="4" w:space="0" w:color="FFFFFF" w:themeColor="background1"/>
            </w:tcBorders>
            <w:shd w:val="clear" w:color="auto" w:fill="D9D9D9" w:themeFill="background1" w:themeFillShade="D9"/>
          </w:tcPr>
          <w:p w14:paraId="01D6F442" w14:textId="75886261" w:rsidR="00184429" w:rsidRPr="00B110B9" w:rsidRDefault="00AD60A0" w:rsidP="00B110B9">
            <w:pPr>
              <w:pStyle w:val="ListParagraph"/>
              <w:numPr>
                <w:ilvl w:val="0"/>
                <w:numId w:val="31"/>
              </w:numPr>
              <w:spacing w:before="60" w:after="60"/>
              <w:ind w:left="430" w:hanging="430"/>
              <w:rPr>
                <w:rFonts w:ascii="Arial" w:hAnsi="Arial" w:cs="Arial"/>
                <w:sz w:val="20"/>
                <w:szCs w:val="20"/>
                <w:lang w:val="es-ES_tradnl"/>
              </w:rPr>
            </w:pPr>
            <w:r w:rsidRPr="00B110B9">
              <w:rPr>
                <w:rFonts w:ascii="Arial" w:hAnsi="Arial" w:cs="Arial"/>
                <w:sz w:val="20"/>
                <w:szCs w:val="20"/>
                <w:lang w:val="es-ES_tradnl"/>
              </w:rPr>
              <w:lastRenderedPageBreak/>
              <w:t xml:space="preserve">Fortalecer el efecto anticíclico de la </w:t>
            </w:r>
            <w:r w:rsidR="00426808">
              <w:rPr>
                <w:rFonts w:ascii="Arial" w:hAnsi="Arial" w:cs="Arial"/>
                <w:sz w:val="20"/>
                <w:szCs w:val="20"/>
                <w:lang w:val="es-ES_tradnl"/>
              </w:rPr>
              <w:t>gestión fiscal</w:t>
            </w:r>
            <w:r w:rsidRPr="00B110B9">
              <w:rPr>
                <w:rFonts w:ascii="Arial" w:hAnsi="Arial" w:cs="Arial"/>
                <w:sz w:val="20"/>
                <w:szCs w:val="20"/>
                <w:lang w:val="es-ES_tradnl"/>
              </w:rPr>
              <w:t xml:space="preserve"> a través de la introducción temporal de medidas para el incremento de la liquidez de las firmas durante la crisis sanitaria y económica.</w:t>
            </w:r>
          </w:p>
        </w:tc>
      </w:tr>
      <w:tr w:rsidR="007F0D1E" w:rsidRPr="00094439" w14:paraId="2996866D" w14:textId="22BC759D" w:rsidTr="0008284D">
        <w:trPr>
          <w:trHeight w:val="20"/>
        </w:trPr>
        <w:tc>
          <w:tcPr>
            <w:tcW w:w="2242" w:type="pct"/>
          </w:tcPr>
          <w:p w14:paraId="50C77BC2" w14:textId="1CCC753C" w:rsidR="007F0D1E" w:rsidRPr="00B110B9" w:rsidRDefault="007F0D1E" w:rsidP="007F0D1E">
            <w:pPr>
              <w:pStyle w:val="ListParagraph"/>
              <w:numPr>
                <w:ilvl w:val="0"/>
                <w:numId w:val="13"/>
              </w:numPr>
              <w:spacing w:before="40" w:after="40"/>
              <w:ind w:left="270" w:hanging="270"/>
              <w:contextualSpacing w:val="0"/>
              <w:jc w:val="both"/>
              <w:rPr>
                <w:rFonts w:ascii="Arial" w:hAnsi="Arial" w:cs="Arial"/>
                <w:sz w:val="20"/>
                <w:szCs w:val="20"/>
                <w:lang w:val="es-MX"/>
              </w:rPr>
            </w:pPr>
            <w:r w:rsidRPr="00B110B9">
              <w:rPr>
                <w:rFonts w:ascii="Arial" w:hAnsi="Arial" w:cs="Arial"/>
                <w:sz w:val="20"/>
                <w:szCs w:val="20"/>
                <w:lang w:val="es-MX"/>
              </w:rPr>
              <w:t>Que se haya exonerado del pago de la contribución especial para la promoción del turismo, regulada en el artículo 16, del Capítulo V de la Ley de Turismo, durante el plazo de tres meses</w:t>
            </w:r>
            <w:r>
              <w:rPr>
                <w:rFonts w:ascii="Arial" w:hAnsi="Arial" w:cs="Arial"/>
                <w:sz w:val="20"/>
                <w:szCs w:val="20"/>
                <w:lang w:val="es-MX"/>
              </w:rPr>
              <w:t>;</w:t>
            </w:r>
          </w:p>
        </w:tc>
        <w:tc>
          <w:tcPr>
            <w:tcW w:w="1362" w:type="pct"/>
          </w:tcPr>
          <w:p w14:paraId="0FE399F8" w14:textId="0435D875" w:rsidR="007F0D1E" w:rsidRPr="00B110B9" w:rsidRDefault="007F0D1E" w:rsidP="007F0D1E">
            <w:pPr>
              <w:spacing w:before="40" w:after="40"/>
              <w:rPr>
                <w:rFonts w:ascii="Arial" w:hAnsi="Arial" w:cs="Arial"/>
                <w:sz w:val="20"/>
                <w:szCs w:val="20"/>
                <w:lang w:val="es-ES_tradnl"/>
              </w:rPr>
            </w:pPr>
            <w:r>
              <w:rPr>
                <w:rFonts w:ascii="Arial" w:hAnsi="Arial" w:cs="Arial"/>
                <w:sz w:val="20"/>
                <w:szCs w:val="20"/>
                <w:lang w:val="es-ES_tradnl"/>
              </w:rPr>
              <w:t>Ley por la que se exonera el pago de la contribución especial para la promoción del turismo, vigente (</w:t>
            </w:r>
            <w:r w:rsidRPr="00B110B9">
              <w:rPr>
                <w:rFonts w:ascii="Arial" w:hAnsi="Arial" w:cs="Arial"/>
                <w:sz w:val="20"/>
                <w:szCs w:val="20"/>
                <w:lang w:val="es-ES_tradnl"/>
              </w:rPr>
              <w:t>Publicación en el Diario Oficial Decreto Legislativo 598</w:t>
            </w:r>
            <w:r>
              <w:rPr>
                <w:rFonts w:ascii="Arial" w:hAnsi="Arial" w:cs="Arial"/>
                <w:sz w:val="20"/>
                <w:szCs w:val="20"/>
                <w:lang w:val="es-ES_tradnl"/>
              </w:rPr>
              <w:t>).</w:t>
            </w:r>
            <w:r w:rsidRPr="00B110B9">
              <w:rPr>
                <w:rFonts w:ascii="Arial" w:hAnsi="Arial" w:cs="Arial"/>
                <w:sz w:val="20"/>
                <w:szCs w:val="20"/>
                <w:lang w:val="es-ES_tradnl"/>
              </w:rPr>
              <w:t xml:space="preserve"> </w:t>
            </w:r>
          </w:p>
        </w:tc>
        <w:tc>
          <w:tcPr>
            <w:tcW w:w="1396" w:type="pct"/>
          </w:tcPr>
          <w:p w14:paraId="32F8DE81" w14:textId="2B4677FC" w:rsidR="007F0D1E" w:rsidRPr="00B110B9" w:rsidRDefault="007F0D1E" w:rsidP="007F0D1E">
            <w:pPr>
              <w:spacing w:before="40" w:after="40"/>
              <w:rPr>
                <w:rFonts w:ascii="Arial" w:hAnsi="Arial" w:cs="Arial"/>
                <w:sz w:val="20"/>
                <w:szCs w:val="20"/>
                <w:lang w:val="es-ES_tradnl"/>
              </w:rPr>
            </w:pPr>
            <w:r w:rsidRPr="00B110B9">
              <w:rPr>
                <w:rFonts w:ascii="Arial" w:hAnsi="Arial" w:cs="Arial"/>
                <w:sz w:val="20"/>
                <w:szCs w:val="20"/>
                <w:lang w:val="es-ES_tradnl"/>
              </w:rPr>
              <w:t>Asamblea Legislativa</w:t>
            </w:r>
            <w:r>
              <w:rPr>
                <w:rFonts w:ascii="Arial" w:hAnsi="Arial" w:cs="Arial"/>
                <w:sz w:val="20"/>
                <w:szCs w:val="20"/>
                <w:lang w:val="es-ES_tradnl"/>
              </w:rPr>
              <w:t>.</w:t>
            </w:r>
          </w:p>
        </w:tc>
      </w:tr>
      <w:tr w:rsidR="00172B36" w:rsidRPr="00094439" w14:paraId="1F6A516F" w14:textId="107CC5DF" w:rsidTr="0008284D">
        <w:trPr>
          <w:trHeight w:val="20"/>
        </w:trPr>
        <w:tc>
          <w:tcPr>
            <w:tcW w:w="2242" w:type="pct"/>
          </w:tcPr>
          <w:p w14:paraId="1BAEECD8" w14:textId="770EA1F1" w:rsidR="00172B36" w:rsidRPr="00B110B9" w:rsidRDefault="00172B36" w:rsidP="00172B36">
            <w:pPr>
              <w:pStyle w:val="ListParagraph"/>
              <w:numPr>
                <w:ilvl w:val="0"/>
                <w:numId w:val="13"/>
              </w:numPr>
              <w:spacing w:before="40" w:after="40"/>
              <w:ind w:left="270" w:hanging="270"/>
              <w:contextualSpacing w:val="0"/>
              <w:jc w:val="both"/>
              <w:rPr>
                <w:rFonts w:ascii="Arial" w:hAnsi="Arial" w:cs="Arial"/>
                <w:sz w:val="20"/>
                <w:szCs w:val="20"/>
                <w:lang w:val="es-MX"/>
              </w:rPr>
            </w:pPr>
            <w:r w:rsidRPr="00B110B9">
              <w:rPr>
                <w:rFonts w:ascii="Arial" w:hAnsi="Arial" w:cs="Arial"/>
                <w:sz w:val="20"/>
                <w:szCs w:val="20"/>
                <w:lang w:val="es-MX"/>
              </w:rPr>
              <w:t>Que se haya prorrogado el plazo para efectuar el pago, exento de intereses, recargos y multas del I</w:t>
            </w:r>
            <w:r>
              <w:rPr>
                <w:rFonts w:ascii="Arial" w:hAnsi="Arial" w:cs="Arial"/>
                <w:sz w:val="20"/>
                <w:szCs w:val="20"/>
                <w:lang w:val="es-MX"/>
              </w:rPr>
              <w:t>SR</w:t>
            </w:r>
            <w:r w:rsidRPr="00B110B9">
              <w:rPr>
                <w:rFonts w:ascii="Arial" w:hAnsi="Arial" w:cs="Arial"/>
                <w:sz w:val="20"/>
                <w:szCs w:val="20"/>
                <w:lang w:val="es-MX"/>
              </w:rPr>
              <w:t xml:space="preserve"> correspondiente al ejercicio 2019 de aquellos sujetos pasivos que se dedican al sector turismo, cuyo impuesto a pagar sea igual o inferior a </w:t>
            </w:r>
            <w:r>
              <w:rPr>
                <w:rFonts w:ascii="Arial" w:hAnsi="Arial" w:cs="Arial"/>
                <w:sz w:val="20"/>
                <w:szCs w:val="20"/>
                <w:lang w:val="es-MX"/>
              </w:rPr>
              <w:t>US</w:t>
            </w:r>
            <w:r w:rsidRPr="00B110B9">
              <w:rPr>
                <w:rFonts w:ascii="Arial" w:hAnsi="Arial" w:cs="Arial"/>
                <w:sz w:val="20"/>
                <w:szCs w:val="20"/>
                <w:lang w:val="es-MX"/>
              </w:rPr>
              <w:t>$25</w:t>
            </w:r>
            <w:r>
              <w:rPr>
                <w:rFonts w:ascii="Arial" w:hAnsi="Arial" w:cs="Arial"/>
                <w:sz w:val="20"/>
                <w:szCs w:val="20"/>
                <w:lang w:val="es-MX"/>
              </w:rPr>
              <w:t>.</w:t>
            </w:r>
            <w:r w:rsidRPr="00B110B9">
              <w:rPr>
                <w:rFonts w:ascii="Arial" w:hAnsi="Arial" w:cs="Arial"/>
                <w:sz w:val="20"/>
                <w:szCs w:val="20"/>
                <w:lang w:val="es-MX"/>
              </w:rPr>
              <w:t xml:space="preserve">000, hasta el día </w:t>
            </w:r>
            <w:r>
              <w:rPr>
                <w:rFonts w:ascii="Arial" w:hAnsi="Arial" w:cs="Arial"/>
                <w:sz w:val="20"/>
                <w:szCs w:val="20"/>
                <w:lang w:val="es-MX"/>
              </w:rPr>
              <w:t>31 de mayo de 2020;</w:t>
            </w:r>
          </w:p>
        </w:tc>
        <w:tc>
          <w:tcPr>
            <w:tcW w:w="1362" w:type="pct"/>
          </w:tcPr>
          <w:p w14:paraId="20C0CC4C" w14:textId="2E048023" w:rsidR="00172B36" w:rsidRPr="00B110B9" w:rsidRDefault="00172B36" w:rsidP="00172B36">
            <w:pPr>
              <w:spacing w:before="40" w:after="40"/>
              <w:rPr>
                <w:rFonts w:ascii="Arial" w:hAnsi="Arial" w:cs="Arial"/>
                <w:sz w:val="20"/>
                <w:szCs w:val="20"/>
                <w:lang w:val="es-ES_tradnl"/>
              </w:rPr>
            </w:pPr>
            <w:r>
              <w:rPr>
                <w:rFonts w:ascii="Arial" w:hAnsi="Arial" w:cs="Arial"/>
                <w:sz w:val="20"/>
                <w:szCs w:val="20"/>
                <w:lang w:val="es-ES_tradnl"/>
              </w:rPr>
              <w:t>Ley por la que se prorroga el plazo para efectuar el pago de acuerdo con lo previsto en la condición, vigente (</w:t>
            </w:r>
            <w:r w:rsidRPr="00B110B9">
              <w:rPr>
                <w:rFonts w:ascii="Arial" w:hAnsi="Arial" w:cs="Arial"/>
                <w:sz w:val="20"/>
                <w:szCs w:val="20"/>
                <w:lang w:val="es-ES_tradnl"/>
              </w:rPr>
              <w:t>Publicación en el Diario Oficial Decreto Legislativo 598</w:t>
            </w:r>
            <w:r>
              <w:rPr>
                <w:rFonts w:ascii="Arial" w:hAnsi="Arial" w:cs="Arial"/>
                <w:sz w:val="20"/>
                <w:szCs w:val="20"/>
                <w:lang w:val="es-ES_tradnl"/>
              </w:rPr>
              <w:t>).</w:t>
            </w:r>
            <w:r w:rsidRPr="00B110B9">
              <w:rPr>
                <w:rFonts w:ascii="Arial" w:hAnsi="Arial" w:cs="Arial"/>
                <w:sz w:val="20"/>
                <w:szCs w:val="20"/>
                <w:lang w:val="es-ES_tradnl"/>
              </w:rPr>
              <w:t xml:space="preserve"> </w:t>
            </w:r>
          </w:p>
        </w:tc>
        <w:tc>
          <w:tcPr>
            <w:tcW w:w="1396" w:type="pct"/>
          </w:tcPr>
          <w:p w14:paraId="1DBFA8AC" w14:textId="143EF1E8" w:rsidR="00172B36" w:rsidRPr="00B110B9" w:rsidRDefault="00172B36" w:rsidP="00172B36">
            <w:pPr>
              <w:spacing w:before="40" w:after="40"/>
              <w:rPr>
                <w:rFonts w:ascii="Arial" w:hAnsi="Arial" w:cs="Arial"/>
                <w:sz w:val="20"/>
                <w:szCs w:val="20"/>
                <w:lang w:val="es-ES_tradnl"/>
              </w:rPr>
            </w:pPr>
            <w:r w:rsidRPr="00B110B9">
              <w:rPr>
                <w:rFonts w:ascii="Arial" w:hAnsi="Arial" w:cs="Arial"/>
                <w:sz w:val="20"/>
                <w:szCs w:val="20"/>
                <w:lang w:val="es-ES_tradnl"/>
              </w:rPr>
              <w:t>Asamblea Legislativa</w:t>
            </w:r>
            <w:r>
              <w:rPr>
                <w:rFonts w:ascii="Arial" w:hAnsi="Arial" w:cs="Arial"/>
                <w:sz w:val="20"/>
                <w:szCs w:val="20"/>
                <w:lang w:val="es-ES_tradnl"/>
              </w:rPr>
              <w:t>.</w:t>
            </w:r>
          </w:p>
        </w:tc>
      </w:tr>
      <w:tr w:rsidR="00F020A0" w:rsidRPr="00094439" w14:paraId="06BF10A1" w14:textId="5CB68BD9" w:rsidTr="0008284D">
        <w:trPr>
          <w:trHeight w:val="20"/>
        </w:trPr>
        <w:tc>
          <w:tcPr>
            <w:tcW w:w="2242" w:type="pct"/>
          </w:tcPr>
          <w:p w14:paraId="3DCC3405" w14:textId="249DC788" w:rsidR="00F020A0" w:rsidRPr="00B110B9" w:rsidRDefault="00F020A0" w:rsidP="00F020A0">
            <w:pPr>
              <w:pStyle w:val="ListParagraph"/>
              <w:numPr>
                <w:ilvl w:val="0"/>
                <w:numId w:val="13"/>
              </w:numPr>
              <w:spacing w:before="40" w:after="40"/>
              <w:ind w:left="270" w:hanging="270"/>
              <w:contextualSpacing w:val="0"/>
              <w:jc w:val="both"/>
              <w:rPr>
                <w:rFonts w:ascii="Arial" w:hAnsi="Arial" w:cs="Arial"/>
                <w:sz w:val="20"/>
                <w:szCs w:val="20"/>
                <w:lang w:val="es-MX"/>
              </w:rPr>
            </w:pPr>
            <w:r w:rsidRPr="00B110B9">
              <w:rPr>
                <w:rFonts w:ascii="Arial" w:hAnsi="Arial" w:cs="Arial"/>
                <w:sz w:val="20"/>
                <w:szCs w:val="20"/>
                <w:lang w:val="es-MX"/>
              </w:rPr>
              <w:t>Que se haya prorrogado el plazo para efectuar el pago del I</w:t>
            </w:r>
            <w:r>
              <w:rPr>
                <w:rFonts w:ascii="Arial" w:hAnsi="Arial" w:cs="Arial"/>
                <w:sz w:val="20"/>
                <w:szCs w:val="20"/>
                <w:lang w:val="es-MX"/>
              </w:rPr>
              <w:t xml:space="preserve">SR </w:t>
            </w:r>
            <w:r w:rsidRPr="00B110B9">
              <w:rPr>
                <w:rFonts w:ascii="Arial" w:hAnsi="Arial" w:cs="Arial"/>
                <w:sz w:val="20"/>
                <w:szCs w:val="20"/>
                <w:lang w:val="es-MX"/>
              </w:rPr>
              <w:t xml:space="preserve">correspondiente al ejercicio impositivo 2019 a todos aquellos sujetos pasivos, cuyo impuesto a pagar sea igual o inferior a </w:t>
            </w:r>
            <w:r>
              <w:rPr>
                <w:rFonts w:ascii="Arial" w:hAnsi="Arial" w:cs="Arial"/>
                <w:sz w:val="20"/>
                <w:szCs w:val="20"/>
                <w:lang w:val="es-MX"/>
              </w:rPr>
              <w:t>US</w:t>
            </w:r>
            <w:r w:rsidRPr="00B110B9">
              <w:rPr>
                <w:rFonts w:ascii="Arial" w:hAnsi="Arial" w:cs="Arial"/>
                <w:sz w:val="20"/>
                <w:szCs w:val="20"/>
                <w:lang w:val="es-MX"/>
              </w:rPr>
              <w:t>$10</w:t>
            </w:r>
            <w:r>
              <w:rPr>
                <w:rFonts w:ascii="Arial" w:hAnsi="Arial" w:cs="Arial"/>
                <w:sz w:val="20"/>
                <w:szCs w:val="20"/>
                <w:lang w:val="es-MX"/>
              </w:rPr>
              <w:t>.</w:t>
            </w:r>
            <w:r w:rsidRPr="00B110B9">
              <w:rPr>
                <w:rFonts w:ascii="Arial" w:hAnsi="Arial" w:cs="Arial"/>
                <w:sz w:val="20"/>
                <w:szCs w:val="20"/>
                <w:lang w:val="es-MX"/>
              </w:rPr>
              <w:t>000</w:t>
            </w:r>
            <w:r>
              <w:rPr>
                <w:rFonts w:ascii="Arial" w:hAnsi="Arial" w:cs="Arial"/>
                <w:sz w:val="20"/>
                <w:szCs w:val="20"/>
                <w:lang w:val="es-MX"/>
              </w:rPr>
              <w:t>; y</w:t>
            </w:r>
          </w:p>
        </w:tc>
        <w:tc>
          <w:tcPr>
            <w:tcW w:w="1362" w:type="pct"/>
          </w:tcPr>
          <w:p w14:paraId="5DF4787C" w14:textId="1960B471" w:rsidR="00F020A0" w:rsidRPr="00B110B9" w:rsidRDefault="00F020A0" w:rsidP="00F020A0">
            <w:pPr>
              <w:spacing w:before="40" w:after="40"/>
              <w:rPr>
                <w:rFonts w:ascii="Arial" w:hAnsi="Arial" w:cs="Arial"/>
                <w:sz w:val="20"/>
                <w:szCs w:val="20"/>
                <w:lang w:val="es-ES_tradnl"/>
              </w:rPr>
            </w:pPr>
            <w:r>
              <w:rPr>
                <w:rFonts w:ascii="Arial" w:hAnsi="Arial" w:cs="Arial"/>
                <w:sz w:val="20"/>
                <w:szCs w:val="20"/>
                <w:lang w:val="es-ES_tradnl"/>
              </w:rPr>
              <w:t>Ley por la que se autoriza prorrogar el plazo para efectuar el pago de acuerdo con lo previsto en la condición, vigente (</w:t>
            </w:r>
            <w:r w:rsidRPr="00B110B9">
              <w:rPr>
                <w:rFonts w:ascii="Arial" w:hAnsi="Arial" w:cs="Arial"/>
                <w:sz w:val="20"/>
                <w:szCs w:val="20"/>
                <w:lang w:val="es-ES_tradnl"/>
              </w:rPr>
              <w:t>Publicación en el Diario Oficial Decreto Legislativo 598</w:t>
            </w:r>
            <w:r>
              <w:rPr>
                <w:rFonts w:ascii="Arial" w:hAnsi="Arial" w:cs="Arial"/>
                <w:sz w:val="20"/>
                <w:szCs w:val="20"/>
                <w:lang w:val="es-ES_tradnl"/>
              </w:rPr>
              <w:t>).</w:t>
            </w:r>
          </w:p>
        </w:tc>
        <w:tc>
          <w:tcPr>
            <w:tcW w:w="1396" w:type="pct"/>
          </w:tcPr>
          <w:p w14:paraId="621FFAF7" w14:textId="79F8ACBF" w:rsidR="00F020A0" w:rsidRPr="00B110B9" w:rsidRDefault="00F020A0" w:rsidP="00F020A0">
            <w:pPr>
              <w:spacing w:before="40" w:after="40"/>
              <w:rPr>
                <w:rFonts w:ascii="Arial" w:hAnsi="Arial" w:cs="Arial"/>
                <w:sz w:val="20"/>
                <w:szCs w:val="20"/>
                <w:lang w:val="es-ES"/>
              </w:rPr>
            </w:pPr>
            <w:r w:rsidRPr="00B110B9">
              <w:rPr>
                <w:rFonts w:ascii="Arial" w:hAnsi="Arial" w:cs="Arial"/>
                <w:sz w:val="20"/>
                <w:szCs w:val="20"/>
                <w:lang w:val="es-ES_tradnl"/>
              </w:rPr>
              <w:t>Asamblea Legislativa</w:t>
            </w:r>
            <w:r>
              <w:rPr>
                <w:rFonts w:ascii="Arial" w:hAnsi="Arial" w:cs="Arial"/>
                <w:sz w:val="20"/>
                <w:szCs w:val="20"/>
                <w:lang w:val="es-ES_tradnl"/>
              </w:rPr>
              <w:t>.</w:t>
            </w:r>
          </w:p>
        </w:tc>
      </w:tr>
      <w:tr w:rsidR="005C4624" w:rsidRPr="00094439" w14:paraId="719E80DC" w14:textId="7FEBCE96" w:rsidTr="0008284D">
        <w:trPr>
          <w:trHeight w:val="20"/>
        </w:trPr>
        <w:tc>
          <w:tcPr>
            <w:tcW w:w="2242" w:type="pct"/>
          </w:tcPr>
          <w:p w14:paraId="3C0551E4" w14:textId="38723502" w:rsidR="005C4624" w:rsidRPr="00B110B9" w:rsidRDefault="005C4624" w:rsidP="005C4624">
            <w:pPr>
              <w:pStyle w:val="ListParagraph"/>
              <w:numPr>
                <w:ilvl w:val="0"/>
                <w:numId w:val="13"/>
              </w:numPr>
              <w:spacing w:before="40" w:after="40"/>
              <w:ind w:left="270" w:hanging="270"/>
              <w:contextualSpacing w:val="0"/>
              <w:jc w:val="both"/>
              <w:rPr>
                <w:rFonts w:ascii="Arial" w:hAnsi="Arial" w:cs="Arial"/>
                <w:sz w:val="20"/>
                <w:szCs w:val="20"/>
                <w:lang w:val="es-MX"/>
              </w:rPr>
            </w:pPr>
            <w:r w:rsidRPr="00B110B9">
              <w:rPr>
                <w:rFonts w:ascii="Arial" w:hAnsi="Arial" w:cs="Arial"/>
                <w:sz w:val="20"/>
                <w:szCs w:val="20"/>
                <w:lang w:val="es-MX"/>
              </w:rPr>
              <w:t>Que se haya prorrogado el plazo para efectuar el pago del I</w:t>
            </w:r>
            <w:r>
              <w:rPr>
                <w:rFonts w:ascii="Arial" w:hAnsi="Arial" w:cs="Arial"/>
                <w:sz w:val="20"/>
                <w:szCs w:val="20"/>
                <w:lang w:val="es-MX"/>
              </w:rPr>
              <w:t>SR</w:t>
            </w:r>
            <w:r w:rsidRPr="00B110B9">
              <w:rPr>
                <w:rFonts w:ascii="Arial" w:hAnsi="Arial" w:cs="Arial"/>
                <w:sz w:val="20"/>
                <w:szCs w:val="20"/>
                <w:lang w:val="es-MX"/>
              </w:rPr>
              <w:t xml:space="preserve"> del 2019 a todos los sujetos pasivos que: (</w:t>
            </w:r>
            <w:r>
              <w:rPr>
                <w:rFonts w:ascii="Arial" w:hAnsi="Arial" w:cs="Arial"/>
                <w:sz w:val="20"/>
                <w:szCs w:val="20"/>
                <w:lang w:val="es-MX"/>
              </w:rPr>
              <w:t>a</w:t>
            </w:r>
            <w:r w:rsidRPr="00B110B9">
              <w:rPr>
                <w:rFonts w:ascii="Arial" w:hAnsi="Arial" w:cs="Arial"/>
                <w:sz w:val="20"/>
                <w:szCs w:val="20"/>
                <w:lang w:val="es-MX"/>
              </w:rPr>
              <w:t>) se dedican a la generación, transmisión, distribución y comercialización de energía eléctrica; y (</w:t>
            </w:r>
            <w:r>
              <w:rPr>
                <w:rFonts w:ascii="Arial" w:hAnsi="Arial" w:cs="Arial"/>
                <w:sz w:val="20"/>
                <w:szCs w:val="20"/>
                <w:lang w:val="es-MX"/>
              </w:rPr>
              <w:t>b</w:t>
            </w:r>
            <w:r w:rsidRPr="00B110B9">
              <w:rPr>
                <w:rFonts w:ascii="Arial" w:hAnsi="Arial" w:cs="Arial"/>
                <w:sz w:val="20"/>
                <w:szCs w:val="20"/>
                <w:lang w:val="es-MX"/>
              </w:rPr>
              <w:t>) ofrecen servicios de telecomunicaciones e internet.</w:t>
            </w:r>
          </w:p>
        </w:tc>
        <w:tc>
          <w:tcPr>
            <w:tcW w:w="1362" w:type="pct"/>
          </w:tcPr>
          <w:p w14:paraId="33237078" w14:textId="0E12719B" w:rsidR="005C4624" w:rsidRPr="00B110B9" w:rsidRDefault="005C4624" w:rsidP="005C4624">
            <w:pPr>
              <w:spacing w:before="40" w:after="40"/>
              <w:rPr>
                <w:rFonts w:ascii="Arial" w:hAnsi="Arial" w:cs="Arial"/>
                <w:sz w:val="20"/>
                <w:szCs w:val="20"/>
                <w:lang w:val="es-ES_tradnl"/>
              </w:rPr>
            </w:pPr>
            <w:r>
              <w:rPr>
                <w:rFonts w:ascii="Arial" w:hAnsi="Arial" w:cs="Arial"/>
                <w:sz w:val="20"/>
                <w:szCs w:val="20"/>
                <w:lang w:val="es-ES_tradnl"/>
              </w:rPr>
              <w:t>Ley por la que se autoriza prorrogar el plazo para efectuar el pago de acuerdo con lo previsto en la condición, vigente (</w:t>
            </w:r>
            <w:r w:rsidRPr="00B110B9">
              <w:rPr>
                <w:rFonts w:ascii="Arial" w:hAnsi="Arial" w:cs="Arial"/>
                <w:sz w:val="20"/>
                <w:szCs w:val="20"/>
                <w:lang w:val="es-ES_tradnl"/>
              </w:rPr>
              <w:t>Publicación en el Diario Oficial Decreto Legislativo 598</w:t>
            </w:r>
            <w:r>
              <w:rPr>
                <w:rFonts w:ascii="Arial" w:hAnsi="Arial" w:cs="Arial"/>
                <w:sz w:val="20"/>
                <w:szCs w:val="20"/>
                <w:lang w:val="es-ES_tradnl"/>
              </w:rPr>
              <w:t>).</w:t>
            </w:r>
            <w:r w:rsidRPr="00B110B9">
              <w:rPr>
                <w:rFonts w:ascii="Arial" w:hAnsi="Arial" w:cs="Arial"/>
                <w:sz w:val="20"/>
                <w:szCs w:val="20"/>
                <w:lang w:val="es-ES_tradnl"/>
              </w:rPr>
              <w:t xml:space="preserve"> </w:t>
            </w:r>
          </w:p>
        </w:tc>
        <w:tc>
          <w:tcPr>
            <w:tcW w:w="1396" w:type="pct"/>
          </w:tcPr>
          <w:p w14:paraId="1461502C" w14:textId="441FF045" w:rsidR="005C4624" w:rsidRPr="00B110B9" w:rsidRDefault="005C4624" w:rsidP="005C4624">
            <w:pPr>
              <w:spacing w:before="40" w:after="40"/>
              <w:rPr>
                <w:rFonts w:ascii="Arial" w:hAnsi="Arial" w:cs="Arial"/>
                <w:sz w:val="20"/>
                <w:szCs w:val="20"/>
                <w:lang w:val="es-ES"/>
              </w:rPr>
            </w:pPr>
            <w:r w:rsidRPr="00B110B9">
              <w:rPr>
                <w:rFonts w:ascii="Arial" w:hAnsi="Arial" w:cs="Arial"/>
                <w:sz w:val="20"/>
                <w:szCs w:val="20"/>
                <w:lang w:val="es-ES_tradnl"/>
              </w:rPr>
              <w:t>Asamblea Legislativa</w:t>
            </w:r>
            <w:r>
              <w:rPr>
                <w:rFonts w:ascii="Arial" w:hAnsi="Arial" w:cs="Arial"/>
                <w:sz w:val="20"/>
                <w:szCs w:val="20"/>
                <w:lang w:val="es-ES_tradnl"/>
              </w:rPr>
              <w:t>.</w:t>
            </w:r>
          </w:p>
        </w:tc>
      </w:tr>
      <w:tr w:rsidR="00083EE0" w:rsidRPr="001530EA" w14:paraId="6F814C72" w14:textId="77777777" w:rsidTr="00B110B9">
        <w:trPr>
          <w:trHeight w:val="20"/>
        </w:trPr>
        <w:tc>
          <w:tcPr>
            <w:tcW w:w="5000" w:type="pct"/>
            <w:gridSpan w:val="3"/>
            <w:shd w:val="clear" w:color="auto" w:fill="B4C6E7" w:themeFill="accent1" w:themeFillTint="66"/>
          </w:tcPr>
          <w:p w14:paraId="308B6A7F" w14:textId="0DDA0C08" w:rsidR="0021375F" w:rsidRPr="00B110B9" w:rsidRDefault="0021375F" w:rsidP="00B110B9">
            <w:pPr>
              <w:spacing w:before="60" w:after="60"/>
              <w:rPr>
                <w:rFonts w:ascii="Arial" w:hAnsi="Arial" w:cs="Arial"/>
                <w:sz w:val="20"/>
                <w:szCs w:val="20"/>
                <w:lang w:val="es-ES"/>
              </w:rPr>
            </w:pPr>
            <w:r w:rsidRPr="00B110B9">
              <w:rPr>
                <w:rFonts w:ascii="Arial" w:hAnsi="Arial" w:cs="Arial"/>
                <w:b/>
                <w:bCs/>
                <w:kern w:val="18"/>
                <w:sz w:val="20"/>
                <w:szCs w:val="20"/>
                <w:lang w:val="es-ES"/>
              </w:rPr>
              <w:t xml:space="preserve">Componente </w:t>
            </w:r>
            <w:r w:rsidR="000125AF">
              <w:rPr>
                <w:rFonts w:ascii="Arial" w:hAnsi="Arial" w:cs="Arial"/>
                <w:b/>
                <w:bCs/>
                <w:kern w:val="18"/>
                <w:sz w:val="20"/>
                <w:szCs w:val="20"/>
                <w:lang w:val="es-ES"/>
              </w:rPr>
              <w:t>4</w:t>
            </w:r>
            <w:r w:rsidRPr="00B110B9">
              <w:rPr>
                <w:rFonts w:ascii="Arial" w:hAnsi="Arial" w:cs="Arial"/>
                <w:b/>
                <w:bCs/>
                <w:kern w:val="18"/>
                <w:sz w:val="20"/>
                <w:szCs w:val="20"/>
                <w:lang w:val="es-ES"/>
              </w:rPr>
              <w:t xml:space="preserve">. </w:t>
            </w:r>
            <w:r w:rsidRPr="00B110B9">
              <w:rPr>
                <w:rFonts w:ascii="Arial" w:hAnsi="Arial" w:cs="Arial"/>
                <w:b/>
                <w:bCs/>
                <w:kern w:val="18"/>
                <w:sz w:val="20"/>
                <w:szCs w:val="20"/>
                <w:lang w:val="es-ES_tradnl"/>
              </w:rPr>
              <w:t xml:space="preserve">Fortalecimiento económico y fiscal </w:t>
            </w:r>
            <w:r w:rsidRPr="00B110B9">
              <w:rPr>
                <w:rFonts w:ascii="Arial" w:hAnsi="Arial" w:cs="Arial"/>
                <w:b/>
                <w:spacing w:val="-4"/>
                <w:sz w:val="20"/>
                <w:szCs w:val="20"/>
                <w:lang w:val="es-MX"/>
              </w:rPr>
              <w:t>para el periodo post</w:t>
            </w:r>
            <w:r w:rsidR="000125AF">
              <w:rPr>
                <w:rFonts w:ascii="Arial" w:hAnsi="Arial" w:cs="Arial"/>
                <w:b/>
                <w:spacing w:val="-4"/>
                <w:sz w:val="20"/>
                <w:szCs w:val="20"/>
                <w:lang w:val="es-MX"/>
              </w:rPr>
              <w:t xml:space="preserve"> </w:t>
            </w:r>
            <w:r w:rsidRPr="00B110B9">
              <w:rPr>
                <w:rFonts w:ascii="Arial" w:hAnsi="Arial" w:cs="Arial"/>
                <w:b/>
                <w:spacing w:val="-4"/>
                <w:sz w:val="20"/>
                <w:szCs w:val="20"/>
                <w:lang w:val="es-MX"/>
              </w:rPr>
              <w:t>pandemia</w:t>
            </w:r>
          </w:p>
        </w:tc>
      </w:tr>
      <w:tr w:rsidR="00F74D7C" w:rsidRPr="001530EA" w14:paraId="1F2C9B1C" w14:textId="77777777" w:rsidTr="00B110B9">
        <w:trPr>
          <w:trHeight w:val="20"/>
        </w:trPr>
        <w:tc>
          <w:tcPr>
            <w:tcW w:w="5000" w:type="pct"/>
            <w:gridSpan w:val="3"/>
            <w:shd w:val="clear" w:color="auto" w:fill="D9D9D9" w:themeFill="background1" w:themeFillShade="D9"/>
          </w:tcPr>
          <w:p w14:paraId="6A998913" w14:textId="046AB284" w:rsidR="00F74D7C" w:rsidRPr="00B110B9" w:rsidRDefault="00F74D7C" w:rsidP="00B110B9">
            <w:pPr>
              <w:pStyle w:val="ListParagraph"/>
              <w:numPr>
                <w:ilvl w:val="0"/>
                <w:numId w:val="32"/>
              </w:numPr>
              <w:spacing w:before="60" w:after="60"/>
              <w:ind w:left="430" w:hanging="430"/>
              <w:rPr>
                <w:rFonts w:ascii="Arial" w:hAnsi="Arial" w:cs="Arial"/>
                <w:kern w:val="18"/>
                <w:sz w:val="20"/>
                <w:szCs w:val="20"/>
                <w:lang w:val="es-ES"/>
              </w:rPr>
            </w:pPr>
            <w:r>
              <w:rPr>
                <w:rFonts w:ascii="Arial" w:hAnsi="Arial" w:cs="Arial"/>
                <w:kern w:val="18"/>
                <w:sz w:val="20"/>
                <w:szCs w:val="20"/>
                <w:lang w:val="es-ES"/>
              </w:rPr>
              <w:t>Promover la recuperación económica y fiscal en el período post pandemia.</w:t>
            </w:r>
          </w:p>
        </w:tc>
      </w:tr>
      <w:tr w:rsidR="00EF12B2" w:rsidRPr="00094439" w14:paraId="6A622DCE" w14:textId="43EC6574" w:rsidTr="0008284D">
        <w:trPr>
          <w:trHeight w:val="20"/>
        </w:trPr>
        <w:tc>
          <w:tcPr>
            <w:tcW w:w="2242" w:type="pct"/>
          </w:tcPr>
          <w:p w14:paraId="7BEAD690" w14:textId="0E61EF02" w:rsidR="00EF12B2" w:rsidRPr="00B110B9" w:rsidRDefault="00EF12B2" w:rsidP="00EF12B2">
            <w:pPr>
              <w:pStyle w:val="ListParagraph"/>
              <w:numPr>
                <w:ilvl w:val="0"/>
                <w:numId w:val="11"/>
              </w:numPr>
              <w:spacing w:before="40" w:after="40"/>
              <w:ind w:left="274" w:hanging="274"/>
              <w:contextualSpacing w:val="0"/>
              <w:jc w:val="both"/>
              <w:rPr>
                <w:rFonts w:ascii="Arial" w:hAnsi="Arial" w:cs="Arial"/>
                <w:sz w:val="20"/>
                <w:szCs w:val="20"/>
                <w:lang w:val="es-MX"/>
              </w:rPr>
            </w:pPr>
            <w:r w:rsidRPr="00B110B9">
              <w:rPr>
                <w:rFonts w:ascii="Arial" w:hAnsi="Arial" w:cs="Arial"/>
                <w:sz w:val="20"/>
                <w:szCs w:val="20"/>
                <w:lang w:val="es-MX"/>
              </w:rPr>
              <w:t xml:space="preserve">Que se haya publicado en la página </w:t>
            </w:r>
            <w:r w:rsidRPr="00DE0433">
              <w:rPr>
                <w:rFonts w:ascii="Arial" w:hAnsi="Arial" w:cs="Arial"/>
                <w:sz w:val="20"/>
                <w:szCs w:val="20"/>
                <w:lang w:val="es-MX"/>
              </w:rPr>
              <w:t>web</w:t>
            </w:r>
            <w:r w:rsidRPr="00B110B9">
              <w:rPr>
                <w:rFonts w:ascii="Arial" w:hAnsi="Arial" w:cs="Arial"/>
                <w:sz w:val="20"/>
                <w:szCs w:val="20"/>
                <w:lang w:val="es-MX"/>
              </w:rPr>
              <w:t xml:space="preserve"> del MH un estudio sobre los costos económicos, sociales y fiscales estimados a raíz del COVID</w:t>
            </w:r>
            <w:r w:rsidRPr="00DE0433">
              <w:rPr>
                <w:rFonts w:ascii="Arial" w:hAnsi="Arial" w:cs="Arial"/>
                <w:sz w:val="20"/>
                <w:szCs w:val="20"/>
                <w:lang w:val="es-MX"/>
              </w:rPr>
              <w:t xml:space="preserve"> </w:t>
            </w:r>
            <w:r w:rsidRPr="00B110B9">
              <w:rPr>
                <w:rFonts w:ascii="Arial" w:hAnsi="Arial" w:cs="Arial"/>
                <w:sz w:val="20"/>
                <w:szCs w:val="20"/>
                <w:lang w:val="es-MX"/>
              </w:rPr>
              <w:t>19</w:t>
            </w:r>
            <w:r w:rsidRPr="00DE0433">
              <w:rPr>
                <w:rFonts w:ascii="Arial" w:hAnsi="Arial" w:cs="Arial"/>
                <w:sz w:val="20"/>
                <w:szCs w:val="20"/>
                <w:lang w:val="es-MX"/>
              </w:rPr>
              <w:t>, el cual se actualizará cada dos meses.</w:t>
            </w:r>
          </w:p>
        </w:tc>
        <w:tc>
          <w:tcPr>
            <w:tcW w:w="1362" w:type="pct"/>
          </w:tcPr>
          <w:p w14:paraId="7B363A29" w14:textId="453C6E0A" w:rsidR="00EF12B2" w:rsidRPr="00B110B9" w:rsidRDefault="00EF12B2" w:rsidP="00EF12B2">
            <w:pPr>
              <w:spacing w:before="40" w:after="40"/>
              <w:rPr>
                <w:rFonts w:ascii="Arial" w:hAnsi="Arial" w:cs="Arial"/>
                <w:sz w:val="20"/>
                <w:szCs w:val="20"/>
                <w:lang w:val="es-ES_tradnl"/>
              </w:rPr>
            </w:pPr>
            <w:r w:rsidRPr="00B110B9">
              <w:rPr>
                <w:rFonts w:ascii="Arial" w:hAnsi="Arial" w:cs="Arial"/>
                <w:sz w:val="20"/>
                <w:szCs w:val="20"/>
                <w:lang w:val="es-MX"/>
              </w:rPr>
              <w:t xml:space="preserve">Estudio sobre los costos económicos, sociales y fiscales estimados a raíz del COVID-19 publicado en la </w:t>
            </w:r>
            <w:r w:rsidRPr="00B110B9">
              <w:rPr>
                <w:rFonts w:ascii="Arial" w:hAnsi="Arial" w:cs="Arial"/>
                <w:i/>
                <w:iCs/>
                <w:sz w:val="20"/>
                <w:szCs w:val="20"/>
                <w:lang w:val="es-MX"/>
              </w:rPr>
              <w:t>web</w:t>
            </w:r>
            <w:r w:rsidRPr="00B110B9">
              <w:rPr>
                <w:rFonts w:ascii="Arial" w:hAnsi="Arial" w:cs="Arial"/>
                <w:sz w:val="20"/>
                <w:szCs w:val="20"/>
                <w:lang w:val="es-MX"/>
              </w:rPr>
              <w:t xml:space="preserve"> del </w:t>
            </w:r>
            <w:r>
              <w:rPr>
                <w:rFonts w:ascii="Arial" w:hAnsi="Arial" w:cs="Arial"/>
                <w:sz w:val="20"/>
                <w:szCs w:val="20"/>
                <w:lang w:val="es-MX"/>
              </w:rPr>
              <w:t xml:space="preserve">MH y oficio de la Dirección de Política Económica y Fiscal del Ministerio de Hacienda confirmando su </w:t>
            </w:r>
            <w:r>
              <w:rPr>
                <w:rFonts w:ascii="Arial" w:hAnsi="Arial" w:cs="Arial"/>
                <w:sz w:val="20"/>
                <w:szCs w:val="20"/>
                <w:lang w:val="es-MX"/>
              </w:rPr>
              <w:lastRenderedPageBreak/>
              <w:t>intención de actualizarlo cada dos meses.</w:t>
            </w:r>
          </w:p>
        </w:tc>
        <w:tc>
          <w:tcPr>
            <w:tcW w:w="1396" w:type="pct"/>
          </w:tcPr>
          <w:p w14:paraId="5EFCE21D" w14:textId="1A6A9B32" w:rsidR="00EF12B2" w:rsidRPr="00B110B9" w:rsidRDefault="00EF12B2" w:rsidP="00EF12B2">
            <w:pPr>
              <w:spacing w:before="40" w:after="40"/>
              <w:rPr>
                <w:rFonts w:ascii="Arial" w:hAnsi="Arial" w:cs="Arial"/>
                <w:sz w:val="20"/>
                <w:szCs w:val="20"/>
                <w:lang w:val="es-ES_tradnl"/>
              </w:rPr>
            </w:pPr>
            <w:r w:rsidRPr="00B110B9">
              <w:rPr>
                <w:rFonts w:ascii="Arial" w:hAnsi="Arial" w:cs="Arial"/>
                <w:sz w:val="20"/>
                <w:szCs w:val="20"/>
                <w:lang w:val="es-ES_tradnl"/>
              </w:rPr>
              <w:lastRenderedPageBreak/>
              <w:t>Ministerio de Hacienda</w:t>
            </w:r>
            <w:r>
              <w:rPr>
                <w:rFonts w:ascii="Arial" w:hAnsi="Arial" w:cs="Arial"/>
                <w:sz w:val="20"/>
                <w:szCs w:val="20"/>
                <w:lang w:val="es-ES_tradnl"/>
              </w:rPr>
              <w:t>.</w:t>
            </w:r>
          </w:p>
        </w:tc>
      </w:tr>
      <w:tr w:rsidR="00B124F6" w:rsidRPr="00094439" w14:paraId="3D78F516" w14:textId="267B5D9C" w:rsidTr="0008284D">
        <w:trPr>
          <w:trHeight w:val="20"/>
        </w:trPr>
        <w:tc>
          <w:tcPr>
            <w:tcW w:w="2242" w:type="pct"/>
          </w:tcPr>
          <w:p w14:paraId="4BDFE98D" w14:textId="08334CF1" w:rsidR="00B124F6" w:rsidRPr="00B110B9" w:rsidRDefault="00B124F6" w:rsidP="00B124F6">
            <w:pPr>
              <w:pStyle w:val="ListParagraph"/>
              <w:numPr>
                <w:ilvl w:val="0"/>
                <w:numId w:val="11"/>
              </w:numPr>
              <w:spacing w:before="40" w:after="40"/>
              <w:ind w:left="274" w:hanging="274"/>
              <w:contextualSpacing w:val="0"/>
              <w:jc w:val="both"/>
              <w:rPr>
                <w:rFonts w:ascii="Arial" w:hAnsi="Arial" w:cs="Arial"/>
                <w:sz w:val="20"/>
                <w:szCs w:val="20"/>
                <w:lang w:val="es-MX"/>
              </w:rPr>
            </w:pPr>
            <w:r w:rsidRPr="009B7D34">
              <w:rPr>
                <w:rFonts w:ascii="Arial" w:hAnsi="Arial" w:cs="Arial"/>
                <w:sz w:val="20"/>
                <w:szCs w:val="20"/>
                <w:lang w:val="es-MX"/>
              </w:rPr>
              <w:t>Que se haya creado un Grupo Estratégico de Alto Nivel con carácter consultivo, compuesto de personas de reconocida trayectoria de diversos sectores de la sociedad para proponer y/o asesorar en la definición de estrategias de reactivación económica.</w:t>
            </w:r>
          </w:p>
        </w:tc>
        <w:tc>
          <w:tcPr>
            <w:tcW w:w="1362" w:type="pct"/>
          </w:tcPr>
          <w:p w14:paraId="680FB3FE" w14:textId="3CB70849" w:rsidR="00B124F6" w:rsidRPr="00B110B9" w:rsidRDefault="00B124F6" w:rsidP="00B124F6">
            <w:pPr>
              <w:spacing w:before="40" w:after="40"/>
              <w:rPr>
                <w:rFonts w:ascii="Arial" w:hAnsi="Arial" w:cs="Arial"/>
                <w:sz w:val="20"/>
                <w:szCs w:val="20"/>
                <w:highlight w:val="yellow"/>
                <w:lang w:val="es-ES_tradnl"/>
              </w:rPr>
            </w:pPr>
            <w:r w:rsidRPr="009B7D34">
              <w:rPr>
                <w:rFonts w:ascii="Arial" w:hAnsi="Arial" w:cs="Arial"/>
                <w:sz w:val="20"/>
                <w:szCs w:val="20"/>
                <w:lang w:val="es-ES_tradnl"/>
              </w:rPr>
              <w:t>Decreto Ejecutivo vigente, que establezca el Grupo Estratégico de Alto Nivel con su estructura básica, funciones y atribuciones; mecanismo de selección de sus integrantes; y la entidad de gobierno responsable de coordinarlo.</w:t>
            </w:r>
          </w:p>
        </w:tc>
        <w:tc>
          <w:tcPr>
            <w:tcW w:w="1396" w:type="pct"/>
          </w:tcPr>
          <w:p w14:paraId="65C2F2CD" w14:textId="404F79F9" w:rsidR="00B124F6" w:rsidRPr="00B110B9" w:rsidRDefault="00B124F6" w:rsidP="00B124F6">
            <w:pPr>
              <w:spacing w:before="40" w:after="40"/>
              <w:rPr>
                <w:rFonts w:ascii="Arial" w:hAnsi="Arial" w:cs="Arial"/>
                <w:sz w:val="20"/>
                <w:szCs w:val="20"/>
                <w:lang w:val="es-ES_tradnl"/>
              </w:rPr>
            </w:pPr>
            <w:r w:rsidRPr="004C05A6">
              <w:rPr>
                <w:rFonts w:ascii="Arial" w:hAnsi="Arial" w:cs="Arial"/>
                <w:sz w:val="20"/>
                <w:szCs w:val="20"/>
                <w:lang w:val="es-ES_tradnl"/>
              </w:rPr>
              <w:t>Gobierno de El Salvador.</w:t>
            </w:r>
          </w:p>
        </w:tc>
      </w:tr>
    </w:tbl>
    <w:p w14:paraId="7E51D3DF" w14:textId="64C23837" w:rsidR="001C4570" w:rsidRPr="00B110B9" w:rsidRDefault="001C4570" w:rsidP="00E04B28">
      <w:pPr>
        <w:spacing w:after="0" w:line="240" w:lineRule="auto"/>
        <w:jc w:val="both"/>
        <w:rPr>
          <w:sz w:val="20"/>
          <w:szCs w:val="20"/>
          <w:lang w:val="es-419"/>
        </w:rPr>
      </w:pPr>
    </w:p>
    <w:sectPr w:rsidR="001C4570" w:rsidRPr="00B110B9" w:rsidSect="00E04B28">
      <w:headerReference w:type="even" r:id="rId13"/>
      <w:headerReference w:type="default" r:id="rId14"/>
      <w:headerReference w:type="first" r:id="rId15"/>
      <w:pgSz w:w="15840" w:h="12240" w:orient="landscape"/>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B5F886" w14:textId="77777777" w:rsidR="00665F42" w:rsidRDefault="00665F42" w:rsidP="00986257">
      <w:pPr>
        <w:spacing w:after="0" w:line="240" w:lineRule="auto"/>
      </w:pPr>
      <w:r>
        <w:separator/>
      </w:r>
    </w:p>
  </w:endnote>
  <w:endnote w:type="continuationSeparator" w:id="0">
    <w:p w14:paraId="2B1757F4" w14:textId="77777777" w:rsidR="00665F42" w:rsidRDefault="00665F42" w:rsidP="00986257">
      <w:pPr>
        <w:spacing w:after="0" w:line="240" w:lineRule="auto"/>
      </w:pPr>
      <w:r>
        <w:continuationSeparator/>
      </w:r>
    </w:p>
  </w:endnote>
  <w:endnote w:type="continuationNotice" w:id="1">
    <w:p w14:paraId="47945CF0" w14:textId="77777777" w:rsidR="00665F42" w:rsidRDefault="00665F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55F2BD" w14:textId="77777777" w:rsidR="00665F42" w:rsidRDefault="00665F42" w:rsidP="00986257">
      <w:pPr>
        <w:spacing w:after="0" w:line="240" w:lineRule="auto"/>
      </w:pPr>
      <w:r>
        <w:separator/>
      </w:r>
    </w:p>
  </w:footnote>
  <w:footnote w:type="continuationSeparator" w:id="0">
    <w:p w14:paraId="74E80A87" w14:textId="77777777" w:rsidR="00665F42" w:rsidRDefault="00665F42" w:rsidP="00986257">
      <w:pPr>
        <w:spacing w:after="0" w:line="240" w:lineRule="auto"/>
      </w:pPr>
      <w:r>
        <w:continuationSeparator/>
      </w:r>
    </w:p>
  </w:footnote>
  <w:footnote w:type="continuationNotice" w:id="1">
    <w:p w14:paraId="738836B3" w14:textId="77777777" w:rsidR="00665F42" w:rsidRDefault="00665F4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4C2D26" w14:textId="771C7F4A" w:rsidR="0043303B" w:rsidRPr="002B464B" w:rsidRDefault="0043303B" w:rsidP="004B26CD">
    <w:pPr>
      <w:pStyle w:val="Header"/>
      <w:rPr>
        <w:rFonts w:ascii="Arial" w:hAnsi="Arial" w:cs="Arial"/>
        <w:bCs/>
        <w:sz w:val="20"/>
        <w:szCs w:val="20"/>
        <w:lang w:val="pt-BR"/>
      </w:rPr>
    </w:pPr>
    <w:r w:rsidRPr="002B464B">
      <w:rPr>
        <w:rFonts w:ascii="Arial" w:hAnsi="Arial" w:cs="Arial"/>
        <w:bCs/>
        <w:sz w:val="20"/>
        <w:szCs w:val="20"/>
        <w:lang w:val="pt-BR"/>
      </w:rPr>
      <w:t xml:space="preserve">Anexo II – </w:t>
    </w:r>
    <w:r>
      <w:rPr>
        <w:rFonts w:ascii="Arial" w:hAnsi="Arial" w:cs="Arial"/>
        <w:bCs/>
        <w:sz w:val="20"/>
        <w:szCs w:val="20"/>
        <w:lang w:val="pt-BR"/>
      </w:rPr>
      <w:t>EC-L125</w:t>
    </w:r>
    <w:r w:rsidR="00787311">
      <w:rPr>
        <w:rFonts w:ascii="Arial" w:hAnsi="Arial" w:cs="Arial"/>
        <w:bCs/>
        <w:sz w:val="20"/>
        <w:szCs w:val="20"/>
        <w:lang w:val="pt-BR"/>
      </w:rPr>
      <w:t>5</w:t>
    </w:r>
  </w:p>
  <w:p w14:paraId="7C6CEDA2" w14:textId="77777777" w:rsidR="0043303B" w:rsidRPr="002B464B" w:rsidRDefault="0043303B" w:rsidP="004B26CD">
    <w:pPr>
      <w:pStyle w:val="Header"/>
      <w:rPr>
        <w:rStyle w:val="PageNumber"/>
        <w:rFonts w:ascii="Arial" w:hAnsi="Arial" w:cs="Arial"/>
        <w:sz w:val="20"/>
        <w:szCs w:val="20"/>
        <w:lang w:val="pt-BR"/>
      </w:rPr>
    </w:pPr>
    <w:r w:rsidRPr="002B464B">
      <w:rPr>
        <w:rFonts w:ascii="Arial" w:hAnsi="Arial" w:cs="Arial"/>
        <w:sz w:val="20"/>
        <w:szCs w:val="20"/>
        <w:lang w:val="pt-BR"/>
      </w:rPr>
      <w:t xml:space="preserve">Página </w:t>
    </w:r>
    <w:r w:rsidRPr="00A27112">
      <w:rPr>
        <w:rStyle w:val="PageNumber"/>
        <w:rFonts w:ascii="Arial" w:hAnsi="Arial" w:cs="Arial"/>
        <w:sz w:val="20"/>
        <w:szCs w:val="20"/>
        <w:lang w:val="es-AR"/>
      </w:rPr>
      <w:fldChar w:fldCharType="begin"/>
    </w:r>
    <w:r w:rsidRPr="002B464B">
      <w:rPr>
        <w:rStyle w:val="PageNumber"/>
        <w:rFonts w:ascii="Arial" w:hAnsi="Arial" w:cs="Arial"/>
        <w:sz w:val="20"/>
        <w:szCs w:val="20"/>
        <w:lang w:val="pt-BR"/>
      </w:rPr>
      <w:instrText xml:space="preserve"> PAGE </w:instrText>
    </w:r>
    <w:r w:rsidRPr="00A27112">
      <w:rPr>
        <w:rStyle w:val="PageNumber"/>
        <w:rFonts w:ascii="Arial" w:hAnsi="Arial" w:cs="Arial"/>
        <w:sz w:val="20"/>
        <w:szCs w:val="20"/>
        <w:lang w:val="es-AR"/>
      </w:rPr>
      <w:fldChar w:fldCharType="separate"/>
    </w:r>
    <w:r w:rsidRPr="004B26CD">
      <w:rPr>
        <w:rStyle w:val="PageNumber"/>
        <w:rFonts w:ascii="Arial" w:hAnsi="Arial" w:cs="Arial"/>
        <w:sz w:val="20"/>
        <w:szCs w:val="20"/>
        <w:lang w:val="pt-BR"/>
      </w:rPr>
      <w:t>1</w:t>
    </w:r>
    <w:r w:rsidRPr="00A27112">
      <w:rPr>
        <w:rStyle w:val="PageNumber"/>
        <w:rFonts w:ascii="Arial" w:hAnsi="Arial" w:cs="Arial"/>
        <w:sz w:val="20"/>
        <w:szCs w:val="20"/>
        <w:lang w:val="es-AR"/>
      </w:rPr>
      <w:fldChar w:fldCharType="end"/>
    </w:r>
    <w:r w:rsidRPr="002B464B">
      <w:rPr>
        <w:rStyle w:val="PageNumber"/>
        <w:rFonts w:ascii="Arial" w:hAnsi="Arial" w:cs="Arial"/>
        <w:sz w:val="20"/>
        <w:szCs w:val="20"/>
        <w:lang w:val="pt-BR"/>
      </w:rPr>
      <w:t xml:space="preserve"> de </w:t>
    </w:r>
    <w:r w:rsidRPr="00A27112">
      <w:rPr>
        <w:rStyle w:val="PageNumber"/>
        <w:rFonts w:ascii="Arial" w:hAnsi="Arial" w:cs="Arial"/>
        <w:sz w:val="20"/>
        <w:szCs w:val="20"/>
        <w:lang w:val="es-AR"/>
      </w:rPr>
      <w:fldChar w:fldCharType="begin"/>
    </w:r>
    <w:r w:rsidRPr="002B464B">
      <w:rPr>
        <w:rStyle w:val="PageNumber"/>
        <w:rFonts w:ascii="Arial" w:hAnsi="Arial" w:cs="Arial"/>
        <w:sz w:val="20"/>
        <w:szCs w:val="20"/>
        <w:lang w:val="pt-BR"/>
      </w:rPr>
      <w:instrText xml:space="preserve"> NUMPAGES </w:instrText>
    </w:r>
    <w:r w:rsidRPr="00A27112">
      <w:rPr>
        <w:rStyle w:val="PageNumber"/>
        <w:rFonts w:ascii="Arial" w:hAnsi="Arial" w:cs="Arial"/>
        <w:sz w:val="20"/>
        <w:szCs w:val="20"/>
        <w:lang w:val="es-AR"/>
      </w:rPr>
      <w:fldChar w:fldCharType="separate"/>
    </w:r>
    <w:r w:rsidRPr="004B26CD">
      <w:rPr>
        <w:rStyle w:val="PageNumber"/>
        <w:rFonts w:ascii="Arial" w:hAnsi="Arial" w:cs="Arial"/>
        <w:sz w:val="20"/>
        <w:szCs w:val="20"/>
        <w:lang w:val="pt-BR"/>
      </w:rPr>
      <w:t>3</w:t>
    </w:r>
    <w:r w:rsidRPr="00A27112">
      <w:rPr>
        <w:rStyle w:val="PageNumber"/>
        <w:rFonts w:ascii="Arial" w:hAnsi="Arial" w:cs="Arial"/>
        <w:sz w:val="20"/>
        <w:szCs w:val="20"/>
        <w:lang w:val="es-AR"/>
      </w:rPr>
      <w:fldChar w:fldCharType="end"/>
    </w:r>
  </w:p>
  <w:p w14:paraId="79E55017" w14:textId="77777777" w:rsidR="0043303B" w:rsidRPr="00DE1A9C" w:rsidRDefault="0043303B">
    <w:pPr>
      <w:pStyle w:val="Header"/>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6060D4" w14:textId="0C0C91E9" w:rsidR="00247095" w:rsidRDefault="00247095" w:rsidP="00E04B28">
    <w:pPr>
      <w:pStyle w:val="Header"/>
      <w:jc w:val="right"/>
      <w:rPr>
        <w:rFonts w:ascii="Arial" w:hAnsi="Arial" w:cs="Arial"/>
        <w:sz w:val="18"/>
        <w:szCs w:val="20"/>
        <w:lang w:val="pt-BR"/>
      </w:rPr>
    </w:pPr>
    <w:r>
      <w:rPr>
        <w:rFonts w:ascii="Arial" w:hAnsi="Arial" w:cs="Arial"/>
        <w:sz w:val="18"/>
        <w:szCs w:val="20"/>
        <w:lang w:val="pt-BR"/>
      </w:rPr>
      <w:t>ES-L1143</w:t>
    </w:r>
  </w:p>
  <w:p w14:paraId="380C14B3" w14:textId="2FDB8A96" w:rsidR="0043303B" w:rsidRPr="00E04B28" w:rsidRDefault="0043303B" w:rsidP="00E04B28">
    <w:pPr>
      <w:pStyle w:val="Header"/>
      <w:jc w:val="right"/>
      <w:rPr>
        <w:rFonts w:ascii="Arial" w:hAnsi="Arial" w:cs="Arial"/>
        <w:sz w:val="20"/>
        <w:szCs w:val="20"/>
        <w:lang w:val="pt-BR"/>
      </w:rPr>
    </w:pPr>
    <w:r w:rsidRPr="00925AC2">
      <w:rPr>
        <w:rFonts w:ascii="Arial" w:hAnsi="Arial" w:cs="Arial"/>
        <w:sz w:val="18"/>
        <w:szCs w:val="20"/>
        <w:lang w:val="pt-BR"/>
      </w:rPr>
      <w:t xml:space="preserve">Página </w:t>
    </w:r>
    <w:r w:rsidRPr="00925AC2">
      <w:rPr>
        <w:rStyle w:val="PageNumber"/>
        <w:rFonts w:ascii="Arial" w:hAnsi="Arial" w:cs="Arial"/>
        <w:sz w:val="18"/>
        <w:szCs w:val="20"/>
        <w:lang w:val="es-AR"/>
      </w:rPr>
      <w:fldChar w:fldCharType="begin"/>
    </w:r>
    <w:r w:rsidRPr="00925AC2">
      <w:rPr>
        <w:rStyle w:val="PageNumber"/>
        <w:rFonts w:ascii="Arial" w:hAnsi="Arial" w:cs="Arial"/>
        <w:sz w:val="18"/>
        <w:szCs w:val="20"/>
        <w:lang w:val="pt-BR"/>
      </w:rPr>
      <w:instrText xml:space="preserve"> PAGE </w:instrText>
    </w:r>
    <w:r w:rsidRPr="00925AC2">
      <w:rPr>
        <w:rStyle w:val="PageNumber"/>
        <w:rFonts w:ascii="Arial" w:hAnsi="Arial" w:cs="Arial"/>
        <w:sz w:val="18"/>
        <w:szCs w:val="20"/>
        <w:lang w:val="es-AR"/>
      </w:rPr>
      <w:fldChar w:fldCharType="separate"/>
    </w:r>
    <w:r w:rsidRPr="00925AC2">
      <w:rPr>
        <w:rStyle w:val="PageNumber"/>
        <w:rFonts w:ascii="Arial" w:hAnsi="Arial" w:cs="Arial"/>
        <w:sz w:val="18"/>
        <w:szCs w:val="20"/>
        <w:lang w:val="pt-BR"/>
      </w:rPr>
      <w:t>1</w:t>
    </w:r>
    <w:r w:rsidRPr="00925AC2">
      <w:rPr>
        <w:rStyle w:val="PageNumber"/>
        <w:rFonts w:ascii="Arial" w:hAnsi="Arial" w:cs="Arial"/>
        <w:sz w:val="18"/>
        <w:szCs w:val="20"/>
        <w:lang w:val="es-AR"/>
      </w:rPr>
      <w:fldChar w:fldCharType="end"/>
    </w:r>
    <w:r w:rsidRPr="00925AC2">
      <w:rPr>
        <w:rStyle w:val="PageNumber"/>
        <w:rFonts w:ascii="Arial" w:hAnsi="Arial" w:cs="Arial"/>
        <w:sz w:val="18"/>
        <w:szCs w:val="20"/>
        <w:lang w:val="pt-BR"/>
      </w:rPr>
      <w:t xml:space="preserve"> de </w:t>
    </w:r>
    <w:r w:rsidRPr="00925AC2">
      <w:rPr>
        <w:rStyle w:val="PageNumber"/>
        <w:rFonts w:ascii="Arial" w:hAnsi="Arial" w:cs="Arial"/>
        <w:sz w:val="18"/>
        <w:szCs w:val="20"/>
        <w:lang w:val="es-AR"/>
      </w:rPr>
      <w:fldChar w:fldCharType="begin"/>
    </w:r>
    <w:r w:rsidRPr="00925AC2">
      <w:rPr>
        <w:rStyle w:val="PageNumber"/>
        <w:rFonts w:ascii="Arial" w:hAnsi="Arial" w:cs="Arial"/>
        <w:sz w:val="18"/>
        <w:szCs w:val="20"/>
        <w:lang w:val="pt-BR"/>
      </w:rPr>
      <w:instrText xml:space="preserve"> NUMPAGES </w:instrText>
    </w:r>
    <w:r w:rsidRPr="00925AC2">
      <w:rPr>
        <w:rStyle w:val="PageNumber"/>
        <w:rFonts w:ascii="Arial" w:hAnsi="Arial" w:cs="Arial"/>
        <w:sz w:val="18"/>
        <w:szCs w:val="20"/>
        <w:lang w:val="es-AR"/>
      </w:rPr>
      <w:fldChar w:fldCharType="separate"/>
    </w:r>
    <w:r w:rsidRPr="00925AC2">
      <w:rPr>
        <w:rStyle w:val="PageNumber"/>
        <w:rFonts w:ascii="Arial" w:hAnsi="Arial" w:cs="Arial"/>
        <w:sz w:val="18"/>
        <w:szCs w:val="20"/>
        <w:lang w:val="pt-BR"/>
      </w:rPr>
      <w:t>3</w:t>
    </w:r>
    <w:r w:rsidRPr="00925AC2">
      <w:rPr>
        <w:rStyle w:val="PageNumber"/>
        <w:rFonts w:ascii="Arial" w:hAnsi="Arial" w:cs="Arial"/>
        <w:sz w:val="18"/>
        <w:szCs w:val="20"/>
        <w:lang w:val="es-A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009619" w14:textId="77777777" w:rsidR="0043303B" w:rsidRPr="002B464B" w:rsidRDefault="0043303B" w:rsidP="00D56769">
    <w:pPr>
      <w:pStyle w:val="Header"/>
      <w:jc w:val="right"/>
      <w:rPr>
        <w:rFonts w:ascii="Arial" w:hAnsi="Arial" w:cs="Arial"/>
        <w:bCs/>
        <w:sz w:val="20"/>
        <w:szCs w:val="20"/>
        <w:lang w:val="pt-BR"/>
      </w:rPr>
    </w:pPr>
    <w:r w:rsidRPr="002B464B">
      <w:rPr>
        <w:rFonts w:ascii="Arial" w:hAnsi="Arial" w:cs="Arial"/>
        <w:bCs/>
        <w:sz w:val="20"/>
        <w:szCs w:val="20"/>
        <w:lang w:val="pt-BR"/>
      </w:rPr>
      <w:t xml:space="preserve">Anexo II – </w:t>
    </w:r>
    <w:r>
      <w:rPr>
        <w:rFonts w:ascii="Arial" w:hAnsi="Arial" w:cs="Arial"/>
        <w:bCs/>
        <w:sz w:val="20"/>
        <w:szCs w:val="20"/>
        <w:lang w:val="pt-BR"/>
      </w:rPr>
      <w:t>PR-L1151</w:t>
    </w:r>
  </w:p>
  <w:p w14:paraId="388B1A85" w14:textId="77777777" w:rsidR="0043303B" w:rsidRPr="002B464B" w:rsidRDefault="0043303B" w:rsidP="00D56769">
    <w:pPr>
      <w:pStyle w:val="Header"/>
      <w:jc w:val="right"/>
      <w:rPr>
        <w:rStyle w:val="PageNumber"/>
        <w:rFonts w:ascii="Arial" w:hAnsi="Arial" w:cs="Arial"/>
        <w:sz w:val="20"/>
        <w:szCs w:val="20"/>
        <w:lang w:val="pt-BR"/>
      </w:rPr>
    </w:pPr>
    <w:r w:rsidRPr="002B464B">
      <w:rPr>
        <w:rFonts w:ascii="Arial" w:hAnsi="Arial" w:cs="Arial"/>
        <w:sz w:val="20"/>
        <w:szCs w:val="20"/>
        <w:lang w:val="pt-BR"/>
      </w:rPr>
      <w:t xml:space="preserve">Página </w:t>
    </w:r>
    <w:r w:rsidRPr="00A27112">
      <w:rPr>
        <w:rStyle w:val="PageNumber"/>
        <w:rFonts w:ascii="Arial" w:hAnsi="Arial" w:cs="Arial"/>
        <w:sz w:val="20"/>
        <w:szCs w:val="20"/>
        <w:lang w:val="es-AR"/>
      </w:rPr>
      <w:fldChar w:fldCharType="begin"/>
    </w:r>
    <w:r w:rsidRPr="002B464B">
      <w:rPr>
        <w:rStyle w:val="PageNumber"/>
        <w:rFonts w:ascii="Arial" w:hAnsi="Arial" w:cs="Arial"/>
        <w:sz w:val="20"/>
        <w:szCs w:val="20"/>
        <w:lang w:val="pt-BR"/>
      </w:rPr>
      <w:instrText xml:space="preserve"> PAGE </w:instrText>
    </w:r>
    <w:r w:rsidRPr="00A27112">
      <w:rPr>
        <w:rStyle w:val="PageNumber"/>
        <w:rFonts w:ascii="Arial" w:hAnsi="Arial" w:cs="Arial"/>
        <w:sz w:val="20"/>
        <w:szCs w:val="20"/>
        <w:lang w:val="es-AR"/>
      </w:rPr>
      <w:fldChar w:fldCharType="separate"/>
    </w:r>
    <w:r>
      <w:rPr>
        <w:rStyle w:val="PageNumber"/>
        <w:rFonts w:ascii="Arial" w:hAnsi="Arial" w:cs="Arial"/>
        <w:noProof/>
        <w:sz w:val="20"/>
        <w:szCs w:val="20"/>
        <w:lang w:val="pt-BR"/>
      </w:rPr>
      <w:t>1</w:t>
    </w:r>
    <w:r w:rsidRPr="00A27112">
      <w:rPr>
        <w:rStyle w:val="PageNumber"/>
        <w:rFonts w:ascii="Arial" w:hAnsi="Arial" w:cs="Arial"/>
        <w:sz w:val="20"/>
        <w:szCs w:val="20"/>
        <w:lang w:val="es-AR"/>
      </w:rPr>
      <w:fldChar w:fldCharType="end"/>
    </w:r>
    <w:r w:rsidRPr="002B464B">
      <w:rPr>
        <w:rStyle w:val="PageNumber"/>
        <w:rFonts w:ascii="Arial" w:hAnsi="Arial" w:cs="Arial"/>
        <w:sz w:val="20"/>
        <w:szCs w:val="20"/>
        <w:lang w:val="pt-BR"/>
      </w:rPr>
      <w:t xml:space="preserve"> de </w:t>
    </w:r>
    <w:r w:rsidRPr="00A27112">
      <w:rPr>
        <w:rStyle w:val="PageNumber"/>
        <w:rFonts w:ascii="Arial" w:hAnsi="Arial" w:cs="Arial"/>
        <w:sz w:val="20"/>
        <w:szCs w:val="20"/>
        <w:lang w:val="es-AR"/>
      </w:rPr>
      <w:fldChar w:fldCharType="begin"/>
    </w:r>
    <w:r w:rsidRPr="002B464B">
      <w:rPr>
        <w:rStyle w:val="PageNumber"/>
        <w:rFonts w:ascii="Arial" w:hAnsi="Arial" w:cs="Arial"/>
        <w:sz w:val="20"/>
        <w:szCs w:val="20"/>
        <w:lang w:val="pt-BR"/>
      </w:rPr>
      <w:instrText xml:space="preserve"> NUMPAGES </w:instrText>
    </w:r>
    <w:r w:rsidRPr="00A27112">
      <w:rPr>
        <w:rStyle w:val="PageNumber"/>
        <w:rFonts w:ascii="Arial" w:hAnsi="Arial" w:cs="Arial"/>
        <w:sz w:val="20"/>
        <w:szCs w:val="20"/>
        <w:lang w:val="es-AR"/>
      </w:rPr>
      <w:fldChar w:fldCharType="separate"/>
    </w:r>
    <w:r>
      <w:rPr>
        <w:rStyle w:val="PageNumber"/>
        <w:rFonts w:ascii="Arial" w:hAnsi="Arial" w:cs="Arial"/>
        <w:noProof/>
        <w:sz w:val="20"/>
        <w:szCs w:val="20"/>
        <w:lang w:val="pt-BR"/>
      </w:rPr>
      <w:t>4</w:t>
    </w:r>
    <w:r w:rsidRPr="00A27112">
      <w:rPr>
        <w:rStyle w:val="PageNumber"/>
        <w:rFonts w:ascii="Arial" w:hAnsi="Arial" w:cs="Arial"/>
        <w:sz w:val="20"/>
        <w:szCs w:val="20"/>
        <w:lang w:val="es-AR"/>
      </w:rPr>
      <w:fldChar w:fldCharType="end"/>
    </w:r>
  </w:p>
  <w:p w14:paraId="4B852733" w14:textId="77777777" w:rsidR="0043303B" w:rsidRPr="00DE1A9C" w:rsidRDefault="0043303B">
    <w:pPr>
      <w:pStyle w:val="Heade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F02D2D"/>
    <w:multiLevelType w:val="multilevel"/>
    <w:tmpl w:val="6C56A3E0"/>
    <w:lvl w:ilvl="0">
      <w:start w:val="1"/>
      <w:numFmt w:val="decimal"/>
      <w:lvlText w:val="%1"/>
      <w:lvlJc w:val="left"/>
      <w:pPr>
        <w:ind w:left="432" w:hanging="432"/>
      </w:pPr>
      <w:rPr>
        <w:rFonts w:hint="default"/>
      </w:rPr>
    </w:lvl>
    <w:lvl w:ilvl="1">
      <w:start w:val="1"/>
      <w:numFmt w:val="decimal"/>
      <w:lvlText w:val="2.%2"/>
      <w:lvlJc w:val="left"/>
      <w:pPr>
        <w:ind w:left="576" w:hanging="576"/>
      </w:pPr>
      <w:rPr>
        <w:rFonts w:hint="default"/>
        <w:lang w:val="es-US"/>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13997922"/>
    <w:multiLevelType w:val="hybridMultilevel"/>
    <w:tmpl w:val="B0B8FBF0"/>
    <w:lvl w:ilvl="0" w:tplc="98FC92C2">
      <w:start w:val="1"/>
      <w:numFmt w:val="low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15:restartNumberingAfterBreak="0">
    <w:nsid w:val="15632DA1"/>
    <w:multiLevelType w:val="multilevel"/>
    <w:tmpl w:val="8B34CA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D272A07"/>
    <w:multiLevelType w:val="multilevel"/>
    <w:tmpl w:val="1CB228A2"/>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B26377"/>
    <w:multiLevelType w:val="hybridMultilevel"/>
    <w:tmpl w:val="B0B8FBF0"/>
    <w:lvl w:ilvl="0" w:tplc="98FC92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382B06"/>
    <w:multiLevelType w:val="hybridMultilevel"/>
    <w:tmpl w:val="B0B8FBF0"/>
    <w:lvl w:ilvl="0" w:tplc="98FC92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A125EA"/>
    <w:multiLevelType w:val="hybridMultilevel"/>
    <w:tmpl w:val="EA5C55CA"/>
    <w:lvl w:ilvl="0" w:tplc="98FC92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F4569C"/>
    <w:multiLevelType w:val="hybridMultilevel"/>
    <w:tmpl w:val="FB00E422"/>
    <w:lvl w:ilvl="0" w:tplc="9A961D74">
      <w:start w:val="1"/>
      <w:numFmt w:val="lowerRoman"/>
      <w:lvlText w:val="%1."/>
      <w:lvlJc w:val="left"/>
      <w:pPr>
        <w:ind w:left="1080" w:hanging="72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E921BF"/>
    <w:multiLevelType w:val="hybridMultilevel"/>
    <w:tmpl w:val="4CE68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D96887"/>
    <w:multiLevelType w:val="multilevel"/>
    <w:tmpl w:val="5CBCF33E"/>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F6C44E4"/>
    <w:multiLevelType w:val="hybridMultilevel"/>
    <w:tmpl w:val="D592E576"/>
    <w:lvl w:ilvl="0" w:tplc="D1E24058">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CB1FC5"/>
    <w:multiLevelType w:val="multilevel"/>
    <w:tmpl w:val="FF10D106"/>
    <w:lvl w:ilvl="0">
      <w:start w:val="1"/>
      <w:numFmt w:val="decimal"/>
      <w:lvlText w:val="%1."/>
      <w:lvlJc w:val="left"/>
      <w:pPr>
        <w:ind w:left="360" w:hanging="360"/>
      </w:pPr>
      <w:rPr>
        <w:rFonts w:eastAsiaTheme="minorHAnsi" w:hint="default"/>
        <w:b w:val="0"/>
      </w:rPr>
    </w:lvl>
    <w:lvl w:ilvl="1">
      <w:start w:val="1"/>
      <w:numFmt w:val="decimal"/>
      <w:lvlText w:val="%1.%2."/>
      <w:lvlJc w:val="left"/>
      <w:pPr>
        <w:ind w:left="360" w:hanging="360"/>
      </w:pPr>
      <w:rPr>
        <w:rFonts w:eastAsiaTheme="minorHAnsi" w:hint="default"/>
        <w:b w:val="0"/>
      </w:rPr>
    </w:lvl>
    <w:lvl w:ilvl="2">
      <w:start w:val="1"/>
      <w:numFmt w:val="decimal"/>
      <w:lvlText w:val="%1.%2.%3."/>
      <w:lvlJc w:val="left"/>
      <w:pPr>
        <w:ind w:left="720" w:hanging="720"/>
      </w:pPr>
      <w:rPr>
        <w:rFonts w:eastAsiaTheme="minorHAnsi" w:hint="default"/>
        <w:b w:val="0"/>
      </w:rPr>
    </w:lvl>
    <w:lvl w:ilvl="3">
      <w:start w:val="1"/>
      <w:numFmt w:val="decimal"/>
      <w:lvlText w:val="%1.%2.%3.%4."/>
      <w:lvlJc w:val="left"/>
      <w:pPr>
        <w:ind w:left="720" w:hanging="720"/>
      </w:pPr>
      <w:rPr>
        <w:rFonts w:eastAsiaTheme="minorHAnsi" w:hint="default"/>
        <w:b w:val="0"/>
      </w:rPr>
    </w:lvl>
    <w:lvl w:ilvl="4">
      <w:start w:val="1"/>
      <w:numFmt w:val="decimal"/>
      <w:lvlText w:val="%1.%2.%3.%4.%5."/>
      <w:lvlJc w:val="left"/>
      <w:pPr>
        <w:ind w:left="1080" w:hanging="1080"/>
      </w:pPr>
      <w:rPr>
        <w:rFonts w:eastAsiaTheme="minorHAnsi" w:hint="default"/>
        <w:b w:val="0"/>
      </w:rPr>
    </w:lvl>
    <w:lvl w:ilvl="5">
      <w:start w:val="1"/>
      <w:numFmt w:val="decimal"/>
      <w:lvlText w:val="%1.%2.%3.%4.%5.%6."/>
      <w:lvlJc w:val="left"/>
      <w:pPr>
        <w:ind w:left="1080" w:hanging="1080"/>
      </w:pPr>
      <w:rPr>
        <w:rFonts w:eastAsiaTheme="minorHAnsi" w:hint="default"/>
        <w:b w:val="0"/>
      </w:rPr>
    </w:lvl>
    <w:lvl w:ilvl="6">
      <w:start w:val="1"/>
      <w:numFmt w:val="decimal"/>
      <w:lvlText w:val="%1.%2.%3.%4.%5.%6.%7."/>
      <w:lvlJc w:val="left"/>
      <w:pPr>
        <w:ind w:left="1440" w:hanging="1440"/>
      </w:pPr>
      <w:rPr>
        <w:rFonts w:eastAsiaTheme="minorHAnsi" w:hint="default"/>
        <w:b w:val="0"/>
      </w:rPr>
    </w:lvl>
    <w:lvl w:ilvl="7">
      <w:start w:val="1"/>
      <w:numFmt w:val="decimal"/>
      <w:lvlText w:val="%1.%2.%3.%4.%5.%6.%7.%8."/>
      <w:lvlJc w:val="left"/>
      <w:pPr>
        <w:ind w:left="1440" w:hanging="1440"/>
      </w:pPr>
      <w:rPr>
        <w:rFonts w:eastAsiaTheme="minorHAnsi" w:hint="default"/>
        <w:b w:val="0"/>
      </w:rPr>
    </w:lvl>
    <w:lvl w:ilvl="8">
      <w:start w:val="1"/>
      <w:numFmt w:val="decimal"/>
      <w:lvlText w:val="%1.%2.%3.%4.%5.%6.%7.%8.%9."/>
      <w:lvlJc w:val="left"/>
      <w:pPr>
        <w:ind w:left="1800" w:hanging="1800"/>
      </w:pPr>
      <w:rPr>
        <w:rFonts w:eastAsiaTheme="minorHAnsi" w:hint="default"/>
        <w:b w:val="0"/>
      </w:rPr>
    </w:lvl>
  </w:abstractNum>
  <w:abstractNum w:abstractNumId="12" w15:restartNumberingAfterBreak="0">
    <w:nsid w:val="41633DED"/>
    <w:multiLevelType w:val="hybridMultilevel"/>
    <w:tmpl w:val="D592E576"/>
    <w:lvl w:ilvl="0" w:tplc="D1E240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CC1B4C"/>
    <w:multiLevelType w:val="hybridMultilevel"/>
    <w:tmpl w:val="E006CF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6E91BDA"/>
    <w:multiLevelType w:val="hybridMultilevel"/>
    <w:tmpl w:val="B0B8FBF0"/>
    <w:lvl w:ilvl="0" w:tplc="98FC92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7210AA"/>
    <w:multiLevelType w:val="hybridMultilevel"/>
    <w:tmpl w:val="5F9E9C0A"/>
    <w:lvl w:ilvl="0" w:tplc="9382726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91B4B65"/>
    <w:multiLevelType w:val="multilevel"/>
    <w:tmpl w:val="135639D0"/>
    <w:lvl w:ilvl="0">
      <w:start w:val="1"/>
      <w:numFmt w:val="none"/>
      <w:lvlText w:val="2.2"/>
      <w:lvlJc w:val="left"/>
      <w:pPr>
        <w:ind w:left="360" w:hanging="360"/>
      </w:pPr>
      <w:rPr>
        <w:rFonts w:hint="default"/>
      </w:rPr>
    </w:lvl>
    <w:lvl w:ilvl="1">
      <w:start w:val="1"/>
      <w:numFmt w:val="none"/>
      <w:lvlText w:val="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F163C30"/>
    <w:multiLevelType w:val="hybridMultilevel"/>
    <w:tmpl w:val="78F82D6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3A1133E"/>
    <w:multiLevelType w:val="hybridMultilevel"/>
    <w:tmpl w:val="9A343C92"/>
    <w:lvl w:ilvl="0" w:tplc="954E44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C52FF4"/>
    <w:multiLevelType w:val="hybridMultilevel"/>
    <w:tmpl w:val="DB501E66"/>
    <w:lvl w:ilvl="0" w:tplc="FB4E6EA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9905A8"/>
    <w:multiLevelType w:val="multilevel"/>
    <w:tmpl w:val="0C4C110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i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1" w15:restartNumberingAfterBreak="0">
    <w:nsid w:val="59D3402D"/>
    <w:multiLevelType w:val="hybridMultilevel"/>
    <w:tmpl w:val="B0B8FBF0"/>
    <w:lvl w:ilvl="0" w:tplc="98FC92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6C09E5"/>
    <w:multiLevelType w:val="multilevel"/>
    <w:tmpl w:val="004CD75E"/>
    <w:lvl w:ilvl="0">
      <w:start w:val="1"/>
      <w:numFmt w:val="none"/>
      <w:lvlText w:val="3.1"/>
      <w:lvlJc w:val="left"/>
      <w:pPr>
        <w:ind w:left="360" w:hanging="360"/>
      </w:pPr>
      <w:rPr>
        <w:rFonts w:hint="default"/>
      </w:rPr>
    </w:lvl>
    <w:lvl w:ilvl="1">
      <w:start w:val="1"/>
      <w:numFmt w:val="none"/>
      <w:lvlText w:val="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EB179C4"/>
    <w:multiLevelType w:val="multilevel"/>
    <w:tmpl w:val="BF4E9DA2"/>
    <w:lvl w:ilvl="0">
      <w:start w:val="1"/>
      <w:numFmt w:val="none"/>
      <w:lvlText w:val="4.1"/>
      <w:lvlJc w:val="left"/>
      <w:pPr>
        <w:ind w:left="360" w:hanging="360"/>
      </w:pPr>
      <w:rPr>
        <w:rFonts w:hint="default"/>
      </w:rPr>
    </w:lvl>
    <w:lvl w:ilvl="1">
      <w:start w:val="1"/>
      <w:numFmt w:val="none"/>
      <w:lvlText w:val="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3592585"/>
    <w:multiLevelType w:val="multilevel"/>
    <w:tmpl w:val="3A4E51FC"/>
    <w:lvl w:ilvl="0">
      <w:start w:val="1"/>
      <w:numFmt w:val="none"/>
      <w:lvlText w:val="3.2"/>
      <w:lvlJc w:val="left"/>
      <w:pPr>
        <w:ind w:left="360" w:hanging="360"/>
      </w:pPr>
      <w:rPr>
        <w:rFonts w:hint="default"/>
      </w:rPr>
    </w:lvl>
    <w:lvl w:ilvl="1">
      <w:start w:val="1"/>
      <w:numFmt w:val="none"/>
      <w:lvlText w:val="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CB703E6"/>
    <w:multiLevelType w:val="hybridMultilevel"/>
    <w:tmpl w:val="B0B8FBF0"/>
    <w:lvl w:ilvl="0" w:tplc="98FC92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8200C9"/>
    <w:multiLevelType w:val="hybridMultilevel"/>
    <w:tmpl w:val="B0B8FBF0"/>
    <w:lvl w:ilvl="0" w:tplc="98FC92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DE42AB"/>
    <w:multiLevelType w:val="hybridMultilevel"/>
    <w:tmpl w:val="24D2F312"/>
    <w:lvl w:ilvl="0" w:tplc="688AF3CA">
      <w:start w:val="1"/>
      <w:numFmt w:val="upperRoman"/>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A7366FB"/>
    <w:multiLevelType w:val="hybridMultilevel"/>
    <w:tmpl w:val="24D2F312"/>
    <w:lvl w:ilvl="0" w:tplc="688AF3CA">
      <w:start w:val="1"/>
      <w:numFmt w:val="upperRoman"/>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C6E69FB"/>
    <w:multiLevelType w:val="hybridMultilevel"/>
    <w:tmpl w:val="6FA48622"/>
    <w:lvl w:ilvl="0" w:tplc="D646EED8">
      <w:start w:val="3"/>
      <w:numFmt w:val="lowerRoman"/>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3B19C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DF167A3"/>
    <w:multiLevelType w:val="hybridMultilevel"/>
    <w:tmpl w:val="D592E576"/>
    <w:lvl w:ilvl="0" w:tplc="D1E24058">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31"/>
  </w:num>
  <w:num w:numId="3">
    <w:abstractNumId w:val="20"/>
  </w:num>
  <w:num w:numId="4">
    <w:abstractNumId w:val="27"/>
  </w:num>
  <w:num w:numId="5">
    <w:abstractNumId w:val="7"/>
  </w:num>
  <w:num w:numId="6">
    <w:abstractNumId w:val="5"/>
  </w:num>
  <w:num w:numId="7">
    <w:abstractNumId w:val="26"/>
  </w:num>
  <w:num w:numId="8">
    <w:abstractNumId w:val="13"/>
  </w:num>
  <w:num w:numId="9">
    <w:abstractNumId w:val="8"/>
  </w:num>
  <w:num w:numId="10">
    <w:abstractNumId w:val="17"/>
  </w:num>
  <w:num w:numId="11">
    <w:abstractNumId w:val="12"/>
  </w:num>
  <w:num w:numId="12">
    <w:abstractNumId w:val="6"/>
  </w:num>
  <w:num w:numId="13">
    <w:abstractNumId w:val="21"/>
  </w:num>
  <w:num w:numId="14">
    <w:abstractNumId w:val="1"/>
  </w:num>
  <w:num w:numId="15">
    <w:abstractNumId w:val="10"/>
  </w:num>
  <w:num w:numId="16">
    <w:abstractNumId w:val="19"/>
  </w:num>
  <w:num w:numId="17">
    <w:abstractNumId w:val="4"/>
  </w:num>
  <w:num w:numId="18">
    <w:abstractNumId w:val="25"/>
  </w:num>
  <w:num w:numId="19">
    <w:abstractNumId w:val="18"/>
  </w:num>
  <w:num w:numId="20">
    <w:abstractNumId w:val="15"/>
  </w:num>
  <w:num w:numId="21">
    <w:abstractNumId w:val="28"/>
  </w:num>
  <w:num w:numId="22">
    <w:abstractNumId w:val="11"/>
  </w:num>
  <w:num w:numId="23">
    <w:abstractNumId w:val="0"/>
  </w:num>
  <w:num w:numId="24">
    <w:abstractNumId w:val="2"/>
  </w:num>
  <w:num w:numId="25">
    <w:abstractNumId w:val="3"/>
  </w:num>
  <w:num w:numId="26">
    <w:abstractNumId w:val="9"/>
  </w:num>
  <w:num w:numId="27">
    <w:abstractNumId w:val="30"/>
  </w:num>
  <w:num w:numId="28">
    <w:abstractNumId w:val="16"/>
  </w:num>
  <w:num w:numId="29">
    <w:abstractNumId w:val="29"/>
  </w:num>
  <w:num w:numId="30">
    <w:abstractNumId w:val="22"/>
  </w:num>
  <w:num w:numId="31">
    <w:abstractNumId w:val="24"/>
  </w:num>
  <w:num w:numId="32">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257"/>
    <w:rsid w:val="000009D8"/>
    <w:rsid w:val="00002544"/>
    <w:rsid w:val="00004CF1"/>
    <w:rsid w:val="00007D4C"/>
    <w:rsid w:val="000125AF"/>
    <w:rsid w:val="00020829"/>
    <w:rsid w:val="00020E1B"/>
    <w:rsid w:val="0002457B"/>
    <w:rsid w:val="000260AC"/>
    <w:rsid w:val="000277FE"/>
    <w:rsid w:val="000307D1"/>
    <w:rsid w:val="00030DAE"/>
    <w:rsid w:val="0003252A"/>
    <w:rsid w:val="00032A8E"/>
    <w:rsid w:val="00035B57"/>
    <w:rsid w:val="0004102A"/>
    <w:rsid w:val="00044ED6"/>
    <w:rsid w:val="00047A04"/>
    <w:rsid w:val="0007157A"/>
    <w:rsid w:val="000737D7"/>
    <w:rsid w:val="000741D5"/>
    <w:rsid w:val="0008284D"/>
    <w:rsid w:val="00083EE0"/>
    <w:rsid w:val="0009148D"/>
    <w:rsid w:val="00092791"/>
    <w:rsid w:val="00094439"/>
    <w:rsid w:val="0009470C"/>
    <w:rsid w:val="000958DA"/>
    <w:rsid w:val="00095D0F"/>
    <w:rsid w:val="00096116"/>
    <w:rsid w:val="00097DF8"/>
    <w:rsid w:val="00097E59"/>
    <w:rsid w:val="000A2959"/>
    <w:rsid w:val="000A38C0"/>
    <w:rsid w:val="000A3956"/>
    <w:rsid w:val="000A45FD"/>
    <w:rsid w:val="000A7068"/>
    <w:rsid w:val="000B3607"/>
    <w:rsid w:val="000C105C"/>
    <w:rsid w:val="000C2086"/>
    <w:rsid w:val="000C754A"/>
    <w:rsid w:val="000D3E3B"/>
    <w:rsid w:val="000E0A6A"/>
    <w:rsid w:val="000E280C"/>
    <w:rsid w:val="000E36B5"/>
    <w:rsid w:val="000E71D8"/>
    <w:rsid w:val="000E7DF1"/>
    <w:rsid w:val="000F2A85"/>
    <w:rsid w:val="000F4CAB"/>
    <w:rsid w:val="000F60E9"/>
    <w:rsid w:val="000F76AE"/>
    <w:rsid w:val="00102457"/>
    <w:rsid w:val="0010283C"/>
    <w:rsid w:val="00105CF1"/>
    <w:rsid w:val="00113F9E"/>
    <w:rsid w:val="00115D0A"/>
    <w:rsid w:val="00117464"/>
    <w:rsid w:val="00123C57"/>
    <w:rsid w:val="00126C00"/>
    <w:rsid w:val="00131C33"/>
    <w:rsid w:val="001320EA"/>
    <w:rsid w:val="0014186C"/>
    <w:rsid w:val="001530EA"/>
    <w:rsid w:val="00154A88"/>
    <w:rsid w:val="0016003A"/>
    <w:rsid w:val="00164694"/>
    <w:rsid w:val="00172540"/>
    <w:rsid w:val="00172B36"/>
    <w:rsid w:val="00177295"/>
    <w:rsid w:val="00177B54"/>
    <w:rsid w:val="001807BB"/>
    <w:rsid w:val="001842F6"/>
    <w:rsid w:val="00184429"/>
    <w:rsid w:val="001848D1"/>
    <w:rsid w:val="00186884"/>
    <w:rsid w:val="00186C9A"/>
    <w:rsid w:val="00187515"/>
    <w:rsid w:val="0019130C"/>
    <w:rsid w:val="00191DD1"/>
    <w:rsid w:val="00192A9D"/>
    <w:rsid w:val="00194193"/>
    <w:rsid w:val="00194D83"/>
    <w:rsid w:val="001977A7"/>
    <w:rsid w:val="001A3FB3"/>
    <w:rsid w:val="001A5131"/>
    <w:rsid w:val="001A656D"/>
    <w:rsid w:val="001B193D"/>
    <w:rsid w:val="001C14A7"/>
    <w:rsid w:val="001C4570"/>
    <w:rsid w:val="001C5211"/>
    <w:rsid w:val="001C5704"/>
    <w:rsid w:val="001C6858"/>
    <w:rsid w:val="001D05CE"/>
    <w:rsid w:val="001D0968"/>
    <w:rsid w:val="001D105F"/>
    <w:rsid w:val="001D381C"/>
    <w:rsid w:val="001D5B88"/>
    <w:rsid w:val="001E0B30"/>
    <w:rsid w:val="001E4198"/>
    <w:rsid w:val="001E4CE0"/>
    <w:rsid w:val="001E6199"/>
    <w:rsid w:val="001F0663"/>
    <w:rsid w:val="001F0F72"/>
    <w:rsid w:val="001F3591"/>
    <w:rsid w:val="001F3D0C"/>
    <w:rsid w:val="001F5725"/>
    <w:rsid w:val="001F73F0"/>
    <w:rsid w:val="00201A08"/>
    <w:rsid w:val="00204C35"/>
    <w:rsid w:val="0021013B"/>
    <w:rsid w:val="002129CD"/>
    <w:rsid w:val="00212E4A"/>
    <w:rsid w:val="0021334B"/>
    <w:rsid w:val="0021375F"/>
    <w:rsid w:val="00220A22"/>
    <w:rsid w:val="00221E90"/>
    <w:rsid w:val="002301D7"/>
    <w:rsid w:val="0023175A"/>
    <w:rsid w:val="002326D6"/>
    <w:rsid w:val="002350BC"/>
    <w:rsid w:val="00244164"/>
    <w:rsid w:val="002448C7"/>
    <w:rsid w:val="002452C5"/>
    <w:rsid w:val="002463CC"/>
    <w:rsid w:val="00247095"/>
    <w:rsid w:val="00250BA5"/>
    <w:rsid w:val="00250C9F"/>
    <w:rsid w:val="00251F15"/>
    <w:rsid w:val="002614DD"/>
    <w:rsid w:val="00265457"/>
    <w:rsid w:val="00282E69"/>
    <w:rsid w:val="00287A63"/>
    <w:rsid w:val="00287B2A"/>
    <w:rsid w:val="0029385F"/>
    <w:rsid w:val="0029517C"/>
    <w:rsid w:val="002953EC"/>
    <w:rsid w:val="002A2DEE"/>
    <w:rsid w:val="002B250F"/>
    <w:rsid w:val="002B4314"/>
    <w:rsid w:val="002B4A62"/>
    <w:rsid w:val="002C224E"/>
    <w:rsid w:val="002C675F"/>
    <w:rsid w:val="002D40B7"/>
    <w:rsid w:val="002D5DC8"/>
    <w:rsid w:val="002E7271"/>
    <w:rsid w:val="002F027C"/>
    <w:rsid w:val="002F0570"/>
    <w:rsid w:val="002F2352"/>
    <w:rsid w:val="002F4FE6"/>
    <w:rsid w:val="002F7946"/>
    <w:rsid w:val="00303DC1"/>
    <w:rsid w:val="00311F83"/>
    <w:rsid w:val="0031412D"/>
    <w:rsid w:val="00320424"/>
    <w:rsid w:val="00320B36"/>
    <w:rsid w:val="003228FB"/>
    <w:rsid w:val="0033228A"/>
    <w:rsid w:val="00335608"/>
    <w:rsid w:val="00335C2C"/>
    <w:rsid w:val="00336387"/>
    <w:rsid w:val="00340CC4"/>
    <w:rsid w:val="00341438"/>
    <w:rsid w:val="00344506"/>
    <w:rsid w:val="00345B66"/>
    <w:rsid w:val="0035597C"/>
    <w:rsid w:val="0035739B"/>
    <w:rsid w:val="0035780C"/>
    <w:rsid w:val="00361F5C"/>
    <w:rsid w:val="00362A2F"/>
    <w:rsid w:val="00362DDA"/>
    <w:rsid w:val="00366239"/>
    <w:rsid w:val="00366AC4"/>
    <w:rsid w:val="00367538"/>
    <w:rsid w:val="00371801"/>
    <w:rsid w:val="00373C6E"/>
    <w:rsid w:val="00380A76"/>
    <w:rsid w:val="00382346"/>
    <w:rsid w:val="00386632"/>
    <w:rsid w:val="00393193"/>
    <w:rsid w:val="00393FDE"/>
    <w:rsid w:val="003A2578"/>
    <w:rsid w:val="003B02B9"/>
    <w:rsid w:val="003B6544"/>
    <w:rsid w:val="003B69DB"/>
    <w:rsid w:val="003C14E1"/>
    <w:rsid w:val="003D260C"/>
    <w:rsid w:val="003D620B"/>
    <w:rsid w:val="003E25FC"/>
    <w:rsid w:val="003E698F"/>
    <w:rsid w:val="003E6B66"/>
    <w:rsid w:val="003E7B6B"/>
    <w:rsid w:val="003F32A2"/>
    <w:rsid w:val="003F4423"/>
    <w:rsid w:val="003F5C7C"/>
    <w:rsid w:val="003F6DF9"/>
    <w:rsid w:val="00402865"/>
    <w:rsid w:val="004203CF"/>
    <w:rsid w:val="00421231"/>
    <w:rsid w:val="00426808"/>
    <w:rsid w:val="00430C68"/>
    <w:rsid w:val="0043303B"/>
    <w:rsid w:val="0043539E"/>
    <w:rsid w:val="00442504"/>
    <w:rsid w:val="00446862"/>
    <w:rsid w:val="004550C3"/>
    <w:rsid w:val="00472790"/>
    <w:rsid w:val="0048038E"/>
    <w:rsid w:val="0048111C"/>
    <w:rsid w:val="00481929"/>
    <w:rsid w:val="00482B03"/>
    <w:rsid w:val="00485D2B"/>
    <w:rsid w:val="0048707E"/>
    <w:rsid w:val="004871A8"/>
    <w:rsid w:val="00491201"/>
    <w:rsid w:val="00491377"/>
    <w:rsid w:val="004946BB"/>
    <w:rsid w:val="004956CF"/>
    <w:rsid w:val="004958E2"/>
    <w:rsid w:val="00495BC3"/>
    <w:rsid w:val="00495E4D"/>
    <w:rsid w:val="00497BAA"/>
    <w:rsid w:val="00497E3B"/>
    <w:rsid w:val="004A6505"/>
    <w:rsid w:val="004A6B42"/>
    <w:rsid w:val="004A7210"/>
    <w:rsid w:val="004A780C"/>
    <w:rsid w:val="004B0460"/>
    <w:rsid w:val="004B26CD"/>
    <w:rsid w:val="004B3040"/>
    <w:rsid w:val="004B3237"/>
    <w:rsid w:val="004B5119"/>
    <w:rsid w:val="004B6697"/>
    <w:rsid w:val="004C37B0"/>
    <w:rsid w:val="004C55E7"/>
    <w:rsid w:val="004D168F"/>
    <w:rsid w:val="004D3E5B"/>
    <w:rsid w:val="004E02E6"/>
    <w:rsid w:val="004E108B"/>
    <w:rsid w:val="004E1B24"/>
    <w:rsid w:val="004E2779"/>
    <w:rsid w:val="004E523C"/>
    <w:rsid w:val="004E5B38"/>
    <w:rsid w:val="004E5EF1"/>
    <w:rsid w:val="004F1836"/>
    <w:rsid w:val="004F63F6"/>
    <w:rsid w:val="004F65D7"/>
    <w:rsid w:val="0050054E"/>
    <w:rsid w:val="00507835"/>
    <w:rsid w:val="00507B45"/>
    <w:rsid w:val="00520B97"/>
    <w:rsid w:val="0052735A"/>
    <w:rsid w:val="00531FF3"/>
    <w:rsid w:val="00532342"/>
    <w:rsid w:val="005331A0"/>
    <w:rsid w:val="00534C6F"/>
    <w:rsid w:val="00536556"/>
    <w:rsid w:val="0053726B"/>
    <w:rsid w:val="0054266E"/>
    <w:rsid w:val="0054583D"/>
    <w:rsid w:val="00546399"/>
    <w:rsid w:val="00547160"/>
    <w:rsid w:val="005471DE"/>
    <w:rsid w:val="00550972"/>
    <w:rsid w:val="00553151"/>
    <w:rsid w:val="005538EC"/>
    <w:rsid w:val="00554CB4"/>
    <w:rsid w:val="00555377"/>
    <w:rsid w:val="00557B52"/>
    <w:rsid w:val="005603B4"/>
    <w:rsid w:val="00562945"/>
    <w:rsid w:val="00566E72"/>
    <w:rsid w:val="00567A71"/>
    <w:rsid w:val="005709AB"/>
    <w:rsid w:val="00571162"/>
    <w:rsid w:val="005728E8"/>
    <w:rsid w:val="00573E1F"/>
    <w:rsid w:val="00575BAD"/>
    <w:rsid w:val="00582DD5"/>
    <w:rsid w:val="00584E63"/>
    <w:rsid w:val="00591479"/>
    <w:rsid w:val="00593483"/>
    <w:rsid w:val="005A065C"/>
    <w:rsid w:val="005A3541"/>
    <w:rsid w:val="005A4556"/>
    <w:rsid w:val="005B2A76"/>
    <w:rsid w:val="005C21C7"/>
    <w:rsid w:val="005C3CD3"/>
    <w:rsid w:val="005C4624"/>
    <w:rsid w:val="005C4CCA"/>
    <w:rsid w:val="005C4D98"/>
    <w:rsid w:val="005C4E70"/>
    <w:rsid w:val="005C757F"/>
    <w:rsid w:val="005D46C4"/>
    <w:rsid w:val="005E042C"/>
    <w:rsid w:val="005E0AA6"/>
    <w:rsid w:val="005E1460"/>
    <w:rsid w:val="005E4281"/>
    <w:rsid w:val="005E4810"/>
    <w:rsid w:val="005E4DEB"/>
    <w:rsid w:val="005F2E18"/>
    <w:rsid w:val="00603CA5"/>
    <w:rsid w:val="00616849"/>
    <w:rsid w:val="0061761A"/>
    <w:rsid w:val="0062205D"/>
    <w:rsid w:val="00622BA9"/>
    <w:rsid w:val="00624E70"/>
    <w:rsid w:val="006274EF"/>
    <w:rsid w:val="00630513"/>
    <w:rsid w:val="0063623F"/>
    <w:rsid w:val="00637BB9"/>
    <w:rsid w:val="006430DD"/>
    <w:rsid w:val="0064466D"/>
    <w:rsid w:val="00644BE7"/>
    <w:rsid w:val="00646109"/>
    <w:rsid w:val="00646649"/>
    <w:rsid w:val="00650C6D"/>
    <w:rsid w:val="0065171F"/>
    <w:rsid w:val="00652979"/>
    <w:rsid w:val="00654FAE"/>
    <w:rsid w:val="00657414"/>
    <w:rsid w:val="00664461"/>
    <w:rsid w:val="00665A9D"/>
    <w:rsid w:val="00665F42"/>
    <w:rsid w:val="00671747"/>
    <w:rsid w:val="00672270"/>
    <w:rsid w:val="0067415C"/>
    <w:rsid w:val="006801E8"/>
    <w:rsid w:val="00685F9D"/>
    <w:rsid w:val="00691F09"/>
    <w:rsid w:val="0069439F"/>
    <w:rsid w:val="00694912"/>
    <w:rsid w:val="006A015F"/>
    <w:rsid w:val="006A643D"/>
    <w:rsid w:val="006A7BA9"/>
    <w:rsid w:val="006B67C6"/>
    <w:rsid w:val="006C1349"/>
    <w:rsid w:val="006C2210"/>
    <w:rsid w:val="006C3384"/>
    <w:rsid w:val="006C6FA6"/>
    <w:rsid w:val="006C74B3"/>
    <w:rsid w:val="006D0655"/>
    <w:rsid w:val="006D2B18"/>
    <w:rsid w:val="006D71C9"/>
    <w:rsid w:val="006E0A59"/>
    <w:rsid w:val="006E19B4"/>
    <w:rsid w:val="006E3854"/>
    <w:rsid w:val="006E3F81"/>
    <w:rsid w:val="006E4709"/>
    <w:rsid w:val="006E7C44"/>
    <w:rsid w:val="006F0834"/>
    <w:rsid w:val="006F1179"/>
    <w:rsid w:val="006F18BC"/>
    <w:rsid w:val="006F47C6"/>
    <w:rsid w:val="006F4CA4"/>
    <w:rsid w:val="00702799"/>
    <w:rsid w:val="007027AE"/>
    <w:rsid w:val="00703570"/>
    <w:rsid w:val="00706937"/>
    <w:rsid w:val="00711793"/>
    <w:rsid w:val="00713F8B"/>
    <w:rsid w:val="00716626"/>
    <w:rsid w:val="00717680"/>
    <w:rsid w:val="00717EA3"/>
    <w:rsid w:val="00723863"/>
    <w:rsid w:val="00724155"/>
    <w:rsid w:val="00725869"/>
    <w:rsid w:val="00726D77"/>
    <w:rsid w:val="00734602"/>
    <w:rsid w:val="0073560F"/>
    <w:rsid w:val="00737D04"/>
    <w:rsid w:val="00742372"/>
    <w:rsid w:val="0074245C"/>
    <w:rsid w:val="007450F0"/>
    <w:rsid w:val="007457B5"/>
    <w:rsid w:val="00746DFC"/>
    <w:rsid w:val="00753C03"/>
    <w:rsid w:val="0075570A"/>
    <w:rsid w:val="00755C9F"/>
    <w:rsid w:val="00757395"/>
    <w:rsid w:val="00761610"/>
    <w:rsid w:val="007628EA"/>
    <w:rsid w:val="00764614"/>
    <w:rsid w:val="007654AC"/>
    <w:rsid w:val="007667C9"/>
    <w:rsid w:val="00770571"/>
    <w:rsid w:val="007714FE"/>
    <w:rsid w:val="00772E82"/>
    <w:rsid w:val="007731A3"/>
    <w:rsid w:val="0077434B"/>
    <w:rsid w:val="00774FAA"/>
    <w:rsid w:val="00777D3F"/>
    <w:rsid w:val="00786CA1"/>
    <w:rsid w:val="00787311"/>
    <w:rsid w:val="00791D52"/>
    <w:rsid w:val="00797D10"/>
    <w:rsid w:val="007A3DC9"/>
    <w:rsid w:val="007A7064"/>
    <w:rsid w:val="007A75EF"/>
    <w:rsid w:val="007B07B8"/>
    <w:rsid w:val="007B0E03"/>
    <w:rsid w:val="007B23AA"/>
    <w:rsid w:val="007B2AA6"/>
    <w:rsid w:val="007D5460"/>
    <w:rsid w:val="007D77E0"/>
    <w:rsid w:val="007D7A38"/>
    <w:rsid w:val="007D7B33"/>
    <w:rsid w:val="007E1DE5"/>
    <w:rsid w:val="007E77ED"/>
    <w:rsid w:val="007F0D1E"/>
    <w:rsid w:val="007F19FD"/>
    <w:rsid w:val="00800F47"/>
    <w:rsid w:val="00802835"/>
    <w:rsid w:val="00804E3A"/>
    <w:rsid w:val="0081717E"/>
    <w:rsid w:val="0082022D"/>
    <w:rsid w:val="00820DF5"/>
    <w:rsid w:val="0082198F"/>
    <w:rsid w:val="00822FC8"/>
    <w:rsid w:val="008322C1"/>
    <w:rsid w:val="008379E1"/>
    <w:rsid w:val="00837FAD"/>
    <w:rsid w:val="00843722"/>
    <w:rsid w:val="0084469C"/>
    <w:rsid w:val="00846364"/>
    <w:rsid w:val="00850D6E"/>
    <w:rsid w:val="0085184B"/>
    <w:rsid w:val="008531A7"/>
    <w:rsid w:val="00855FCE"/>
    <w:rsid w:val="008607D5"/>
    <w:rsid w:val="00861588"/>
    <w:rsid w:val="00862595"/>
    <w:rsid w:val="00862D4D"/>
    <w:rsid w:val="0086390C"/>
    <w:rsid w:val="008645B7"/>
    <w:rsid w:val="008678BF"/>
    <w:rsid w:val="00870DA2"/>
    <w:rsid w:val="008740EA"/>
    <w:rsid w:val="008747AA"/>
    <w:rsid w:val="00874D2D"/>
    <w:rsid w:val="008952A3"/>
    <w:rsid w:val="008965C0"/>
    <w:rsid w:val="008972AC"/>
    <w:rsid w:val="008A3DA9"/>
    <w:rsid w:val="008A3E5A"/>
    <w:rsid w:val="008A760E"/>
    <w:rsid w:val="008B69AE"/>
    <w:rsid w:val="008B6CFD"/>
    <w:rsid w:val="008D1264"/>
    <w:rsid w:val="008E4013"/>
    <w:rsid w:val="008E5741"/>
    <w:rsid w:val="008E70D7"/>
    <w:rsid w:val="008E7E01"/>
    <w:rsid w:val="008F09FA"/>
    <w:rsid w:val="008F0ECC"/>
    <w:rsid w:val="008F5751"/>
    <w:rsid w:val="00900A3E"/>
    <w:rsid w:val="00907228"/>
    <w:rsid w:val="009157E5"/>
    <w:rsid w:val="00920A25"/>
    <w:rsid w:val="00921250"/>
    <w:rsid w:val="009239C0"/>
    <w:rsid w:val="00924292"/>
    <w:rsid w:val="00925639"/>
    <w:rsid w:val="00925AC2"/>
    <w:rsid w:val="00926139"/>
    <w:rsid w:val="009263FC"/>
    <w:rsid w:val="00930880"/>
    <w:rsid w:val="00932311"/>
    <w:rsid w:val="0093256A"/>
    <w:rsid w:val="00935168"/>
    <w:rsid w:val="00935FDC"/>
    <w:rsid w:val="00940098"/>
    <w:rsid w:val="00941D58"/>
    <w:rsid w:val="009425BB"/>
    <w:rsid w:val="00944503"/>
    <w:rsid w:val="00945755"/>
    <w:rsid w:val="009511EE"/>
    <w:rsid w:val="00951CF2"/>
    <w:rsid w:val="009531F6"/>
    <w:rsid w:val="00955103"/>
    <w:rsid w:val="00955D7C"/>
    <w:rsid w:val="00956581"/>
    <w:rsid w:val="00961BC7"/>
    <w:rsid w:val="00974454"/>
    <w:rsid w:val="00976279"/>
    <w:rsid w:val="00976D24"/>
    <w:rsid w:val="00980A98"/>
    <w:rsid w:val="00982788"/>
    <w:rsid w:val="009828A4"/>
    <w:rsid w:val="009828CB"/>
    <w:rsid w:val="00984D9D"/>
    <w:rsid w:val="00986257"/>
    <w:rsid w:val="009870BE"/>
    <w:rsid w:val="00992B78"/>
    <w:rsid w:val="0099539A"/>
    <w:rsid w:val="009967CC"/>
    <w:rsid w:val="009976FC"/>
    <w:rsid w:val="009A46B4"/>
    <w:rsid w:val="009A51D4"/>
    <w:rsid w:val="009A705A"/>
    <w:rsid w:val="009A7431"/>
    <w:rsid w:val="009B0204"/>
    <w:rsid w:val="009B302B"/>
    <w:rsid w:val="009B307D"/>
    <w:rsid w:val="009B3384"/>
    <w:rsid w:val="009B5BCE"/>
    <w:rsid w:val="009B6CA0"/>
    <w:rsid w:val="009C477C"/>
    <w:rsid w:val="009C5F71"/>
    <w:rsid w:val="009D3E97"/>
    <w:rsid w:val="009D3FB6"/>
    <w:rsid w:val="009D67F3"/>
    <w:rsid w:val="009D6981"/>
    <w:rsid w:val="009D716C"/>
    <w:rsid w:val="009D71CC"/>
    <w:rsid w:val="009E6BA3"/>
    <w:rsid w:val="009E72DA"/>
    <w:rsid w:val="009F024B"/>
    <w:rsid w:val="009F1ADB"/>
    <w:rsid w:val="009F23DF"/>
    <w:rsid w:val="009F2D15"/>
    <w:rsid w:val="00A01F89"/>
    <w:rsid w:val="00A07857"/>
    <w:rsid w:val="00A079E8"/>
    <w:rsid w:val="00A10045"/>
    <w:rsid w:val="00A141E9"/>
    <w:rsid w:val="00A159E5"/>
    <w:rsid w:val="00A16B20"/>
    <w:rsid w:val="00A24A44"/>
    <w:rsid w:val="00A24D44"/>
    <w:rsid w:val="00A278FB"/>
    <w:rsid w:val="00A279F4"/>
    <w:rsid w:val="00A3275D"/>
    <w:rsid w:val="00A34472"/>
    <w:rsid w:val="00A36E94"/>
    <w:rsid w:val="00A42F84"/>
    <w:rsid w:val="00A43FDA"/>
    <w:rsid w:val="00A44869"/>
    <w:rsid w:val="00A4532C"/>
    <w:rsid w:val="00A45379"/>
    <w:rsid w:val="00A50749"/>
    <w:rsid w:val="00A56D16"/>
    <w:rsid w:val="00A57444"/>
    <w:rsid w:val="00A62A58"/>
    <w:rsid w:val="00A63E23"/>
    <w:rsid w:val="00A65D44"/>
    <w:rsid w:val="00A72C34"/>
    <w:rsid w:val="00A76B13"/>
    <w:rsid w:val="00A80019"/>
    <w:rsid w:val="00A858A2"/>
    <w:rsid w:val="00A865CC"/>
    <w:rsid w:val="00A948EE"/>
    <w:rsid w:val="00A9554B"/>
    <w:rsid w:val="00A95A01"/>
    <w:rsid w:val="00AA6FA9"/>
    <w:rsid w:val="00AB06AD"/>
    <w:rsid w:val="00AB1FB1"/>
    <w:rsid w:val="00AB2CF9"/>
    <w:rsid w:val="00AB4B2B"/>
    <w:rsid w:val="00AC16AE"/>
    <w:rsid w:val="00AC5C7C"/>
    <w:rsid w:val="00AD08B4"/>
    <w:rsid w:val="00AD2562"/>
    <w:rsid w:val="00AD3739"/>
    <w:rsid w:val="00AD5AA6"/>
    <w:rsid w:val="00AD60A0"/>
    <w:rsid w:val="00AE222A"/>
    <w:rsid w:val="00AE227C"/>
    <w:rsid w:val="00AE2E24"/>
    <w:rsid w:val="00AE3FB4"/>
    <w:rsid w:val="00AE47AD"/>
    <w:rsid w:val="00AE5C0D"/>
    <w:rsid w:val="00AE6E39"/>
    <w:rsid w:val="00AF3F51"/>
    <w:rsid w:val="00AF50A4"/>
    <w:rsid w:val="00B023D4"/>
    <w:rsid w:val="00B033DE"/>
    <w:rsid w:val="00B10369"/>
    <w:rsid w:val="00B109EE"/>
    <w:rsid w:val="00B110B9"/>
    <w:rsid w:val="00B124F6"/>
    <w:rsid w:val="00B12537"/>
    <w:rsid w:val="00B127EA"/>
    <w:rsid w:val="00B16D86"/>
    <w:rsid w:val="00B20E62"/>
    <w:rsid w:val="00B2179C"/>
    <w:rsid w:val="00B23F6A"/>
    <w:rsid w:val="00B2524F"/>
    <w:rsid w:val="00B311AC"/>
    <w:rsid w:val="00B410B4"/>
    <w:rsid w:val="00B41E14"/>
    <w:rsid w:val="00B43C52"/>
    <w:rsid w:val="00B4422E"/>
    <w:rsid w:val="00B4639A"/>
    <w:rsid w:val="00B464C7"/>
    <w:rsid w:val="00B4780A"/>
    <w:rsid w:val="00B50D7F"/>
    <w:rsid w:val="00B51511"/>
    <w:rsid w:val="00B6384B"/>
    <w:rsid w:val="00B661AE"/>
    <w:rsid w:val="00B70321"/>
    <w:rsid w:val="00B8451B"/>
    <w:rsid w:val="00B857EE"/>
    <w:rsid w:val="00B85E69"/>
    <w:rsid w:val="00B86861"/>
    <w:rsid w:val="00B877E7"/>
    <w:rsid w:val="00B935A9"/>
    <w:rsid w:val="00B97483"/>
    <w:rsid w:val="00BB2E87"/>
    <w:rsid w:val="00BB5447"/>
    <w:rsid w:val="00BC38F1"/>
    <w:rsid w:val="00BC6F8C"/>
    <w:rsid w:val="00BD4DFB"/>
    <w:rsid w:val="00BE48C4"/>
    <w:rsid w:val="00BE7508"/>
    <w:rsid w:val="00BF025A"/>
    <w:rsid w:val="00BF09A9"/>
    <w:rsid w:val="00BF740F"/>
    <w:rsid w:val="00C0369B"/>
    <w:rsid w:val="00C13465"/>
    <w:rsid w:val="00C155E3"/>
    <w:rsid w:val="00C16095"/>
    <w:rsid w:val="00C16551"/>
    <w:rsid w:val="00C169DA"/>
    <w:rsid w:val="00C176FC"/>
    <w:rsid w:val="00C21FB7"/>
    <w:rsid w:val="00C22218"/>
    <w:rsid w:val="00C23B91"/>
    <w:rsid w:val="00C243E7"/>
    <w:rsid w:val="00C25A7C"/>
    <w:rsid w:val="00C26078"/>
    <w:rsid w:val="00C30744"/>
    <w:rsid w:val="00C32894"/>
    <w:rsid w:val="00C330B3"/>
    <w:rsid w:val="00C37F63"/>
    <w:rsid w:val="00C435C9"/>
    <w:rsid w:val="00C51147"/>
    <w:rsid w:val="00C51667"/>
    <w:rsid w:val="00C51786"/>
    <w:rsid w:val="00C543B8"/>
    <w:rsid w:val="00C6258A"/>
    <w:rsid w:val="00C66E70"/>
    <w:rsid w:val="00C73F97"/>
    <w:rsid w:val="00C7674B"/>
    <w:rsid w:val="00C77416"/>
    <w:rsid w:val="00C800E2"/>
    <w:rsid w:val="00C83CF3"/>
    <w:rsid w:val="00C848B1"/>
    <w:rsid w:val="00C84DD4"/>
    <w:rsid w:val="00C95A8F"/>
    <w:rsid w:val="00CA17CC"/>
    <w:rsid w:val="00CA203F"/>
    <w:rsid w:val="00CA6A5C"/>
    <w:rsid w:val="00CB01A0"/>
    <w:rsid w:val="00CC06C6"/>
    <w:rsid w:val="00CC1339"/>
    <w:rsid w:val="00CC67B8"/>
    <w:rsid w:val="00CD1FE8"/>
    <w:rsid w:val="00CD54B6"/>
    <w:rsid w:val="00CD5E6C"/>
    <w:rsid w:val="00CD64FE"/>
    <w:rsid w:val="00CE4C99"/>
    <w:rsid w:val="00CE4FBF"/>
    <w:rsid w:val="00CE7889"/>
    <w:rsid w:val="00CF2267"/>
    <w:rsid w:val="00CF4C90"/>
    <w:rsid w:val="00CF5140"/>
    <w:rsid w:val="00CF7A9E"/>
    <w:rsid w:val="00D0083A"/>
    <w:rsid w:val="00D02B30"/>
    <w:rsid w:val="00D127CE"/>
    <w:rsid w:val="00D139B8"/>
    <w:rsid w:val="00D148AE"/>
    <w:rsid w:val="00D15433"/>
    <w:rsid w:val="00D1676F"/>
    <w:rsid w:val="00D17257"/>
    <w:rsid w:val="00D215D8"/>
    <w:rsid w:val="00D21E73"/>
    <w:rsid w:val="00D304DF"/>
    <w:rsid w:val="00D310BE"/>
    <w:rsid w:val="00D3118D"/>
    <w:rsid w:val="00D31A1F"/>
    <w:rsid w:val="00D322A8"/>
    <w:rsid w:val="00D33CC0"/>
    <w:rsid w:val="00D354B2"/>
    <w:rsid w:val="00D423AE"/>
    <w:rsid w:val="00D426CC"/>
    <w:rsid w:val="00D46BBD"/>
    <w:rsid w:val="00D523BD"/>
    <w:rsid w:val="00D52603"/>
    <w:rsid w:val="00D548EB"/>
    <w:rsid w:val="00D54A72"/>
    <w:rsid w:val="00D56769"/>
    <w:rsid w:val="00D572D3"/>
    <w:rsid w:val="00D61113"/>
    <w:rsid w:val="00D64E67"/>
    <w:rsid w:val="00D70107"/>
    <w:rsid w:val="00D7481D"/>
    <w:rsid w:val="00D755BB"/>
    <w:rsid w:val="00D75D9D"/>
    <w:rsid w:val="00D83495"/>
    <w:rsid w:val="00D87620"/>
    <w:rsid w:val="00D94CD5"/>
    <w:rsid w:val="00D96401"/>
    <w:rsid w:val="00DA4213"/>
    <w:rsid w:val="00DA6F65"/>
    <w:rsid w:val="00DB02E2"/>
    <w:rsid w:val="00DB0D2C"/>
    <w:rsid w:val="00DB2FDD"/>
    <w:rsid w:val="00DC21B7"/>
    <w:rsid w:val="00DC26C6"/>
    <w:rsid w:val="00DC37DB"/>
    <w:rsid w:val="00DC6074"/>
    <w:rsid w:val="00DD01D7"/>
    <w:rsid w:val="00DD0961"/>
    <w:rsid w:val="00DE0433"/>
    <w:rsid w:val="00DE2966"/>
    <w:rsid w:val="00DE7B3C"/>
    <w:rsid w:val="00DF155F"/>
    <w:rsid w:val="00DF1732"/>
    <w:rsid w:val="00DF21D8"/>
    <w:rsid w:val="00DF7061"/>
    <w:rsid w:val="00DF7C5B"/>
    <w:rsid w:val="00E02BE6"/>
    <w:rsid w:val="00E0336F"/>
    <w:rsid w:val="00E04589"/>
    <w:rsid w:val="00E04B28"/>
    <w:rsid w:val="00E06CA0"/>
    <w:rsid w:val="00E169F4"/>
    <w:rsid w:val="00E208F8"/>
    <w:rsid w:val="00E21A89"/>
    <w:rsid w:val="00E22787"/>
    <w:rsid w:val="00E247CB"/>
    <w:rsid w:val="00E272AD"/>
    <w:rsid w:val="00E300D3"/>
    <w:rsid w:val="00E412C4"/>
    <w:rsid w:val="00E5321E"/>
    <w:rsid w:val="00E53A45"/>
    <w:rsid w:val="00E57AFE"/>
    <w:rsid w:val="00E701A9"/>
    <w:rsid w:val="00E83574"/>
    <w:rsid w:val="00E86F71"/>
    <w:rsid w:val="00E923EE"/>
    <w:rsid w:val="00E9312D"/>
    <w:rsid w:val="00E94910"/>
    <w:rsid w:val="00E969F0"/>
    <w:rsid w:val="00E97F73"/>
    <w:rsid w:val="00EA68D1"/>
    <w:rsid w:val="00EA707A"/>
    <w:rsid w:val="00EB3A6B"/>
    <w:rsid w:val="00EB50D0"/>
    <w:rsid w:val="00EB6D2B"/>
    <w:rsid w:val="00EB6EDB"/>
    <w:rsid w:val="00EB7086"/>
    <w:rsid w:val="00EC528D"/>
    <w:rsid w:val="00ED0AEE"/>
    <w:rsid w:val="00ED5370"/>
    <w:rsid w:val="00EE628C"/>
    <w:rsid w:val="00EF12B2"/>
    <w:rsid w:val="00EF1A0D"/>
    <w:rsid w:val="00EF36EC"/>
    <w:rsid w:val="00EF3BEF"/>
    <w:rsid w:val="00EF445C"/>
    <w:rsid w:val="00EF5CF9"/>
    <w:rsid w:val="00EF7E1D"/>
    <w:rsid w:val="00F020A0"/>
    <w:rsid w:val="00F047A1"/>
    <w:rsid w:val="00F1155C"/>
    <w:rsid w:val="00F11725"/>
    <w:rsid w:val="00F11D7F"/>
    <w:rsid w:val="00F15146"/>
    <w:rsid w:val="00F2029E"/>
    <w:rsid w:val="00F21529"/>
    <w:rsid w:val="00F2230D"/>
    <w:rsid w:val="00F32853"/>
    <w:rsid w:val="00F3701B"/>
    <w:rsid w:val="00F418D9"/>
    <w:rsid w:val="00F4695C"/>
    <w:rsid w:val="00F53926"/>
    <w:rsid w:val="00F53A9A"/>
    <w:rsid w:val="00F56A9F"/>
    <w:rsid w:val="00F57608"/>
    <w:rsid w:val="00F61DB3"/>
    <w:rsid w:val="00F67F5F"/>
    <w:rsid w:val="00F74183"/>
    <w:rsid w:val="00F74D7C"/>
    <w:rsid w:val="00F80735"/>
    <w:rsid w:val="00F81367"/>
    <w:rsid w:val="00F8400C"/>
    <w:rsid w:val="00F86F6E"/>
    <w:rsid w:val="00F9402B"/>
    <w:rsid w:val="00F94B18"/>
    <w:rsid w:val="00F94CB5"/>
    <w:rsid w:val="00F976FA"/>
    <w:rsid w:val="00FA0C6E"/>
    <w:rsid w:val="00FA2D09"/>
    <w:rsid w:val="00FA2F2F"/>
    <w:rsid w:val="00FA3A9D"/>
    <w:rsid w:val="00FA5D09"/>
    <w:rsid w:val="00FB3016"/>
    <w:rsid w:val="00FB480D"/>
    <w:rsid w:val="00FB4C4C"/>
    <w:rsid w:val="00FB5593"/>
    <w:rsid w:val="00FB5E0B"/>
    <w:rsid w:val="00FC4DB4"/>
    <w:rsid w:val="00FD3F9B"/>
    <w:rsid w:val="00FD471A"/>
    <w:rsid w:val="00FD6C4A"/>
    <w:rsid w:val="00FE02DF"/>
    <w:rsid w:val="00FE0677"/>
    <w:rsid w:val="00FE2C0B"/>
    <w:rsid w:val="00FE44EB"/>
    <w:rsid w:val="00FE5C4C"/>
    <w:rsid w:val="00FE7B57"/>
    <w:rsid w:val="00FF0BD9"/>
    <w:rsid w:val="00FF1839"/>
    <w:rsid w:val="00FF3F5A"/>
    <w:rsid w:val="00FF405E"/>
    <w:rsid w:val="00FF6379"/>
    <w:rsid w:val="0E0FA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8A08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2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86257"/>
    <w:pPr>
      <w:tabs>
        <w:tab w:val="center" w:pos="4680"/>
        <w:tab w:val="right" w:pos="9360"/>
      </w:tabs>
      <w:spacing w:after="0" w:line="240" w:lineRule="auto"/>
    </w:pPr>
  </w:style>
  <w:style w:type="character" w:customStyle="1" w:styleId="HeaderChar">
    <w:name w:val="Header Char"/>
    <w:basedOn w:val="DefaultParagraphFont"/>
    <w:link w:val="Header"/>
    <w:rsid w:val="00986257"/>
  </w:style>
  <w:style w:type="paragraph" w:styleId="Footer">
    <w:name w:val="footer"/>
    <w:basedOn w:val="Normal"/>
    <w:link w:val="FooterChar"/>
    <w:uiPriority w:val="99"/>
    <w:unhideWhenUsed/>
    <w:rsid w:val="009862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257"/>
  </w:style>
  <w:style w:type="character" w:styleId="PageNumber">
    <w:name w:val="page number"/>
    <w:basedOn w:val="DefaultParagraphFont"/>
    <w:rsid w:val="00986257"/>
  </w:style>
  <w:style w:type="table" w:styleId="TableGrid">
    <w:name w:val="Table Grid"/>
    <w:basedOn w:val="TableNormal"/>
    <w:uiPriority w:val="59"/>
    <w:rsid w:val="00986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86257"/>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A2F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2F2F"/>
    <w:rPr>
      <w:rFonts w:ascii="Segoe UI" w:hAnsi="Segoe UI" w:cs="Segoe UI"/>
      <w:sz w:val="18"/>
      <w:szCs w:val="18"/>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single space"/>
    <w:basedOn w:val="Normal"/>
    <w:link w:val="FootnoteTextChar"/>
    <w:uiPriority w:val="99"/>
    <w:unhideWhenUsed/>
    <w:qFormat/>
    <w:rsid w:val="002B4A62"/>
    <w:pPr>
      <w:spacing w:after="0" w:line="240" w:lineRule="auto"/>
    </w:pPr>
    <w:rPr>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2B4A62"/>
    <w:rPr>
      <w:sz w:val="20"/>
      <w:szCs w:val="20"/>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SUPERS"/>
    <w:link w:val="Char2"/>
    <w:qFormat/>
    <w:rsid w:val="002B4A62"/>
    <w:rPr>
      <w:vertAlign w:val="superscript"/>
    </w:rPr>
  </w:style>
  <w:style w:type="paragraph" w:styleId="CommentText">
    <w:name w:val="annotation text"/>
    <w:basedOn w:val="Normal"/>
    <w:link w:val="CommentTextChar"/>
    <w:uiPriority w:val="99"/>
    <w:semiHidden/>
    <w:unhideWhenUsed/>
    <w:rsid w:val="00755C9F"/>
    <w:pPr>
      <w:spacing w:line="240" w:lineRule="auto"/>
    </w:pPr>
    <w:rPr>
      <w:sz w:val="20"/>
      <w:szCs w:val="20"/>
    </w:rPr>
  </w:style>
  <w:style w:type="character" w:customStyle="1" w:styleId="CommentTextChar">
    <w:name w:val="Comment Text Char"/>
    <w:basedOn w:val="DefaultParagraphFont"/>
    <w:link w:val="CommentText"/>
    <w:uiPriority w:val="99"/>
    <w:semiHidden/>
    <w:rsid w:val="00755C9F"/>
    <w:rPr>
      <w:sz w:val="20"/>
      <w:szCs w:val="20"/>
    </w:rPr>
  </w:style>
  <w:style w:type="character" w:styleId="CommentReference">
    <w:name w:val="annotation reference"/>
    <w:basedOn w:val="DefaultParagraphFont"/>
    <w:uiPriority w:val="99"/>
    <w:semiHidden/>
    <w:unhideWhenUsed/>
    <w:rsid w:val="00755C9F"/>
    <w:rPr>
      <w:sz w:val="16"/>
      <w:szCs w:val="16"/>
    </w:rPr>
  </w:style>
  <w:style w:type="paragraph" w:styleId="CommentSubject">
    <w:name w:val="annotation subject"/>
    <w:basedOn w:val="CommentText"/>
    <w:next w:val="CommentText"/>
    <w:link w:val="CommentSubjectChar"/>
    <w:uiPriority w:val="99"/>
    <w:semiHidden/>
    <w:unhideWhenUsed/>
    <w:rsid w:val="00177295"/>
    <w:rPr>
      <w:b/>
      <w:bCs/>
    </w:rPr>
  </w:style>
  <w:style w:type="character" w:customStyle="1" w:styleId="CommentSubjectChar">
    <w:name w:val="Comment Subject Char"/>
    <w:basedOn w:val="CommentTextChar"/>
    <w:link w:val="CommentSubject"/>
    <w:uiPriority w:val="99"/>
    <w:semiHidden/>
    <w:rsid w:val="00177295"/>
    <w:rPr>
      <w:b/>
      <w:bCs/>
      <w:sz w:val="20"/>
      <w:szCs w:val="20"/>
    </w:rPr>
  </w:style>
  <w:style w:type="paragraph" w:customStyle="1" w:styleId="Char2">
    <w:name w:val="Char2"/>
    <w:basedOn w:val="Normal"/>
    <w:link w:val="FootnoteReference"/>
    <w:uiPriority w:val="99"/>
    <w:rsid w:val="00FC4DB4"/>
    <w:pPr>
      <w:spacing w:line="240" w:lineRule="exact"/>
    </w:pPr>
    <w:rPr>
      <w:vertAlign w:val="superscript"/>
    </w:rPr>
  </w:style>
  <w:style w:type="paragraph" w:customStyle="1" w:styleId="Chapter">
    <w:name w:val="Chapter"/>
    <w:basedOn w:val="Normal"/>
    <w:next w:val="Normal"/>
    <w:rsid w:val="002614DD"/>
    <w:pPr>
      <w:numPr>
        <w:numId w:val="3"/>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qFormat/>
    <w:rsid w:val="002614DD"/>
    <w:pPr>
      <w:numPr>
        <w:ilvl w:val="1"/>
        <w:numId w:val="3"/>
      </w:numPr>
      <w:tabs>
        <w:tab w:val="clear" w:pos="2448"/>
        <w:tab w:val="num" w:pos="720"/>
      </w:tabs>
      <w:spacing w:before="120" w:line="240" w:lineRule="auto"/>
      <w:ind w:left="720" w:hanging="720"/>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2614DD"/>
    <w:pPr>
      <w:numPr>
        <w:ilvl w:val="2"/>
        <w:numId w:val="3"/>
      </w:numPr>
      <w:tabs>
        <w:tab w:val="clear" w:pos="2304"/>
      </w:tabs>
      <w:spacing w:before="120" w:line="240" w:lineRule="auto"/>
      <w:ind w:left="864" w:hanging="720"/>
      <w:jc w:val="both"/>
      <w:outlineLvl w:val="2"/>
    </w:pPr>
    <w:rPr>
      <w:rFonts w:ascii="Times New Roman" w:eastAsia="Times New Roman" w:hAnsi="Times New Roman" w:cs="Times New Roman"/>
      <w:sz w:val="24"/>
      <w:lang w:val="es-ES_tradnl"/>
    </w:rPr>
  </w:style>
  <w:style w:type="paragraph" w:customStyle="1" w:styleId="SubSubPar">
    <w:name w:val="SubSubPar"/>
    <w:basedOn w:val="subpar"/>
    <w:uiPriority w:val="99"/>
    <w:rsid w:val="002614DD"/>
    <w:pPr>
      <w:numPr>
        <w:ilvl w:val="3"/>
      </w:numPr>
      <w:tabs>
        <w:tab w:val="clear" w:pos="2736"/>
        <w:tab w:val="left" w:pos="0"/>
        <w:tab w:val="num" w:pos="1296"/>
      </w:tabs>
      <w:ind w:left="1296" w:hanging="720"/>
    </w:pPr>
  </w:style>
  <w:style w:type="paragraph" w:styleId="BodyTextIndent">
    <w:name w:val="Body Text Indent"/>
    <w:basedOn w:val="Normal"/>
    <w:link w:val="BodyTextIndentChar"/>
    <w:uiPriority w:val="99"/>
    <w:semiHidden/>
    <w:unhideWhenUsed/>
    <w:rsid w:val="002614DD"/>
    <w:pPr>
      <w:spacing w:after="120"/>
      <w:ind w:left="360"/>
    </w:pPr>
  </w:style>
  <w:style w:type="character" w:customStyle="1" w:styleId="BodyTextIndentChar">
    <w:name w:val="Body Text Indent Char"/>
    <w:basedOn w:val="DefaultParagraphFont"/>
    <w:link w:val="BodyTextIndent"/>
    <w:uiPriority w:val="99"/>
    <w:semiHidden/>
    <w:rsid w:val="002614DD"/>
  </w:style>
  <w:style w:type="paragraph" w:styleId="BodyTextIndent3">
    <w:name w:val="Body Text Indent 3"/>
    <w:basedOn w:val="Normal"/>
    <w:link w:val="BodyTextIndent3Char"/>
    <w:uiPriority w:val="99"/>
    <w:semiHidden/>
    <w:unhideWhenUsed/>
    <w:rsid w:val="002614D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614DD"/>
    <w:rPr>
      <w:sz w:val="16"/>
      <w:szCs w:val="16"/>
    </w:rPr>
  </w:style>
  <w:style w:type="character" w:styleId="SubtleReference">
    <w:name w:val="Subtle Reference"/>
    <w:basedOn w:val="DefaultParagraphFont"/>
    <w:uiPriority w:val="31"/>
    <w:qFormat/>
    <w:rsid w:val="004B3237"/>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147093">
      <w:bodyDiv w:val="1"/>
      <w:marLeft w:val="0"/>
      <w:marRight w:val="0"/>
      <w:marTop w:val="0"/>
      <w:marBottom w:val="0"/>
      <w:divBdr>
        <w:top w:val="none" w:sz="0" w:space="0" w:color="auto"/>
        <w:left w:val="none" w:sz="0" w:space="0" w:color="auto"/>
        <w:bottom w:val="none" w:sz="0" w:space="0" w:color="auto"/>
        <w:right w:val="none" w:sz="0" w:space="0" w:color="auto"/>
      </w:divBdr>
    </w:div>
    <w:div w:id="61219977">
      <w:bodyDiv w:val="1"/>
      <w:marLeft w:val="0"/>
      <w:marRight w:val="0"/>
      <w:marTop w:val="0"/>
      <w:marBottom w:val="0"/>
      <w:divBdr>
        <w:top w:val="none" w:sz="0" w:space="0" w:color="auto"/>
        <w:left w:val="none" w:sz="0" w:space="0" w:color="auto"/>
        <w:bottom w:val="none" w:sz="0" w:space="0" w:color="auto"/>
        <w:right w:val="none" w:sz="0" w:space="0" w:color="auto"/>
      </w:divBdr>
    </w:div>
    <w:div w:id="232325682">
      <w:bodyDiv w:val="1"/>
      <w:marLeft w:val="0"/>
      <w:marRight w:val="0"/>
      <w:marTop w:val="0"/>
      <w:marBottom w:val="0"/>
      <w:divBdr>
        <w:top w:val="none" w:sz="0" w:space="0" w:color="auto"/>
        <w:left w:val="none" w:sz="0" w:space="0" w:color="auto"/>
        <w:bottom w:val="none" w:sz="0" w:space="0" w:color="auto"/>
        <w:right w:val="none" w:sz="0" w:space="0" w:color="auto"/>
      </w:divBdr>
    </w:div>
    <w:div w:id="273246469">
      <w:bodyDiv w:val="1"/>
      <w:marLeft w:val="0"/>
      <w:marRight w:val="0"/>
      <w:marTop w:val="0"/>
      <w:marBottom w:val="0"/>
      <w:divBdr>
        <w:top w:val="none" w:sz="0" w:space="0" w:color="auto"/>
        <w:left w:val="none" w:sz="0" w:space="0" w:color="auto"/>
        <w:bottom w:val="none" w:sz="0" w:space="0" w:color="auto"/>
        <w:right w:val="none" w:sz="0" w:space="0" w:color="auto"/>
      </w:divBdr>
    </w:div>
    <w:div w:id="369690219">
      <w:bodyDiv w:val="1"/>
      <w:marLeft w:val="0"/>
      <w:marRight w:val="0"/>
      <w:marTop w:val="0"/>
      <w:marBottom w:val="0"/>
      <w:divBdr>
        <w:top w:val="none" w:sz="0" w:space="0" w:color="auto"/>
        <w:left w:val="none" w:sz="0" w:space="0" w:color="auto"/>
        <w:bottom w:val="none" w:sz="0" w:space="0" w:color="auto"/>
        <w:right w:val="none" w:sz="0" w:space="0" w:color="auto"/>
      </w:divBdr>
    </w:div>
    <w:div w:id="646471431">
      <w:bodyDiv w:val="1"/>
      <w:marLeft w:val="0"/>
      <w:marRight w:val="0"/>
      <w:marTop w:val="0"/>
      <w:marBottom w:val="0"/>
      <w:divBdr>
        <w:top w:val="none" w:sz="0" w:space="0" w:color="auto"/>
        <w:left w:val="none" w:sz="0" w:space="0" w:color="auto"/>
        <w:bottom w:val="none" w:sz="0" w:space="0" w:color="auto"/>
        <w:right w:val="none" w:sz="0" w:space="0" w:color="auto"/>
      </w:divBdr>
    </w:div>
    <w:div w:id="735864023">
      <w:bodyDiv w:val="1"/>
      <w:marLeft w:val="0"/>
      <w:marRight w:val="0"/>
      <w:marTop w:val="0"/>
      <w:marBottom w:val="0"/>
      <w:divBdr>
        <w:top w:val="none" w:sz="0" w:space="0" w:color="auto"/>
        <w:left w:val="none" w:sz="0" w:space="0" w:color="auto"/>
        <w:bottom w:val="none" w:sz="0" w:space="0" w:color="auto"/>
        <w:right w:val="none" w:sz="0" w:space="0" w:color="auto"/>
      </w:divBdr>
    </w:div>
    <w:div w:id="788822997">
      <w:bodyDiv w:val="1"/>
      <w:marLeft w:val="0"/>
      <w:marRight w:val="0"/>
      <w:marTop w:val="0"/>
      <w:marBottom w:val="0"/>
      <w:divBdr>
        <w:top w:val="none" w:sz="0" w:space="0" w:color="auto"/>
        <w:left w:val="none" w:sz="0" w:space="0" w:color="auto"/>
        <w:bottom w:val="none" w:sz="0" w:space="0" w:color="auto"/>
        <w:right w:val="none" w:sz="0" w:space="0" w:color="auto"/>
      </w:divBdr>
    </w:div>
    <w:div w:id="1500272489">
      <w:bodyDiv w:val="1"/>
      <w:marLeft w:val="0"/>
      <w:marRight w:val="0"/>
      <w:marTop w:val="0"/>
      <w:marBottom w:val="0"/>
      <w:divBdr>
        <w:top w:val="none" w:sz="0" w:space="0" w:color="auto"/>
        <w:left w:val="none" w:sz="0" w:space="0" w:color="auto"/>
        <w:bottom w:val="none" w:sz="0" w:space="0" w:color="auto"/>
        <w:right w:val="none" w:sz="0" w:space="0" w:color="auto"/>
      </w:divBdr>
    </w:div>
    <w:div w:id="1517426345">
      <w:bodyDiv w:val="1"/>
      <w:marLeft w:val="0"/>
      <w:marRight w:val="0"/>
      <w:marTop w:val="0"/>
      <w:marBottom w:val="0"/>
      <w:divBdr>
        <w:top w:val="none" w:sz="0" w:space="0" w:color="auto"/>
        <w:left w:val="none" w:sz="0" w:space="0" w:color="auto"/>
        <w:bottom w:val="none" w:sz="0" w:space="0" w:color="auto"/>
        <w:right w:val="none" w:sz="0" w:space="0" w:color="auto"/>
      </w:divBdr>
      <w:divsChild>
        <w:div w:id="670376915">
          <w:marLeft w:val="0"/>
          <w:marRight w:val="0"/>
          <w:marTop w:val="0"/>
          <w:marBottom w:val="0"/>
          <w:divBdr>
            <w:top w:val="none" w:sz="0" w:space="0" w:color="auto"/>
            <w:left w:val="none" w:sz="0" w:space="0" w:color="auto"/>
            <w:bottom w:val="none" w:sz="0" w:space="0" w:color="auto"/>
            <w:right w:val="none" w:sz="0" w:space="0" w:color="auto"/>
          </w:divBdr>
          <w:divsChild>
            <w:div w:id="139666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958952">
      <w:bodyDiv w:val="1"/>
      <w:marLeft w:val="0"/>
      <w:marRight w:val="0"/>
      <w:marTop w:val="0"/>
      <w:marBottom w:val="0"/>
      <w:divBdr>
        <w:top w:val="none" w:sz="0" w:space="0" w:color="auto"/>
        <w:left w:val="none" w:sz="0" w:space="0" w:color="auto"/>
        <w:bottom w:val="none" w:sz="0" w:space="0" w:color="auto"/>
        <w:right w:val="none" w:sz="0" w:space="0" w:color="auto"/>
      </w:divBdr>
    </w:div>
    <w:div w:id="1565987514">
      <w:bodyDiv w:val="1"/>
      <w:marLeft w:val="0"/>
      <w:marRight w:val="0"/>
      <w:marTop w:val="0"/>
      <w:marBottom w:val="0"/>
      <w:divBdr>
        <w:top w:val="none" w:sz="0" w:space="0" w:color="auto"/>
        <w:left w:val="none" w:sz="0" w:space="0" w:color="auto"/>
        <w:bottom w:val="none" w:sz="0" w:space="0" w:color="auto"/>
        <w:right w:val="none" w:sz="0" w:space="0" w:color="auto"/>
      </w:divBdr>
    </w:div>
    <w:div w:id="1806192255">
      <w:bodyDiv w:val="1"/>
      <w:marLeft w:val="0"/>
      <w:marRight w:val="0"/>
      <w:marTop w:val="0"/>
      <w:marBottom w:val="0"/>
      <w:divBdr>
        <w:top w:val="none" w:sz="0" w:space="0" w:color="auto"/>
        <w:left w:val="none" w:sz="0" w:space="0" w:color="auto"/>
        <w:bottom w:val="none" w:sz="0" w:space="0" w:color="auto"/>
        <w:right w:val="none" w:sz="0" w:space="0" w:color="auto"/>
      </w:divBdr>
    </w:div>
    <w:div w:id="2076585432">
      <w:bodyDiv w:val="1"/>
      <w:marLeft w:val="0"/>
      <w:marRight w:val="0"/>
      <w:marTop w:val="0"/>
      <w:marBottom w:val="0"/>
      <w:divBdr>
        <w:top w:val="none" w:sz="0" w:space="0" w:color="auto"/>
        <w:left w:val="none" w:sz="0" w:space="0" w:color="auto"/>
        <w:bottom w:val="none" w:sz="0" w:space="0" w:color="auto"/>
        <w:right w:val="none" w:sz="0" w:space="0" w:color="auto"/>
      </w:divBdr>
    </w:div>
    <w:div w:id="209970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4E925512DCFF34092E46748964BE4BC" ma:contentTypeVersion="0" ma:contentTypeDescription="A content type to manage public (operations) IDB documents" ma:contentTypeScope="" ma:versionID="e28c2647a347548fc92bd56674ed721f">
  <xsd:schema xmlns:xsd="http://www.w3.org/2001/XMLSchema" xmlns:xs="http://www.w3.org/2001/XMLSchema" xmlns:p="http://schemas.microsoft.com/office/2006/metadata/properties" xmlns:ns2="cdc7663a-08f0-4737-9e8c-148ce897a09c" targetNamespace="http://schemas.microsoft.com/office/2006/metadata/properties" ma:root="true" ma:fieldsID="164994c93a009b82eb555108d5d17d1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S-L114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IFD/FMM</Division_x0020_or_x0020_Unit>
    <_dlc_DocId xmlns="cdc7663a-08f0-4737-9e8c-148ce897a09c">EZSHARE-1727757758-4</_dlc_DocId>
    <Document_x0020_Author xmlns="cdc7663a-08f0-4737-9e8c-148ce897a09c">Sangines Mario F.</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057b77a9-2761-48a1-b9dc-78a115c002df</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ES-L1143</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RM-FIS</TermName>
          <TermId xmlns="http://schemas.microsoft.com/office/infopath/2007/PartnerControls">6e15b5e0-ae82-4b06-920a-eef6dd27cc8b</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RM</TermName>
          <TermId xmlns="http://schemas.microsoft.com/office/infopath/2007/PartnerControls">c8fda4a7-691a-4c65-b227-9825197b5cd2</TermId>
        </TermInfo>
      </Terms>
    </nddeef1749674d76abdbe4b239a70bc6>
    <_dlc_DocIdUrl xmlns="cdc7663a-08f0-4737-9e8c-148ce897a09c">
      <Url>https://idbg.sharepoint.com/teams/EZ-ES-LON/ES-L1143/_layouts/15/DocIdRedir.aspx?ID=EZSHARE-1727757758-4</Url>
      <Description>EZSHARE-1727757758-4</Description>
    </_dlc_DocIdUrl>
    <Phase xmlns="cdc7663a-08f0-4737-9e8c-148ce897a09c">ACTIVE</Phase>
    <Other_x0020_Author xmlns="cdc7663a-08f0-4737-9e8c-148ce897a09c">Susana Roman</Other_x0020_Author>
    <IDBDocs_x0020_Number xmlns="cdc7663a-08f0-4737-9e8c-148ce897a09c" xsi:nil="true"/>
    <TaxCatchAll xmlns="cdc7663a-08f0-4737-9e8c-148ce897a09c">
      <Value>24</Value>
      <Value>114</Value>
      <Value>37</Value>
      <Value>1</Value>
    </TaxCatchAll>
    <Fiscal_x0020_Year_x0020_IDB xmlns="cdc7663a-08f0-4737-9e8c-148ce897a09c">2020</Fiscal_x0020_Year_x0020_IDB>
    <Operation_x0020_Type xmlns="cdc7663a-08f0-4737-9e8c-148ce897a09c">LON</Operation_x0020_Typ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D583672F-44F9-4EDB-9496-6C9C25798310}">
  <ds:schemaRefs>
    <ds:schemaRef ds:uri="http://schemas.microsoft.com/sharepoint/events"/>
  </ds:schemaRefs>
</ds:datastoreItem>
</file>

<file path=customXml/itemProps2.xml><?xml version="1.0" encoding="utf-8"?>
<ds:datastoreItem xmlns:ds="http://schemas.openxmlformats.org/officeDocument/2006/customXml" ds:itemID="{F4BE558B-5955-41B6-AA0B-246ED0D9BBE8}">
  <ds:schemaRefs>
    <ds:schemaRef ds:uri="http://schemas.microsoft.com/sharepoint/v3/contenttype/forms"/>
  </ds:schemaRefs>
</ds:datastoreItem>
</file>

<file path=customXml/itemProps3.xml><?xml version="1.0" encoding="utf-8"?>
<ds:datastoreItem xmlns:ds="http://schemas.openxmlformats.org/officeDocument/2006/customXml" ds:itemID="{A08FB451-1D69-4D55-92CF-564E240C5C7F}"/>
</file>

<file path=customXml/itemProps4.xml><?xml version="1.0" encoding="utf-8"?>
<ds:datastoreItem xmlns:ds="http://schemas.openxmlformats.org/officeDocument/2006/customXml" ds:itemID="{18654488-EC89-4678-8AA4-97F60F36945B}"/>
</file>

<file path=customXml/itemProps5.xml><?xml version="1.0" encoding="utf-8"?>
<ds:datastoreItem xmlns:ds="http://schemas.openxmlformats.org/officeDocument/2006/customXml" ds:itemID="{15E3CF15-B89A-4FA5-87A7-8C6C923BCA81}"/>
</file>

<file path=customXml/itemProps6.xml><?xml version="1.0" encoding="utf-8"?>
<ds:datastoreItem xmlns:ds="http://schemas.openxmlformats.org/officeDocument/2006/customXml" ds:itemID="{B5CFA023-926C-44A0-9178-8A4C82983BC7}">
  <ds:schemaRefs>
    <ds:schemaRef ds:uri="http://purl.org/dc/terms/"/>
    <ds:schemaRef ds:uri="cdc7663a-08f0-4737-9e8c-148ce897a09c"/>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1107</Words>
  <Characters>6315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2020-04-21T22:40:00Z</dcterms:created>
  <dcterms:modified xsi:type="dcterms:W3CDTF">2020-05-19T15:08:00Z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114;#RM-FIS|6e15b5e0-ae82-4b06-920a-eef6dd27cc8b</vt:lpwstr>
  </property>
  <property fmtid="{D5CDD505-2E9C-101B-9397-08002B2CF9AE}" pid="7" name="Fund IDB">
    <vt:lpwstr/>
  </property>
  <property fmtid="{D5CDD505-2E9C-101B-9397-08002B2CF9AE}" pid="8" name="Country">
    <vt:lpwstr>24;#ES|057b77a9-2761-48a1-b9dc-78a115c002df</vt:lpwstr>
  </property>
  <property fmtid="{D5CDD505-2E9C-101B-9397-08002B2CF9AE}" pid="9" name="Sector IDB">
    <vt:lpwstr>37;#RM|c8fda4a7-691a-4c65-b227-9825197b5cd2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7d4f0e13-49a4-4f5b-b3f2-32abb6ce9bb6</vt:lpwstr>
  </property>
  <property fmtid="{D5CDD505-2E9C-101B-9397-08002B2CF9AE}" pid="12" name="Disclosure Activity">
    <vt:lpwstr>Loan Proposal</vt:lpwstr>
  </property>
  <property fmtid="{D5CDD505-2E9C-101B-9397-08002B2CF9AE}" pid="13" name="ContentTypeId">
    <vt:lpwstr>0x0101001A458A224826124E8B45B1D613300CFC0024E925512DCFF34092E46748964BE4BC</vt:lpwstr>
  </property>
</Properties>
</file>