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012DD4" w:rsidRPr="00C2576A" w:rsidRDefault="00012DD4" w:rsidP="00064DDF">
      <w:pPr>
        <w:pStyle w:val="Title"/>
        <w:rPr>
          <w:lang w:val="es-ES_tradnl"/>
        </w:rPr>
      </w:pPr>
      <w:bookmarkStart w:id="0" w:name="OLE_LINK1"/>
      <w:bookmarkStart w:id="1" w:name="_GoBack"/>
      <w:bookmarkEnd w:id="1"/>
    </w:p>
    <w:p w:rsidR="00012DD4" w:rsidRPr="00C2576A" w:rsidRDefault="00012DD4" w:rsidP="00064DDF">
      <w:pPr>
        <w:pStyle w:val="Title"/>
        <w:rPr>
          <w:lang w:val="es-ES_tradnl"/>
        </w:rPr>
      </w:pPr>
    </w:p>
    <w:p w:rsidR="00873D5C" w:rsidRPr="00C2576A" w:rsidRDefault="00873D5C" w:rsidP="00B65305">
      <w:pPr>
        <w:pStyle w:val="Title"/>
        <w:rPr>
          <w:lang w:val="es-ES_tradnl"/>
        </w:rPr>
      </w:pPr>
    </w:p>
    <w:p w:rsidR="00B65305" w:rsidRPr="00C2576A" w:rsidRDefault="00B65305" w:rsidP="00B65305">
      <w:pPr>
        <w:pStyle w:val="Title"/>
        <w:jc w:val="center"/>
        <w:rPr>
          <w:smallCaps/>
          <w:lang w:val="es-ES_tradnl"/>
        </w:rPr>
      </w:pPr>
      <w:r w:rsidRPr="00C2576A">
        <w:rPr>
          <w:smallCaps/>
          <w:lang w:val="es-ES_tradnl"/>
        </w:rPr>
        <w:t>Documento del Banco Interamericano de Desarrollo</w:t>
      </w:r>
    </w:p>
    <w:p w:rsidR="00B65305" w:rsidRPr="00C2576A" w:rsidRDefault="00B65305" w:rsidP="00B65305">
      <w:pPr>
        <w:pStyle w:val="ColorfulList-Accent11"/>
        <w:ind w:left="1080"/>
        <w:jc w:val="center"/>
        <w:rPr>
          <w:b/>
          <w:lang w:val="es-ES_tradnl"/>
        </w:rPr>
      </w:pPr>
    </w:p>
    <w:p w:rsidR="00B65305" w:rsidRPr="00C2576A" w:rsidRDefault="00B65305" w:rsidP="00B65305">
      <w:pPr>
        <w:tabs>
          <w:tab w:val="left" w:pos="1440"/>
          <w:tab w:val="left" w:pos="3060"/>
        </w:tabs>
        <w:jc w:val="center"/>
        <w:rPr>
          <w:b/>
          <w:smallCaps/>
          <w:lang w:val="es-ES_tradnl"/>
        </w:rPr>
      </w:pPr>
    </w:p>
    <w:p w:rsidR="00B65305" w:rsidRPr="00C2576A" w:rsidRDefault="00B65305" w:rsidP="00B65305">
      <w:pPr>
        <w:tabs>
          <w:tab w:val="left" w:pos="1440"/>
          <w:tab w:val="left" w:pos="3060"/>
        </w:tabs>
        <w:jc w:val="center"/>
        <w:rPr>
          <w:b/>
          <w:smallCaps/>
          <w:lang w:val="es-ES_tradnl"/>
        </w:rPr>
      </w:pPr>
    </w:p>
    <w:p w:rsidR="00B65305" w:rsidRPr="00C2576A" w:rsidRDefault="00B65305" w:rsidP="00B65305">
      <w:pPr>
        <w:tabs>
          <w:tab w:val="left" w:pos="1440"/>
          <w:tab w:val="left" w:pos="3060"/>
        </w:tabs>
        <w:jc w:val="center"/>
        <w:rPr>
          <w:b/>
          <w:smallCaps/>
          <w:lang w:val="es-ES_tradnl"/>
        </w:rPr>
      </w:pPr>
    </w:p>
    <w:p w:rsidR="00B65305" w:rsidRPr="00C2576A" w:rsidRDefault="00B65305" w:rsidP="00B65305">
      <w:pPr>
        <w:tabs>
          <w:tab w:val="left" w:pos="1440"/>
          <w:tab w:val="left" w:pos="3060"/>
        </w:tabs>
        <w:jc w:val="center"/>
        <w:rPr>
          <w:b/>
          <w:smallCaps/>
          <w:lang w:val="es-ES_tradnl"/>
        </w:rPr>
      </w:pPr>
    </w:p>
    <w:p w:rsidR="00B65305" w:rsidRPr="00C2576A" w:rsidRDefault="00287C55" w:rsidP="00B65305">
      <w:pPr>
        <w:tabs>
          <w:tab w:val="left" w:pos="1440"/>
          <w:tab w:val="left" w:pos="3060"/>
        </w:tabs>
        <w:jc w:val="center"/>
        <w:rPr>
          <w:b/>
          <w:smallCaps/>
          <w:lang w:val="es-ES_tradnl"/>
        </w:rPr>
      </w:pPr>
      <w:r w:rsidRPr="00C2576A">
        <w:rPr>
          <w:b/>
          <w:smallCaps/>
          <w:lang w:val="es-ES_tradnl"/>
        </w:rPr>
        <w:t>N</w:t>
      </w:r>
      <w:r w:rsidR="00B65305" w:rsidRPr="00C2576A">
        <w:rPr>
          <w:b/>
          <w:smallCaps/>
          <w:lang w:val="es-ES_tradnl"/>
        </w:rPr>
        <w:t>icaragua</w:t>
      </w:r>
    </w:p>
    <w:p w:rsidR="00B65305" w:rsidRPr="00C2576A" w:rsidRDefault="00B65305" w:rsidP="00B65305">
      <w:pPr>
        <w:tabs>
          <w:tab w:val="left" w:pos="1440"/>
          <w:tab w:val="left" w:pos="3060"/>
        </w:tabs>
        <w:jc w:val="center"/>
        <w:rPr>
          <w:b/>
          <w:smallCaps/>
          <w:highlight w:val="lightGray"/>
          <w:lang w:val="es-ES_tradnl"/>
        </w:rPr>
      </w:pPr>
    </w:p>
    <w:p w:rsidR="00B65305" w:rsidRPr="00C2576A" w:rsidRDefault="00B65305" w:rsidP="00B65305">
      <w:pPr>
        <w:tabs>
          <w:tab w:val="left" w:pos="1440"/>
          <w:tab w:val="left" w:pos="3060"/>
        </w:tabs>
        <w:jc w:val="center"/>
        <w:rPr>
          <w:b/>
          <w:smallCaps/>
          <w:highlight w:val="lightGray"/>
          <w:lang w:val="es-ES_tradnl"/>
        </w:rPr>
      </w:pPr>
    </w:p>
    <w:p w:rsidR="00B65305" w:rsidRPr="00C2576A" w:rsidRDefault="00B65305" w:rsidP="00B65305">
      <w:pPr>
        <w:tabs>
          <w:tab w:val="left" w:pos="1440"/>
          <w:tab w:val="left" w:pos="3060"/>
        </w:tabs>
        <w:jc w:val="center"/>
        <w:rPr>
          <w:b/>
          <w:smallCaps/>
          <w:highlight w:val="lightGray"/>
          <w:lang w:val="es-ES_tradnl"/>
        </w:rPr>
      </w:pPr>
    </w:p>
    <w:p w:rsidR="000565A3" w:rsidRPr="00C2576A" w:rsidRDefault="000565A3" w:rsidP="00B65305">
      <w:pPr>
        <w:tabs>
          <w:tab w:val="left" w:pos="1440"/>
          <w:tab w:val="left" w:pos="3060"/>
        </w:tabs>
        <w:jc w:val="center"/>
        <w:rPr>
          <w:b/>
          <w:smallCaps/>
          <w:lang w:val="es-ES_tradnl"/>
        </w:rPr>
      </w:pPr>
      <w:r w:rsidRPr="00C2576A">
        <w:rPr>
          <w:b/>
          <w:smallCaps/>
          <w:lang w:val="es-ES_tradnl"/>
        </w:rPr>
        <w:t>PROGRAMA DE MEJORA DE LA PRODUCTIVIDAD EN NICARAGUA II</w:t>
      </w:r>
    </w:p>
    <w:p w:rsidR="00B65305" w:rsidRPr="00C2576A" w:rsidRDefault="00B65305" w:rsidP="00B65305">
      <w:pPr>
        <w:tabs>
          <w:tab w:val="left" w:pos="1440"/>
          <w:tab w:val="left" w:pos="3060"/>
        </w:tabs>
        <w:jc w:val="center"/>
        <w:rPr>
          <w:b/>
          <w:smallCaps/>
          <w:lang w:val="es-ES_tradnl"/>
        </w:rPr>
      </w:pPr>
      <w:r w:rsidRPr="00C2576A">
        <w:rPr>
          <w:b/>
          <w:smallCaps/>
          <w:lang w:val="es-ES_tradnl"/>
        </w:rPr>
        <w:t>NI-</w:t>
      </w:r>
      <w:r w:rsidR="00A3302F" w:rsidRPr="00C2576A">
        <w:rPr>
          <w:b/>
          <w:smallCaps/>
          <w:lang w:val="es-ES_tradnl"/>
        </w:rPr>
        <w:t>L10</w:t>
      </w:r>
      <w:r w:rsidR="00AD4B98" w:rsidRPr="00C2576A">
        <w:rPr>
          <w:b/>
          <w:smallCaps/>
          <w:lang w:val="es-ES_tradnl"/>
        </w:rPr>
        <w:t>9</w:t>
      </w:r>
      <w:r w:rsidR="000565A3" w:rsidRPr="00C2576A">
        <w:rPr>
          <w:b/>
          <w:smallCaps/>
          <w:lang w:val="es-ES_tradnl"/>
        </w:rPr>
        <w:t>6</w:t>
      </w:r>
    </w:p>
    <w:p w:rsidR="00B65305" w:rsidRPr="00C2576A" w:rsidRDefault="00B65305" w:rsidP="00B65305">
      <w:pPr>
        <w:pStyle w:val="Newpage"/>
        <w:rPr>
          <w:rFonts w:ascii="Arial" w:hAnsi="Arial"/>
          <w:b w:val="0"/>
          <w:caps/>
          <w:smallCaps w:val="0"/>
          <w:szCs w:val="24"/>
        </w:rPr>
      </w:pPr>
    </w:p>
    <w:p w:rsidR="00B65305" w:rsidRPr="00C2576A" w:rsidRDefault="00B65305" w:rsidP="00B65305">
      <w:pPr>
        <w:tabs>
          <w:tab w:val="left" w:pos="1440"/>
          <w:tab w:val="left" w:pos="3060"/>
        </w:tabs>
        <w:jc w:val="center"/>
        <w:rPr>
          <w:smallCaps/>
          <w:lang w:val="es-ES_tradnl"/>
        </w:rPr>
      </w:pPr>
    </w:p>
    <w:p w:rsidR="00B65305" w:rsidRPr="00C2576A" w:rsidRDefault="00B65305" w:rsidP="00B65305">
      <w:pPr>
        <w:tabs>
          <w:tab w:val="left" w:pos="1440"/>
          <w:tab w:val="left" w:pos="3060"/>
        </w:tabs>
        <w:jc w:val="center"/>
        <w:outlineLvl w:val="0"/>
        <w:rPr>
          <w:b/>
          <w:smallCaps/>
          <w:lang w:val="es-ES_tradnl"/>
        </w:rPr>
      </w:pPr>
      <w:r w:rsidRPr="00C2576A">
        <w:rPr>
          <w:b/>
          <w:smallCaps/>
          <w:lang w:val="es-ES_tradnl"/>
        </w:rPr>
        <w:t>Plan de Seguimiento y Evaluación</w:t>
      </w:r>
    </w:p>
    <w:p w:rsidR="00B65305" w:rsidRPr="00C2576A" w:rsidRDefault="00B65305" w:rsidP="00B65305">
      <w:pPr>
        <w:tabs>
          <w:tab w:val="left" w:pos="1440"/>
          <w:tab w:val="left" w:pos="3060"/>
        </w:tabs>
        <w:jc w:val="center"/>
        <w:outlineLvl w:val="0"/>
        <w:rPr>
          <w:b/>
          <w:smallCaps/>
          <w:lang w:val="es-ES_tradnl"/>
        </w:rPr>
      </w:pPr>
    </w:p>
    <w:p w:rsidR="00B65305" w:rsidRPr="00C2576A" w:rsidRDefault="00B65305" w:rsidP="00B65305">
      <w:pPr>
        <w:pStyle w:val="ColorfulList-Accent11"/>
        <w:ind w:left="1080"/>
        <w:jc w:val="center"/>
        <w:rPr>
          <w:b/>
          <w:lang w:val="es-ES_tradnl"/>
        </w:rPr>
      </w:pPr>
    </w:p>
    <w:p w:rsidR="00B65305" w:rsidRPr="00C2576A" w:rsidRDefault="00B65305" w:rsidP="00B65305">
      <w:pPr>
        <w:pStyle w:val="ColorfulList-Accent11"/>
        <w:ind w:left="1080"/>
        <w:jc w:val="center"/>
        <w:rPr>
          <w:b/>
          <w:lang w:val="es-ES_tradnl"/>
        </w:rPr>
      </w:pPr>
    </w:p>
    <w:p w:rsidR="00B65305" w:rsidRPr="00C2576A" w:rsidRDefault="00B65305" w:rsidP="00B65305">
      <w:pPr>
        <w:pStyle w:val="ColorfulList-Accent11"/>
        <w:ind w:left="1080"/>
        <w:jc w:val="center"/>
        <w:rPr>
          <w:b/>
          <w:lang w:val="es-ES_tradnl"/>
        </w:rPr>
      </w:pPr>
    </w:p>
    <w:p w:rsidR="00B65305" w:rsidRPr="00C2576A" w:rsidRDefault="00B65305" w:rsidP="00B65305">
      <w:pPr>
        <w:pStyle w:val="ColorfulList-Accent11"/>
        <w:ind w:left="1080"/>
        <w:jc w:val="center"/>
        <w:rPr>
          <w:b/>
          <w:lang w:val="es-ES_tradnl"/>
        </w:rPr>
      </w:pPr>
    </w:p>
    <w:p w:rsidR="00B65305" w:rsidRPr="00C2576A" w:rsidRDefault="00B65305" w:rsidP="00B65305">
      <w:pPr>
        <w:pStyle w:val="ColorfulList-Accent11"/>
        <w:ind w:left="1080"/>
        <w:jc w:val="center"/>
        <w:rPr>
          <w:b/>
          <w:lang w:val="es-ES_tradnl"/>
        </w:rPr>
      </w:pPr>
    </w:p>
    <w:p w:rsidR="00B65305" w:rsidRPr="00C2576A" w:rsidRDefault="00B65305" w:rsidP="00B65305">
      <w:pPr>
        <w:pStyle w:val="ColorfulList-Accent11"/>
        <w:ind w:left="1080"/>
        <w:jc w:val="center"/>
        <w:rPr>
          <w:b/>
          <w:lang w:val="es-ES_tradnl"/>
        </w:rPr>
      </w:pPr>
    </w:p>
    <w:p w:rsidR="00B65305" w:rsidRPr="00C2576A" w:rsidRDefault="00B65305" w:rsidP="00B65305">
      <w:pPr>
        <w:pStyle w:val="ColorfulList-Accent11"/>
        <w:ind w:left="1080"/>
        <w:jc w:val="center"/>
        <w:rPr>
          <w:b/>
          <w:lang w:val="es-ES_tradnl"/>
        </w:rPr>
      </w:pPr>
    </w:p>
    <w:p w:rsidR="00B65305" w:rsidRPr="00C2576A" w:rsidRDefault="00B65305" w:rsidP="00B65305">
      <w:pPr>
        <w:pStyle w:val="ColorfulList-Accent11"/>
        <w:ind w:left="1080"/>
        <w:jc w:val="center"/>
        <w:rPr>
          <w:b/>
          <w:lang w:val="es-ES_tradnl"/>
        </w:rPr>
      </w:pPr>
    </w:p>
    <w:p w:rsidR="00B65305" w:rsidRPr="00C2576A" w:rsidRDefault="00B65305" w:rsidP="00B65305">
      <w:pPr>
        <w:pStyle w:val="ColorfulList-Accent11"/>
        <w:ind w:left="1080"/>
        <w:jc w:val="center"/>
        <w:rPr>
          <w:b/>
          <w:lang w:val="es-ES_tradnl"/>
        </w:rPr>
      </w:pPr>
    </w:p>
    <w:p w:rsidR="00B65305" w:rsidRPr="00C2576A" w:rsidRDefault="00B65305" w:rsidP="00B65305">
      <w:pPr>
        <w:pStyle w:val="ColorfulList-Accent11"/>
        <w:ind w:left="1080"/>
        <w:jc w:val="center"/>
        <w:rPr>
          <w:b/>
          <w:lang w:val="es-ES_tradnl"/>
        </w:rPr>
      </w:pPr>
    </w:p>
    <w:p w:rsidR="00B65305" w:rsidRPr="00C2576A" w:rsidRDefault="00B65305" w:rsidP="007759DF">
      <w:pPr>
        <w:tabs>
          <w:tab w:val="left" w:pos="1440"/>
          <w:tab w:val="left" w:pos="3060"/>
        </w:tabs>
        <w:rPr>
          <w:lang w:val="es-ES_tradnl"/>
        </w:rPr>
      </w:pPr>
    </w:p>
    <w:p w:rsidR="00012DD4" w:rsidRPr="00C2576A" w:rsidRDefault="00012DD4" w:rsidP="00064DDF">
      <w:pPr>
        <w:rPr>
          <w:color w:val="0000FF"/>
          <w:sz w:val="36"/>
          <w:szCs w:val="36"/>
          <w:lang w:val="es-ES_tradnl"/>
        </w:rPr>
      </w:pPr>
    </w:p>
    <w:p w:rsidR="00A3302F" w:rsidRPr="00C2576A" w:rsidRDefault="00A3302F" w:rsidP="00064DDF">
      <w:pPr>
        <w:rPr>
          <w:color w:val="0000FF"/>
          <w:sz w:val="36"/>
          <w:szCs w:val="36"/>
          <w:lang w:val="es-ES_tradnl"/>
        </w:rPr>
      </w:pPr>
    </w:p>
    <w:p w:rsidR="00ED581C" w:rsidRPr="00C2576A" w:rsidRDefault="00ED581C" w:rsidP="00064DDF">
      <w:pPr>
        <w:rPr>
          <w:color w:val="0000FF"/>
          <w:sz w:val="36"/>
          <w:szCs w:val="36"/>
          <w:lang w:val="es-ES_tradnl"/>
        </w:rPr>
      </w:pPr>
    </w:p>
    <w:p w:rsidR="007F6153" w:rsidRPr="00C2576A" w:rsidRDefault="007F6153" w:rsidP="007F6153">
      <w:pPr>
        <w:rPr>
          <w:lang w:val="es-ES_tradnl"/>
        </w:rPr>
      </w:pPr>
      <w:bookmarkStart w:id="2" w:name="_Toc287263676"/>
      <w:bookmarkStart w:id="3" w:name="_Toc287263999"/>
      <w:bookmarkEnd w:id="2"/>
      <w:bookmarkEnd w:id="3"/>
    </w:p>
    <w:p w:rsidR="00012DD4" w:rsidRPr="00C2576A" w:rsidRDefault="00E5572D" w:rsidP="00C63989">
      <w:pPr>
        <w:pStyle w:val="Heading1"/>
        <w:keepLines w:val="0"/>
        <w:numPr>
          <w:ilvl w:val="0"/>
          <w:numId w:val="7"/>
        </w:numPr>
        <w:spacing w:before="240" w:after="240"/>
        <w:jc w:val="center"/>
        <w:rPr>
          <w:rFonts w:eastAsia="Times New Roman"/>
          <w:bCs w:val="0"/>
          <w:color w:val="auto"/>
          <w:szCs w:val="20"/>
        </w:rPr>
      </w:pPr>
      <w:bookmarkStart w:id="4" w:name="_Toc360529028"/>
      <w:r w:rsidRPr="00C2576A">
        <w:rPr>
          <w:rFonts w:eastAsia="Times New Roman"/>
          <w:bCs w:val="0"/>
          <w:color w:val="auto"/>
          <w:szCs w:val="20"/>
        </w:rPr>
        <w:lastRenderedPageBreak/>
        <w:t>Introducción</w:t>
      </w:r>
      <w:bookmarkEnd w:id="4"/>
    </w:p>
    <w:bookmarkEnd w:id="0"/>
    <w:p w:rsidR="00295C32" w:rsidRPr="00C2576A" w:rsidRDefault="00241EA7" w:rsidP="00C63989">
      <w:pPr>
        <w:pStyle w:val="Heading3"/>
        <w:numPr>
          <w:ilvl w:val="0"/>
          <w:numId w:val="0"/>
        </w:numPr>
        <w:tabs>
          <w:tab w:val="left" w:pos="720"/>
        </w:tabs>
        <w:ind w:firstLine="720"/>
        <w:rPr>
          <w:rFonts w:ascii="Arial" w:hAnsi="Arial" w:cs="Arial"/>
          <w:sz w:val="22"/>
          <w:szCs w:val="22"/>
        </w:rPr>
      </w:pPr>
      <w:r w:rsidRPr="00C2576A">
        <w:rPr>
          <w:rFonts w:ascii="Arial" w:hAnsi="Arial" w:cs="Arial"/>
          <w:sz w:val="22"/>
          <w:szCs w:val="22"/>
        </w:rPr>
        <w:t>Antecedentes y objetivos del programa</w:t>
      </w:r>
    </w:p>
    <w:p w:rsidR="000565A3" w:rsidRPr="00C2576A" w:rsidRDefault="000565A3" w:rsidP="000565A3">
      <w:pPr>
        <w:pStyle w:val="21Paragraph"/>
        <w:ind w:left="720" w:hanging="720"/>
        <w:rPr>
          <w:rFonts w:ascii="Arial" w:hAnsi="Arial" w:cs="Arial"/>
          <w:sz w:val="22"/>
          <w:szCs w:val="22"/>
        </w:rPr>
      </w:pPr>
      <w:bookmarkStart w:id="5" w:name="_Toc360529033"/>
      <w:bookmarkStart w:id="6" w:name="_Toc165687330"/>
      <w:r w:rsidRPr="00C2576A">
        <w:rPr>
          <w:rFonts w:ascii="Arial" w:hAnsi="Arial" w:cs="Arial"/>
          <w:b/>
          <w:sz w:val="22"/>
          <w:szCs w:val="22"/>
        </w:rPr>
        <w:t>Objetivos de programa.</w:t>
      </w:r>
      <w:r w:rsidRPr="00C2576A">
        <w:rPr>
          <w:rFonts w:ascii="Arial" w:hAnsi="Arial" w:cs="Arial"/>
          <w:sz w:val="22"/>
          <w:szCs w:val="22"/>
        </w:rPr>
        <w:t xml:space="preserve"> El objetivo del programa es la mejora de la productividad en Nicaragua. Los objetivos específicos del programa son: (i) mantener un marco macroeconómico estable y consistente con los objetivos del programa; (ii) fortalecer la regulación financiera para mejorar el acceso al financiamiento de empresas y proyectos productivos; (iii) mejorar el clima de negocios y la competencia; y (iv) fortalecer el marco institucional de apoyo al desarrollo productivo.</w:t>
      </w:r>
    </w:p>
    <w:p w:rsidR="000565A3" w:rsidRPr="00C2576A" w:rsidRDefault="000565A3" w:rsidP="000565A3">
      <w:pPr>
        <w:pStyle w:val="21Paragraph"/>
        <w:ind w:left="720" w:hanging="720"/>
        <w:rPr>
          <w:rFonts w:ascii="Arial" w:hAnsi="Arial" w:cs="Arial"/>
          <w:sz w:val="22"/>
          <w:szCs w:val="22"/>
        </w:rPr>
      </w:pPr>
      <w:r w:rsidRPr="00C2576A">
        <w:rPr>
          <w:rFonts w:ascii="Arial" w:hAnsi="Arial" w:cs="Arial"/>
          <w:sz w:val="22"/>
          <w:szCs w:val="22"/>
        </w:rPr>
        <w:t xml:space="preserve">La presente operación </w:t>
      </w:r>
      <w:r w:rsidR="00AD4B98" w:rsidRPr="00C2576A">
        <w:rPr>
          <w:rFonts w:ascii="Arial" w:hAnsi="Arial" w:cs="Arial"/>
          <w:sz w:val="22"/>
          <w:szCs w:val="22"/>
        </w:rPr>
        <w:t>NI-L109</w:t>
      </w:r>
      <w:r w:rsidRPr="00C2576A">
        <w:rPr>
          <w:rFonts w:ascii="Arial" w:hAnsi="Arial" w:cs="Arial"/>
          <w:sz w:val="22"/>
          <w:szCs w:val="22"/>
        </w:rPr>
        <w:t xml:space="preserve">6 es la segunda de dos consecutivas, vinculadas técnicamente entre sí, pero financiadas de forma independiente bajo la modalidad de Préstamo Programático de Apoyo a Reformas de Política. Dada la vinculación técnica entre estas operaciones, el análisis económico que acompañó la primera operación continúa siendo el marco de referencia. En línea con el proceso de mejoramiento de los documentos técnicos que acompañan las operaciones acordado con SPD, cabe notar que el análisis económico se encuentra en línea con una de las metodologías acordadas (cuantificaciones basadas en formas reducidas) y que, por esta razón, y por ser lo aprobado oportunamente, no se modifica esta metodología. </w:t>
      </w:r>
    </w:p>
    <w:p w:rsidR="000565A3" w:rsidRPr="00C2576A" w:rsidRDefault="000565A3" w:rsidP="000565A3">
      <w:pPr>
        <w:pStyle w:val="21Paragraph"/>
        <w:ind w:left="720" w:hanging="720"/>
        <w:rPr>
          <w:rFonts w:ascii="Arial" w:hAnsi="Arial" w:cs="Arial"/>
          <w:sz w:val="22"/>
          <w:szCs w:val="22"/>
        </w:rPr>
      </w:pPr>
      <w:r w:rsidRPr="00C2576A">
        <w:rPr>
          <w:rFonts w:ascii="Arial" w:hAnsi="Arial" w:cs="Arial"/>
          <w:sz w:val="22"/>
          <w:szCs w:val="22"/>
        </w:rPr>
        <w:t xml:space="preserve">Por otra parte, y también en línea con el proceso de mejoramiento de los documentos técnicos que acompañan las operaciones acordado con SPD, se considera adecuado y conveniente la revisión de la estimación de costos de la primera operación. En esencia esta modificación incorpora la noción de que los costos a considerar bajo una metodología como la aprobada corresponde a los costos de implementación de las reformas bajo consideración, dejando de lado el costo financiero de la ayuda. Es importante notar aquí que esta modificación no se espera modifique substancialmente el cálculo inicial ya que el grueso de los beneficios netos proviene de las mejoras de ingresos resultantes y no de ahorros en costos. En forma adicional, se indica que se procede al recalculo utilizando información actualizada principalmente de las series de PBI. </w:t>
      </w:r>
    </w:p>
    <w:p w:rsidR="000565A3" w:rsidRPr="00C2576A" w:rsidRDefault="000565A3" w:rsidP="000565A3">
      <w:pPr>
        <w:pStyle w:val="21Paragraph"/>
        <w:ind w:left="720" w:hanging="720"/>
        <w:rPr>
          <w:rFonts w:ascii="Arial" w:hAnsi="Arial" w:cs="Arial"/>
          <w:sz w:val="22"/>
          <w:szCs w:val="22"/>
          <w:lang w:val="es-AR"/>
        </w:rPr>
      </w:pPr>
      <w:r w:rsidRPr="00C2576A">
        <w:rPr>
          <w:rFonts w:ascii="Arial" w:hAnsi="Arial" w:cs="Arial"/>
          <w:b/>
          <w:bCs/>
          <w:sz w:val="22"/>
          <w:szCs w:val="22"/>
        </w:rPr>
        <w:t>Contexto macroeconómico.</w:t>
      </w:r>
      <w:r w:rsidRPr="00C2576A">
        <w:rPr>
          <w:rFonts w:ascii="Arial" w:hAnsi="Arial" w:cs="Arial"/>
          <w:sz w:val="22"/>
          <w:szCs w:val="22"/>
        </w:rPr>
        <w:t xml:space="preserve"> La economía nicaragüense continuó mostrando un crecimiento sólido en 2014 y 2015. El Producto Interno Bruto (PIB) creció 4,7% en 2014, con proyecciones positivas para 2015 y 2016 (en torno al 4,1%). Hacia finales de 2015, la inflación había descendido a nivel de 3%, debido a la baja en los precios de los alimentos y los costos de transporte. Los niveles de pobreza e indigencia se redujeron significativamente, pasando respectivamente de 42,5% y 14,6% en 2009 a 29,6% y 8,3% en 2014.La deuda pública  pasó de representar el 43% del PIB en 2013 al 41% en 2014. A pesar de estos avances, diagnósticos internacionales coindicen en señalar la necesidad de continuar avanzando en la implementación de un marco de políticas sólido, que permita afianzar el crecimiento en el mediano y largo plazo. En particular, se destaca la necesidad de implementar mejoras en las áreas de: (i) supervisión y regulación del sistema financiero, para incrementar el acceso a financiamiento por parte del sector productivo sin afectar la estabilidad macroeconómica; y (ii) competitividad del </w:t>
      </w:r>
      <w:r w:rsidRPr="00C2576A">
        <w:rPr>
          <w:rFonts w:ascii="Arial" w:hAnsi="Arial" w:cs="Arial"/>
          <w:sz w:val="22"/>
          <w:szCs w:val="22"/>
        </w:rPr>
        <w:lastRenderedPageBreak/>
        <w:t>sector productivo, para diversificar la oferta exportadora y reducir la vulnerabilidad de la economía a shocks externos.</w:t>
      </w:r>
      <w:r w:rsidRPr="00C2576A">
        <w:rPr>
          <w:rFonts w:ascii="Arial" w:hAnsi="Arial" w:cs="Arial"/>
          <w:sz w:val="22"/>
          <w:szCs w:val="22"/>
          <w:vertAlign w:val="superscript"/>
        </w:rPr>
        <w:footnoteReference w:id="1"/>
      </w:r>
      <w:r w:rsidRPr="00C2576A">
        <w:rPr>
          <w:rFonts w:ascii="Arial" w:hAnsi="Arial" w:cs="Arial"/>
          <w:sz w:val="22"/>
          <w:szCs w:val="22"/>
          <w:vertAlign w:val="superscript"/>
        </w:rPr>
        <w:t>,</w:t>
      </w:r>
      <w:r w:rsidRPr="00C2576A">
        <w:rPr>
          <w:rFonts w:ascii="Arial" w:hAnsi="Arial" w:cs="Arial"/>
          <w:sz w:val="22"/>
          <w:szCs w:val="22"/>
          <w:vertAlign w:val="superscript"/>
        </w:rPr>
        <w:footnoteReference w:id="2"/>
      </w:r>
      <w:r w:rsidRPr="00C2576A">
        <w:rPr>
          <w:rFonts w:ascii="Arial" w:hAnsi="Arial" w:cs="Arial"/>
          <w:sz w:val="22"/>
          <w:szCs w:val="22"/>
        </w:rPr>
        <w:t xml:space="preserve"> </w:t>
      </w:r>
    </w:p>
    <w:p w:rsidR="000565A3" w:rsidRPr="00C2576A" w:rsidRDefault="000565A3" w:rsidP="000565A3">
      <w:pPr>
        <w:pStyle w:val="21Paragraph"/>
        <w:ind w:left="720" w:hanging="720"/>
        <w:rPr>
          <w:rFonts w:ascii="Arial" w:hAnsi="Arial" w:cs="Arial"/>
          <w:sz w:val="22"/>
          <w:szCs w:val="22"/>
          <w:lang w:val="es-AR"/>
        </w:rPr>
      </w:pPr>
      <w:r w:rsidRPr="00C2576A">
        <w:rPr>
          <w:rFonts w:ascii="Arial" w:hAnsi="Arial" w:cs="Arial"/>
          <w:b/>
          <w:bCs/>
          <w:sz w:val="22"/>
          <w:szCs w:val="22"/>
          <w:lang w:val="es-AR"/>
        </w:rPr>
        <w:t>Desafíos de política.</w:t>
      </w:r>
      <w:r w:rsidRPr="00C2576A">
        <w:rPr>
          <w:rFonts w:ascii="Arial" w:hAnsi="Arial" w:cs="Arial"/>
          <w:sz w:val="22"/>
          <w:szCs w:val="22"/>
          <w:lang w:val="es-AR"/>
        </w:rPr>
        <w:t xml:space="preserve"> </w:t>
      </w:r>
      <w:r w:rsidRPr="00C2576A">
        <w:rPr>
          <w:rFonts w:ascii="Arial" w:hAnsi="Arial" w:cs="Arial"/>
          <w:sz w:val="22"/>
          <w:szCs w:val="22"/>
        </w:rPr>
        <w:t xml:space="preserve">Nicaragua ha sido el país de América Latina cuya productividad se ha rezagado más en relación con la de los EE.UU. desde 1960 (BID, DIA, 2010). </w:t>
      </w:r>
      <w:r w:rsidRPr="00C2576A">
        <w:rPr>
          <w:rFonts w:ascii="Arial" w:hAnsi="Arial" w:cs="Arial"/>
          <w:sz w:val="22"/>
          <w:szCs w:val="22"/>
          <w:lang w:val="es-AR"/>
        </w:rPr>
        <w:t>Desde principios de los 90, el crecimiento se ha basado en el aumento del factor trabajo, mientras que la contribución de la PTF ha sido negativa (entre el -0,3% y -0,2%promedio anual)</w:t>
      </w:r>
      <w:r w:rsidRPr="00C2576A">
        <w:rPr>
          <w:rStyle w:val="FootnoteReference"/>
          <w:rFonts w:ascii="Arial" w:hAnsi="Arial" w:cs="Arial"/>
          <w:sz w:val="22"/>
          <w:szCs w:val="22"/>
        </w:rPr>
        <w:footnoteReference w:id="3"/>
      </w:r>
      <w:r w:rsidRPr="00C2576A">
        <w:rPr>
          <w:rFonts w:ascii="Arial" w:hAnsi="Arial" w:cs="Arial"/>
          <w:sz w:val="22"/>
          <w:szCs w:val="22"/>
          <w:lang w:val="es-AR"/>
        </w:rPr>
        <w:t xml:space="preserve">. El Gobierno de Nicaragua (GdNI), en coherencia con los diagnósticos y </w:t>
      </w:r>
      <w:r w:rsidRPr="00C2576A">
        <w:rPr>
          <w:rFonts w:ascii="Arial" w:hAnsi="Arial" w:cs="Arial"/>
          <w:sz w:val="22"/>
          <w:szCs w:val="22"/>
        </w:rPr>
        <w:t>recomendaciones</w:t>
      </w:r>
      <w:r w:rsidRPr="00C2576A">
        <w:rPr>
          <w:rFonts w:ascii="Arial" w:hAnsi="Arial" w:cs="Arial"/>
          <w:sz w:val="22"/>
          <w:szCs w:val="22"/>
          <w:lang w:val="es-AR"/>
        </w:rPr>
        <w:t xml:space="preserve"> de los organismos multilaterales (FME, Artículo IV, 2013 y BID, 2013), considera clave emprender una agenda de reformas estructurales destinadas a mejorar la productividad del país, ampliar las capacidades productivas de las empresas y fortalecer el conjunto de cadenas de valor que integran la economía de Nicaragua. </w:t>
      </w:r>
    </w:p>
    <w:p w:rsidR="000565A3" w:rsidRPr="00C2576A" w:rsidRDefault="000565A3" w:rsidP="000565A3">
      <w:pPr>
        <w:pStyle w:val="21Paragraph"/>
        <w:ind w:left="720" w:hanging="720"/>
        <w:rPr>
          <w:rFonts w:ascii="Arial" w:hAnsi="Arial" w:cs="Arial"/>
          <w:sz w:val="22"/>
          <w:szCs w:val="22"/>
        </w:rPr>
      </w:pPr>
      <w:r w:rsidRPr="00C2576A">
        <w:rPr>
          <w:rFonts w:ascii="Arial" w:hAnsi="Arial" w:cs="Arial"/>
          <w:b/>
          <w:sz w:val="22"/>
          <w:szCs w:val="22"/>
        </w:rPr>
        <w:t xml:space="preserve">Prioridades de reforma. </w:t>
      </w:r>
      <w:r w:rsidRPr="00C2576A">
        <w:rPr>
          <w:rFonts w:ascii="Arial" w:hAnsi="Arial" w:cs="Arial"/>
          <w:sz w:val="22"/>
          <w:szCs w:val="22"/>
        </w:rPr>
        <w:t>Las causas principales que frenan el avance de la productividad se pueden agrupar en tres ejes: (i) la estabilidad, del acceso y de la eficiencia en la intermediación financiera para facilitar la expansión de los proyectos y empresas más productivos; (ii) el clima de negocios y de la competencia como elementos clave para rebajar los costes de transacción e incrementar la disciplina de mercado; (ii) las instituciones y las políticas de desarrollo productivo. Estas líneas de reforma son altamente consistentes con los estudios realizados sobre los efectos de las reformas estructurales sobre el crecimiento y la productividad en Centroamérica y Nicaragua</w:t>
      </w:r>
      <w:r w:rsidRPr="00C2576A">
        <w:rPr>
          <w:rStyle w:val="FootnoteReference"/>
          <w:rFonts w:ascii="Arial" w:hAnsi="Arial" w:cs="Arial"/>
          <w:sz w:val="22"/>
          <w:szCs w:val="22"/>
        </w:rPr>
        <w:footnoteReference w:id="4"/>
      </w:r>
      <w:r w:rsidRPr="00C2576A">
        <w:rPr>
          <w:rFonts w:ascii="Arial" w:hAnsi="Arial" w:cs="Arial"/>
          <w:sz w:val="22"/>
          <w:szCs w:val="22"/>
        </w:rPr>
        <w:t xml:space="preserve">. </w:t>
      </w:r>
    </w:p>
    <w:p w:rsidR="003A1FBF" w:rsidRPr="00C2576A" w:rsidRDefault="003A1FBF" w:rsidP="00C63989">
      <w:pPr>
        <w:pStyle w:val="Heading1"/>
        <w:keepLines w:val="0"/>
        <w:numPr>
          <w:ilvl w:val="0"/>
          <w:numId w:val="7"/>
        </w:numPr>
        <w:spacing w:before="240" w:after="240"/>
        <w:jc w:val="center"/>
        <w:rPr>
          <w:rFonts w:eastAsia="Times New Roman"/>
          <w:bCs w:val="0"/>
          <w:color w:val="auto"/>
          <w:sz w:val="22"/>
          <w:szCs w:val="22"/>
        </w:rPr>
      </w:pPr>
      <w:r w:rsidRPr="00C2576A">
        <w:rPr>
          <w:rFonts w:eastAsia="Times New Roman"/>
          <w:bCs w:val="0"/>
          <w:color w:val="auto"/>
          <w:sz w:val="22"/>
          <w:szCs w:val="22"/>
        </w:rPr>
        <w:t>Seguimiento</w:t>
      </w:r>
      <w:bookmarkEnd w:id="5"/>
    </w:p>
    <w:p w:rsidR="00AF1F82" w:rsidRPr="00C2576A" w:rsidRDefault="00AF1F82" w:rsidP="00C63989">
      <w:pPr>
        <w:pStyle w:val="Heading3"/>
        <w:numPr>
          <w:ilvl w:val="0"/>
          <w:numId w:val="11"/>
        </w:numPr>
        <w:ind w:hanging="1080"/>
        <w:rPr>
          <w:rFonts w:ascii="Arial" w:hAnsi="Arial" w:cs="Arial"/>
          <w:sz w:val="22"/>
          <w:szCs w:val="22"/>
        </w:rPr>
      </w:pPr>
      <w:bookmarkStart w:id="7" w:name="_Toc360529034"/>
      <w:r w:rsidRPr="00C2576A">
        <w:rPr>
          <w:rFonts w:ascii="Arial" w:hAnsi="Arial" w:cs="Arial"/>
          <w:sz w:val="22"/>
          <w:szCs w:val="22"/>
        </w:rPr>
        <w:t>Indicadores de Productos</w:t>
      </w:r>
      <w:bookmarkEnd w:id="7"/>
      <w:r w:rsidRPr="00C2576A">
        <w:rPr>
          <w:rFonts w:ascii="Arial" w:hAnsi="Arial" w:cs="Arial"/>
          <w:sz w:val="22"/>
          <w:szCs w:val="22"/>
        </w:rPr>
        <w:t xml:space="preserve"> </w:t>
      </w:r>
    </w:p>
    <w:p w:rsidR="00493178" w:rsidRPr="00C2576A" w:rsidRDefault="00493178" w:rsidP="002A0795">
      <w:pPr>
        <w:pStyle w:val="21Paragraph"/>
        <w:ind w:left="720" w:hanging="720"/>
        <w:rPr>
          <w:rFonts w:ascii="Arial" w:hAnsi="Arial" w:cs="Arial"/>
          <w:sz w:val="22"/>
          <w:szCs w:val="22"/>
        </w:rPr>
      </w:pPr>
      <w:r w:rsidRPr="00C2576A">
        <w:rPr>
          <w:rFonts w:ascii="Arial" w:hAnsi="Arial" w:cs="Arial"/>
          <w:sz w:val="22"/>
          <w:szCs w:val="22"/>
        </w:rPr>
        <w:t xml:space="preserve">Los indicadores a los que se dará seguimiento como parte de la verificación del cumplimiento de las acciones del programa son aquéllos contenidos en la Matriz de Políticas, que se incluye </w:t>
      </w:r>
      <w:r w:rsidR="008B3E36" w:rsidRPr="00C2576A">
        <w:rPr>
          <w:rFonts w:ascii="Arial" w:hAnsi="Arial" w:cs="Arial"/>
          <w:sz w:val="22"/>
          <w:szCs w:val="22"/>
        </w:rPr>
        <w:t xml:space="preserve">en </w:t>
      </w:r>
      <w:r w:rsidRPr="00C2576A">
        <w:rPr>
          <w:rFonts w:ascii="Arial" w:hAnsi="Arial" w:cs="Arial"/>
          <w:sz w:val="22"/>
          <w:szCs w:val="22"/>
        </w:rPr>
        <w:t xml:space="preserve"> la Propuesta de Préstamo</w:t>
      </w:r>
    </w:p>
    <w:p w:rsidR="00D61366" w:rsidRPr="00C2576A" w:rsidRDefault="00493178" w:rsidP="002A0795">
      <w:pPr>
        <w:pStyle w:val="21Paragraph"/>
        <w:ind w:left="720" w:hanging="720"/>
        <w:rPr>
          <w:rFonts w:ascii="Arial" w:hAnsi="Arial" w:cs="Arial"/>
          <w:sz w:val="22"/>
          <w:szCs w:val="22"/>
        </w:rPr>
      </w:pPr>
      <w:r w:rsidRPr="00C2576A">
        <w:rPr>
          <w:rFonts w:ascii="Arial" w:hAnsi="Arial" w:cs="Arial"/>
          <w:sz w:val="22"/>
          <w:szCs w:val="22"/>
        </w:rPr>
        <w:t xml:space="preserve">El cumplimiento de dichos indicadores será comprobado mediante la información contenida en la </w:t>
      </w:r>
      <w:hyperlink r:id="rId9" w:history="1">
        <w:r w:rsidRPr="00A60138">
          <w:rPr>
            <w:rStyle w:val="Hyperlink"/>
            <w:rFonts w:ascii="Arial" w:hAnsi="Arial" w:cs="Arial"/>
            <w:sz w:val="22"/>
            <w:szCs w:val="22"/>
          </w:rPr>
          <w:t>Matriz de Medios de Verificación</w:t>
        </w:r>
      </w:hyperlink>
      <w:r w:rsidRPr="00C2576A">
        <w:rPr>
          <w:rFonts w:ascii="Arial" w:hAnsi="Arial" w:cs="Arial"/>
          <w:sz w:val="22"/>
          <w:szCs w:val="22"/>
        </w:rPr>
        <w:t xml:space="preserve">. Como se indicó en la sección precedente, dicha Matriz especifica todas las acciones a ser implementadas en el programa, las entidades responsables por llevar a cabo cada una de dichas acciones, y la información específica que permitirá al Banco verificar su cumplimiento. </w:t>
      </w:r>
    </w:p>
    <w:p w:rsidR="00493178" w:rsidRPr="00C2576A" w:rsidRDefault="00D61366" w:rsidP="002A0795">
      <w:pPr>
        <w:pStyle w:val="21Paragraph"/>
        <w:ind w:left="720" w:hanging="720"/>
        <w:rPr>
          <w:rFonts w:ascii="Arial" w:hAnsi="Arial" w:cs="Arial"/>
          <w:sz w:val="22"/>
          <w:szCs w:val="22"/>
        </w:rPr>
      </w:pPr>
      <w:r w:rsidRPr="00C2576A">
        <w:rPr>
          <w:rFonts w:ascii="Arial" w:hAnsi="Arial" w:cs="Arial"/>
          <w:sz w:val="22"/>
          <w:szCs w:val="22"/>
        </w:rPr>
        <w:lastRenderedPageBreak/>
        <w:t>El seguimiento de los resultados del préstamo programático será ejecutado por el Banco en coordinación con el Ministerio de Hacienda y Crédito Público (MHCP). En formal anual, el Banco solicitará al MHCP la entrega de los datos señalados en la matriz de resultados</w:t>
      </w:r>
      <w:r w:rsidR="00493178" w:rsidRPr="00C2576A">
        <w:rPr>
          <w:rFonts w:ascii="Arial" w:hAnsi="Arial" w:cs="Arial"/>
          <w:bCs/>
          <w:iCs/>
          <w:sz w:val="22"/>
          <w:szCs w:val="22"/>
        </w:rPr>
        <w:t>.</w:t>
      </w:r>
    </w:p>
    <w:p w:rsidR="00D61366" w:rsidRPr="00C2576A" w:rsidRDefault="00D61366" w:rsidP="00D61366">
      <w:pPr>
        <w:pStyle w:val="21Paragraph"/>
        <w:numPr>
          <w:ilvl w:val="0"/>
          <w:numId w:val="0"/>
        </w:numPr>
        <w:ind w:left="990"/>
        <w:rPr>
          <w:rFonts w:ascii="Arial" w:hAnsi="Arial" w:cs="Arial"/>
          <w:sz w:val="22"/>
          <w:szCs w:val="22"/>
        </w:rPr>
      </w:pPr>
    </w:p>
    <w:p w:rsidR="00D61366" w:rsidRPr="00C2576A" w:rsidRDefault="00D61366" w:rsidP="00C63989">
      <w:pPr>
        <w:pStyle w:val="Heading3"/>
        <w:numPr>
          <w:ilvl w:val="0"/>
          <w:numId w:val="11"/>
        </w:numPr>
        <w:ind w:hanging="1080"/>
        <w:rPr>
          <w:rFonts w:ascii="Arial" w:hAnsi="Arial" w:cs="Arial"/>
          <w:sz w:val="22"/>
          <w:szCs w:val="22"/>
        </w:rPr>
      </w:pPr>
      <w:bookmarkStart w:id="8" w:name="_Toc360529035"/>
      <w:r w:rsidRPr="00C2576A">
        <w:rPr>
          <w:rFonts w:ascii="Arial" w:hAnsi="Arial" w:cs="Arial"/>
          <w:sz w:val="22"/>
          <w:szCs w:val="22"/>
        </w:rPr>
        <w:t>Recopilación de datos e ins</w:t>
      </w:r>
      <w:bookmarkEnd w:id="8"/>
      <w:r w:rsidRPr="00C2576A">
        <w:rPr>
          <w:rFonts w:ascii="Arial" w:hAnsi="Arial" w:cs="Arial"/>
          <w:sz w:val="22"/>
          <w:szCs w:val="22"/>
        </w:rPr>
        <w:t>trumentos</w:t>
      </w:r>
    </w:p>
    <w:p w:rsidR="00D61366" w:rsidRPr="00C2576A" w:rsidRDefault="00D61366" w:rsidP="002A0795">
      <w:pPr>
        <w:pStyle w:val="21Paragraph"/>
        <w:ind w:left="720" w:hanging="720"/>
        <w:rPr>
          <w:rFonts w:ascii="Arial" w:hAnsi="Arial" w:cs="Arial"/>
          <w:bCs/>
          <w:iCs/>
          <w:sz w:val="22"/>
          <w:szCs w:val="22"/>
        </w:rPr>
      </w:pPr>
      <w:r w:rsidRPr="00C2576A">
        <w:rPr>
          <w:rFonts w:ascii="Arial" w:hAnsi="Arial" w:cs="Arial"/>
          <w:bCs/>
          <w:iCs/>
          <w:sz w:val="22"/>
          <w:szCs w:val="22"/>
        </w:rPr>
        <w:t xml:space="preserve">Las fuentes de información que se usarán para el seguimiento de cada indicador se detallan en la </w:t>
      </w:r>
      <w:hyperlink r:id="rId10" w:history="1">
        <w:r w:rsidRPr="00A60138">
          <w:rPr>
            <w:rStyle w:val="Hyperlink"/>
            <w:rFonts w:ascii="Arial" w:hAnsi="Arial" w:cs="Arial"/>
            <w:bCs/>
            <w:iCs/>
            <w:sz w:val="22"/>
            <w:szCs w:val="22"/>
          </w:rPr>
          <w:t>Matriz de Medios de Verificación</w:t>
        </w:r>
      </w:hyperlink>
      <w:r w:rsidRPr="00C2576A">
        <w:rPr>
          <w:rFonts w:ascii="Arial" w:hAnsi="Arial" w:cs="Arial"/>
          <w:bCs/>
          <w:iCs/>
          <w:sz w:val="22"/>
          <w:szCs w:val="22"/>
        </w:rPr>
        <w:t xml:space="preserve">, y el MHCP será la entidad encargada de la recopilación de la información requerida para la supervisión del programa. La implementación de los distintos compromisos está a cargo de las entidades sectoriales, según se especifica en la </w:t>
      </w:r>
      <w:hyperlink r:id="rId11" w:history="1">
        <w:r w:rsidRPr="00A60138">
          <w:rPr>
            <w:rStyle w:val="Hyperlink"/>
            <w:rFonts w:ascii="Arial" w:hAnsi="Arial" w:cs="Arial"/>
            <w:bCs/>
            <w:iCs/>
            <w:sz w:val="22"/>
            <w:szCs w:val="22"/>
          </w:rPr>
          <w:t>Matriz de Políticas</w:t>
        </w:r>
      </w:hyperlink>
      <w:r w:rsidRPr="00C2576A">
        <w:rPr>
          <w:rFonts w:ascii="Arial" w:hAnsi="Arial" w:cs="Arial"/>
          <w:bCs/>
          <w:iCs/>
          <w:sz w:val="22"/>
          <w:szCs w:val="22"/>
        </w:rPr>
        <w:t xml:space="preserve"> y la Matriz de Medios de Verificación.  </w:t>
      </w:r>
    </w:p>
    <w:p w:rsidR="00D61366" w:rsidRPr="00C2576A" w:rsidRDefault="00D61366" w:rsidP="002A0795">
      <w:pPr>
        <w:pStyle w:val="21Paragraph"/>
        <w:ind w:left="720" w:hanging="720"/>
        <w:rPr>
          <w:rFonts w:ascii="Arial" w:hAnsi="Arial" w:cs="Arial"/>
          <w:bCs/>
          <w:iCs/>
          <w:sz w:val="22"/>
          <w:szCs w:val="22"/>
        </w:rPr>
      </w:pPr>
      <w:r w:rsidRPr="00C2576A">
        <w:rPr>
          <w:rFonts w:ascii="Arial" w:hAnsi="Arial" w:cs="Arial"/>
          <w:bCs/>
          <w:iCs/>
          <w:sz w:val="22"/>
          <w:szCs w:val="22"/>
        </w:rPr>
        <w:t xml:space="preserve">En el caso de los indicadores de productos al final de la serie programática, la </w:t>
      </w:r>
      <w:hyperlink r:id="rId12" w:history="1">
        <w:r w:rsidRPr="00A60138">
          <w:rPr>
            <w:rStyle w:val="Hyperlink"/>
            <w:rFonts w:ascii="Arial" w:hAnsi="Arial" w:cs="Arial"/>
            <w:bCs/>
            <w:iCs/>
            <w:sz w:val="22"/>
            <w:szCs w:val="22"/>
          </w:rPr>
          <w:t>Matriz de Resultados</w:t>
        </w:r>
      </w:hyperlink>
      <w:r w:rsidRPr="00A60138">
        <w:rPr>
          <w:rFonts w:ascii="Arial" w:hAnsi="Arial" w:cs="Arial"/>
          <w:bCs/>
          <w:iCs/>
          <w:sz w:val="22"/>
          <w:szCs w:val="22"/>
        </w:rPr>
        <w:t xml:space="preserve"> especifica los</w:t>
      </w:r>
      <w:r w:rsidRPr="00C2576A">
        <w:rPr>
          <w:rFonts w:ascii="Arial" w:hAnsi="Arial" w:cs="Arial"/>
          <w:bCs/>
          <w:iCs/>
          <w:sz w:val="22"/>
          <w:szCs w:val="22"/>
        </w:rPr>
        <w:t xml:space="preserve"> indicadores a los cuales se hará seguimiento y las fuentes de información para cada uno de ellos. Los indicadores para cada uno de los subcomponentes del programa incluyen su propia métrica relevante. Además, los indicadores incluidos en la Matriz de Resultados son específicos a cada producto, son medibles, cuentan con una línea de base, se pueden alcanzar en los plazos previstos, son relevantes, y tienen un periodo definido.</w:t>
      </w:r>
    </w:p>
    <w:p w:rsidR="00D61366" w:rsidRPr="00C2576A" w:rsidRDefault="00D61366" w:rsidP="002A0795">
      <w:pPr>
        <w:pStyle w:val="21Paragraph"/>
        <w:ind w:left="720" w:hanging="720"/>
        <w:rPr>
          <w:rFonts w:ascii="Arial" w:hAnsi="Arial" w:cs="Arial"/>
          <w:bCs/>
          <w:iCs/>
          <w:sz w:val="22"/>
          <w:szCs w:val="22"/>
        </w:rPr>
      </w:pPr>
      <w:r w:rsidRPr="00C2576A">
        <w:rPr>
          <w:rFonts w:ascii="Arial" w:hAnsi="Arial" w:cs="Arial"/>
          <w:bCs/>
          <w:iCs/>
          <w:sz w:val="22"/>
          <w:szCs w:val="22"/>
        </w:rPr>
        <w:t xml:space="preserve"> Del mismo modo, en la Matriz de Resultados se especifica los indicadores de resultados e impactos de mediano plazo que se espera alcanzar después de finalizada de la serie programática, con las fuentes de información que permitirán medir dichos resultados e impactos.</w:t>
      </w:r>
    </w:p>
    <w:p w:rsidR="006058FE" w:rsidRPr="00C2576A" w:rsidRDefault="006058FE" w:rsidP="002A0795">
      <w:pPr>
        <w:pStyle w:val="21Paragraph"/>
        <w:ind w:left="720" w:hanging="720"/>
        <w:rPr>
          <w:rFonts w:ascii="Arial" w:hAnsi="Arial" w:cs="Arial"/>
          <w:sz w:val="22"/>
          <w:szCs w:val="22"/>
        </w:rPr>
      </w:pPr>
      <w:r w:rsidRPr="00C2576A">
        <w:rPr>
          <w:rFonts w:ascii="Arial" w:hAnsi="Arial" w:cs="Arial"/>
          <w:sz w:val="22"/>
          <w:szCs w:val="22"/>
        </w:rPr>
        <w:t xml:space="preserve">En su carácter de organismo ejecutor, el MHCP designará un funcionario como responsable de, entre otras tareas: (i) mantener la comunicación oficial con el Banco y entregar informes y evidencia del cumplimiento de las condiciones de la operación, y todo otro informe que el Banco pueda requerir en los plazos y condiciones acordadas; (ii) impulsar las acciones tendientes al logro de los objetivos de política definidos en el </w:t>
      </w:r>
      <w:r w:rsidR="00481B42" w:rsidRPr="00C2576A">
        <w:rPr>
          <w:rFonts w:ascii="Arial" w:hAnsi="Arial" w:cs="Arial"/>
          <w:sz w:val="22"/>
          <w:szCs w:val="22"/>
        </w:rPr>
        <w:t>programa, y en particular aquellas incluidas como mecanismos activadores para la segunda; y (iii) reunir, archivar y entregar al Banco toda la información, indicadores y parámetros que contribuyan a que el GONI y el Banco puedan dar seguimiento, medir y evaluar los resultados del programa. En el marco de sus funciones, el MHCP coordinará la recepción de la evidencia de los compromisos que asumen las diversas instituciones de gobierno.</w:t>
      </w:r>
    </w:p>
    <w:p w:rsidR="00B06242" w:rsidRPr="00C2576A" w:rsidRDefault="00B06242" w:rsidP="002A0795">
      <w:pPr>
        <w:pStyle w:val="21Paragraph"/>
        <w:ind w:left="720" w:hanging="720"/>
        <w:rPr>
          <w:rFonts w:ascii="Arial" w:hAnsi="Arial" w:cs="Arial"/>
          <w:sz w:val="22"/>
          <w:szCs w:val="22"/>
        </w:rPr>
      </w:pPr>
      <w:r w:rsidRPr="00C2576A">
        <w:rPr>
          <w:rFonts w:ascii="Arial" w:hAnsi="Arial" w:cs="Arial"/>
          <w:sz w:val="22"/>
          <w:szCs w:val="22"/>
        </w:rPr>
        <w:t>La Tabla 1 resume el monitoreo de condiciones</w:t>
      </w:r>
      <w:r w:rsidR="00CE1F41" w:rsidRPr="00C2576A">
        <w:rPr>
          <w:rFonts w:ascii="Arial" w:hAnsi="Arial" w:cs="Arial"/>
          <w:sz w:val="22"/>
          <w:szCs w:val="22"/>
        </w:rPr>
        <w:t xml:space="preserve"> </w:t>
      </w:r>
      <w:r w:rsidRPr="00C2576A">
        <w:rPr>
          <w:rFonts w:ascii="Arial" w:hAnsi="Arial" w:cs="Arial"/>
          <w:sz w:val="22"/>
          <w:szCs w:val="22"/>
        </w:rPr>
        <w:t>y para cada condición provee de información sobre las fuentes de información, medios de verificación.</w:t>
      </w:r>
    </w:p>
    <w:p w:rsidR="00B06242" w:rsidRPr="00C2576A" w:rsidRDefault="00B06242" w:rsidP="00B06242">
      <w:pPr>
        <w:pStyle w:val="21Paragraph"/>
        <w:numPr>
          <w:ilvl w:val="0"/>
          <w:numId w:val="0"/>
        </w:numPr>
        <w:ind w:left="1350" w:hanging="360"/>
        <w:rPr>
          <w:rFonts w:ascii="Arial" w:hAnsi="Arial" w:cs="Arial"/>
          <w:sz w:val="22"/>
          <w:szCs w:val="22"/>
        </w:rPr>
      </w:pPr>
    </w:p>
    <w:p w:rsidR="00B06242" w:rsidRPr="00C2576A" w:rsidRDefault="00B06242" w:rsidP="00B06242">
      <w:pPr>
        <w:pStyle w:val="21Paragraph"/>
        <w:numPr>
          <w:ilvl w:val="0"/>
          <w:numId w:val="0"/>
        </w:numPr>
        <w:ind w:left="1350"/>
        <w:rPr>
          <w:rFonts w:ascii="Arial" w:hAnsi="Arial" w:cs="Arial"/>
          <w:sz w:val="22"/>
          <w:szCs w:val="22"/>
        </w:rPr>
        <w:sectPr w:rsidR="00B06242" w:rsidRPr="00C2576A" w:rsidSect="002A0795">
          <w:headerReference w:type="default" r:id="rId13"/>
          <w:pgSz w:w="12240" w:h="15840" w:code="1"/>
          <w:pgMar w:top="1440" w:right="1800" w:bottom="1440" w:left="1800" w:header="706" w:footer="706"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7"/>
        <w:gridCol w:w="4333"/>
        <w:gridCol w:w="3907"/>
        <w:gridCol w:w="2239"/>
      </w:tblGrid>
      <w:tr w:rsidR="00E41786" w:rsidRPr="00D85026" w:rsidTr="00500830">
        <w:trPr>
          <w:trHeight w:val="130"/>
          <w:tblHeader/>
        </w:trPr>
        <w:tc>
          <w:tcPr>
            <w:tcW w:w="3525" w:type="dxa"/>
            <w:shd w:val="clear" w:color="auto" w:fill="B6DDE8" w:themeFill="accent5" w:themeFillTint="66"/>
            <w:vAlign w:val="center"/>
            <w:hideMark/>
          </w:tcPr>
          <w:p w:rsidR="00E41786" w:rsidRPr="00D85026" w:rsidRDefault="00E41786" w:rsidP="00500830">
            <w:pPr>
              <w:spacing w:before="60" w:after="60" w:line="276" w:lineRule="auto"/>
              <w:jc w:val="center"/>
              <w:rPr>
                <w:b/>
                <w:bCs/>
                <w:smallCaps/>
                <w:sz w:val="20"/>
                <w:szCs w:val="20"/>
              </w:rPr>
            </w:pPr>
            <w:r w:rsidRPr="00D85026">
              <w:rPr>
                <w:b/>
                <w:bCs/>
                <w:smallCaps/>
                <w:sz w:val="20"/>
                <w:szCs w:val="20"/>
              </w:rPr>
              <w:lastRenderedPageBreak/>
              <w:t>Objetivos De Política</w:t>
            </w:r>
          </w:p>
        </w:tc>
        <w:tc>
          <w:tcPr>
            <w:tcW w:w="3693" w:type="dxa"/>
            <w:shd w:val="clear" w:color="auto" w:fill="B6DDE8" w:themeFill="accent5" w:themeFillTint="66"/>
          </w:tcPr>
          <w:p w:rsidR="00E41786" w:rsidRPr="00D85026" w:rsidRDefault="00E41786" w:rsidP="00500830">
            <w:pPr>
              <w:spacing w:before="60" w:after="60" w:line="276" w:lineRule="auto"/>
              <w:jc w:val="center"/>
              <w:rPr>
                <w:b/>
                <w:bCs/>
                <w:smallCaps/>
                <w:sz w:val="20"/>
                <w:szCs w:val="20"/>
                <w:lang w:val="es-ES_tradnl"/>
              </w:rPr>
            </w:pPr>
            <w:r w:rsidRPr="00D85026">
              <w:rPr>
                <w:b/>
                <w:bCs/>
                <w:smallCaps/>
                <w:sz w:val="20"/>
                <w:szCs w:val="20"/>
                <w:lang w:val="es-ES_tradnl"/>
              </w:rPr>
              <w:t>Acuerdos</w:t>
            </w:r>
          </w:p>
          <w:p w:rsidR="00E41786" w:rsidRPr="00D85026" w:rsidRDefault="00E41786" w:rsidP="00500830">
            <w:pPr>
              <w:spacing w:before="60" w:after="60" w:line="276" w:lineRule="auto"/>
              <w:jc w:val="center"/>
              <w:rPr>
                <w:b/>
                <w:bCs/>
                <w:smallCaps/>
                <w:sz w:val="20"/>
                <w:szCs w:val="20"/>
                <w:lang w:val="es-ES_tradnl"/>
              </w:rPr>
            </w:pPr>
            <w:r w:rsidRPr="00D85026">
              <w:rPr>
                <w:b/>
                <w:bCs/>
                <w:smallCaps/>
                <w:sz w:val="20"/>
                <w:szCs w:val="20"/>
                <w:lang w:val="es-ES_tradnl"/>
              </w:rPr>
              <w:t>2da Operación</w:t>
            </w:r>
          </w:p>
        </w:tc>
        <w:tc>
          <w:tcPr>
            <w:tcW w:w="3330" w:type="dxa"/>
            <w:shd w:val="clear" w:color="auto" w:fill="B6DDE8" w:themeFill="accent5" w:themeFillTint="66"/>
          </w:tcPr>
          <w:p w:rsidR="00E41786" w:rsidRPr="00D85026" w:rsidRDefault="00E41786" w:rsidP="00500830">
            <w:pPr>
              <w:spacing w:before="60" w:after="60" w:line="276" w:lineRule="auto"/>
              <w:jc w:val="center"/>
              <w:rPr>
                <w:b/>
                <w:bCs/>
                <w:smallCaps/>
                <w:sz w:val="20"/>
                <w:szCs w:val="20"/>
                <w:lang w:val="es-ES_tradnl"/>
              </w:rPr>
            </w:pPr>
            <w:r w:rsidRPr="00D85026">
              <w:rPr>
                <w:b/>
                <w:bCs/>
                <w:smallCaps/>
                <w:sz w:val="20"/>
                <w:szCs w:val="20"/>
                <w:lang w:val="es-ES_tradnl"/>
              </w:rPr>
              <w:t>Medios de Verificación</w:t>
            </w:r>
          </w:p>
          <w:p w:rsidR="00E41786" w:rsidRPr="00D85026" w:rsidRDefault="00E41786" w:rsidP="00500830">
            <w:pPr>
              <w:spacing w:before="60" w:after="60" w:line="276" w:lineRule="auto"/>
              <w:jc w:val="center"/>
              <w:rPr>
                <w:b/>
                <w:bCs/>
                <w:smallCaps/>
                <w:sz w:val="20"/>
                <w:szCs w:val="20"/>
                <w:lang w:val="es-ES_tradnl"/>
              </w:rPr>
            </w:pPr>
            <w:r w:rsidRPr="00D85026">
              <w:rPr>
                <w:b/>
                <w:bCs/>
                <w:smallCaps/>
                <w:sz w:val="20"/>
                <w:szCs w:val="20"/>
                <w:lang w:val="es-ES_tradnl"/>
              </w:rPr>
              <w:t>2da Operación</w:t>
            </w:r>
          </w:p>
        </w:tc>
        <w:tc>
          <w:tcPr>
            <w:tcW w:w="1908" w:type="dxa"/>
            <w:shd w:val="clear" w:color="auto" w:fill="B6DDE8" w:themeFill="accent5" w:themeFillTint="66"/>
          </w:tcPr>
          <w:p w:rsidR="00E41786" w:rsidRPr="00D85026" w:rsidRDefault="00E41786" w:rsidP="00500830">
            <w:pPr>
              <w:spacing w:before="60" w:after="60" w:line="276" w:lineRule="auto"/>
              <w:jc w:val="center"/>
              <w:rPr>
                <w:b/>
                <w:bCs/>
                <w:smallCaps/>
                <w:sz w:val="20"/>
                <w:szCs w:val="20"/>
                <w:lang w:val="es-ES_tradnl"/>
              </w:rPr>
            </w:pPr>
            <w:r w:rsidRPr="00D85026">
              <w:rPr>
                <w:b/>
                <w:bCs/>
                <w:smallCaps/>
                <w:sz w:val="20"/>
                <w:szCs w:val="20"/>
                <w:lang w:val="es-ES_tradnl"/>
              </w:rPr>
              <w:t>Entidades Responsables</w:t>
            </w:r>
          </w:p>
        </w:tc>
      </w:tr>
      <w:tr w:rsidR="00E41786" w:rsidRPr="00D85026" w:rsidTr="00500830">
        <w:trPr>
          <w:trHeight w:val="130"/>
        </w:trPr>
        <w:tc>
          <w:tcPr>
            <w:tcW w:w="7218" w:type="dxa"/>
            <w:gridSpan w:val="2"/>
            <w:shd w:val="clear" w:color="auto" w:fill="B6DDE8" w:themeFill="accent5" w:themeFillTint="66"/>
            <w:vAlign w:val="center"/>
          </w:tcPr>
          <w:p w:rsidR="00E41786" w:rsidRPr="00D85026" w:rsidRDefault="00E41786" w:rsidP="00500830">
            <w:pPr>
              <w:spacing w:before="60" w:after="60" w:line="276" w:lineRule="auto"/>
              <w:rPr>
                <w:b/>
                <w:bCs/>
                <w:sz w:val="20"/>
                <w:szCs w:val="20"/>
                <w:lang w:val="es-ES_tradnl"/>
              </w:rPr>
            </w:pPr>
            <w:r w:rsidRPr="00D85026">
              <w:rPr>
                <w:b/>
                <w:sz w:val="20"/>
                <w:szCs w:val="20"/>
              </w:rPr>
              <w:t>Componente I: Sostenibilidad Macroeconómica</w:t>
            </w:r>
          </w:p>
        </w:tc>
        <w:tc>
          <w:tcPr>
            <w:tcW w:w="3330" w:type="dxa"/>
            <w:shd w:val="clear" w:color="auto" w:fill="B6DDE8" w:themeFill="accent5" w:themeFillTint="66"/>
          </w:tcPr>
          <w:p w:rsidR="00E41786" w:rsidRPr="00D85026" w:rsidRDefault="00E41786" w:rsidP="00500830">
            <w:pPr>
              <w:spacing w:before="60" w:after="60" w:line="276" w:lineRule="auto"/>
              <w:rPr>
                <w:b/>
                <w:sz w:val="20"/>
                <w:szCs w:val="20"/>
              </w:rPr>
            </w:pPr>
          </w:p>
        </w:tc>
        <w:tc>
          <w:tcPr>
            <w:tcW w:w="1908" w:type="dxa"/>
            <w:shd w:val="clear" w:color="auto" w:fill="B6DDE8" w:themeFill="accent5" w:themeFillTint="66"/>
          </w:tcPr>
          <w:p w:rsidR="00E41786" w:rsidRPr="00D85026" w:rsidRDefault="00E41786" w:rsidP="00500830">
            <w:pPr>
              <w:spacing w:before="60" w:after="60" w:line="276" w:lineRule="auto"/>
              <w:rPr>
                <w:b/>
                <w:sz w:val="20"/>
                <w:szCs w:val="20"/>
              </w:rPr>
            </w:pPr>
          </w:p>
        </w:tc>
      </w:tr>
      <w:tr w:rsidR="00E41786" w:rsidRPr="00D85026" w:rsidTr="00500830">
        <w:trPr>
          <w:trHeight w:val="878"/>
        </w:trPr>
        <w:tc>
          <w:tcPr>
            <w:tcW w:w="3525" w:type="dxa"/>
            <w:shd w:val="clear" w:color="auto" w:fill="auto"/>
            <w:hideMark/>
          </w:tcPr>
          <w:p w:rsidR="00E41786" w:rsidRPr="00D85026" w:rsidRDefault="00E41786" w:rsidP="00500830">
            <w:pPr>
              <w:rPr>
                <w:sz w:val="20"/>
                <w:szCs w:val="20"/>
              </w:rPr>
            </w:pPr>
            <w:r w:rsidRPr="00D85026">
              <w:rPr>
                <w:b/>
                <w:sz w:val="20"/>
                <w:szCs w:val="20"/>
              </w:rPr>
              <w:t>Mantener un entorno macroeconómico estable,</w:t>
            </w:r>
            <w:r w:rsidRPr="00D85026">
              <w:rPr>
                <w:sz w:val="20"/>
                <w:szCs w:val="20"/>
              </w:rPr>
              <w:t xml:space="preserve"> consistente con los objetivos del programa. </w:t>
            </w:r>
          </w:p>
          <w:p w:rsidR="00E41786" w:rsidRPr="00D85026" w:rsidRDefault="00E41786" w:rsidP="00500830">
            <w:pPr>
              <w:rPr>
                <w:sz w:val="20"/>
                <w:szCs w:val="20"/>
              </w:rPr>
            </w:pPr>
            <w:r w:rsidRPr="00D85026">
              <w:rPr>
                <w:sz w:val="20"/>
                <w:szCs w:val="20"/>
                <w:lang w:val="es-ES_tradnl"/>
              </w:rPr>
              <w:t>.</w:t>
            </w:r>
          </w:p>
        </w:tc>
        <w:tc>
          <w:tcPr>
            <w:tcW w:w="3693" w:type="dxa"/>
          </w:tcPr>
          <w:p w:rsidR="00E41786" w:rsidRPr="00D85026" w:rsidRDefault="00E41786" w:rsidP="00500830">
            <w:pPr>
              <w:rPr>
                <w:sz w:val="20"/>
                <w:szCs w:val="20"/>
                <w:lang w:val="es-ES_tradnl"/>
              </w:rPr>
            </w:pPr>
            <w:r w:rsidRPr="00D85026">
              <w:rPr>
                <w:sz w:val="20"/>
                <w:szCs w:val="20"/>
                <w:lang w:val="es-ES_tradnl"/>
              </w:rPr>
              <w:t>Mantener un marco de políticas macroeconómicas congruente con los objetivos del Programa.</w:t>
            </w:r>
          </w:p>
        </w:tc>
        <w:tc>
          <w:tcPr>
            <w:tcW w:w="3330" w:type="dxa"/>
          </w:tcPr>
          <w:p w:rsidR="00E41786" w:rsidRPr="00D85026" w:rsidRDefault="00E41786" w:rsidP="00500830">
            <w:pPr>
              <w:rPr>
                <w:sz w:val="20"/>
                <w:szCs w:val="20"/>
                <w:lang w:val="es-ES_tradnl"/>
              </w:rPr>
            </w:pPr>
            <w:r w:rsidRPr="00D85026">
              <w:rPr>
                <w:color w:val="000000"/>
                <w:sz w:val="20"/>
                <w:szCs w:val="20"/>
              </w:rPr>
              <w:t>Evaluación Independiente de Condiciones Macroeconómicas (IAMC, por su sigla en inglés) elaborada por el Banco y  vigente al momento del desembolso</w:t>
            </w:r>
          </w:p>
        </w:tc>
        <w:tc>
          <w:tcPr>
            <w:tcW w:w="1908" w:type="dxa"/>
          </w:tcPr>
          <w:p w:rsidR="00E41786" w:rsidRPr="00D85026" w:rsidRDefault="00E41786" w:rsidP="00500830">
            <w:pPr>
              <w:rPr>
                <w:sz w:val="20"/>
                <w:szCs w:val="20"/>
                <w:lang w:val="es-ES_tradnl"/>
              </w:rPr>
            </w:pPr>
            <w:r w:rsidRPr="00D85026">
              <w:rPr>
                <w:sz w:val="20"/>
                <w:szCs w:val="20"/>
                <w:lang w:val="es-ES_tradnl"/>
              </w:rPr>
              <w:t>BID</w:t>
            </w:r>
          </w:p>
        </w:tc>
      </w:tr>
      <w:tr w:rsidR="00E41786" w:rsidRPr="00D85026" w:rsidTr="00500830">
        <w:trPr>
          <w:trHeight w:val="430"/>
        </w:trPr>
        <w:tc>
          <w:tcPr>
            <w:tcW w:w="7218" w:type="dxa"/>
            <w:gridSpan w:val="2"/>
            <w:shd w:val="clear" w:color="auto" w:fill="B6DDE8" w:themeFill="accent5" w:themeFillTint="66"/>
            <w:vAlign w:val="center"/>
          </w:tcPr>
          <w:p w:rsidR="00E41786" w:rsidRPr="00D85026" w:rsidRDefault="00E41786" w:rsidP="00500830">
            <w:pPr>
              <w:rPr>
                <w:sz w:val="20"/>
                <w:szCs w:val="20"/>
                <w:lang w:val="es-ES_tradnl"/>
              </w:rPr>
            </w:pPr>
            <w:r w:rsidRPr="00D85026">
              <w:rPr>
                <w:b/>
                <w:sz w:val="20"/>
                <w:szCs w:val="20"/>
              </w:rPr>
              <w:t>Componente II: Fortalecimiento de la regulación financiera para la mejora de la productividad</w:t>
            </w:r>
          </w:p>
        </w:tc>
        <w:tc>
          <w:tcPr>
            <w:tcW w:w="3330" w:type="dxa"/>
            <w:shd w:val="clear" w:color="auto" w:fill="B6DDE8" w:themeFill="accent5" w:themeFillTint="66"/>
          </w:tcPr>
          <w:p w:rsidR="00E41786" w:rsidRPr="00D85026" w:rsidRDefault="00E41786" w:rsidP="00500830">
            <w:pPr>
              <w:rPr>
                <w:b/>
                <w:sz w:val="20"/>
                <w:szCs w:val="20"/>
              </w:rPr>
            </w:pPr>
          </w:p>
        </w:tc>
        <w:tc>
          <w:tcPr>
            <w:tcW w:w="1908" w:type="dxa"/>
            <w:shd w:val="clear" w:color="auto" w:fill="B6DDE8" w:themeFill="accent5" w:themeFillTint="66"/>
          </w:tcPr>
          <w:p w:rsidR="00E41786" w:rsidRPr="00D85026" w:rsidRDefault="00E41786" w:rsidP="00500830">
            <w:pPr>
              <w:rPr>
                <w:b/>
                <w:sz w:val="20"/>
                <w:szCs w:val="20"/>
              </w:rPr>
            </w:pPr>
          </w:p>
        </w:tc>
      </w:tr>
      <w:tr w:rsidR="00E41786" w:rsidRPr="00D85026" w:rsidTr="00500830">
        <w:trPr>
          <w:trHeight w:val="916"/>
        </w:trPr>
        <w:tc>
          <w:tcPr>
            <w:tcW w:w="3525" w:type="dxa"/>
            <w:tcBorders>
              <w:right w:val="single" w:sz="4" w:space="0" w:color="auto"/>
            </w:tcBorders>
            <w:shd w:val="clear" w:color="auto" w:fill="auto"/>
          </w:tcPr>
          <w:p w:rsidR="00E41786" w:rsidRPr="00D85026" w:rsidRDefault="00E41786" w:rsidP="00500830">
            <w:pPr>
              <w:rPr>
                <w:b/>
                <w:sz w:val="20"/>
                <w:szCs w:val="20"/>
              </w:rPr>
            </w:pPr>
            <w:r w:rsidRPr="00D85026">
              <w:rPr>
                <w:b/>
                <w:sz w:val="20"/>
                <w:szCs w:val="20"/>
              </w:rPr>
              <w:t>Mejora de la regulación macroprudencial</w:t>
            </w:r>
          </w:p>
          <w:p w:rsidR="00E41786" w:rsidRPr="00D85026" w:rsidRDefault="00E41786" w:rsidP="00500830">
            <w:pPr>
              <w:rPr>
                <w:sz w:val="20"/>
                <w:szCs w:val="20"/>
              </w:rPr>
            </w:pPr>
          </w:p>
        </w:tc>
        <w:tc>
          <w:tcPr>
            <w:tcW w:w="3693"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rPr>
            </w:pPr>
            <w:r w:rsidRPr="00D85026">
              <w:rPr>
                <w:sz w:val="20"/>
                <w:szCs w:val="20"/>
              </w:rPr>
              <w:t>Creación de un Grupo de Trabajo Interinstitucional para la supervisión macroprudencial integrado por la SIBOIF y el Banco Central, con el mandato de mejorar intercambio de información y la detección de indicadores para identificar riesgos sistémicos.</w:t>
            </w: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 xml:space="preserve">Entrada en funcionamiento del Manual de Resolución de Entidades Financieras. </w:t>
            </w:r>
          </w:p>
        </w:tc>
        <w:tc>
          <w:tcPr>
            <w:tcW w:w="3330"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rPr>
            </w:pPr>
            <w:r w:rsidRPr="00D85026">
              <w:rPr>
                <w:sz w:val="20"/>
                <w:szCs w:val="20"/>
              </w:rPr>
              <w:t xml:space="preserve">Convenio Interinstitucional </w:t>
            </w:r>
            <w:r w:rsidR="006C122D">
              <w:rPr>
                <w:sz w:val="20"/>
                <w:szCs w:val="20"/>
              </w:rPr>
              <w:t xml:space="preserve">suscrito </w:t>
            </w:r>
            <w:r w:rsidRPr="00D85026">
              <w:rPr>
                <w:sz w:val="20"/>
                <w:szCs w:val="20"/>
              </w:rPr>
              <w:t xml:space="preserve">entre el Banco Central y la SIBOIF de creación del </w:t>
            </w:r>
            <w:r w:rsidR="00CC4726">
              <w:rPr>
                <w:sz w:val="20"/>
                <w:szCs w:val="20"/>
              </w:rPr>
              <w:t>Comit</w:t>
            </w:r>
            <w:r w:rsidR="00CC4726">
              <w:rPr>
                <w:sz w:val="20"/>
                <w:szCs w:val="20"/>
                <w:lang w:val="es-ES_tradnl"/>
              </w:rPr>
              <w:t>é</w:t>
            </w:r>
            <w:r w:rsidRPr="00D85026">
              <w:rPr>
                <w:sz w:val="20"/>
                <w:szCs w:val="20"/>
              </w:rPr>
              <w:t xml:space="preserve"> de </w:t>
            </w:r>
            <w:r w:rsidR="006C122D">
              <w:rPr>
                <w:sz w:val="20"/>
                <w:szCs w:val="20"/>
              </w:rPr>
              <w:t>Estabilidad Financiera</w:t>
            </w:r>
            <w:r w:rsidRPr="00D85026">
              <w:rPr>
                <w:sz w:val="20"/>
                <w:szCs w:val="20"/>
              </w:rPr>
              <w:t xml:space="preserve">, indicando las funciones, sus componentes, la periodicidad de las reuniones y sus dotaciones de recursos económicos y técnicos. </w:t>
            </w: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Resolución  del Consejo Directivo del FOGADE aprobando el Manual, y copia del Manual</w:t>
            </w:r>
          </w:p>
        </w:tc>
        <w:tc>
          <w:tcPr>
            <w:tcW w:w="1908"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rPr>
            </w:pPr>
            <w:r w:rsidRPr="00D85026">
              <w:rPr>
                <w:sz w:val="20"/>
                <w:szCs w:val="20"/>
              </w:rPr>
              <w:t>SIBOIF/BANCO CENTRAL</w:t>
            </w: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FOGADE</w:t>
            </w:r>
          </w:p>
        </w:tc>
      </w:tr>
      <w:tr w:rsidR="00E41786" w:rsidRPr="00D85026" w:rsidTr="00500830">
        <w:trPr>
          <w:trHeight w:val="268"/>
        </w:trPr>
        <w:tc>
          <w:tcPr>
            <w:tcW w:w="3525" w:type="dxa"/>
            <w:tcBorders>
              <w:right w:val="single" w:sz="4" w:space="0" w:color="auto"/>
            </w:tcBorders>
            <w:shd w:val="clear" w:color="auto" w:fill="auto"/>
          </w:tcPr>
          <w:p w:rsidR="00E41786" w:rsidRPr="00D85026" w:rsidRDefault="00E41786" w:rsidP="00500830">
            <w:pPr>
              <w:rPr>
                <w:b/>
                <w:sz w:val="20"/>
                <w:szCs w:val="20"/>
              </w:rPr>
            </w:pPr>
            <w:r w:rsidRPr="00D85026">
              <w:rPr>
                <w:b/>
                <w:sz w:val="20"/>
                <w:szCs w:val="20"/>
              </w:rPr>
              <w:t>Mejoras en la regulación y supervisión microprudencial</w:t>
            </w:r>
          </w:p>
          <w:p w:rsidR="00E41786" w:rsidRPr="00D85026" w:rsidRDefault="00E41786" w:rsidP="00500830">
            <w:pPr>
              <w:rPr>
                <w:sz w:val="20"/>
                <w:szCs w:val="20"/>
              </w:rPr>
            </w:pPr>
          </w:p>
        </w:tc>
        <w:tc>
          <w:tcPr>
            <w:tcW w:w="3693"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rPr>
            </w:pPr>
            <w:r w:rsidRPr="00D85026">
              <w:rPr>
                <w:sz w:val="20"/>
                <w:szCs w:val="20"/>
              </w:rPr>
              <w:t xml:space="preserve">Desarrollo e implantación de un Manual  de Supervisión Basado en Riesgos por parte de la SIBOIF y la CONAMI. </w:t>
            </w: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 xml:space="preserve">Aplicación de estándares contables internacionales armonizados regionalmente a las entidades bancarias. </w:t>
            </w: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Reforma de la normativa de riesgo de crédito y emisión de la normativa de riesgo tecnológico por parte de la CONAMI.</w:t>
            </w: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Implantación de un manual único de cuentas adaptado a las microfinanzas por parte de la CONAMI que uniformice la información de las entidades microfinancieras.</w:t>
            </w: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Entrada en vigor de la regulación del riesgo de liquidez y del nivel de apalancamiento siguiendo los principios de Basilea III.</w:t>
            </w:r>
          </w:p>
        </w:tc>
        <w:tc>
          <w:tcPr>
            <w:tcW w:w="3330"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rPr>
            </w:pPr>
            <w:r w:rsidRPr="00D85026">
              <w:rPr>
                <w:sz w:val="20"/>
                <w:szCs w:val="20"/>
              </w:rPr>
              <w:lastRenderedPageBreak/>
              <w:t>Informe de la SIBOIF al MHCP sobre la implementación de la Supervisión Basada en Riesgos, incorporando número de inspecciones realizadas con el nuevo Manual de Supervisión aprobado por el Superintendente.</w:t>
            </w:r>
          </w:p>
          <w:p w:rsidR="00E41786" w:rsidRPr="00D85026" w:rsidRDefault="00E41786" w:rsidP="00500830">
            <w:pPr>
              <w:rPr>
                <w:sz w:val="20"/>
                <w:szCs w:val="20"/>
              </w:rPr>
            </w:pPr>
            <w:r w:rsidRPr="00D85026">
              <w:rPr>
                <w:sz w:val="20"/>
                <w:szCs w:val="20"/>
              </w:rPr>
              <w:t xml:space="preserve">Informe de la CONAMI al MHCP sobre la aplicación de la Supervisión Basada en Riesgos aprobado por la Presidencia Ejecutiva de la CONAMI. </w:t>
            </w:r>
          </w:p>
          <w:p w:rsidR="00E41786" w:rsidRPr="00D85026" w:rsidRDefault="00E41786" w:rsidP="00500830">
            <w:pPr>
              <w:rPr>
                <w:sz w:val="20"/>
                <w:szCs w:val="20"/>
              </w:rPr>
            </w:pPr>
            <w:r w:rsidRPr="00D85026">
              <w:rPr>
                <w:sz w:val="20"/>
                <w:szCs w:val="20"/>
              </w:rPr>
              <w:t>Manual Único de Cuentas con base NIIF y calendario y estrategia de implantación aprobados por el Superintendente de la SIBOIF.</w:t>
            </w: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Publicación en la Gaceta Oficial de la Resolución del Consejo Directivo de la CONAMI aprobando de la norma sobre gestión de riesgo crediticio para instituciones de microfinanzas.</w:t>
            </w: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Publicación en la Gaceta Oficial de la Resolución del Consejo Directivo de la CONAMI aprobando la norma sobre gestión de riesgo tecnológico para instituciones de microfinanzas.</w:t>
            </w: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Publicación en la Gaceta Oficial de la Resolución del Consejo Directivo de la CONAMI aprobando la norma sobre el Manual Único de Cuentas para CONAMI.</w:t>
            </w: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Publicación en la Gaceta Oficial de la Resolución del Consejo Directivo de la SIBOIF incorporando la regulación del riesgo de liquidez y del nivel de apalancamiento siguiendo los principios de Basilea III.</w:t>
            </w:r>
          </w:p>
        </w:tc>
        <w:tc>
          <w:tcPr>
            <w:tcW w:w="1908" w:type="dxa"/>
            <w:tcBorders>
              <w:top w:val="single" w:sz="4" w:space="0" w:color="auto"/>
              <w:left w:val="single" w:sz="4" w:space="0" w:color="auto"/>
              <w:bottom w:val="single" w:sz="4" w:space="0" w:color="auto"/>
              <w:right w:val="single" w:sz="4" w:space="0" w:color="auto"/>
            </w:tcBorders>
          </w:tcPr>
          <w:p w:rsidR="00E41786" w:rsidRPr="006C122D" w:rsidRDefault="00E41786" w:rsidP="00500830">
            <w:pPr>
              <w:rPr>
                <w:sz w:val="20"/>
                <w:szCs w:val="20"/>
                <w:lang w:val="it-IT"/>
              </w:rPr>
            </w:pPr>
            <w:r w:rsidRPr="006C122D">
              <w:rPr>
                <w:sz w:val="20"/>
                <w:szCs w:val="20"/>
                <w:lang w:val="it-IT"/>
              </w:rPr>
              <w:lastRenderedPageBreak/>
              <w:t>SIBOIF</w:t>
            </w:r>
          </w:p>
          <w:p w:rsidR="00E41786" w:rsidRPr="006C122D" w:rsidRDefault="00E41786" w:rsidP="00500830">
            <w:pPr>
              <w:rPr>
                <w:sz w:val="20"/>
                <w:szCs w:val="20"/>
                <w:lang w:val="it-IT"/>
              </w:rPr>
            </w:pPr>
            <w:r w:rsidRPr="006C122D">
              <w:rPr>
                <w:sz w:val="20"/>
                <w:szCs w:val="20"/>
                <w:lang w:val="it-IT"/>
              </w:rPr>
              <w:t>CONAMI</w:t>
            </w: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r w:rsidRPr="006C122D">
              <w:rPr>
                <w:sz w:val="20"/>
                <w:szCs w:val="20"/>
                <w:lang w:val="it-IT"/>
              </w:rPr>
              <w:t>SIBOIF</w:t>
            </w: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r w:rsidRPr="006C122D">
              <w:rPr>
                <w:sz w:val="20"/>
                <w:szCs w:val="20"/>
                <w:lang w:val="it-IT"/>
              </w:rPr>
              <w:t>CONAMI</w:t>
            </w: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r w:rsidRPr="006C122D">
              <w:rPr>
                <w:sz w:val="20"/>
                <w:szCs w:val="20"/>
                <w:lang w:val="it-IT"/>
              </w:rPr>
              <w:t>CONAMI</w:t>
            </w: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r w:rsidRPr="006C122D">
              <w:rPr>
                <w:sz w:val="20"/>
                <w:szCs w:val="20"/>
                <w:lang w:val="it-IT"/>
              </w:rPr>
              <w:t>CONAMI</w:t>
            </w: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6C122D" w:rsidRDefault="00E41786" w:rsidP="00500830">
            <w:pPr>
              <w:rPr>
                <w:sz w:val="20"/>
                <w:szCs w:val="20"/>
                <w:lang w:val="it-IT"/>
              </w:rPr>
            </w:pPr>
          </w:p>
          <w:p w:rsidR="00E41786" w:rsidRPr="00D85026" w:rsidRDefault="00E41786" w:rsidP="00500830">
            <w:pPr>
              <w:rPr>
                <w:sz w:val="20"/>
                <w:szCs w:val="20"/>
              </w:rPr>
            </w:pPr>
            <w:r w:rsidRPr="00D85026">
              <w:rPr>
                <w:sz w:val="20"/>
                <w:szCs w:val="20"/>
              </w:rPr>
              <w:t>SIBOIF</w:t>
            </w:r>
          </w:p>
        </w:tc>
      </w:tr>
      <w:tr w:rsidR="00E41786" w:rsidRPr="00D85026" w:rsidTr="00500830">
        <w:trPr>
          <w:trHeight w:val="1050"/>
        </w:trPr>
        <w:tc>
          <w:tcPr>
            <w:tcW w:w="3525" w:type="dxa"/>
            <w:tcBorders>
              <w:right w:val="single" w:sz="4" w:space="0" w:color="auto"/>
            </w:tcBorders>
            <w:shd w:val="clear" w:color="auto" w:fill="auto"/>
          </w:tcPr>
          <w:p w:rsidR="00E41786" w:rsidRPr="00D85026" w:rsidRDefault="00E41786" w:rsidP="00500830">
            <w:pPr>
              <w:rPr>
                <w:b/>
                <w:sz w:val="20"/>
                <w:szCs w:val="20"/>
              </w:rPr>
            </w:pPr>
            <w:r w:rsidRPr="00D85026">
              <w:rPr>
                <w:b/>
                <w:sz w:val="20"/>
                <w:szCs w:val="20"/>
              </w:rPr>
              <w:lastRenderedPageBreak/>
              <w:t>Mejoras en la transparencia y desarrollo de nuevos instrumentos para el acceso al financiamiento para el desarrollo productivo</w:t>
            </w:r>
          </w:p>
          <w:p w:rsidR="00E41786" w:rsidRPr="00D85026" w:rsidRDefault="00E41786" w:rsidP="00500830">
            <w:pPr>
              <w:rPr>
                <w:sz w:val="20"/>
                <w:szCs w:val="20"/>
              </w:rPr>
            </w:pPr>
          </w:p>
        </w:tc>
        <w:tc>
          <w:tcPr>
            <w:tcW w:w="3693" w:type="dxa"/>
            <w:tcBorders>
              <w:top w:val="single" w:sz="4" w:space="0" w:color="auto"/>
              <w:left w:val="single" w:sz="4" w:space="0" w:color="auto"/>
              <w:bottom w:val="nil"/>
              <w:right w:val="single" w:sz="4" w:space="0" w:color="auto"/>
            </w:tcBorders>
          </w:tcPr>
          <w:p w:rsidR="00E41786" w:rsidRPr="00D85026" w:rsidRDefault="00E41786" w:rsidP="00500830">
            <w:pPr>
              <w:rPr>
                <w:sz w:val="20"/>
                <w:szCs w:val="20"/>
              </w:rPr>
            </w:pPr>
            <w:r w:rsidRPr="00D85026">
              <w:rPr>
                <w:sz w:val="20"/>
                <w:szCs w:val="20"/>
              </w:rPr>
              <w:t xml:space="preserve">Elaboración y aprobación de un Informe de evaluación de la competencia en el sistema financiero por parte de la SIBOIF. </w:t>
            </w:r>
          </w:p>
          <w:p w:rsidR="00E41786" w:rsidRPr="00D85026" w:rsidRDefault="00E41786" w:rsidP="00500830">
            <w:pPr>
              <w:rPr>
                <w:sz w:val="20"/>
                <w:szCs w:val="20"/>
              </w:rPr>
            </w:pPr>
          </w:p>
          <w:p w:rsidR="00E41786" w:rsidRPr="00D85026" w:rsidRDefault="006C122D" w:rsidP="00500830">
            <w:pPr>
              <w:rPr>
                <w:sz w:val="20"/>
                <w:szCs w:val="20"/>
              </w:rPr>
            </w:pPr>
            <w:r>
              <w:rPr>
                <w:sz w:val="20"/>
                <w:szCs w:val="20"/>
              </w:rPr>
              <w:t xml:space="preserve">Entrada en vigor </w:t>
            </w:r>
            <w:r w:rsidR="00E41786" w:rsidRPr="00D85026">
              <w:rPr>
                <w:sz w:val="20"/>
                <w:szCs w:val="20"/>
              </w:rPr>
              <w:t>de</w:t>
            </w:r>
            <w:r>
              <w:rPr>
                <w:sz w:val="20"/>
                <w:szCs w:val="20"/>
              </w:rPr>
              <w:t xml:space="preserve"> la</w:t>
            </w:r>
            <w:r w:rsidR="00E41786" w:rsidRPr="00D85026">
              <w:rPr>
                <w:sz w:val="20"/>
                <w:szCs w:val="20"/>
              </w:rPr>
              <w:t xml:space="preserve"> Ley de Asociaciones Público–Privadas siguiendo mejores prácticas internacionales. </w:t>
            </w:r>
          </w:p>
        </w:tc>
        <w:tc>
          <w:tcPr>
            <w:tcW w:w="3330" w:type="dxa"/>
            <w:tcBorders>
              <w:top w:val="single" w:sz="4" w:space="0" w:color="auto"/>
              <w:left w:val="single" w:sz="4" w:space="0" w:color="auto"/>
              <w:bottom w:val="nil"/>
              <w:right w:val="single" w:sz="4" w:space="0" w:color="auto"/>
            </w:tcBorders>
          </w:tcPr>
          <w:p w:rsidR="00E41786" w:rsidRPr="00D85026" w:rsidRDefault="00E41786" w:rsidP="00500830">
            <w:pPr>
              <w:rPr>
                <w:sz w:val="20"/>
                <w:szCs w:val="20"/>
              </w:rPr>
            </w:pPr>
            <w:r w:rsidRPr="00D85026">
              <w:rPr>
                <w:color w:val="000000"/>
                <w:sz w:val="20"/>
                <w:szCs w:val="20"/>
              </w:rPr>
              <w:t xml:space="preserve">Informe de la SIBOIF a MHCP que contiene la evaluación de la competencia en el sistema financiero. </w:t>
            </w:r>
          </w:p>
          <w:p w:rsidR="00E41786" w:rsidRDefault="00E41786" w:rsidP="00500830">
            <w:pPr>
              <w:rPr>
                <w:sz w:val="20"/>
                <w:szCs w:val="20"/>
              </w:rPr>
            </w:pPr>
          </w:p>
          <w:p w:rsidR="00E41786" w:rsidRPr="00D85026" w:rsidRDefault="00DC3DD8" w:rsidP="00500830">
            <w:pPr>
              <w:rPr>
                <w:sz w:val="20"/>
                <w:szCs w:val="20"/>
              </w:rPr>
            </w:pPr>
            <w:r>
              <w:rPr>
                <w:sz w:val="20"/>
                <w:szCs w:val="20"/>
              </w:rPr>
              <w:t>Publicación en la Gaceta Oficial</w:t>
            </w:r>
            <w:r w:rsidR="006C122D">
              <w:rPr>
                <w:sz w:val="20"/>
                <w:szCs w:val="20"/>
              </w:rPr>
              <w:t xml:space="preserve"> de la Ley de APPs</w:t>
            </w:r>
            <w:r w:rsidR="00E41786" w:rsidRPr="00D85026">
              <w:rPr>
                <w:sz w:val="20"/>
                <w:szCs w:val="20"/>
              </w:rPr>
              <w:t>.</w:t>
            </w:r>
          </w:p>
          <w:p w:rsidR="00E41786" w:rsidRPr="00D85026" w:rsidRDefault="00E41786" w:rsidP="00500830">
            <w:pPr>
              <w:rPr>
                <w:sz w:val="20"/>
                <w:szCs w:val="20"/>
              </w:rPr>
            </w:pPr>
          </w:p>
        </w:tc>
        <w:tc>
          <w:tcPr>
            <w:tcW w:w="1908" w:type="dxa"/>
            <w:tcBorders>
              <w:top w:val="single" w:sz="4" w:space="0" w:color="auto"/>
              <w:left w:val="single" w:sz="4" w:space="0" w:color="auto"/>
              <w:bottom w:val="nil"/>
              <w:right w:val="single" w:sz="4" w:space="0" w:color="auto"/>
            </w:tcBorders>
          </w:tcPr>
          <w:p w:rsidR="00E41786" w:rsidRPr="00D85026" w:rsidRDefault="00E41786" w:rsidP="00500830">
            <w:pPr>
              <w:rPr>
                <w:sz w:val="20"/>
                <w:szCs w:val="20"/>
              </w:rPr>
            </w:pPr>
            <w:r w:rsidRPr="00D85026">
              <w:rPr>
                <w:sz w:val="20"/>
                <w:szCs w:val="20"/>
              </w:rPr>
              <w:t>SIBOIF</w:t>
            </w: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Del="00F22547" w:rsidRDefault="00E41786" w:rsidP="00500830">
            <w:pPr>
              <w:rPr>
                <w:sz w:val="20"/>
                <w:szCs w:val="20"/>
              </w:rPr>
            </w:pPr>
            <w:r w:rsidRPr="00D85026">
              <w:rPr>
                <w:sz w:val="20"/>
                <w:szCs w:val="20"/>
              </w:rPr>
              <w:t>MCPH</w:t>
            </w:r>
          </w:p>
        </w:tc>
      </w:tr>
      <w:tr w:rsidR="00E41786" w:rsidRPr="00D85026" w:rsidTr="00500830">
        <w:trPr>
          <w:trHeight w:val="448"/>
        </w:trPr>
        <w:tc>
          <w:tcPr>
            <w:tcW w:w="3525" w:type="dxa"/>
            <w:tcBorders>
              <w:right w:val="single" w:sz="4" w:space="0" w:color="auto"/>
            </w:tcBorders>
            <w:shd w:val="clear" w:color="auto" w:fill="auto"/>
          </w:tcPr>
          <w:p w:rsidR="00E41786" w:rsidRPr="00D85026" w:rsidRDefault="00E41786" w:rsidP="00500830">
            <w:pPr>
              <w:rPr>
                <w:b/>
                <w:sz w:val="20"/>
                <w:szCs w:val="20"/>
              </w:rPr>
            </w:pPr>
            <w:r w:rsidRPr="00D85026">
              <w:rPr>
                <w:b/>
                <w:sz w:val="20"/>
                <w:szCs w:val="20"/>
              </w:rPr>
              <w:t>Mejora en la eficiencia y el funcionamiento de la banca pública de desarrollo</w:t>
            </w:r>
          </w:p>
          <w:p w:rsidR="00E41786" w:rsidRPr="00D85026" w:rsidRDefault="00E41786" w:rsidP="00500830">
            <w:pPr>
              <w:pStyle w:val="ListParagraph"/>
              <w:spacing w:after="0"/>
              <w:ind w:left="342"/>
              <w:rPr>
                <w:sz w:val="20"/>
                <w:szCs w:val="20"/>
              </w:rPr>
            </w:pPr>
          </w:p>
        </w:tc>
        <w:tc>
          <w:tcPr>
            <w:tcW w:w="3693"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rPr>
            </w:pPr>
            <w:r w:rsidRPr="00D85026">
              <w:rPr>
                <w:sz w:val="20"/>
                <w:szCs w:val="20"/>
              </w:rPr>
              <w:t>Implantación de las mejoras de procesos y tecnológicas en el BFP.</w:t>
            </w: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 xml:space="preserve">Definición de un plan estratégico para el BFP que define los instrumentos y las áreas de acciones prioritarias de actuación a medio plazo. </w:t>
            </w: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 xml:space="preserve"> </w:t>
            </w:r>
          </w:p>
        </w:tc>
        <w:tc>
          <w:tcPr>
            <w:tcW w:w="3330"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rPr>
            </w:pPr>
            <w:r w:rsidRPr="00D85026">
              <w:rPr>
                <w:sz w:val="20"/>
                <w:szCs w:val="20"/>
              </w:rPr>
              <w:t xml:space="preserve">Informe del Gerente General del Consejo Directivo de BFP al MHCP indicando que se han implementado de los nuevos procesos tecnológicos, detallando sus funciones, tecnología y coste  </w:t>
            </w: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Certificación de las partes relevantes del Acta de aprobación del plan estratégico por parte del Consejo Directivo de BFP conteniendo el Plan Estratégico.</w:t>
            </w:r>
          </w:p>
        </w:tc>
        <w:tc>
          <w:tcPr>
            <w:tcW w:w="1908"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rPr>
            </w:pPr>
            <w:r w:rsidRPr="00D85026">
              <w:rPr>
                <w:sz w:val="20"/>
                <w:szCs w:val="20"/>
              </w:rPr>
              <w:t>BFP</w:t>
            </w: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Del="001854E0" w:rsidRDefault="00E41786" w:rsidP="00500830">
            <w:pPr>
              <w:rPr>
                <w:sz w:val="20"/>
                <w:szCs w:val="20"/>
              </w:rPr>
            </w:pPr>
            <w:r w:rsidRPr="00D85026">
              <w:rPr>
                <w:sz w:val="20"/>
                <w:szCs w:val="20"/>
              </w:rPr>
              <w:t>BFP</w:t>
            </w:r>
          </w:p>
        </w:tc>
      </w:tr>
      <w:tr w:rsidR="00E41786" w:rsidRPr="00D85026" w:rsidTr="00500830">
        <w:trPr>
          <w:trHeight w:val="629"/>
        </w:trPr>
        <w:tc>
          <w:tcPr>
            <w:tcW w:w="3525" w:type="dxa"/>
            <w:tcBorders>
              <w:right w:val="single" w:sz="4" w:space="0" w:color="auto"/>
            </w:tcBorders>
            <w:shd w:val="clear" w:color="auto" w:fill="auto"/>
          </w:tcPr>
          <w:p w:rsidR="00E41786" w:rsidRPr="00D85026" w:rsidRDefault="00E41786" w:rsidP="00500830">
            <w:pPr>
              <w:rPr>
                <w:b/>
                <w:sz w:val="20"/>
                <w:szCs w:val="20"/>
              </w:rPr>
            </w:pPr>
            <w:r w:rsidRPr="00D85026">
              <w:rPr>
                <w:b/>
                <w:sz w:val="20"/>
                <w:szCs w:val="20"/>
              </w:rPr>
              <w:lastRenderedPageBreak/>
              <w:t>Mejoras en la protección de los acreedores y el régimen de colaterales</w:t>
            </w:r>
          </w:p>
          <w:p w:rsidR="00E41786" w:rsidRPr="00D85026" w:rsidDel="00F85800" w:rsidRDefault="00E41786" w:rsidP="00500830">
            <w:pPr>
              <w:rPr>
                <w:sz w:val="20"/>
                <w:szCs w:val="20"/>
              </w:rPr>
            </w:pPr>
          </w:p>
        </w:tc>
        <w:tc>
          <w:tcPr>
            <w:tcW w:w="3693" w:type="dxa"/>
            <w:tcBorders>
              <w:top w:val="single" w:sz="4" w:space="0" w:color="auto"/>
              <w:left w:val="single" w:sz="4" w:space="0" w:color="auto"/>
              <w:bottom w:val="single" w:sz="4" w:space="0" w:color="auto"/>
              <w:right w:val="single" w:sz="4" w:space="0" w:color="auto"/>
            </w:tcBorders>
          </w:tcPr>
          <w:p w:rsidR="00E41786" w:rsidRPr="00D85026" w:rsidRDefault="006C122D" w:rsidP="00500830">
            <w:pPr>
              <w:rPr>
                <w:sz w:val="20"/>
                <w:szCs w:val="20"/>
              </w:rPr>
            </w:pPr>
            <w:r>
              <w:rPr>
                <w:sz w:val="20"/>
                <w:szCs w:val="20"/>
              </w:rPr>
              <w:t xml:space="preserve">Entrada en vigor de la normativa </w:t>
            </w:r>
            <w:r w:rsidR="00E41786" w:rsidRPr="00D85026">
              <w:rPr>
                <w:sz w:val="20"/>
                <w:szCs w:val="20"/>
              </w:rPr>
              <w:t xml:space="preserve">de garantías mobiliarias. </w:t>
            </w:r>
          </w:p>
          <w:p w:rsidR="00E41786" w:rsidRPr="00D85026" w:rsidRDefault="00E41786" w:rsidP="00500830">
            <w:pPr>
              <w:rPr>
                <w:sz w:val="20"/>
                <w:szCs w:val="20"/>
              </w:rPr>
            </w:pPr>
          </w:p>
        </w:tc>
        <w:tc>
          <w:tcPr>
            <w:tcW w:w="3330" w:type="dxa"/>
            <w:tcBorders>
              <w:top w:val="single" w:sz="4" w:space="0" w:color="auto"/>
              <w:left w:val="single" w:sz="4" w:space="0" w:color="auto"/>
              <w:bottom w:val="single" w:sz="4" w:space="0" w:color="auto"/>
              <w:right w:val="single" w:sz="4" w:space="0" w:color="auto"/>
            </w:tcBorders>
          </w:tcPr>
          <w:p w:rsidR="00E41786" w:rsidRDefault="00DC3DD8" w:rsidP="00500830">
            <w:pPr>
              <w:rPr>
                <w:sz w:val="20"/>
                <w:szCs w:val="20"/>
              </w:rPr>
            </w:pPr>
            <w:r>
              <w:rPr>
                <w:sz w:val="20"/>
                <w:szCs w:val="20"/>
              </w:rPr>
              <w:t>Publicación en la Gaceta Oficial</w:t>
            </w:r>
            <w:r w:rsidR="00E41786" w:rsidRPr="00D85026">
              <w:rPr>
                <w:sz w:val="20"/>
                <w:szCs w:val="20"/>
              </w:rPr>
              <w:t xml:space="preserve"> de la Ley de Garantías Mobiliarias.</w:t>
            </w:r>
          </w:p>
          <w:p w:rsidR="00E41786" w:rsidRDefault="00E41786" w:rsidP="00500830">
            <w:pPr>
              <w:rPr>
                <w:sz w:val="20"/>
                <w:szCs w:val="20"/>
              </w:rPr>
            </w:pPr>
          </w:p>
          <w:p w:rsidR="00E41786" w:rsidRPr="00D85026" w:rsidRDefault="00E41786" w:rsidP="00500830">
            <w:pPr>
              <w:rPr>
                <w:sz w:val="20"/>
                <w:szCs w:val="20"/>
              </w:rPr>
            </w:pPr>
          </w:p>
        </w:tc>
        <w:tc>
          <w:tcPr>
            <w:tcW w:w="1908" w:type="dxa"/>
            <w:tcBorders>
              <w:top w:val="single" w:sz="4" w:space="0" w:color="auto"/>
              <w:left w:val="single" w:sz="4" w:space="0" w:color="auto"/>
              <w:bottom w:val="single" w:sz="4" w:space="0" w:color="auto"/>
              <w:right w:val="single" w:sz="4" w:space="0" w:color="auto"/>
            </w:tcBorders>
          </w:tcPr>
          <w:p w:rsidR="00E41786" w:rsidRPr="00D85026" w:rsidDel="008D3991" w:rsidRDefault="00E41786" w:rsidP="00500830">
            <w:pPr>
              <w:rPr>
                <w:sz w:val="20"/>
                <w:szCs w:val="20"/>
              </w:rPr>
            </w:pPr>
            <w:r w:rsidRPr="00D85026">
              <w:rPr>
                <w:sz w:val="20"/>
                <w:szCs w:val="20"/>
              </w:rPr>
              <w:t>MIFIC</w:t>
            </w:r>
          </w:p>
        </w:tc>
      </w:tr>
      <w:tr w:rsidR="00E41786" w:rsidRPr="00D85026" w:rsidDel="00740FE4" w:rsidTr="00500830">
        <w:trPr>
          <w:trHeight w:val="448"/>
        </w:trPr>
        <w:tc>
          <w:tcPr>
            <w:tcW w:w="7218" w:type="dxa"/>
            <w:gridSpan w:val="2"/>
            <w:tcBorders>
              <w:right w:val="single" w:sz="4" w:space="0" w:color="auto"/>
            </w:tcBorders>
            <w:shd w:val="clear" w:color="auto" w:fill="B6DDE8" w:themeFill="accent5" w:themeFillTint="66"/>
            <w:vAlign w:val="center"/>
          </w:tcPr>
          <w:p w:rsidR="00E41786" w:rsidRPr="00D85026" w:rsidDel="00740FE4" w:rsidRDefault="00E41786" w:rsidP="00500830">
            <w:pPr>
              <w:rPr>
                <w:sz w:val="20"/>
                <w:szCs w:val="20"/>
              </w:rPr>
            </w:pPr>
            <w:r w:rsidRPr="00D85026">
              <w:rPr>
                <w:b/>
                <w:sz w:val="20"/>
                <w:szCs w:val="20"/>
              </w:rPr>
              <w:t>Componente III: Mejora del clima de negocios y la competencia</w:t>
            </w:r>
          </w:p>
        </w:tc>
        <w:tc>
          <w:tcPr>
            <w:tcW w:w="3330" w:type="dxa"/>
            <w:tcBorders>
              <w:right w:val="single" w:sz="4" w:space="0" w:color="auto"/>
            </w:tcBorders>
            <w:shd w:val="clear" w:color="auto" w:fill="B6DDE8" w:themeFill="accent5" w:themeFillTint="66"/>
          </w:tcPr>
          <w:p w:rsidR="00E41786" w:rsidRPr="00D85026" w:rsidRDefault="00E41786" w:rsidP="00500830">
            <w:pPr>
              <w:rPr>
                <w:b/>
                <w:sz w:val="20"/>
                <w:szCs w:val="20"/>
              </w:rPr>
            </w:pPr>
          </w:p>
        </w:tc>
        <w:tc>
          <w:tcPr>
            <w:tcW w:w="1908" w:type="dxa"/>
            <w:tcBorders>
              <w:right w:val="single" w:sz="4" w:space="0" w:color="auto"/>
            </w:tcBorders>
            <w:shd w:val="clear" w:color="auto" w:fill="B6DDE8" w:themeFill="accent5" w:themeFillTint="66"/>
          </w:tcPr>
          <w:p w:rsidR="00E41786" w:rsidRPr="00D85026" w:rsidRDefault="00E41786" w:rsidP="00500830">
            <w:pPr>
              <w:rPr>
                <w:b/>
                <w:sz w:val="20"/>
                <w:szCs w:val="20"/>
              </w:rPr>
            </w:pPr>
          </w:p>
        </w:tc>
      </w:tr>
      <w:tr w:rsidR="00E41786" w:rsidRPr="00D85026" w:rsidTr="00500830">
        <w:trPr>
          <w:trHeight w:val="70"/>
        </w:trPr>
        <w:tc>
          <w:tcPr>
            <w:tcW w:w="3525" w:type="dxa"/>
            <w:tcBorders>
              <w:right w:val="single" w:sz="4" w:space="0" w:color="auto"/>
            </w:tcBorders>
            <w:shd w:val="clear" w:color="auto" w:fill="auto"/>
          </w:tcPr>
          <w:p w:rsidR="00E41786" w:rsidRPr="00D85026" w:rsidRDefault="00E41786" w:rsidP="00500830">
            <w:pPr>
              <w:rPr>
                <w:b/>
                <w:sz w:val="20"/>
                <w:szCs w:val="20"/>
              </w:rPr>
            </w:pPr>
            <w:r w:rsidRPr="00D85026">
              <w:rPr>
                <w:b/>
                <w:sz w:val="20"/>
                <w:szCs w:val="20"/>
              </w:rPr>
              <w:t xml:space="preserve">Mejora regulatoria y simplificación de procesos </w:t>
            </w:r>
          </w:p>
          <w:p w:rsidR="00E41786" w:rsidRPr="00D85026" w:rsidRDefault="00E41786" w:rsidP="00500830">
            <w:pPr>
              <w:rPr>
                <w:sz w:val="20"/>
                <w:szCs w:val="20"/>
              </w:rPr>
            </w:pPr>
          </w:p>
        </w:tc>
        <w:tc>
          <w:tcPr>
            <w:tcW w:w="3693"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lang w:val="es-AR"/>
              </w:rPr>
            </w:pPr>
            <w:r w:rsidRPr="00D85026">
              <w:rPr>
                <w:sz w:val="20"/>
                <w:szCs w:val="20"/>
                <w:lang w:val="es-AR"/>
              </w:rPr>
              <w:t xml:space="preserve">Mejoras en la simplificación de procesos en materia de licencias y permisos medidos dentro del reporte del </w:t>
            </w:r>
            <w:r w:rsidRPr="00D85026">
              <w:rPr>
                <w:i/>
                <w:sz w:val="20"/>
                <w:szCs w:val="20"/>
                <w:lang w:val="es-AR"/>
              </w:rPr>
              <w:t>Doing Business</w:t>
            </w:r>
            <w:r w:rsidRPr="00D85026">
              <w:rPr>
                <w:sz w:val="20"/>
                <w:szCs w:val="20"/>
                <w:lang w:val="es-AR"/>
              </w:rPr>
              <w:t xml:space="preserve"> en las áreas de registros de propiedad, apertura de una empresa, simplificación del pago de impuestos, comercio transfronterizo.  </w:t>
            </w:r>
          </w:p>
          <w:p w:rsidR="00E41786" w:rsidRPr="00D85026" w:rsidRDefault="00E41786" w:rsidP="00500830">
            <w:pPr>
              <w:rPr>
                <w:sz w:val="20"/>
                <w:szCs w:val="20"/>
                <w:lang w:val="es-AR"/>
              </w:rPr>
            </w:pPr>
          </w:p>
          <w:p w:rsidR="00E41786" w:rsidRPr="00D85026" w:rsidRDefault="00E41786" w:rsidP="00500830">
            <w:pPr>
              <w:rPr>
                <w:sz w:val="20"/>
                <w:szCs w:val="20"/>
                <w:lang w:val="es-AR"/>
              </w:rPr>
            </w:pPr>
            <w:r w:rsidRPr="00D85026">
              <w:rPr>
                <w:sz w:val="20"/>
                <w:szCs w:val="20"/>
                <w:lang w:val="es-AR"/>
              </w:rPr>
              <w:t>Entrada en funcionamiento de las VUI en siete municipios.</w:t>
            </w: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6C122D" w:rsidP="00500830">
            <w:pPr>
              <w:rPr>
                <w:sz w:val="20"/>
                <w:szCs w:val="20"/>
                <w:lang w:val="es-AR"/>
              </w:rPr>
            </w:pPr>
            <w:r>
              <w:rPr>
                <w:sz w:val="20"/>
                <w:szCs w:val="20"/>
                <w:lang w:val="es-AR"/>
              </w:rPr>
              <w:t>Entrada en funcionamiento</w:t>
            </w:r>
            <w:r w:rsidR="00E41786" w:rsidRPr="00D85026">
              <w:rPr>
                <w:sz w:val="20"/>
                <w:szCs w:val="20"/>
                <w:lang w:val="es-AR"/>
              </w:rPr>
              <w:t xml:space="preserve"> de la VUCEN simplificando, coordinando e informatizando los procesos para el comercio exterior. </w:t>
            </w:r>
          </w:p>
        </w:tc>
        <w:tc>
          <w:tcPr>
            <w:tcW w:w="3330"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lang w:val="es-AR"/>
              </w:rPr>
            </w:pPr>
            <w:r w:rsidRPr="00D85026">
              <w:rPr>
                <w:sz w:val="20"/>
                <w:szCs w:val="20"/>
                <w:lang w:val="es-AR"/>
              </w:rPr>
              <w:t xml:space="preserve">Informe de ProNicaragua al MHCP con el resumen de mejoras de simplificación de procesos en las áreas que cubren los siguientes indicadores del </w:t>
            </w:r>
            <w:r w:rsidRPr="00D85026">
              <w:rPr>
                <w:i/>
                <w:sz w:val="20"/>
                <w:szCs w:val="20"/>
                <w:lang w:val="es-AR"/>
              </w:rPr>
              <w:t>Doing Business</w:t>
            </w:r>
            <w:r w:rsidRPr="00D85026">
              <w:rPr>
                <w:sz w:val="20"/>
                <w:szCs w:val="20"/>
                <w:lang w:val="es-AR"/>
              </w:rPr>
              <w:t xml:space="preserve"> 2014 y 2015 señalados.</w:t>
            </w: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r w:rsidRPr="00D85026">
              <w:rPr>
                <w:sz w:val="20"/>
                <w:szCs w:val="20"/>
                <w:lang w:val="es-AR"/>
              </w:rPr>
              <w:t>Informe del MIFIC al MHCP con la información necesaria para comprobar que las VUI en los siete municipios se encuentran en funcionamiento. Entre esta información se encontrará, el número de trámites realizados y el número de empresas registradas por municipio.</w:t>
            </w:r>
          </w:p>
          <w:p w:rsidR="00E41786" w:rsidRPr="00D85026" w:rsidRDefault="00E41786" w:rsidP="00500830">
            <w:pPr>
              <w:rPr>
                <w:sz w:val="20"/>
                <w:szCs w:val="20"/>
                <w:lang w:val="es-AR"/>
              </w:rPr>
            </w:pPr>
          </w:p>
          <w:p w:rsidR="00E41786" w:rsidRPr="00D85026" w:rsidRDefault="00E41786" w:rsidP="00500830">
            <w:pPr>
              <w:rPr>
                <w:sz w:val="20"/>
                <w:szCs w:val="20"/>
                <w:lang w:val="es-AR"/>
              </w:rPr>
            </w:pPr>
            <w:r w:rsidRPr="00D85026">
              <w:rPr>
                <w:sz w:val="20"/>
                <w:szCs w:val="20"/>
                <w:lang w:val="es-AR"/>
              </w:rPr>
              <w:t xml:space="preserve">Informe del MIFIC al MHCP informando el funcionamiento de las VUCEN, proveyendo datos concretos sobre la evolución de su implementación (número de empresas, instituciones, municipios, incidencias ocurridas, entre otros). </w:t>
            </w:r>
          </w:p>
          <w:p w:rsidR="00E41786" w:rsidRPr="00D85026" w:rsidRDefault="00E41786" w:rsidP="00500830">
            <w:pPr>
              <w:rPr>
                <w:sz w:val="20"/>
                <w:szCs w:val="20"/>
                <w:lang w:val="es-AR"/>
              </w:rPr>
            </w:pPr>
          </w:p>
        </w:tc>
        <w:tc>
          <w:tcPr>
            <w:tcW w:w="1908"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lang w:val="es-AR"/>
              </w:rPr>
            </w:pPr>
            <w:r w:rsidRPr="00D85026">
              <w:rPr>
                <w:sz w:val="20"/>
                <w:szCs w:val="20"/>
                <w:lang w:val="es-AR"/>
              </w:rPr>
              <w:t>PRONICARAGUA</w:t>
            </w: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Default="00E41786" w:rsidP="00500830">
            <w:pPr>
              <w:rPr>
                <w:sz w:val="20"/>
                <w:szCs w:val="20"/>
                <w:lang w:val="es-AR"/>
              </w:rPr>
            </w:pPr>
          </w:p>
          <w:p w:rsidR="00E41786" w:rsidRPr="00D85026" w:rsidRDefault="00E41786" w:rsidP="00500830">
            <w:pPr>
              <w:rPr>
                <w:sz w:val="20"/>
                <w:szCs w:val="20"/>
                <w:lang w:val="es-AR"/>
              </w:rPr>
            </w:pPr>
            <w:r w:rsidRPr="00D85026">
              <w:rPr>
                <w:sz w:val="20"/>
                <w:szCs w:val="20"/>
                <w:lang w:val="es-AR"/>
              </w:rPr>
              <w:t>MIFIC</w:t>
            </w: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Pr="00D85026" w:rsidRDefault="00E41786" w:rsidP="00500830">
            <w:pPr>
              <w:rPr>
                <w:sz w:val="20"/>
                <w:szCs w:val="20"/>
                <w:lang w:val="es-AR"/>
              </w:rPr>
            </w:pPr>
          </w:p>
          <w:p w:rsidR="00E41786" w:rsidRDefault="00E41786" w:rsidP="00500830">
            <w:pPr>
              <w:rPr>
                <w:sz w:val="20"/>
                <w:szCs w:val="20"/>
                <w:lang w:val="es-AR"/>
              </w:rPr>
            </w:pPr>
          </w:p>
          <w:p w:rsidR="00E41786" w:rsidRDefault="00E41786" w:rsidP="00500830">
            <w:pPr>
              <w:rPr>
                <w:sz w:val="20"/>
                <w:szCs w:val="20"/>
                <w:lang w:val="es-AR"/>
              </w:rPr>
            </w:pPr>
          </w:p>
          <w:p w:rsidR="00E41786" w:rsidRPr="00D85026" w:rsidRDefault="00E41786" w:rsidP="00500830">
            <w:pPr>
              <w:rPr>
                <w:sz w:val="20"/>
                <w:szCs w:val="20"/>
                <w:lang w:val="es-AR"/>
              </w:rPr>
            </w:pPr>
            <w:r w:rsidRPr="00D85026">
              <w:rPr>
                <w:sz w:val="20"/>
                <w:szCs w:val="20"/>
                <w:lang w:val="es-AR"/>
              </w:rPr>
              <w:t>MIFIC</w:t>
            </w:r>
          </w:p>
        </w:tc>
      </w:tr>
      <w:tr w:rsidR="00E41786" w:rsidRPr="00D85026" w:rsidTr="00500830">
        <w:trPr>
          <w:trHeight w:val="980"/>
        </w:trPr>
        <w:tc>
          <w:tcPr>
            <w:tcW w:w="3525" w:type="dxa"/>
            <w:tcBorders>
              <w:right w:val="single" w:sz="4" w:space="0" w:color="auto"/>
            </w:tcBorders>
            <w:shd w:val="clear" w:color="auto" w:fill="auto"/>
          </w:tcPr>
          <w:p w:rsidR="00E41786" w:rsidRPr="00D85026" w:rsidRDefault="00E41786" w:rsidP="00500830">
            <w:pPr>
              <w:rPr>
                <w:b/>
                <w:sz w:val="20"/>
                <w:szCs w:val="20"/>
              </w:rPr>
            </w:pPr>
            <w:r w:rsidRPr="00D85026">
              <w:rPr>
                <w:b/>
                <w:sz w:val="20"/>
                <w:szCs w:val="20"/>
              </w:rPr>
              <w:t>Fortalecimiento de la gobernanza de la regulación en materia de competencia y defensa del consumidor</w:t>
            </w:r>
          </w:p>
          <w:p w:rsidR="00E41786" w:rsidRPr="00D85026" w:rsidRDefault="00E41786" w:rsidP="00500830">
            <w:pPr>
              <w:ind w:left="357" w:hanging="357"/>
              <w:rPr>
                <w:sz w:val="20"/>
                <w:szCs w:val="20"/>
              </w:rPr>
            </w:pPr>
          </w:p>
          <w:p w:rsidR="00E41786" w:rsidRPr="00D85026" w:rsidRDefault="00E41786" w:rsidP="00500830">
            <w:pPr>
              <w:rPr>
                <w:sz w:val="20"/>
                <w:szCs w:val="20"/>
              </w:rPr>
            </w:pPr>
          </w:p>
        </w:tc>
        <w:tc>
          <w:tcPr>
            <w:tcW w:w="3693"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rPr>
            </w:pPr>
            <w:r w:rsidRPr="00D85026">
              <w:rPr>
                <w:sz w:val="20"/>
                <w:szCs w:val="20"/>
              </w:rPr>
              <w:t>Desarrollo de indicadores sectoriales de competencia siguiendo las mejores prácticas establecidas por la OCDE.</w:t>
            </w: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Default="00E41786" w:rsidP="00500830">
            <w:pPr>
              <w:rPr>
                <w:sz w:val="20"/>
                <w:szCs w:val="20"/>
              </w:rPr>
            </w:pPr>
          </w:p>
          <w:p w:rsidR="00E41786" w:rsidRPr="00D85026" w:rsidRDefault="00E41786" w:rsidP="00500830">
            <w:pPr>
              <w:rPr>
                <w:sz w:val="20"/>
                <w:szCs w:val="20"/>
              </w:rPr>
            </w:pPr>
            <w:r w:rsidRPr="00D85026">
              <w:rPr>
                <w:sz w:val="20"/>
                <w:szCs w:val="20"/>
              </w:rPr>
              <w:t xml:space="preserve">Implantación de una política de recursos humanos y de capacitación del personal de </w:t>
            </w:r>
            <w:r w:rsidRPr="00D85026">
              <w:rPr>
                <w:sz w:val="20"/>
                <w:szCs w:val="20"/>
              </w:rPr>
              <w:lastRenderedPageBreak/>
              <w:t>ProCompetencia.</w:t>
            </w: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 xml:space="preserve">Análisis de las barreras de competencia en los sectores de turismo, lácteo, y madera. </w:t>
            </w:r>
          </w:p>
        </w:tc>
        <w:tc>
          <w:tcPr>
            <w:tcW w:w="3330"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rPr>
            </w:pPr>
            <w:r w:rsidRPr="00D85026">
              <w:rPr>
                <w:sz w:val="20"/>
                <w:szCs w:val="20"/>
              </w:rPr>
              <w:lastRenderedPageBreak/>
              <w:t>Informe de ProCompetencia al MHCP mostrando los indicadores sectoriales desarrollados siguiendo metodología de la OCDE.</w:t>
            </w: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Informe de ProCompetencia al MHCP mostrando la política de capacitación y los cursos realizados por el personal.</w:t>
            </w: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Informes de ProCompetencia al MHCP que incluyan el análisis de las barreras de competencia en los sectores de turismo, lácteo y madera.</w:t>
            </w:r>
          </w:p>
        </w:tc>
        <w:tc>
          <w:tcPr>
            <w:tcW w:w="1908" w:type="dxa"/>
            <w:tcBorders>
              <w:top w:val="single" w:sz="4" w:space="0" w:color="auto"/>
              <w:left w:val="single" w:sz="4" w:space="0" w:color="auto"/>
              <w:bottom w:val="single" w:sz="4" w:space="0" w:color="auto"/>
              <w:right w:val="single" w:sz="4" w:space="0" w:color="auto"/>
            </w:tcBorders>
          </w:tcPr>
          <w:p w:rsidR="00E41786" w:rsidRPr="00D85026" w:rsidRDefault="00E41786" w:rsidP="00500830">
            <w:pPr>
              <w:rPr>
                <w:sz w:val="20"/>
                <w:szCs w:val="20"/>
              </w:rPr>
            </w:pPr>
            <w:r w:rsidRPr="00D85026">
              <w:rPr>
                <w:sz w:val="20"/>
                <w:szCs w:val="20"/>
              </w:rPr>
              <w:lastRenderedPageBreak/>
              <w:t>PROCOMPETENCIA</w:t>
            </w: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PROCOMPETENCIA</w:t>
            </w: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p>
          <w:p w:rsidR="00E41786" w:rsidRPr="00D85026" w:rsidRDefault="00E41786" w:rsidP="00500830">
            <w:pPr>
              <w:rPr>
                <w:sz w:val="20"/>
                <w:szCs w:val="20"/>
              </w:rPr>
            </w:pPr>
            <w:r w:rsidRPr="00D85026">
              <w:rPr>
                <w:sz w:val="20"/>
                <w:szCs w:val="20"/>
              </w:rPr>
              <w:t>PROCOMPETENCIA</w:t>
            </w:r>
          </w:p>
        </w:tc>
      </w:tr>
      <w:tr w:rsidR="00E41786" w:rsidRPr="00D85026" w:rsidDel="00740FE4" w:rsidTr="00500830">
        <w:trPr>
          <w:trHeight w:val="547"/>
        </w:trPr>
        <w:tc>
          <w:tcPr>
            <w:tcW w:w="12456" w:type="dxa"/>
            <w:gridSpan w:val="4"/>
            <w:tcBorders>
              <w:right w:val="single" w:sz="4" w:space="0" w:color="auto"/>
            </w:tcBorders>
            <w:shd w:val="clear" w:color="auto" w:fill="B6DDE8" w:themeFill="accent5" w:themeFillTint="66"/>
            <w:vAlign w:val="center"/>
          </w:tcPr>
          <w:p w:rsidR="00E41786" w:rsidRPr="00D85026" w:rsidRDefault="00E41786" w:rsidP="00500830">
            <w:pPr>
              <w:rPr>
                <w:b/>
                <w:sz w:val="20"/>
                <w:szCs w:val="20"/>
              </w:rPr>
            </w:pPr>
            <w:r w:rsidRPr="00D85026">
              <w:rPr>
                <w:b/>
                <w:sz w:val="20"/>
                <w:szCs w:val="20"/>
              </w:rPr>
              <w:lastRenderedPageBreak/>
              <w:t>Componente IV: Fortalecimiento de las instituciones para el desarrollo productivo</w:t>
            </w:r>
          </w:p>
        </w:tc>
      </w:tr>
      <w:tr w:rsidR="00E41786" w:rsidRPr="00D85026" w:rsidTr="00500830">
        <w:trPr>
          <w:trHeight w:val="916"/>
        </w:trPr>
        <w:tc>
          <w:tcPr>
            <w:tcW w:w="3525" w:type="dxa"/>
            <w:tcBorders>
              <w:top w:val="single" w:sz="4" w:space="0" w:color="auto"/>
              <w:bottom w:val="single" w:sz="4" w:space="0" w:color="auto"/>
            </w:tcBorders>
            <w:shd w:val="clear" w:color="auto" w:fill="auto"/>
          </w:tcPr>
          <w:p w:rsidR="00E41786" w:rsidRPr="00D85026" w:rsidRDefault="00E41786" w:rsidP="00500830">
            <w:pPr>
              <w:rPr>
                <w:b/>
                <w:sz w:val="20"/>
                <w:szCs w:val="20"/>
              </w:rPr>
            </w:pPr>
            <w:r w:rsidRPr="00D85026">
              <w:rPr>
                <w:b/>
                <w:sz w:val="20"/>
                <w:szCs w:val="20"/>
              </w:rPr>
              <w:t>Implementación del plan estratégico de desarrollo productivo</w:t>
            </w:r>
          </w:p>
          <w:p w:rsidR="00E41786" w:rsidRPr="00D85026" w:rsidRDefault="00E41786" w:rsidP="00500830">
            <w:pPr>
              <w:pStyle w:val="ListParagraph"/>
              <w:tabs>
                <w:tab w:val="left" w:pos="432"/>
              </w:tabs>
              <w:spacing w:after="0"/>
              <w:rPr>
                <w:sz w:val="20"/>
                <w:szCs w:val="20"/>
              </w:rPr>
            </w:pPr>
          </w:p>
        </w:tc>
        <w:tc>
          <w:tcPr>
            <w:tcW w:w="3693" w:type="dxa"/>
            <w:tcBorders>
              <w:top w:val="single" w:sz="4" w:space="0" w:color="auto"/>
              <w:bottom w:val="single" w:sz="4" w:space="0" w:color="auto"/>
            </w:tcBorders>
          </w:tcPr>
          <w:p w:rsidR="00E41786" w:rsidRPr="00D85026" w:rsidRDefault="00E41786" w:rsidP="00500830">
            <w:pPr>
              <w:tabs>
                <w:tab w:val="left" w:pos="3319"/>
              </w:tabs>
              <w:ind w:right="5"/>
              <w:rPr>
                <w:sz w:val="20"/>
                <w:szCs w:val="20"/>
                <w:lang w:val="es-AR"/>
              </w:rPr>
            </w:pPr>
            <w:r w:rsidRPr="00D85026">
              <w:rPr>
                <w:sz w:val="20"/>
                <w:szCs w:val="20"/>
                <w:lang w:val="es-AR"/>
              </w:rPr>
              <w:t xml:space="preserve">Fortalecimiento institucional del MIFIC y el MEFCCA en materia de gestión y evaluación de proyectos para el desarrollo productivo. </w:t>
            </w:r>
          </w:p>
        </w:tc>
        <w:tc>
          <w:tcPr>
            <w:tcW w:w="3330" w:type="dxa"/>
            <w:tcBorders>
              <w:top w:val="single" w:sz="4" w:space="0" w:color="auto"/>
              <w:bottom w:val="single" w:sz="4" w:space="0" w:color="auto"/>
            </w:tcBorders>
          </w:tcPr>
          <w:p w:rsidR="00E41786" w:rsidRPr="00D85026" w:rsidRDefault="00E41786" w:rsidP="00500830">
            <w:pPr>
              <w:tabs>
                <w:tab w:val="left" w:pos="3319"/>
              </w:tabs>
              <w:ind w:right="5"/>
              <w:rPr>
                <w:sz w:val="20"/>
                <w:szCs w:val="20"/>
                <w:lang w:val="es-AR"/>
              </w:rPr>
            </w:pPr>
            <w:r w:rsidRPr="00D85026">
              <w:rPr>
                <w:sz w:val="20"/>
                <w:szCs w:val="20"/>
                <w:lang w:val="es-AR"/>
              </w:rPr>
              <w:t>Informe del MIFIC al MHCP comprendiendo lo siguiente: (i) identificación de mejoras de procedimientos en gestión de proyectos y (ii) la definición de la metodología de evaluación de proyectos y capacitación de personal, anexando evidencia.</w:t>
            </w: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r w:rsidRPr="00D85026">
              <w:rPr>
                <w:sz w:val="20"/>
                <w:szCs w:val="20"/>
                <w:lang w:val="es-AR"/>
              </w:rPr>
              <w:t>Informe del MEFCCA al MHCP comprendiendo lo siguiente: (i) creación de la unidad de proyectos; e (ii) implementación de metodología de evaluación de proyectos,  anexando la evidencia.</w:t>
            </w:r>
          </w:p>
        </w:tc>
        <w:tc>
          <w:tcPr>
            <w:tcW w:w="1908" w:type="dxa"/>
            <w:tcBorders>
              <w:top w:val="single" w:sz="4" w:space="0" w:color="auto"/>
              <w:bottom w:val="single" w:sz="4" w:space="0" w:color="auto"/>
            </w:tcBorders>
          </w:tcPr>
          <w:p w:rsidR="00E41786" w:rsidRPr="00D85026" w:rsidRDefault="00E41786" w:rsidP="00500830">
            <w:pPr>
              <w:tabs>
                <w:tab w:val="left" w:pos="3319"/>
              </w:tabs>
              <w:ind w:right="5"/>
              <w:rPr>
                <w:sz w:val="20"/>
                <w:szCs w:val="20"/>
                <w:lang w:val="es-AR"/>
              </w:rPr>
            </w:pPr>
            <w:r w:rsidRPr="00D85026">
              <w:rPr>
                <w:sz w:val="20"/>
                <w:szCs w:val="20"/>
                <w:lang w:val="es-AR"/>
              </w:rPr>
              <w:t>MIFIC</w:t>
            </w: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Default="00E41786" w:rsidP="00500830">
            <w:pPr>
              <w:tabs>
                <w:tab w:val="left" w:pos="3319"/>
              </w:tabs>
              <w:ind w:right="5"/>
              <w:rPr>
                <w:sz w:val="20"/>
                <w:szCs w:val="20"/>
                <w:lang w:val="es-AR"/>
              </w:rPr>
            </w:pPr>
          </w:p>
          <w:p w:rsidR="00E41786" w:rsidRDefault="00E41786" w:rsidP="00500830">
            <w:pPr>
              <w:tabs>
                <w:tab w:val="left" w:pos="3319"/>
              </w:tabs>
              <w:ind w:right="5"/>
              <w:rPr>
                <w:sz w:val="20"/>
                <w:szCs w:val="20"/>
                <w:lang w:val="es-AR"/>
              </w:rPr>
            </w:pPr>
          </w:p>
          <w:p w:rsidR="00E4178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rPr>
                <w:sz w:val="20"/>
                <w:szCs w:val="20"/>
                <w:lang w:val="es-AR"/>
              </w:rPr>
            </w:pPr>
            <w:r w:rsidRPr="00D85026">
              <w:rPr>
                <w:sz w:val="20"/>
                <w:szCs w:val="20"/>
                <w:lang w:val="es-AR"/>
              </w:rPr>
              <w:t>MEFCCA</w:t>
            </w:r>
          </w:p>
        </w:tc>
      </w:tr>
      <w:tr w:rsidR="00E41786" w:rsidRPr="00D85026" w:rsidTr="00500830">
        <w:trPr>
          <w:trHeight w:val="710"/>
        </w:trPr>
        <w:tc>
          <w:tcPr>
            <w:tcW w:w="3525" w:type="dxa"/>
            <w:tcBorders>
              <w:bottom w:val="single" w:sz="4" w:space="0" w:color="auto"/>
            </w:tcBorders>
            <w:shd w:val="clear" w:color="auto" w:fill="auto"/>
          </w:tcPr>
          <w:p w:rsidR="00E41786" w:rsidRPr="00D85026" w:rsidRDefault="00E41786" w:rsidP="00500830">
            <w:pPr>
              <w:pStyle w:val="Sinespaciado1"/>
              <w:rPr>
                <w:rFonts w:ascii="Arial" w:hAnsi="Arial" w:cs="Arial"/>
                <w:sz w:val="20"/>
                <w:szCs w:val="20"/>
                <w:lang w:val="es-ES_tradnl"/>
              </w:rPr>
            </w:pPr>
            <w:r w:rsidRPr="00D85026">
              <w:rPr>
                <w:rFonts w:ascii="Arial" w:hAnsi="Arial" w:cs="Arial"/>
                <w:b/>
                <w:sz w:val="20"/>
                <w:szCs w:val="20"/>
                <w:lang w:val="es-ES_tradnl"/>
              </w:rPr>
              <w:t>Fortalecimiento de las instituciones destinadas a la promoción de exportaciones y la atracción de inversiones</w:t>
            </w:r>
          </w:p>
          <w:p w:rsidR="00E41786" w:rsidRPr="00D85026" w:rsidRDefault="00E41786" w:rsidP="00500830">
            <w:pPr>
              <w:pStyle w:val="Sinespaciado2"/>
              <w:ind w:left="432"/>
              <w:rPr>
                <w:rFonts w:ascii="Arial" w:hAnsi="Arial" w:cs="Arial"/>
                <w:sz w:val="20"/>
                <w:szCs w:val="20"/>
                <w:lang w:val="es-ES_tradnl"/>
              </w:rPr>
            </w:pPr>
          </w:p>
        </w:tc>
        <w:tc>
          <w:tcPr>
            <w:tcW w:w="3693" w:type="dxa"/>
            <w:tcBorders>
              <w:top w:val="single" w:sz="4" w:space="0" w:color="auto"/>
              <w:bottom w:val="single" w:sz="4" w:space="0" w:color="auto"/>
            </w:tcBorders>
            <w:shd w:val="clear" w:color="auto" w:fill="FFFFFF"/>
          </w:tcPr>
          <w:p w:rsidR="00E41786" w:rsidRPr="00D85026" w:rsidRDefault="00E41786" w:rsidP="00500830">
            <w:pPr>
              <w:pStyle w:val="Sinespaciado1"/>
              <w:rPr>
                <w:rFonts w:ascii="Arial" w:hAnsi="Arial" w:cs="Arial"/>
                <w:sz w:val="20"/>
                <w:szCs w:val="20"/>
                <w:lang w:val="es-ES_tradnl"/>
              </w:rPr>
            </w:pPr>
            <w:r w:rsidRPr="00D85026">
              <w:rPr>
                <w:rFonts w:ascii="Arial" w:hAnsi="Arial" w:cs="Arial"/>
                <w:sz w:val="20"/>
                <w:szCs w:val="20"/>
                <w:lang w:val="es-ES_tradnl"/>
              </w:rPr>
              <w:t xml:space="preserve">Entrada en vigor de la reforma institucional de ProNicaragua mediante su creación como agencia del Gobierno. </w:t>
            </w:r>
          </w:p>
          <w:p w:rsidR="00E41786" w:rsidRPr="00D85026" w:rsidRDefault="00E41786" w:rsidP="00500830">
            <w:pPr>
              <w:pStyle w:val="Sinespaciado1"/>
              <w:rPr>
                <w:rFonts w:ascii="Arial" w:hAnsi="Arial" w:cs="Arial"/>
                <w:sz w:val="20"/>
                <w:szCs w:val="20"/>
                <w:lang w:val="es-ES_tradnl"/>
              </w:rPr>
            </w:pPr>
          </w:p>
          <w:p w:rsidR="00E41786" w:rsidRPr="00D85026" w:rsidRDefault="00E41786" w:rsidP="00500830">
            <w:pPr>
              <w:pStyle w:val="Sinespaciado1"/>
              <w:rPr>
                <w:rFonts w:ascii="Arial" w:hAnsi="Arial" w:cs="Arial"/>
                <w:sz w:val="20"/>
                <w:szCs w:val="20"/>
                <w:lang w:val="es-ES_tradnl"/>
              </w:rPr>
            </w:pPr>
            <w:r w:rsidRPr="00D85026">
              <w:rPr>
                <w:rFonts w:ascii="Arial" w:hAnsi="Arial" w:cs="Arial"/>
                <w:sz w:val="20"/>
                <w:szCs w:val="20"/>
                <w:lang w:val="es-ES_tradnl"/>
              </w:rPr>
              <w:t>Entrada en vigor de planes estratégicos de atracción de inversiones en la RAAN y RAAS, con el objetivo de diversificar geográficamente el destino de las inversiones extranjeras.</w:t>
            </w:r>
          </w:p>
        </w:tc>
        <w:tc>
          <w:tcPr>
            <w:tcW w:w="3330" w:type="dxa"/>
            <w:tcBorders>
              <w:top w:val="single" w:sz="4" w:space="0" w:color="auto"/>
              <w:bottom w:val="single" w:sz="4" w:space="0" w:color="auto"/>
            </w:tcBorders>
            <w:shd w:val="clear" w:color="auto" w:fill="FFFFFF"/>
          </w:tcPr>
          <w:p w:rsidR="00E41786" w:rsidRPr="00D85026" w:rsidRDefault="00E41786" w:rsidP="00500830">
            <w:pPr>
              <w:pStyle w:val="Sinespaciado1"/>
              <w:rPr>
                <w:rFonts w:ascii="Arial" w:hAnsi="Arial" w:cs="Arial"/>
                <w:sz w:val="20"/>
                <w:szCs w:val="20"/>
                <w:lang w:val="es-ES_tradnl"/>
              </w:rPr>
            </w:pPr>
            <w:r w:rsidRPr="00D85026">
              <w:rPr>
                <w:rFonts w:ascii="Arial" w:hAnsi="Arial" w:cs="Arial"/>
                <w:sz w:val="20"/>
                <w:szCs w:val="20"/>
                <w:lang w:val="es-ES_tradnl"/>
              </w:rPr>
              <w:t>Publicación en la Gaceta Oficial de la Ley de creación de ProNicaragua.</w:t>
            </w:r>
          </w:p>
          <w:p w:rsidR="00E41786" w:rsidRPr="00D85026" w:rsidRDefault="00E41786" w:rsidP="00500830">
            <w:pPr>
              <w:pStyle w:val="Sinespaciado1"/>
              <w:rPr>
                <w:rFonts w:ascii="Arial" w:hAnsi="Arial" w:cs="Arial"/>
                <w:sz w:val="20"/>
                <w:szCs w:val="20"/>
                <w:lang w:val="es-ES_tradnl"/>
              </w:rPr>
            </w:pPr>
          </w:p>
          <w:p w:rsidR="00E41786" w:rsidRPr="00D85026" w:rsidRDefault="00E41786" w:rsidP="00500830">
            <w:pPr>
              <w:pStyle w:val="Sinespaciado1"/>
              <w:rPr>
                <w:rFonts w:ascii="Arial" w:hAnsi="Arial" w:cs="Arial"/>
                <w:sz w:val="20"/>
                <w:szCs w:val="20"/>
                <w:lang w:val="es-ES_tradnl"/>
              </w:rPr>
            </w:pPr>
          </w:p>
          <w:p w:rsidR="00E41786" w:rsidRPr="00D85026" w:rsidRDefault="00E41786" w:rsidP="00500830">
            <w:pPr>
              <w:pStyle w:val="Sinespaciado1"/>
              <w:rPr>
                <w:rFonts w:ascii="Arial" w:hAnsi="Arial" w:cs="Arial"/>
                <w:sz w:val="20"/>
                <w:szCs w:val="20"/>
                <w:lang w:val="es-ES_tradnl"/>
              </w:rPr>
            </w:pPr>
            <w:r w:rsidRPr="00D85026">
              <w:rPr>
                <w:rFonts w:ascii="Arial" w:hAnsi="Arial" w:cs="Arial"/>
                <w:sz w:val="20"/>
                <w:szCs w:val="20"/>
                <w:lang w:val="es-ES_tradnl"/>
              </w:rPr>
              <w:t xml:space="preserve">Certificación de las partes relevantes del Acta de la Junta Directiva de ProNicaragua  que aprueba la Estrategia de atracción de inversiones en la RAAN y RAAS (ProNicaribe). </w:t>
            </w:r>
          </w:p>
        </w:tc>
        <w:tc>
          <w:tcPr>
            <w:tcW w:w="1908" w:type="dxa"/>
            <w:tcBorders>
              <w:top w:val="single" w:sz="4" w:space="0" w:color="auto"/>
              <w:bottom w:val="single" w:sz="4" w:space="0" w:color="auto"/>
            </w:tcBorders>
            <w:shd w:val="clear" w:color="auto" w:fill="FFFFFF"/>
          </w:tcPr>
          <w:p w:rsidR="00E41786" w:rsidRPr="00D85026" w:rsidRDefault="00E41786" w:rsidP="00500830">
            <w:pPr>
              <w:pStyle w:val="Sinespaciado1"/>
              <w:rPr>
                <w:rFonts w:ascii="Arial" w:hAnsi="Arial" w:cs="Arial"/>
                <w:sz w:val="20"/>
                <w:szCs w:val="20"/>
                <w:lang w:val="es-ES_tradnl"/>
              </w:rPr>
            </w:pPr>
            <w:r w:rsidRPr="00D85026">
              <w:rPr>
                <w:rFonts w:ascii="Arial" w:hAnsi="Arial" w:cs="Arial"/>
                <w:sz w:val="20"/>
                <w:szCs w:val="20"/>
                <w:lang w:val="es-ES_tradnl"/>
              </w:rPr>
              <w:t>PRONICARAGUA</w:t>
            </w:r>
          </w:p>
          <w:p w:rsidR="00E41786" w:rsidRPr="00D85026" w:rsidRDefault="00E41786" w:rsidP="00500830">
            <w:pPr>
              <w:pStyle w:val="Sinespaciado1"/>
              <w:rPr>
                <w:rFonts w:ascii="Arial" w:hAnsi="Arial" w:cs="Arial"/>
                <w:sz w:val="20"/>
                <w:szCs w:val="20"/>
                <w:lang w:val="es-ES_tradnl"/>
              </w:rPr>
            </w:pPr>
          </w:p>
          <w:p w:rsidR="00E41786" w:rsidRPr="00D85026" w:rsidRDefault="00E41786" w:rsidP="00500830">
            <w:pPr>
              <w:pStyle w:val="Sinespaciado1"/>
              <w:rPr>
                <w:rFonts w:ascii="Arial" w:hAnsi="Arial" w:cs="Arial"/>
                <w:sz w:val="20"/>
                <w:szCs w:val="20"/>
                <w:lang w:val="es-ES_tradnl"/>
              </w:rPr>
            </w:pPr>
          </w:p>
          <w:p w:rsidR="00E41786" w:rsidRPr="00D85026" w:rsidRDefault="00E41786" w:rsidP="00500830">
            <w:pPr>
              <w:pStyle w:val="Sinespaciado1"/>
              <w:rPr>
                <w:rFonts w:ascii="Arial" w:hAnsi="Arial" w:cs="Arial"/>
                <w:sz w:val="20"/>
                <w:szCs w:val="20"/>
                <w:lang w:val="es-ES_tradnl"/>
              </w:rPr>
            </w:pPr>
          </w:p>
          <w:p w:rsidR="00E41786" w:rsidRPr="00D85026" w:rsidRDefault="00E41786" w:rsidP="00500830">
            <w:pPr>
              <w:pStyle w:val="Sinespaciado1"/>
              <w:rPr>
                <w:rFonts w:ascii="Arial" w:hAnsi="Arial" w:cs="Arial"/>
                <w:sz w:val="20"/>
                <w:szCs w:val="20"/>
                <w:lang w:val="es-ES_tradnl"/>
              </w:rPr>
            </w:pPr>
          </w:p>
          <w:p w:rsidR="00E41786" w:rsidRPr="00D85026" w:rsidRDefault="00E41786" w:rsidP="00500830">
            <w:pPr>
              <w:pStyle w:val="Sinespaciado1"/>
              <w:rPr>
                <w:rFonts w:ascii="Arial" w:hAnsi="Arial" w:cs="Arial"/>
                <w:sz w:val="20"/>
                <w:szCs w:val="20"/>
                <w:lang w:val="es-ES_tradnl"/>
              </w:rPr>
            </w:pPr>
            <w:r w:rsidRPr="00D85026">
              <w:rPr>
                <w:rFonts w:ascii="Arial" w:hAnsi="Arial" w:cs="Arial"/>
                <w:sz w:val="20"/>
                <w:szCs w:val="20"/>
                <w:lang w:val="es-ES_tradnl"/>
              </w:rPr>
              <w:t>PRONICARAGUA</w:t>
            </w:r>
          </w:p>
        </w:tc>
      </w:tr>
      <w:tr w:rsidR="00E41786" w:rsidRPr="00D85026" w:rsidTr="00500830">
        <w:trPr>
          <w:trHeight w:val="1070"/>
        </w:trPr>
        <w:tc>
          <w:tcPr>
            <w:tcW w:w="3525" w:type="dxa"/>
            <w:tcBorders>
              <w:top w:val="single" w:sz="4" w:space="0" w:color="auto"/>
            </w:tcBorders>
            <w:shd w:val="clear" w:color="auto" w:fill="auto"/>
          </w:tcPr>
          <w:p w:rsidR="00E41786" w:rsidRPr="00D85026" w:rsidRDefault="00E41786" w:rsidP="00500830">
            <w:pPr>
              <w:spacing w:before="60" w:after="60"/>
              <w:rPr>
                <w:b/>
                <w:sz w:val="20"/>
                <w:szCs w:val="20"/>
              </w:rPr>
            </w:pPr>
            <w:r w:rsidRPr="00D85026">
              <w:rPr>
                <w:b/>
                <w:sz w:val="20"/>
                <w:szCs w:val="20"/>
              </w:rPr>
              <w:t>Mejoras de las instituciones y las políticas de ciencia y tecnología</w:t>
            </w:r>
          </w:p>
          <w:p w:rsidR="00E41786" w:rsidRPr="00D85026" w:rsidRDefault="00E41786" w:rsidP="00500830">
            <w:pPr>
              <w:rPr>
                <w:sz w:val="20"/>
                <w:szCs w:val="20"/>
              </w:rPr>
            </w:pPr>
          </w:p>
        </w:tc>
        <w:tc>
          <w:tcPr>
            <w:tcW w:w="3693" w:type="dxa"/>
            <w:tcBorders>
              <w:top w:val="single" w:sz="4" w:space="0" w:color="auto"/>
            </w:tcBorders>
          </w:tcPr>
          <w:p w:rsidR="00E41786" w:rsidRPr="00D85026" w:rsidRDefault="00E41786" w:rsidP="00500830">
            <w:pPr>
              <w:tabs>
                <w:tab w:val="left" w:pos="3319"/>
              </w:tabs>
              <w:ind w:right="5"/>
              <w:rPr>
                <w:sz w:val="20"/>
                <w:szCs w:val="20"/>
                <w:lang w:val="es-AR"/>
              </w:rPr>
            </w:pPr>
            <w:r w:rsidRPr="00D85026">
              <w:rPr>
                <w:sz w:val="20"/>
                <w:szCs w:val="20"/>
                <w:lang w:val="es-AR"/>
              </w:rPr>
              <w:t xml:space="preserve">Desarrollo de la Estrategia de ciencia, tecnología, innovación y emprendedurismo, que impulse los sectores prioritarios, mediante la creación de un Fondo de Impulso a la Innovación. </w:t>
            </w: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r w:rsidRPr="00D85026">
              <w:rPr>
                <w:sz w:val="20"/>
                <w:szCs w:val="20"/>
                <w:lang w:val="es-AR"/>
              </w:rPr>
              <w:t xml:space="preserve">Realización de ajustes a unidades metrológicas implementadas en las alcaldías municipales, de acuerdo a una evaluación </w:t>
            </w:r>
            <w:r w:rsidRPr="00D85026">
              <w:rPr>
                <w:sz w:val="20"/>
                <w:szCs w:val="20"/>
                <w:lang w:val="es-AR"/>
              </w:rPr>
              <w:lastRenderedPageBreak/>
              <w:t>previa.</w:t>
            </w:r>
          </w:p>
          <w:p w:rsidR="00E41786" w:rsidRPr="00D8502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rPr>
            </w:pPr>
            <w:r w:rsidRPr="00D85026">
              <w:rPr>
                <w:sz w:val="20"/>
                <w:szCs w:val="20"/>
              </w:rPr>
              <w:t>Cumplimiento del reconocimiento internacional de la ONA.</w:t>
            </w:r>
          </w:p>
          <w:p w:rsidR="00E41786" w:rsidRPr="00D8502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rPr>
            </w:pPr>
            <w:r w:rsidRPr="00D85026">
              <w:rPr>
                <w:sz w:val="20"/>
                <w:szCs w:val="20"/>
              </w:rPr>
              <w:t>Implementación de un sistema de segregación de producción bovina por parte del Instituto de Protección y Sanidad Agropecuaria (IPSA) destinado a mejorar la trazabilidad del ganado.</w:t>
            </w:r>
          </w:p>
          <w:p w:rsidR="00E4178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lang w:val="es-AR"/>
              </w:rPr>
            </w:pPr>
          </w:p>
        </w:tc>
        <w:tc>
          <w:tcPr>
            <w:tcW w:w="3330" w:type="dxa"/>
            <w:tcBorders>
              <w:top w:val="single" w:sz="4" w:space="0" w:color="auto"/>
            </w:tcBorders>
          </w:tcPr>
          <w:p w:rsidR="00E41786" w:rsidRPr="00D85026" w:rsidRDefault="00E41786" w:rsidP="00500830">
            <w:pPr>
              <w:tabs>
                <w:tab w:val="left" w:pos="3319"/>
              </w:tabs>
              <w:ind w:right="5"/>
              <w:rPr>
                <w:sz w:val="20"/>
                <w:szCs w:val="20"/>
                <w:lang w:val="es-AR"/>
              </w:rPr>
            </w:pPr>
            <w:r w:rsidRPr="00D85026">
              <w:rPr>
                <w:sz w:val="20"/>
                <w:szCs w:val="20"/>
                <w:lang w:val="es-AR"/>
              </w:rPr>
              <w:lastRenderedPageBreak/>
              <w:t xml:space="preserve">Borrador del Reglamento de la creación del Fondo. </w:t>
            </w: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r w:rsidRPr="00D85026">
              <w:rPr>
                <w:sz w:val="20"/>
                <w:szCs w:val="20"/>
                <w:lang w:val="es-AR"/>
              </w:rPr>
              <w:t xml:space="preserve">Informe del MIFIC sobre la implementación de unidades </w:t>
            </w:r>
            <w:r w:rsidRPr="00D85026">
              <w:rPr>
                <w:sz w:val="20"/>
                <w:szCs w:val="20"/>
                <w:lang w:val="es-AR"/>
              </w:rPr>
              <w:lastRenderedPageBreak/>
              <w:t xml:space="preserve">metrológicas adicionales </w:t>
            </w:r>
            <w:r w:rsidRPr="00D85026">
              <w:rPr>
                <w:sz w:val="20"/>
                <w:szCs w:val="20"/>
              </w:rPr>
              <w:t>en magnitudes de masa y volumen a nivel subnacional inlcuyendo las ayudas memorias con las unidades, las capacitaciones, y verificaciones realizadas.</w:t>
            </w:r>
            <w:r w:rsidRPr="00D85026">
              <w:rPr>
                <w:sz w:val="20"/>
                <w:szCs w:val="20"/>
                <w:lang w:val="es-AR"/>
              </w:rPr>
              <w:t xml:space="preserve"> </w:t>
            </w:r>
          </w:p>
          <w:p w:rsidR="00E41786" w:rsidRPr="00D85026" w:rsidRDefault="00E41786" w:rsidP="00500830">
            <w:pPr>
              <w:tabs>
                <w:tab w:val="left" w:pos="3319"/>
              </w:tabs>
              <w:ind w:right="5"/>
              <w:jc w:val="center"/>
              <w:rPr>
                <w:sz w:val="20"/>
                <w:szCs w:val="20"/>
                <w:lang w:val="es-AR"/>
              </w:rPr>
            </w:pPr>
          </w:p>
          <w:p w:rsidR="00E41786" w:rsidRPr="00D85026" w:rsidRDefault="00E41786" w:rsidP="00500830">
            <w:pPr>
              <w:tabs>
                <w:tab w:val="left" w:pos="3319"/>
              </w:tabs>
              <w:ind w:right="5"/>
              <w:rPr>
                <w:sz w:val="20"/>
                <w:szCs w:val="20"/>
                <w:lang w:val="es-AR"/>
              </w:rPr>
            </w:pPr>
            <w:r w:rsidRPr="00D85026">
              <w:rPr>
                <w:sz w:val="20"/>
                <w:szCs w:val="20"/>
                <w:lang w:val="es-AR"/>
              </w:rPr>
              <w:t xml:space="preserve">Certificaciones de reconocimiento provistos por IIAC para laboratorio de ensayo y para organismos de inspección y Certificación de reconocimiento provisto por ILAC. </w:t>
            </w: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rPr>
            </w:pPr>
            <w:r w:rsidRPr="00D85026">
              <w:rPr>
                <w:sz w:val="20"/>
                <w:szCs w:val="20"/>
              </w:rPr>
              <w:t>Resolución ejecutiva del IPSA para la implementación del sistema de segregado de producción bovina.</w:t>
            </w:r>
          </w:p>
          <w:p w:rsidR="00E41786" w:rsidRPr="00D8502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rPr>
            </w:pPr>
          </w:p>
          <w:p w:rsidR="00E41786" w:rsidRPr="00D85026" w:rsidRDefault="00E41786" w:rsidP="00500830">
            <w:pPr>
              <w:tabs>
                <w:tab w:val="left" w:pos="3319"/>
              </w:tabs>
              <w:ind w:right="5"/>
              <w:rPr>
                <w:sz w:val="20"/>
                <w:szCs w:val="20"/>
                <w:lang w:val="es-AR"/>
              </w:rPr>
            </w:pPr>
          </w:p>
        </w:tc>
        <w:tc>
          <w:tcPr>
            <w:tcW w:w="1908" w:type="dxa"/>
            <w:tcBorders>
              <w:top w:val="single" w:sz="4" w:space="0" w:color="auto"/>
            </w:tcBorders>
          </w:tcPr>
          <w:p w:rsidR="00E41786" w:rsidRPr="00D85026" w:rsidRDefault="00E41786" w:rsidP="00500830">
            <w:pPr>
              <w:tabs>
                <w:tab w:val="left" w:pos="3319"/>
              </w:tabs>
              <w:ind w:right="5"/>
              <w:rPr>
                <w:sz w:val="20"/>
                <w:szCs w:val="20"/>
                <w:lang w:val="es-AR"/>
              </w:rPr>
            </w:pPr>
            <w:r w:rsidRPr="00D85026">
              <w:rPr>
                <w:sz w:val="20"/>
                <w:szCs w:val="20"/>
                <w:lang w:val="es-AR"/>
              </w:rPr>
              <w:lastRenderedPageBreak/>
              <w:t>MIFIC</w:t>
            </w: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r w:rsidRPr="00D85026">
              <w:rPr>
                <w:sz w:val="20"/>
                <w:szCs w:val="20"/>
                <w:lang w:val="es-AR"/>
              </w:rPr>
              <w:t>MIFIC</w:t>
            </w: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r w:rsidRPr="00D85026">
              <w:rPr>
                <w:sz w:val="20"/>
                <w:szCs w:val="20"/>
                <w:lang w:val="es-AR"/>
              </w:rPr>
              <w:t>ONA</w:t>
            </w: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r w:rsidRPr="00D85026">
              <w:rPr>
                <w:sz w:val="20"/>
                <w:szCs w:val="20"/>
                <w:lang w:val="es-AR"/>
              </w:rPr>
              <w:t>IPSA</w:t>
            </w: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p w:rsidR="00E41786" w:rsidRPr="00D85026" w:rsidRDefault="00E41786" w:rsidP="00500830">
            <w:pPr>
              <w:tabs>
                <w:tab w:val="left" w:pos="3319"/>
              </w:tabs>
              <w:ind w:right="5"/>
              <w:rPr>
                <w:sz w:val="20"/>
                <w:szCs w:val="20"/>
                <w:lang w:val="es-AR"/>
              </w:rPr>
            </w:pPr>
          </w:p>
        </w:tc>
      </w:tr>
    </w:tbl>
    <w:p w:rsidR="00B06242" w:rsidRPr="00C2576A" w:rsidRDefault="00B06242" w:rsidP="00B06242">
      <w:pPr>
        <w:pStyle w:val="21Paragraph"/>
        <w:numPr>
          <w:ilvl w:val="0"/>
          <w:numId w:val="0"/>
        </w:numPr>
        <w:rPr>
          <w:rFonts w:ascii="Arial" w:hAnsi="Arial" w:cs="Arial"/>
          <w:lang w:val="es-ES"/>
        </w:rPr>
        <w:sectPr w:rsidR="00B06242" w:rsidRPr="00C2576A" w:rsidSect="00B06242">
          <w:pgSz w:w="15840" w:h="12240" w:orient="landscape" w:code="1"/>
          <w:pgMar w:top="1440" w:right="720" w:bottom="720" w:left="720" w:header="706" w:footer="706" w:gutter="0"/>
          <w:cols w:space="708"/>
          <w:docGrid w:linePitch="360"/>
        </w:sectPr>
      </w:pPr>
    </w:p>
    <w:p w:rsidR="00AB4592" w:rsidRDefault="00AB4592" w:rsidP="00925C8E">
      <w:pPr>
        <w:pStyle w:val="21Paragraph"/>
        <w:ind w:left="720" w:hanging="720"/>
        <w:rPr>
          <w:rFonts w:ascii="Arial" w:hAnsi="Arial" w:cs="Arial"/>
          <w:sz w:val="22"/>
        </w:rPr>
      </w:pPr>
      <w:r>
        <w:rPr>
          <w:rFonts w:ascii="Arial" w:hAnsi="Arial" w:cs="Arial"/>
          <w:sz w:val="22"/>
        </w:rPr>
        <w:lastRenderedPageBreak/>
        <w:t>De manera adicional al monitoreo de producto</w:t>
      </w:r>
      <w:r w:rsidR="00425397">
        <w:rPr>
          <w:rFonts w:ascii="Arial" w:hAnsi="Arial" w:cs="Arial"/>
          <w:sz w:val="22"/>
        </w:rPr>
        <w:t xml:space="preserve">s indicado, también se monitorearán los valores de las variables de </w:t>
      </w:r>
      <w:r w:rsidR="00BA34FB">
        <w:rPr>
          <w:rFonts w:ascii="Arial" w:hAnsi="Arial" w:cs="Arial"/>
          <w:sz w:val="22"/>
        </w:rPr>
        <w:t>resultado. Tal como se indica en la matriz de resultados, las fuentes de información son públicas y el acceso a las mismas no requiere erogaciones adicionales. Dicho monito</w:t>
      </w:r>
      <w:r w:rsidR="0073399C">
        <w:rPr>
          <w:rFonts w:ascii="Arial" w:hAnsi="Arial" w:cs="Arial"/>
          <w:sz w:val="22"/>
        </w:rPr>
        <w:t>reo puede realizarse de manera anual, siguiendo la publicación de nuevos datos en las fuentes establecidas.</w:t>
      </w:r>
      <w:r w:rsidR="00425397">
        <w:rPr>
          <w:rFonts w:ascii="Arial" w:hAnsi="Arial" w:cs="Arial"/>
          <w:sz w:val="22"/>
        </w:rPr>
        <w:t xml:space="preserve"> </w:t>
      </w:r>
    </w:p>
    <w:p w:rsidR="006D1275" w:rsidRPr="00C2576A" w:rsidRDefault="006D1275" w:rsidP="00925C8E">
      <w:pPr>
        <w:pStyle w:val="21Paragraph"/>
        <w:ind w:left="720" w:hanging="720"/>
        <w:rPr>
          <w:rFonts w:ascii="Arial" w:hAnsi="Arial" w:cs="Arial"/>
          <w:sz w:val="22"/>
        </w:rPr>
      </w:pPr>
      <w:r w:rsidRPr="00C2576A">
        <w:rPr>
          <w:rFonts w:ascii="Arial" w:hAnsi="Arial" w:cs="Arial"/>
          <w:sz w:val="22"/>
        </w:rPr>
        <w:t>No se prevén costos adicionales para la implementación del Plan de Monitoreo, tales como levantar información primaria, pues la información necesaria para dar seguimiento a los indicadores de la matriz de resultados estará disponible, ya sea como resultado de las actividades contempladas en esta operación, o como resultado de la información que regularmente se genera en el país. Las consultorías para la verificación de indicadores incluidos en el Plan de Evaluación y los productos y actividades incluidas en el Plan de Evaluación y Matriz de Políticas, serán financiadas con recursos</w:t>
      </w:r>
      <w:r w:rsidRPr="00C2576A">
        <w:rPr>
          <w:rFonts w:ascii="Arial" w:hAnsi="Arial" w:cs="Arial"/>
          <w:bCs/>
          <w:iCs/>
          <w:sz w:val="22"/>
        </w:rPr>
        <w:t xml:space="preserve"> </w:t>
      </w:r>
      <w:r w:rsidR="006D3C35" w:rsidRPr="00C2576A">
        <w:rPr>
          <w:rFonts w:ascii="Arial" w:hAnsi="Arial" w:cs="Arial"/>
          <w:bCs/>
          <w:iCs/>
          <w:sz w:val="22"/>
        </w:rPr>
        <w:t>propios</w:t>
      </w:r>
      <w:r w:rsidRPr="00C2576A">
        <w:rPr>
          <w:rFonts w:ascii="Arial" w:hAnsi="Arial" w:cs="Arial"/>
          <w:bCs/>
          <w:iCs/>
          <w:sz w:val="22"/>
        </w:rPr>
        <w:t xml:space="preserve">. </w:t>
      </w:r>
      <w:r w:rsidRPr="00C2576A">
        <w:rPr>
          <w:rFonts w:ascii="Arial" w:hAnsi="Arial" w:cs="Arial"/>
          <w:sz w:val="22"/>
        </w:rPr>
        <w:t xml:space="preserve"> </w:t>
      </w:r>
    </w:p>
    <w:p w:rsidR="00506461" w:rsidRPr="00C2576A" w:rsidRDefault="006D1275" w:rsidP="00925C8E">
      <w:pPr>
        <w:pStyle w:val="21Paragraph"/>
        <w:ind w:left="720" w:hanging="720"/>
        <w:rPr>
          <w:rFonts w:ascii="Arial" w:hAnsi="Arial" w:cs="Arial"/>
          <w:b/>
        </w:rPr>
      </w:pPr>
      <w:r w:rsidRPr="00C2576A">
        <w:rPr>
          <w:rFonts w:ascii="Arial" w:hAnsi="Arial" w:cs="Arial"/>
          <w:bCs/>
          <w:iCs/>
          <w:sz w:val="22"/>
        </w:rPr>
        <w:t xml:space="preserve">Por </w:t>
      </w:r>
      <w:r w:rsidR="002D1040" w:rsidRPr="00C2576A">
        <w:rPr>
          <w:rFonts w:ascii="Arial" w:hAnsi="Arial" w:cs="Arial"/>
          <w:bCs/>
          <w:iCs/>
          <w:sz w:val="22"/>
        </w:rPr>
        <w:t>parte del Banco, el equipo de</w:t>
      </w:r>
      <w:r w:rsidR="00506461" w:rsidRPr="00C2576A">
        <w:rPr>
          <w:rFonts w:ascii="Arial" w:hAnsi="Arial" w:cs="Arial"/>
          <w:bCs/>
          <w:iCs/>
          <w:sz w:val="22"/>
        </w:rPr>
        <w:t xml:space="preserve"> </w:t>
      </w:r>
      <w:r w:rsidR="002D1040" w:rsidRPr="00C2576A">
        <w:rPr>
          <w:rFonts w:ascii="Arial" w:hAnsi="Arial" w:cs="Arial"/>
          <w:bCs/>
          <w:iCs/>
          <w:sz w:val="22"/>
        </w:rPr>
        <w:t>IFD/CMF</w:t>
      </w:r>
      <w:r w:rsidR="00506461" w:rsidRPr="00C2576A">
        <w:rPr>
          <w:rFonts w:ascii="Arial" w:hAnsi="Arial" w:cs="Arial"/>
          <w:bCs/>
          <w:iCs/>
          <w:sz w:val="22"/>
        </w:rPr>
        <w:t xml:space="preserve"> </w:t>
      </w:r>
      <w:r w:rsidR="00CC071A" w:rsidRPr="00C2576A">
        <w:rPr>
          <w:rFonts w:ascii="Arial" w:hAnsi="Arial" w:cs="Arial"/>
          <w:bCs/>
          <w:iCs/>
          <w:sz w:val="22"/>
        </w:rPr>
        <w:t>dará</w:t>
      </w:r>
      <w:r w:rsidR="00506461" w:rsidRPr="00C2576A">
        <w:rPr>
          <w:rFonts w:ascii="Arial" w:hAnsi="Arial" w:cs="Arial"/>
          <w:bCs/>
          <w:iCs/>
          <w:sz w:val="22"/>
        </w:rPr>
        <w:t xml:space="preserve"> seguimiento mediante un plan que incluye: i) misión de monitoreo del cumplimiento de los compromisos; ii) misión para determinar planes alternativos que permitan garantizar el cumplimiento de los compromisos; y iii)</w:t>
      </w:r>
      <w:r w:rsidR="00925C8E" w:rsidRPr="00C2576A">
        <w:rPr>
          <w:rFonts w:ascii="Arial" w:hAnsi="Arial" w:cs="Arial"/>
          <w:bCs/>
          <w:iCs/>
          <w:sz w:val="22"/>
        </w:rPr>
        <w:t> </w:t>
      </w:r>
      <w:r w:rsidR="00506461" w:rsidRPr="00C2576A">
        <w:rPr>
          <w:rFonts w:ascii="Arial" w:hAnsi="Arial" w:cs="Arial"/>
          <w:bCs/>
          <w:iCs/>
          <w:sz w:val="22"/>
        </w:rPr>
        <w:t xml:space="preserve">reuniones, talleres y diálogos interinstitucionales. El cronograma de estas actividades con su respectivo costo y financiamiento se detallan  </w:t>
      </w:r>
      <w:r w:rsidRPr="00C2576A">
        <w:rPr>
          <w:rFonts w:ascii="Arial" w:hAnsi="Arial" w:cs="Arial"/>
          <w:bCs/>
          <w:iCs/>
          <w:sz w:val="22"/>
        </w:rPr>
        <w:t>la</w:t>
      </w:r>
      <w:r w:rsidR="00A63A16" w:rsidRPr="00C2576A">
        <w:rPr>
          <w:rFonts w:ascii="Arial" w:hAnsi="Arial" w:cs="Arial"/>
          <w:bCs/>
          <w:iCs/>
          <w:sz w:val="22"/>
        </w:rPr>
        <w:t xml:space="preserve"> Tabla 2</w:t>
      </w:r>
      <w:r w:rsidR="00506461" w:rsidRPr="00C2576A">
        <w:rPr>
          <w:rFonts w:ascii="Arial" w:hAnsi="Arial" w:cs="Arial"/>
          <w:bCs/>
          <w:iCs/>
          <w:sz w:val="22"/>
        </w:rPr>
        <w:t xml:space="preserve">. </w:t>
      </w:r>
    </w:p>
    <w:p w:rsidR="00901627" w:rsidRPr="00C2576A" w:rsidRDefault="006D1275" w:rsidP="00506461">
      <w:pPr>
        <w:pStyle w:val="21Paragraph"/>
        <w:numPr>
          <w:ilvl w:val="0"/>
          <w:numId w:val="0"/>
        </w:numPr>
        <w:ind w:left="3870" w:firstLine="450"/>
        <w:rPr>
          <w:rFonts w:ascii="Arial" w:hAnsi="Arial" w:cs="Arial"/>
          <w:b/>
        </w:rPr>
      </w:pPr>
      <w:r w:rsidRPr="00C2576A">
        <w:rPr>
          <w:rFonts w:ascii="Arial" w:hAnsi="Arial" w:cs="Arial"/>
          <w:bCs/>
          <w:iCs/>
        </w:rPr>
        <w:t xml:space="preserve"> </w:t>
      </w:r>
      <w:bookmarkEnd w:id="6"/>
      <w:r w:rsidR="00255DBD" w:rsidRPr="00C2576A">
        <w:rPr>
          <w:rFonts w:ascii="Arial" w:hAnsi="Arial" w:cs="Arial"/>
          <w:b/>
        </w:rPr>
        <w:t>T</w:t>
      </w:r>
      <w:r w:rsidR="008D655E" w:rsidRPr="00C2576A">
        <w:rPr>
          <w:rFonts w:ascii="Arial" w:hAnsi="Arial" w:cs="Arial"/>
          <w:b/>
        </w:rPr>
        <w:t xml:space="preserve">abla </w:t>
      </w:r>
      <w:r w:rsidR="00A63A16" w:rsidRPr="00C2576A">
        <w:rPr>
          <w:rFonts w:ascii="Arial" w:hAnsi="Arial" w:cs="Arial"/>
          <w:b/>
        </w:rPr>
        <w:t>2</w:t>
      </w:r>
    </w:p>
    <w:p w:rsidR="00B80C15" w:rsidRPr="00C2576A" w:rsidRDefault="00901627" w:rsidP="00D70131">
      <w:pPr>
        <w:jc w:val="center"/>
        <w:rPr>
          <w:b/>
          <w:lang w:val="es-ES_tradnl"/>
        </w:rPr>
      </w:pPr>
      <w:r w:rsidRPr="00C2576A">
        <w:rPr>
          <w:b/>
          <w:lang w:val="es-ES_tradnl"/>
        </w:rPr>
        <w:t xml:space="preserve">Plan de Trabajo </w:t>
      </w:r>
      <w:r w:rsidR="00E51279" w:rsidRPr="00C2576A">
        <w:rPr>
          <w:b/>
          <w:lang w:val="es-ES_tradnl"/>
        </w:rPr>
        <w:t xml:space="preserve">y Costo </w:t>
      </w:r>
      <w:r w:rsidRPr="00C2576A">
        <w:rPr>
          <w:b/>
          <w:lang w:val="es-ES_tradnl"/>
        </w:rPr>
        <w:t>del Seguimiento</w:t>
      </w:r>
      <w:r w:rsidR="00BF2105" w:rsidRPr="00C2576A">
        <w:rPr>
          <w:b/>
          <w:lang w:val="es-ES_tradnl"/>
        </w:rPr>
        <w:t xml:space="preserve"> del Programa</w:t>
      </w:r>
    </w:p>
    <w:tbl>
      <w:tblPr>
        <w:tblW w:w="10567" w:type="dxa"/>
        <w:jc w:val="center"/>
        <w:tblInd w:w="1712" w:type="dxa"/>
        <w:tblLook w:val="0000" w:firstRow="0" w:lastRow="0" w:firstColumn="0" w:lastColumn="0" w:noHBand="0" w:noVBand="0"/>
      </w:tblPr>
      <w:tblGrid>
        <w:gridCol w:w="2088"/>
        <w:gridCol w:w="404"/>
        <w:gridCol w:w="395"/>
        <w:gridCol w:w="429"/>
        <w:gridCol w:w="450"/>
        <w:gridCol w:w="411"/>
        <w:gridCol w:w="450"/>
        <w:gridCol w:w="450"/>
        <w:gridCol w:w="450"/>
        <w:gridCol w:w="1212"/>
        <w:gridCol w:w="948"/>
        <w:gridCol w:w="2880"/>
      </w:tblGrid>
      <w:tr w:rsidR="0073399C" w:rsidRPr="00C2576A" w:rsidTr="004B24A3">
        <w:trPr>
          <w:trHeight w:val="485"/>
          <w:jc w:val="center"/>
        </w:trPr>
        <w:tc>
          <w:tcPr>
            <w:tcW w:w="2088" w:type="dxa"/>
            <w:tcBorders>
              <w:left w:val="single" w:sz="8" w:space="0" w:color="auto"/>
              <w:right w:val="nil"/>
            </w:tcBorders>
            <w:shd w:val="clear" w:color="auto" w:fill="548DD4" w:themeFill="text2" w:themeFillTint="99"/>
            <w:vAlign w:val="center"/>
          </w:tcPr>
          <w:p w:rsidR="0073399C" w:rsidRPr="00C2576A" w:rsidRDefault="0073399C" w:rsidP="00357F89">
            <w:pPr>
              <w:rPr>
                <w:b/>
                <w:bCs/>
                <w:sz w:val="16"/>
                <w:szCs w:val="16"/>
                <w:lang w:val="es-ES_tradnl"/>
              </w:rPr>
            </w:pPr>
            <w:r w:rsidRPr="00C2576A">
              <w:rPr>
                <w:b/>
                <w:bCs/>
                <w:sz w:val="16"/>
                <w:szCs w:val="16"/>
                <w:lang w:val="es-ES_tradnl"/>
              </w:rPr>
              <w:t>Actividades</w:t>
            </w:r>
          </w:p>
        </w:tc>
        <w:tc>
          <w:tcPr>
            <w:tcW w:w="1678" w:type="dxa"/>
            <w:gridSpan w:val="4"/>
            <w:tcBorders>
              <w:left w:val="single" w:sz="8" w:space="0" w:color="auto"/>
              <w:bottom w:val="single" w:sz="4" w:space="0" w:color="auto"/>
              <w:right w:val="single" w:sz="8" w:space="0" w:color="auto"/>
            </w:tcBorders>
            <w:shd w:val="clear" w:color="auto" w:fill="548DD4" w:themeFill="text2" w:themeFillTint="99"/>
            <w:noWrap/>
            <w:vAlign w:val="bottom"/>
          </w:tcPr>
          <w:p w:rsidR="0073399C" w:rsidRPr="00C2576A" w:rsidRDefault="0073399C" w:rsidP="004C6F5C">
            <w:pPr>
              <w:jc w:val="center"/>
              <w:rPr>
                <w:b/>
                <w:bCs/>
                <w:sz w:val="16"/>
                <w:szCs w:val="16"/>
                <w:lang w:val="es-ES_tradnl"/>
              </w:rPr>
            </w:pPr>
            <w:r w:rsidRPr="00C2576A">
              <w:rPr>
                <w:b/>
                <w:bCs/>
                <w:sz w:val="16"/>
                <w:szCs w:val="16"/>
                <w:lang w:val="es-ES_tradnl"/>
              </w:rPr>
              <w:t>2016</w:t>
            </w:r>
          </w:p>
        </w:tc>
        <w:tc>
          <w:tcPr>
            <w:tcW w:w="411" w:type="dxa"/>
            <w:tcBorders>
              <w:top w:val="single" w:sz="4" w:space="0" w:color="auto"/>
              <w:left w:val="nil"/>
              <w:bottom w:val="single" w:sz="4" w:space="0" w:color="auto"/>
              <w:right w:val="single" w:sz="8" w:space="0" w:color="auto"/>
            </w:tcBorders>
            <w:shd w:val="clear" w:color="auto" w:fill="548DD4" w:themeFill="text2" w:themeFillTint="99"/>
          </w:tcPr>
          <w:p w:rsidR="0073399C" w:rsidRPr="00C2576A" w:rsidRDefault="0073399C" w:rsidP="00055945">
            <w:pPr>
              <w:jc w:val="center"/>
              <w:rPr>
                <w:b/>
                <w:bCs/>
                <w:sz w:val="16"/>
                <w:szCs w:val="16"/>
                <w:lang w:val="es-ES_tradnl"/>
              </w:rPr>
            </w:pPr>
          </w:p>
        </w:tc>
        <w:tc>
          <w:tcPr>
            <w:tcW w:w="450" w:type="dxa"/>
            <w:tcBorders>
              <w:top w:val="single" w:sz="4" w:space="0" w:color="auto"/>
              <w:left w:val="single" w:sz="8" w:space="0" w:color="auto"/>
              <w:bottom w:val="single" w:sz="4" w:space="0" w:color="auto"/>
              <w:right w:val="single" w:sz="4" w:space="0" w:color="auto"/>
            </w:tcBorders>
            <w:shd w:val="clear" w:color="auto" w:fill="548DD4" w:themeFill="text2" w:themeFillTint="99"/>
          </w:tcPr>
          <w:p w:rsidR="0073399C" w:rsidRPr="00C2576A" w:rsidRDefault="0073399C" w:rsidP="00055945">
            <w:pPr>
              <w:jc w:val="center"/>
              <w:rPr>
                <w:b/>
                <w:bCs/>
                <w:sz w:val="16"/>
                <w:szCs w:val="16"/>
                <w:lang w:val="es-ES_tradnl"/>
              </w:rPr>
            </w:pPr>
          </w:p>
        </w:tc>
        <w:tc>
          <w:tcPr>
            <w:tcW w:w="4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73399C" w:rsidRPr="00C2576A" w:rsidRDefault="0073399C" w:rsidP="00055945">
            <w:pPr>
              <w:jc w:val="center"/>
              <w:rPr>
                <w:b/>
                <w:bCs/>
                <w:sz w:val="16"/>
                <w:szCs w:val="16"/>
                <w:lang w:val="es-ES_tradnl"/>
              </w:rPr>
            </w:pPr>
          </w:p>
        </w:tc>
        <w:tc>
          <w:tcPr>
            <w:tcW w:w="4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rsidR="0073399C" w:rsidRPr="00C2576A" w:rsidRDefault="0073399C" w:rsidP="00055945">
            <w:pPr>
              <w:jc w:val="center"/>
              <w:rPr>
                <w:b/>
                <w:bCs/>
                <w:sz w:val="16"/>
                <w:szCs w:val="16"/>
                <w:lang w:val="es-ES_tradnl"/>
              </w:rPr>
            </w:pPr>
          </w:p>
        </w:tc>
        <w:tc>
          <w:tcPr>
            <w:tcW w:w="1212" w:type="dxa"/>
            <w:tcBorders>
              <w:left w:val="single" w:sz="4" w:space="0" w:color="auto"/>
              <w:right w:val="single" w:sz="8" w:space="0" w:color="auto"/>
            </w:tcBorders>
            <w:shd w:val="clear" w:color="auto" w:fill="548DD4" w:themeFill="text2" w:themeFillTint="99"/>
            <w:noWrap/>
            <w:vAlign w:val="center"/>
          </w:tcPr>
          <w:p w:rsidR="0073399C" w:rsidRPr="00C2576A" w:rsidRDefault="0073399C" w:rsidP="00055945">
            <w:pPr>
              <w:jc w:val="center"/>
              <w:rPr>
                <w:b/>
                <w:bCs/>
                <w:sz w:val="16"/>
                <w:szCs w:val="16"/>
                <w:lang w:val="es-ES_tradnl"/>
              </w:rPr>
            </w:pPr>
            <w:r w:rsidRPr="00C2576A">
              <w:rPr>
                <w:b/>
                <w:bCs/>
                <w:sz w:val="16"/>
                <w:szCs w:val="16"/>
                <w:lang w:val="es-ES_tradnl"/>
              </w:rPr>
              <w:t>Responsable</w:t>
            </w:r>
          </w:p>
        </w:tc>
        <w:tc>
          <w:tcPr>
            <w:tcW w:w="948" w:type="dxa"/>
            <w:tcBorders>
              <w:left w:val="nil"/>
              <w:right w:val="single" w:sz="8" w:space="0" w:color="auto"/>
            </w:tcBorders>
            <w:shd w:val="clear" w:color="auto" w:fill="548DD4" w:themeFill="text2" w:themeFillTint="99"/>
            <w:vAlign w:val="center"/>
          </w:tcPr>
          <w:p w:rsidR="0073399C" w:rsidRPr="00C2576A" w:rsidRDefault="0073399C" w:rsidP="00055945">
            <w:pPr>
              <w:jc w:val="center"/>
              <w:rPr>
                <w:b/>
                <w:bCs/>
                <w:sz w:val="16"/>
                <w:szCs w:val="16"/>
                <w:lang w:val="es-ES_tradnl"/>
              </w:rPr>
            </w:pPr>
            <w:r w:rsidRPr="00C2576A">
              <w:rPr>
                <w:b/>
                <w:bCs/>
                <w:sz w:val="16"/>
                <w:szCs w:val="16"/>
                <w:lang w:val="es-ES_tradnl"/>
              </w:rPr>
              <w:t>Costo</w:t>
            </w:r>
          </w:p>
          <w:p w:rsidR="0073399C" w:rsidRPr="00C2576A" w:rsidRDefault="0073399C" w:rsidP="00055945">
            <w:pPr>
              <w:jc w:val="center"/>
              <w:rPr>
                <w:b/>
                <w:bCs/>
                <w:sz w:val="16"/>
                <w:szCs w:val="16"/>
                <w:lang w:val="es-ES_tradnl"/>
              </w:rPr>
            </w:pPr>
            <w:r w:rsidRPr="00C2576A">
              <w:rPr>
                <w:b/>
                <w:bCs/>
                <w:sz w:val="16"/>
                <w:szCs w:val="16"/>
                <w:lang w:val="es-ES_tradnl"/>
              </w:rPr>
              <w:t>(US$)</w:t>
            </w:r>
          </w:p>
        </w:tc>
        <w:tc>
          <w:tcPr>
            <w:tcW w:w="2880" w:type="dxa"/>
            <w:tcBorders>
              <w:left w:val="nil"/>
              <w:right w:val="single" w:sz="8" w:space="0" w:color="auto"/>
            </w:tcBorders>
            <w:shd w:val="clear" w:color="auto" w:fill="548DD4" w:themeFill="text2" w:themeFillTint="99"/>
            <w:vAlign w:val="center"/>
          </w:tcPr>
          <w:p w:rsidR="0073399C" w:rsidRPr="00C2576A" w:rsidRDefault="0073399C" w:rsidP="00055945">
            <w:pPr>
              <w:jc w:val="center"/>
              <w:rPr>
                <w:b/>
                <w:bCs/>
                <w:sz w:val="16"/>
                <w:szCs w:val="16"/>
                <w:lang w:val="es-ES_tradnl"/>
              </w:rPr>
            </w:pPr>
            <w:r w:rsidRPr="00C2576A">
              <w:rPr>
                <w:b/>
                <w:bCs/>
                <w:sz w:val="16"/>
                <w:szCs w:val="16"/>
                <w:lang w:val="es-ES_tradnl"/>
              </w:rPr>
              <w:t>Fuente de Financiamiento</w:t>
            </w:r>
          </w:p>
        </w:tc>
      </w:tr>
      <w:tr w:rsidR="0073399C" w:rsidRPr="00C2576A" w:rsidTr="004B24A3">
        <w:trPr>
          <w:trHeight w:val="560"/>
          <w:jc w:val="center"/>
        </w:trPr>
        <w:tc>
          <w:tcPr>
            <w:tcW w:w="2088" w:type="dxa"/>
            <w:tcBorders>
              <w:top w:val="single" w:sz="4" w:space="0" w:color="auto"/>
              <w:left w:val="single" w:sz="8" w:space="0" w:color="auto"/>
              <w:bottom w:val="single" w:sz="4" w:space="0" w:color="auto"/>
              <w:right w:val="single" w:sz="8" w:space="0" w:color="auto"/>
            </w:tcBorders>
            <w:noWrap/>
            <w:vAlign w:val="bottom"/>
          </w:tcPr>
          <w:p w:rsidR="0073399C" w:rsidRPr="00C2576A" w:rsidRDefault="0073399C" w:rsidP="00132347">
            <w:pPr>
              <w:jc w:val="left"/>
              <w:rPr>
                <w:sz w:val="20"/>
                <w:szCs w:val="20"/>
                <w:lang w:val="es-ES_tradnl"/>
              </w:rPr>
            </w:pPr>
            <w:r w:rsidRPr="00C2576A">
              <w:rPr>
                <w:sz w:val="20"/>
                <w:szCs w:val="20"/>
                <w:lang w:val="es-ES_tradnl"/>
              </w:rPr>
              <w:t xml:space="preserve">Misión(es) para monitorear el cumplimiento de los compromisos </w:t>
            </w:r>
          </w:p>
        </w:tc>
        <w:tc>
          <w:tcPr>
            <w:tcW w:w="404" w:type="dxa"/>
            <w:tcBorders>
              <w:top w:val="single" w:sz="4" w:space="0" w:color="auto"/>
              <w:left w:val="single" w:sz="8" w:space="0" w:color="auto"/>
              <w:bottom w:val="single" w:sz="4" w:space="0" w:color="auto"/>
              <w:right w:val="single" w:sz="4" w:space="0" w:color="auto"/>
            </w:tcBorders>
            <w:shd w:val="clear" w:color="auto" w:fill="FFFFFF" w:themeFill="background1"/>
            <w:noWrap/>
            <w:vAlign w:val="bottom"/>
          </w:tcPr>
          <w:p w:rsidR="0073399C" w:rsidRPr="00C2576A" w:rsidRDefault="0073399C" w:rsidP="00357F89">
            <w:pPr>
              <w:rPr>
                <w:sz w:val="20"/>
                <w:szCs w:val="20"/>
                <w:lang w:val="es-ES_tradnl"/>
              </w:rPr>
            </w:pPr>
            <w:r w:rsidRPr="00C2576A">
              <w:rPr>
                <w:sz w:val="20"/>
                <w:szCs w:val="20"/>
                <w:lang w:val="es-ES_tradnl"/>
              </w:rPr>
              <w:t> </w:t>
            </w:r>
          </w:p>
        </w:tc>
        <w:tc>
          <w:tcPr>
            <w:tcW w:w="395" w:type="dxa"/>
            <w:tcBorders>
              <w:top w:val="single" w:sz="4" w:space="0" w:color="auto"/>
              <w:left w:val="nil"/>
              <w:bottom w:val="single" w:sz="4" w:space="0" w:color="auto"/>
              <w:right w:val="single" w:sz="4" w:space="0" w:color="auto"/>
            </w:tcBorders>
            <w:shd w:val="clear" w:color="auto" w:fill="FFFFFF" w:themeFill="background1"/>
            <w:noWrap/>
            <w:vAlign w:val="bottom"/>
          </w:tcPr>
          <w:p w:rsidR="0073399C" w:rsidRPr="00C2576A" w:rsidRDefault="0073399C" w:rsidP="00357F89">
            <w:pPr>
              <w:rPr>
                <w:sz w:val="20"/>
                <w:szCs w:val="20"/>
                <w:lang w:val="es-ES_tradnl"/>
              </w:rPr>
            </w:pPr>
          </w:p>
        </w:tc>
        <w:tc>
          <w:tcPr>
            <w:tcW w:w="429" w:type="dxa"/>
            <w:tcBorders>
              <w:top w:val="single" w:sz="4" w:space="0" w:color="auto"/>
              <w:left w:val="nil"/>
              <w:bottom w:val="single" w:sz="4" w:space="0" w:color="auto"/>
              <w:right w:val="single" w:sz="8" w:space="0" w:color="auto"/>
            </w:tcBorders>
            <w:shd w:val="clear" w:color="auto" w:fill="00B050"/>
            <w:noWrap/>
            <w:vAlign w:val="bottom"/>
          </w:tcPr>
          <w:p w:rsidR="0073399C" w:rsidRPr="00C2576A" w:rsidRDefault="0073399C" w:rsidP="00E80431">
            <w:pPr>
              <w:jc w:val="center"/>
              <w:rPr>
                <w:b/>
                <w:bCs/>
                <w:sz w:val="20"/>
                <w:szCs w:val="20"/>
                <w:lang w:val="es-ES_tradnl"/>
              </w:rPr>
            </w:pPr>
          </w:p>
        </w:tc>
        <w:tc>
          <w:tcPr>
            <w:tcW w:w="450" w:type="dxa"/>
            <w:tcBorders>
              <w:top w:val="single" w:sz="4" w:space="0" w:color="auto"/>
              <w:left w:val="single" w:sz="8" w:space="0" w:color="auto"/>
              <w:bottom w:val="single" w:sz="4" w:space="0" w:color="auto"/>
              <w:right w:val="single" w:sz="8" w:space="0" w:color="auto"/>
            </w:tcBorders>
            <w:shd w:val="clear" w:color="auto" w:fill="FFFFFF" w:themeFill="background1"/>
            <w:noWrap/>
            <w:vAlign w:val="bottom"/>
          </w:tcPr>
          <w:p w:rsidR="0073399C" w:rsidRPr="00C2576A" w:rsidRDefault="0073399C" w:rsidP="00357F89">
            <w:pPr>
              <w:rPr>
                <w:sz w:val="20"/>
                <w:szCs w:val="20"/>
                <w:lang w:val="es-ES_tradnl"/>
              </w:rPr>
            </w:pPr>
            <w:r w:rsidRPr="00C2576A">
              <w:rPr>
                <w:sz w:val="20"/>
                <w:szCs w:val="20"/>
                <w:lang w:val="es-ES_tradnl"/>
              </w:rPr>
              <w:t> </w:t>
            </w:r>
          </w:p>
        </w:tc>
        <w:tc>
          <w:tcPr>
            <w:tcW w:w="411" w:type="dxa"/>
            <w:tcBorders>
              <w:top w:val="single" w:sz="4" w:space="0" w:color="auto"/>
              <w:left w:val="nil"/>
              <w:bottom w:val="single" w:sz="4" w:space="0" w:color="auto"/>
              <w:right w:val="single" w:sz="8" w:space="0" w:color="auto"/>
            </w:tcBorders>
          </w:tcPr>
          <w:p w:rsidR="0073399C" w:rsidRPr="00C2576A" w:rsidRDefault="0073399C" w:rsidP="003946F9">
            <w:pPr>
              <w:jc w:val="center"/>
              <w:rPr>
                <w:sz w:val="20"/>
                <w:szCs w:val="20"/>
                <w:lang w:val="es-ES_tradnl"/>
              </w:rPr>
            </w:pPr>
          </w:p>
        </w:tc>
        <w:tc>
          <w:tcPr>
            <w:tcW w:w="450" w:type="dxa"/>
            <w:tcBorders>
              <w:top w:val="single" w:sz="4" w:space="0" w:color="auto"/>
              <w:left w:val="single" w:sz="8" w:space="0" w:color="auto"/>
              <w:bottom w:val="single" w:sz="4" w:space="0" w:color="auto"/>
              <w:right w:val="single" w:sz="4" w:space="0" w:color="auto"/>
            </w:tcBorders>
          </w:tcPr>
          <w:p w:rsidR="0073399C" w:rsidRPr="00C2576A" w:rsidRDefault="0073399C" w:rsidP="003946F9">
            <w:pPr>
              <w:jc w:val="center"/>
              <w:rPr>
                <w:sz w:val="20"/>
                <w:szCs w:val="20"/>
                <w:lang w:val="es-ES_tradnl"/>
              </w:rPr>
            </w:pPr>
          </w:p>
        </w:tc>
        <w:tc>
          <w:tcPr>
            <w:tcW w:w="450" w:type="dxa"/>
            <w:tcBorders>
              <w:top w:val="single" w:sz="4" w:space="0" w:color="auto"/>
              <w:left w:val="single" w:sz="4" w:space="0" w:color="auto"/>
              <w:bottom w:val="single" w:sz="4" w:space="0" w:color="auto"/>
              <w:right w:val="single" w:sz="4" w:space="0" w:color="auto"/>
            </w:tcBorders>
          </w:tcPr>
          <w:p w:rsidR="0073399C" w:rsidRPr="00C2576A" w:rsidRDefault="0073399C" w:rsidP="003946F9">
            <w:pPr>
              <w:jc w:val="center"/>
              <w:rPr>
                <w:sz w:val="20"/>
                <w:szCs w:val="20"/>
                <w:lang w:val="es-ES_tradnl"/>
              </w:rPr>
            </w:pPr>
          </w:p>
        </w:tc>
        <w:tc>
          <w:tcPr>
            <w:tcW w:w="450" w:type="dxa"/>
            <w:tcBorders>
              <w:top w:val="single" w:sz="4" w:space="0" w:color="auto"/>
              <w:left w:val="single" w:sz="4" w:space="0" w:color="auto"/>
              <w:bottom w:val="single" w:sz="4" w:space="0" w:color="auto"/>
              <w:right w:val="single" w:sz="4" w:space="0" w:color="auto"/>
            </w:tcBorders>
          </w:tcPr>
          <w:p w:rsidR="0073399C" w:rsidRPr="00C2576A" w:rsidRDefault="0073399C" w:rsidP="003946F9">
            <w:pPr>
              <w:jc w:val="center"/>
              <w:rPr>
                <w:sz w:val="20"/>
                <w:szCs w:val="20"/>
                <w:lang w:val="es-ES_tradnl"/>
              </w:rPr>
            </w:pPr>
          </w:p>
        </w:tc>
        <w:tc>
          <w:tcPr>
            <w:tcW w:w="1212" w:type="dxa"/>
            <w:tcBorders>
              <w:top w:val="single" w:sz="4" w:space="0" w:color="auto"/>
              <w:left w:val="single" w:sz="4" w:space="0" w:color="auto"/>
              <w:bottom w:val="single" w:sz="4" w:space="0" w:color="auto"/>
              <w:right w:val="single" w:sz="8" w:space="0" w:color="auto"/>
            </w:tcBorders>
            <w:noWrap/>
            <w:vAlign w:val="center"/>
          </w:tcPr>
          <w:p w:rsidR="0073399C" w:rsidRPr="00C2576A" w:rsidRDefault="0073399C" w:rsidP="003946F9">
            <w:pPr>
              <w:jc w:val="center"/>
              <w:rPr>
                <w:sz w:val="20"/>
                <w:szCs w:val="20"/>
                <w:lang w:val="es-ES_tradnl"/>
              </w:rPr>
            </w:pPr>
            <w:r w:rsidRPr="00C2576A">
              <w:rPr>
                <w:sz w:val="20"/>
                <w:szCs w:val="20"/>
                <w:lang w:val="es-ES_tradnl"/>
              </w:rPr>
              <w:t xml:space="preserve">BID </w:t>
            </w:r>
          </w:p>
        </w:tc>
        <w:tc>
          <w:tcPr>
            <w:tcW w:w="948" w:type="dxa"/>
            <w:tcBorders>
              <w:top w:val="single" w:sz="4" w:space="0" w:color="auto"/>
              <w:left w:val="nil"/>
              <w:bottom w:val="single" w:sz="4" w:space="0" w:color="auto"/>
              <w:right w:val="single" w:sz="8" w:space="0" w:color="auto"/>
            </w:tcBorders>
            <w:vAlign w:val="center"/>
          </w:tcPr>
          <w:p w:rsidR="0073399C" w:rsidRPr="00C2576A" w:rsidRDefault="0073399C" w:rsidP="003946F9">
            <w:pPr>
              <w:jc w:val="center"/>
              <w:rPr>
                <w:sz w:val="20"/>
                <w:szCs w:val="20"/>
                <w:lang w:val="es-ES_tradnl"/>
              </w:rPr>
            </w:pPr>
            <w:r w:rsidRPr="00C2576A">
              <w:rPr>
                <w:sz w:val="20"/>
                <w:szCs w:val="20"/>
                <w:lang w:val="es-ES_tradnl"/>
              </w:rPr>
              <w:t>6.000</w:t>
            </w:r>
          </w:p>
        </w:tc>
        <w:tc>
          <w:tcPr>
            <w:tcW w:w="2880" w:type="dxa"/>
            <w:tcBorders>
              <w:top w:val="single" w:sz="4" w:space="0" w:color="auto"/>
              <w:left w:val="nil"/>
              <w:bottom w:val="single" w:sz="4" w:space="0" w:color="auto"/>
              <w:right w:val="single" w:sz="8" w:space="0" w:color="auto"/>
            </w:tcBorders>
            <w:vAlign w:val="center"/>
          </w:tcPr>
          <w:p w:rsidR="0073399C" w:rsidRPr="00C2576A" w:rsidRDefault="0073399C" w:rsidP="003946F9">
            <w:pPr>
              <w:jc w:val="center"/>
              <w:rPr>
                <w:sz w:val="20"/>
                <w:szCs w:val="20"/>
                <w:lang w:val="es-ES_tradnl"/>
              </w:rPr>
            </w:pPr>
            <w:r w:rsidRPr="00C2576A">
              <w:rPr>
                <w:sz w:val="20"/>
                <w:szCs w:val="20"/>
                <w:lang w:val="es-ES_tradnl"/>
              </w:rPr>
              <w:t>Presupuesto administrativo, planes de Supervisión del Banco</w:t>
            </w:r>
          </w:p>
        </w:tc>
      </w:tr>
      <w:tr w:rsidR="0073399C" w:rsidRPr="00C2576A" w:rsidTr="004B24A3">
        <w:trPr>
          <w:trHeight w:val="560"/>
          <w:jc w:val="center"/>
        </w:trPr>
        <w:tc>
          <w:tcPr>
            <w:tcW w:w="2088" w:type="dxa"/>
            <w:tcBorders>
              <w:top w:val="single" w:sz="4" w:space="0" w:color="auto"/>
              <w:left w:val="single" w:sz="8" w:space="0" w:color="auto"/>
              <w:bottom w:val="single" w:sz="4" w:space="0" w:color="auto"/>
              <w:right w:val="single" w:sz="8" w:space="0" w:color="auto"/>
            </w:tcBorders>
            <w:noWrap/>
            <w:vAlign w:val="bottom"/>
          </w:tcPr>
          <w:p w:rsidR="0073399C" w:rsidRPr="00C2576A" w:rsidRDefault="0073399C" w:rsidP="00E80431">
            <w:pPr>
              <w:jc w:val="left"/>
              <w:rPr>
                <w:sz w:val="20"/>
                <w:szCs w:val="20"/>
                <w:lang w:val="es-ES_tradnl"/>
              </w:rPr>
            </w:pPr>
            <w:r w:rsidRPr="00C2576A">
              <w:rPr>
                <w:sz w:val="20"/>
                <w:szCs w:val="20"/>
                <w:lang w:val="es-ES_tradnl"/>
              </w:rPr>
              <w:t>Misión para determinar planes alternativos que permitan garantizar el cumplimiento de los compromisos establecidos</w:t>
            </w:r>
          </w:p>
        </w:tc>
        <w:tc>
          <w:tcPr>
            <w:tcW w:w="404" w:type="dxa"/>
            <w:tcBorders>
              <w:top w:val="single" w:sz="4" w:space="0" w:color="auto"/>
              <w:left w:val="single" w:sz="8" w:space="0" w:color="auto"/>
              <w:bottom w:val="single" w:sz="4" w:space="0" w:color="auto"/>
              <w:right w:val="single" w:sz="4" w:space="0" w:color="auto"/>
            </w:tcBorders>
            <w:shd w:val="clear" w:color="auto" w:fill="FFFFFF" w:themeFill="background1"/>
            <w:noWrap/>
            <w:vAlign w:val="bottom"/>
          </w:tcPr>
          <w:p w:rsidR="0073399C" w:rsidRPr="00C2576A" w:rsidRDefault="0073399C" w:rsidP="00E80431">
            <w:pPr>
              <w:rPr>
                <w:sz w:val="20"/>
                <w:szCs w:val="20"/>
                <w:lang w:val="es-ES_tradnl"/>
              </w:rPr>
            </w:pPr>
            <w:r w:rsidRPr="00C2576A">
              <w:rPr>
                <w:sz w:val="20"/>
                <w:szCs w:val="20"/>
                <w:lang w:val="es-ES_tradnl"/>
              </w:rPr>
              <w:t> </w:t>
            </w:r>
          </w:p>
        </w:tc>
        <w:tc>
          <w:tcPr>
            <w:tcW w:w="395" w:type="dxa"/>
            <w:tcBorders>
              <w:top w:val="single" w:sz="4" w:space="0" w:color="auto"/>
              <w:left w:val="nil"/>
              <w:bottom w:val="single" w:sz="4" w:space="0" w:color="auto"/>
              <w:right w:val="single" w:sz="4" w:space="0" w:color="auto"/>
            </w:tcBorders>
            <w:shd w:val="clear" w:color="auto" w:fill="FFFFFF" w:themeFill="background1"/>
            <w:noWrap/>
            <w:vAlign w:val="bottom"/>
          </w:tcPr>
          <w:p w:rsidR="0073399C" w:rsidRPr="00C2576A" w:rsidRDefault="0073399C" w:rsidP="00E80431">
            <w:pPr>
              <w:rPr>
                <w:sz w:val="20"/>
                <w:szCs w:val="20"/>
                <w:lang w:val="es-ES_tradnl"/>
              </w:rPr>
            </w:pPr>
          </w:p>
        </w:tc>
        <w:tc>
          <w:tcPr>
            <w:tcW w:w="429" w:type="dxa"/>
            <w:tcBorders>
              <w:top w:val="single" w:sz="4" w:space="0" w:color="auto"/>
              <w:left w:val="nil"/>
              <w:bottom w:val="single" w:sz="4" w:space="0" w:color="auto"/>
              <w:right w:val="single" w:sz="4" w:space="0" w:color="auto"/>
            </w:tcBorders>
            <w:shd w:val="clear" w:color="auto" w:fill="00B050"/>
            <w:noWrap/>
            <w:vAlign w:val="bottom"/>
          </w:tcPr>
          <w:p w:rsidR="0073399C" w:rsidRPr="00C2576A" w:rsidRDefault="0073399C" w:rsidP="00E80431">
            <w:pPr>
              <w:rPr>
                <w:sz w:val="20"/>
                <w:szCs w:val="20"/>
                <w:lang w:val="es-ES_tradnl"/>
              </w:rPr>
            </w:pPr>
            <w:r w:rsidRPr="00C2576A">
              <w:rPr>
                <w:sz w:val="20"/>
                <w:szCs w:val="20"/>
                <w:lang w:val="es-ES_tradnl"/>
              </w:rPr>
              <w:t> </w:t>
            </w:r>
          </w:p>
        </w:tc>
        <w:tc>
          <w:tcPr>
            <w:tcW w:w="450" w:type="dxa"/>
            <w:tcBorders>
              <w:top w:val="single" w:sz="4" w:space="0" w:color="auto"/>
              <w:left w:val="nil"/>
              <w:bottom w:val="single" w:sz="4" w:space="0" w:color="auto"/>
              <w:right w:val="single" w:sz="8" w:space="0" w:color="auto"/>
            </w:tcBorders>
            <w:shd w:val="clear" w:color="auto" w:fill="00B050"/>
            <w:noWrap/>
            <w:vAlign w:val="bottom"/>
          </w:tcPr>
          <w:p w:rsidR="0073399C" w:rsidRPr="00C2576A" w:rsidRDefault="0073399C" w:rsidP="00E80431">
            <w:pPr>
              <w:rPr>
                <w:sz w:val="20"/>
                <w:szCs w:val="20"/>
                <w:lang w:val="es-ES_tradnl"/>
              </w:rPr>
            </w:pPr>
            <w:r w:rsidRPr="00C2576A">
              <w:rPr>
                <w:sz w:val="20"/>
                <w:szCs w:val="20"/>
                <w:lang w:val="es-ES_tradnl"/>
              </w:rPr>
              <w:t> </w:t>
            </w:r>
          </w:p>
        </w:tc>
        <w:tc>
          <w:tcPr>
            <w:tcW w:w="411" w:type="dxa"/>
            <w:tcBorders>
              <w:top w:val="single" w:sz="4" w:space="0" w:color="auto"/>
              <w:left w:val="nil"/>
              <w:bottom w:val="single" w:sz="4" w:space="0" w:color="auto"/>
              <w:right w:val="single" w:sz="8" w:space="0" w:color="auto"/>
            </w:tcBorders>
          </w:tcPr>
          <w:p w:rsidR="0073399C" w:rsidRPr="00C2576A" w:rsidRDefault="0073399C" w:rsidP="00E80431">
            <w:pPr>
              <w:jc w:val="center"/>
              <w:rPr>
                <w:sz w:val="20"/>
                <w:szCs w:val="20"/>
                <w:lang w:val="es-ES_tradnl"/>
              </w:rPr>
            </w:pPr>
          </w:p>
        </w:tc>
        <w:tc>
          <w:tcPr>
            <w:tcW w:w="450" w:type="dxa"/>
            <w:tcBorders>
              <w:top w:val="single" w:sz="4" w:space="0" w:color="auto"/>
              <w:left w:val="single" w:sz="8" w:space="0" w:color="auto"/>
              <w:bottom w:val="single" w:sz="4" w:space="0" w:color="auto"/>
              <w:right w:val="single" w:sz="4" w:space="0" w:color="auto"/>
            </w:tcBorders>
          </w:tcPr>
          <w:p w:rsidR="0073399C" w:rsidRPr="00C2576A" w:rsidRDefault="0073399C" w:rsidP="00E80431">
            <w:pPr>
              <w:jc w:val="center"/>
              <w:rPr>
                <w:sz w:val="20"/>
                <w:szCs w:val="20"/>
                <w:lang w:val="es-ES_tradnl"/>
              </w:rPr>
            </w:pPr>
          </w:p>
        </w:tc>
        <w:tc>
          <w:tcPr>
            <w:tcW w:w="450" w:type="dxa"/>
            <w:tcBorders>
              <w:top w:val="single" w:sz="4" w:space="0" w:color="auto"/>
              <w:left w:val="single" w:sz="4" w:space="0" w:color="auto"/>
              <w:bottom w:val="single" w:sz="4" w:space="0" w:color="auto"/>
              <w:right w:val="single" w:sz="4" w:space="0" w:color="auto"/>
            </w:tcBorders>
          </w:tcPr>
          <w:p w:rsidR="0073399C" w:rsidRPr="00C2576A" w:rsidRDefault="0073399C" w:rsidP="00E80431">
            <w:pPr>
              <w:jc w:val="center"/>
              <w:rPr>
                <w:sz w:val="20"/>
                <w:szCs w:val="20"/>
                <w:lang w:val="es-ES_tradnl"/>
              </w:rPr>
            </w:pPr>
          </w:p>
        </w:tc>
        <w:tc>
          <w:tcPr>
            <w:tcW w:w="450" w:type="dxa"/>
            <w:tcBorders>
              <w:top w:val="single" w:sz="4" w:space="0" w:color="auto"/>
              <w:left w:val="single" w:sz="4" w:space="0" w:color="auto"/>
              <w:bottom w:val="single" w:sz="4" w:space="0" w:color="auto"/>
              <w:right w:val="single" w:sz="4" w:space="0" w:color="auto"/>
            </w:tcBorders>
          </w:tcPr>
          <w:p w:rsidR="0073399C" w:rsidRPr="00C2576A" w:rsidRDefault="0073399C" w:rsidP="00E80431">
            <w:pPr>
              <w:jc w:val="center"/>
              <w:rPr>
                <w:sz w:val="20"/>
                <w:szCs w:val="20"/>
                <w:lang w:val="es-ES_tradnl"/>
              </w:rPr>
            </w:pPr>
          </w:p>
        </w:tc>
        <w:tc>
          <w:tcPr>
            <w:tcW w:w="1212" w:type="dxa"/>
            <w:tcBorders>
              <w:top w:val="single" w:sz="4" w:space="0" w:color="auto"/>
              <w:left w:val="single" w:sz="4" w:space="0" w:color="auto"/>
              <w:bottom w:val="single" w:sz="4" w:space="0" w:color="auto"/>
              <w:right w:val="single" w:sz="8" w:space="0" w:color="auto"/>
            </w:tcBorders>
            <w:noWrap/>
            <w:vAlign w:val="center"/>
          </w:tcPr>
          <w:p w:rsidR="0073399C" w:rsidRPr="00C2576A" w:rsidRDefault="0073399C" w:rsidP="00E80431">
            <w:pPr>
              <w:jc w:val="center"/>
              <w:rPr>
                <w:sz w:val="20"/>
                <w:szCs w:val="20"/>
                <w:lang w:val="es-ES_tradnl"/>
              </w:rPr>
            </w:pPr>
            <w:r w:rsidRPr="00C2576A">
              <w:rPr>
                <w:sz w:val="20"/>
                <w:szCs w:val="20"/>
                <w:lang w:val="es-ES_tradnl"/>
              </w:rPr>
              <w:t>BID</w:t>
            </w:r>
          </w:p>
        </w:tc>
        <w:tc>
          <w:tcPr>
            <w:tcW w:w="948" w:type="dxa"/>
            <w:tcBorders>
              <w:top w:val="single" w:sz="4" w:space="0" w:color="auto"/>
              <w:left w:val="nil"/>
              <w:bottom w:val="single" w:sz="4" w:space="0" w:color="auto"/>
              <w:right w:val="single" w:sz="8" w:space="0" w:color="auto"/>
            </w:tcBorders>
            <w:vAlign w:val="center"/>
          </w:tcPr>
          <w:p w:rsidR="0073399C" w:rsidRPr="00C2576A" w:rsidRDefault="0073399C" w:rsidP="00E80431">
            <w:pPr>
              <w:jc w:val="center"/>
              <w:rPr>
                <w:sz w:val="20"/>
                <w:szCs w:val="20"/>
                <w:lang w:val="es-ES_tradnl"/>
              </w:rPr>
            </w:pPr>
            <w:r w:rsidRPr="00C2576A">
              <w:rPr>
                <w:sz w:val="20"/>
                <w:szCs w:val="20"/>
                <w:lang w:val="es-ES_tradnl"/>
              </w:rPr>
              <w:t>3.000</w:t>
            </w:r>
          </w:p>
        </w:tc>
        <w:tc>
          <w:tcPr>
            <w:tcW w:w="2880" w:type="dxa"/>
            <w:tcBorders>
              <w:top w:val="single" w:sz="4" w:space="0" w:color="auto"/>
              <w:left w:val="nil"/>
              <w:bottom w:val="single" w:sz="4" w:space="0" w:color="auto"/>
              <w:right w:val="single" w:sz="8" w:space="0" w:color="auto"/>
            </w:tcBorders>
            <w:vAlign w:val="center"/>
          </w:tcPr>
          <w:p w:rsidR="0073399C" w:rsidRPr="00C2576A" w:rsidRDefault="0073399C" w:rsidP="00E80431">
            <w:pPr>
              <w:jc w:val="center"/>
              <w:rPr>
                <w:sz w:val="20"/>
                <w:szCs w:val="20"/>
                <w:lang w:val="es-ES_tradnl"/>
              </w:rPr>
            </w:pPr>
            <w:r w:rsidRPr="00C2576A">
              <w:rPr>
                <w:sz w:val="20"/>
                <w:szCs w:val="20"/>
                <w:lang w:val="es-ES_tradnl"/>
              </w:rPr>
              <w:t>Presupuesto administrativo, planes de Supervisión del Banco</w:t>
            </w:r>
          </w:p>
        </w:tc>
      </w:tr>
      <w:tr w:rsidR="0073399C" w:rsidRPr="00C2576A" w:rsidTr="004B24A3">
        <w:trPr>
          <w:trHeight w:val="560"/>
          <w:jc w:val="center"/>
        </w:trPr>
        <w:tc>
          <w:tcPr>
            <w:tcW w:w="2088" w:type="dxa"/>
            <w:tcBorders>
              <w:top w:val="nil"/>
              <w:left w:val="single" w:sz="8" w:space="0" w:color="auto"/>
              <w:bottom w:val="single" w:sz="4" w:space="0" w:color="auto"/>
              <w:right w:val="single" w:sz="8" w:space="0" w:color="auto"/>
            </w:tcBorders>
            <w:noWrap/>
            <w:vAlign w:val="bottom"/>
          </w:tcPr>
          <w:p w:rsidR="0073399C" w:rsidRPr="00C2576A" w:rsidRDefault="0073399C" w:rsidP="00E80431">
            <w:pPr>
              <w:jc w:val="left"/>
              <w:rPr>
                <w:sz w:val="20"/>
                <w:szCs w:val="20"/>
                <w:lang w:val="es-ES_tradnl"/>
              </w:rPr>
            </w:pPr>
            <w:r w:rsidRPr="00C2576A">
              <w:rPr>
                <w:sz w:val="20"/>
                <w:szCs w:val="20"/>
                <w:lang w:val="es-ES_tradnl"/>
              </w:rPr>
              <w:t>Reuniones, talleres y diálogos interinstitucionales</w:t>
            </w:r>
          </w:p>
        </w:tc>
        <w:tc>
          <w:tcPr>
            <w:tcW w:w="404" w:type="dxa"/>
            <w:tcBorders>
              <w:top w:val="single" w:sz="4" w:space="0" w:color="auto"/>
              <w:left w:val="single" w:sz="8" w:space="0" w:color="auto"/>
              <w:bottom w:val="single" w:sz="4" w:space="0" w:color="auto"/>
              <w:right w:val="single" w:sz="4" w:space="0" w:color="auto"/>
            </w:tcBorders>
            <w:shd w:val="clear" w:color="auto" w:fill="FFFFFF" w:themeFill="background1"/>
            <w:noWrap/>
            <w:vAlign w:val="bottom"/>
          </w:tcPr>
          <w:p w:rsidR="0073399C" w:rsidRPr="00C2576A" w:rsidRDefault="0073399C" w:rsidP="00E80431">
            <w:pPr>
              <w:rPr>
                <w:sz w:val="20"/>
                <w:szCs w:val="20"/>
                <w:lang w:val="es-ES_tradnl"/>
              </w:rPr>
            </w:pPr>
            <w:r w:rsidRPr="00C2576A">
              <w:rPr>
                <w:sz w:val="20"/>
                <w:szCs w:val="20"/>
                <w:lang w:val="es-ES_tradnl"/>
              </w:rPr>
              <w:t> </w:t>
            </w:r>
          </w:p>
        </w:tc>
        <w:tc>
          <w:tcPr>
            <w:tcW w:w="395" w:type="dxa"/>
            <w:tcBorders>
              <w:top w:val="single" w:sz="4" w:space="0" w:color="auto"/>
              <w:left w:val="nil"/>
              <w:bottom w:val="single" w:sz="4" w:space="0" w:color="auto"/>
              <w:right w:val="single" w:sz="4" w:space="0" w:color="auto"/>
            </w:tcBorders>
            <w:shd w:val="clear" w:color="auto" w:fill="FFFFFF" w:themeFill="background1"/>
            <w:noWrap/>
            <w:vAlign w:val="bottom"/>
          </w:tcPr>
          <w:p w:rsidR="0073399C" w:rsidRPr="00C2576A" w:rsidRDefault="0073399C" w:rsidP="00E80431">
            <w:pPr>
              <w:rPr>
                <w:sz w:val="20"/>
                <w:szCs w:val="20"/>
                <w:lang w:val="es-ES_tradnl"/>
              </w:rPr>
            </w:pPr>
          </w:p>
        </w:tc>
        <w:tc>
          <w:tcPr>
            <w:tcW w:w="429" w:type="dxa"/>
            <w:tcBorders>
              <w:top w:val="single" w:sz="4" w:space="0" w:color="auto"/>
              <w:left w:val="nil"/>
              <w:bottom w:val="single" w:sz="4" w:space="0" w:color="auto"/>
              <w:right w:val="single" w:sz="4" w:space="0" w:color="auto"/>
            </w:tcBorders>
            <w:shd w:val="clear" w:color="auto" w:fill="FFFFFF" w:themeFill="background1"/>
            <w:noWrap/>
            <w:vAlign w:val="bottom"/>
          </w:tcPr>
          <w:p w:rsidR="0073399C" w:rsidRPr="00C2576A" w:rsidRDefault="0073399C" w:rsidP="00E80431">
            <w:pPr>
              <w:rPr>
                <w:sz w:val="20"/>
                <w:szCs w:val="20"/>
                <w:lang w:val="es-ES_tradnl"/>
              </w:rPr>
            </w:pPr>
            <w:r w:rsidRPr="00C2576A">
              <w:rPr>
                <w:sz w:val="20"/>
                <w:szCs w:val="20"/>
                <w:lang w:val="es-ES_tradnl"/>
              </w:rPr>
              <w:t> </w:t>
            </w:r>
          </w:p>
        </w:tc>
        <w:tc>
          <w:tcPr>
            <w:tcW w:w="450" w:type="dxa"/>
            <w:tcBorders>
              <w:top w:val="single" w:sz="4" w:space="0" w:color="auto"/>
              <w:left w:val="nil"/>
              <w:bottom w:val="single" w:sz="4" w:space="0" w:color="auto"/>
              <w:right w:val="single" w:sz="8" w:space="0" w:color="auto"/>
            </w:tcBorders>
            <w:shd w:val="clear" w:color="auto" w:fill="00B050"/>
            <w:noWrap/>
            <w:vAlign w:val="bottom"/>
          </w:tcPr>
          <w:p w:rsidR="0073399C" w:rsidRPr="00C2576A" w:rsidRDefault="0073399C" w:rsidP="00E80431">
            <w:pPr>
              <w:rPr>
                <w:sz w:val="20"/>
                <w:szCs w:val="20"/>
                <w:lang w:val="es-ES_tradnl"/>
              </w:rPr>
            </w:pPr>
            <w:r w:rsidRPr="00C2576A">
              <w:rPr>
                <w:sz w:val="20"/>
                <w:szCs w:val="20"/>
                <w:lang w:val="es-ES_tradnl"/>
              </w:rPr>
              <w:t> </w:t>
            </w:r>
          </w:p>
        </w:tc>
        <w:tc>
          <w:tcPr>
            <w:tcW w:w="411" w:type="dxa"/>
            <w:tcBorders>
              <w:top w:val="single" w:sz="4" w:space="0" w:color="auto"/>
              <w:left w:val="nil"/>
              <w:bottom w:val="single" w:sz="4" w:space="0" w:color="auto"/>
              <w:right w:val="single" w:sz="8" w:space="0" w:color="auto"/>
            </w:tcBorders>
          </w:tcPr>
          <w:p w:rsidR="0073399C" w:rsidRPr="00C2576A" w:rsidRDefault="0073399C" w:rsidP="00E80431">
            <w:pPr>
              <w:jc w:val="center"/>
              <w:rPr>
                <w:sz w:val="20"/>
                <w:szCs w:val="20"/>
                <w:lang w:val="es-ES_tradnl"/>
              </w:rPr>
            </w:pPr>
          </w:p>
        </w:tc>
        <w:tc>
          <w:tcPr>
            <w:tcW w:w="450" w:type="dxa"/>
            <w:tcBorders>
              <w:top w:val="single" w:sz="4" w:space="0" w:color="auto"/>
              <w:left w:val="single" w:sz="8" w:space="0" w:color="auto"/>
              <w:bottom w:val="single" w:sz="4" w:space="0" w:color="auto"/>
              <w:right w:val="single" w:sz="4" w:space="0" w:color="auto"/>
            </w:tcBorders>
          </w:tcPr>
          <w:p w:rsidR="0073399C" w:rsidRPr="00C2576A" w:rsidRDefault="0073399C" w:rsidP="00E80431">
            <w:pPr>
              <w:jc w:val="center"/>
              <w:rPr>
                <w:sz w:val="20"/>
                <w:szCs w:val="20"/>
                <w:lang w:val="es-ES_tradnl"/>
              </w:rPr>
            </w:pPr>
          </w:p>
        </w:tc>
        <w:tc>
          <w:tcPr>
            <w:tcW w:w="450" w:type="dxa"/>
            <w:tcBorders>
              <w:top w:val="single" w:sz="4" w:space="0" w:color="auto"/>
              <w:left w:val="single" w:sz="4" w:space="0" w:color="auto"/>
              <w:bottom w:val="single" w:sz="4" w:space="0" w:color="auto"/>
              <w:right w:val="single" w:sz="4" w:space="0" w:color="auto"/>
            </w:tcBorders>
          </w:tcPr>
          <w:p w:rsidR="0073399C" w:rsidRPr="00C2576A" w:rsidRDefault="0073399C" w:rsidP="00E80431">
            <w:pPr>
              <w:jc w:val="center"/>
              <w:rPr>
                <w:sz w:val="20"/>
                <w:szCs w:val="20"/>
                <w:lang w:val="es-ES_tradnl"/>
              </w:rPr>
            </w:pPr>
          </w:p>
        </w:tc>
        <w:tc>
          <w:tcPr>
            <w:tcW w:w="450" w:type="dxa"/>
            <w:tcBorders>
              <w:top w:val="single" w:sz="4" w:space="0" w:color="auto"/>
              <w:left w:val="single" w:sz="4" w:space="0" w:color="auto"/>
              <w:bottom w:val="single" w:sz="4" w:space="0" w:color="auto"/>
              <w:right w:val="single" w:sz="4" w:space="0" w:color="auto"/>
            </w:tcBorders>
          </w:tcPr>
          <w:p w:rsidR="0073399C" w:rsidRPr="00C2576A" w:rsidRDefault="0073399C" w:rsidP="00E80431">
            <w:pPr>
              <w:jc w:val="center"/>
              <w:rPr>
                <w:sz w:val="20"/>
                <w:szCs w:val="20"/>
                <w:lang w:val="es-ES_tradnl"/>
              </w:rPr>
            </w:pPr>
          </w:p>
        </w:tc>
        <w:tc>
          <w:tcPr>
            <w:tcW w:w="1212" w:type="dxa"/>
            <w:tcBorders>
              <w:top w:val="nil"/>
              <w:left w:val="single" w:sz="4" w:space="0" w:color="auto"/>
              <w:bottom w:val="single" w:sz="4" w:space="0" w:color="auto"/>
              <w:right w:val="single" w:sz="8" w:space="0" w:color="auto"/>
            </w:tcBorders>
            <w:noWrap/>
            <w:vAlign w:val="center"/>
          </w:tcPr>
          <w:p w:rsidR="0073399C" w:rsidRPr="00C2576A" w:rsidRDefault="0073399C" w:rsidP="00E80431">
            <w:pPr>
              <w:jc w:val="center"/>
              <w:rPr>
                <w:sz w:val="20"/>
                <w:szCs w:val="20"/>
                <w:lang w:val="es-ES_tradnl"/>
              </w:rPr>
            </w:pPr>
            <w:r w:rsidRPr="00C2576A">
              <w:rPr>
                <w:sz w:val="20"/>
                <w:szCs w:val="20"/>
                <w:lang w:val="es-ES_tradnl"/>
              </w:rPr>
              <w:t>BID</w:t>
            </w:r>
          </w:p>
        </w:tc>
        <w:tc>
          <w:tcPr>
            <w:tcW w:w="948" w:type="dxa"/>
            <w:tcBorders>
              <w:top w:val="nil"/>
              <w:left w:val="nil"/>
              <w:bottom w:val="single" w:sz="4" w:space="0" w:color="auto"/>
              <w:right w:val="single" w:sz="8" w:space="0" w:color="auto"/>
            </w:tcBorders>
            <w:vAlign w:val="center"/>
          </w:tcPr>
          <w:p w:rsidR="0073399C" w:rsidRPr="00C2576A" w:rsidRDefault="0073399C" w:rsidP="00E80431">
            <w:pPr>
              <w:jc w:val="center"/>
              <w:rPr>
                <w:sz w:val="20"/>
                <w:szCs w:val="20"/>
                <w:lang w:val="es-ES_tradnl"/>
              </w:rPr>
            </w:pPr>
            <w:r w:rsidRPr="00C2576A">
              <w:rPr>
                <w:sz w:val="20"/>
                <w:szCs w:val="20"/>
                <w:lang w:val="es-ES_tradnl"/>
              </w:rPr>
              <w:t>2.000</w:t>
            </w:r>
          </w:p>
        </w:tc>
        <w:tc>
          <w:tcPr>
            <w:tcW w:w="2880" w:type="dxa"/>
            <w:tcBorders>
              <w:top w:val="nil"/>
              <w:left w:val="nil"/>
              <w:bottom w:val="single" w:sz="4" w:space="0" w:color="auto"/>
              <w:right w:val="single" w:sz="8" w:space="0" w:color="auto"/>
            </w:tcBorders>
            <w:vAlign w:val="center"/>
          </w:tcPr>
          <w:p w:rsidR="0073399C" w:rsidRPr="00C2576A" w:rsidRDefault="0073399C" w:rsidP="00E80431">
            <w:pPr>
              <w:jc w:val="center"/>
              <w:rPr>
                <w:sz w:val="20"/>
                <w:szCs w:val="20"/>
                <w:lang w:val="es-ES_tradnl"/>
              </w:rPr>
            </w:pPr>
            <w:r w:rsidRPr="00C2576A">
              <w:rPr>
                <w:sz w:val="20"/>
                <w:szCs w:val="20"/>
                <w:lang w:val="es-ES_tradnl"/>
              </w:rPr>
              <w:t xml:space="preserve">Presupuesto administrativo, planes de Supervisión del Banco </w:t>
            </w:r>
          </w:p>
        </w:tc>
      </w:tr>
      <w:tr w:rsidR="009D7938" w:rsidRPr="00C2576A" w:rsidTr="004B24A3">
        <w:trPr>
          <w:trHeight w:val="560"/>
          <w:jc w:val="center"/>
        </w:trPr>
        <w:tc>
          <w:tcPr>
            <w:tcW w:w="2088" w:type="dxa"/>
            <w:tcBorders>
              <w:top w:val="nil"/>
              <w:left w:val="single" w:sz="8" w:space="0" w:color="auto"/>
              <w:bottom w:val="single" w:sz="4" w:space="0" w:color="auto"/>
              <w:right w:val="single" w:sz="8" w:space="0" w:color="auto"/>
            </w:tcBorders>
            <w:noWrap/>
            <w:vAlign w:val="bottom"/>
          </w:tcPr>
          <w:p w:rsidR="009D7938" w:rsidRPr="00C2576A" w:rsidRDefault="009D7938" w:rsidP="00500830">
            <w:pPr>
              <w:jc w:val="left"/>
              <w:rPr>
                <w:sz w:val="20"/>
                <w:szCs w:val="20"/>
                <w:lang w:val="es-ES_tradnl"/>
              </w:rPr>
            </w:pPr>
            <w:r>
              <w:rPr>
                <w:sz w:val="20"/>
                <w:szCs w:val="20"/>
                <w:lang w:val="es-ES_tradnl"/>
              </w:rPr>
              <w:t>Monitoreo variables de resultado</w:t>
            </w:r>
          </w:p>
        </w:tc>
        <w:tc>
          <w:tcPr>
            <w:tcW w:w="404" w:type="dxa"/>
            <w:tcBorders>
              <w:top w:val="single" w:sz="4" w:space="0" w:color="auto"/>
              <w:left w:val="single" w:sz="8" w:space="0" w:color="auto"/>
              <w:bottom w:val="single" w:sz="4" w:space="0" w:color="auto"/>
              <w:right w:val="single" w:sz="4" w:space="0" w:color="auto"/>
            </w:tcBorders>
            <w:shd w:val="clear" w:color="auto" w:fill="FFFFFF" w:themeFill="background1"/>
            <w:noWrap/>
            <w:vAlign w:val="bottom"/>
          </w:tcPr>
          <w:p w:rsidR="009D7938" w:rsidRPr="00C2576A" w:rsidRDefault="009D7938" w:rsidP="00500830">
            <w:pPr>
              <w:rPr>
                <w:sz w:val="20"/>
                <w:szCs w:val="20"/>
                <w:lang w:val="es-ES_tradnl"/>
              </w:rPr>
            </w:pPr>
            <w:r w:rsidRPr="00C2576A">
              <w:rPr>
                <w:sz w:val="20"/>
                <w:szCs w:val="20"/>
                <w:lang w:val="es-ES_tradnl"/>
              </w:rPr>
              <w:t> </w:t>
            </w:r>
          </w:p>
        </w:tc>
        <w:tc>
          <w:tcPr>
            <w:tcW w:w="395" w:type="dxa"/>
            <w:tcBorders>
              <w:top w:val="single" w:sz="4" w:space="0" w:color="auto"/>
              <w:left w:val="nil"/>
              <w:bottom w:val="single" w:sz="4" w:space="0" w:color="auto"/>
              <w:right w:val="single" w:sz="4" w:space="0" w:color="auto"/>
            </w:tcBorders>
            <w:shd w:val="clear" w:color="auto" w:fill="FFFFFF" w:themeFill="background1"/>
            <w:noWrap/>
            <w:vAlign w:val="bottom"/>
          </w:tcPr>
          <w:p w:rsidR="009D7938" w:rsidRPr="00C2576A" w:rsidRDefault="009D7938" w:rsidP="00500830">
            <w:pPr>
              <w:rPr>
                <w:sz w:val="20"/>
                <w:szCs w:val="20"/>
                <w:lang w:val="es-ES_tradnl"/>
              </w:rPr>
            </w:pPr>
          </w:p>
        </w:tc>
        <w:tc>
          <w:tcPr>
            <w:tcW w:w="429" w:type="dxa"/>
            <w:tcBorders>
              <w:top w:val="single" w:sz="4" w:space="0" w:color="auto"/>
              <w:left w:val="nil"/>
              <w:bottom w:val="single" w:sz="4" w:space="0" w:color="auto"/>
              <w:right w:val="single" w:sz="4" w:space="0" w:color="auto"/>
            </w:tcBorders>
            <w:shd w:val="clear" w:color="auto" w:fill="FFFFFF" w:themeFill="background1"/>
            <w:noWrap/>
            <w:vAlign w:val="bottom"/>
          </w:tcPr>
          <w:p w:rsidR="009D7938" w:rsidRPr="00C2576A" w:rsidRDefault="009D7938" w:rsidP="00500830">
            <w:pPr>
              <w:rPr>
                <w:sz w:val="20"/>
                <w:szCs w:val="20"/>
                <w:lang w:val="es-ES_tradnl"/>
              </w:rPr>
            </w:pPr>
            <w:r w:rsidRPr="00C2576A">
              <w:rPr>
                <w:sz w:val="20"/>
                <w:szCs w:val="20"/>
                <w:lang w:val="es-ES_tradnl"/>
              </w:rPr>
              <w:t> </w:t>
            </w:r>
          </w:p>
        </w:tc>
        <w:tc>
          <w:tcPr>
            <w:tcW w:w="450" w:type="dxa"/>
            <w:tcBorders>
              <w:top w:val="single" w:sz="4" w:space="0" w:color="auto"/>
              <w:left w:val="nil"/>
              <w:bottom w:val="single" w:sz="4" w:space="0" w:color="auto"/>
              <w:right w:val="single" w:sz="8" w:space="0" w:color="auto"/>
            </w:tcBorders>
            <w:shd w:val="clear" w:color="auto" w:fill="00B050"/>
            <w:noWrap/>
            <w:vAlign w:val="bottom"/>
          </w:tcPr>
          <w:p w:rsidR="009D7938" w:rsidRPr="00C2576A" w:rsidRDefault="009D7938" w:rsidP="00500830">
            <w:pPr>
              <w:rPr>
                <w:sz w:val="20"/>
                <w:szCs w:val="20"/>
                <w:lang w:val="es-ES_tradnl"/>
              </w:rPr>
            </w:pPr>
            <w:r w:rsidRPr="00C2576A">
              <w:rPr>
                <w:sz w:val="20"/>
                <w:szCs w:val="20"/>
                <w:lang w:val="es-ES_tradnl"/>
              </w:rPr>
              <w:t> </w:t>
            </w:r>
          </w:p>
        </w:tc>
        <w:tc>
          <w:tcPr>
            <w:tcW w:w="411" w:type="dxa"/>
            <w:tcBorders>
              <w:top w:val="single" w:sz="4" w:space="0" w:color="auto"/>
              <w:left w:val="nil"/>
              <w:bottom w:val="single" w:sz="4" w:space="0" w:color="auto"/>
              <w:right w:val="single" w:sz="8" w:space="0" w:color="auto"/>
            </w:tcBorders>
            <w:shd w:val="clear" w:color="auto" w:fill="00B050"/>
          </w:tcPr>
          <w:p w:rsidR="009D7938" w:rsidRPr="00C2576A" w:rsidRDefault="009D7938" w:rsidP="00500830">
            <w:pPr>
              <w:jc w:val="center"/>
              <w:rPr>
                <w:sz w:val="20"/>
                <w:szCs w:val="20"/>
                <w:lang w:val="es-ES_tradnl"/>
              </w:rPr>
            </w:pPr>
          </w:p>
        </w:tc>
        <w:tc>
          <w:tcPr>
            <w:tcW w:w="450" w:type="dxa"/>
            <w:tcBorders>
              <w:top w:val="single" w:sz="4" w:space="0" w:color="auto"/>
              <w:left w:val="single" w:sz="8" w:space="0" w:color="auto"/>
              <w:bottom w:val="single" w:sz="4" w:space="0" w:color="auto"/>
              <w:right w:val="single" w:sz="4" w:space="0" w:color="auto"/>
            </w:tcBorders>
            <w:shd w:val="clear" w:color="auto" w:fill="00B050"/>
          </w:tcPr>
          <w:p w:rsidR="009D7938" w:rsidRPr="00C2576A" w:rsidRDefault="009D7938" w:rsidP="00500830">
            <w:pPr>
              <w:jc w:val="center"/>
              <w:rPr>
                <w:sz w:val="20"/>
                <w:szCs w:val="20"/>
                <w:lang w:val="es-ES_tradnl"/>
              </w:rPr>
            </w:pPr>
          </w:p>
        </w:tc>
        <w:tc>
          <w:tcPr>
            <w:tcW w:w="450" w:type="dxa"/>
            <w:tcBorders>
              <w:top w:val="single" w:sz="4" w:space="0" w:color="auto"/>
              <w:left w:val="single" w:sz="4" w:space="0" w:color="auto"/>
              <w:bottom w:val="single" w:sz="4" w:space="0" w:color="auto"/>
              <w:right w:val="single" w:sz="4" w:space="0" w:color="auto"/>
            </w:tcBorders>
            <w:shd w:val="clear" w:color="auto" w:fill="00B050"/>
          </w:tcPr>
          <w:p w:rsidR="009D7938" w:rsidRPr="00C2576A" w:rsidRDefault="009D7938" w:rsidP="00500830">
            <w:pPr>
              <w:jc w:val="center"/>
              <w:rPr>
                <w:sz w:val="20"/>
                <w:szCs w:val="20"/>
                <w:lang w:val="es-ES_tradnl"/>
              </w:rPr>
            </w:pPr>
          </w:p>
        </w:tc>
        <w:tc>
          <w:tcPr>
            <w:tcW w:w="450" w:type="dxa"/>
            <w:tcBorders>
              <w:top w:val="single" w:sz="4" w:space="0" w:color="auto"/>
              <w:left w:val="single" w:sz="4" w:space="0" w:color="auto"/>
              <w:bottom w:val="single" w:sz="4" w:space="0" w:color="auto"/>
              <w:right w:val="single" w:sz="4" w:space="0" w:color="auto"/>
            </w:tcBorders>
            <w:shd w:val="clear" w:color="auto" w:fill="00B050"/>
          </w:tcPr>
          <w:p w:rsidR="009D7938" w:rsidRPr="00C2576A" w:rsidRDefault="009D7938" w:rsidP="00500830">
            <w:pPr>
              <w:jc w:val="center"/>
              <w:rPr>
                <w:sz w:val="20"/>
                <w:szCs w:val="20"/>
                <w:lang w:val="es-ES_tradnl"/>
              </w:rPr>
            </w:pPr>
          </w:p>
        </w:tc>
        <w:tc>
          <w:tcPr>
            <w:tcW w:w="1212" w:type="dxa"/>
            <w:tcBorders>
              <w:top w:val="nil"/>
              <w:left w:val="single" w:sz="4" w:space="0" w:color="auto"/>
              <w:bottom w:val="single" w:sz="4" w:space="0" w:color="auto"/>
              <w:right w:val="single" w:sz="8" w:space="0" w:color="auto"/>
            </w:tcBorders>
            <w:noWrap/>
            <w:vAlign w:val="center"/>
          </w:tcPr>
          <w:p w:rsidR="009D7938" w:rsidRPr="00C2576A" w:rsidRDefault="009D7938" w:rsidP="00500830">
            <w:pPr>
              <w:jc w:val="center"/>
              <w:rPr>
                <w:sz w:val="20"/>
                <w:szCs w:val="20"/>
                <w:lang w:val="es-ES_tradnl"/>
              </w:rPr>
            </w:pPr>
            <w:r w:rsidRPr="00C2576A">
              <w:rPr>
                <w:sz w:val="20"/>
                <w:szCs w:val="20"/>
                <w:lang w:val="es-ES_tradnl"/>
              </w:rPr>
              <w:t>BID</w:t>
            </w:r>
          </w:p>
        </w:tc>
        <w:tc>
          <w:tcPr>
            <w:tcW w:w="948" w:type="dxa"/>
            <w:tcBorders>
              <w:top w:val="nil"/>
              <w:left w:val="nil"/>
              <w:bottom w:val="single" w:sz="4" w:space="0" w:color="auto"/>
              <w:right w:val="single" w:sz="8" w:space="0" w:color="auto"/>
            </w:tcBorders>
            <w:vAlign w:val="center"/>
          </w:tcPr>
          <w:p w:rsidR="009D7938" w:rsidRPr="00C2576A" w:rsidRDefault="009D7938" w:rsidP="009D7938">
            <w:pPr>
              <w:jc w:val="center"/>
              <w:rPr>
                <w:sz w:val="20"/>
                <w:szCs w:val="20"/>
                <w:lang w:val="es-ES_tradnl"/>
              </w:rPr>
            </w:pPr>
            <w:r w:rsidRPr="00C2576A">
              <w:rPr>
                <w:sz w:val="20"/>
                <w:szCs w:val="20"/>
                <w:lang w:val="es-ES_tradnl"/>
              </w:rPr>
              <w:t>2.</w:t>
            </w:r>
            <w:r>
              <w:rPr>
                <w:sz w:val="20"/>
                <w:szCs w:val="20"/>
                <w:lang w:val="es-ES_tradnl"/>
              </w:rPr>
              <w:t>5</w:t>
            </w:r>
            <w:r w:rsidRPr="00C2576A">
              <w:rPr>
                <w:sz w:val="20"/>
                <w:szCs w:val="20"/>
                <w:lang w:val="es-ES_tradnl"/>
              </w:rPr>
              <w:t>00</w:t>
            </w:r>
          </w:p>
        </w:tc>
        <w:tc>
          <w:tcPr>
            <w:tcW w:w="2880" w:type="dxa"/>
            <w:tcBorders>
              <w:top w:val="nil"/>
              <w:left w:val="nil"/>
              <w:bottom w:val="single" w:sz="4" w:space="0" w:color="auto"/>
              <w:right w:val="single" w:sz="8" w:space="0" w:color="auto"/>
            </w:tcBorders>
            <w:vAlign w:val="center"/>
          </w:tcPr>
          <w:p w:rsidR="009D7938" w:rsidRPr="00C2576A" w:rsidRDefault="009D7938" w:rsidP="00500830">
            <w:pPr>
              <w:jc w:val="center"/>
              <w:rPr>
                <w:sz w:val="20"/>
                <w:szCs w:val="20"/>
                <w:lang w:val="es-ES_tradnl"/>
              </w:rPr>
            </w:pPr>
            <w:r w:rsidRPr="00C2576A">
              <w:rPr>
                <w:sz w:val="20"/>
                <w:szCs w:val="20"/>
                <w:lang w:val="es-ES_tradnl"/>
              </w:rPr>
              <w:t xml:space="preserve">Presupuesto administrativo, planes de Supervisión del Banco </w:t>
            </w:r>
          </w:p>
        </w:tc>
      </w:tr>
      <w:tr w:rsidR="000652EF" w:rsidRPr="00C2576A" w:rsidTr="004B24A3">
        <w:trPr>
          <w:trHeight w:val="560"/>
          <w:jc w:val="center"/>
        </w:trPr>
        <w:tc>
          <w:tcPr>
            <w:tcW w:w="6739" w:type="dxa"/>
            <w:gridSpan w:val="10"/>
            <w:tcBorders>
              <w:top w:val="nil"/>
              <w:left w:val="single" w:sz="8" w:space="0" w:color="auto"/>
              <w:bottom w:val="single" w:sz="4" w:space="0" w:color="auto"/>
              <w:right w:val="single" w:sz="8" w:space="0" w:color="auto"/>
            </w:tcBorders>
          </w:tcPr>
          <w:p w:rsidR="000652EF" w:rsidRPr="00C2576A" w:rsidRDefault="000652EF" w:rsidP="009A4C21">
            <w:pPr>
              <w:jc w:val="right"/>
              <w:rPr>
                <w:sz w:val="20"/>
                <w:szCs w:val="20"/>
                <w:lang w:val="es-ES_tradnl"/>
              </w:rPr>
            </w:pPr>
            <w:r w:rsidRPr="00C2576A">
              <w:rPr>
                <w:sz w:val="20"/>
                <w:szCs w:val="20"/>
                <w:lang w:val="es-ES_tradnl"/>
              </w:rPr>
              <w:t>Costo Total</w:t>
            </w:r>
          </w:p>
        </w:tc>
        <w:tc>
          <w:tcPr>
            <w:tcW w:w="948" w:type="dxa"/>
            <w:tcBorders>
              <w:top w:val="nil"/>
              <w:left w:val="nil"/>
              <w:bottom w:val="single" w:sz="4" w:space="0" w:color="auto"/>
              <w:right w:val="single" w:sz="8" w:space="0" w:color="auto"/>
            </w:tcBorders>
            <w:vAlign w:val="center"/>
          </w:tcPr>
          <w:p w:rsidR="000652EF" w:rsidRPr="00C2576A" w:rsidRDefault="000652EF" w:rsidP="009D7938">
            <w:pPr>
              <w:jc w:val="center"/>
              <w:rPr>
                <w:sz w:val="20"/>
                <w:szCs w:val="20"/>
                <w:lang w:val="es-ES_tradnl"/>
              </w:rPr>
            </w:pPr>
            <w:r w:rsidRPr="00C2576A">
              <w:rPr>
                <w:sz w:val="20"/>
                <w:szCs w:val="20"/>
                <w:lang w:val="es-ES_tradnl"/>
              </w:rPr>
              <w:t>1</w:t>
            </w:r>
            <w:r w:rsidR="009D7938">
              <w:rPr>
                <w:sz w:val="20"/>
                <w:szCs w:val="20"/>
                <w:lang w:val="es-ES_tradnl"/>
              </w:rPr>
              <w:t>3</w:t>
            </w:r>
            <w:r w:rsidRPr="00C2576A">
              <w:rPr>
                <w:sz w:val="20"/>
                <w:szCs w:val="20"/>
                <w:lang w:val="es-ES_tradnl"/>
              </w:rPr>
              <w:t>.</w:t>
            </w:r>
            <w:r w:rsidR="009D7938">
              <w:rPr>
                <w:sz w:val="20"/>
                <w:szCs w:val="20"/>
                <w:lang w:val="es-ES_tradnl"/>
              </w:rPr>
              <w:t>5</w:t>
            </w:r>
            <w:r w:rsidRPr="00C2576A">
              <w:rPr>
                <w:sz w:val="20"/>
                <w:szCs w:val="20"/>
                <w:lang w:val="es-ES_tradnl"/>
              </w:rPr>
              <w:t>00</w:t>
            </w:r>
          </w:p>
        </w:tc>
        <w:tc>
          <w:tcPr>
            <w:tcW w:w="2880" w:type="dxa"/>
            <w:tcBorders>
              <w:top w:val="nil"/>
              <w:left w:val="nil"/>
              <w:bottom w:val="single" w:sz="4" w:space="0" w:color="auto"/>
              <w:right w:val="single" w:sz="8" w:space="0" w:color="auto"/>
            </w:tcBorders>
            <w:vAlign w:val="center"/>
          </w:tcPr>
          <w:p w:rsidR="000652EF" w:rsidRPr="00C2576A" w:rsidRDefault="000652EF" w:rsidP="003946F9">
            <w:pPr>
              <w:jc w:val="center"/>
              <w:rPr>
                <w:sz w:val="20"/>
                <w:szCs w:val="20"/>
                <w:lang w:val="es-ES_tradnl"/>
              </w:rPr>
            </w:pPr>
            <w:r w:rsidRPr="00C2576A">
              <w:rPr>
                <w:sz w:val="20"/>
                <w:szCs w:val="20"/>
                <w:lang w:val="es-ES_tradnl"/>
              </w:rPr>
              <w:t>Presupuesto administrativo, planes de Supervisión del Banco</w:t>
            </w:r>
          </w:p>
        </w:tc>
      </w:tr>
    </w:tbl>
    <w:p w:rsidR="00D70131" w:rsidRPr="00C2576A" w:rsidRDefault="00D70131" w:rsidP="00D70131">
      <w:pPr>
        <w:jc w:val="center"/>
        <w:rPr>
          <w:rFonts w:eastAsia="Times New Roman"/>
          <w:bCs/>
          <w:szCs w:val="20"/>
          <w:lang w:val="es-ES_tradnl"/>
        </w:rPr>
      </w:pPr>
    </w:p>
    <w:p w:rsidR="00EB7CE3" w:rsidRPr="00C2576A" w:rsidRDefault="00EB7CE3">
      <w:pPr>
        <w:jc w:val="left"/>
        <w:rPr>
          <w:rFonts w:eastAsia="Times New Roman"/>
          <w:bCs/>
          <w:szCs w:val="20"/>
          <w:lang w:val="es-ES_tradnl"/>
        </w:rPr>
      </w:pPr>
      <w:r w:rsidRPr="00C2576A">
        <w:rPr>
          <w:rFonts w:eastAsia="Times New Roman"/>
          <w:bCs/>
          <w:szCs w:val="20"/>
          <w:lang w:val="es-ES_tradnl"/>
        </w:rPr>
        <w:br w:type="page"/>
      </w:r>
      <w:r w:rsidR="00B27778" w:rsidRPr="00C2576A">
        <w:rPr>
          <w:rFonts w:eastAsia="Times New Roman"/>
          <w:bCs/>
          <w:szCs w:val="20"/>
          <w:lang w:val="es-ES_tradnl"/>
        </w:rPr>
        <w:lastRenderedPageBreak/>
        <w:t xml:space="preserve"> </w:t>
      </w:r>
    </w:p>
    <w:p w:rsidR="00EB7CE3" w:rsidRPr="00C2576A" w:rsidRDefault="009C583D" w:rsidP="00BF21D3">
      <w:pPr>
        <w:pStyle w:val="Heading1"/>
        <w:keepLines w:val="0"/>
        <w:numPr>
          <w:ilvl w:val="0"/>
          <w:numId w:val="7"/>
        </w:numPr>
        <w:spacing w:before="240" w:after="240"/>
        <w:jc w:val="center"/>
        <w:rPr>
          <w:rFonts w:eastAsia="Times New Roman"/>
          <w:bCs w:val="0"/>
          <w:color w:val="auto"/>
          <w:szCs w:val="20"/>
        </w:rPr>
      </w:pPr>
      <w:bookmarkStart w:id="9" w:name="_Toc360529037"/>
      <w:r w:rsidRPr="00C2576A">
        <w:rPr>
          <w:rFonts w:eastAsia="Times New Roman"/>
          <w:bCs w:val="0"/>
          <w:color w:val="auto"/>
          <w:szCs w:val="20"/>
        </w:rPr>
        <w:t>Evaluación</w:t>
      </w:r>
      <w:bookmarkEnd w:id="9"/>
    </w:p>
    <w:p w:rsidR="005B633F" w:rsidRPr="00C2576A" w:rsidRDefault="005B633F" w:rsidP="005B633F">
      <w:pPr>
        <w:pStyle w:val="21Paragraph"/>
        <w:ind w:left="720" w:hanging="720"/>
        <w:rPr>
          <w:rFonts w:ascii="Arial" w:hAnsi="Arial" w:cs="Arial"/>
          <w:sz w:val="22"/>
          <w:szCs w:val="22"/>
        </w:rPr>
      </w:pPr>
      <w:r w:rsidRPr="00C2576A">
        <w:rPr>
          <w:rFonts w:ascii="Arial" w:hAnsi="Arial" w:cs="Arial"/>
          <w:b/>
          <w:sz w:val="22"/>
          <w:szCs w:val="22"/>
        </w:rPr>
        <w:t>Estrategia de evaluación</w:t>
      </w:r>
      <w:r w:rsidRPr="00C2576A">
        <w:rPr>
          <w:rFonts w:ascii="Arial" w:hAnsi="Arial" w:cs="Arial"/>
          <w:sz w:val="22"/>
          <w:szCs w:val="22"/>
        </w:rPr>
        <w:t xml:space="preserve">. El programa abarca múltiples aspectos y objetivos, pero dada la importancia relativa de los componentes y elementos asociados al </w:t>
      </w:r>
      <w:r w:rsidRPr="00C2576A">
        <w:rPr>
          <w:rFonts w:ascii="Arial" w:hAnsi="Arial" w:cs="Arial"/>
          <w:bCs/>
          <w:iCs/>
          <w:sz w:val="22"/>
          <w:szCs w:val="22"/>
        </w:rPr>
        <w:t>funcionamiento</w:t>
      </w:r>
      <w:r w:rsidRPr="00C2576A">
        <w:rPr>
          <w:rFonts w:ascii="Arial" w:hAnsi="Arial" w:cs="Arial"/>
          <w:sz w:val="22"/>
          <w:szCs w:val="22"/>
        </w:rPr>
        <w:t xml:space="preserve"> del sistema financiero se opta para el proceso de evaluación por un modelo de equilibrio general que se enfoca en forma multidimensional en dicho sector.</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b/>
          <w:sz w:val="22"/>
          <w:szCs w:val="22"/>
        </w:rPr>
        <w:t>Consideraciones sobre la relación entre el desarrollo del sistema financiero y el crecimiento</w:t>
      </w:r>
      <w:r w:rsidRPr="00C2576A">
        <w:rPr>
          <w:rFonts w:ascii="Arial" w:hAnsi="Arial" w:cs="Arial"/>
          <w:sz w:val="22"/>
          <w:szCs w:val="22"/>
        </w:rPr>
        <w:t xml:space="preserve">. Uno de los aspectos que fundamentan y orientan las políticas apoyadas por el presente préstamo es la existencia de una relación causal entre la intermediación financiera y el crecimiento y la productividad. Un tratamiento riguroso de este problema se encuentra en Levine y otros (2000), que evalúa si el componente exógeno del desarrollo de intermediación financiera afecta el crecimiento económico; adicionalmente,  dicho trabajo también explora el impacto de elementos tales como la protección de acreedores, ejecutabilidad de contratos,  y estándares contables  impacto sobre el nivel de desarrollo financiero (el estudio encuentra evidencia a favor de dichas hipótesis). Una pregunta similar es explorada por Rajan y Zingales (1998), quienes exploran el efecto de cambios exógenos en  la disponibilidad de crédito y el crecimiento de sectores industriales, encontrando evidencia de que el desarrollo financiero tiene un efecto significativo sobre el crecimiento. En otro estudio  relacionado, Beck y otros (2008)  exploran nuevamente la relación crédito-crecimiento y encuentra, en particular, que el efecto del desarrollo  financiero es particularmente importante para las pequeñas empresas. Finalmente, dentro de la literatura que explora los efectos del desarrollo financiero sobre el crecimiento, cabe citar a Greenwood y otros (2012), quienes exploran los efectos de una mayor eficiencia de intermediación sobre el crecimiento calibrando un modelo de equilibrio general; en este caso, los resultados nuevamente señalan una relación positiva. </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b/>
          <w:sz w:val="22"/>
          <w:szCs w:val="22"/>
        </w:rPr>
        <w:t>Consideraciones sobre los modelos de equilibrio general para el estudio de reformas que afectan al sector financiero</w:t>
      </w:r>
      <w:r w:rsidRPr="00C2576A">
        <w:rPr>
          <w:rFonts w:ascii="Arial" w:hAnsi="Arial" w:cs="Arial"/>
          <w:sz w:val="22"/>
          <w:szCs w:val="22"/>
        </w:rPr>
        <w:t>.</w:t>
      </w:r>
      <w:r w:rsidRPr="00C2576A">
        <w:rPr>
          <w:rFonts w:ascii="Arial" w:hAnsi="Arial" w:cs="Arial"/>
          <w:b/>
          <w:sz w:val="22"/>
          <w:szCs w:val="22"/>
        </w:rPr>
        <w:t xml:space="preserve"> </w:t>
      </w:r>
      <w:r w:rsidRPr="00C2576A">
        <w:rPr>
          <w:rFonts w:ascii="Arial" w:hAnsi="Arial" w:cs="Arial"/>
          <w:sz w:val="22"/>
          <w:szCs w:val="22"/>
        </w:rPr>
        <w:t>Dadas las restricciones que presentan métodos de evaluación más adecuados para llevar adelante evaluaciones de carácter microeconómico, una alternativa plausible y utilizada en la literatura consiste en la calibración de modelos de equilibrio general computado. Este enfoque ha sido utilizado en varios estudios para evaluar el impacto sobre el sector real de la economía luego de cambios que afectan al sistema financiero. En esta línea Buera et al. (2011)</w:t>
      </w:r>
      <w:r w:rsidRPr="00C2576A">
        <w:rPr>
          <w:rStyle w:val="FootnoteReference"/>
          <w:rFonts w:ascii="Arial" w:hAnsi="Arial" w:cs="Arial"/>
          <w:sz w:val="22"/>
          <w:szCs w:val="22"/>
        </w:rPr>
        <w:footnoteReference w:id="5"/>
      </w:r>
      <w:r w:rsidRPr="00C2576A">
        <w:rPr>
          <w:rFonts w:ascii="Arial" w:hAnsi="Arial" w:cs="Arial"/>
          <w:sz w:val="22"/>
          <w:szCs w:val="22"/>
        </w:rPr>
        <w:t xml:space="preserve"> proponen y calibran un modelo con dos sectores que difieren por la presencia de costos fijos afectando la escala de operación de las empresas, en el cual exploran los efectos de fricciones financieras y desarrollo financiero sobre TFP, y logran replicar en una gran proporción la distribución observada entre productividad y desarrollo financiero. Por otra parte, Greenwood et al. (2013)</w:t>
      </w:r>
      <w:r w:rsidRPr="00C2576A">
        <w:rPr>
          <w:rStyle w:val="FootnoteReference"/>
          <w:rFonts w:ascii="Arial" w:hAnsi="Arial" w:cs="Arial"/>
          <w:sz w:val="22"/>
          <w:szCs w:val="22"/>
        </w:rPr>
        <w:footnoteReference w:id="6"/>
      </w:r>
      <w:r w:rsidRPr="00C2576A">
        <w:rPr>
          <w:rFonts w:ascii="Arial" w:hAnsi="Arial" w:cs="Arial"/>
          <w:sz w:val="22"/>
          <w:szCs w:val="22"/>
        </w:rPr>
        <w:t xml:space="preserve"> exploran la importancia de </w:t>
      </w:r>
      <w:r w:rsidRPr="00C2576A">
        <w:rPr>
          <w:rFonts w:ascii="Arial" w:hAnsi="Arial" w:cs="Arial"/>
          <w:sz w:val="22"/>
          <w:szCs w:val="22"/>
        </w:rPr>
        <w:lastRenderedPageBreak/>
        <w:t>cambios que afectan la eficiencia del sector financiero sobre el desarrollo de la economía real también llevando adelante la calibración de un modelo de equilibrio general; los resultados de este ejercicio se encuentra conceptualmente alineados con los de Buera et al. (2011), ya que lograr establecer una relación de causalidad que explica en una alta proporción las disparidades observadas en TFP en función de los niveles de eficiencia del sistema financiero. A su vez, D’Erasmo y Moscoso Boedo también exploran el impacto de imperfecciones en los mercados financieros en un contexto de dualidad (empresas operando en sectores formales e informales). El aspecto considerado en este caso es el costo de recuperación (junto con barreras a la entrada y la estructura impositiva), y los resultados obtenidos indican que la presencia de este tipo de distorsiones son cuantitativamente importantes para explicar cambios en la productividad total de los factores.</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b/>
          <w:sz w:val="22"/>
          <w:szCs w:val="22"/>
        </w:rPr>
        <w:t>Consideraciones sobre la relación del modelo con las políticas implementadas</w:t>
      </w:r>
      <w:r w:rsidRPr="00C2576A">
        <w:rPr>
          <w:rFonts w:ascii="Arial" w:hAnsi="Arial" w:cs="Arial"/>
          <w:sz w:val="22"/>
          <w:szCs w:val="22"/>
        </w:rPr>
        <w:t xml:space="preserve">. Cabe notar aquí que el programa bajo consideración es complejo tanto por su diseño como por las diversas áreas que se ven involucradas en el mismo. El modelo propuesto para llevar adelante la evaluación, al igual que todo modelo, involucra un alto grado de agregación que impide el establecimiento de impactos individuales para todas y cada una de las políticas e intervenciones detalladas en la </w:t>
      </w:r>
      <w:hyperlink r:id="rId14" w:history="1">
        <w:r w:rsidRPr="00A60138">
          <w:rPr>
            <w:rStyle w:val="Hyperlink"/>
            <w:rFonts w:ascii="Arial" w:hAnsi="Arial" w:cs="Arial"/>
            <w:sz w:val="22"/>
            <w:szCs w:val="22"/>
          </w:rPr>
          <w:t>Matriz de Políticas</w:t>
        </w:r>
      </w:hyperlink>
      <w:r w:rsidRPr="00C2576A">
        <w:rPr>
          <w:rFonts w:ascii="Arial" w:hAnsi="Arial" w:cs="Arial"/>
          <w:sz w:val="22"/>
          <w:szCs w:val="22"/>
        </w:rPr>
        <w:t xml:space="preserve">. Como es sabido, esta limitación es inevitable en cualquier estrategia de análisis cuantitativo para este tipo de intervenciones. Sin embargo, se considera que el modelo que se plantea para llevar adelante la evaluación del programa presenta un adecuado nivel de descomposición de los canales de transmisión del proceso de desarrollo y profundización financiera tal que es posible plantear una relación entre las políticas planteadas y los parámetros de referencia del modelo. </w:t>
      </w:r>
    </w:p>
    <w:p w:rsidR="005B633F" w:rsidRPr="00C2576A" w:rsidRDefault="007B07CA" w:rsidP="0086790A">
      <w:pPr>
        <w:pStyle w:val="FirstHeading"/>
        <w:keepNext/>
        <w:numPr>
          <w:ilvl w:val="0"/>
          <w:numId w:val="19"/>
        </w:numPr>
        <w:jc w:val="left"/>
        <w:rPr>
          <w:rFonts w:ascii="Arial" w:hAnsi="Arial"/>
          <w:b/>
          <w:sz w:val="22"/>
          <w:szCs w:val="22"/>
          <w:lang w:val="es-ES_tradnl"/>
        </w:rPr>
      </w:pPr>
      <w:r w:rsidRPr="00C2576A">
        <w:rPr>
          <w:rFonts w:ascii="Arial" w:hAnsi="Arial"/>
          <w:b/>
          <w:sz w:val="22"/>
          <w:szCs w:val="22"/>
        </w:rPr>
        <w:t>A</w:t>
      </w:r>
      <w:r w:rsidR="005B633F" w:rsidRPr="00C2576A">
        <w:rPr>
          <w:rFonts w:ascii="Arial" w:hAnsi="Arial"/>
          <w:b/>
          <w:sz w:val="22"/>
          <w:szCs w:val="22"/>
        </w:rPr>
        <w:t>.</w:t>
      </w:r>
      <w:r w:rsidR="005B633F" w:rsidRPr="00C2576A">
        <w:rPr>
          <w:rFonts w:ascii="Arial" w:hAnsi="Arial"/>
          <w:b/>
          <w:sz w:val="22"/>
          <w:szCs w:val="22"/>
        </w:rPr>
        <w:tab/>
        <w:t>Caracterización y discusión del modelo planteado para la evaluación del programa</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sz w:val="22"/>
          <w:szCs w:val="22"/>
        </w:rPr>
        <w:t xml:space="preserve">Hechas estas consideraciones sobre la utilización de modelos de equilibrio general para aproximar el impacto en productividad de cambios en el sistema financiero, se procede a continuación a discutir en mayor detalle el modelo a utilizar para el proceso de evaluación que buscará establecer el impacto en productividad que puede asociarse a los cambios resultantes de las reformas apoyadas por este programa. </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b/>
          <w:sz w:val="22"/>
          <w:szCs w:val="22"/>
        </w:rPr>
        <w:t>Modelo de referencia</w:t>
      </w:r>
      <w:r w:rsidRPr="00C2576A">
        <w:rPr>
          <w:rFonts w:ascii="Arial" w:hAnsi="Arial" w:cs="Arial"/>
          <w:sz w:val="22"/>
          <w:szCs w:val="22"/>
        </w:rPr>
        <w:t>. El modelo de referencia es el presentado en Karpowicz (2014)</w:t>
      </w:r>
      <w:r w:rsidRPr="00C2576A">
        <w:rPr>
          <w:rStyle w:val="FootnoteReference"/>
          <w:rFonts w:ascii="Arial" w:hAnsi="Arial" w:cs="Arial"/>
          <w:sz w:val="22"/>
          <w:szCs w:val="22"/>
        </w:rPr>
        <w:footnoteReference w:id="7"/>
      </w:r>
      <w:r w:rsidRPr="00C2576A">
        <w:rPr>
          <w:rFonts w:ascii="Arial" w:hAnsi="Arial" w:cs="Arial"/>
          <w:sz w:val="22"/>
          <w:szCs w:val="22"/>
        </w:rPr>
        <w:t>, que es a su vez el modelo utilizado en Dabla-Norris y otros (2014)</w:t>
      </w:r>
      <w:r w:rsidRPr="00C2576A">
        <w:rPr>
          <w:rStyle w:val="FootnoteReference"/>
          <w:rFonts w:ascii="Arial" w:hAnsi="Arial" w:cs="Arial"/>
          <w:sz w:val="22"/>
          <w:szCs w:val="22"/>
        </w:rPr>
        <w:footnoteReference w:id="8"/>
      </w:r>
      <w:r w:rsidRPr="00C2576A">
        <w:rPr>
          <w:rFonts w:ascii="Arial" w:hAnsi="Arial" w:cs="Arial"/>
          <w:sz w:val="22"/>
          <w:szCs w:val="22"/>
        </w:rPr>
        <w:t xml:space="preserve"> luego publicado como documento de trabajo del Fondo Monetario Internacional (Dabla-Norris y otros, 2015</w:t>
      </w:r>
      <w:r w:rsidRPr="00C2576A">
        <w:rPr>
          <w:rStyle w:val="FootnoteReference"/>
          <w:rFonts w:ascii="Arial" w:hAnsi="Arial" w:cs="Arial"/>
          <w:sz w:val="22"/>
          <w:szCs w:val="22"/>
        </w:rPr>
        <w:footnoteReference w:id="9"/>
      </w:r>
      <w:r w:rsidRPr="00C2576A">
        <w:rPr>
          <w:rFonts w:ascii="Arial" w:hAnsi="Arial" w:cs="Arial"/>
          <w:sz w:val="22"/>
          <w:szCs w:val="22"/>
        </w:rPr>
        <w:t xml:space="preserve">). En los tres casos, el modelo subyacente es el mismo siendo en Dabla-Norris y otros (2014, 2015) calibrado para Uganda, Kenia, Mozambique, Malasia, Filipinas, y Egipto, en tanto que Karpowicz (2014) replica el modelo calibrándolo para Colombia. Cabe notarse que el modelo ha </w:t>
      </w:r>
      <w:r w:rsidRPr="00C2576A">
        <w:rPr>
          <w:rFonts w:ascii="Arial" w:hAnsi="Arial" w:cs="Arial"/>
          <w:sz w:val="22"/>
          <w:szCs w:val="22"/>
        </w:rPr>
        <w:lastRenderedPageBreak/>
        <w:t>sido calibrado para un amplio número de países en desarrollo. En particular, el modelo ya ha sido calibrado también para Nicaragua lo cual clarifica la factibilidad de calibrarlo nuevamente con datos actualizados.</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b/>
          <w:sz w:val="22"/>
          <w:szCs w:val="22"/>
        </w:rPr>
        <w:t>Descripción del modelo</w:t>
      </w:r>
      <w:r w:rsidRPr="00C2576A">
        <w:rPr>
          <w:rStyle w:val="FootnoteReference"/>
          <w:rFonts w:ascii="Arial" w:hAnsi="Arial" w:cs="Arial"/>
          <w:b/>
          <w:sz w:val="22"/>
          <w:szCs w:val="22"/>
        </w:rPr>
        <w:footnoteReference w:id="10"/>
      </w:r>
      <w:r w:rsidRPr="00C2576A">
        <w:rPr>
          <w:rFonts w:ascii="Arial" w:hAnsi="Arial" w:cs="Arial"/>
          <w:sz w:val="22"/>
          <w:szCs w:val="22"/>
        </w:rPr>
        <w:t>. Se presenta aquí una descripción general del modelo utilizado para generar las imputaciones de este anexo (el modelo se discute en más detalle en el anexo ME.I). Tal como se discute en Dabla-Norris y otros (2014), el modelo se enfoca en tres dimensiones de profundización financiera: Alcance, profundidad, y eficiencia</w:t>
      </w:r>
      <w:r w:rsidRPr="00C2576A">
        <w:rPr>
          <w:rStyle w:val="FootnoteReference"/>
          <w:rFonts w:ascii="Arial" w:hAnsi="Arial" w:cs="Arial"/>
          <w:sz w:val="22"/>
          <w:szCs w:val="22"/>
        </w:rPr>
        <w:footnoteReference w:id="11"/>
      </w:r>
      <w:r w:rsidRPr="00C2576A">
        <w:rPr>
          <w:rFonts w:ascii="Arial" w:hAnsi="Arial" w:cs="Arial"/>
          <w:sz w:val="22"/>
          <w:szCs w:val="22"/>
        </w:rPr>
        <w:t>. Se trata de un modelo microfundado, de agentes heterogéneos en cuanto a la distribución de riqueza y talento, que pueden elegir entre dos actividades (asalariado o emprendedor). Existen dos regímenes, uno con crédito y otro sólo con ahorros. Los agentes en el régimen de ahorro, al cual se accede sin costo, no pueden endeudarse. Para pasar al régimen de crédito los agentes deben pagar un costo de participación. Una vez en el régimen de crédito, el total del crédito al que pueden acceder está limitado por la disponibilidad de activos para servir de garantía. Adicionalmente existen costos de monitoreo que afectan las condiciones de préstamo. Así, se trata entonces de un modelo de desarrollo financiero en el cual existen tres dimensiones: alcance, profundidad, y eficiencia. El contenido de estos conceptos y su relación con las políticas implementadas se discuten en el siguiente párrafo.</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b/>
          <w:sz w:val="22"/>
          <w:szCs w:val="22"/>
        </w:rPr>
        <w:t>Parámetros de política y relación con el programa</w:t>
      </w:r>
      <w:r w:rsidRPr="00C2576A">
        <w:rPr>
          <w:rFonts w:ascii="Arial" w:hAnsi="Arial" w:cs="Arial"/>
          <w:sz w:val="22"/>
          <w:szCs w:val="22"/>
        </w:rPr>
        <w:t>. Tal como se discute en Dabla-Norris y otros (2014), el modelo se enfoca en tres dimensiones de profundización financiera: Alcance, profundidad, y eficiencia Así, se trata entonces de un modelo de desarrollo financiero que captura la importancia de estas variables. En lo que sigue se detallan entonces estos concepto y, en particular, se traza un paralelismo con las políticas apoyadas</w:t>
      </w:r>
      <w:r w:rsidRPr="00C2576A">
        <w:rPr>
          <w:rStyle w:val="FootnoteReference"/>
          <w:rFonts w:ascii="Arial" w:hAnsi="Arial" w:cs="Arial"/>
          <w:sz w:val="22"/>
          <w:szCs w:val="22"/>
        </w:rPr>
        <w:footnoteReference w:id="12"/>
      </w:r>
      <w:r w:rsidRPr="00C2576A">
        <w:rPr>
          <w:rFonts w:ascii="Arial" w:hAnsi="Arial" w:cs="Arial"/>
          <w:sz w:val="22"/>
          <w:szCs w:val="22"/>
        </w:rPr>
        <w:t>:</w:t>
      </w:r>
    </w:p>
    <w:p w:rsidR="005B633F" w:rsidRPr="00C2576A" w:rsidRDefault="005B633F" w:rsidP="0086790A">
      <w:pPr>
        <w:pStyle w:val="subpar"/>
        <w:numPr>
          <w:ilvl w:val="2"/>
          <w:numId w:val="20"/>
        </w:numPr>
        <w:tabs>
          <w:tab w:val="clear" w:pos="2304"/>
        </w:tabs>
        <w:ind w:left="1152"/>
        <w:rPr>
          <w:rFonts w:ascii="Arial" w:eastAsiaTheme="minorEastAsia" w:hAnsi="Arial"/>
          <w:b w:val="0"/>
          <w:sz w:val="22"/>
          <w:szCs w:val="22"/>
        </w:rPr>
      </w:pPr>
      <w:r w:rsidRPr="00C2576A">
        <w:rPr>
          <w:rFonts w:ascii="Arial" w:hAnsi="Arial"/>
          <w:b w:val="0"/>
          <w:sz w:val="22"/>
          <w:szCs w:val="22"/>
        </w:rPr>
        <w:t xml:space="preserve">Alcance (“reach”) apunta a que participar en transacciones del sistema financiero involucra costos, los cuales según varíen afectan el nivel de participación de los agentes en procesos de intermediación financiera. Estos costos de transacción son capturados en el modelo con el parámetro </w:t>
      </w:r>
      <m:oMath>
        <m:r>
          <m:rPr>
            <m:sty m:val="bi"/>
          </m:rPr>
          <w:rPr>
            <w:rFonts w:ascii="Cambria Math" w:hAnsi="Cambria Math"/>
            <w:sz w:val="22"/>
            <w:szCs w:val="22"/>
          </w:rPr>
          <m:t>ψ</m:t>
        </m:r>
        <m:r>
          <w:rPr>
            <w:rStyle w:val="FootnoteReference"/>
            <w:rFonts w:ascii="Cambria Math" w:hAnsi="Cambria Math"/>
            <w:b w:val="0"/>
            <w:i/>
            <w:sz w:val="22"/>
            <w:szCs w:val="22"/>
          </w:rPr>
          <w:footnoteReference w:id="13"/>
        </m:r>
      </m:oMath>
      <w:r w:rsidRPr="00C2576A">
        <w:rPr>
          <w:rFonts w:ascii="Arial" w:eastAsiaTheme="minorEastAsia" w:hAnsi="Arial"/>
          <w:b w:val="0"/>
          <w:sz w:val="22"/>
          <w:szCs w:val="22"/>
        </w:rPr>
        <w:t>.</w:t>
      </w:r>
    </w:p>
    <w:p w:rsidR="005B633F" w:rsidRPr="00C2576A" w:rsidRDefault="005B633F" w:rsidP="0086790A">
      <w:pPr>
        <w:pStyle w:val="subpar"/>
        <w:numPr>
          <w:ilvl w:val="2"/>
          <w:numId w:val="20"/>
        </w:numPr>
        <w:tabs>
          <w:tab w:val="clear" w:pos="2304"/>
        </w:tabs>
        <w:ind w:left="1152"/>
        <w:rPr>
          <w:rFonts w:ascii="Arial" w:hAnsi="Arial"/>
          <w:b w:val="0"/>
          <w:sz w:val="22"/>
          <w:szCs w:val="22"/>
        </w:rPr>
      </w:pPr>
      <w:r w:rsidRPr="00C2576A">
        <w:rPr>
          <w:rFonts w:ascii="Arial" w:hAnsi="Arial"/>
          <w:b w:val="0"/>
          <w:sz w:val="22"/>
          <w:szCs w:val="22"/>
        </w:rPr>
        <w:t xml:space="preserve">Profundidad (“depth”) refiere a que una vez superados los costos de participación, existen otros elementos que determinan el grado en el que se participa de los procesos de intermediación. Estos elementos son capturados en el modelo por el parámetro </w:t>
      </w:r>
      <m:oMath>
        <m:r>
          <m:rPr>
            <m:sty m:val="bi"/>
          </m:rPr>
          <w:rPr>
            <w:rFonts w:ascii="Cambria Math" w:hAnsi="Cambria Math"/>
            <w:sz w:val="22"/>
            <w:szCs w:val="22"/>
          </w:rPr>
          <m:t>λ</m:t>
        </m:r>
      </m:oMath>
      <w:r w:rsidRPr="00C2576A">
        <w:rPr>
          <w:rFonts w:ascii="Arial" w:eastAsiaTheme="minorEastAsia" w:hAnsi="Arial"/>
          <w:b w:val="0"/>
          <w:sz w:val="22"/>
          <w:szCs w:val="22"/>
        </w:rPr>
        <w:t xml:space="preserve"> (dónde un valor más alto representa una relajación de las restricciones, y un valor de </w:t>
      </w:r>
      <m:oMath>
        <m:r>
          <m:rPr>
            <m:sty m:val="bi"/>
          </m:rPr>
          <w:rPr>
            <w:rFonts w:ascii="Cambria Math" w:eastAsiaTheme="minorEastAsia" w:hAnsi="Cambria Math"/>
            <w:sz w:val="22"/>
            <w:szCs w:val="22"/>
          </w:rPr>
          <m:t>λ=1</m:t>
        </m:r>
      </m:oMath>
      <w:r w:rsidRPr="00C2576A">
        <w:rPr>
          <w:rFonts w:ascii="Arial" w:eastAsiaTheme="minorEastAsia" w:hAnsi="Arial"/>
          <w:b w:val="0"/>
          <w:sz w:val="22"/>
          <w:szCs w:val="22"/>
        </w:rPr>
        <w:t xml:space="preserve"> sería un extremo en el cual emprendedores con proyectos viables no pueden endeudarse). Como se discutió en el anexo de análisis económico, las reformas no están centradas en este componente y dado que solo tendrían un efecto indirecto y marginal.</w:t>
      </w:r>
    </w:p>
    <w:p w:rsidR="005B633F" w:rsidRPr="00C2576A" w:rsidRDefault="005B633F" w:rsidP="0086790A">
      <w:pPr>
        <w:pStyle w:val="subpar"/>
        <w:numPr>
          <w:ilvl w:val="2"/>
          <w:numId w:val="20"/>
        </w:numPr>
        <w:tabs>
          <w:tab w:val="clear" w:pos="2304"/>
        </w:tabs>
        <w:ind w:left="1152"/>
        <w:rPr>
          <w:rFonts w:ascii="Arial" w:hAnsi="Arial"/>
          <w:b w:val="0"/>
          <w:sz w:val="22"/>
          <w:szCs w:val="22"/>
        </w:rPr>
      </w:pPr>
      <w:r w:rsidRPr="00C2576A">
        <w:rPr>
          <w:rFonts w:ascii="Arial" w:hAnsi="Arial"/>
          <w:b w:val="0"/>
          <w:sz w:val="22"/>
          <w:szCs w:val="22"/>
        </w:rPr>
        <w:lastRenderedPageBreak/>
        <w:t xml:space="preserve">Eficiencia refiere a que resolver los problemas emergentes de la distribución asimétrica de información entre deudores y acreedores es costoso. Dicho de otra forma, realizar actividades de intermediación financiera es costoso porque involucra realizar actividades de verificación y monitoreo. En particular, el modelo en consideración traslada estos costos de intermediación al costo de financiamiento. El parámetro que captura los costos y la eficiencia de intermediación es </w:t>
      </w:r>
      <m:oMath>
        <m:r>
          <m:rPr>
            <m:sty m:val="bi"/>
          </m:rPr>
          <w:rPr>
            <w:rFonts w:ascii="Cambria Math" w:hAnsi="Cambria Math"/>
            <w:sz w:val="22"/>
            <w:szCs w:val="22"/>
          </w:rPr>
          <m:t>χ</m:t>
        </m:r>
      </m:oMath>
      <w:r w:rsidRPr="00C2576A">
        <w:rPr>
          <w:rFonts w:ascii="Arial" w:eastAsiaTheme="minorEastAsia" w:hAnsi="Arial"/>
          <w:b w:val="0"/>
          <w:sz w:val="22"/>
          <w:szCs w:val="22"/>
        </w:rPr>
        <w:t xml:space="preserve"> (el cual es proporcional a la escala del proyecto</w:t>
      </w:r>
      <m:oMath>
        <m:r>
          <w:rPr>
            <w:rStyle w:val="FootnoteReference"/>
            <w:rFonts w:ascii="Cambria Math" w:hAnsi="Cambria Math"/>
            <w:b w:val="0"/>
            <w:i/>
            <w:sz w:val="22"/>
            <w:szCs w:val="22"/>
          </w:rPr>
          <w:footnoteReference w:id="14"/>
        </m:r>
      </m:oMath>
      <w:r w:rsidRPr="00C2576A">
        <w:rPr>
          <w:rFonts w:ascii="Arial" w:eastAsiaTheme="minorEastAsia" w:hAnsi="Arial"/>
          <w:b w:val="0"/>
          <w:sz w:val="22"/>
          <w:szCs w:val="22"/>
        </w:rPr>
        <w:t xml:space="preserve">. </w:t>
      </w:r>
    </w:p>
    <w:p w:rsidR="005B633F" w:rsidRPr="00C2576A" w:rsidRDefault="00B17BD0" w:rsidP="0086790A">
      <w:pPr>
        <w:pStyle w:val="FirstHeading"/>
        <w:keepNext/>
        <w:numPr>
          <w:ilvl w:val="0"/>
          <w:numId w:val="19"/>
        </w:numPr>
        <w:jc w:val="left"/>
        <w:rPr>
          <w:rFonts w:ascii="Arial" w:hAnsi="Arial"/>
          <w:b/>
          <w:sz w:val="22"/>
          <w:szCs w:val="22"/>
          <w:lang w:val="es-ES_tradnl"/>
        </w:rPr>
      </w:pPr>
      <w:r w:rsidRPr="00C2576A">
        <w:rPr>
          <w:rFonts w:ascii="Arial" w:hAnsi="Arial"/>
          <w:b/>
          <w:sz w:val="22"/>
          <w:szCs w:val="22"/>
        </w:rPr>
        <w:t>B</w:t>
      </w:r>
      <w:r w:rsidR="005B633F" w:rsidRPr="00C2576A">
        <w:rPr>
          <w:rFonts w:ascii="Arial" w:hAnsi="Arial"/>
          <w:b/>
          <w:sz w:val="22"/>
          <w:szCs w:val="22"/>
        </w:rPr>
        <w:t>.</w:t>
      </w:r>
      <w:r w:rsidR="005B633F" w:rsidRPr="00C2576A">
        <w:rPr>
          <w:rFonts w:ascii="Arial" w:hAnsi="Arial"/>
          <w:b/>
          <w:sz w:val="22"/>
          <w:szCs w:val="22"/>
        </w:rPr>
        <w:tab/>
      </w:r>
      <w:r w:rsidR="005B633F" w:rsidRPr="00C2576A">
        <w:rPr>
          <w:rFonts w:ascii="Arial" w:hAnsi="Arial"/>
          <w:b/>
          <w:sz w:val="22"/>
          <w:szCs w:val="22"/>
          <w:lang w:val="es-ES_tradnl"/>
        </w:rPr>
        <w:t>Calibración y fuentes de información</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b/>
          <w:sz w:val="22"/>
          <w:szCs w:val="22"/>
        </w:rPr>
        <w:t>Ajuste y caracterización situación pre-intervención</w:t>
      </w:r>
      <w:r w:rsidRPr="00C2576A">
        <w:rPr>
          <w:rFonts w:ascii="Arial" w:hAnsi="Arial" w:cs="Arial"/>
          <w:sz w:val="22"/>
          <w:szCs w:val="22"/>
        </w:rPr>
        <w:t>. Dos elementos que típicamente generan incertidumbre al momento de plantear la utilización de modelos de equilibrio general para la evaluación de política son la existencia de datos adecuados y la cercanía de los momentos calibrados a los observados. En este sentido cabe notar que el modelo propuesto ha sido calibrado exitosamente para países tales como Colombia, Malasia, Filipinas, Egipto, Uganda, Kenia, Mozambique, Uruguay, Honduras, Nicaragua, El Salvador, y también en particular para Nicaragua por los equipos técnicos del FMI (quienes cedieron los resultados de estas calibraciones al equipo de CMF</w:t>
      </w:r>
      <w:r w:rsidR="008D2880" w:rsidRPr="00C2576A">
        <w:rPr>
          <w:rStyle w:val="FootnoteReference"/>
          <w:rFonts w:ascii="Arial" w:hAnsi="Arial" w:cs="Arial"/>
          <w:sz w:val="22"/>
          <w:szCs w:val="22"/>
        </w:rPr>
        <w:footnoteReference w:id="15"/>
      </w:r>
      <w:r w:rsidRPr="00C2576A">
        <w:rPr>
          <w:rFonts w:ascii="Arial" w:hAnsi="Arial" w:cs="Arial"/>
          <w:sz w:val="22"/>
          <w:szCs w:val="22"/>
        </w:rPr>
        <w:t xml:space="preserve">). Esto asegura que es posible contar con datos para caracterizar la situación y calibrar el modelo para la situación pre-reforma de políticas. </w:t>
      </w:r>
    </w:p>
    <w:p w:rsidR="005B633F" w:rsidRPr="00C2576A" w:rsidRDefault="005B633F" w:rsidP="00664CBA">
      <w:pPr>
        <w:pStyle w:val="21Paragraph"/>
        <w:ind w:left="720" w:hanging="720"/>
        <w:rPr>
          <w:rFonts w:ascii="Arial" w:hAnsi="Arial" w:cs="Arial"/>
          <w:sz w:val="22"/>
          <w:szCs w:val="22"/>
        </w:rPr>
      </w:pPr>
      <w:r w:rsidRPr="00C2576A">
        <w:rPr>
          <w:rFonts w:ascii="Arial" w:hAnsi="Arial" w:cs="Arial"/>
          <w:b/>
          <w:sz w:val="22"/>
          <w:szCs w:val="22"/>
        </w:rPr>
        <w:t>Fuente de datos</w:t>
      </w:r>
      <w:r w:rsidRPr="00C2576A">
        <w:rPr>
          <w:rFonts w:ascii="Arial" w:hAnsi="Arial" w:cs="Arial"/>
          <w:sz w:val="22"/>
          <w:szCs w:val="22"/>
        </w:rPr>
        <w:t>. La calibración del modelo a los países mencionados es típicamente realizada con datos del World Bank Enterprise Survey (ES) y World Development Indicators (WDI), y parámetros utilizados en modelos similares</w:t>
      </w:r>
      <w:r w:rsidR="00003CFB" w:rsidRPr="00C2576A">
        <w:rPr>
          <w:rFonts w:ascii="Arial" w:hAnsi="Arial" w:cs="Arial"/>
          <w:sz w:val="22"/>
          <w:szCs w:val="22"/>
        </w:rPr>
        <w:t xml:space="preserve"> con los que ya se cuenta a partir de la colaboración realizada entre CMF y IMF-MIT que resultó en contar con los modelos y parametrizaciones de dichos modelos</w:t>
      </w:r>
      <w:r w:rsidRPr="00C2576A">
        <w:rPr>
          <w:rFonts w:ascii="Arial" w:hAnsi="Arial" w:cs="Arial"/>
          <w:sz w:val="22"/>
          <w:szCs w:val="22"/>
        </w:rPr>
        <w:t>. Los datos del WDI se publican anualmente y son de disponibilidad pública. Los datos del ES son accesibles mediante una pedido administrativo. En lo que hace a la disponibilidad de datos más cercanos al punto de intervención y posteriores,</w:t>
      </w:r>
      <w:r w:rsidR="00C251BD">
        <w:rPr>
          <w:rFonts w:ascii="Arial" w:hAnsi="Arial" w:cs="Arial"/>
          <w:sz w:val="22"/>
          <w:szCs w:val="22"/>
        </w:rPr>
        <w:t xml:space="preserve"> dicha encuesta se realiza típicamente </w:t>
      </w:r>
      <w:r w:rsidR="004B3DE9">
        <w:rPr>
          <w:rFonts w:ascii="Arial" w:hAnsi="Arial" w:cs="Arial"/>
          <w:sz w:val="22"/>
          <w:szCs w:val="22"/>
        </w:rPr>
        <w:t>cada 5 años, con lo cual dada la información actual, la ES correspondiente al período post-implementación de las reformas estaría relevando información correspondiente al año 2021</w:t>
      </w:r>
      <w:r w:rsidR="00664CBA">
        <w:rPr>
          <w:rFonts w:ascii="Arial" w:hAnsi="Arial" w:cs="Arial"/>
          <w:sz w:val="22"/>
          <w:szCs w:val="22"/>
        </w:rPr>
        <w:t>/22.</w:t>
      </w:r>
      <w:r w:rsidR="005A089E">
        <w:rPr>
          <w:rFonts w:ascii="Arial" w:hAnsi="Arial" w:cs="Arial"/>
          <w:sz w:val="22"/>
          <w:szCs w:val="22"/>
        </w:rPr>
        <w:t xml:space="preserve"> E</w:t>
      </w:r>
      <w:r w:rsidR="00FA0233">
        <w:rPr>
          <w:rFonts w:ascii="Arial" w:hAnsi="Arial" w:cs="Arial"/>
          <w:sz w:val="22"/>
          <w:szCs w:val="22"/>
        </w:rPr>
        <w:t>n este punto cabe mencionar que el BID y el BM se encuentra en un proceso de colaboración para asegurar la disponibilidad de información (realización de las encuestas del ES) para los países de interés del BID, con lo cual se considera que la no disponibilidad de esta información es de bajo riesgo</w:t>
      </w:r>
      <w:r w:rsidR="00A61898">
        <w:rPr>
          <w:rStyle w:val="FootnoteReference"/>
          <w:rFonts w:ascii="Arial" w:hAnsi="Arial" w:cs="Arial"/>
          <w:sz w:val="22"/>
          <w:szCs w:val="22"/>
        </w:rPr>
        <w:footnoteReference w:id="16"/>
      </w:r>
      <w:r w:rsidR="00FA0233">
        <w:rPr>
          <w:rFonts w:ascii="Arial" w:hAnsi="Arial" w:cs="Arial"/>
          <w:sz w:val="22"/>
          <w:szCs w:val="22"/>
        </w:rPr>
        <w:t xml:space="preserve">. </w:t>
      </w:r>
      <w:r w:rsidR="00664CBA">
        <w:rPr>
          <w:rFonts w:ascii="Arial" w:hAnsi="Arial" w:cs="Arial"/>
          <w:sz w:val="22"/>
          <w:szCs w:val="22"/>
        </w:rPr>
        <w:t xml:space="preserve"> </w:t>
      </w:r>
      <w:r w:rsidR="00003CFB" w:rsidRPr="00C2576A">
        <w:rPr>
          <w:rFonts w:ascii="Arial" w:hAnsi="Arial" w:cs="Arial"/>
          <w:sz w:val="22"/>
          <w:szCs w:val="22"/>
        </w:rPr>
        <w:t>En lo que hace a los datos del WDI y bases del Banco Mundial, los mismos son actualizados año a año con la información nueva disponible.</w:t>
      </w:r>
      <w:r w:rsidR="005F6769" w:rsidRPr="00C2576A">
        <w:rPr>
          <w:rFonts w:ascii="Arial" w:hAnsi="Arial" w:cs="Arial"/>
          <w:sz w:val="22"/>
          <w:szCs w:val="22"/>
        </w:rPr>
        <w:t xml:space="preserve"> Más concretamente, se ha </w:t>
      </w:r>
      <w:r w:rsidR="005F6769" w:rsidRPr="00C2576A">
        <w:rPr>
          <w:rFonts w:ascii="Arial" w:hAnsi="Arial" w:cs="Arial"/>
          <w:sz w:val="22"/>
          <w:szCs w:val="22"/>
        </w:rPr>
        <w:lastRenderedPageBreak/>
        <w:t>verificado que las fuentes usuales de información para la calibración</w:t>
      </w:r>
      <w:r w:rsidR="00A61898">
        <w:rPr>
          <w:rFonts w:ascii="Arial" w:hAnsi="Arial" w:cs="Arial"/>
          <w:sz w:val="22"/>
          <w:szCs w:val="22"/>
        </w:rPr>
        <w:t xml:space="preserve"> del modelo estarán disponibles</w:t>
      </w:r>
      <w:r w:rsidR="00664CBA">
        <w:rPr>
          <w:rFonts w:ascii="Arial" w:hAnsi="Arial" w:cs="Arial"/>
          <w:sz w:val="22"/>
          <w:szCs w:val="22"/>
        </w:rPr>
        <w:t>.</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b/>
          <w:sz w:val="22"/>
          <w:szCs w:val="22"/>
        </w:rPr>
        <w:t>Parámetros de relevancia</w:t>
      </w:r>
      <w:r w:rsidRPr="00C2576A">
        <w:rPr>
          <w:rFonts w:ascii="Arial" w:hAnsi="Arial" w:cs="Arial"/>
          <w:sz w:val="22"/>
          <w:szCs w:val="22"/>
        </w:rPr>
        <w:t xml:space="preserve">. La amplitud de las reformas hace que los parámetros relevantes involucren las tres dimensiones indicadas (alcance, profundidad, y eficiencia). </w:t>
      </w:r>
      <w:r w:rsidRPr="00C2576A">
        <w:rPr>
          <w:rFonts w:ascii="Arial" w:eastAsiaTheme="minorEastAsia" w:hAnsi="Arial" w:cs="Arial"/>
          <w:sz w:val="22"/>
          <w:szCs w:val="22"/>
        </w:rPr>
        <w:t xml:space="preserve">Los parámetros de costos de participación e intermediación, </w:t>
      </w:r>
      <m:oMath>
        <m:r>
          <w:rPr>
            <w:rFonts w:ascii="Cambria Math" w:hAnsi="Cambria Math" w:cs="Arial"/>
            <w:sz w:val="22"/>
            <w:szCs w:val="22"/>
          </w:rPr>
          <m:t>ψ,  χ</m:t>
        </m:r>
      </m:oMath>
      <w:r w:rsidRPr="00C2576A">
        <w:rPr>
          <w:rFonts w:ascii="Arial" w:eastAsiaTheme="minorEastAsia" w:hAnsi="Arial" w:cs="Arial"/>
          <w:sz w:val="22"/>
          <w:szCs w:val="22"/>
        </w:rPr>
        <w:t xml:space="preserve"> </w:t>
      </w:r>
      <w:r w:rsidRPr="00C2576A">
        <w:rPr>
          <w:rFonts w:ascii="Arial" w:hAnsi="Arial" w:cs="Arial"/>
          <w:sz w:val="22"/>
          <w:szCs w:val="22"/>
        </w:rPr>
        <w:t>respectivamente</w:t>
      </w:r>
      <w:r w:rsidRPr="00C2576A">
        <w:rPr>
          <w:rFonts w:ascii="Arial" w:eastAsiaTheme="minorEastAsia" w:hAnsi="Arial" w:cs="Arial"/>
          <w:sz w:val="22"/>
          <w:szCs w:val="22"/>
        </w:rPr>
        <w:t xml:space="preserve"> (junto a la tasa de recupero, la probabilidad de quiebra, el parámetro </w:t>
      </w:r>
      <w:r w:rsidRPr="00C2576A">
        <w:rPr>
          <w:rFonts w:ascii="Arial" w:hAnsi="Arial" w:cs="Arial"/>
          <w:sz w:val="22"/>
          <w:szCs w:val="22"/>
        </w:rPr>
        <w:t>gobernando</w:t>
      </w:r>
      <w:r w:rsidRPr="00C2576A">
        <w:rPr>
          <w:rFonts w:ascii="Arial" w:eastAsiaTheme="minorEastAsia" w:hAnsi="Arial" w:cs="Arial"/>
          <w:sz w:val="22"/>
          <w:szCs w:val="22"/>
        </w:rPr>
        <w:t xml:space="preserve"> la distribución de talento/capacidad) se estiman en forma conjunta para replicar los momentos de firmas con líneas de crédito, crédito en situación irregular, márgenes de tasas de interés, y distribución de empleo. Lambda es calculado directamente del valor del colateral requerido para préstamos.</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b/>
          <w:sz w:val="22"/>
          <w:szCs w:val="22"/>
        </w:rPr>
        <w:t xml:space="preserve">Impactos y ventajas de la aproximación. </w:t>
      </w:r>
      <w:r w:rsidR="005A089E">
        <w:rPr>
          <w:rFonts w:ascii="Arial" w:hAnsi="Arial" w:cs="Arial"/>
          <w:sz w:val="22"/>
          <w:szCs w:val="22"/>
        </w:rPr>
        <w:t>E</w:t>
      </w:r>
      <w:r w:rsidRPr="00C2576A">
        <w:rPr>
          <w:rFonts w:ascii="Arial" w:hAnsi="Arial" w:cs="Arial"/>
          <w:sz w:val="22"/>
          <w:szCs w:val="22"/>
        </w:rPr>
        <w:t>n 202</w:t>
      </w:r>
      <w:r w:rsidR="005A089E">
        <w:rPr>
          <w:rFonts w:ascii="Arial" w:hAnsi="Arial" w:cs="Arial"/>
          <w:sz w:val="22"/>
          <w:szCs w:val="22"/>
        </w:rPr>
        <w:t>3, ya disponibles los datos que se espera sean recolectados en 2021/2022,</w:t>
      </w:r>
      <w:r w:rsidRPr="00C2576A">
        <w:rPr>
          <w:rFonts w:ascii="Arial" w:hAnsi="Arial" w:cs="Arial"/>
          <w:sz w:val="22"/>
          <w:szCs w:val="22"/>
        </w:rPr>
        <w:t xml:space="preserve"> se proyecta una nueva calibración del modelo apuntando a brindar información sobre el impacto de las políticas. El contar con un modelo de estas características permitirá una evaluación rigurosa de los efectos de los cambios realizados tras la reforma en un contexto de equilibrio general, permitiendo  identificar los efectos de los cambios realizados y de los mecanismos concretos a través de los cuales estos cambios impactan en el crecimiento de la economía. </w:t>
      </w:r>
      <w:r w:rsidR="005C0FF6" w:rsidRPr="00C2576A">
        <w:rPr>
          <w:rFonts w:ascii="Arial" w:hAnsi="Arial" w:cs="Arial"/>
          <w:sz w:val="22"/>
          <w:szCs w:val="22"/>
        </w:rPr>
        <w:t xml:space="preserve">Cabe notar aquí que el modelo propuesto presenta l limitación de que no identifica si los cambios observados en los parámetros de relevancia resultan completamente de los cambios institucionales apoyados. </w:t>
      </w:r>
    </w:p>
    <w:p w:rsidR="0009162C" w:rsidRDefault="00527E0D" w:rsidP="00076B5B">
      <w:pPr>
        <w:pStyle w:val="21Paragraph"/>
        <w:ind w:left="720" w:hanging="720"/>
        <w:rPr>
          <w:rFonts w:ascii="Arial" w:hAnsi="Arial" w:cs="Arial"/>
          <w:sz w:val="22"/>
          <w:szCs w:val="22"/>
        </w:rPr>
      </w:pPr>
      <w:r w:rsidRPr="0009162C">
        <w:rPr>
          <w:rFonts w:ascii="Arial" w:hAnsi="Arial" w:cs="Arial"/>
          <w:b/>
          <w:sz w:val="22"/>
          <w:szCs w:val="22"/>
        </w:rPr>
        <w:t xml:space="preserve">Ejercicio comparativo. </w:t>
      </w:r>
      <w:r w:rsidR="00482314" w:rsidRPr="0009162C">
        <w:rPr>
          <w:rFonts w:ascii="Arial" w:hAnsi="Arial" w:cs="Arial"/>
          <w:sz w:val="22"/>
          <w:szCs w:val="22"/>
        </w:rPr>
        <w:t xml:space="preserve">En particular, al poder realizar calibraciones alternativas, el modelo puede ayudar a computar la ganancia de las nuevas políticas en tanto estas se consideren pueden ser aproximadas adecuadamente por los </w:t>
      </w:r>
      <w:r w:rsidR="00BA5FD5" w:rsidRPr="0009162C">
        <w:rPr>
          <w:rFonts w:ascii="Arial" w:hAnsi="Arial" w:cs="Arial"/>
          <w:sz w:val="22"/>
          <w:szCs w:val="22"/>
        </w:rPr>
        <w:t xml:space="preserve">cambios en los </w:t>
      </w:r>
      <w:r w:rsidR="00482314" w:rsidRPr="0009162C">
        <w:rPr>
          <w:rFonts w:ascii="Arial" w:hAnsi="Arial" w:cs="Arial"/>
          <w:sz w:val="22"/>
          <w:szCs w:val="22"/>
        </w:rPr>
        <w:t xml:space="preserve">parámetros. </w:t>
      </w:r>
      <w:r w:rsidR="006258DC" w:rsidRPr="0009162C">
        <w:rPr>
          <w:rFonts w:ascii="Arial" w:hAnsi="Arial" w:cs="Arial"/>
          <w:sz w:val="22"/>
          <w:szCs w:val="22"/>
        </w:rPr>
        <w:t>En este sentido conviene distinguir tres tipos de parámetros</w:t>
      </w:r>
      <w:r w:rsidR="00204823">
        <w:rPr>
          <w:rStyle w:val="FootnoteReference"/>
          <w:rFonts w:ascii="Arial" w:hAnsi="Arial" w:cs="Arial"/>
          <w:sz w:val="22"/>
          <w:szCs w:val="22"/>
        </w:rPr>
        <w:footnoteReference w:id="17"/>
      </w:r>
      <w:r w:rsidR="006258DC" w:rsidRPr="0009162C">
        <w:rPr>
          <w:rFonts w:ascii="Arial" w:hAnsi="Arial" w:cs="Arial"/>
          <w:sz w:val="22"/>
          <w:szCs w:val="22"/>
        </w:rPr>
        <w:t xml:space="preserve">. </w:t>
      </w:r>
    </w:p>
    <w:p w:rsidR="0009162C" w:rsidRDefault="006258DC" w:rsidP="0009162C">
      <w:pPr>
        <w:pStyle w:val="21Paragraph"/>
        <w:numPr>
          <w:ilvl w:val="7"/>
          <w:numId w:val="19"/>
        </w:numPr>
        <w:rPr>
          <w:rFonts w:ascii="Arial" w:hAnsi="Arial" w:cs="Arial"/>
          <w:sz w:val="22"/>
          <w:szCs w:val="22"/>
        </w:rPr>
      </w:pPr>
      <w:r w:rsidRPr="0009162C">
        <w:rPr>
          <w:rFonts w:ascii="Arial" w:hAnsi="Arial" w:cs="Arial"/>
          <w:sz w:val="22"/>
          <w:szCs w:val="22"/>
        </w:rPr>
        <w:t xml:space="preserve">En primer lugar, los parámetros de mayor relevancia en la operación y que se consideran serán los más afectados por las políticas apoyadas. Estos parámetros son </w:t>
      </w:r>
      <m:oMath>
        <m:r>
          <w:rPr>
            <w:rFonts w:ascii="Cambria Math" w:hAnsi="Cambria Math" w:cs="Arial"/>
            <w:sz w:val="22"/>
            <w:szCs w:val="22"/>
          </w:rPr>
          <m:t xml:space="preserve">χ, λ, y ψ </m:t>
        </m:r>
      </m:oMath>
      <w:r w:rsidR="006E5149" w:rsidRPr="0009162C">
        <w:rPr>
          <w:rFonts w:ascii="Arial" w:hAnsi="Arial" w:cs="Arial"/>
          <w:sz w:val="22"/>
          <w:szCs w:val="22"/>
        </w:rPr>
        <w:t xml:space="preserve">. Estos parámetros son calibrados y se espera varíen a partir de las políticas apoyadas. </w:t>
      </w:r>
    </w:p>
    <w:p w:rsidR="0009162C" w:rsidRDefault="006E5149" w:rsidP="0009162C">
      <w:pPr>
        <w:pStyle w:val="21Paragraph"/>
        <w:numPr>
          <w:ilvl w:val="7"/>
          <w:numId w:val="19"/>
        </w:numPr>
        <w:rPr>
          <w:rFonts w:ascii="Arial" w:hAnsi="Arial" w:cs="Arial"/>
          <w:sz w:val="22"/>
          <w:szCs w:val="22"/>
        </w:rPr>
      </w:pPr>
      <w:r w:rsidRPr="0009162C">
        <w:rPr>
          <w:rFonts w:ascii="Arial" w:hAnsi="Arial" w:cs="Arial"/>
          <w:sz w:val="22"/>
          <w:szCs w:val="22"/>
        </w:rPr>
        <w:t xml:space="preserve">En segundo lugar se encuentran otros parámetros que también son calibrados pero que no son de mayor relevancia en la operación y/o no se espera a priori que los mismos tengan una variación significativa a partir de las políticas implementadas que apoya el programa; esto parámetros son: </w:t>
      </w:r>
      <w:r w:rsidR="003E7669" w:rsidRPr="0009162C">
        <w:rPr>
          <w:rFonts w:ascii="Arial" w:hAnsi="Arial" w:cs="Arial"/>
          <w:sz w:val="22"/>
          <w:szCs w:val="22"/>
        </w:rPr>
        <w:t>ahorro como porcentaje del PBI (</w:t>
      </w:r>
      <m:oMath>
        <m:r>
          <w:rPr>
            <w:rFonts w:ascii="Cambria Math" w:hAnsi="Cambria Math" w:cs="Arial"/>
            <w:sz w:val="22"/>
            <w:szCs w:val="22"/>
          </w:rPr>
          <m:t>ω</m:t>
        </m:r>
      </m:oMath>
      <w:r w:rsidR="003E7669" w:rsidRPr="0009162C">
        <w:rPr>
          <w:rFonts w:ascii="Arial" w:hAnsi="Arial" w:cs="Arial"/>
          <w:sz w:val="22"/>
          <w:szCs w:val="22"/>
        </w:rPr>
        <w:t>)</w:t>
      </w:r>
      <w:r w:rsidR="00FD5E4C" w:rsidRPr="0009162C">
        <w:rPr>
          <w:rFonts w:ascii="Arial" w:hAnsi="Arial" w:cs="Arial"/>
          <w:sz w:val="22"/>
          <w:szCs w:val="22"/>
        </w:rPr>
        <w:t>, probabilidad de quiebra (</w:t>
      </w:r>
      <m:oMath>
        <m:r>
          <w:rPr>
            <w:rFonts w:ascii="Cambria Math" w:hAnsi="Cambria Math" w:cs="Arial"/>
            <w:sz w:val="22"/>
            <w:szCs w:val="22"/>
          </w:rPr>
          <m:t>p</m:t>
        </m:r>
      </m:oMath>
      <w:r w:rsidR="00FD5E4C" w:rsidRPr="0009162C">
        <w:rPr>
          <w:rFonts w:ascii="Arial" w:hAnsi="Arial" w:cs="Arial"/>
          <w:sz w:val="22"/>
          <w:szCs w:val="22"/>
        </w:rPr>
        <w:t>)</w:t>
      </w:r>
      <w:r w:rsidR="00817AFA" w:rsidRPr="0009162C">
        <w:rPr>
          <w:rFonts w:ascii="Arial" w:hAnsi="Arial" w:cs="Arial"/>
          <w:sz w:val="22"/>
          <w:szCs w:val="22"/>
        </w:rPr>
        <w:t>, parámetro de la distribución de talento (</w:t>
      </w:r>
      <m:oMath>
        <m:r>
          <w:rPr>
            <w:rFonts w:ascii="Cambria Math" w:hAnsi="Cambria Math" w:cs="Arial"/>
            <w:sz w:val="22"/>
            <w:szCs w:val="22"/>
          </w:rPr>
          <m:t>θ</m:t>
        </m:r>
      </m:oMath>
      <w:r w:rsidR="00817AFA" w:rsidRPr="0009162C">
        <w:rPr>
          <w:rFonts w:ascii="Arial" w:hAnsi="Arial" w:cs="Arial"/>
          <w:sz w:val="22"/>
          <w:szCs w:val="22"/>
        </w:rPr>
        <w:t>)</w:t>
      </w:r>
      <w:r w:rsidR="00EE1133">
        <w:rPr>
          <w:rFonts w:ascii="Arial" w:hAnsi="Arial" w:cs="Arial"/>
          <w:sz w:val="22"/>
          <w:szCs w:val="22"/>
        </w:rPr>
        <w:t xml:space="preserve">, parámetro de recuperación </w:t>
      </w:r>
      <w:r w:rsidR="00CB3549">
        <w:rPr>
          <w:rFonts w:ascii="Arial" w:hAnsi="Arial" w:cs="Arial"/>
          <w:sz w:val="22"/>
          <w:szCs w:val="22"/>
        </w:rPr>
        <w:t>de activos luego de quiebra (</w:t>
      </w:r>
      <m:oMath>
        <m:r>
          <w:rPr>
            <w:rFonts w:ascii="Cambria Math" w:hAnsi="Cambria Math" w:cs="Arial"/>
            <w:sz w:val="22"/>
            <w:szCs w:val="22"/>
          </w:rPr>
          <m:t>η</m:t>
        </m:r>
      </m:oMath>
      <w:r w:rsidR="00CB3549">
        <w:rPr>
          <w:rFonts w:ascii="Arial" w:hAnsi="Arial" w:cs="Arial"/>
          <w:sz w:val="22"/>
          <w:szCs w:val="22"/>
        </w:rPr>
        <w:t>)</w:t>
      </w:r>
      <w:r w:rsidR="00E127E2" w:rsidRPr="0009162C">
        <w:rPr>
          <w:rFonts w:ascii="Arial" w:hAnsi="Arial" w:cs="Arial"/>
          <w:sz w:val="22"/>
          <w:szCs w:val="22"/>
        </w:rPr>
        <w:t>.</w:t>
      </w:r>
      <w:r w:rsidR="000335FB" w:rsidRPr="0009162C">
        <w:rPr>
          <w:rFonts w:ascii="Arial" w:hAnsi="Arial" w:cs="Arial"/>
          <w:sz w:val="22"/>
          <w:szCs w:val="22"/>
        </w:rPr>
        <w:t xml:space="preserve"> </w:t>
      </w:r>
    </w:p>
    <w:p w:rsidR="006F4C48" w:rsidRPr="0009162C" w:rsidRDefault="000335FB" w:rsidP="0009162C">
      <w:pPr>
        <w:pStyle w:val="21Paragraph"/>
        <w:numPr>
          <w:ilvl w:val="7"/>
          <w:numId w:val="19"/>
        </w:numPr>
        <w:rPr>
          <w:rFonts w:ascii="Arial" w:hAnsi="Arial" w:cs="Arial"/>
          <w:sz w:val="22"/>
          <w:szCs w:val="22"/>
        </w:rPr>
      </w:pPr>
      <w:r w:rsidRPr="0009162C">
        <w:rPr>
          <w:rFonts w:ascii="Arial" w:hAnsi="Arial" w:cs="Arial"/>
          <w:sz w:val="22"/>
          <w:szCs w:val="22"/>
        </w:rPr>
        <w:t xml:space="preserve">En tercer lugar se encuentran una serie de parámetros que se toman de la literatura y que se consideran fijos. Estos parámetros son los siguientes: </w:t>
      </w:r>
      <w:r w:rsidR="00817AFA" w:rsidRPr="0009162C">
        <w:rPr>
          <w:rFonts w:ascii="Arial" w:hAnsi="Arial" w:cs="Arial"/>
          <w:sz w:val="22"/>
          <w:szCs w:val="22"/>
        </w:rPr>
        <w:t>parámetros de la función de producción</w:t>
      </w:r>
      <w:r w:rsidR="003B5779" w:rsidRPr="0009162C">
        <w:rPr>
          <w:rFonts w:ascii="Arial" w:hAnsi="Arial" w:cs="Arial"/>
          <w:sz w:val="22"/>
          <w:szCs w:val="22"/>
        </w:rPr>
        <w:t xml:space="preserve"> (distribución de retornos, parámetro de economías de escala), tasa depreciación del </w:t>
      </w:r>
      <w:r w:rsidR="003B5779" w:rsidRPr="0009162C">
        <w:rPr>
          <w:rFonts w:ascii="Arial" w:hAnsi="Arial" w:cs="Arial"/>
          <w:sz w:val="22"/>
          <w:szCs w:val="22"/>
        </w:rPr>
        <w:lastRenderedPageBreak/>
        <w:t>capital,</w:t>
      </w:r>
      <w:r w:rsidR="00C77FA1" w:rsidRPr="0009162C">
        <w:rPr>
          <w:rFonts w:ascii="Arial" w:hAnsi="Arial" w:cs="Arial"/>
          <w:sz w:val="22"/>
          <w:szCs w:val="22"/>
        </w:rPr>
        <w:t xml:space="preserve"> probabilidad de “heredar” el talento de los “padres” </w:t>
      </w:r>
      <w:r w:rsidR="00E64D89" w:rsidRPr="0009162C">
        <w:rPr>
          <w:rFonts w:ascii="Arial" w:hAnsi="Arial" w:cs="Arial"/>
          <w:sz w:val="22"/>
          <w:szCs w:val="22"/>
        </w:rPr>
        <w:t>(</w:t>
      </w:r>
      <m:oMath>
        <m:r>
          <w:rPr>
            <w:rFonts w:ascii="Cambria Math" w:hAnsi="Cambria Math" w:cs="Arial"/>
            <w:sz w:val="22"/>
            <w:szCs w:val="22"/>
          </w:rPr>
          <m:t>ν, α, δ, γ</m:t>
        </m:r>
      </m:oMath>
      <w:r w:rsidR="00E64D89" w:rsidRPr="0009162C">
        <w:rPr>
          <w:rFonts w:ascii="Arial" w:hAnsi="Arial" w:cs="Arial"/>
          <w:sz w:val="22"/>
          <w:szCs w:val="22"/>
        </w:rPr>
        <w:t>)</w:t>
      </w:r>
      <w:r w:rsidR="006F4C48" w:rsidRPr="0009162C">
        <w:rPr>
          <w:rFonts w:ascii="Arial" w:hAnsi="Arial" w:cs="Arial"/>
          <w:sz w:val="22"/>
          <w:szCs w:val="22"/>
        </w:rPr>
        <w:t xml:space="preserve"> se toman de Buera y Shin (2013)</w:t>
      </w:r>
    </w:p>
    <w:p w:rsidR="006E5149" w:rsidRDefault="00BA5FD5" w:rsidP="00076B5B">
      <w:pPr>
        <w:pStyle w:val="21Paragraph"/>
        <w:ind w:left="720" w:hanging="720"/>
        <w:rPr>
          <w:rFonts w:ascii="Arial" w:hAnsi="Arial" w:cs="Arial"/>
          <w:sz w:val="22"/>
          <w:szCs w:val="22"/>
        </w:rPr>
      </w:pPr>
      <w:r>
        <w:rPr>
          <w:rFonts w:ascii="Arial" w:hAnsi="Arial" w:cs="Arial"/>
          <w:sz w:val="22"/>
          <w:szCs w:val="22"/>
        </w:rPr>
        <w:t xml:space="preserve">A los efectos de simplificar la notación en la discusión subsiguiente se adoptan las siguientes convenciones. </w:t>
      </w:r>
    </w:p>
    <w:p w:rsidR="00E57478" w:rsidRDefault="00E57478" w:rsidP="003869BB">
      <w:pPr>
        <w:pStyle w:val="21Paragraph"/>
        <w:numPr>
          <w:ilvl w:val="7"/>
          <w:numId w:val="19"/>
        </w:numPr>
        <w:rPr>
          <w:rFonts w:ascii="Arial" w:hAnsi="Arial" w:cs="Arial"/>
          <w:sz w:val="22"/>
          <w:szCs w:val="22"/>
        </w:rPr>
      </w:pPr>
      <w:r>
        <w:rPr>
          <w:rFonts w:ascii="Arial" w:hAnsi="Arial" w:cs="Arial"/>
          <w:sz w:val="22"/>
          <w:szCs w:val="22"/>
        </w:rPr>
        <w:t xml:space="preserve">Cuando una variable o parámetro se refiera a la calibración de </w:t>
      </w:r>
      <w:r w:rsidR="000C18DE">
        <w:rPr>
          <w:rFonts w:ascii="Arial" w:hAnsi="Arial" w:cs="Arial"/>
          <w:sz w:val="22"/>
          <w:szCs w:val="22"/>
        </w:rPr>
        <w:t>“</w:t>
      </w:r>
      <w:r>
        <w:rPr>
          <w:rFonts w:ascii="Arial" w:hAnsi="Arial" w:cs="Arial"/>
          <w:sz w:val="22"/>
          <w:szCs w:val="22"/>
        </w:rPr>
        <w:t>línea de base</w:t>
      </w:r>
      <w:r w:rsidR="000C18DE">
        <w:rPr>
          <w:rFonts w:ascii="Arial" w:hAnsi="Arial" w:cs="Arial"/>
          <w:sz w:val="22"/>
          <w:szCs w:val="22"/>
        </w:rPr>
        <w:t>”</w:t>
      </w:r>
      <w:r>
        <w:rPr>
          <w:rFonts w:ascii="Arial" w:hAnsi="Arial" w:cs="Arial"/>
          <w:sz w:val="22"/>
          <w:szCs w:val="22"/>
        </w:rPr>
        <w:t xml:space="preserve">, se indicará con un subíndice </w:t>
      </w:r>
      <w:r>
        <w:rPr>
          <w:rFonts w:ascii="Arial" w:hAnsi="Arial" w:cs="Arial"/>
          <w:i/>
          <w:sz w:val="22"/>
          <w:szCs w:val="22"/>
        </w:rPr>
        <w:t>c</w:t>
      </w:r>
      <w:r w:rsidR="0018353C">
        <w:rPr>
          <w:rFonts w:ascii="Arial" w:hAnsi="Arial" w:cs="Arial"/>
          <w:i/>
          <w:sz w:val="22"/>
          <w:szCs w:val="22"/>
        </w:rPr>
        <w:t xml:space="preserve"> </w:t>
      </w:r>
      <w:r w:rsidR="0018353C" w:rsidRPr="0018353C">
        <w:rPr>
          <w:rFonts w:ascii="Arial" w:hAnsi="Arial" w:cs="Arial"/>
          <w:sz w:val="22"/>
          <w:szCs w:val="22"/>
        </w:rPr>
        <w:t>(por ejemplo</w:t>
      </w:r>
      <w:r w:rsidR="0018353C">
        <w:rPr>
          <w:rFonts w:ascii="Arial" w:hAnsi="Arial" w:cs="Arial"/>
          <w:i/>
          <w:sz w:val="22"/>
          <w:szCs w:val="22"/>
        </w:rPr>
        <w:t xml:space="preserve"> </w:t>
      </w:r>
      <m:oMath>
        <m:sSub>
          <m:sSubPr>
            <m:ctrlPr>
              <w:rPr>
                <w:rFonts w:ascii="Cambria Math" w:hAnsi="Cambria Math" w:cs="Arial"/>
                <w:i/>
                <w:sz w:val="22"/>
                <w:szCs w:val="22"/>
                <w:lang w:val="en-US"/>
              </w:rPr>
            </m:ctrlPr>
          </m:sSubPr>
          <m:e>
            <m:r>
              <w:rPr>
                <w:rFonts w:ascii="Cambria Math" w:hAnsi="Cambria Math" w:cs="Arial"/>
                <w:sz w:val="22"/>
                <w:szCs w:val="22"/>
                <w:lang w:val="en-US"/>
              </w:rPr>
              <m:t>x</m:t>
            </m:r>
          </m:e>
          <m:sub>
            <m:r>
              <w:rPr>
                <w:rFonts w:ascii="Cambria Math" w:hAnsi="Cambria Math" w:cs="Arial"/>
                <w:sz w:val="22"/>
                <w:szCs w:val="22"/>
                <w:lang w:val="en-US"/>
              </w:rPr>
              <m:t>c</m:t>
            </m:r>
          </m:sub>
        </m:sSub>
      </m:oMath>
      <w:r w:rsidR="0018353C" w:rsidRPr="0018353C">
        <w:rPr>
          <w:rFonts w:ascii="Arial" w:hAnsi="Arial" w:cs="Arial"/>
          <w:sz w:val="22"/>
          <w:szCs w:val="22"/>
        </w:rPr>
        <w:t>)</w:t>
      </w:r>
      <w:r>
        <w:rPr>
          <w:rFonts w:ascii="Arial" w:hAnsi="Arial" w:cs="Arial"/>
          <w:sz w:val="22"/>
          <w:szCs w:val="22"/>
        </w:rPr>
        <w:t xml:space="preserve">, y cuando se refiera a la calibración futura post-implementación de políticas se denotará con el subíndice </w:t>
      </w:r>
      <w:r>
        <w:rPr>
          <w:rFonts w:ascii="Arial" w:hAnsi="Arial" w:cs="Arial"/>
          <w:i/>
          <w:sz w:val="22"/>
          <w:szCs w:val="22"/>
        </w:rPr>
        <w:t>p</w:t>
      </w:r>
      <w:r w:rsidR="0018353C">
        <w:rPr>
          <w:rFonts w:ascii="Arial" w:hAnsi="Arial" w:cs="Arial"/>
          <w:i/>
          <w:sz w:val="22"/>
          <w:szCs w:val="22"/>
        </w:rPr>
        <w:t xml:space="preserve"> </w:t>
      </w:r>
      <w:r w:rsidR="0018353C" w:rsidRPr="0018353C">
        <w:rPr>
          <w:rFonts w:ascii="Arial" w:hAnsi="Arial" w:cs="Arial"/>
          <w:sz w:val="22"/>
          <w:szCs w:val="22"/>
        </w:rPr>
        <w:t>(por ejemplo</w:t>
      </w:r>
      <w:r w:rsidR="0018353C">
        <w:rPr>
          <w:rFonts w:ascii="Arial" w:hAnsi="Arial" w:cs="Arial"/>
          <w:i/>
          <w:sz w:val="22"/>
          <w:szCs w:val="22"/>
        </w:rPr>
        <w:t xml:space="preserve"> </w:t>
      </w:r>
      <m:oMath>
        <m:sSub>
          <m:sSubPr>
            <m:ctrlPr>
              <w:rPr>
                <w:rFonts w:ascii="Cambria Math" w:hAnsi="Cambria Math" w:cs="Arial"/>
                <w:i/>
                <w:sz w:val="22"/>
                <w:szCs w:val="22"/>
                <w:lang w:val="en-US"/>
              </w:rPr>
            </m:ctrlPr>
          </m:sSubPr>
          <m:e>
            <m:r>
              <w:rPr>
                <w:rFonts w:ascii="Cambria Math" w:hAnsi="Cambria Math" w:cs="Arial"/>
                <w:sz w:val="22"/>
                <w:szCs w:val="22"/>
                <w:lang w:val="en-US"/>
              </w:rPr>
              <m:t>x</m:t>
            </m:r>
          </m:e>
          <m:sub>
            <m:r>
              <w:rPr>
                <w:rFonts w:ascii="Cambria Math" w:hAnsi="Cambria Math" w:cs="Arial"/>
                <w:sz w:val="22"/>
                <w:szCs w:val="22"/>
                <w:lang w:val="en-US"/>
              </w:rPr>
              <m:t>P</m:t>
            </m:r>
          </m:sub>
        </m:sSub>
      </m:oMath>
      <w:r w:rsidR="0018353C" w:rsidRPr="0018353C">
        <w:rPr>
          <w:rFonts w:ascii="Arial" w:hAnsi="Arial" w:cs="Arial"/>
          <w:sz w:val="22"/>
          <w:szCs w:val="22"/>
        </w:rPr>
        <w:t>)</w:t>
      </w:r>
      <w:r w:rsidR="0018353C">
        <w:rPr>
          <w:rFonts w:ascii="Arial" w:hAnsi="Arial" w:cs="Arial"/>
          <w:sz w:val="22"/>
          <w:szCs w:val="22"/>
        </w:rPr>
        <w:t>.</w:t>
      </w:r>
    </w:p>
    <w:p w:rsidR="0018353C" w:rsidRDefault="00600EE6" w:rsidP="003869BB">
      <w:pPr>
        <w:pStyle w:val="21Paragraph"/>
        <w:numPr>
          <w:ilvl w:val="7"/>
          <w:numId w:val="19"/>
        </w:numPr>
        <w:rPr>
          <w:rFonts w:ascii="Arial" w:hAnsi="Arial" w:cs="Arial"/>
          <w:sz w:val="22"/>
          <w:szCs w:val="22"/>
        </w:rPr>
      </w:pPr>
      <w:r>
        <w:rPr>
          <w:rFonts w:ascii="Arial" w:hAnsi="Arial" w:cs="Arial"/>
          <w:sz w:val="22"/>
          <w:szCs w:val="22"/>
        </w:rPr>
        <w:t xml:space="preserve">También por simplicidad, se notará con </w:t>
      </w:r>
      <m:oMath>
        <m:r>
          <w:rPr>
            <w:rFonts w:ascii="Cambria Math" w:hAnsi="Cambria Math" w:cs="Arial"/>
            <w:sz w:val="22"/>
            <w:szCs w:val="22"/>
          </w:rPr>
          <m:t>F=(λ,χ,ψ)</m:t>
        </m:r>
      </m:oMath>
      <w:r w:rsidR="006A22D7">
        <w:rPr>
          <w:rFonts w:ascii="Arial" w:hAnsi="Arial" w:cs="Arial"/>
          <w:sz w:val="22"/>
          <w:szCs w:val="22"/>
        </w:rPr>
        <w:t xml:space="preserve"> como un vector que contiene los parámetros de profundidad, eficiencia, y participación. El vector de otros parámetros que varían con la calibración se denotará con </w:t>
      </w:r>
      <m:oMath>
        <m:r>
          <w:rPr>
            <w:rFonts w:ascii="Cambria Math" w:hAnsi="Cambria Math" w:cs="Arial"/>
            <w:sz w:val="22"/>
            <w:szCs w:val="22"/>
          </w:rPr>
          <m:t>Q</m:t>
        </m:r>
      </m:oMath>
      <w:r w:rsidR="00D53161">
        <w:rPr>
          <w:rFonts w:ascii="Arial" w:hAnsi="Arial" w:cs="Arial"/>
          <w:sz w:val="22"/>
          <w:szCs w:val="22"/>
        </w:rPr>
        <w:t xml:space="preserve">. El resto de los parámetros que son tomados de la literatura serán notados por el vector </w:t>
      </w:r>
      <m:oMath>
        <m:r>
          <w:rPr>
            <w:rFonts w:ascii="Cambria Math" w:hAnsi="Cambria Math" w:cs="Arial"/>
            <w:sz w:val="22"/>
            <w:szCs w:val="22"/>
          </w:rPr>
          <m:t>I</m:t>
        </m:r>
      </m:oMath>
      <w:r w:rsidR="00D53161">
        <w:rPr>
          <w:rFonts w:ascii="Arial" w:hAnsi="Arial" w:cs="Arial"/>
          <w:sz w:val="22"/>
          <w:szCs w:val="22"/>
        </w:rPr>
        <w:t>.</w:t>
      </w:r>
    </w:p>
    <w:p w:rsidR="00D53161" w:rsidRDefault="00D53161" w:rsidP="00D53161">
      <w:pPr>
        <w:pStyle w:val="21Paragraph"/>
        <w:ind w:left="720" w:hanging="720"/>
        <w:rPr>
          <w:rFonts w:ascii="Arial" w:hAnsi="Arial" w:cs="Arial"/>
          <w:sz w:val="22"/>
          <w:szCs w:val="22"/>
        </w:rPr>
      </w:pPr>
      <w:r>
        <w:rPr>
          <w:rFonts w:ascii="Arial" w:hAnsi="Arial" w:cs="Arial"/>
          <w:sz w:val="22"/>
          <w:szCs w:val="22"/>
        </w:rPr>
        <w:t>Hechas estas convenciones, a continuación se describe</w:t>
      </w:r>
      <w:r w:rsidR="00A94E21">
        <w:rPr>
          <w:rFonts w:ascii="Arial" w:hAnsi="Arial" w:cs="Arial"/>
          <w:sz w:val="22"/>
          <w:szCs w:val="22"/>
        </w:rPr>
        <w:t xml:space="preserve">n </w:t>
      </w:r>
      <w:r w:rsidR="009E2419">
        <w:rPr>
          <w:rFonts w:ascii="Arial" w:hAnsi="Arial" w:cs="Arial"/>
          <w:sz w:val="22"/>
          <w:szCs w:val="22"/>
        </w:rPr>
        <w:t>2</w:t>
      </w:r>
      <w:r w:rsidR="00A94E21">
        <w:rPr>
          <w:rFonts w:ascii="Arial" w:hAnsi="Arial" w:cs="Arial"/>
          <w:sz w:val="22"/>
          <w:szCs w:val="22"/>
        </w:rPr>
        <w:t xml:space="preserve"> potenciales ejercicios comparativos a realizar</w:t>
      </w:r>
      <w:r w:rsidR="00657C5B">
        <w:rPr>
          <w:rFonts w:ascii="Arial" w:hAnsi="Arial" w:cs="Arial"/>
          <w:sz w:val="22"/>
          <w:szCs w:val="22"/>
        </w:rPr>
        <w:t>.</w:t>
      </w:r>
    </w:p>
    <w:p w:rsidR="00EB343C" w:rsidRDefault="00DD039F" w:rsidP="00657C5B">
      <w:pPr>
        <w:pStyle w:val="21Paragraph"/>
        <w:numPr>
          <w:ilvl w:val="7"/>
          <w:numId w:val="28"/>
        </w:numPr>
        <w:rPr>
          <w:rFonts w:ascii="Arial" w:hAnsi="Arial" w:cs="Arial"/>
          <w:sz w:val="22"/>
          <w:szCs w:val="22"/>
        </w:rPr>
      </w:pPr>
      <w:r>
        <w:rPr>
          <w:rFonts w:ascii="Arial" w:hAnsi="Arial" w:cs="Arial"/>
          <w:sz w:val="22"/>
          <w:szCs w:val="22"/>
        </w:rPr>
        <w:t xml:space="preserve">Obtenida la calibración post-cambio de políticas, se obtiene una predicción del modelo para el nivel de PBI, notada por </w:t>
      </w:r>
      <m:oMath>
        <m:r>
          <w:rPr>
            <w:rFonts w:ascii="Cambria Math" w:hAnsi="Cambria Math" w:cs="Arial"/>
            <w:sz w:val="22"/>
            <w:szCs w:val="22"/>
          </w:rPr>
          <m:t>P</m:t>
        </m:r>
        <m:acc>
          <m:accPr>
            <m:ctrlPr>
              <w:rPr>
                <w:rFonts w:ascii="Cambria Math" w:hAnsi="Cambria Math" w:cs="Arial"/>
                <w:i/>
                <w:sz w:val="22"/>
                <w:szCs w:val="22"/>
              </w:rPr>
            </m:ctrlPr>
          </m:accPr>
          <m:e>
            <m:r>
              <w:rPr>
                <w:rFonts w:ascii="Cambria Math" w:hAnsi="Cambria Math" w:cs="Arial"/>
                <w:sz w:val="22"/>
                <w:szCs w:val="22"/>
              </w:rPr>
              <m:t>B</m:t>
            </m:r>
          </m:e>
        </m:acc>
        <m:r>
          <w:rPr>
            <w:rFonts w:ascii="Cambria Math" w:hAnsi="Cambria Math" w:cs="Arial"/>
            <w:sz w:val="22"/>
            <w:szCs w:val="22"/>
            <w:lang w:val="en-US"/>
          </w:rPr>
          <m:t>I</m:t>
        </m:r>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p</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p</m:t>
            </m:r>
          </m:sub>
        </m:sSub>
        <m:r>
          <w:rPr>
            <w:rFonts w:ascii="Cambria Math" w:hAnsi="Cambria Math" w:cs="Arial"/>
            <w:sz w:val="22"/>
            <w:szCs w:val="22"/>
          </w:rPr>
          <m:t>,I)</m:t>
        </m:r>
      </m:oMath>
      <w:r w:rsidR="00EB343C">
        <w:rPr>
          <w:rFonts w:ascii="Arial" w:hAnsi="Arial" w:cs="Arial"/>
          <w:sz w:val="22"/>
          <w:szCs w:val="22"/>
        </w:rPr>
        <w:t>. Esto es el valor del PBI que resulta de la predicción del modelo calibrado post-política.</w:t>
      </w:r>
      <w:r w:rsidR="000C18DE">
        <w:rPr>
          <w:rFonts w:ascii="Arial" w:hAnsi="Arial" w:cs="Arial"/>
          <w:sz w:val="22"/>
          <w:szCs w:val="22"/>
        </w:rPr>
        <w:t xml:space="preserve"> Manteniendo los parámetros </w:t>
      </w:r>
      <m:oMath>
        <m:r>
          <w:rPr>
            <w:rFonts w:ascii="Cambria Math" w:hAnsi="Cambria Math" w:cs="Arial"/>
            <w:sz w:val="22"/>
            <w:szCs w:val="22"/>
          </w:rPr>
          <m:t>I</m:t>
        </m:r>
      </m:oMath>
      <w:r w:rsidR="000C18DE">
        <w:rPr>
          <w:rFonts w:ascii="Arial" w:hAnsi="Arial" w:cs="Arial"/>
          <w:sz w:val="22"/>
          <w:szCs w:val="22"/>
        </w:rPr>
        <w:t xml:space="preserve"> y </w:t>
      </w:r>
      <m:oMath>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p</m:t>
            </m:r>
          </m:sub>
        </m:sSub>
      </m:oMath>
      <w:r w:rsidR="000C18DE">
        <w:rPr>
          <w:rFonts w:ascii="Arial" w:hAnsi="Arial" w:cs="Arial"/>
          <w:sz w:val="22"/>
          <w:szCs w:val="22"/>
        </w:rPr>
        <w:t xml:space="preserve"> se procede a recalcular la predicción del modelo utilizando los parámetros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c</m:t>
            </m:r>
          </m:sub>
        </m:sSub>
      </m:oMath>
      <w:r w:rsidR="00327D01">
        <w:rPr>
          <w:rFonts w:ascii="Arial" w:hAnsi="Arial" w:cs="Arial"/>
          <w:sz w:val="22"/>
          <w:szCs w:val="22"/>
        </w:rPr>
        <w:t xml:space="preserve"> de la calibración de línea de base</w:t>
      </w:r>
      <w:r w:rsidR="004A021C">
        <w:rPr>
          <w:rFonts w:ascii="Arial" w:hAnsi="Arial" w:cs="Arial"/>
          <w:sz w:val="22"/>
          <w:szCs w:val="22"/>
        </w:rPr>
        <w:t xml:space="preserve"> obteniendo </w:t>
      </w:r>
      <m:oMath>
        <m:r>
          <w:rPr>
            <w:rFonts w:ascii="Cambria Math" w:hAnsi="Cambria Math" w:cs="Arial"/>
            <w:sz w:val="22"/>
            <w:szCs w:val="22"/>
          </w:rPr>
          <m:t>P</m:t>
        </m:r>
        <m:acc>
          <m:accPr>
            <m:ctrlPr>
              <w:rPr>
                <w:rFonts w:ascii="Cambria Math" w:hAnsi="Cambria Math" w:cs="Arial"/>
                <w:i/>
                <w:sz w:val="22"/>
                <w:szCs w:val="22"/>
              </w:rPr>
            </m:ctrlPr>
          </m:accPr>
          <m:e>
            <m:r>
              <w:rPr>
                <w:rFonts w:ascii="Cambria Math" w:hAnsi="Cambria Math" w:cs="Arial"/>
                <w:sz w:val="22"/>
                <w:szCs w:val="22"/>
              </w:rPr>
              <m:t>B</m:t>
            </m:r>
          </m:e>
        </m:acc>
        <m:r>
          <w:rPr>
            <w:rFonts w:ascii="Cambria Math" w:hAnsi="Cambria Math" w:cs="Arial"/>
            <w:sz w:val="22"/>
            <w:szCs w:val="22"/>
            <w:lang w:val="en-US"/>
          </w:rPr>
          <m:t>I</m:t>
        </m:r>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c</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p</m:t>
            </m:r>
          </m:sub>
        </m:sSub>
        <m:r>
          <w:rPr>
            <w:rFonts w:ascii="Cambria Math" w:hAnsi="Cambria Math" w:cs="Arial"/>
            <w:sz w:val="22"/>
            <w:szCs w:val="22"/>
          </w:rPr>
          <m:t>,I)</m:t>
        </m:r>
        <m:r>
          <w:rPr>
            <w:rStyle w:val="FootnoteReference"/>
            <w:rFonts w:ascii="Cambria Math" w:hAnsi="Cambria Math" w:cs="Arial"/>
            <w:i/>
            <w:sz w:val="22"/>
            <w:szCs w:val="22"/>
          </w:rPr>
          <w:footnoteReference w:id="18"/>
        </m:r>
      </m:oMath>
      <w:r w:rsidR="004A021C">
        <w:rPr>
          <w:rFonts w:ascii="Arial" w:hAnsi="Arial" w:cs="Arial"/>
          <w:sz w:val="22"/>
          <w:szCs w:val="22"/>
        </w:rPr>
        <w:t>. La idea es que este segundo valor podría interpretarse como el PBI que se podría esperar de no haberse implementado las políticas</w:t>
      </w:r>
      <w:r w:rsidR="00B6578D">
        <w:rPr>
          <w:rStyle w:val="FootnoteReference"/>
          <w:rFonts w:ascii="Arial" w:hAnsi="Arial" w:cs="Arial"/>
          <w:sz w:val="22"/>
          <w:szCs w:val="22"/>
        </w:rPr>
        <w:footnoteReference w:id="19"/>
      </w:r>
      <w:r w:rsidR="00EF092A">
        <w:rPr>
          <w:rFonts w:ascii="Arial" w:hAnsi="Arial" w:cs="Arial"/>
          <w:sz w:val="22"/>
          <w:szCs w:val="22"/>
        </w:rPr>
        <w:t xml:space="preserve">, con lo que la diferencia </w:t>
      </w:r>
      <m:oMath>
        <m:r>
          <w:rPr>
            <w:rFonts w:ascii="Cambria Math" w:hAnsi="Cambria Math" w:cs="Arial"/>
            <w:sz w:val="22"/>
            <w:szCs w:val="22"/>
          </w:rPr>
          <m:t>P</m:t>
        </m:r>
        <m:acc>
          <m:accPr>
            <m:ctrlPr>
              <w:rPr>
                <w:rFonts w:ascii="Cambria Math" w:hAnsi="Cambria Math" w:cs="Arial"/>
                <w:i/>
                <w:sz w:val="22"/>
                <w:szCs w:val="22"/>
              </w:rPr>
            </m:ctrlPr>
          </m:accPr>
          <m:e>
            <m:r>
              <w:rPr>
                <w:rFonts w:ascii="Cambria Math" w:hAnsi="Cambria Math" w:cs="Arial"/>
                <w:sz w:val="22"/>
                <w:szCs w:val="22"/>
              </w:rPr>
              <m:t>B</m:t>
            </m:r>
          </m:e>
        </m:acc>
        <m:r>
          <w:rPr>
            <w:rFonts w:ascii="Cambria Math" w:hAnsi="Cambria Math" w:cs="Arial"/>
            <w:sz w:val="22"/>
            <w:szCs w:val="22"/>
            <w:lang w:val="en-US"/>
          </w:rPr>
          <m:t>I</m:t>
        </m:r>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p</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p</m:t>
            </m:r>
          </m:sub>
        </m:sSub>
        <m:r>
          <w:rPr>
            <w:rFonts w:ascii="Cambria Math" w:hAnsi="Cambria Math" w:cs="Arial"/>
            <w:sz w:val="22"/>
            <w:szCs w:val="22"/>
          </w:rPr>
          <m:t>,I)</m:t>
        </m:r>
      </m:oMath>
      <w:r w:rsidR="00EF092A">
        <w:rPr>
          <w:rFonts w:ascii="Arial" w:hAnsi="Arial" w:cs="Arial"/>
          <w:sz w:val="22"/>
          <w:szCs w:val="22"/>
        </w:rPr>
        <w:t>-</w:t>
      </w:r>
      <m:oMath>
        <m:r>
          <w:rPr>
            <w:rFonts w:ascii="Cambria Math" w:hAnsi="Cambria Math" w:cs="Arial"/>
            <w:sz w:val="22"/>
            <w:szCs w:val="22"/>
          </w:rPr>
          <m:t xml:space="preserve"> P</m:t>
        </m:r>
        <m:acc>
          <m:accPr>
            <m:ctrlPr>
              <w:rPr>
                <w:rFonts w:ascii="Cambria Math" w:hAnsi="Cambria Math" w:cs="Arial"/>
                <w:i/>
                <w:sz w:val="22"/>
                <w:szCs w:val="22"/>
              </w:rPr>
            </m:ctrlPr>
          </m:accPr>
          <m:e>
            <m:r>
              <w:rPr>
                <w:rFonts w:ascii="Cambria Math" w:hAnsi="Cambria Math" w:cs="Arial"/>
                <w:sz w:val="22"/>
                <w:szCs w:val="22"/>
              </w:rPr>
              <m:t>B</m:t>
            </m:r>
          </m:e>
        </m:acc>
        <m:r>
          <w:rPr>
            <w:rFonts w:ascii="Cambria Math" w:hAnsi="Cambria Math" w:cs="Arial"/>
            <w:sz w:val="22"/>
            <w:szCs w:val="22"/>
            <w:lang w:val="en-US"/>
          </w:rPr>
          <m:t>I</m:t>
        </m:r>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c</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p</m:t>
            </m:r>
          </m:sub>
        </m:sSub>
        <m:r>
          <w:rPr>
            <w:rFonts w:ascii="Cambria Math" w:hAnsi="Cambria Math" w:cs="Arial"/>
            <w:sz w:val="22"/>
            <w:szCs w:val="22"/>
          </w:rPr>
          <m:t>,I)</m:t>
        </m:r>
      </m:oMath>
      <w:r w:rsidR="00A94E21">
        <w:rPr>
          <w:rFonts w:ascii="Arial" w:hAnsi="Arial" w:cs="Arial"/>
          <w:sz w:val="22"/>
          <w:szCs w:val="22"/>
        </w:rPr>
        <w:t xml:space="preserve"> podría interpretarse como el incremento de PBI atribuible a las políticas apoyadas.</w:t>
      </w:r>
    </w:p>
    <w:p w:rsidR="000335FB" w:rsidRPr="006E5149" w:rsidRDefault="00930137" w:rsidP="00A22B39">
      <w:pPr>
        <w:pStyle w:val="21Paragraph"/>
        <w:numPr>
          <w:ilvl w:val="7"/>
          <w:numId w:val="28"/>
        </w:numPr>
        <w:rPr>
          <w:rFonts w:ascii="Arial" w:hAnsi="Arial" w:cs="Arial"/>
          <w:sz w:val="22"/>
          <w:szCs w:val="22"/>
        </w:rPr>
      </w:pPr>
      <w:r>
        <w:rPr>
          <w:rFonts w:ascii="Arial" w:hAnsi="Arial" w:cs="Arial"/>
          <w:sz w:val="22"/>
          <w:szCs w:val="22"/>
        </w:rPr>
        <w:t>Un segundo ejercicio a realizar es similar al anterior, pero esta vez se “permite” que todos los parámetros calibrados varíen</w:t>
      </w:r>
      <w:r>
        <w:rPr>
          <w:rStyle w:val="FootnoteReference"/>
          <w:rFonts w:ascii="Arial" w:hAnsi="Arial" w:cs="Arial"/>
          <w:sz w:val="22"/>
          <w:szCs w:val="22"/>
        </w:rPr>
        <w:footnoteReference w:id="20"/>
      </w:r>
      <w:r>
        <w:rPr>
          <w:rFonts w:ascii="Arial" w:hAnsi="Arial" w:cs="Arial"/>
          <w:sz w:val="22"/>
          <w:szCs w:val="22"/>
        </w:rPr>
        <w:t>.</w:t>
      </w:r>
      <w:r w:rsidR="00A22B39">
        <w:rPr>
          <w:rFonts w:ascii="Arial" w:hAnsi="Arial" w:cs="Arial"/>
          <w:sz w:val="22"/>
          <w:szCs w:val="22"/>
        </w:rPr>
        <w:t xml:space="preserve"> Este caso difiere del anterior en que </w:t>
      </w:r>
      <m:oMath>
        <m:r>
          <w:rPr>
            <w:rFonts w:ascii="Cambria Math" w:hAnsi="Cambria Math" w:cs="Arial"/>
            <w:sz w:val="22"/>
            <w:szCs w:val="22"/>
          </w:rPr>
          <m:t>P</m:t>
        </m:r>
        <m:acc>
          <m:accPr>
            <m:ctrlPr>
              <w:rPr>
                <w:rFonts w:ascii="Cambria Math" w:hAnsi="Cambria Math" w:cs="Arial"/>
                <w:i/>
                <w:sz w:val="22"/>
                <w:szCs w:val="22"/>
              </w:rPr>
            </m:ctrlPr>
          </m:accPr>
          <m:e>
            <m:r>
              <w:rPr>
                <w:rFonts w:ascii="Cambria Math" w:hAnsi="Cambria Math" w:cs="Arial"/>
                <w:sz w:val="22"/>
                <w:szCs w:val="22"/>
              </w:rPr>
              <m:t>B</m:t>
            </m:r>
          </m:e>
        </m:acc>
        <m:r>
          <w:rPr>
            <w:rFonts w:ascii="Cambria Math" w:hAnsi="Cambria Math" w:cs="Arial"/>
            <w:sz w:val="22"/>
            <w:szCs w:val="22"/>
            <w:lang w:val="en-US"/>
          </w:rPr>
          <m:t>I</m:t>
        </m:r>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c</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c</m:t>
            </m:r>
          </m:sub>
        </m:sSub>
        <m:r>
          <w:rPr>
            <w:rFonts w:ascii="Cambria Math" w:hAnsi="Cambria Math" w:cs="Arial"/>
            <w:sz w:val="22"/>
            <w:szCs w:val="22"/>
          </w:rPr>
          <m:t>,I)</m:t>
        </m:r>
      </m:oMath>
      <w:r w:rsidR="00A22B39">
        <w:rPr>
          <w:rFonts w:ascii="Arial" w:hAnsi="Arial" w:cs="Arial"/>
          <w:sz w:val="22"/>
          <w:szCs w:val="22"/>
        </w:rPr>
        <w:t xml:space="preserve"> sería esencialmente la predicción de la primera calibración al momento de la segunda calibración. Con esto, la diferencia </w:t>
      </w:r>
      <m:oMath>
        <m:r>
          <w:rPr>
            <w:rFonts w:ascii="Cambria Math" w:hAnsi="Cambria Math" w:cs="Arial"/>
            <w:sz w:val="22"/>
            <w:szCs w:val="22"/>
          </w:rPr>
          <m:t>P</m:t>
        </m:r>
        <m:acc>
          <m:accPr>
            <m:ctrlPr>
              <w:rPr>
                <w:rFonts w:ascii="Cambria Math" w:hAnsi="Cambria Math" w:cs="Arial"/>
                <w:i/>
                <w:sz w:val="22"/>
                <w:szCs w:val="22"/>
              </w:rPr>
            </m:ctrlPr>
          </m:accPr>
          <m:e>
            <m:r>
              <w:rPr>
                <w:rFonts w:ascii="Cambria Math" w:hAnsi="Cambria Math" w:cs="Arial"/>
                <w:sz w:val="22"/>
                <w:szCs w:val="22"/>
              </w:rPr>
              <m:t>B</m:t>
            </m:r>
          </m:e>
        </m:acc>
        <m:r>
          <w:rPr>
            <w:rFonts w:ascii="Cambria Math" w:hAnsi="Cambria Math" w:cs="Arial"/>
            <w:sz w:val="22"/>
            <w:szCs w:val="22"/>
            <w:lang w:val="en-US"/>
          </w:rPr>
          <m:t>I</m:t>
        </m:r>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p</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p</m:t>
            </m:r>
          </m:sub>
        </m:sSub>
        <m:r>
          <w:rPr>
            <w:rFonts w:ascii="Cambria Math" w:hAnsi="Cambria Math" w:cs="Arial"/>
            <w:sz w:val="22"/>
            <w:szCs w:val="22"/>
          </w:rPr>
          <m:t>,I)</m:t>
        </m:r>
      </m:oMath>
      <w:r w:rsidR="00A22B39">
        <w:rPr>
          <w:rFonts w:ascii="Arial" w:hAnsi="Arial" w:cs="Arial"/>
          <w:sz w:val="22"/>
          <w:szCs w:val="22"/>
        </w:rPr>
        <w:t>-</w:t>
      </w:r>
      <m:oMath>
        <m:r>
          <w:rPr>
            <w:rFonts w:ascii="Cambria Math" w:hAnsi="Cambria Math" w:cs="Arial"/>
            <w:sz w:val="22"/>
            <w:szCs w:val="22"/>
          </w:rPr>
          <m:t xml:space="preserve"> P</m:t>
        </m:r>
        <m:acc>
          <m:accPr>
            <m:ctrlPr>
              <w:rPr>
                <w:rFonts w:ascii="Cambria Math" w:hAnsi="Cambria Math" w:cs="Arial"/>
                <w:i/>
                <w:sz w:val="22"/>
                <w:szCs w:val="22"/>
              </w:rPr>
            </m:ctrlPr>
          </m:accPr>
          <m:e>
            <m:r>
              <w:rPr>
                <w:rFonts w:ascii="Cambria Math" w:hAnsi="Cambria Math" w:cs="Arial"/>
                <w:sz w:val="22"/>
                <w:szCs w:val="22"/>
              </w:rPr>
              <m:t>B</m:t>
            </m:r>
          </m:e>
        </m:acc>
        <m:r>
          <w:rPr>
            <w:rFonts w:ascii="Cambria Math" w:hAnsi="Cambria Math" w:cs="Arial"/>
            <w:sz w:val="22"/>
            <w:szCs w:val="22"/>
            <w:lang w:val="en-US"/>
          </w:rPr>
          <m:t>I</m:t>
        </m:r>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c</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c</m:t>
            </m:r>
          </m:sub>
        </m:sSub>
        <m:r>
          <w:rPr>
            <w:rFonts w:ascii="Cambria Math" w:hAnsi="Cambria Math" w:cs="Arial"/>
            <w:sz w:val="22"/>
            <w:szCs w:val="22"/>
          </w:rPr>
          <m:t>,I)</m:t>
        </m:r>
      </m:oMath>
      <w:r w:rsidR="00A22B39">
        <w:rPr>
          <w:rFonts w:ascii="Arial" w:hAnsi="Arial" w:cs="Arial"/>
          <w:sz w:val="22"/>
          <w:szCs w:val="22"/>
        </w:rPr>
        <w:t xml:space="preserve"> podría interpretarse como el impacto de las reformas.</w:t>
      </w:r>
      <w:r w:rsidR="00AF165B">
        <w:rPr>
          <w:rFonts w:ascii="Arial" w:hAnsi="Arial" w:cs="Arial"/>
          <w:sz w:val="22"/>
          <w:szCs w:val="22"/>
        </w:rPr>
        <w:t xml:space="preserve"> </w:t>
      </w:r>
    </w:p>
    <w:p w:rsidR="00527E0D" w:rsidRPr="00C2576A" w:rsidRDefault="00527E0D" w:rsidP="0098544C">
      <w:pPr>
        <w:pStyle w:val="21Paragraph"/>
        <w:ind w:left="720" w:hanging="720"/>
        <w:rPr>
          <w:rFonts w:ascii="Arial" w:hAnsi="Arial" w:cs="Arial"/>
          <w:sz w:val="22"/>
          <w:szCs w:val="22"/>
        </w:rPr>
      </w:pPr>
      <w:r w:rsidRPr="00C2576A">
        <w:rPr>
          <w:rFonts w:ascii="Arial" w:hAnsi="Arial" w:cs="Arial"/>
          <w:b/>
          <w:sz w:val="22"/>
          <w:szCs w:val="22"/>
        </w:rPr>
        <w:t>Datos.</w:t>
      </w:r>
      <w:r w:rsidRPr="00C2576A">
        <w:rPr>
          <w:rFonts w:ascii="Arial" w:hAnsi="Arial" w:cs="Arial"/>
          <w:sz w:val="22"/>
          <w:szCs w:val="22"/>
        </w:rPr>
        <w:t xml:space="preserve"> Ya se ha indicado que el modelo ha sido calibrado. En particular, los datos pueden volver a tomarse (actualizados) del “World Bank Enterprise Surveys” y del “World Development Indicators”. En particular:</w:t>
      </w:r>
    </w:p>
    <w:p w:rsidR="00527E0D" w:rsidRPr="00C2576A" w:rsidRDefault="00527E0D" w:rsidP="00657C5B">
      <w:pPr>
        <w:pStyle w:val="21Paragraph"/>
        <w:numPr>
          <w:ilvl w:val="7"/>
          <w:numId w:val="28"/>
        </w:numPr>
        <w:rPr>
          <w:rFonts w:ascii="Arial" w:hAnsi="Arial" w:cs="Arial"/>
          <w:sz w:val="22"/>
          <w:szCs w:val="22"/>
        </w:rPr>
      </w:pPr>
      <w:r w:rsidRPr="00C2576A">
        <w:rPr>
          <w:rFonts w:ascii="Arial" w:hAnsi="Arial" w:cs="Arial"/>
          <w:sz w:val="22"/>
          <w:szCs w:val="22"/>
        </w:rPr>
        <w:lastRenderedPageBreak/>
        <w:t xml:space="preserve">Los datos de garantías para obtener préstamos pueden tomarse del ES, lo mismo que el porcentaje de empresas con líneas bancarias. Así mismo, con microdatos disponibles a requisición, se puede calcular la distribución de empleo (ES). </w:t>
      </w:r>
    </w:p>
    <w:p w:rsidR="00527E0D" w:rsidRPr="00C2576A" w:rsidRDefault="00527E0D" w:rsidP="00657C5B">
      <w:pPr>
        <w:pStyle w:val="21Paragraph"/>
        <w:numPr>
          <w:ilvl w:val="7"/>
          <w:numId w:val="28"/>
        </w:numPr>
        <w:rPr>
          <w:rFonts w:ascii="Arial" w:hAnsi="Arial" w:cs="Arial"/>
          <w:sz w:val="22"/>
          <w:szCs w:val="22"/>
        </w:rPr>
      </w:pPr>
      <w:r w:rsidRPr="00C2576A">
        <w:rPr>
          <w:rFonts w:ascii="Arial" w:hAnsi="Arial" w:cs="Arial"/>
          <w:sz w:val="22"/>
          <w:szCs w:val="22"/>
        </w:rPr>
        <w:t>Los datos del WDI son útiles para la tasa de ahorro, diferencial de tasas (spread), préstamos en situación irregular (Non-performing loans)</w:t>
      </w:r>
    </w:p>
    <w:p w:rsidR="008D2880" w:rsidRDefault="008D2880" w:rsidP="00657C5B">
      <w:pPr>
        <w:pStyle w:val="21Paragraph"/>
        <w:numPr>
          <w:ilvl w:val="7"/>
          <w:numId w:val="28"/>
        </w:numPr>
        <w:rPr>
          <w:rFonts w:ascii="Arial" w:hAnsi="Arial" w:cs="Arial"/>
          <w:sz w:val="22"/>
          <w:szCs w:val="22"/>
        </w:rPr>
      </w:pPr>
      <w:r w:rsidRPr="00C2576A">
        <w:rPr>
          <w:rFonts w:ascii="Arial" w:hAnsi="Arial" w:cs="Arial"/>
          <w:sz w:val="22"/>
          <w:szCs w:val="22"/>
        </w:rPr>
        <w:t xml:space="preserve">Los parámetros </w:t>
      </w:r>
      <m:oMath>
        <m:r>
          <w:rPr>
            <w:rFonts w:ascii="Cambria Math" w:hAnsi="Cambria Math" w:cs="Arial"/>
            <w:sz w:val="22"/>
            <w:szCs w:val="22"/>
          </w:rPr>
          <m:t>ν, δ, γ, α</m:t>
        </m:r>
      </m:oMath>
      <w:r w:rsidRPr="00C2576A">
        <w:rPr>
          <w:rFonts w:ascii="Arial" w:hAnsi="Arial" w:cs="Arial"/>
          <w:sz w:val="22"/>
          <w:szCs w:val="22"/>
        </w:rPr>
        <w:t xml:space="preserve"> se toman de Buera y Shin (2013)</w:t>
      </w:r>
      <w:r w:rsidRPr="00C2576A">
        <w:rPr>
          <w:rStyle w:val="FootnoteReference"/>
          <w:rFonts w:ascii="Arial" w:hAnsi="Arial" w:cs="Arial"/>
          <w:sz w:val="22"/>
          <w:szCs w:val="22"/>
        </w:rPr>
        <w:footnoteReference w:id="21"/>
      </w:r>
    </w:p>
    <w:p w:rsidR="00E246C5" w:rsidRDefault="00E246C5" w:rsidP="00657C5B">
      <w:pPr>
        <w:pStyle w:val="21Paragraph"/>
        <w:numPr>
          <w:ilvl w:val="7"/>
          <w:numId w:val="28"/>
        </w:numPr>
        <w:rPr>
          <w:rFonts w:ascii="Arial" w:hAnsi="Arial" w:cs="Arial"/>
          <w:sz w:val="22"/>
          <w:szCs w:val="22"/>
        </w:rPr>
      </w:pPr>
      <w:r w:rsidRPr="003B56A7">
        <w:rPr>
          <w:rFonts w:ascii="Arial" w:hAnsi="Arial" w:cs="Arial"/>
          <w:b/>
          <w:sz w:val="22"/>
          <w:szCs w:val="22"/>
        </w:rPr>
        <w:t>Relación entre datos y parámetros calibrados</w:t>
      </w:r>
      <w:r>
        <w:rPr>
          <w:rFonts w:ascii="Arial" w:hAnsi="Arial" w:cs="Arial"/>
          <w:sz w:val="22"/>
          <w:szCs w:val="22"/>
        </w:rPr>
        <w:t xml:space="preserve">. Dejando de lado los </w:t>
      </w:r>
      <w:r w:rsidRPr="00C2576A">
        <w:rPr>
          <w:rFonts w:ascii="Arial" w:hAnsi="Arial" w:cs="Arial"/>
          <w:sz w:val="22"/>
          <w:szCs w:val="22"/>
        </w:rPr>
        <w:t xml:space="preserve">parámetros </w:t>
      </w:r>
      <m:oMath>
        <m:r>
          <w:rPr>
            <w:rFonts w:ascii="Cambria Math" w:hAnsi="Cambria Math" w:cs="Arial"/>
            <w:sz w:val="22"/>
            <w:szCs w:val="22"/>
          </w:rPr>
          <m:t>ν, δ, γ, α</m:t>
        </m:r>
      </m:oMath>
      <w:r w:rsidR="005D4FEA">
        <w:rPr>
          <w:rFonts w:ascii="Arial" w:hAnsi="Arial" w:cs="Arial"/>
          <w:sz w:val="22"/>
          <w:szCs w:val="22"/>
        </w:rPr>
        <w:t xml:space="preserve"> no hay una relación directa entre los datos y los parámetros calibrados haciendo un “matching” de los momentos simulados con los momentos observados en los datos. Dos casos </w:t>
      </w:r>
      <w:r w:rsidR="009158E3">
        <w:rPr>
          <w:rFonts w:ascii="Arial" w:hAnsi="Arial" w:cs="Arial"/>
          <w:sz w:val="22"/>
          <w:szCs w:val="22"/>
        </w:rPr>
        <w:t xml:space="preserve">particulares son </w:t>
      </w:r>
      <m:oMath>
        <m:r>
          <w:rPr>
            <w:rFonts w:ascii="Cambria Math" w:hAnsi="Cambria Math" w:cs="Arial"/>
            <w:sz w:val="22"/>
            <w:szCs w:val="22"/>
          </w:rPr>
          <m:t>ω</m:t>
        </m:r>
      </m:oMath>
      <w:r w:rsidR="009158E3">
        <w:rPr>
          <w:rFonts w:ascii="Arial" w:hAnsi="Arial" w:cs="Arial"/>
          <w:sz w:val="22"/>
          <w:szCs w:val="22"/>
        </w:rPr>
        <w:t xml:space="preserve"> y </w:t>
      </w:r>
      <m:oMath>
        <m:r>
          <w:rPr>
            <w:rFonts w:ascii="Cambria Math" w:hAnsi="Cambria Math" w:cs="Arial"/>
            <w:sz w:val="22"/>
            <w:szCs w:val="22"/>
          </w:rPr>
          <m:t>λ</m:t>
        </m:r>
      </m:oMath>
      <w:r w:rsidR="009158E3">
        <w:rPr>
          <w:rFonts w:ascii="Arial" w:hAnsi="Arial" w:cs="Arial"/>
          <w:sz w:val="22"/>
          <w:szCs w:val="22"/>
        </w:rPr>
        <w:t xml:space="preserve"> que pueden calibrarse directamente con los datos de ahorro bruto en relación al PBI y con el valor promedio de colateral respecto de los préstamos (primer dato de cuentas nacionales, capturado en el WDI, y el segundo relevado por el ES). </w:t>
      </w:r>
      <w:r w:rsidR="007B61FB">
        <w:rPr>
          <w:rFonts w:ascii="Arial" w:hAnsi="Arial" w:cs="Arial"/>
          <w:sz w:val="22"/>
          <w:szCs w:val="22"/>
        </w:rPr>
        <w:t xml:space="preserve">El siguiente cuadro presenta un resumen de los datos (momentos objetivo) y los parámetros.  </w:t>
      </w:r>
    </w:p>
    <w:tbl>
      <w:tblPr>
        <w:tblStyle w:val="TableGrid"/>
        <w:tblW w:w="0" w:type="auto"/>
        <w:tblInd w:w="1440" w:type="dxa"/>
        <w:tblLook w:val="04A0" w:firstRow="1" w:lastRow="0" w:firstColumn="1" w:lastColumn="0" w:noHBand="0" w:noVBand="1"/>
      </w:tblPr>
      <w:tblGrid>
        <w:gridCol w:w="3769"/>
        <w:gridCol w:w="3647"/>
      </w:tblGrid>
      <w:tr w:rsidR="005211B7" w:rsidTr="00953954">
        <w:trPr>
          <w:trHeight w:val="476"/>
        </w:trPr>
        <w:tc>
          <w:tcPr>
            <w:tcW w:w="3769" w:type="dxa"/>
          </w:tcPr>
          <w:p w:rsidR="005211B7" w:rsidRPr="00953954" w:rsidRDefault="00953954" w:rsidP="00C66D62">
            <w:pPr>
              <w:pStyle w:val="21Paragraph"/>
              <w:numPr>
                <w:ilvl w:val="0"/>
                <w:numId w:val="0"/>
              </w:numPr>
              <w:jc w:val="left"/>
              <w:rPr>
                <w:rFonts w:ascii="Arial" w:hAnsi="Arial" w:cs="Arial"/>
                <w:sz w:val="16"/>
                <w:szCs w:val="16"/>
              </w:rPr>
            </w:pPr>
            <w:r w:rsidRPr="00953954">
              <w:rPr>
                <w:rFonts w:ascii="Arial" w:hAnsi="Arial" w:cs="Arial"/>
                <w:sz w:val="16"/>
                <w:szCs w:val="16"/>
              </w:rPr>
              <w:t>Ahorro (% PBI)</w:t>
            </w:r>
          </w:p>
          <w:p w:rsidR="00953954" w:rsidRPr="00953954" w:rsidRDefault="00953954" w:rsidP="00C66D62">
            <w:pPr>
              <w:pStyle w:val="21Paragraph"/>
              <w:numPr>
                <w:ilvl w:val="0"/>
                <w:numId w:val="0"/>
              </w:numPr>
              <w:jc w:val="left"/>
              <w:rPr>
                <w:rFonts w:ascii="Arial" w:hAnsi="Arial" w:cs="Arial"/>
                <w:sz w:val="16"/>
                <w:szCs w:val="16"/>
              </w:rPr>
            </w:pPr>
            <w:r w:rsidRPr="00953954">
              <w:rPr>
                <w:rFonts w:ascii="Arial" w:hAnsi="Arial" w:cs="Arial"/>
                <w:sz w:val="16"/>
                <w:szCs w:val="16"/>
              </w:rPr>
              <w:t>Garantía (colateral) como % del préstamo</w:t>
            </w:r>
          </w:p>
          <w:p w:rsidR="00953954" w:rsidRPr="00953954" w:rsidRDefault="00953954" w:rsidP="00C66D62">
            <w:pPr>
              <w:pStyle w:val="21Paragraph"/>
              <w:numPr>
                <w:ilvl w:val="0"/>
                <w:numId w:val="0"/>
              </w:numPr>
              <w:jc w:val="left"/>
              <w:rPr>
                <w:rFonts w:ascii="Arial" w:hAnsi="Arial" w:cs="Arial"/>
                <w:sz w:val="16"/>
                <w:szCs w:val="16"/>
              </w:rPr>
            </w:pPr>
            <w:r w:rsidRPr="00953954">
              <w:rPr>
                <w:rFonts w:ascii="Arial" w:hAnsi="Arial" w:cs="Arial"/>
                <w:sz w:val="16"/>
                <w:szCs w:val="16"/>
              </w:rPr>
              <w:t>Empresas con crédito (en %)</w:t>
            </w:r>
          </w:p>
          <w:p w:rsidR="00953954" w:rsidRDefault="00953954" w:rsidP="00C66D62">
            <w:pPr>
              <w:pStyle w:val="21Paragraph"/>
              <w:numPr>
                <w:ilvl w:val="0"/>
                <w:numId w:val="0"/>
              </w:numPr>
              <w:jc w:val="left"/>
              <w:rPr>
                <w:rFonts w:ascii="Arial" w:hAnsi="Arial" w:cs="Arial"/>
                <w:sz w:val="16"/>
                <w:szCs w:val="16"/>
              </w:rPr>
            </w:pPr>
            <w:r w:rsidRPr="00953954">
              <w:rPr>
                <w:rFonts w:ascii="Arial" w:hAnsi="Arial" w:cs="Arial"/>
                <w:sz w:val="16"/>
                <w:szCs w:val="16"/>
              </w:rPr>
              <w:t>Préstamos en situación irregular (en %)</w:t>
            </w:r>
          </w:p>
          <w:p w:rsidR="00953954" w:rsidRDefault="00953954" w:rsidP="00C66D62">
            <w:pPr>
              <w:pStyle w:val="21Paragraph"/>
              <w:numPr>
                <w:ilvl w:val="0"/>
                <w:numId w:val="0"/>
              </w:numPr>
              <w:jc w:val="left"/>
              <w:rPr>
                <w:rFonts w:ascii="Arial" w:hAnsi="Arial" w:cs="Arial"/>
                <w:sz w:val="16"/>
                <w:szCs w:val="16"/>
              </w:rPr>
            </w:pPr>
            <w:r>
              <w:rPr>
                <w:rFonts w:ascii="Arial" w:hAnsi="Arial" w:cs="Arial"/>
                <w:sz w:val="16"/>
                <w:szCs w:val="16"/>
              </w:rPr>
              <w:t>Diferencial tasas de interés</w:t>
            </w:r>
          </w:p>
          <w:p w:rsidR="00C66D62" w:rsidRDefault="00C66D62" w:rsidP="00C66D62">
            <w:pPr>
              <w:pStyle w:val="21Paragraph"/>
              <w:numPr>
                <w:ilvl w:val="0"/>
                <w:numId w:val="0"/>
              </w:numPr>
              <w:jc w:val="left"/>
              <w:rPr>
                <w:rFonts w:ascii="Arial" w:hAnsi="Arial" w:cs="Arial"/>
                <w:sz w:val="16"/>
                <w:szCs w:val="16"/>
              </w:rPr>
            </w:pPr>
            <w:r>
              <w:rPr>
                <w:rFonts w:ascii="Arial" w:hAnsi="Arial" w:cs="Arial"/>
                <w:sz w:val="16"/>
                <w:szCs w:val="16"/>
              </w:rPr>
              <w:t>Gastos generales de negocios (% de los activos)</w:t>
            </w:r>
          </w:p>
          <w:p w:rsidR="00C66D62" w:rsidRPr="00953954" w:rsidRDefault="00C66D62" w:rsidP="00C66D62">
            <w:pPr>
              <w:pStyle w:val="21Paragraph"/>
              <w:numPr>
                <w:ilvl w:val="0"/>
                <w:numId w:val="0"/>
              </w:numPr>
              <w:jc w:val="left"/>
              <w:rPr>
                <w:rFonts w:ascii="Arial" w:hAnsi="Arial" w:cs="Arial"/>
                <w:sz w:val="16"/>
                <w:szCs w:val="16"/>
              </w:rPr>
            </w:pPr>
            <w:r>
              <w:rPr>
                <w:rFonts w:ascii="Arial" w:hAnsi="Arial" w:cs="Arial"/>
                <w:sz w:val="16"/>
                <w:szCs w:val="16"/>
              </w:rPr>
              <w:t>Distribución de empleo (rangos: top 5%, 10%, 20%, 40%)</w:t>
            </w:r>
          </w:p>
        </w:tc>
        <w:tc>
          <w:tcPr>
            <w:tcW w:w="3647" w:type="dxa"/>
          </w:tcPr>
          <w:p w:rsidR="005211B7" w:rsidRPr="00551120" w:rsidRDefault="00551120" w:rsidP="00551120">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ω</m:t>
                </m:r>
              </m:oMath>
            </m:oMathPara>
          </w:p>
          <w:p w:rsidR="00551120" w:rsidRPr="00551120" w:rsidRDefault="00551120" w:rsidP="00551120">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λ</m:t>
                </m:r>
              </m:oMath>
            </m:oMathPara>
          </w:p>
          <w:p w:rsidR="00551120" w:rsidRPr="00551120" w:rsidRDefault="00551120" w:rsidP="00551120">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ψ</m:t>
                </m:r>
              </m:oMath>
            </m:oMathPara>
          </w:p>
          <w:p w:rsidR="00551120" w:rsidRPr="00551120" w:rsidRDefault="00551120" w:rsidP="00551120">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p</m:t>
                </m:r>
              </m:oMath>
            </m:oMathPara>
          </w:p>
          <w:p w:rsidR="00551120" w:rsidRPr="00551120" w:rsidRDefault="00551120" w:rsidP="00551120">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χ</m:t>
                </m:r>
              </m:oMath>
            </m:oMathPara>
          </w:p>
          <w:p w:rsidR="00551120" w:rsidRPr="00E62360" w:rsidRDefault="00551120" w:rsidP="00551120">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η</m:t>
                </m:r>
              </m:oMath>
            </m:oMathPara>
          </w:p>
          <w:p w:rsidR="00E62360" w:rsidRPr="00551120" w:rsidRDefault="00E62360" w:rsidP="00E62360">
            <w:pPr>
              <w:pStyle w:val="21Paragraph"/>
              <w:numPr>
                <w:ilvl w:val="0"/>
                <w:numId w:val="0"/>
              </w:numPr>
              <w:rPr>
                <w:rFonts w:ascii="Arial" w:hAnsi="Arial" w:cs="Arial"/>
                <w:sz w:val="16"/>
                <w:szCs w:val="16"/>
                <w:lang w:val="en-US"/>
              </w:rPr>
            </w:pPr>
            <m:oMathPara>
              <m:oMath>
                <m:r>
                  <w:rPr>
                    <w:rFonts w:ascii="Cambria Math" w:hAnsi="Cambria Math" w:cs="Arial"/>
                    <w:sz w:val="16"/>
                    <w:szCs w:val="16"/>
                    <w:lang w:val="en-US"/>
                  </w:rPr>
                  <m:t>θ</m:t>
                </m:r>
              </m:oMath>
            </m:oMathPara>
          </w:p>
        </w:tc>
      </w:tr>
      <w:tr w:rsidR="005211B7" w:rsidTr="00953954">
        <w:tc>
          <w:tcPr>
            <w:tcW w:w="3769" w:type="dxa"/>
          </w:tcPr>
          <w:p w:rsidR="005211B7" w:rsidRPr="00953954" w:rsidRDefault="00E62360" w:rsidP="00DA190E">
            <w:pPr>
              <w:pStyle w:val="21Paragraph"/>
              <w:numPr>
                <w:ilvl w:val="0"/>
                <w:numId w:val="0"/>
              </w:numPr>
              <w:rPr>
                <w:rFonts w:ascii="Arial" w:hAnsi="Arial" w:cs="Arial"/>
                <w:sz w:val="16"/>
                <w:szCs w:val="16"/>
              </w:rPr>
            </w:pPr>
            <w:r>
              <w:rPr>
                <w:rFonts w:ascii="Arial" w:hAnsi="Arial" w:cs="Arial"/>
                <w:sz w:val="16"/>
                <w:szCs w:val="16"/>
              </w:rPr>
              <w:t>Predeterminados (literatura)</w:t>
            </w:r>
          </w:p>
        </w:tc>
        <w:tc>
          <w:tcPr>
            <w:tcW w:w="3647" w:type="dxa"/>
          </w:tcPr>
          <w:p w:rsidR="005211B7" w:rsidRPr="00953954" w:rsidRDefault="00E62360" w:rsidP="00DA190E">
            <w:pPr>
              <w:pStyle w:val="21Paragraph"/>
              <w:numPr>
                <w:ilvl w:val="0"/>
                <w:numId w:val="0"/>
              </w:numPr>
              <w:rPr>
                <w:rFonts w:ascii="Arial" w:hAnsi="Arial" w:cs="Arial"/>
                <w:sz w:val="16"/>
                <w:szCs w:val="16"/>
              </w:rPr>
            </w:pPr>
            <m:oMathPara>
              <m:oMath>
                <m:r>
                  <w:rPr>
                    <w:rFonts w:ascii="Cambria Math" w:hAnsi="Cambria Math" w:cs="Arial"/>
                    <w:sz w:val="22"/>
                    <w:szCs w:val="22"/>
                  </w:rPr>
                  <m:t>ν, δ, γ, α</m:t>
                </m:r>
              </m:oMath>
            </m:oMathPara>
          </w:p>
        </w:tc>
      </w:tr>
    </w:tbl>
    <w:p w:rsidR="006515B5" w:rsidRPr="00C2576A" w:rsidRDefault="00850D8D" w:rsidP="0087448D">
      <w:pPr>
        <w:pStyle w:val="21Paragraph"/>
        <w:numPr>
          <w:ilvl w:val="0"/>
          <w:numId w:val="0"/>
        </w:numPr>
        <w:ind w:left="1440"/>
        <w:rPr>
          <w:rFonts w:ascii="Arial" w:hAnsi="Arial" w:cs="Arial"/>
          <w:sz w:val="22"/>
          <w:szCs w:val="22"/>
        </w:rPr>
      </w:pPr>
      <w:r>
        <w:rPr>
          <w:rFonts w:ascii="Arial" w:hAnsi="Arial" w:cs="Arial"/>
          <w:sz w:val="22"/>
          <w:szCs w:val="22"/>
        </w:rPr>
        <w:t xml:space="preserve">Aun cuando la calibración del resto de los parámetros se realiza en forma simultánea, cada momento está particularmente asociado con un parámetro. Así, </w:t>
      </w:r>
      <w:r w:rsidR="00B92341">
        <w:rPr>
          <w:rFonts w:ascii="Arial" w:hAnsi="Arial" w:cs="Arial"/>
          <w:sz w:val="22"/>
          <w:szCs w:val="22"/>
        </w:rPr>
        <w:t xml:space="preserve">el porcentaje de empresas con crédito está mayormente determinado por </w:t>
      </w:r>
      <m:oMath>
        <m:r>
          <w:rPr>
            <w:rFonts w:ascii="Cambria Math" w:hAnsi="Cambria Math" w:cs="Arial"/>
            <w:sz w:val="22"/>
            <w:szCs w:val="22"/>
          </w:rPr>
          <m:t>ψ</m:t>
        </m:r>
      </m:oMath>
      <w:r w:rsidR="00B92341">
        <w:rPr>
          <w:rFonts w:ascii="Arial" w:hAnsi="Arial" w:cs="Arial"/>
          <w:sz w:val="22"/>
          <w:szCs w:val="22"/>
        </w:rPr>
        <w:t xml:space="preserve">, la cartera irregular por </w:t>
      </w:r>
      <m:oMath>
        <m:r>
          <w:rPr>
            <w:rFonts w:ascii="Cambria Math" w:hAnsi="Cambria Math" w:cs="Arial"/>
            <w:sz w:val="22"/>
            <w:szCs w:val="22"/>
          </w:rPr>
          <m:t xml:space="preserve">p </m:t>
        </m:r>
      </m:oMath>
      <w:r w:rsidR="00B92341">
        <w:rPr>
          <w:rFonts w:ascii="Arial" w:hAnsi="Arial" w:cs="Arial"/>
          <w:sz w:val="22"/>
          <w:szCs w:val="22"/>
        </w:rPr>
        <w:t xml:space="preserve">, la distribución de empleo por </w:t>
      </w:r>
      <m:oMath>
        <m:r>
          <w:rPr>
            <w:rFonts w:ascii="Cambria Math" w:hAnsi="Cambria Math" w:cs="Arial"/>
            <w:sz w:val="22"/>
            <w:szCs w:val="22"/>
          </w:rPr>
          <m:t>θ</m:t>
        </m:r>
      </m:oMath>
      <w:r w:rsidR="003B56A7">
        <w:rPr>
          <w:rFonts w:ascii="Arial" w:hAnsi="Arial" w:cs="Arial"/>
          <w:sz w:val="22"/>
          <w:szCs w:val="22"/>
        </w:rPr>
        <w:t xml:space="preserve">, y los gastos generales de negocios y el diferencial de tasas por </w:t>
      </w:r>
      <m:oMath>
        <m:r>
          <w:rPr>
            <w:rFonts w:ascii="Cambria Math" w:hAnsi="Cambria Math" w:cs="Arial"/>
            <w:sz w:val="22"/>
            <w:szCs w:val="22"/>
          </w:rPr>
          <m:t>η</m:t>
        </m:r>
      </m:oMath>
      <w:r w:rsidR="003B56A7">
        <w:rPr>
          <w:rFonts w:ascii="Arial" w:hAnsi="Arial" w:cs="Arial"/>
          <w:sz w:val="22"/>
          <w:szCs w:val="22"/>
        </w:rPr>
        <w:t xml:space="preserve"> y </w:t>
      </w:r>
      <m:oMath>
        <m:r>
          <w:rPr>
            <w:rFonts w:ascii="Cambria Math" w:hAnsi="Cambria Math" w:cs="Arial"/>
            <w:sz w:val="22"/>
            <w:szCs w:val="22"/>
          </w:rPr>
          <m:t>χ</m:t>
        </m:r>
      </m:oMath>
      <w:r w:rsidR="003B56A7">
        <w:rPr>
          <w:rFonts w:ascii="Arial" w:hAnsi="Arial" w:cs="Arial"/>
          <w:sz w:val="22"/>
          <w:szCs w:val="22"/>
        </w:rPr>
        <w:t>.</w:t>
      </w:r>
    </w:p>
    <w:p w:rsidR="00F92066" w:rsidRPr="00C2576A" w:rsidRDefault="00F92066" w:rsidP="00883775">
      <w:pPr>
        <w:pStyle w:val="21Paragraph"/>
        <w:numPr>
          <w:ilvl w:val="0"/>
          <w:numId w:val="0"/>
        </w:numPr>
        <w:ind w:left="720"/>
        <w:rPr>
          <w:rFonts w:ascii="Arial" w:hAnsi="Arial" w:cs="Arial"/>
          <w:sz w:val="22"/>
          <w:szCs w:val="22"/>
        </w:rPr>
      </w:pPr>
    </w:p>
    <w:p w:rsidR="005B633F" w:rsidRPr="00C2576A" w:rsidRDefault="00864F56" w:rsidP="00657C5B">
      <w:pPr>
        <w:pStyle w:val="FirstHeading"/>
        <w:keepNext/>
        <w:numPr>
          <w:ilvl w:val="0"/>
          <w:numId w:val="28"/>
        </w:numPr>
        <w:jc w:val="left"/>
        <w:rPr>
          <w:rFonts w:ascii="Arial" w:hAnsi="Arial"/>
          <w:b/>
          <w:sz w:val="22"/>
          <w:szCs w:val="22"/>
          <w:lang w:val="es-ES_tradnl"/>
        </w:rPr>
      </w:pPr>
      <w:r w:rsidRPr="00C2576A">
        <w:rPr>
          <w:rFonts w:ascii="Arial" w:hAnsi="Arial"/>
          <w:b/>
          <w:sz w:val="22"/>
          <w:szCs w:val="22"/>
        </w:rPr>
        <w:t>C</w:t>
      </w:r>
      <w:r w:rsidR="005B633F" w:rsidRPr="00C2576A">
        <w:rPr>
          <w:rFonts w:ascii="Arial" w:hAnsi="Arial"/>
          <w:b/>
          <w:sz w:val="22"/>
          <w:szCs w:val="22"/>
        </w:rPr>
        <w:t>.</w:t>
      </w:r>
      <w:r w:rsidR="005B633F" w:rsidRPr="00C2576A">
        <w:rPr>
          <w:rFonts w:ascii="Arial" w:hAnsi="Arial"/>
          <w:b/>
          <w:sz w:val="22"/>
          <w:szCs w:val="22"/>
        </w:rPr>
        <w:tab/>
      </w:r>
      <w:r w:rsidR="005B633F" w:rsidRPr="00C2576A">
        <w:rPr>
          <w:rFonts w:ascii="Arial" w:hAnsi="Arial"/>
          <w:b/>
          <w:sz w:val="22"/>
          <w:szCs w:val="22"/>
          <w:lang w:val="es-ES_tradnl"/>
        </w:rPr>
        <w:t xml:space="preserve">Planificación y presupuesto del programa de evaluación </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sz w:val="22"/>
          <w:szCs w:val="22"/>
        </w:rPr>
        <w:t>En la Tabla III.A, se presenta el plan de trabajo para la implementación del Plan de Evaluación. En particular, hacia el primer trimestre de 202</w:t>
      </w:r>
      <w:r w:rsidR="004C174E">
        <w:rPr>
          <w:rFonts w:ascii="Arial" w:hAnsi="Arial" w:cs="Arial"/>
          <w:sz w:val="22"/>
          <w:szCs w:val="22"/>
        </w:rPr>
        <w:t>3</w:t>
      </w:r>
      <w:r w:rsidRPr="00C2576A">
        <w:rPr>
          <w:rFonts w:ascii="Arial" w:hAnsi="Arial" w:cs="Arial"/>
          <w:sz w:val="22"/>
          <w:szCs w:val="22"/>
        </w:rPr>
        <w:t xml:space="preserve"> se prevé la </w:t>
      </w:r>
      <w:r w:rsidRPr="00C2576A">
        <w:rPr>
          <w:rFonts w:ascii="Arial" w:hAnsi="Arial" w:cs="Arial"/>
          <w:sz w:val="22"/>
          <w:szCs w:val="22"/>
        </w:rPr>
        <w:lastRenderedPageBreak/>
        <w:t>contratación de un consultor para llevar adelante la calibración del modelo de equilibrio general como así la estimación econométrica del efecto del programa sobre la productividad financiera. El tiempo estimado de conclusión de esta consultoría se ubica en 6 meses, y su costo es reducido dado que no se requiere un desarrollo a nivel  teórico, a la vez que los datos necesarios para la calibración son públicos o de acceso gratuito luego de un requerimiento administrativo. Adicionalmente se prevé la realización de actividades de difusión cuyo costo puede ser cubierto con recursos transaccionales de la división.</w:t>
      </w:r>
    </w:p>
    <w:p w:rsidR="005B633F" w:rsidRPr="00C2576A" w:rsidRDefault="00864F56" w:rsidP="00657C5B">
      <w:pPr>
        <w:pStyle w:val="FirstHeading"/>
        <w:keepNext/>
        <w:numPr>
          <w:ilvl w:val="0"/>
          <w:numId w:val="28"/>
        </w:numPr>
        <w:jc w:val="left"/>
        <w:rPr>
          <w:rFonts w:ascii="Arial" w:hAnsi="Arial"/>
          <w:b/>
          <w:sz w:val="22"/>
          <w:szCs w:val="22"/>
        </w:rPr>
      </w:pPr>
      <w:r w:rsidRPr="00C2576A">
        <w:rPr>
          <w:rFonts w:ascii="Arial" w:hAnsi="Arial"/>
          <w:b/>
          <w:sz w:val="22"/>
          <w:szCs w:val="22"/>
        </w:rPr>
        <w:t>D</w:t>
      </w:r>
      <w:r w:rsidR="005B633F" w:rsidRPr="00C2576A">
        <w:rPr>
          <w:rFonts w:ascii="Arial" w:hAnsi="Arial"/>
          <w:b/>
          <w:sz w:val="22"/>
          <w:szCs w:val="22"/>
        </w:rPr>
        <w:t>.</w:t>
      </w:r>
      <w:r w:rsidR="005B633F" w:rsidRPr="00C2576A">
        <w:rPr>
          <w:rFonts w:ascii="Arial" w:hAnsi="Arial"/>
          <w:b/>
          <w:sz w:val="22"/>
          <w:szCs w:val="22"/>
        </w:rPr>
        <w:tab/>
        <w:t>Cronograma y costos</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b/>
          <w:sz w:val="22"/>
          <w:szCs w:val="22"/>
        </w:rPr>
        <w:t>Cronograma y costos.</w:t>
      </w:r>
      <w:r w:rsidRPr="00C2576A">
        <w:rPr>
          <w:rFonts w:ascii="Arial" w:hAnsi="Arial" w:cs="Arial"/>
          <w:sz w:val="22"/>
          <w:szCs w:val="22"/>
        </w:rPr>
        <w:t xml:space="preserve"> Se considera que sería posible detectar efectos hacia 2020,</w:t>
      </w:r>
      <w:r w:rsidR="004C174E">
        <w:rPr>
          <w:rFonts w:ascii="Arial" w:hAnsi="Arial" w:cs="Arial"/>
          <w:sz w:val="22"/>
          <w:szCs w:val="22"/>
        </w:rPr>
        <w:t xml:space="preserve"> con lo cual las fechas esperadas de las nuevas encuestas harían que la nueva información ya contenga un impacto significativo de las reformas.</w:t>
      </w:r>
      <w:r w:rsidRPr="00C2576A">
        <w:rPr>
          <w:rFonts w:ascii="Arial" w:hAnsi="Arial" w:cs="Arial"/>
          <w:sz w:val="22"/>
          <w:szCs w:val="22"/>
        </w:rPr>
        <w:t xml:space="preserve"> Como se indicó, se prevé la contratación de un consultor para llevar adelante la calibración del modelo de equilibrio general. El tiempo estimado de conclusión de esta consultoría se ubica en 3 meses, y su costo es reducido dado que no se requiere un desarrollo a nivel  teórico, a la vez que los datos necesarios para la calibración son públicos o de acceso gratuito luego de un requerimiento administrativo. Adicionalmente se prevé la realización de actividades de difusión cuyo costo puede ser cubierto con recursos transaccionales de la división.</w:t>
      </w:r>
    </w:p>
    <w:p w:rsidR="005B633F" w:rsidRPr="00C2576A" w:rsidRDefault="005B633F" w:rsidP="005B633F">
      <w:pPr>
        <w:pStyle w:val="Paragraph"/>
        <w:tabs>
          <w:tab w:val="clear" w:pos="720"/>
        </w:tabs>
        <w:ind w:left="0" w:firstLine="0"/>
        <w:jc w:val="center"/>
        <w:rPr>
          <w:rFonts w:ascii="Arial" w:hAnsi="Arial"/>
          <w:b/>
          <w:lang w:val="es-ES_tradnl"/>
        </w:rPr>
      </w:pPr>
    </w:p>
    <w:p w:rsidR="005B633F" w:rsidRPr="00C2576A" w:rsidRDefault="005B633F" w:rsidP="005B633F">
      <w:pPr>
        <w:pStyle w:val="Paragraph"/>
        <w:tabs>
          <w:tab w:val="clear" w:pos="720"/>
        </w:tabs>
        <w:ind w:left="0" w:firstLine="0"/>
        <w:jc w:val="center"/>
        <w:rPr>
          <w:rFonts w:ascii="Arial" w:hAnsi="Arial"/>
          <w:b/>
          <w:lang w:val="es-ES_tradnl"/>
        </w:rPr>
      </w:pPr>
      <w:r w:rsidRPr="00C2576A">
        <w:rPr>
          <w:rFonts w:ascii="Arial" w:hAnsi="Arial"/>
          <w:b/>
          <w:lang w:val="es-ES_tradnl"/>
        </w:rPr>
        <w:t>Tabla III.A Plan de Trabajo y costo del AE ex post</w:t>
      </w:r>
    </w:p>
    <w:tbl>
      <w:tblPr>
        <w:tblW w:w="8211"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1"/>
        <w:gridCol w:w="270"/>
        <w:gridCol w:w="270"/>
        <w:gridCol w:w="270"/>
        <w:gridCol w:w="270"/>
        <w:gridCol w:w="1059"/>
        <w:gridCol w:w="21"/>
        <w:gridCol w:w="990"/>
        <w:gridCol w:w="2409"/>
        <w:gridCol w:w="21"/>
      </w:tblGrid>
      <w:tr w:rsidR="005B633F" w:rsidRPr="00C2576A" w:rsidTr="0098544C">
        <w:trPr>
          <w:trHeight w:val="485"/>
        </w:trPr>
        <w:tc>
          <w:tcPr>
            <w:tcW w:w="2631"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5B633F" w:rsidRPr="00C2576A" w:rsidRDefault="005B633F" w:rsidP="0098544C">
            <w:pPr>
              <w:spacing w:after="200" w:line="276" w:lineRule="auto"/>
              <w:jc w:val="center"/>
              <w:rPr>
                <w:b/>
                <w:bCs/>
                <w:sz w:val="20"/>
              </w:rPr>
            </w:pPr>
            <w:r w:rsidRPr="00C2576A">
              <w:rPr>
                <w:b/>
                <w:bCs/>
                <w:sz w:val="20"/>
              </w:rPr>
              <w:t>Actividades</w:t>
            </w:r>
          </w:p>
        </w:tc>
        <w:tc>
          <w:tcPr>
            <w:tcW w:w="108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rsidR="005B633F" w:rsidRPr="00C2576A" w:rsidRDefault="005B633F" w:rsidP="004C174E">
            <w:pPr>
              <w:spacing w:before="120" w:after="200" w:line="276" w:lineRule="auto"/>
              <w:jc w:val="center"/>
              <w:rPr>
                <w:b/>
                <w:bCs/>
                <w:sz w:val="20"/>
              </w:rPr>
            </w:pPr>
            <w:r w:rsidRPr="00C2576A">
              <w:rPr>
                <w:b/>
                <w:bCs/>
                <w:sz w:val="20"/>
              </w:rPr>
              <w:t>202</w:t>
            </w:r>
            <w:r w:rsidR="004C174E">
              <w:rPr>
                <w:b/>
                <w:bCs/>
                <w:sz w:val="20"/>
              </w:rPr>
              <w:t>3</w:t>
            </w:r>
          </w:p>
        </w:tc>
        <w:tc>
          <w:tcPr>
            <w:tcW w:w="1080"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center"/>
            <w:hideMark/>
          </w:tcPr>
          <w:p w:rsidR="005B633F" w:rsidRPr="00C2576A" w:rsidRDefault="005B633F" w:rsidP="0098544C">
            <w:pPr>
              <w:spacing w:after="200" w:line="276" w:lineRule="auto"/>
              <w:jc w:val="center"/>
              <w:rPr>
                <w:b/>
                <w:bCs/>
                <w:sz w:val="20"/>
              </w:rPr>
            </w:pPr>
            <w:r w:rsidRPr="00C2576A">
              <w:rPr>
                <w:b/>
                <w:bCs/>
                <w:sz w:val="20"/>
              </w:rPr>
              <w:t>Responsable</w:t>
            </w:r>
          </w:p>
        </w:tc>
        <w:tc>
          <w:tcPr>
            <w:tcW w:w="99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5B633F" w:rsidRPr="00C2576A" w:rsidRDefault="005B633F" w:rsidP="0098544C">
            <w:pPr>
              <w:jc w:val="center"/>
              <w:rPr>
                <w:b/>
                <w:bCs/>
                <w:sz w:val="20"/>
              </w:rPr>
            </w:pPr>
            <w:r w:rsidRPr="00C2576A">
              <w:rPr>
                <w:b/>
                <w:bCs/>
                <w:sz w:val="20"/>
              </w:rPr>
              <w:t>Costo</w:t>
            </w:r>
          </w:p>
          <w:p w:rsidR="005B633F" w:rsidRPr="00C2576A" w:rsidRDefault="005B633F" w:rsidP="0098544C">
            <w:pPr>
              <w:spacing w:after="200" w:line="276" w:lineRule="auto"/>
              <w:jc w:val="center"/>
              <w:rPr>
                <w:b/>
                <w:bCs/>
                <w:sz w:val="20"/>
              </w:rPr>
            </w:pPr>
            <w:r w:rsidRPr="00C2576A">
              <w:rPr>
                <w:b/>
                <w:bCs/>
                <w:sz w:val="20"/>
              </w:rPr>
              <w:t>(US$)</w:t>
            </w:r>
          </w:p>
        </w:tc>
        <w:tc>
          <w:tcPr>
            <w:tcW w:w="2430"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5B633F" w:rsidRPr="00C2576A" w:rsidRDefault="005B633F" w:rsidP="0098544C">
            <w:pPr>
              <w:spacing w:after="200" w:line="276" w:lineRule="auto"/>
              <w:jc w:val="center"/>
              <w:rPr>
                <w:b/>
                <w:bCs/>
                <w:sz w:val="20"/>
              </w:rPr>
            </w:pPr>
            <w:r w:rsidRPr="00C2576A">
              <w:rPr>
                <w:b/>
                <w:bCs/>
                <w:sz w:val="20"/>
              </w:rPr>
              <w:t>Fuente de Financiamiento</w:t>
            </w:r>
          </w:p>
        </w:tc>
      </w:tr>
      <w:tr w:rsidR="005B633F" w:rsidRPr="00C2576A" w:rsidTr="0098544C">
        <w:trPr>
          <w:trHeight w:val="560"/>
        </w:trPr>
        <w:tc>
          <w:tcPr>
            <w:tcW w:w="2631" w:type="dxa"/>
            <w:tcBorders>
              <w:top w:val="single" w:sz="4" w:space="0" w:color="auto"/>
              <w:left w:val="single" w:sz="4" w:space="0" w:color="auto"/>
              <w:bottom w:val="single" w:sz="4" w:space="0" w:color="auto"/>
              <w:right w:val="single" w:sz="4" w:space="0" w:color="auto"/>
            </w:tcBorders>
            <w:noWrap/>
            <w:vAlign w:val="center"/>
          </w:tcPr>
          <w:p w:rsidR="005B633F" w:rsidRPr="00C2576A" w:rsidRDefault="005B633F" w:rsidP="0098544C">
            <w:pPr>
              <w:spacing w:after="200" w:line="276" w:lineRule="auto"/>
              <w:rPr>
                <w:sz w:val="20"/>
              </w:rPr>
            </w:pPr>
            <w:r w:rsidRPr="00C2576A">
              <w:rPr>
                <w:sz w:val="20"/>
              </w:rPr>
              <w:t xml:space="preserve">Calibración modelo y estimación </w:t>
            </w:r>
          </w:p>
        </w:tc>
        <w:tc>
          <w:tcPr>
            <w:tcW w:w="270" w:type="dxa"/>
            <w:tcBorders>
              <w:top w:val="single" w:sz="4" w:space="0" w:color="auto"/>
              <w:left w:val="single" w:sz="4" w:space="0" w:color="auto"/>
              <w:bottom w:val="single" w:sz="4" w:space="0" w:color="auto"/>
              <w:right w:val="single" w:sz="4" w:space="0" w:color="auto"/>
            </w:tcBorders>
            <w:shd w:val="clear" w:color="auto" w:fill="C2D69B" w:themeFill="accent3" w:themeFillTint="99"/>
          </w:tcPr>
          <w:p w:rsidR="005B633F" w:rsidRPr="00C2576A" w:rsidRDefault="005B633F" w:rsidP="0098544C">
            <w:pPr>
              <w:spacing w:after="200" w:line="276" w:lineRule="auto"/>
              <w:rPr>
                <w:sz w:val="20"/>
              </w:rPr>
            </w:pP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tcPr>
          <w:p w:rsidR="005B633F" w:rsidRPr="00C2576A" w:rsidRDefault="005B633F" w:rsidP="0098544C">
            <w:pPr>
              <w:spacing w:after="200" w:line="276" w:lineRule="auto"/>
              <w:rPr>
                <w:sz w:val="20"/>
              </w:rPr>
            </w:pP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633F" w:rsidRPr="00C2576A" w:rsidRDefault="005B633F" w:rsidP="0098544C">
            <w:pPr>
              <w:spacing w:after="200" w:line="276" w:lineRule="auto"/>
              <w:rPr>
                <w:sz w:val="20"/>
              </w:rPr>
            </w:pP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633F" w:rsidRPr="00C2576A" w:rsidRDefault="005B633F" w:rsidP="0098544C">
            <w:pPr>
              <w:spacing w:after="200" w:line="276" w:lineRule="auto"/>
              <w:rPr>
                <w:sz w:val="20"/>
              </w:rPr>
            </w:pPr>
          </w:p>
        </w:tc>
        <w:tc>
          <w:tcPr>
            <w:tcW w:w="1080" w:type="dxa"/>
            <w:gridSpan w:val="2"/>
            <w:tcBorders>
              <w:top w:val="single" w:sz="4" w:space="0" w:color="auto"/>
              <w:left w:val="single" w:sz="4" w:space="0" w:color="auto"/>
              <w:bottom w:val="single" w:sz="4" w:space="0" w:color="auto"/>
              <w:right w:val="single" w:sz="4" w:space="0" w:color="auto"/>
            </w:tcBorders>
            <w:noWrap/>
            <w:vAlign w:val="center"/>
          </w:tcPr>
          <w:p w:rsidR="005B633F" w:rsidRPr="00C2576A" w:rsidRDefault="005B633F" w:rsidP="0098544C">
            <w:pPr>
              <w:spacing w:after="200" w:line="276" w:lineRule="auto"/>
              <w:jc w:val="center"/>
              <w:rPr>
                <w:sz w:val="20"/>
              </w:rPr>
            </w:pPr>
          </w:p>
        </w:tc>
        <w:tc>
          <w:tcPr>
            <w:tcW w:w="990" w:type="dxa"/>
            <w:tcBorders>
              <w:top w:val="single" w:sz="4" w:space="0" w:color="auto"/>
              <w:left w:val="single" w:sz="4" w:space="0" w:color="auto"/>
              <w:bottom w:val="single" w:sz="4" w:space="0" w:color="auto"/>
              <w:right w:val="single" w:sz="4" w:space="0" w:color="auto"/>
            </w:tcBorders>
            <w:vAlign w:val="center"/>
          </w:tcPr>
          <w:p w:rsidR="005B633F" w:rsidRPr="00C2576A" w:rsidRDefault="005B633F" w:rsidP="004C174E">
            <w:pPr>
              <w:spacing w:after="200" w:line="276" w:lineRule="auto"/>
              <w:rPr>
                <w:sz w:val="20"/>
              </w:rPr>
            </w:pPr>
            <w:r w:rsidRPr="00C2576A">
              <w:rPr>
                <w:sz w:val="20"/>
              </w:rPr>
              <w:t>1</w:t>
            </w:r>
            <w:r w:rsidR="004C174E">
              <w:rPr>
                <w:sz w:val="20"/>
              </w:rPr>
              <w:t>7</w:t>
            </w:r>
            <w:r w:rsidRPr="00C2576A">
              <w:rPr>
                <w:sz w:val="20"/>
              </w:rPr>
              <w:t>.000</w:t>
            </w:r>
          </w:p>
        </w:tc>
        <w:tc>
          <w:tcPr>
            <w:tcW w:w="2430" w:type="dxa"/>
            <w:gridSpan w:val="2"/>
            <w:tcBorders>
              <w:top w:val="single" w:sz="4" w:space="0" w:color="auto"/>
              <w:left w:val="single" w:sz="4" w:space="0" w:color="auto"/>
              <w:bottom w:val="single" w:sz="4" w:space="0" w:color="auto"/>
              <w:right w:val="single" w:sz="4" w:space="0" w:color="auto"/>
            </w:tcBorders>
            <w:vAlign w:val="center"/>
          </w:tcPr>
          <w:p w:rsidR="005B633F" w:rsidRPr="00C2576A" w:rsidRDefault="005B633F" w:rsidP="0098544C">
            <w:pPr>
              <w:spacing w:after="200" w:line="276" w:lineRule="auto"/>
              <w:rPr>
                <w:sz w:val="20"/>
              </w:rPr>
            </w:pPr>
            <w:r w:rsidRPr="00C2576A">
              <w:rPr>
                <w:sz w:val="20"/>
              </w:rPr>
              <w:t>Presupuesto administrativo, planes de supervisión del Banco</w:t>
            </w:r>
          </w:p>
        </w:tc>
      </w:tr>
      <w:tr w:rsidR="005B633F" w:rsidRPr="00C2576A" w:rsidTr="0098544C">
        <w:trPr>
          <w:trHeight w:val="560"/>
        </w:trPr>
        <w:tc>
          <w:tcPr>
            <w:tcW w:w="2631" w:type="dxa"/>
            <w:tcBorders>
              <w:top w:val="single" w:sz="4" w:space="0" w:color="auto"/>
              <w:left w:val="single" w:sz="4" w:space="0" w:color="auto"/>
              <w:bottom w:val="single" w:sz="4" w:space="0" w:color="auto"/>
              <w:right w:val="single" w:sz="4" w:space="0" w:color="auto"/>
            </w:tcBorders>
            <w:noWrap/>
            <w:vAlign w:val="center"/>
          </w:tcPr>
          <w:p w:rsidR="005B633F" w:rsidRPr="00C2576A" w:rsidRDefault="005B633F" w:rsidP="0098544C">
            <w:pPr>
              <w:spacing w:after="200" w:line="276" w:lineRule="auto"/>
              <w:rPr>
                <w:sz w:val="20"/>
              </w:rPr>
            </w:pPr>
            <w:r w:rsidRPr="00C2576A">
              <w:rPr>
                <w:sz w:val="20"/>
              </w:rPr>
              <w:t>Informe de resultados y actividades de difusión.</w:t>
            </w: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tcPr>
          <w:p w:rsidR="005B633F" w:rsidRPr="00C2576A" w:rsidRDefault="005B633F" w:rsidP="0098544C">
            <w:pPr>
              <w:spacing w:after="200" w:line="276" w:lineRule="auto"/>
              <w:rPr>
                <w:sz w:val="20"/>
              </w:rPr>
            </w:pP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tcPr>
          <w:p w:rsidR="005B633F" w:rsidRPr="00C2576A" w:rsidRDefault="005B633F" w:rsidP="0098544C">
            <w:pPr>
              <w:spacing w:after="200" w:line="276" w:lineRule="auto"/>
              <w:rPr>
                <w:sz w:val="20"/>
              </w:rPr>
            </w:pPr>
          </w:p>
        </w:tc>
        <w:tc>
          <w:tcPr>
            <w:tcW w:w="27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5B633F" w:rsidRPr="00C2576A" w:rsidRDefault="005B633F" w:rsidP="0098544C">
            <w:pPr>
              <w:spacing w:after="200" w:line="276" w:lineRule="auto"/>
              <w:rPr>
                <w:sz w:val="20"/>
              </w:rPr>
            </w:pPr>
          </w:p>
        </w:tc>
        <w:tc>
          <w:tcPr>
            <w:tcW w:w="2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633F" w:rsidRPr="00C2576A" w:rsidRDefault="005B633F" w:rsidP="0098544C">
            <w:pPr>
              <w:spacing w:after="200" w:line="276" w:lineRule="auto"/>
              <w:rPr>
                <w:sz w:val="20"/>
              </w:rPr>
            </w:pPr>
          </w:p>
        </w:tc>
        <w:tc>
          <w:tcPr>
            <w:tcW w:w="1080" w:type="dxa"/>
            <w:gridSpan w:val="2"/>
            <w:tcBorders>
              <w:top w:val="single" w:sz="4" w:space="0" w:color="auto"/>
              <w:left w:val="single" w:sz="4" w:space="0" w:color="auto"/>
              <w:bottom w:val="single" w:sz="4" w:space="0" w:color="auto"/>
              <w:right w:val="single" w:sz="4" w:space="0" w:color="auto"/>
            </w:tcBorders>
            <w:noWrap/>
            <w:vAlign w:val="center"/>
          </w:tcPr>
          <w:p w:rsidR="005B633F" w:rsidRPr="00C2576A" w:rsidRDefault="005B633F" w:rsidP="0098544C">
            <w:pPr>
              <w:spacing w:after="200" w:line="276" w:lineRule="auto"/>
              <w:jc w:val="center"/>
              <w:rPr>
                <w:sz w:val="20"/>
              </w:rPr>
            </w:pPr>
          </w:p>
        </w:tc>
        <w:tc>
          <w:tcPr>
            <w:tcW w:w="990" w:type="dxa"/>
            <w:tcBorders>
              <w:top w:val="single" w:sz="4" w:space="0" w:color="auto"/>
              <w:left w:val="single" w:sz="4" w:space="0" w:color="auto"/>
              <w:bottom w:val="single" w:sz="4" w:space="0" w:color="auto"/>
              <w:right w:val="single" w:sz="4" w:space="0" w:color="auto"/>
            </w:tcBorders>
            <w:vAlign w:val="center"/>
          </w:tcPr>
          <w:p w:rsidR="005B633F" w:rsidRPr="00C2576A" w:rsidRDefault="005B633F" w:rsidP="000354A9">
            <w:pPr>
              <w:spacing w:after="200" w:line="276" w:lineRule="auto"/>
              <w:rPr>
                <w:sz w:val="20"/>
              </w:rPr>
            </w:pPr>
            <w:r w:rsidRPr="00C2576A">
              <w:rPr>
                <w:sz w:val="20"/>
              </w:rPr>
              <w:t>2.</w:t>
            </w:r>
            <w:r w:rsidR="000354A9">
              <w:rPr>
                <w:sz w:val="20"/>
              </w:rPr>
              <w:t>5</w:t>
            </w:r>
            <w:r w:rsidRPr="00C2576A">
              <w:rPr>
                <w:sz w:val="20"/>
              </w:rPr>
              <w:t>00</w:t>
            </w:r>
          </w:p>
        </w:tc>
        <w:tc>
          <w:tcPr>
            <w:tcW w:w="2430" w:type="dxa"/>
            <w:gridSpan w:val="2"/>
            <w:tcBorders>
              <w:top w:val="single" w:sz="4" w:space="0" w:color="auto"/>
              <w:left w:val="single" w:sz="4" w:space="0" w:color="auto"/>
              <w:bottom w:val="single" w:sz="4" w:space="0" w:color="auto"/>
              <w:right w:val="single" w:sz="4" w:space="0" w:color="auto"/>
            </w:tcBorders>
            <w:vAlign w:val="center"/>
          </w:tcPr>
          <w:p w:rsidR="005B633F" w:rsidRPr="00C2576A" w:rsidRDefault="005B633F" w:rsidP="0098544C">
            <w:pPr>
              <w:spacing w:after="200" w:line="276" w:lineRule="auto"/>
              <w:rPr>
                <w:sz w:val="20"/>
              </w:rPr>
            </w:pPr>
            <w:r w:rsidRPr="00C2576A">
              <w:rPr>
                <w:sz w:val="20"/>
              </w:rPr>
              <w:t>Presupuesto administrativo, planes de supervisión del Banco</w:t>
            </w:r>
          </w:p>
        </w:tc>
      </w:tr>
      <w:tr w:rsidR="005B633F" w:rsidRPr="00C2576A" w:rsidTr="0098544C">
        <w:trPr>
          <w:gridAfter w:val="1"/>
          <w:wAfter w:w="21" w:type="dxa"/>
          <w:trHeight w:val="560"/>
        </w:trPr>
        <w:tc>
          <w:tcPr>
            <w:tcW w:w="4770" w:type="dxa"/>
            <w:gridSpan w:val="6"/>
            <w:tcBorders>
              <w:top w:val="single" w:sz="4" w:space="0" w:color="auto"/>
              <w:left w:val="single" w:sz="4" w:space="0" w:color="auto"/>
              <w:bottom w:val="single" w:sz="4" w:space="0" w:color="auto"/>
              <w:right w:val="single" w:sz="4" w:space="0" w:color="auto"/>
            </w:tcBorders>
            <w:vAlign w:val="center"/>
            <w:hideMark/>
          </w:tcPr>
          <w:p w:rsidR="005B633F" w:rsidRPr="00C2576A" w:rsidRDefault="005B633F" w:rsidP="0098544C">
            <w:pPr>
              <w:spacing w:after="200" w:line="276" w:lineRule="auto"/>
              <w:rPr>
                <w:b/>
                <w:sz w:val="20"/>
              </w:rPr>
            </w:pPr>
            <w:r w:rsidRPr="00C2576A">
              <w:rPr>
                <w:b/>
                <w:sz w:val="20"/>
              </w:rPr>
              <w:t>Total</w:t>
            </w:r>
          </w:p>
        </w:tc>
        <w:tc>
          <w:tcPr>
            <w:tcW w:w="3420" w:type="dxa"/>
            <w:gridSpan w:val="3"/>
            <w:tcBorders>
              <w:top w:val="single" w:sz="4" w:space="0" w:color="auto"/>
              <w:left w:val="single" w:sz="4" w:space="0" w:color="auto"/>
              <w:bottom w:val="single" w:sz="4" w:space="0" w:color="auto"/>
              <w:right w:val="single" w:sz="4" w:space="0" w:color="auto"/>
            </w:tcBorders>
            <w:vAlign w:val="center"/>
            <w:hideMark/>
          </w:tcPr>
          <w:p w:rsidR="005B633F" w:rsidRPr="00C2576A" w:rsidRDefault="005B633F" w:rsidP="000354A9">
            <w:pPr>
              <w:spacing w:after="200" w:line="276" w:lineRule="auto"/>
              <w:rPr>
                <w:b/>
                <w:sz w:val="20"/>
              </w:rPr>
            </w:pPr>
            <w:r w:rsidRPr="00C2576A">
              <w:rPr>
                <w:b/>
                <w:sz w:val="20"/>
              </w:rPr>
              <w:t>1</w:t>
            </w:r>
            <w:r w:rsidR="000354A9">
              <w:rPr>
                <w:b/>
                <w:sz w:val="20"/>
              </w:rPr>
              <w:t>9</w:t>
            </w:r>
            <w:r w:rsidRPr="00C2576A">
              <w:rPr>
                <w:b/>
                <w:sz w:val="20"/>
              </w:rPr>
              <w:t>.</w:t>
            </w:r>
            <w:r w:rsidR="000354A9">
              <w:rPr>
                <w:b/>
                <w:sz w:val="20"/>
              </w:rPr>
              <w:t>5</w:t>
            </w:r>
            <w:r w:rsidRPr="00C2576A">
              <w:rPr>
                <w:b/>
                <w:sz w:val="20"/>
              </w:rPr>
              <w:t>00</w:t>
            </w:r>
          </w:p>
        </w:tc>
      </w:tr>
    </w:tbl>
    <w:p w:rsidR="005B633F" w:rsidRPr="00C2576A" w:rsidRDefault="005B633F" w:rsidP="005B633F">
      <w:pPr>
        <w:pStyle w:val="Paragraph"/>
        <w:tabs>
          <w:tab w:val="clear" w:pos="720"/>
        </w:tabs>
        <w:ind w:left="1296" w:hanging="1296"/>
        <w:rPr>
          <w:rFonts w:ascii="Arial" w:hAnsi="Arial"/>
          <w:lang w:val="es-ES_tradnl"/>
        </w:rPr>
      </w:pPr>
    </w:p>
    <w:p w:rsidR="005B633F" w:rsidRPr="00C2576A" w:rsidRDefault="005B633F" w:rsidP="005B633F">
      <w:pPr>
        <w:spacing w:after="200" w:line="276" w:lineRule="auto"/>
      </w:pPr>
    </w:p>
    <w:p w:rsidR="005B633F" w:rsidRPr="00C2576A" w:rsidRDefault="005B633F" w:rsidP="005B633F">
      <w:pPr>
        <w:rPr>
          <w:lang w:val="es-AR"/>
        </w:rPr>
      </w:pPr>
    </w:p>
    <w:p w:rsidR="005B633F" w:rsidRPr="00C2576A" w:rsidRDefault="005B633F" w:rsidP="005B633F">
      <w:pPr>
        <w:rPr>
          <w:lang w:val="es-AR"/>
        </w:rPr>
        <w:sectPr w:rsidR="005B633F" w:rsidRPr="00C2576A" w:rsidSect="005B633F">
          <w:pgSz w:w="12240" w:h="15840" w:code="1"/>
          <w:pgMar w:top="1440" w:right="1800" w:bottom="1440" w:left="1800" w:header="706" w:footer="706" w:gutter="0"/>
          <w:cols w:space="720"/>
          <w:formProt w:val="0"/>
          <w:titlePg/>
        </w:sectPr>
      </w:pPr>
    </w:p>
    <w:p w:rsidR="005B633F" w:rsidRPr="00C2576A" w:rsidRDefault="005B633F" w:rsidP="005B633F">
      <w:pPr>
        <w:pStyle w:val="Chapter"/>
        <w:rPr>
          <w:rFonts w:ascii="Arial" w:hAnsi="Arial"/>
          <w:sz w:val="22"/>
          <w:szCs w:val="22"/>
        </w:rPr>
      </w:pPr>
      <w:r w:rsidRPr="00C2576A">
        <w:rPr>
          <w:rFonts w:ascii="Arial" w:hAnsi="Arial"/>
          <w:sz w:val="22"/>
          <w:szCs w:val="22"/>
        </w:rPr>
        <w:lastRenderedPageBreak/>
        <w:t>Anexo ME.I</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sz w:val="22"/>
          <w:szCs w:val="22"/>
          <w:lang w:val="es-AR"/>
        </w:rPr>
        <w:t xml:space="preserve">Este anexo introduce en forma más detallada el modelo propuesto para llevar adelante la evaluación de las políticas consideradas. Esta sección no reproduce todos detalle el modelo de </w:t>
      </w:r>
      <w:r w:rsidRPr="00C2576A">
        <w:rPr>
          <w:rFonts w:ascii="Arial" w:hAnsi="Arial" w:cs="Arial"/>
          <w:sz w:val="22"/>
          <w:szCs w:val="22"/>
        </w:rPr>
        <w:t>referencia</w:t>
      </w:r>
      <w:r w:rsidRPr="00C2576A">
        <w:rPr>
          <w:rFonts w:ascii="Arial" w:hAnsi="Arial" w:cs="Arial"/>
          <w:sz w:val="22"/>
          <w:szCs w:val="22"/>
          <w:lang w:val="es-AR"/>
        </w:rPr>
        <w:t xml:space="preserve"> sino los más relevantes. </w:t>
      </w:r>
      <w:r w:rsidRPr="00C2576A">
        <w:rPr>
          <w:rFonts w:ascii="Arial" w:hAnsi="Arial" w:cs="Arial"/>
          <w:sz w:val="22"/>
          <w:szCs w:val="22"/>
          <w:lang w:val="en-US"/>
        </w:rPr>
        <w:t xml:space="preserve">Para una presentación detallada, referirse a Dabla-Norris, Era, Ji, Yan, Townsend, Robert and Filiz Unsal, 2014, “Financial Deepening, Growth, and Inequality: A Structural Framework for Developing Countries” y Karpowicz, Ms Izabela. Financial Inclusion, Growth and Inequality: A Model Application to Colombia. </w:t>
      </w:r>
      <w:r w:rsidRPr="00C2576A">
        <w:rPr>
          <w:rFonts w:ascii="Arial" w:hAnsi="Arial" w:cs="Arial"/>
          <w:sz w:val="22"/>
          <w:szCs w:val="22"/>
          <w:lang w:val="es-AR"/>
        </w:rPr>
        <w:t>No. 14-166. International Monetary Fund, 2014.</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sz w:val="22"/>
          <w:szCs w:val="22"/>
          <w:lang w:val="es-AR"/>
        </w:rPr>
        <w:t xml:space="preserve">Se trata de un modelo de desarrollo financiero que pone énfaisis en particular en tres dimensiones: </w:t>
      </w:r>
      <w:r w:rsidRPr="00C2576A">
        <w:rPr>
          <w:rFonts w:ascii="Arial" w:hAnsi="Arial" w:cs="Arial"/>
          <w:sz w:val="22"/>
          <w:szCs w:val="22"/>
        </w:rPr>
        <w:t>costos</w:t>
      </w:r>
      <w:r w:rsidRPr="00C2576A">
        <w:rPr>
          <w:rFonts w:ascii="Arial" w:hAnsi="Arial" w:cs="Arial"/>
          <w:sz w:val="22"/>
          <w:szCs w:val="22"/>
          <w:lang w:val="es-AR"/>
        </w:rPr>
        <w:t xml:space="preserve"> de participación, profundidad, y eficiencia, dimensiones estas capturadas en los parámetros </w:t>
      </w:r>
      <m:oMath>
        <m:r>
          <w:rPr>
            <w:rFonts w:ascii="Cambria Math" w:hAnsi="Cambria Math" w:cs="Arial"/>
            <w:sz w:val="22"/>
            <w:szCs w:val="22"/>
          </w:rPr>
          <m:t>ψ, λ, χ</m:t>
        </m:r>
      </m:oMath>
      <w:r w:rsidRPr="00C2576A">
        <w:rPr>
          <w:rFonts w:ascii="Arial" w:eastAsiaTheme="minorEastAsia" w:hAnsi="Arial" w:cs="Arial"/>
          <w:sz w:val="22"/>
          <w:szCs w:val="22"/>
        </w:rPr>
        <w:t xml:space="preserve"> respectivamente</w:t>
      </w:r>
      <w:r w:rsidRPr="00C2576A">
        <w:rPr>
          <w:rFonts w:ascii="Arial" w:hAnsi="Arial" w:cs="Arial"/>
          <w:sz w:val="22"/>
          <w:szCs w:val="22"/>
        </w:rPr>
        <w:t>.</w:t>
      </w:r>
    </w:p>
    <w:p w:rsidR="005B633F" w:rsidRPr="00C2576A" w:rsidRDefault="005B633F" w:rsidP="0086790A">
      <w:pPr>
        <w:pStyle w:val="subpar"/>
        <w:numPr>
          <w:ilvl w:val="2"/>
          <w:numId w:val="21"/>
        </w:numPr>
        <w:tabs>
          <w:tab w:val="clear" w:pos="2304"/>
        </w:tabs>
        <w:ind w:left="1152"/>
        <w:rPr>
          <w:rFonts w:ascii="Arial" w:hAnsi="Arial"/>
          <w:sz w:val="22"/>
          <w:szCs w:val="22"/>
        </w:rPr>
      </w:pPr>
      <w:r w:rsidRPr="00C2576A">
        <w:rPr>
          <w:rFonts w:ascii="Arial" w:hAnsi="Arial"/>
          <w:sz w:val="22"/>
          <w:szCs w:val="22"/>
        </w:rPr>
        <w:t xml:space="preserve">Alcance (“reach”) apunta a que participar en transacciones del sistema financiero involucra costos, los cuales según varíen afectan el nivel de participación de los agentes en procesos de intermediación financiera. Estos costos de transacción son capturados en el modelo con el parámetro </w:t>
      </w:r>
      <m:oMath>
        <m:r>
          <m:rPr>
            <m:sty m:val="bi"/>
          </m:rPr>
          <w:rPr>
            <w:rFonts w:ascii="Cambria Math" w:hAnsi="Cambria Math"/>
            <w:sz w:val="22"/>
            <w:szCs w:val="22"/>
          </w:rPr>
          <m:t>ψ</m:t>
        </m:r>
      </m:oMath>
      <w:r w:rsidRPr="00C2576A">
        <w:rPr>
          <w:rFonts w:ascii="Arial" w:eastAsiaTheme="minorEastAsia" w:hAnsi="Arial"/>
          <w:sz w:val="22"/>
          <w:szCs w:val="22"/>
        </w:rPr>
        <w:t xml:space="preserve">. </w:t>
      </w:r>
    </w:p>
    <w:p w:rsidR="005B633F" w:rsidRPr="00C2576A" w:rsidRDefault="005B633F" w:rsidP="0086790A">
      <w:pPr>
        <w:pStyle w:val="subpar"/>
        <w:numPr>
          <w:ilvl w:val="2"/>
          <w:numId w:val="21"/>
        </w:numPr>
        <w:tabs>
          <w:tab w:val="clear" w:pos="2304"/>
        </w:tabs>
        <w:ind w:left="1152"/>
        <w:rPr>
          <w:rFonts w:ascii="Arial" w:hAnsi="Arial"/>
          <w:sz w:val="22"/>
          <w:szCs w:val="22"/>
        </w:rPr>
      </w:pPr>
      <w:r w:rsidRPr="00C2576A">
        <w:rPr>
          <w:rFonts w:ascii="Arial" w:hAnsi="Arial"/>
          <w:sz w:val="22"/>
          <w:szCs w:val="22"/>
        </w:rPr>
        <w:t xml:space="preserve">Profundidad (“depth”) refiere a que una vez superados los costos de participación, existen otros elementos que determinan el grado en el que se participa de los procesos de intermediación. </w:t>
      </w:r>
      <w:r w:rsidRPr="00C2576A">
        <w:rPr>
          <w:rFonts w:ascii="Arial" w:hAnsi="Arial"/>
          <w:i/>
          <w:sz w:val="22"/>
          <w:szCs w:val="22"/>
        </w:rPr>
        <w:t>Se recuerda que este no es un componente de relevancia en el sentido que las políticas del programa no están particularmente orientadas a este concepto.</w:t>
      </w:r>
    </w:p>
    <w:p w:rsidR="005B633F" w:rsidRPr="00C2576A" w:rsidRDefault="005B633F" w:rsidP="0086790A">
      <w:pPr>
        <w:pStyle w:val="subpar"/>
        <w:numPr>
          <w:ilvl w:val="2"/>
          <w:numId w:val="21"/>
        </w:numPr>
        <w:tabs>
          <w:tab w:val="clear" w:pos="2304"/>
        </w:tabs>
        <w:ind w:left="1152"/>
        <w:rPr>
          <w:rFonts w:ascii="Arial" w:hAnsi="Arial"/>
          <w:sz w:val="22"/>
          <w:szCs w:val="22"/>
        </w:rPr>
      </w:pPr>
      <w:r w:rsidRPr="00C2576A">
        <w:rPr>
          <w:rFonts w:ascii="Arial" w:hAnsi="Arial"/>
          <w:sz w:val="22"/>
          <w:szCs w:val="22"/>
        </w:rPr>
        <w:t xml:space="preserve">Eficiencia refiere a que resolver los problemas emergentes de la distribución asimétrica de información entre deudores y acreedores es costoso. Dicho de otra forma, realizar actividades de intermediación financiera es costoso porque involucra realizar actividades de verificación y monitoreo. En particular, el modelo en consideración traslada estos costos de intermediación al costo de financiamiento. El parámetro que captura los costos y la eficiencia de intermediación es </w:t>
      </w:r>
      <m:oMath>
        <m:r>
          <m:rPr>
            <m:sty m:val="bi"/>
          </m:rPr>
          <w:rPr>
            <w:rFonts w:ascii="Cambria Math" w:hAnsi="Cambria Math"/>
            <w:sz w:val="22"/>
            <w:szCs w:val="22"/>
          </w:rPr>
          <m:t>χ</m:t>
        </m:r>
      </m:oMath>
      <w:r w:rsidRPr="00C2576A">
        <w:rPr>
          <w:rFonts w:ascii="Arial" w:eastAsiaTheme="minorEastAsia" w:hAnsi="Arial"/>
          <w:sz w:val="22"/>
          <w:szCs w:val="22"/>
        </w:rPr>
        <w:t xml:space="preserve"> (el cual es proporcional a la escala del proyecto). </w:t>
      </w:r>
    </w:p>
    <w:p w:rsidR="005B633F" w:rsidRPr="00C2576A" w:rsidRDefault="005B633F" w:rsidP="00864F56">
      <w:pPr>
        <w:pStyle w:val="21Paragraph"/>
        <w:ind w:left="720" w:hanging="720"/>
        <w:rPr>
          <w:rFonts w:ascii="Arial" w:hAnsi="Arial" w:cs="Arial"/>
          <w:sz w:val="22"/>
          <w:szCs w:val="22"/>
        </w:rPr>
      </w:pPr>
      <w:r w:rsidRPr="00C2576A">
        <w:rPr>
          <w:rFonts w:ascii="Arial" w:hAnsi="Arial" w:cs="Arial"/>
          <w:sz w:val="22"/>
          <w:szCs w:val="22"/>
        </w:rPr>
        <w:t>En el modelo la economía está compuesta por un continuo de agentes de medida uno, quienes son heterogéneos en lo que hace a riqueza inicial y talento/capacidad (</w:t>
      </w:r>
      <m:oMath>
        <m:r>
          <w:rPr>
            <w:rFonts w:ascii="Cambria Math" w:hAnsi="Cambria Math" w:cs="Arial"/>
            <w:sz w:val="22"/>
            <w:szCs w:val="22"/>
          </w:rPr>
          <m:t>b, z</m:t>
        </m:r>
      </m:oMath>
      <w:r w:rsidRPr="00C2576A">
        <w:rPr>
          <w:rFonts w:ascii="Arial" w:eastAsiaTheme="minorEastAsia" w:hAnsi="Arial" w:cs="Arial"/>
          <w:sz w:val="22"/>
          <w:szCs w:val="22"/>
        </w:rPr>
        <w:t xml:space="preserve">) </w:t>
      </w:r>
      <w:r w:rsidRPr="00C2576A">
        <w:rPr>
          <w:rFonts w:ascii="Arial" w:hAnsi="Arial" w:cs="Arial"/>
          <w:sz w:val="22"/>
          <w:szCs w:val="22"/>
        </w:rPr>
        <w:t>respectivamente</w:t>
      </w:r>
      <w:r w:rsidRPr="00C2576A">
        <w:rPr>
          <w:rFonts w:ascii="Arial" w:eastAsiaTheme="minorEastAsia" w:hAnsi="Arial" w:cs="Arial"/>
          <w:sz w:val="22"/>
          <w:szCs w:val="22"/>
        </w:rPr>
        <w:t>, quienes operan en un marco de generaciones superpuestas. Cada agente vive por 2 periodos. En el primero deciden el tipo de participación en el sistema financiero y su ocupación (e inversión), y  en el segundo luego de efectivizarse los salarios, los beneficios, se toman decisiones de consumo y herencia.</w:t>
      </w:r>
    </w:p>
    <w:p w:rsidR="005B633F" w:rsidRPr="00C2576A" w:rsidRDefault="005B633F" w:rsidP="00864F56">
      <w:pPr>
        <w:pStyle w:val="21Paragraph"/>
        <w:ind w:left="720" w:hanging="720"/>
        <w:rPr>
          <w:rFonts w:ascii="Arial" w:hAnsi="Arial" w:cs="Arial"/>
          <w:sz w:val="22"/>
          <w:szCs w:val="22"/>
        </w:rPr>
      </w:pPr>
      <w:r w:rsidRPr="00C2576A">
        <w:rPr>
          <w:rFonts w:ascii="Arial" w:eastAsiaTheme="minorEastAsia" w:hAnsi="Arial" w:cs="Arial"/>
          <w:sz w:val="22"/>
          <w:szCs w:val="22"/>
        </w:rPr>
        <w:t xml:space="preserve">Los individuos tienen preferencias del tipo Cobb-Douglas (ver ecuación 1) respecto del consumo y la herencia. En el primer periodo los agentes realizan decisiones ocupacionales (trabajo asalariado o formar una empresa). La producción del emprendedor </w:t>
      </w:r>
      <w:r w:rsidRPr="00C2576A">
        <w:rPr>
          <w:rFonts w:ascii="Arial" w:hAnsi="Arial" w:cs="Arial"/>
          <w:sz w:val="22"/>
          <w:szCs w:val="22"/>
        </w:rPr>
        <w:t>sigue</w:t>
      </w:r>
      <w:r w:rsidRPr="00C2576A">
        <w:rPr>
          <w:rFonts w:ascii="Arial" w:eastAsiaTheme="minorEastAsia" w:hAnsi="Arial" w:cs="Arial"/>
          <w:sz w:val="22"/>
          <w:szCs w:val="22"/>
        </w:rPr>
        <w:t xml:space="preserve"> una función de producción anidada (ver ecuación 2). Un </w:t>
      </w:r>
      <w:r w:rsidRPr="00C2576A">
        <w:rPr>
          <w:rFonts w:ascii="Arial" w:eastAsiaTheme="minorEastAsia" w:hAnsi="Arial" w:cs="Arial"/>
          <w:sz w:val="22"/>
          <w:szCs w:val="22"/>
        </w:rPr>
        <w:lastRenderedPageBreak/>
        <w:t xml:space="preserve">emprendimiento tiene una probabilidad </w:t>
      </w:r>
      <m:oMath>
        <m:r>
          <w:rPr>
            <w:rFonts w:ascii="Cambria Math" w:eastAsiaTheme="minorEastAsia" w:hAnsi="Cambria Math" w:cs="Arial"/>
            <w:sz w:val="22"/>
            <w:szCs w:val="22"/>
          </w:rPr>
          <m:t>p</m:t>
        </m:r>
      </m:oMath>
      <w:r w:rsidRPr="00C2576A">
        <w:rPr>
          <w:rFonts w:ascii="Arial" w:eastAsiaTheme="minorEastAsia" w:hAnsi="Arial" w:cs="Arial"/>
          <w:sz w:val="22"/>
          <w:szCs w:val="22"/>
        </w:rPr>
        <w:t xml:space="preserve"> de quiebra, en cuyo caso se recupera una fracción </w:t>
      </w:r>
      <m:oMath>
        <m:r>
          <w:rPr>
            <w:rFonts w:ascii="Cambria Math" w:eastAsiaTheme="minorEastAsia" w:hAnsi="Cambria Math" w:cs="Arial"/>
            <w:sz w:val="22"/>
            <w:szCs w:val="22"/>
          </w:rPr>
          <m:t>η</m:t>
        </m:r>
      </m:oMath>
      <w:r w:rsidRPr="00C2576A">
        <w:rPr>
          <w:rFonts w:ascii="Arial" w:eastAsiaTheme="minorEastAsia" w:hAnsi="Arial" w:cs="Arial"/>
          <w:sz w:val="22"/>
          <w:szCs w:val="22"/>
        </w:rPr>
        <w:t xml:space="preserve"> del capital instalado (menor a uno)</w:t>
      </w:r>
    </w:p>
    <w:p w:rsidR="005B633F" w:rsidRPr="00C2576A" w:rsidRDefault="005B633F" w:rsidP="00864F56">
      <w:pPr>
        <w:pStyle w:val="21Paragraph"/>
        <w:ind w:left="720" w:hanging="720"/>
        <w:rPr>
          <w:rFonts w:ascii="Arial" w:hAnsi="Arial" w:cs="Arial"/>
          <w:sz w:val="22"/>
          <w:szCs w:val="22"/>
        </w:rPr>
      </w:pPr>
      <w:r w:rsidRPr="00C2576A">
        <w:rPr>
          <w:rFonts w:ascii="Arial" w:eastAsiaTheme="minorEastAsia" w:hAnsi="Arial" w:cs="Arial"/>
          <w:sz w:val="22"/>
          <w:szCs w:val="22"/>
        </w:rPr>
        <w:t xml:space="preserve">Para participar en el régimen de crédito en el modelo, los agentes deben pagar un costo fijo </w:t>
      </w:r>
      <m:oMath>
        <m:r>
          <w:rPr>
            <w:rFonts w:ascii="Cambria Math" w:eastAsiaTheme="minorEastAsia" w:hAnsi="Cambria Math" w:cs="Arial"/>
            <w:sz w:val="22"/>
            <w:szCs w:val="22"/>
          </w:rPr>
          <m:t>ψ</m:t>
        </m:r>
      </m:oMath>
      <w:r w:rsidRPr="00C2576A">
        <w:rPr>
          <w:rFonts w:ascii="Arial" w:eastAsiaTheme="minorEastAsia" w:hAnsi="Arial" w:cs="Arial"/>
          <w:sz w:val="22"/>
          <w:szCs w:val="22"/>
        </w:rPr>
        <w:t xml:space="preserve">. Si no lo hace solo pueden ahorrar. Una vez dentro del régimen de crédito, el </w:t>
      </w:r>
      <w:r w:rsidRPr="00C2576A">
        <w:rPr>
          <w:rFonts w:ascii="Arial" w:hAnsi="Arial" w:cs="Arial"/>
          <w:sz w:val="22"/>
          <w:szCs w:val="22"/>
        </w:rPr>
        <w:t>acceso</w:t>
      </w:r>
      <w:r w:rsidRPr="00C2576A">
        <w:rPr>
          <w:rFonts w:ascii="Arial" w:eastAsiaTheme="minorEastAsia" w:hAnsi="Arial" w:cs="Arial"/>
          <w:sz w:val="22"/>
          <w:szCs w:val="22"/>
        </w:rPr>
        <w:t xml:space="preserve"> está limitado por información asimétrica lo cual es solucionado parcialmente con la colocación de garantías. En el primer periodo, los agentes maximizan la riqueza esperada. Dentro del régimen de ahorro se tiene entonces las riquezas esperadas indicadas en la ecuación 3. En caso de formar una empresas la ecuación de riqueza se deriba de maximizar ec. 4 sujeto a la ec. 5.</w:t>
      </w:r>
    </w:p>
    <w:p w:rsidR="005B633F" w:rsidRPr="00C2576A" w:rsidRDefault="005B633F" w:rsidP="00864F56">
      <w:pPr>
        <w:pStyle w:val="21Paragraph"/>
        <w:ind w:left="720" w:hanging="720"/>
        <w:rPr>
          <w:rFonts w:ascii="Arial" w:hAnsi="Arial" w:cs="Arial"/>
          <w:sz w:val="22"/>
          <w:szCs w:val="22"/>
        </w:rPr>
      </w:pPr>
      <w:r w:rsidRPr="00C2576A">
        <w:rPr>
          <w:rFonts w:ascii="Arial" w:eastAsiaTheme="minorEastAsia" w:hAnsi="Arial" w:cs="Arial"/>
          <w:sz w:val="22"/>
          <w:szCs w:val="22"/>
        </w:rPr>
        <w:t xml:space="preserve">Si se entra en el régimen de crédito, entonces se debe tener en cuenta que existe la posibilidad </w:t>
      </w:r>
      <w:r w:rsidRPr="00C2576A">
        <w:rPr>
          <w:rFonts w:ascii="Arial" w:hAnsi="Arial" w:cs="Arial"/>
          <w:sz w:val="22"/>
          <w:szCs w:val="22"/>
        </w:rPr>
        <w:t>default</w:t>
      </w:r>
      <w:r w:rsidRPr="00C2576A">
        <w:rPr>
          <w:rFonts w:ascii="Arial" w:eastAsiaTheme="minorEastAsia" w:hAnsi="Arial" w:cs="Arial"/>
          <w:sz w:val="22"/>
          <w:szCs w:val="22"/>
        </w:rPr>
        <w:t xml:space="preserve"> y de no reportar todo el producido. En estas condiciones se define una tasa de interés y un nivel de apalancamiento (ver ecuaciones 6 y 7). En este régimen la ecuación de riqueza se obtiene de las ecuaciones 8 y 9a, 9b. </w:t>
      </w:r>
    </w:p>
    <w:p w:rsidR="005B633F" w:rsidRPr="00C2576A" w:rsidRDefault="005B633F" w:rsidP="00864F56">
      <w:pPr>
        <w:pStyle w:val="21Paragraph"/>
        <w:ind w:left="720" w:hanging="720"/>
        <w:rPr>
          <w:rFonts w:ascii="Arial" w:hAnsi="Arial" w:cs="Arial"/>
          <w:sz w:val="22"/>
          <w:szCs w:val="22"/>
        </w:rPr>
      </w:pPr>
      <w:r w:rsidRPr="00C2576A">
        <w:rPr>
          <w:rFonts w:ascii="Arial" w:eastAsiaTheme="minorEastAsia" w:hAnsi="Arial" w:cs="Arial"/>
          <w:sz w:val="22"/>
          <w:szCs w:val="22"/>
        </w:rPr>
        <w:t xml:space="preserve">Dentro de esta configuración los agentes realizaran elecciones ocupacionales en función de su talento y riqueza inicial. El mapa de decisiones ocupacionales en función del talento y la riqueza puede verse en la figura IV.A </w:t>
      </w:r>
      <w:r w:rsidRPr="00C2576A">
        <w:rPr>
          <w:rStyle w:val="FootnoteReference"/>
          <w:rFonts w:ascii="Arial" w:eastAsiaTheme="minorEastAsia" w:hAnsi="Arial" w:cs="Arial"/>
          <w:b/>
          <w:sz w:val="22"/>
          <w:szCs w:val="22"/>
        </w:rPr>
        <w:footnoteReference w:id="22"/>
      </w:r>
      <w:r w:rsidRPr="00C2576A">
        <w:rPr>
          <w:rFonts w:ascii="Arial" w:eastAsiaTheme="minorEastAsia" w:hAnsi="Arial" w:cs="Arial"/>
          <w:sz w:val="22"/>
          <w:szCs w:val="22"/>
        </w:rPr>
        <w:t xml:space="preserve"> (talento en el eje vertical, riqueza en el eje horizontal). En la región I se ubican trabajadores no restringidos, en las II los trabajadores restringidos, en la III los emprendedores restringidos, y los emprendedores no restringidos en la región IV. </w:t>
      </w:r>
    </w:p>
    <w:p w:rsidR="005B633F" w:rsidRPr="00C2576A" w:rsidRDefault="005B633F" w:rsidP="005B633F">
      <w:pPr>
        <w:pStyle w:val="Paragraph"/>
        <w:tabs>
          <w:tab w:val="clear" w:pos="720"/>
        </w:tabs>
        <w:ind w:firstLine="0"/>
        <w:jc w:val="center"/>
        <w:rPr>
          <w:rFonts w:ascii="Arial" w:hAnsi="Arial"/>
          <w:sz w:val="22"/>
          <w:szCs w:val="22"/>
          <w:lang w:val="es-ES_tradnl"/>
        </w:rPr>
      </w:pPr>
      <w:r w:rsidRPr="00C2576A">
        <w:rPr>
          <w:rFonts w:ascii="Arial" w:hAnsi="Arial"/>
          <w:sz w:val="22"/>
          <w:szCs w:val="22"/>
          <w:lang w:val="es-ES_tradnl"/>
        </w:rPr>
        <w:t>Figura IV.A</w:t>
      </w:r>
    </w:p>
    <w:p w:rsidR="005B633F" w:rsidRPr="00C2576A" w:rsidRDefault="005B633F" w:rsidP="005B633F">
      <w:pPr>
        <w:pStyle w:val="Paragraph"/>
        <w:tabs>
          <w:tab w:val="clear" w:pos="720"/>
        </w:tabs>
        <w:ind w:firstLine="0"/>
        <w:jc w:val="center"/>
        <w:rPr>
          <w:rFonts w:ascii="Arial" w:hAnsi="Arial"/>
          <w:sz w:val="22"/>
          <w:szCs w:val="22"/>
          <w:lang w:val="es-ES_tradnl"/>
        </w:rPr>
      </w:pPr>
      <w:r w:rsidRPr="00C2576A">
        <w:rPr>
          <w:rFonts w:ascii="Arial" w:hAnsi="Arial"/>
          <w:noProof/>
          <w:sz w:val="22"/>
          <w:szCs w:val="22"/>
          <w:lang w:val="en-US"/>
        </w:rPr>
        <w:drawing>
          <wp:inline distT="0" distB="0" distL="0" distR="0" wp14:anchorId="17A8FBFB" wp14:editId="48D79371">
            <wp:extent cx="2905948" cy="2252982"/>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907840" cy="2254449"/>
                    </a:xfrm>
                    <a:prstGeom prst="rect">
                      <a:avLst/>
                    </a:prstGeom>
                  </pic:spPr>
                </pic:pic>
              </a:graphicData>
            </a:graphic>
          </wp:inline>
        </w:drawing>
      </w:r>
    </w:p>
    <w:p w:rsidR="005B633F" w:rsidRPr="00C2576A" w:rsidRDefault="005B633F" w:rsidP="00864F56">
      <w:pPr>
        <w:pStyle w:val="21Paragraph"/>
        <w:ind w:left="720" w:hanging="720"/>
        <w:rPr>
          <w:rFonts w:ascii="Arial" w:hAnsi="Arial" w:cs="Arial"/>
          <w:sz w:val="22"/>
          <w:szCs w:val="22"/>
        </w:rPr>
      </w:pPr>
      <w:r w:rsidRPr="00C2576A">
        <w:rPr>
          <w:rFonts w:ascii="Arial" w:eastAsiaTheme="minorEastAsia" w:hAnsi="Arial" w:cs="Arial"/>
          <w:sz w:val="22"/>
          <w:szCs w:val="22"/>
        </w:rPr>
        <w:t xml:space="preserve">Equilibrio. Dada una distribución inicial de riqueza y talento, un equilibrio competitivo consiste en una secuencia de asignaciones de consumo, capital, y trabajo, secuencias de distribuciones conjuntas de riqueza y talento, y tasas de interés y salarios tales que: (i) un agente tipo, caracterizado por talento y riqueza, elige el régimen de participación, ocupación, consumo, capital, y trabajo tales que maximiza su utilidad; (ii) los mercados financieros se equilibran; (iii) los mercados de trabajo se equilibran; y la distribución de talento y riqueza evoluciona dentro de la trayectoria de equilibrio. </w:t>
      </w:r>
    </w:p>
    <w:p w:rsidR="008D7466" w:rsidRDefault="008D7466" w:rsidP="005B633F">
      <w:pPr>
        <w:pStyle w:val="Paragraph"/>
        <w:tabs>
          <w:tab w:val="clear" w:pos="720"/>
        </w:tabs>
        <w:ind w:firstLine="0"/>
        <w:rPr>
          <w:rFonts w:ascii="Arial" w:eastAsiaTheme="minorEastAsia" w:hAnsi="Arial"/>
          <w:sz w:val="22"/>
          <w:szCs w:val="22"/>
          <w:lang w:val="es-ES_tradnl"/>
        </w:rPr>
      </w:pPr>
    </w:p>
    <w:p w:rsidR="005B633F" w:rsidRPr="00C2576A" w:rsidRDefault="005B633F" w:rsidP="005B633F">
      <w:pPr>
        <w:pStyle w:val="Paragraph"/>
        <w:tabs>
          <w:tab w:val="clear" w:pos="720"/>
        </w:tabs>
        <w:ind w:firstLine="0"/>
        <w:rPr>
          <w:rFonts w:ascii="Arial" w:hAnsi="Arial"/>
          <w:sz w:val="22"/>
          <w:szCs w:val="22"/>
          <w:lang w:val="es-ES_tradnl"/>
        </w:rPr>
      </w:pPr>
      <w:r w:rsidRPr="00C2576A">
        <w:rPr>
          <w:rFonts w:ascii="Arial" w:eastAsiaTheme="minorEastAsia" w:hAnsi="Arial"/>
          <w:sz w:val="22"/>
          <w:szCs w:val="22"/>
          <w:lang w:val="es-ES_tradnl"/>
        </w:rPr>
        <w:t>Ecuaciones</w:t>
      </w:r>
    </w:p>
    <w:p w:rsidR="005B633F" w:rsidRPr="00C2576A" w:rsidRDefault="005B633F" w:rsidP="005B633F">
      <w:pPr>
        <w:pStyle w:val="Paragraph"/>
        <w:tabs>
          <w:tab w:val="clear" w:pos="720"/>
        </w:tabs>
        <w:ind w:firstLine="0"/>
        <w:rPr>
          <w:rFonts w:ascii="Arial" w:hAnsi="Arial"/>
          <w:sz w:val="22"/>
          <w:szCs w:val="22"/>
          <w:lang w:val="es-ES_tradnl"/>
        </w:rPr>
      </w:pPr>
      <w:r w:rsidRPr="00C2576A">
        <w:rPr>
          <w:rFonts w:ascii="Arial" w:hAnsi="Arial"/>
          <w:noProof/>
          <w:sz w:val="22"/>
          <w:szCs w:val="22"/>
          <w:lang w:val="en-US"/>
        </w:rPr>
        <w:drawing>
          <wp:inline distT="0" distB="0" distL="0" distR="0" wp14:anchorId="114025ED" wp14:editId="64FBC0B3">
            <wp:extent cx="5932805" cy="528447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2805" cy="5284470"/>
                    </a:xfrm>
                    <a:prstGeom prst="rect">
                      <a:avLst/>
                    </a:prstGeom>
                    <a:noFill/>
                    <a:ln>
                      <a:noFill/>
                    </a:ln>
                  </pic:spPr>
                </pic:pic>
              </a:graphicData>
            </a:graphic>
          </wp:inline>
        </w:drawing>
      </w:r>
    </w:p>
    <w:p w:rsidR="005B633F" w:rsidRPr="00C2576A" w:rsidRDefault="005B633F" w:rsidP="005B633F">
      <w:pPr>
        <w:pStyle w:val="Paragraph"/>
        <w:tabs>
          <w:tab w:val="clear" w:pos="720"/>
        </w:tabs>
        <w:ind w:firstLine="0"/>
        <w:rPr>
          <w:rFonts w:ascii="Arial" w:hAnsi="Arial"/>
          <w:sz w:val="22"/>
          <w:szCs w:val="22"/>
          <w:lang w:val="es-ES_tradnl"/>
        </w:rPr>
      </w:pPr>
    </w:p>
    <w:p w:rsidR="005B633F" w:rsidRPr="00C2576A" w:rsidRDefault="00864F56" w:rsidP="00864F56">
      <w:pPr>
        <w:jc w:val="left"/>
        <w:rPr>
          <w:sz w:val="22"/>
          <w:szCs w:val="22"/>
          <w:lang w:val="es-ES_tradnl"/>
        </w:rPr>
      </w:pPr>
      <w:r w:rsidRPr="00C2576A">
        <w:rPr>
          <w:sz w:val="22"/>
          <w:szCs w:val="22"/>
          <w:lang w:val="es-ES_tradnl"/>
        </w:rPr>
        <w:br w:type="page"/>
      </w:r>
    </w:p>
    <w:p w:rsidR="00864F56" w:rsidRPr="00C2576A" w:rsidRDefault="00864F56" w:rsidP="00864F56">
      <w:pPr>
        <w:pStyle w:val="Chapter"/>
        <w:rPr>
          <w:rFonts w:ascii="Arial" w:hAnsi="Arial"/>
          <w:b/>
          <w:sz w:val="22"/>
          <w:szCs w:val="22"/>
        </w:rPr>
      </w:pPr>
      <w:r w:rsidRPr="00C2576A">
        <w:rPr>
          <w:rFonts w:ascii="Arial" w:hAnsi="Arial"/>
          <w:b/>
          <w:sz w:val="22"/>
          <w:szCs w:val="22"/>
        </w:rPr>
        <w:lastRenderedPageBreak/>
        <w:t>Anexo ME.II</w:t>
      </w:r>
    </w:p>
    <w:p w:rsidR="005B633F" w:rsidRPr="00C2576A" w:rsidRDefault="00864F56" w:rsidP="005B633F">
      <w:pPr>
        <w:rPr>
          <w:sz w:val="22"/>
          <w:szCs w:val="22"/>
          <w:lang w:val="es-ES_tradnl"/>
        </w:rPr>
      </w:pPr>
      <w:r w:rsidRPr="00C2576A">
        <w:rPr>
          <w:sz w:val="22"/>
          <w:szCs w:val="22"/>
          <w:lang w:val="es-ES_tradnl"/>
        </w:rPr>
        <w:t>Este anexo provee un</w:t>
      </w:r>
      <w:r w:rsidR="0086790A" w:rsidRPr="00C2576A">
        <w:rPr>
          <w:sz w:val="22"/>
          <w:szCs w:val="22"/>
          <w:lang w:val="es-ES_tradnl"/>
        </w:rPr>
        <w:t xml:space="preserve">a asignación conceptual de políticas a los parámetros centrales del modelo de equilibrio general. La agrupación se basa en la cercanía conceptual de las reformas con los parámetros del modelo. Dado que se trata de un programa que continúa la operación anterior, se han considerado también las políticas de NI-L1086 ya que son complementarias a las del presente. </w:t>
      </w:r>
    </w:p>
    <w:p w:rsidR="0086790A" w:rsidRPr="00C2576A" w:rsidRDefault="0086790A" w:rsidP="005B633F">
      <w:pPr>
        <w:rPr>
          <w:sz w:val="22"/>
          <w:szCs w:val="22"/>
          <w:lang w:val="es-ES_tradnl"/>
        </w:rPr>
      </w:pPr>
    </w:p>
    <w:p w:rsidR="0086790A" w:rsidRPr="00C2576A" w:rsidRDefault="0086790A" w:rsidP="0086790A">
      <w:pPr>
        <w:rPr>
          <w:b/>
          <w:sz w:val="22"/>
          <w:szCs w:val="22"/>
          <w:lang w:val="es-ES_tradnl"/>
        </w:rPr>
      </w:pPr>
      <w:r w:rsidRPr="00C2576A">
        <w:rPr>
          <w:b/>
          <w:sz w:val="22"/>
          <w:szCs w:val="22"/>
          <w:lang w:val="es-ES_tradnl"/>
        </w:rPr>
        <w:t>Costos de participación</w:t>
      </w:r>
    </w:p>
    <w:p w:rsidR="0086790A" w:rsidRPr="00C2576A" w:rsidRDefault="0086790A" w:rsidP="0086790A">
      <w:pPr>
        <w:rPr>
          <w:b/>
          <w:sz w:val="22"/>
          <w:szCs w:val="22"/>
          <w:lang w:val="es-ES_tradnl"/>
        </w:rPr>
      </w:pP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 xml:space="preserve">Aprobación del marco normativo de la gestión de riesgos por parte de las entidades financieras. </w:t>
      </w:r>
      <w:r w:rsidR="0016781D">
        <w:rPr>
          <w:lang w:val="es-ES_tradnl"/>
        </w:rPr>
        <w:t xml:space="preserve"> (C2)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Aprobación de las normas del Consejo Nacional de Microfinanzas (CONAMI) para  la regulación y el fomento de las Instituciones Financieras Intermediarias de Microfinanzas (IFIM), incluyendo: normas de gestión del riesgo de crédito, de registro, auditoria interna y externa y de transparencia.</w:t>
      </w:r>
      <w:r w:rsidR="0016781D">
        <w:rPr>
          <w:lang w:val="es-ES_tradnl"/>
        </w:rPr>
        <w:t xml:space="preserve"> (C2)</w:t>
      </w:r>
    </w:p>
    <w:p w:rsidR="0086790A" w:rsidRPr="00C2576A" w:rsidRDefault="0086790A" w:rsidP="0016781D">
      <w:pPr>
        <w:pStyle w:val="ListParagraph"/>
        <w:numPr>
          <w:ilvl w:val="0"/>
          <w:numId w:val="22"/>
        </w:numPr>
        <w:spacing w:after="200" w:line="276" w:lineRule="auto"/>
        <w:contextualSpacing/>
        <w:jc w:val="left"/>
        <w:rPr>
          <w:lang w:val="es-ES_tradnl"/>
        </w:rPr>
      </w:pPr>
      <w:r w:rsidRPr="00C2576A">
        <w:rPr>
          <w:lang w:val="es-ES_tradnl"/>
        </w:rPr>
        <w:t>Reforma de la normativa de riesgo de crédito y emisión de la normativa de riesgo tecnológico por parte de la CONAMI.</w:t>
      </w:r>
      <w:r w:rsidR="0016781D">
        <w:rPr>
          <w:lang w:val="es-ES_tradnl"/>
        </w:rPr>
        <w:t xml:space="preserve"> </w:t>
      </w:r>
      <w:r w:rsidR="0016781D" w:rsidRPr="0016781D">
        <w:rPr>
          <w:lang w:val="es-ES_tradnl"/>
        </w:rPr>
        <w:t>(C2)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Aprobación de la norma de transparencia financiera, incluyendo el tipo y los plazos de la información que las instituciones financieras deberán presentar a sus clientes, el proceso de reclamos y las cláusulas abusivas.</w:t>
      </w:r>
      <w:r w:rsidR="00FC1BE5">
        <w:rPr>
          <w:lang w:val="es-ES_tradnl"/>
        </w:rPr>
        <w:t xml:space="preserve"> </w:t>
      </w:r>
      <w:r w:rsidR="00FC1BE5" w:rsidRPr="0016781D">
        <w:rPr>
          <w:lang w:val="es-ES_tradnl"/>
        </w:rPr>
        <w:t>(C2)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Reglamentación de la Ley de la Factura Cambiaria.</w:t>
      </w:r>
      <w:r w:rsidR="00FC1BE5">
        <w:rPr>
          <w:lang w:val="es-ES_tradnl"/>
        </w:rPr>
        <w:t xml:space="preserve"> </w:t>
      </w:r>
      <w:r w:rsidR="00FC1BE5" w:rsidRPr="0016781D">
        <w:rPr>
          <w:lang w:val="es-ES_tradnl"/>
        </w:rPr>
        <w:t>(C2)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Definición de un plan estratégico para el BFP que define los instrumentos y las áreas de acciones prioritarias de actuación a medio plazo.</w:t>
      </w:r>
      <w:r w:rsidR="00714588">
        <w:rPr>
          <w:lang w:val="es-ES_tradnl"/>
        </w:rPr>
        <w:t xml:space="preserve"> </w:t>
      </w:r>
      <w:r w:rsidR="00714588" w:rsidRPr="0016781D">
        <w:rPr>
          <w:lang w:val="es-ES_tradnl"/>
        </w:rPr>
        <w:t>(C2)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Simplificación del registro de empresas a través de un Documento Único de Registro que integre la licencia municipal, el Registro Único de Contribuyente (RUC) y el permiso del INSS.</w:t>
      </w:r>
      <w:r w:rsidR="00714588">
        <w:rPr>
          <w:lang w:val="es-ES_tradnl"/>
        </w:rPr>
        <w:t xml:space="preserve"> </w:t>
      </w:r>
      <w:r w:rsidR="00714588" w:rsidRPr="0016781D">
        <w:rPr>
          <w:lang w:val="es-ES_tradnl"/>
        </w:rPr>
        <w:t>(C</w:t>
      </w:r>
      <w:r w:rsidR="00714588">
        <w:rPr>
          <w:lang w:val="es-ES_tradnl"/>
        </w:rPr>
        <w:t>3</w:t>
      </w:r>
      <w:r w:rsidR="00714588" w:rsidRPr="0016781D">
        <w:rPr>
          <w:lang w:val="es-ES_tradnl"/>
        </w:rPr>
        <w:t>)</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Creación de Ventanillas Únicas de Inversión (VUI) en siete municipios para simplificar trámites de registro, formalización y de asistencia técnica a la inversión.</w:t>
      </w:r>
      <w:r w:rsidR="00714588">
        <w:rPr>
          <w:lang w:val="es-ES_tradnl"/>
        </w:rPr>
        <w:t xml:space="preserve"> </w:t>
      </w:r>
      <w:r w:rsidR="00714588" w:rsidRPr="0016781D">
        <w:rPr>
          <w:lang w:val="es-ES_tradnl"/>
        </w:rPr>
        <w:t>(C</w:t>
      </w:r>
      <w:r w:rsidR="00714588">
        <w:rPr>
          <w:lang w:val="es-ES_tradnl"/>
        </w:rPr>
        <w:t>3</w:t>
      </w:r>
      <w:r w:rsidR="00714588" w:rsidRPr="0016781D">
        <w:rPr>
          <w:lang w:val="es-ES_tradnl"/>
        </w:rPr>
        <w:t>)</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Mejoras en la simplificación de procesos en materia de licencias y permisos medidos dentro del reporte del Doing Business en las áreas de registros de propiedad, apertura de una empresa, simplificación del pago de impuestos, comercio transfronterizo, i</w:t>
      </w:r>
      <w:r w:rsidR="00F2538B">
        <w:rPr>
          <w:lang w:val="es-ES_tradnl"/>
        </w:rPr>
        <w:t xml:space="preserve">ncluyendo al nivel subnacional. </w:t>
      </w:r>
      <w:r w:rsidR="00F2538B" w:rsidRPr="0016781D">
        <w:rPr>
          <w:lang w:val="es-ES_tradnl"/>
        </w:rPr>
        <w:t>(C</w:t>
      </w:r>
      <w:r w:rsidR="00F2538B">
        <w:rPr>
          <w:lang w:val="es-ES_tradnl"/>
        </w:rPr>
        <w:t>3</w:t>
      </w:r>
      <w:r w:rsidR="00F2538B" w:rsidRPr="0016781D">
        <w:rPr>
          <w:lang w:val="es-ES_tradnl"/>
        </w:rPr>
        <w:t>)</w:t>
      </w:r>
    </w:p>
    <w:p w:rsidR="0086790A" w:rsidRPr="00C2576A" w:rsidRDefault="0086790A" w:rsidP="0086790A">
      <w:pPr>
        <w:rPr>
          <w:b/>
          <w:sz w:val="22"/>
          <w:szCs w:val="22"/>
          <w:lang w:val="es-ES_tradnl"/>
        </w:rPr>
      </w:pPr>
      <w:r w:rsidRPr="00C2576A">
        <w:rPr>
          <w:b/>
          <w:sz w:val="22"/>
          <w:szCs w:val="22"/>
          <w:lang w:val="es-ES_tradnl"/>
        </w:rPr>
        <w:t xml:space="preserve">Profundidad </w:t>
      </w:r>
    </w:p>
    <w:p w:rsidR="0086790A" w:rsidRPr="00C2576A" w:rsidRDefault="0086790A" w:rsidP="0086790A">
      <w:pPr>
        <w:rPr>
          <w:sz w:val="22"/>
          <w:szCs w:val="22"/>
          <w:lang w:val="es-ES_tradnl"/>
        </w:rPr>
      </w:pP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 xml:space="preserve">Aprobación del marco normativo de la gestión de riesgos por parte de las entidades financieras. </w:t>
      </w:r>
      <w:r w:rsidR="00F2538B" w:rsidRPr="0016781D">
        <w:rPr>
          <w:lang w:val="es-ES_tradnl"/>
        </w:rPr>
        <w:t>(C2)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Aprobación de las normas del Consejo Nacional de Microfinanzas (CONAMI) para  la regulación y el fomento de las Instituciones Financieras Intermediarias de Microfinanzas (IFIM), incluyendo: normas de gestión del riesgo de crédito, de registro, auditoria interna y externa y de transparencia.</w:t>
      </w:r>
      <w:r w:rsidR="00F2538B">
        <w:rPr>
          <w:lang w:val="es-ES_tradnl"/>
        </w:rPr>
        <w:t xml:space="preserve"> </w:t>
      </w:r>
      <w:r w:rsidR="00F2538B" w:rsidRPr="0016781D">
        <w:rPr>
          <w:lang w:val="es-ES_tradnl"/>
        </w:rPr>
        <w:t>(C2)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Reforma de la normativa de riesgo de crédito y emisión de la normativa de riesgo tecnológico por parte de la CONAMI.</w:t>
      </w:r>
      <w:r w:rsidR="00F2538B">
        <w:rPr>
          <w:lang w:val="es-ES_tradnl"/>
        </w:rPr>
        <w:t xml:space="preserve"> </w:t>
      </w:r>
      <w:r w:rsidR="00F2538B" w:rsidRPr="0016781D">
        <w:rPr>
          <w:lang w:val="es-ES_tradnl"/>
        </w:rPr>
        <w:t>(C2)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lastRenderedPageBreak/>
        <w:t>Reglamentación de la Ley de la Factura Cambiaria.</w:t>
      </w:r>
      <w:r w:rsidR="00F2538B">
        <w:rPr>
          <w:lang w:val="es-ES_tradnl"/>
        </w:rPr>
        <w:t xml:space="preserve"> </w:t>
      </w:r>
      <w:r w:rsidR="00F2538B" w:rsidRPr="0016781D">
        <w:rPr>
          <w:lang w:val="es-ES_tradnl"/>
        </w:rPr>
        <w:t>(C2)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Anteproyecto de Ley de Garantías Mobiliarias consensuado con el sector privado.</w:t>
      </w:r>
      <w:r w:rsidR="00F2538B">
        <w:rPr>
          <w:lang w:val="es-ES_tradnl"/>
        </w:rPr>
        <w:t xml:space="preserve"> </w:t>
      </w:r>
      <w:r w:rsidR="00F2538B" w:rsidRPr="0016781D">
        <w:rPr>
          <w:lang w:val="es-ES_tradnl"/>
        </w:rPr>
        <w:t>(C2)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Entrada en vigor de la normativa de garantías mobiliarias.</w:t>
      </w:r>
      <w:r w:rsidR="00F2538B">
        <w:rPr>
          <w:lang w:val="es-ES_tradnl"/>
        </w:rPr>
        <w:t xml:space="preserve"> </w:t>
      </w:r>
      <w:r w:rsidR="00F2538B" w:rsidRPr="0016781D">
        <w:rPr>
          <w:lang w:val="es-ES_tradnl"/>
        </w:rPr>
        <w:t>(C2)</w:t>
      </w:r>
    </w:p>
    <w:p w:rsidR="0086790A" w:rsidRPr="00C2576A" w:rsidRDefault="0086790A" w:rsidP="0086790A">
      <w:pPr>
        <w:rPr>
          <w:b/>
          <w:sz w:val="22"/>
          <w:szCs w:val="22"/>
          <w:lang w:val="es-ES_tradnl"/>
        </w:rPr>
      </w:pPr>
      <w:r w:rsidRPr="00C2576A">
        <w:rPr>
          <w:b/>
          <w:sz w:val="22"/>
          <w:szCs w:val="22"/>
          <w:lang w:val="es-ES_tradnl"/>
        </w:rPr>
        <w:t>Eficiencia</w:t>
      </w:r>
    </w:p>
    <w:p w:rsidR="0086790A" w:rsidRPr="00C2576A" w:rsidRDefault="0086790A" w:rsidP="0086790A">
      <w:pPr>
        <w:rPr>
          <w:sz w:val="22"/>
          <w:szCs w:val="22"/>
          <w:lang w:val="es-ES_tradnl"/>
        </w:rPr>
      </w:pP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Establecimiento de los principios básicos de funcionamiento para el manejo de resolución de entidades financieras.</w:t>
      </w:r>
      <w:r w:rsidR="00E16F21">
        <w:rPr>
          <w:lang w:val="es-ES_tradnl"/>
        </w:rPr>
        <w:t xml:space="preserve"> </w:t>
      </w:r>
      <w:r w:rsidR="00E16F21" w:rsidRPr="0016781D">
        <w:rPr>
          <w:lang w:val="es-ES_tradnl"/>
        </w:rPr>
        <w:t>(C2)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 xml:space="preserve">Entrada en funcionamiento del manual de resolución de entidades financieras. </w:t>
      </w:r>
      <w:r w:rsidR="00E16F21" w:rsidRPr="0016781D">
        <w:rPr>
          <w:lang w:val="es-ES_tradnl"/>
        </w:rPr>
        <w:t>(C2)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Entrada en vigor de la Ley de Asociaciones Público – Privadas siguiendo mejores prácticas internacionales.</w:t>
      </w:r>
      <w:r w:rsidR="00E16F21">
        <w:rPr>
          <w:lang w:val="es-ES_tradnl"/>
        </w:rPr>
        <w:t xml:space="preserve"> </w:t>
      </w:r>
      <w:r w:rsidR="00E16F21" w:rsidRPr="0016781D">
        <w:rPr>
          <w:lang w:val="es-ES_tradnl"/>
        </w:rPr>
        <w:t>(C2)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Reforma del marco institucional y de gestión del Banco de Fomento de la Producción</w:t>
      </w:r>
      <w:r w:rsidR="00E16F21">
        <w:rPr>
          <w:lang w:val="es-ES_tradnl"/>
        </w:rPr>
        <w:t xml:space="preserve"> </w:t>
      </w:r>
      <w:r w:rsidR="00E16F21" w:rsidRPr="0016781D">
        <w:rPr>
          <w:lang w:val="es-ES_tradnl"/>
        </w:rPr>
        <w:t>(C2)</w:t>
      </w:r>
    </w:p>
    <w:p w:rsidR="0086790A" w:rsidRPr="00C2576A" w:rsidRDefault="0086790A" w:rsidP="0086790A">
      <w:pPr>
        <w:pStyle w:val="ListParagraph"/>
        <w:numPr>
          <w:ilvl w:val="0"/>
          <w:numId w:val="22"/>
        </w:numPr>
        <w:spacing w:after="200" w:line="276" w:lineRule="auto"/>
        <w:contextualSpacing/>
        <w:jc w:val="left"/>
        <w:rPr>
          <w:lang w:val="es-ES_tradnl"/>
        </w:rPr>
      </w:pPr>
      <w:r w:rsidRPr="00C2576A">
        <w:rPr>
          <w:lang w:val="es-ES_tradnl"/>
        </w:rPr>
        <w:t>Implantación de las mejoras de procesos y tecnológicas en el BFP.</w:t>
      </w:r>
      <w:r w:rsidR="00326468">
        <w:rPr>
          <w:lang w:val="es-ES_tradnl"/>
        </w:rPr>
        <w:t xml:space="preserve"> </w:t>
      </w:r>
      <w:r w:rsidR="00326468" w:rsidRPr="0016781D">
        <w:rPr>
          <w:lang w:val="es-ES_tradnl"/>
        </w:rPr>
        <w:t>(C2)</w:t>
      </w:r>
    </w:p>
    <w:p w:rsidR="0086790A" w:rsidRPr="00C2576A" w:rsidRDefault="0086790A" w:rsidP="005B633F">
      <w:pPr>
        <w:rPr>
          <w:sz w:val="22"/>
          <w:szCs w:val="22"/>
          <w:lang w:val="es-ES_tradnl"/>
        </w:rPr>
      </w:pPr>
    </w:p>
    <w:p w:rsidR="00F15688" w:rsidRPr="00C2576A" w:rsidRDefault="00F15688" w:rsidP="005B633F">
      <w:pPr>
        <w:rPr>
          <w:sz w:val="22"/>
          <w:szCs w:val="22"/>
          <w:lang w:val="es-ES_tradnl"/>
        </w:rPr>
      </w:pPr>
      <w:r w:rsidRPr="00C2576A">
        <w:rPr>
          <w:sz w:val="22"/>
          <w:szCs w:val="22"/>
          <w:lang w:val="es-ES_tradnl"/>
        </w:rPr>
        <w:t>De manera adicional, el modelo permite un mapeo de políticas a otros parámetros. Aunque el análisis económico, como es indicado en ese mismo anexo, asume que la cuantificación de los impactos esperados del componente financiero es los suficientemente relevante para tomarse como indicativo de todo el programa, se destaca aquí que el modelo propuesto permite hacer ejercicios comparativos como el descripto en la sección de evaluación con otros parámetros del modelo. Así, se realiza aquí una conexión entre las políticas apoyadas y parámetros adicionales del modelo.</w:t>
      </w:r>
    </w:p>
    <w:p w:rsidR="00F15688" w:rsidRPr="00C2576A" w:rsidRDefault="00F15688" w:rsidP="005B633F">
      <w:pPr>
        <w:rPr>
          <w:sz w:val="22"/>
          <w:szCs w:val="22"/>
          <w:lang w:val="es-ES_tradnl"/>
        </w:rPr>
      </w:pPr>
    </w:p>
    <w:p w:rsidR="00F15688" w:rsidRPr="00C2576A" w:rsidRDefault="00F15688" w:rsidP="005B633F">
      <w:pPr>
        <w:rPr>
          <w:b/>
          <w:sz w:val="22"/>
          <w:szCs w:val="22"/>
          <w:lang w:val="es-ES_tradnl"/>
        </w:rPr>
      </w:pPr>
      <w:r w:rsidRPr="00C2576A">
        <w:rPr>
          <w:b/>
          <w:sz w:val="22"/>
          <w:szCs w:val="22"/>
          <w:lang w:val="es-ES_tradnl"/>
        </w:rPr>
        <w:t>Tasa de ahorro</w:t>
      </w:r>
    </w:p>
    <w:p w:rsidR="00F15688" w:rsidRPr="00C2576A" w:rsidRDefault="00F15688" w:rsidP="00F15688">
      <w:pPr>
        <w:pStyle w:val="ListParagraph"/>
        <w:numPr>
          <w:ilvl w:val="0"/>
          <w:numId w:val="22"/>
        </w:numPr>
        <w:rPr>
          <w:lang w:val="es-ES_tradnl"/>
        </w:rPr>
      </w:pPr>
      <w:r w:rsidRPr="00C2576A">
        <w:rPr>
          <w:lang w:val="es-ES_tradnl"/>
        </w:rPr>
        <w:t>Regulaciones prudenciales, en particular Entrada en vigor de la regulación del riesgo de liquidez y del nivel de apalancamiento siguiendo</w:t>
      </w:r>
      <w:r w:rsidR="00AF2F67" w:rsidRPr="00C2576A">
        <w:rPr>
          <w:lang w:val="es-ES_tradnl"/>
        </w:rPr>
        <w:t xml:space="preserve"> los principios de Basilea III (acuerdo primer programa).</w:t>
      </w:r>
      <w:r w:rsidR="00326468">
        <w:rPr>
          <w:lang w:val="es-ES_tradnl"/>
        </w:rPr>
        <w:t xml:space="preserve"> </w:t>
      </w:r>
      <w:r w:rsidR="00326468" w:rsidRPr="0016781D">
        <w:rPr>
          <w:lang w:val="es-ES_tradnl"/>
        </w:rPr>
        <w:t>(C2</w:t>
      </w:r>
      <w:r w:rsidR="00326468">
        <w:rPr>
          <w:lang w:val="es-ES_tradnl"/>
        </w:rPr>
        <w:t>, C1</w:t>
      </w:r>
      <w:r w:rsidR="00326468" w:rsidRPr="0016781D">
        <w:rPr>
          <w:lang w:val="es-ES_tradnl"/>
        </w:rPr>
        <w:t>)</w:t>
      </w:r>
    </w:p>
    <w:p w:rsidR="00AF2F67" w:rsidRPr="00C2576A" w:rsidRDefault="00AF2F67" w:rsidP="00AF2F67">
      <w:pPr>
        <w:rPr>
          <w:sz w:val="22"/>
          <w:szCs w:val="22"/>
          <w:lang w:val="es-ES_tradnl"/>
        </w:rPr>
      </w:pPr>
    </w:p>
    <w:p w:rsidR="00AF2F67" w:rsidRPr="00C2576A" w:rsidRDefault="00AF2F67" w:rsidP="00AF2F67">
      <w:pPr>
        <w:rPr>
          <w:b/>
          <w:sz w:val="22"/>
          <w:szCs w:val="22"/>
          <w:lang w:val="es-ES_tradnl"/>
        </w:rPr>
      </w:pPr>
      <w:r w:rsidRPr="00C2576A">
        <w:rPr>
          <w:b/>
          <w:sz w:val="22"/>
          <w:szCs w:val="22"/>
          <w:lang w:val="es-ES_tradnl"/>
        </w:rPr>
        <w:t>Probabilidad de quiebra</w:t>
      </w:r>
    </w:p>
    <w:p w:rsidR="00AF2F67" w:rsidRPr="00C2576A" w:rsidRDefault="00AF2F67" w:rsidP="00AF2F67">
      <w:pPr>
        <w:pStyle w:val="ListParagraph"/>
        <w:numPr>
          <w:ilvl w:val="0"/>
          <w:numId w:val="22"/>
        </w:numPr>
        <w:rPr>
          <w:lang w:val="es-ES_tradnl"/>
        </w:rPr>
      </w:pPr>
      <w:r w:rsidRPr="00C2576A">
        <w:rPr>
          <w:lang w:val="es-ES_tradnl"/>
        </w:rPr>
        <w:t>Mejoras en la simplificación de procesos en materia de licencias y permisos medidos dentro del reporte del Doing Business en las áreas de registros de propiedad, apertura de una empresa, simplificación del pago de impuestos, comercio transfronterizo (primer programa)</w:t>
      </w:r>
      <w:r w:rsidR="00326468">
        <w:rPr>
          <w:lang w:val="es-ES_tradnl"/>
        </w:rPr>
        <w:t xml:space="preserve"> </w:t>
      </w:r>
      <w:r w:rsidR="00326468" w:rsidRPr="0016781D">
        <w:rPr>
          <w:lang w:val="es-ES_tradnl"/>
        </w:rPr>
        <w:t>(C</w:t>
      </w:r>
      <w:r w:rsidR="00326468">
        <w:rPr>
          <w:lang w:val="es-ES_tradnl"/>
        </w:rPr>
        <w:t>3</w:t>
      </w:r>
      <w:r w:rsidR="00326468" w:rsidRPr="0016781D">
        <w:rPr>
          <w:lang w:val="es-ES_tradnl"/>
        </w:rPr>
        <w:t>)</w:t>
      </w:r>
    </w:p>
    <w:p w:rsidR="00AF2F67" w:rsidRPr="00C2576A" w:rsidRDefault="00AF2F67" w:rsidP="00AF2F67">
      <w:pPr>
        <w:pStyle w:val="ListParagraph"/>
        <w:numPr>
          <w:ilvl w:val="0"/>
          <w:numId w:val="22"/>
        </w:numPr>
        <w:rPr>
          <w:lang w:val="es-ES_tradnl"/>
        </w:rPr>
      </w:pPr>
      <w:r w:rsidRPr="00C2576A">
        <w:rPr>
          <w:lang w:val="es-ES_tradnl"/>
        </w:rPr>
        <w:t>Entrada en funcionamiento de las VUI en siete municipios (primer programa)</w:t>
      </w:r>
      <w:r w:rsidR="00326468">
        <w:rPr>
          <w:lang w:val="es-ES_tradnl"/>
        </w:rPr>
        <w:t xml:space="preserve"> </w:t>
      </w:r>
      <w:r w:rsidR="00326468" w:rsidRPr="0016781D">
        <w:rPr>
          <w:lang w:val="es-ES_tradnl"/>
        </w:rPr>
        <w:t>(C</w:t>
      </w:r>
      <w:r w:rsidR="00326468">
        <w:rPr>
          <w:lang w:val="es-ES_tradnl"/>
        </w:rPr>
        <w:t>3</w:t>
      </w:r>
      <w:r w:rsidR="00326468" w:rsidRPr="0016781D">
        <w:rPr>
          <w:lang w:val="es-ES_tradnl"/>
        </w:rPr>
        <w:t>)</w:t>
      </w:r>
    </w:p>
    <w:p w:rsidR="00AF2F67" w:rsidRPr="00C2576A" w:rsidRDefault="00AF2F67" w:rsidP="00AF2F67">
      <w:pPr>
        <w:pStyle w:val="ListParagraph"/>
        <w:numPr>
          <w:ilvl w:val="0"/>
          <w:numId w:val="22"/>
        </w:numPr>
        <w:rPr>
          <w:lang w:val="es-ES_tradnl"/>
        </w:rPr>
      </w:pPr>
      <w:r w:rsidRPr="00C2576A">
        <w:rPr>
          <w:lang w:val="es-ES_tradnl"/>
        </w:rPr>
        <w:t>Entrada en vigor de planes estratégicos de atracción de inversiones en la RAAN y RAAS, con el objetivo de diversificar geográficamente el destino</w:t>
      </w:r>
      <w:r w:rsidRPr="00C2576A">
        <w:t xml:space="preserve"> </w:t>
      </w:r>
      <w:r w:rsidRPr="00C2576A">
        <w:rPr>
          <w:lang w:val="es-ES_tradnl"/>
        </w:rPr>
        <w:t>Desarrollo de la Estrategia de ciencia, tecnología, innovación y emprendedurismo, que impulse los sectores prioritarios, mediante la creación de un Fondo de Impulso a la Innovación.  de las inversiones extranjeras.</w:t>
      </w:r>
      <w:r w:rsidR="00326468">
        <w:rPr>
          <w:lang w:val="es-ES_tradnl"/>
        </w:rPr>
        <w:t xml:space="preserve"> </w:t>
      </w:r>
      <w:r w:rsidR="00326468" w:rsidRPr="0016781D">
        <w:rPr>
          <w:lang w:val="es-ES_tradnl"/>
        </w:rPr>
        <w:t>(C</w:t>
      </w:r>
      <w:r w:rsidR="00326468">
        <w:rPr>
          <w:lang w:val="es-ES_tradnl"/>
        </w:rPr>
        <w:t>4</w:t>
      </w:r>
      <w:r w:rsidR="00326468" w:rsidRPr="0016781D">
        <w:rPr>
          <w:lang w:val="es-ES_tradnl"/>
        </w:rPr>
        <w:t>)</w:t>
      </w:r>
    </w:p>
    <w:p w:rsidR="00AF2F67" w:rsidRPr="00C2576A" w:rsidRDefault="00AF2F67" w:rsidP="003259E2">
      <w:pPr>
        <w:ind w:left="360"/>
        <w:rPr>
          <w:sz w:val="22"/>
          <w:szCs w:val="22"/>
          <w:lang w:val="es-ES_tradnl"/>
        </w:rPr>
      </w:pPr>
    </w:p>
    <w:p w:rsidR="00C2576A" w:rsidRPr="00C2576A" w:rsidRDefault="00C2576A">
      <w:pPr>
        <w:ind w:left="360"/>
        <w:rPr>
          <w:sz w:val="22"/>
          <w:szCs w:val="22"/>
          <w:lang w:val="es-ES_tradnl"/>
        </w:rPr>
      </w:pPr>
    </w:p>
    <w:sectPr w:rsidR="00C2576A" w:rsidRPr="00C2576A" w:rsidSect="002A0795">
      <w:pgSz w:w="12240" w:h="15840" w:code="1"/>
      <w:pgMar w:top="1440" w:right="1440" w:bottom="1440" w:left="180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21C" w:rsidRDefault="004A021C" w:rsidP="00064DDF">
      <w:r>
        <w:separator/>
      </w:r>
    </w:p>
  </w:endnote>
  <w:endnote w:type="continuationSeparator" w:id="0">
    <w:p w:rsidR="004A021C" w:rsidRDefault="004A021C" w:rsidP="00064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DejaVu Sans">
    <w:altName w:val="Arial"/>
    <w:charset w:val="00"/>
    <w:family w:val="swiss"/>
    <w:pitch w:val="variable"/>
  </w:font>
  <w:font w:name="WenQuanYi Micro Hei">
    <w:altName w:val="ＭＳ ゴシック"/>
    <w:charset w:val="00"/>
    <w:family w:val="modern"/>
    <w:pitch w:val="fixed"/>
  </w:font>
  <w:font w:name="Lohit Hindi">
    <w:altName w:val="Times New Roman"/>
    <w:charset w:val="00"/>
    <w:family w:val="auto"/>
    <w:pitch w:val="default"/>
  </w:font>
  <w:font w:name="ヒラギノ角ゴ Pro W3">
    <w:altName w:val="MS Mincho"/>
    <w:charset w:val="80"/>
    <w:family w:val="auto"/>
    <w:pitch w:val="variable"/>
    <w:sig w:usb0="00000000" w:usb1="7AC7FFFF" w:usb2="00000012" w:usb3="00000000" w:csb0="0002000D"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21C" w:rsidRDefault="004A021C" w:rsidP="00064DDF">
      <w:r>
        <w:separator/>
      </w:r>
    </w:p>
  </w:footnote>
  <w:footnote w:type="continuationSeparator" w:id="0">
    <w:p w:rsidR="004A021C" w:rsidRDefault="004A021C" w:rsidP="00064DDF">
      <w:r>
        <w:continuationSeparator/>
      </w:r>
    </w:p>
  </w:footnote>
  <w:footnote w:id="1">
    <w:p w:rsidR="004A021C" w:rsidRPr="00EA27C5" w:rsidRDefault="004A021C" w:rsidP="00EA27C5">
      <w:pPr>
        <w:pStyle w:val="FootnoteText"/>
        <w:spacing w:after="0"/>
        <w:ind w:left="270" w:hanging="270"/>
        <w:rPr>
          <w:rFonts w:ascii="Arial" w:hAnsi="Arial"/>
          <w:sz w:val="18"/>
          <w:szCs w:val="18"/>
          <w:lang w:val="es-AR"/>
        </w:rPr>
      </w:pPr>
      <w:r w:rsidRPr="00EA27C5">
        <w:rPr>
          <w:rStyle w:val="FootnoteReference"/>
          <w:rFonts w:ascii="Arial" w:hAnsi="Arial"/>
          <w:sz w:val="18"/>
          <w:szCs w:val="18"/>
        </w:rPr>
        <w:footnoteRef/>
      </w:r>
      <w:r w:rsidRPr="00EA27C5">
        <w:rPr>
          <w:rFonts w:ascii="Arial" w:hAnsi="Arial"/>
          <w:sz w:val="18"/>
          <w:szCs w:val="18"/>
          <w:lang w:val="es-AR"/>
        </w:rPr>
        <w:t xml:space="preserve"> </w:t>
      </w:r>
      <w:r>
        <w:rPr>
          <w:rFonts w:ascii="Arial" w:hAnsi="Arial"/>
          <w:sz w:val="18"/>
          <w:szCs w:val="18"/>
          <w:lang w:val="es-AR"/>
        </w:rPr>
        <w:tab/>
      </w:r>
      <w:r w:rsidRPr="00EA27C5">
        <w:rPr>
          <w:rFonts w:ascii="Arial" w:hAnsi="Arial"/>
          <w:sz w:val="18"/>
          <w:szCs w:val="18"/>
          <w:lang w:val="es-AR"/>
        </w:rPr>
        <w:t>Fondo Monetario Internacional (FMI), “Artículo IV”, 2016.</w:t>
      </w:r>
    </w:p>
  </w:footnote>
  <w:footnote w:id="2">
    <w:p w:rsidR="004A021C" w:rsidRPr="00EA27C5" w:rsidRDefault="004A021C" w:rsidP="00EA27C5">
      <w:pPr>
        <w:autoSpaceDE w:val="0"/>
        <w:autoSpaceDN w:val="0"/>
        <w:adjustRightInd w:val="0"/>
        <w:ind w:left="270" w:hanging="270"/>
        <w:rPr>
          <w:rFonts w:eastAsiaTheme="minorHAnsi"/>
          <w:sz w:val="18"/>
          <w:szCs w:val="18"/>
          <w:lang w:val="es-AR"/>
        </w:rPr>
      </w:pPr>
      <w:r w:rsidRPr="00EA27C5">
        <w:rPr>
          <w:rStyle w:val="FootnoteReference"/>
          <w:sz w:val="18"/>
          <w:szCs w:val="18"/>
        </w:rPr>
        <w:footnoteRef/>
      </w:r>
      <w:r w:rsidRPr="00EA27C5">
        <w:rPr>
          <w:sz w:val="18"/>
          <w:szCs w:val="18"/>
          <w:lang w:val="es-AR"/>
        </w:rPr>
        <w:t xml:space="preserve"> </w:t>
      </w:r>
      <w:r>
        <w:rPr>
          <w:sz w:val="18"/>
          <w:szCs w:val="18"/>
          <w:lang w:val="es-AR"/>
        </w:rPr>
        <w:tab/>
      </w:r>
      <w:r w:rsidRPr="00EA27C5">
        <w:rPr>
          <w:sz w:val="18"/>
          <w:szCs w:val="18"/>
          <w:lang w:val="es-AR"/>
        </w:rPr>
        <w:t>El déficit de cuenta corriente se incrementó de 3,1% PIB en 2014 a 3,7% en 2015. Esto se debió a un menor desempeño de las exportaciones nicaragüenses como resultado de la baja de los precios de las materias primas y la finalización en 2014 del acuerdo preferencial de comercio con Estados Unidos.</w:t>
      </w:r>
    </w:p>
  </w:footnote>
  <w:footnote w:id="3">
    <w:p w:rsidR="004A021C" w:rsidRPr="00EA27C5" w:rsidRDefault="004A021C" w:rsidP="00EA27C5">
      <w:pPr>
        <w:autoSpaceDE w:val="0"/>
        <w:autoSpaceDN w:val="0"/>
        <w:adjustRightInd w:val="0"/>
        <w:ind w:left="270" w:hanging="270"/>
        <w:rPr>
          <w:sz w:val="18"/>
          <w:szCs w:val="18"/>
          <w:lang w:val="en-US"/>
        </w:rPr>
      </w:pPr>
      <w:r w:rsidRPr="00EA27C5">
        <w:rPr>
          <w:rStyle w:val="FootnoteReference"/>
          <w:sz w:val="18"/>
          <w:szCs w:val="18"/>
        </w:rPr>
        <w:footnoteRef/>
      </w:r>
      <w:r w:rsidRPr="00EA27C5">
        <w:rPr>
          <w:sz w:val="18"/>
          <w:szCs w:val="18"/>
          <w:lang w:val="en-US"/>
        </w:rPr>
        <w:t xml:space="preserve"> </w:t>
      </w:r>
      <w:r>
        <w:rPr>
          <w:sz w:val="18"/>
          <w:szCs w:val="18"/>
          <w:lang w:val="en-US"/>
        </w:rPr>
        <w:tab/>
      </w:r>
      <w:r w:rsidRPr="00EA27C5">
        <w:rPr>
          <w:sz w:val="18"/>
          <w:szCs w:val="18"/>
          <w:lang w:val="en-US"/>
        </w:rPr>
        <w:t>Véase (De Franco, 2011) y Johnson, C. “Potential Output and Output Gap in Central America, Panama and Dominican Republic” IMF Working Paper, WP/13/145.</w:t>
      </w:r>
    </w:p>
  </w:footnote>
  <w:footnote w:id="4">
    <w:p w:rsidR="004A021C" w:rsidRPr="00EA27C5" w:rsidRDefault="004A021C" w:rsidP="00EA27C5">
      <w:pPr>
        <w:pStyle w:val="FootnoteText"/>
        <w:spacing w:after="0"/>
        <w:ind w:left="270" w:hanging="270"/>
        <w:rPr>
          <w:rFonts w:ascii="Arial" w:hAnsi="Arial"/>
          <w:sz w:val="18"/>
          <w:szCs w:val="18"/>
          <w:lang w:val="en-US"/>
        </w:rPr>
      </w:pPr>
      <w:r w:rsidRPr="00EA27C5">
        <w:rPr>
          <w:rStyle w:val="FootnoteReference"/>
          <w:rFonts w:ascii="Arial" w:hAnsi="Arial"/>
          <w:sz w:val="18"/>
          <w:szCs w:val="18"/>
        </w:rPr>
        <w:footnoteRef/>
      </w:r>
      <w:r w:rsidRPr="00EA27C5">
        <w:rPr>
          <w:rFonts w:ascii="Arial" w:hAnsi="Arial"/>
          <w:sz w:val="18"/>
          <w:szCs w:val="18"/>
        </w:rPr>
        <w:t xml:space="preserve"> </w:t>
      </w:r>
      <w:r>
        <w:rPr>
          <w:rFonts w:ascii="Arial" w:hAnsi="Arial"/>
          <w:sz w:val="18"/>
          <w:szCs w:val="18"/>
        </w:rPr>
        <w:tab/>
      </w:r>
      <w:r w:rsidRPr="00EA27C5">
        <w:rPr>
          <w:rFonts w:ascii="Arial" w:hAnsi="Arial"/>
          <w:sz w:val="18"/>
          <w:szCs w:val="18"/>
        </w:rPr>
        <w:t xml:space="preserve">Swiston, A. y Barrot, Luis Diego. </w:t>
      </w:r>
      <w:r w:rsidRPr="00EA27C5">
        <w:rPr>
          <w:rFonts w:ascii="Arial" w:hAnsi="Arial"/>
          <w:sz w:val="18"/>
          <w:szCs w:val="18"/>
          <w:lang w:val="en-US"/>
        </w:rPr>
        <w:t>The Role of Structural Reforms in Raising Economic Growth in Central America. IMF Working Paper. WP/11/248. Véase también IMF, 2012. Artículo IV, Selected Issues.</w:t>
      </w:r>
    </w:p>
  </w:footnote>
  <w:footnote w:id="5">
    <w:p w:rsidR="004A021C" w:rsidRPr="00EA27C5" w:rsidRDefault="004A021C" w:rsidP="00EA27C5">
      <w:pPr>
        <w:pStyle w:val="FootnoteText"/>
        <w:spacing w:after="0"/>
        <w:ind w:left="270" w:hanging="270"/>
        <w:rPr>
          <w:rFonts w:ascii="Arial" w:hAnsi="Arial"/>
          <w:sz w:val="18"/>
          <w:szCs w:val="18"/>
          <w:lang w:val="en-US"/>
        </w:rPr>
      </w:pPr>
      <w:r w:rsidRPr="00EA27C5">
        <w:rPr>
          <w:rStyle w:val="FootnoteReference"/>
          <w:rFonts w:ascii="Arial" w:hAnsi="Arial"/>
          <w:sz w:val="18"/>
          <w:szCs w:val="18"/>
        </w:rPr>
        <w:footnoteRef/>
      </w:r>
      <w:r w:rsidRPr="00EA27C5">
        <w:rPr>
          <w:rFonts w:ascii="Arial" w:hAnsi="Arial"/>
          <w:sz w:val="18"/>
          <w:szCs w:val="18"/>
          <w:lang w:val="en-US"/>
        </w:rPr>
        <w:t xml:space="preserve"> </w:t>
      </w:r>
      <w:r>
        <w:rPr>
          <w:rFonts w:ascii="Arial" w:hAnsi="Arial"/>
          <w:sz w:val="18"/>
          <w:szCs w:val="18"/>
          <w:lang w:val="en-US"/>
        </w:rPr>
        <w:tab/>
      </w:r>
      <w:r w:rsidRPr="00EA27C5">
        <w:rPr>
          <w:rFonts w:ascii="Arial" w:hAnsi="Arial"/>
          <w:sz w:val="18"/>
          <w:szCs w:val="18"/>
          <w:lang w:val="en-US"/>
        </w:rPr>
        <w:t>Buera, Francisco J., Joseph P. Kaboski, and Yongseok Shin. "Finance and Development: A Tale of Two Sectors." American Economic Review 101.5 (2011): 1964-2002.</w:t>
      </w:r>
    </w:p>
  </w:footnote>
  <w:footnote w:id="6">
    <w:p w:rsidR="004A021C" w:rsidRPr="00EA27C5" w:rsidRDefault="004A021C" w:rsidP="00EA27C5">
      <w:pPr>
        <w:pStyle w:val="FootnoteText"/>
        <w:spacing w:after="0"/>
        <w:ind w:left="270" w:hanging="270"/>
        <w:rPr>
          <w:rFonts w:ascii="Arial" w:hAnsi="Arial"/>
          <w:sz w:val="18"/>
          <w:szCs w:val="18"/>
          <w:lang w:val="en-US"/>
        </w:rPr>
      </w:pPr>
      <w:r w:rsidRPr="00EA27C5">
        <w:rPr>
          <w:rStyle w:val="FootnoteReference"/>
          <w:rFonts w:ascii="Arial" w:hAnsi="Arial"/>
          <w:sz w:val="18"/>
          <w:szCs w:val="18"/>
        </w:rPr>
        <w:footnoteRef/>
      </w:r>
      <w:r w:rsidRPr="00EA27C5">
        <w:rPr>
          <w:rFonts w:ascii="Arial" w:hAnsi="Arial"/>
          <w:sz w:val="18"/>
          <w:szCs w:val="18"/>
          <w:lang w:val="en-US"/>
        </w:rPr>
        <w:t xml:space="preserve"> </w:t>
      </w:r>
      <w:r>
        <w:rPr>
          <w:rFonts w:ascii="Arial" w:hAnsi="Arial"/>
          <w:sz w:val="18"/>
          <w:szCs w:val="18"/>
          <w:lang w:val="en-US"/>
        </w:rPr>
        <w:tab/>
      </w:r>
      <w:r w:rsidRPr="00EA27C5">
        <w:rPr>
          <w:rFonts w:ascii="Arial" w:hAnsi="Arial"/>
          <w:sz w:val="18"/>
          <w:szCs w:val="18"/>
          <w:lang w:val="en-US"/>
        </w:rPr>
        <w:t>Greenwood, Jeremy, Juan M. Sanchez, and Cheng Wang. "Quantifying the impact of financial development on economic development." Review of Economic Dynamics 16.1 (2013): 194-215.</w:t>
      </w:r>
    </w:p>
  </w:footnote>
  <w:footnote w:id="7">
    <w:p w:rsidR="004A021C" w:rsidRPr="00EA27C5" w:rsidRDefault="004A021C" w:rsidP="00EA27C5">
      <w:pPr>
        <w:pStyle w:val="FootnoteText"/>
        <w:spacing w:after="0"/>
        <w:ind w:left="274" w:hanging="274"/>
        <w:rPr>
          <w:rFonts w:ascii="Arial" w:hAnsi="Arial"/>
          <w:sz w:val="18"/>
          <w:szCs w:val="18"/>
          <w:lang w:val="en-US"/>
        </w:rPr>
      </w:pPr>
      <w:r w:rsidRPr="00EA27C5">
        <w:rPr>
          <w:rStyle w:val="FootnoteReference"/>
          <w:rFonts w:ascii="Arial" w:hAnsi="Arial"/>
          <w:sz w:val="18"/>
          <w:szCs w:val="18"/>
        </w:rPr>
        <w:footnoteRef/>
      </w:r>
      <w:r w:rsidRPr="00EA27C5">
        <w:rPr>
          <w:rFonts w:ascii="Arial" w:hAnsi="Arial"/>
          <w:sz w:val="18"/>
          <w:szCs w:val="18"/>
          <w:lang w:val="en-US"/>
        </w:rPr>
        <w:t xml:space="preserve"> </w:t>
      </w:r>
      <w:r>
        <w:rPr>
          <w:rFonts w:ascii="Arial" w:hAnsi="Arial"/>
          <w:sz w:val="18"/>
          <w:szCs w:val="18"/>
          <w:lang w:val="en-US"/>
        </w:rPr>
        <w:tab/>
      </w:r>
      <w:r w:rsidRPr="00EA27C5">
        <w:rPr>
          <w:rFonts w:ascii="Arial" w:hAnsi="Arial"/>
          <w:sz w:val="18"/>
          <w:szCs w:val="18"/>
          <w:lang w:val="en-US"/>
        </w:rPr>
        <w:t>Karpowicz, Ms Izabela. Financial Inclusion, Growth and Inequality: A Model Application to Colombia. No. 14-166. International Monetary Fund, 2014.</w:t>
      </w:r>
    </w:p>
  </w:footnote>
  <w:footnote w:id="8">
    <w:p w:rsidR="004A021C" w:rsidRPr="00EA27C5" w:rsidRDefault="004A021C" w:rsidP="00EA27C5">
      <w:pPr>
        <w:pStyle w:val="FootnoteText"/>
        <w:spacing w:after="0"/>
        <w:ind w:left="274" w:hanging="274"/>
        <w:rPr>
          <w:rFonts w:ascii="Arial" w:hAnsi="Arial"/>
          <w:sz w:val="18"/>
          <w:szCs w:val="18"/>
          <w:lang w:val="en-US"/>
        </w:rPr>
      </w:pPr>
      <w:r w:rsidRPr="00EA27C5">
        <w:rPr>
          <w:rStyle w:val="FootnoteReference"/>
          <w:rFonts w:ascii="Arial" w:hAnsi="Arial"/>
          <w:sz w:val="18"/>
          <w:szCs w:val="18"/>
        </w:rPr>
        <w:footnoteRef/>
      </w:r>
      <w:r w:rsidRPr="00EA27C5">
        <w:rPr>
          <w:rFonts w:ascii="Arial" w:hAnsi="Arial"/>
          <w:sz w:val="18"/>
          <w:szCs w:val="18"/>
          <w:lang w:val="en-US"/>
        </w:rPr>
        <w:t xml:space="preserve"> </w:t>
      </w:r>
      <w:r>
        <w:rPr>
          <w:rFonts w:ascii="Arial" w:hAnsi="Arial"/>
          <w:sz w:val="18"/>
          <w:szCs w:val="18"/>
          <w:lang w:val="en-US"/>
        </w:rPr>
        <w:tab/>
      </w:r>
      <w:r w:rsidRPr="00EA27C5">
        <w:rPr>
          <w:rFonts w:ascii="Arial" w:hAnsi="Arial"/>
          <w:sz w:val="18"/>
          <w:szCs w:val="18"/>
          <w:lang w:val="en-US"/>
        </w:rPr>
        <w:t>Dabla-Norris, Era, Ji, Yan, Townsend, Robert and Filiz Unsal, 2014, “Financial Deepening, Growth, and Inequality: A Structural Framework for Developing Countries”</w:t>
      </w:r>
    </w:p>
  </w:footnote>
  <w:footnote w:id="9">
    <w:p w:rsidR="004A021C" w:rsidRPr="00EA27C5" w:rsidRDefault="004A021C" w:rsidP="00EA27C5">
      <w:pPr>
        <w:pStyle w:val="FootnoteText"/>
        <w:spacing w:after="0"/>
        <w:ind w:left="274" w:hanging="274"/>
        <w:rPr>
          <w:rFonts w:ascii="Arial" w:hAnsi="Arial"/>
          <w:sz w:val="18"/>
          <w:szCs w:val="18"/>
          <w:lang w:val="en-US"/>
        </w:rPr>
      </w:pPr>
      <w:r w:rsidRPr="00EA27C5">
        <w:rPr>
          <w:rStyle w:val="FootnoteReference"/>
          <w:rFonts w:ascii="Arial" w:hAnsi="Arial"/>
          <w:sz w:val="18"/>
          <w:szCs w:val="18"/>
        </w:rPr>
        <w:footnoteRef/>
      </w:r>
      <w:r w:rsidRPr="00EA27C5">
        <w:rPr>
          <w:rFonts w:ascii="Arial" w:hAnsi="Arial"/>
          <w:sz w:val="18"/>
          <w:szCs w:val="18"/>
          <w:lang w:val="en-US"/>
        </w:rPr>
        <w:t xml:space="preserve"> </w:t>
      </w:r>
      <w:r>
        <w:rPr>
          <w:rFonts w:ascii="Arial" w:hAnsi="Arial"/>
          <w:sz w:val="18"/>
          <w:szCs w:val="18"/>
          <w:lang w:val="en-US"/>
        </w:rPr>
        <w:tab/>
      </w:r>
      <w:r w:rsidRPr="00EA27C5">
        <w:rPr>
          <w:rFonts w:ascii="Arial" w:hAnsi="Arial"/>
          <w:sz w:val="18"/>
          <w:szCs w:val="18"/>
          <w:lang w:val="en-US"/>
        </w:rPr>
        <w:t>a-Norris, E.; Ji, Y.; Townsend, R. &amp; Unsal, D. F. Identifying Constraints to Financial Inclusion and Their Impact on GDP and Inequality: A Structural Framework for Policy International Monetary Fund, 2015</w:t>
      </w:r>
    </w:p>
  </w:footnote>
  <w:footnote w:id="10">
    <w:p w:rsidR="004A021C" w:rsidRPr="00EA27C5" w:rsidRDefault="004A021C" w:rsidP="00EA27C5">
      <w:pPr>
        <w:pStyle w:val="FootnoteText"/>
        <w:spacing w:after="0"/>
        <w:ind w:left="274" w:hanging="274"/>
        <w:rPr>
          <w:rFonts w:ascii="Arial" w:hAnsi="Arial"/>
          <w:sz w:val="18"/>
          <w:szCs w:val="18"/>
        </w:rPr>
      </w:pPr>
      <w:r w:rsidRPr="00EA27C5">
        <w:rPr>
          <w:rStyle w:val="FootnoteReference"/>
          <w:rFonts w:ascii="Arial" w:hAnsi="Arial"/>
          <w:sz w:val="18"/>
          <w:szCs w:val="18"/>
        </w:rPr>
        <w:footnoteRef/>
      </w:r>
      <w:r w:rsidRPr="00EA27C5">
        <w:rPr>
          <w:rFonts w:ascii="Arial" w:hAnsi="Arial"/>
          <w:sz w:val="18"/>
          <w:szCs w:val="18"/>
        </w:rPr>
        <w:t xml:space="preserve"> </w:t>
      </w:r>
      <w:r>
        <w:rPr>
          <w:rFonts w:ascii="Arial" w:hAnsi="Arial"/>
          <w:sz w:val="18"/>
          <w:szCs w:val="18"/>
        </w:rPr>
        <w:tab/>
      </w:r>
      <w:r w:rsidRPr="00EA27C5">
        <w:rPr>
          <w:rFonts w:ascii="Arial" w:hAnsi="Arial"/>
          <w:sz w:val="18"/>
          <w:szCs w:val="18"/>
        </w:rPr>
        <w:t>Para un mayor detalle sobre el modelo de referencia, ver Anexo ME.I.</w:t>
      </w:r>
    </w:p>
  </w:footnote>
  <w:footnote w:id="11">
    <w:p w:rsidR="004A021C" w:rsidRPr="00EA27C5" w:rsidRDefault="004A021C" w:rsidP="00EA27C5">
      <w:pPr>
        <w:pStyle w:val="FootnoteText"/>
        <w:spacing w:after="0"/>
        <w:ind w:left="274" w:hanging="274"/>
        <w:rPr>
          <w:rFonts w:ascii="Arial" w:hAnsi="Arial"/>
          <w:sz w:val="18"/>
          <w:szCs w:val="18"/>
        </w:rPr>
      </w:pPr>
      <w:r w:rsidRPr="00EA27C5">
        <w:rPr>
          <w:rStyle w:val="FootnoteReference"/>
          <w:rFonts w:ascii="Arial" w:hAnsi="Arial"/>
          <w:sz w:val="18"/>
          <w:szCs w:val="18"/>
        </w:rPr>
        <w:footnoteRef/>
      </w:r>
      <w:r w:rsidRPr="00EA27C5">
        <w:rPr>
          <w:rFonts w:ascii="Arial" w:hAnsi="Arial"/>
          <w:sz w:val="18"/>
          <w:szCs w:val="18"/>
        </w:rPr>
        <w:t xml:space="preserve"> </w:t>
      </w:r>
      <w:r>
        <w:rPr>
          <w:rFonts w:ascii="Arial" w:hAnsi="Arial"/>
          <w:sz w:val="18"/>
          <w:szCs w:val="18"/>
        </w:rPr>
        <w:tab/>
      </w:r>
      <w:r w:rsidRPr="00EA27C5">
        <w:rPr>
          <w:rFonts w:ascii="Arial" w:hAnsi="Arial"/>
          <w:sz w:val="18"/>
          <w:szCs w:val="18"/>
        </w:rPr>
        <w:t xml:space="preserve">“Reach”, “depth”, y “efficiency” usando la terminología original. </w:t>
      </w:r>
    </w:p>
  </w:footnote>
  <w:footnote w:id="12">
    <w:p w:rsidR="004A021C" w:rsidRPr="00EA27C5" w:rsidRDefault="004A021C" w:rsidP="00EA27C5">
      <w:pPr>
        <w:pStyle w:val="FootnoteText"/>
        <w:spacing w:after="0"/>
        <w:ind w:left="274" w:hanging="274"/>
        <w:rPr>
          <w:rFonts w:ascii="Arial" w:hAnsi="Arial"/>
          <w:sz w:val="18"/>
          <w:szCs w:val="18"/>
        </w:rPr>
      </w:pPr>
      <w:r w:rsidRPr="00EA27C5">
        <w:rPr>
          <w:rStyle w:val="FootnoteReference"/>
          <w:rFonts w:ascii="Arial" w:hAnsi="Arial"/>
          <w:sz w:val="18"/>
          <w:szCs w:val="18"/>
        </w:rPr>
        <w:footnoteRef/>
      </w:r>
      <w:r w:rsidRPr="00EA27C5">
        <w:rPr>
          <w:rFonts w:ascii="Arial" w:hAnsi="Arial"/>
          <w:sz w:val="18"/>
          <w:szCs w:val="18"/>
        </w:rPr>
        <w:t xml:space="preserve"> </w:t>
      </w:r>
      <w:r>
        <w:rPr>
          <w:rFonts w:ascii="Arial" w:hAnsi="Arial"/>
          <w:sz w:val="18"/>
          <w:szCs w:val="18"/>
        </w:rPr>
        <w:tab/>
      </w:r>
      <w:r w:rsidRPr="00EA27C5">
        <w:rPr>
          <w:rFonts w:ascii="Arial" w:hAnsi="Arial"/>
          <w:sz w:val="18"/>
          <w:szCs w:val="18"/>
        </w:rPr>
        <w:t>La conexión entre políticas y parámetros se realiza considerando el impacto más relevante/probable. Es posible argumentar que ciertas políticas afectarán más de una dimensión, pero el mapeo de políticas a parámetros se realiza en los elementos más directos.</w:t>
      </w:r>
    </w:p>
  </w:footnote>
  <w:footnote w:id="13">
    <w:p w:rsidR="004A021C" w:rsidRPr="00EA27C5" w:rsidRDefault="004A021C" w:rsidP="00EA27C5">
      <w:pPr>
        <w:pStyle w:val="FootnoteText"/>
        <w:spacing w:after="0"/>
        <w:ind w:left="274" w:hanging="274"/>
        <w:rPr>
          <w:rFonts w:ascii="Arial" w:hAnsi="Arial"/>
          <w:sz w:val="18"/>
          <w:szCs w:val="18"/>
        </w:rPr>
      </w:pPr>
      <w:r w:rsidRPr="00EA27C5">
        <w:rPr>
          <w:rStyle w:val="FootnoteReference"/>
          <w:rFonts w:ascii="Arial" w:hAnsi="Arial"/>
          <w:sz w:val="18"/>
          <w:szCs w:val="18"/>
        </w:rPr>
        <w:footnoteRef/>
      </w:r>
      <w:r w:rsidRPr="00EA27C5">
        <w:rPr>
          <w:rFonts w:ascii="Arial" w:hAnsi="Arial"/>
          <w:sz w:val="18"/>
          <w:szCs w:val="18"/>
        </w:rPr>
        <w:t xml:space="preserve"> </w:t>
      </w:r>
      <w:r>
        <w:rPr>
          <w:rFonts w:ascii="Arial" w:hAnsi="Arial"/>
          <w:sz w:val="18"/>
          <w:szCs w:val="18"/>
        </w:rPr>
        <w:tab/>
      </w:r>
      <w:r w:rsidRPr="00EA27C5">
        <w:rPr>
          <w:rFonts w:ascii="Arial" w:hAnsi="Arial"/>
          <w:sz w:val="18"/>
          <w:szCs w:val="18"/>
        </w:rPr>
        <w:t>El set de políticas más asociado a este parámetro fue considerado en el análisis económico anexo de la operación.</w:t>
      </w:r>
    </w:p>
  </w:footnote>
  <w:footnote w:id="14">
    <w:p w:rsidR="004A021C" w:rsidRPr="00EA27C5" w:rsidRDefault="004A021C" w:rsidP="00EA27C5">
      <w:pPr>
        <w:pStyle w:val="FootnoteText"/>
        <w:spacing w:after="0"/>
        <w:ind w:left="274" w:hanging="274"/>
        <w:rPr>
          <w:rFonts w:ascii="Arial" w:hAnsi="Arial"/>
          <w:sz w:val="18"/>
          <w:szCs w:val="18"/>
        </w:rPr>
      </w:pPr>
      <w:r w:rsidRPr="00EA27C5">
        <w:rPr>
          <w:rStyle w:val="FootnoteReference"/>
          <w:rFonts w:ascii="Arial" w:hAnsi="Arial"/>
          <w:sz w:val="18"/>
          <w:szCs w:val="18"/>
        </w:rPr>
        <w:footnoteRef/>
      </w:r>
      <w:r w:rsidRPr="00EA27C5">
        <w:rPr>
          <w:rFonts w:ascii="Arial" w:hAnsi="Arial"/>
          <w:sz w:val="18"/>
          <w:szCs w:val="18"/>
        </w:rPr>
        <w:t xml:space="preserve"> </w:t>
      </w:r>
      <w:r>
        <w:rPr>
          <w:rFonts w:ascii="Arial" w:hAnsi="Arial"/>
          <w:sz w:val="18"/>
          <w:szCs w:val="18"/>
        </w:rPr>
        <w:tab/>
      </w:r>
      <w:r w:rsidRPr="00EA27C5">
        <w:rPr>
          <w:rFonts w:ascii="Arial" w:hAnsi="Arial"/>
          <w:sz w:val="18"/>
          <w:szCs w:val="18"/>
        </w:rPr>
        <w:t>El set de políticas más asociado a este parámetro fue considerado en el análisis económico anexo de la operación.</w:t>
      </w:r>
    </w:p>
  </w:footnote>
  <w:footnote w:id="15">
    <w:p w:rsidR="004A021C" w:rsidRPr="00A61898" w:rsidRDefault="004A021C" w:rsidP="00EA27C5">
      <w:pPr>
        <w:pStyle w:val="FootnoteText"/>
        <w:spacing w:after="0"/>
        <w:ind w:left="274" w:hanging="274"/>
        <w:rPr>
          <w:rFonts w:ascii="Arial" w:hAnsi="Arial"/>
          <w:sz w:val="20"/>
          <w:szCs w:val="20"/>
          <w:lang w:val="es-AR"/>
        </w:rPr>
      </w:pPr>
      <w:r w:rsidRPr="00EA27C5">
        <w:rPr>
          <w:rStyle w:val="FootnoteReference"/>
          <w:rFonts w:ascii="Arial" w:hAnsi="Arial"/>
          <w:sz w:val="18"/>
          <w:szCs w:val="18"/>
        </w:rPr>
        <w:footnoteRef/>
      </w:r>
      <w:r w:rsidRPr="00EA27C5">
        <w:rPr>
          <w:rFonts w:ascii="Arial" w:hAnsi="Arial"/>
          <w:sz w:val="18"/>
          <w:szCs w:val="18"/>
          <w:lang w:val="es-AR"/>
        </w:rPr>
        <w:t xml:space="preserve"> </w:t>
      </w:r>
      <w:r>
        <w:rPr>
          <w:rFonts w:ascii="Arial" w:hAnsi="Arial"/>
          <w:sz w:val="18"/>
          <w:szCs w:val="18"/>
          <w:lang w:val="es-AR"/>
        </w:rPr>
        <w:tab/>
      </w:r>
      <w:r w:rsidRPr="00EA27C5">
        <w:rPr>
          <w:rFonts w:ascii="Arial" w:hAnsi="Arial"/>
          <w:sz w:val="18"/>
          <w:szCs w:val="18"/>
          <w:lang w:val="es-AR"/>
        </w:rPr>
        <w:t xml:space="preserve">Al momento de la redacción del presente documento, el equipo no tiene conocimiento de publicaciones (documentos de trabajo, documentos de investigación, etc.) que utilicen específicamente los resultados de la </w:t>
      </w:r>
      <w:r w:rsidRPr="00A61898">
        <w:rPr>
          <w:rFonts w:ascii="Arial" w:hAnsi="Arial"/>
          <w:sz w:val="20"/>
          <w:szCs w:val="20"/>
          <w:lang w:val="es-AR"/>
        </w:rPr>
        <w:t xml:space="preserve">calibración para Nicaragua, aunque si nos fue comunicado que hay un documento en preparación para publicación. </w:t>
      </w:r>
    </w:p>
  </w:footnote>
  <w:footnote w:id="16">
    <w:p w:rsidR="00A61898" w:rsidRPr="00A61898" w:rsidRDefault="00A61898">
      <w:pPr>
        <w:pStyle w:val="FootnoteText"/>
      </w:pPr>
      <w:r w:rsidRPr="00A61898">
        <w:rPr>
          <w:rStyle w:val="FootnoteReference"/>
          <w:rFonts w:ascii="Arial" w:hAnsi="Arial"/>
          <w:sz w:val="20"/>
          <w:szCs w:val="20"/>
        </w:rPr>
        <w:footnoteRef/>
      </w:r>
      <w:r w:rsidRPr="00A61898">
        <w:rPr>
          <w:rFonts w:ascii="Arial" w:hAnsi="Arial"/>
          <w:sz w:val="20"/>
          <w:szCs w:val="20"/>
        </w:rPr>
        <w:t xml:space="preserve"> Cabe notar aquí que el ES es una fuente estandarizada de información, pero el modelo no depende de esa fuente y las variables relevantes pueden aproximarse con otras fuentes específicas de Nicaragua.</w:t>
      </w:r>
    </w:p>
  </w:footnote>
  <w:footnote w:id="17">
    <w:p w:rsidR="00204823" w:rsidRPr="00204823" w:rsidRDefault="00204823">
      <w:pPr>
        <w:pStyle w:val="FootnoteText"/>
      </w:pPr>
      <w:r>
        <w:rPr>
          <w:rStyle w:val="FootnoteReference"/>
        </w:rPr>
        <w:footnoteRef/>
      </w:r>
      <w:r>
        <w:t xml:space="preserve"> Más abajo se incluye una discusión del proceso de calibración en relación a los datos.</w:t>
      </w:r>
    </w:p>
  </w:footnote>
  <w:footnote w:id="18">
    <w:p w:rsidR="00222836" w:rsidRPr="00222836" w:rsidRDefault="00222836">
      <w:pPr>
        <w:pStyle w:val="FootnoteText"/>
        <w:rPr>
          <w:rFonts w:ascii="Arial" w:hAnsi="Arial"/>
          <w:sz w:val="20"/>
          <w:szCs w:val="20"/>
        </w:rPr>
      </w:pPr>
      <w:r w:rsidRPr="00222836">
        <w:rPr>
          <w:rStyle w:val="FootnoteReference"/>
          <w:rFonts w:ascii="Arial" w:hAnsi="Arial"/>
          <w:sz w:val="20"/>
          <w:szCs w:val="20"/>
        </w:rPr>
        <w:footnoteRef/>
      </w:r>
      <w:r w:rsidRPr="00222836">
        <w:rPr>
          <w:rFonts w:ascii="Arial" w:hAnsi="Arial"/>
          <w:sz w:val="20"/>
          <w:szCs w:val="20"/>
        </w:rPr>
        <w:t xml:space="preserve"> Correspondiente al mismo año que la otra predicción</w:t>
      </w:r>
    </w:p>
  </w:footnote>
  <w:footnote w:id="19">
    <w:p w:rsidR="00B6578D" w:rsidRPr="00B6578D" w:rsidRDefault="00B6578D">
      <w:pPr>
        <w:pStyle w:val="FootnoteText"/>
        <w:rPr>
          <w:rFonts w:ascii="Arial" w:hAnsi="Arial"/>
          <w:sz w:val="20"/>
          <w:szCs w:val="20"/>
          <w:lang w:val="es-ES_tradnl"/>
        </w:rPr>
      </w:pPr>
      <w:r w:rsidRPr="00B6578D">
        <w:rPr>
          <w:rStyle w:val="FootnoteReference"/>
          <w:rFonts w:ascii="Arial" w:hAnsi="Arial"/>
          <w:sz w:val="20"/>
          <w:szCs w:val="20"/>
        </w:rPr>
        <w:footnoteRef/>
      </w:r>
      <w:r w:rsidRPr="00B6578D">
        <w:rPr>
          <w:rFonts w:ascii="Arial" w:hAnsi="Arial"/>
          <w:sz w:val="20"/>
          <w:szCs w:val="20"/>
          <w:lang w:val="es-ES_tradnl"/>
        </w:rPr>
        <w:t xml:space="preserve"> Suponiendo que los otros parámetros no se vieron significativamente afectados por dichas políticas.</w:t>
      </w:r>
    </w:p>
  </w:footnote>
  <w:footnote w:id="20">
    <w:p w:rsidR="00930137" w:rsidRPr="00A22B39" w:rsidRDefault="00930137">
      <w:pPr>
        <w:pStyle w:val="FootnoteText"/>
        <w:rPr>
          <w:rFonts w:ascii="Arial" w:hAnsi="Arial"/>
          <w:sz w:val="20"/>
          <w:szCs w:val="20"/>
          <w:lang w:val="es-ES_tradnl"/>
        </w:rPr>
      </w:pPr>
      <w:r w:rsidRPr="00A22B39">
        <w:rPr>
          <w:rStyle w:val="FootnoteReference"/>
          <w:rFonts w:ascii="Arial" w:hAnsi="Arial"/>
          <w:sz w:val="20"/>
          <w:szCs w:val="20"/>
        </w:rPr>
        <w:footnoteRef/>
      </w:r>
      <w:r w:rsidRPr="00A22B39">
        <w:rPr>
          <w:rFonts w:ascii="Arial" w:hAnsi="Arial"/>
          <w:sz w:val="20"/>
          <w:szCs w:val="20"/>
          <w:lang w:val="es-ES_tradnl"/>
        </w:rPr>
        <w:t xml:space="preserve"> </w:t>
      </w:r>
      <w:r w:rsidR="00A22B39" w:rsidRPr="00A22B39">
        <w:rPr>
          <w:rFonts w:ascii="Arial" w:hAnsi="Arial"/>
          <w:sz w:val="20"/>
          <w:szCs w:val="20"/>
          <w:lang w:val="es-ES_tradnl"/>
        </w:rPr>
        <w:t>Una vez disponible la calibración post-políticas es posible comparar los parámetros para evaluar, subjetivamente, si los mismos difieren substancialmente entre calibraciones.</w:t>
      </w:r>
    </w:p>
  </w:footnote>
  <w:footnote w:id="21">
    <w:p w:rsidR="004A021C" w:rsidRPr="00EA27C5" w:rsidRDefault="004A021C" w:rsidP="00EA27C5">
      <w:pPr>
        <w:pStyle w:val="FootnoteText"/>
        <w:spacing w:after="0"/>
        <w:ind w:left="274" w:hanging="274"/>
        <w:rPr>
          <w:rFonts w:ascii="Arial" w:hAnsi="Arial"/>
          <w:sz w:val="18"/>
          <w:szCs w:val="18"/>
        </w:rPr>
      </w:pPr>
      <w:r w:rsidRPr="00EA27C5">
        <w:rPr>
          <w:rStyle w:val="FootnoteReference"/>
          <w:rFonts w:ascii="Arial" w:hAnsi="Arial"/>
          <w:sz w:val="18"/>
          <w:szCs w:val="18"/>
        </w:rPr>
        <w:footnoteRef/>
      </w:r>
      <w:r w:rsidRPr="00EA27C5">
        <w:rPr>
          <w:rFonts w:ascii="Arial" w:hAnsi="Arial"/>
          <w:sz w:val="18"/>
          <w:szCs w:val="18"/>
          <w:lang w:val="en-US"/>
        </w:rPr>
        <w:t xml:space="preserve"> </w:t>
      </w:r>
      <w:r>
        <w:rPr>
          <w:rFonts w:ascii="Arial" w:hAnsi="Arial"/>
          <w:sz w:val="18"/>
          <w:szCs w:val="18"/>
          <w:lang w:val="en-US"/>
        </w:rPr>
        <w:tab/>
      </w:r>
      <w:r w:rsidRPr="00EA27C5">
        <w:rPr>
          <w:rFonts w:ascii="Arial" w:hAnsi="Arial"/>
          <w:sz w:val="18"/>
          <w:szCs w:val="18"/>
          <w:lang w:val="en-US"/>
        </w:rPr>
        <w:t xml:space="preserve">Buera, Francisco J., and Yongseok Shin. 2013. “Financial Frictions and the Persistence of History: A Quantitative Exploration.” </w:t>
      </w:r>
      <w:r w:rsidRPr="00EA27C5">
        <w:rPr>
          <w:rFonts w:ascii="Arial" w:hAnsi="Arial"/>
          <w:sz w:val="18"/>
          <w:szCs w:val="18"/>
        </w:rPr>
        <w:t>Journal of Political Economy, 121(2): 221 – 272.</w:t>
      </w:r>
    </w:p>
  </w:footnote>
  <w:footnote w:id="22">
    <w:p w:rsidR="004A021C" w:rsidRPr="00EA27C5" w:rsidRDefault="004A021C" w:rsidP="00EA27C5">
      <w:pPr>
        <w:pStyle w:val="FootnoteText"/>
        <w:spacing w:after="0"/>
        <w:ind w:left="274" w:hanging="274"/>
        <w:rPr>
          <w:rFonts w:ascii="Arial" w:hAnsi="Arial"/>
          <w:sz w:val="18"/>
          <w:szCs w:val="18"/>
        </w:rPr>
      </w:pPr>
      <w:r w:rsidRPr="00EA27C5">
        <w:rPr>
          <w:rStyle w:val="FootnoteReference"/>
          <w:rFonts w:ascii="Arial" w:hAnsi="Arial"/>
          <w:sz w:val="18"/>
          <w:szCs w:val="18"/>
        </w:rPr>
        <w:footnoteRef/>
      </w:r>
      <w:r w:rsidRPr="00EA27C5">
        <w:rPr>
          <w:rFonts w:ascii="Arial" w:hAnsi="Arial"/>
          <w:sz w:val="18"/>
          <w:szCs w:val="18"/>
        </w:rPr>
        <w:t xml:space="preserve"> </w:t>
      </w:r>
      <w:r>
        <w:rPr>
          <w:rFonts w:ascii="Arial" w:hAnsi="Arial"/>
          <w:sz w:val="18"/>
          <w:szCs w:val="18"/>
        </w:rPr>
        <w:tab/>
      </w:r>
      <w:r w:rsidRPr="00EA27C5">
        <w:rPr>
          <w:rFonts w:ascii="Arial" w:hAnsi="Arial"/>
          <w:sz w:val="18"/>
          <w:szCs w:val="18"/>
        </w:rPr>
        <w:t>Esta figura es meramente ilustrativa y no es representativa del caso para el Uruguay.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1C" w:rsidRPr="00C2576A" w:rsidRDefault="004A021C" w:rsidP="002A0795">
    <w:pPr>
      <w:jc w:val="right"/>
      <w:rPr>
        <w:b/>
        <w:bCs/>
        <w:smallCaps/>
        <w:sz w:val="18"/>
        <w:szCs w:val="18"/>
        <w:lang w:val="es-ES_tradnl"/>
      </w:rPr>
    </w:pPr>
    <w:r w:rsidRPr="00C2576A">
      <w:rPr>
        <w:b/>
        <w:bCs/>
        <w:smallCaps/>
        <w:sz w:val="18"/>
        <w:szCs w:val="18"/>
        <w:lang w:val="es-ES_tradnl"/>
      </w:rPr>
      <w:t>NI-L1096</w:t>
    </w:r>
  </w:p>
  <w:p w:rsidR="004A021C" w:rsidRPr="00C2576A" w:rsidRDefault="004A021C" w:rsidP="002A0795">
    <w:pPr>
      <w:jc w:val="right"/>
      <w:rPr>
        <w:b/>
        <w:sz w:val="18"/>
        <w:szCs w:val="18"/>
        <w:lang w:val="es-ES_tradnl"/>
      </w:rPr>
    </w:pPr>
    <w:r w:rsidRPr="00C2576A">
      <w:rPr>
        <w:b/>
        <w:bCs/>
        <w:sz w:val="18"/>
        <w:szCs w:val="18"/>
        <w:lang w:val="es-ES_tradnl"/>
      </w:rPr>
      <w:t xml:space="preserve">Página </w:t>
    </w:r>
    <w:r w:rsidRPr="00C2576A">
      <w:rPr>
        <w:b/>
        <w:bCs/>
        <w:sz w:val="18"/>
        <w:szCs w:val="18"/>
        <w:lang w:val="es-ES_tradnl"/>
      </w:rPr>
      <w:fldChar w:fldCharType="begin"/>
    </w:r>
    <w:r w:rsidRPr="00C2576A">
      <w:rPr>
        <w:b/>
        <w:bCs/>
        <w:sz w:val="18"/>
        <w:szCs w:val="18"/>
        <w:lang w:val="es-ES_tradnl"/>
      </w:rPr>
      <w:instrText xml:space="preserve"> PAGE  \* Arabic  \* MERGEFORMAT </w:instrText>
    </w:r>
    <w:r w:rsidRPr="00C2576A">
      <w:rPr>
        <w:b/>
        <w:bCs/>
        <w:sz w:val="18"/>
        <w:szCs w:val="18"/>
        <w:lang w:val="es-ES_tradnl"/>
      </w:rPr>
      <w:fldChar w:fldCharType="separate"/>
    </w:r>
    <w:r w:rsidR="00CA0693">
      <w:rPr>
        <w:b/>
        <w:bCs/>
        <w:noProof/>
        <w:sz w:val="18"/>
        <w:szCs w:val="18"/>
        <w:lang w:val="es-ES_tradnl"/>
      </w:rPr>
      <w:t>23</w:t>
    </w:r>
    <w:r w:rsidRPr="00C2576A">
      <w:rPr>
        <w:b/>
        <w:bCs/>
        <w:sz w:val="18"/>
        <w:szCs w:val="18"/>
        <w:lang w:val="es-ES_tradnl"/>
      </w:rPr>
      <w:fldChar w:fldCharType="end"/>
    </w:r>
    <w:r w:rsidRPr="00C2576A">
      <w:rPr>
        <w:b/>
        <w:bCs/>
        <w:sz w:val="18"/>
        <w:szCs w:val="18"/>
        <w:lang w:val="es-ES_tradnl"/>
      </w:rPr>
      <w:t xml:space="preserve"> de  </w:t>
    </w:r>
    <w:r w:rsidRPr="00C2576A">
      <w:rPr>
        <w:b/>
        <w:bCs/>
        <w:sz w:val="18"/>
        <w:szCs w:val="18"/>
        <w:lang w:val="es-ES_tradnl"/>
      </w:rPr>
      <w:fldChar w:fldCharType="begin"/>
    </w:r>
    <w:r w:rsidRPr="00C2576A">
      <w:rPr>
        <w:b/>
        <w:bCs/>
        <w:sz w:val="18"/>
        <w:szCs w:val="18"/>
        <w:lang w:val="es-ES_tradnl"/>
      </w:rPr>
      <w:instrText xml:space="preserve"> NUMPAGES  \* Arabic  \* MERGEFORMAT </w:instrText>
    </w:r>
    <w:r w:rsidRPr="00C2576A">
      <w:rPr>
        <w:b/>
        <w:bCs/>
        <w:sz w:val="18"/>
        <w:szCs w:val="18"/>
        <w:lang w:val="es-ES_tradnl"/>
      </w:rPr>
      <w:fldChar w:fldCharType="separate"/>
    </w:r>
    <w:r w:rsidR="00CA0693">
      <w:rPr>
        <w:b/>
        <w:bCs/>
        <w:noProof/>
        <w:sz w:val="18"/>
        <w:szCs w:val="18"/>
        <w:lang w:val="es-ES_tradnl"/>
      </w:rPr>
      <w:t>23</w:t>
    </w:r>
    <w:r w:rsidRPr="00C2576A">
      <w:rPr>
        <w:b/>
        <w:bCs/>
        <w:sz w:val="18"/>
        <w:szCs w:val="18"/>
        <w:lang w:val="es-ES_tradnl"/>
      </w:rPr>
      <w:fldChar w:fldCharType="end"/>
    </w:r>
  </w:p>
  <w:p w:rsidR="004A021C" w:rsidRPr="00972593" w:rsidRDefault="004A021C" w:rsidP="00064D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753AC104"/>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3"/>
    <w:multiLevelType w:val="singleLevel"/>
    <w:tmpl w:val="49047678"/>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024B2A73"/>
    <w:multiLevelType w:val="multilevel"/>
    <w:tmpl w:val="B7A2709A"/>
    <w:lvl w:ilvl="0">
      <w:start w:val="1"/>
      <w:numFmt w:val="decimal"/>
      <w:lvlText w:val="%1."/>
      <w:lvlJc w:val="left"/>
      <w:pPr>
        <w:ind w:left="0" w:hanging="360"/>
      </w:pPr>
      <w:rPr>
        <w:rFonts w:hint="default"/>
      </w:rPr>
    </w:lvl>
    <w:lvl w:ilvl="1">
      <w:start w:val="1"/>
      <w:numFmt w:val="decimal"/>
      <w:pStyle w:val="ListParagraph"/>
      <w:lvlText w:val="3.%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3">
    <w:nsid w:val="03F50E9D"/>
    <w:multiLevelType w:val="hybridMultilevel"/>
    <w:tmpl w:val="E5FEBF70"/>
    <w:lvl w:ilvl="0" w:tplc="B40A7812">
      <w:start w:val="1"/>
      <w:numFmt w:val="lowerRoman"/>
      <w:lvlText w:val="(%1)"/>
      <w:lvlJc w:val="left"/>
      <w:pPr>
        <w:ind w:left="1080" w:hanging="720"/>
      </w:pPr>
      <w:rPr>
        <w:rFonts w:ascii="Times New Roman Bold" w:hAnsi="Times New Roman Bold"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471645"/>
    <w:multiLevelType w:val="multilevel"/>
    <w:tmpl w:val="92CAFE10"/>
    <w:lvl w:ilvl="0">
      <w:start w:val="1"/>
      <w:numFmt w:val="upperRoman"/>
      <w:lvlText w:val="%1."/>
      <w:lvlJc w:val="left"/>
      <w:pPr>
        <w:ind w:left="990" w:hanging="720"/>
      </w:pPr>
      <w:rPr>
        <w:rFonts w:hint="default"/>
      </w:rPr>
    </w:lvl>
    <w:lvl w:ilvl="1">
      <w:start w:val="1"/>
      <w:numFmt w:val="decimal"/>
      <w:isLgl/>
      <w:lvlText w:val="%1.%2"/>
      <w:lvlJc w:val="left"/>
      <w:pPr>
        <w:ind w:left="1350" w:hanging="360"/>
      </w:pPr>
      <w:rPr>
        <w:rFonts w:hint="default"/>
        <w:b w:val="0"/>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5">
    <w:nsid w:val="233E4031"/>
    <w:multiLevelType w:val="hybridMultilevel"/>
    <w:tmpl w:val="FC223CE6"/>
    <w:lvl w:ilvl="0" w:tplc="04090001">
      <w:start w:val="1"/>
      <w:numFmt w:val="bullet"/>
      <w:lvlText w:val=""/>
      <w:lvlJc w:val="left"/>
      <w:pPr>
        <w:ind w:left="720" w:hanging="360"/>
      </w:pPr>
      <w:rPr>
        <w:rFonts w:ascii="Symbol" w:hAnsi="Symbol" w:hint="default"/>
      </w:rPr>
    </w:lvl>
    <w:lvl w:ilvl="1" w:tplc="313E8950">
      <w:start w:val="1"/>
      <w:numFmt w:val="lowerRoman"/>
      <w:lvlText w:val="%2)"/>
      <w:lvlJc w:val="left"/>
      <w:pPr>
        <w:ind w:left="1080" w:hanging="360"/>
      </w:pPr>
      <w:rPr>
        <w:rFonts w:ascii="Arial" w:eastAsia="MS Mincho" w:hAnsi="Arial" w:cs="Arial" w:hint="default"/>
      </w:rPr>
    </w:lvl>
    <w:lvl w:ilvl="2" w:tplc="79761BD4">
      <w:start w:val="1"/>
      <w:numFmt w:val="lowerLetter"/>
      <w:pStyle w:val="Heading2"/>
      <w:lvlText w:val="%3)"/>
      <w:lvlJc w:val="left"/>
      <w:pPr>
        <w:ind w:left="2160" w:hanging="360"/>
      </w:pPr>
      <w:rPr>
        <w:rFonts w:hint="default"/>
      </w:rPr>
    </w:lvl>
    <w:lvl w:ilvl="3" w:tplc="D7D24DF0">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ED31D7"/>
    <w:multiLevelType w:val="multilevel"/>
    <w:tmpl w:val="92CAFE10"/>
    <w:lvl w:ilvl="0">
      <w:start w:val="1"/>
      <w:numFmt w:val="upperRoman"/>
      <w:lvlText w:val="%1."/>
      <w:lvlJc w:val="left"/>
      <w:pPr>
        <w:ind w:left="990" w:hanging="720"/>
      </w:pPr>
      <w:rPr>
        <w:rFonts w:hint="default"/>
      </w:rPr>
    </w:lvl>
    <w:lvl w:ilvl="1">
      <w:start w:val="1"/>
      <w:numFmt w:val="decimal"/>
      <w:pStyle w:val="21Paragraph"/>
      <w:isLgl/>
      <w:lvlText w:val="%1.%2"/>
      <w:lvlJc w:val="left"/>
      <w:pPr>
        <w:ind w:left="1350" w:hanging="360"/>
      </w:pPr>
      <w:rPr>
        <w:rFonts w:hint="default"/>
        <w:b w:val="0"/>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368" w:hanging="108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728" w:hanging="144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2088" w:hanging="1800"/>
      </w:pPr>
      <w:rPr>
        <w:rFonts w:hint="default"/>
      </w:rPr>
    </w:lvl>
  </w:abstractNum>
  <w:abstractNum w:abstractNumId="7">
    <w:nsid w:val="31025D32"/>
    <w:multiLevelType w:val="hybridMultilevel"/>
    <w:tmpl w:val="36584B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4B07556"/>
    <w:multiLevelType w:val="multilevel"/>
    <w:tmpl w:val="99643E14"/>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nsid w:val="35E42B33"/>
    <w:multiLevelType w:val="multilevel"/>
    <w:tmpl w:val="B01A5F36"/>
    <w:lvl w:ilvl="0">
      <w:start w:val="1"/>
      <w:numFmt w:val="decimal"/>
      <w:lvlText w:val="%1."/>
      <w:lvlJc w:val="left"/>
      <w:pPr>
        <w:ind w:left="1080" w:hanging="360"/>
      </w:pPr>
      <w:rPr>
        <w:rFonts w:hint="default"/>
        <w:color w:val="auto"/>
      </w:rPr>
    </w:lvl>
    <w:lvl w:ilvl="1">
      <w:start w:val="1"/>
      <w:numFmt w:val="decimal"/>
      <w:pStyle w:val="61Paragraph"/>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4352624F"/>
    <w:multiLevelType w:val="hybridMultilevel"/>
    <w:tmpl w:val="D70472AA"/>
    <w:lvl w:ilvl="0" w:tplc="2D740AE8">
      <w:start w:val="1"/>
      <w:numFmt w:val="lowerRoman"/>
      <w:lvlText w:val="(%1)"/>
      <w:lvlJc w:val="left"/>
      <w:pPr>
        <w:ind w:left="1080" w:hanging="720"/>
      </w:pPr>
      <w:rPr>
        <w:rFonts w:ascii="Times New Roman Bold" w:hAnsi="Times New Roman Bold"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534186"/>
    <w:multiLevelType w:val="multilevel"/>
    <w:tmpl w:val="880EEB1C"/>
    <w:lvl w:ilvl="0">
      <w:start w:val="1"/>
      <w:numFmt w:val="decimal"/>
      <w:lvlText w:val="%1."/>
      <w:lvlJc w:val="left"/>
      <w:pPr>
        <w:ind w:left="644" w:hanging="360"/>
      </w:pPr>
      <w:rPr>
        <w:rFonts w:hint="default"/>
      </w:rPr>
    </w:lvl>
    <w:lvl w:ilvl="1">
      <w:start w:val="1"/>
      <w:numFmt w:val="decimal"/>
      <w:pStyle w:val="11Paragraph"/>
      <w:isLgl/>
      <w:lvlText w:val="%1.%2"/>
      <w:lvlJc w:val="left"/>
      <w:pPr>
        <w:ind w:left="862" w:hanging="720"/>
      </w:pPr>
      <w:rPr>
        <w:rFonts w:hint="default"/>
        <w:b w:val="0"/>
      </w:rPr>
    </w:lvl>
    <w:lvl w:ilvl="2">
      <w:start w:val="1"/>
      <w:numFmt w:val="lowerLetter"/>
      <w:lvlText w:val="%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lowerLetter"/>
      <w:lvlText w:val="%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nsid w:val="49AA3A5A"/>
    <w:multiLevelType w:val="multilevel"/>
    <w:tmpl w:val="99643E14"/>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nsid w:val="4B387097"/>
    <w:multiLevelType w:val="multilevel"/>
    <w:tmpl w:val="2A8CC30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4FD5549B"/>
    <w:multiLevelType w:val="hybridMultilevel"/>
    <w:tmpl w:val="304C1FD8"/>
    <w:lvl w:ilvl="0" w:tplc="8E0A88DA">
      <w:start w:val="1"/>
      <w:numFmt w:val="lowerLetter"/>
      <w:pStyle w:val="Heading3"/>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8D76795"/>
    <w:multiLevelType w:val="hybridMultilevel"/>
    <w:tmpl w:val="FBB263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609923C8"/>
    <w:multiLevelType w:val="multilevel"/>
    <w:tmpl w:val="22AC6D34"/>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b w:val="0"/>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7">
    <w:nsid w:val="65512335"/>
    <w:multiLevelType w:val="hybridMultilevel"/>
    <w:tmpl w:val="46AE0684"/>
    <w:lvl w:ilvl="0" w:tplc="190A1740">
      <w:start w:val="1"/>
      <w:numFmt w:val="lowerRoman"/>
      <w:lvlText w:val="(%1)"/>
      <w:lvlJc w:val="left"/>
      <w:pPr>
        <w:ind w:left="1080" w:hanging="720"/>
      </w:pPr>
      <w:rPr>
        <w:rFonts w:ascii="Times New Roman" w:hAnsi="Times New Roman"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A46DA2"/>
    <w:multiLevelType w:val="hybridMultilevel"/>
    <w:tmpl w:val="5C2C7728"/>
    <w:lvl w:ilvl="0" w:tplc="1E7E289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338038C"/>
    <w:multiLevelType w:val="hybridMultilevel"/>
    <w:tmpl w:val="C9F43824"/>
    <w:lvl w:ilvl="0" w:tplc="A34E6A20">
      <w:start w:val="1"/>
      <w:numFmt w:val="lowerRoman"/>
      <w:lvlText w:val="(%1)"/>
      <w:lvlJc w:val="left"/>
      <w:pPr>
        <w:ind w:left="1080" w:hanging="720"/>
      </w:pPr>
      <w:rPr>
        <w:rFonts w:ascii="Times New Roman Bold" w:hAnsi="Times New Roman Bold"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87590E"/>
    <w:multiLevelType w:val="multilevel"/>
    <w:tmpl w:val="01A6ABB2"/>
    <w:lvl w:ilvl="0">
      <w:start w:val="1"/>
      <w:numFmt w:val="decimal"/>
      <w:pStyle w:val="Chapter"/>
      <w:lvlText w:val="%1."/>
      <w:lvlJc w:val="left"/>
      <w:pPr>
        <w:ind w:left="1920" w:hanging="360"/>
      </w:pPr>
      <w:rPr>
        <w:rFonts w:cs="Times New Roman" w:hint="default"/>
        <w:color w:val="FFFFFF"/>
      </w:rPr>
    </w:lvl>
    <w:lvl w:ilvl="1">
      <w:start w:val="1"/>
      <w:numFmt w:val="decimal"/>
      <w:isLgl/>
      <w:lvlText w:val="%1.%2"/>
      <w:lvlJc w:val="left"/>
      <w:pPr>
        <w:ind w:left="1080" w:hanging="360"/>
      </w:pPr>
      <w:rPr>
        <w:rFonts w:ascii="Arial" w:hAnsi="Arial" w:cs="Arial" w:hint="default"/>
        <w:b w:val="0"/>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1">
    <w:nsid w:val="78676B3C"/>
    <w:multiLevelType w:val="multilevel"/>
    <w:tmpl w:val="2A8CC30E"/>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7D864DEE"/>
    <w:multiLevelType w:val="hybridMultilevel"/>
    <w:tmpl w:val="B30EC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11"/>
  </w:num>
  <w:num w:numId="4">
    <w:abstractNumId w:val="5"/>
  </w:num>
  <w:num w:numId="5">
    <w:abstractNumId w:val="9"/>
  </w:num>
  <w:num w:numId="6">
    <w:abstractNumId w:val="16"/>
  </w:num>
  <w:num w:numId="7">
    <w:abstractNumId w:val="6"/>
  </w:num>
  <w:num w:numId="8">
    <w:abstractNumId w:val="1"/>
  </w:num>
  <w:num w:numId="9">
    <w:abstractNumId w:val="0"/>
  </w:num>
  <w:num w:numId="10">
    <w:abstractNumId w:val="14"/>
  </w:num>
  <w:num w:numId="11">
    <w:abstractNumId w:val="14"/>
    <w:lvlOverride w:ilvl="0">
      <w:startOverride w:val="1"/>
    </w:lvlOverride>
  </w:num>
  <w:num w:numId="12">
    <w:abstractNumId w:val="7"/>
  </w:num>
  <w:num w:numId="13">
    <w:abstractNumId w:val="15"/>
  </w:num>
  <w:num w:numId="14">
    <w:abstractNumId w:val="22"/>
  </w:num>
  <w:num w:numId="15">
    <w:abstractNumId w:val="17"/>
  </w:num>
  <w:num w:numId="16">
    <w:abstractNumId w:val="3"/>
  </w:num>
  <w:num w:numId="17">
    <w:abstractNumId w:val="10"/>
  </w:num>
  <w:num w:numId="18">
    <w:abstractNumId w:val="19"/>
  </w:num>
  <w:num w:numId="19">
    <w:abstractNumId w:val="13"/>
  </w:num>
  <w:num w:numId="20">
    <w:abstractNumId w:val="8"/>
  </w:num>
  <w:num w:numId="21">
    <w:abstractNumId w:val="12"/>
  </w:num>
  <w:num w:numId="22">
    <w:abstractNumId w:val="18"/>
  </w:num>
  <w:num w:numId="23">
    <w:abstractNumId w:val="6"/>
  </w:num>
  <w:num w:numId="24">
    <w:abstractNumId w:val="6"/>
  </w:num>
  <w:num w:numId="25">
    <w:abstractNumId w:val="6"/>
  </w:num>
  <w:num w:numId="26">
    <w:abstractNumId w:val="4"/>
  </w:num>
  <w:num w:numId="27">
    <w:abstractNumId w:val="6"/>
  </w:num>
  <w:num w:numId="28">
    <w:abstractNumId w:val="21"/>
  </w:num>
  <w:num w:numId="29">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defaultTabStop w:val="720"/>
  <w:hyphenationZone w:val="425"/>
  <w:characterSpacingControl w:val="doNotCompress"/>
  <w:hdrShapeDefaults>
    <o:shapedefaults v:ext="edit" spidmax="26625"/>
  </w:hdrShapeDefaults>
  <w:footnotePr>
    <w:footnote w:id="-1"/>
    <w:footnote w:id="0"/>
  </w:footnotePr>
  <w:endnotePr>
    <w:endnote w:id="-1"/>
    <w:endnote w:id="0"/>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FA0"/>
    <w:rsid w:val="0000184B"/>
    <w:rsid w:val="000019AD"/>
    <w:rsid w:val="00003A8F"/>
    <w:rsid w:val="00003CFB"/>
    <w:rsid w:val="0000437B"/>
    <w:rsid w:val="00004F90"/>
    <w:rsid w:val="00005643"/>
    <w:rsid w:val="00007C16"/>
    <w:rsid w:val="00007FC2"/>
    <w:rsid w:val="000126CF"/>
    <w:rsid w:val="00012DD4"/>
    <w:rsid w:val="00013B9F"/>
    <w:rsid w:val="00014596"/>
    <w:rsid w:val="000147D2"/>
    <w:rsid w:val="00015F06"/>
    <w:rsid w:val="000160B1"/>
    <w:rsid w:val="000171F0"/>
    <w:rsid w:val="00020A70"/>
    <w:rsid w:val="00020E11"/>
    <w:rsid w:val="0002173A"/>
    <w:rsid w:val="00021DAD"/>
    <w:rsid w:val="00023455"/>
    <w:rsid w:val="00023CA9"/>
    <w:rsid w:val="000242FC"/>
    <w:rsid w:val="000243F9"/>
    <w:rsid w:val="000244C2"/>
    <w:rsid w:val="00024786"/>
    <w:rsid w:val="00025A7C"/>
    <w:rsid w:val="000271F1"/>
    <w:rsid w:val="000273CC"/>
    <w:rsid w:val="00030568"/>
    <w:rsid w:val="00030AF0"/>
    <w:rsid w:val="00031616"/>
    <w:rsid w:val="00031DA5"/>
    <w:rsid w:val="000335BA"/>
    <w:rsid w:val="000335FB"/>
    <w:rsid w:val="000354A9"/>
    <w:rsid w:val="00035B9B"/>
    <w:rsid w:val="000373A6"/>
    <w:rsid w:val="0004216D"/>
    <w:rsid w:val="0004229E"/>
    <w:rsid w:val="00043303"/>
    <w:rsid w:val="00043986"/>
    <w:rsid w:val="00043CE9"/>
    <w:rsid w:val="000446B8"/>
    <w:rsid w:val="00047A81"/>
    <w:rsid w:val="000504F7"/>
    <w:rsid w:val="000505E8"/>
    <w:rsid w:val="000510D3"/>
    <w:rsid w:val="00051DB8"/>
    <w:rsid w:val="00054746"/>
    <w:rsid w:val="000547FD"/>
    <w:rsid w:val="00054A3E"/>
    <w:rsid w:val="00055945"/>
    <w:rsid w:val="000565A3"/>
    <w:rsid w:val="0005773E"/>
    <w:rsid w:val="00057944"/>
    <w:rsid w:val="00061580"/>
    <w:rsid w:val="00064A94"/>
    <w:rsid w:val="00064B97"/>
    <w:rsid w:val="00064DDF"/>
    <w:rsid w:val="000652EF"/>
    <w:rsid w:val="00065CFD"/>
    <w:rsid w:val="000663DA"/>
    <w:rsid w:val="000667F4"/>
    <w:rsid w:val="000671D7"/>
    <w:rsid w:val="000708BD"/>
    <w:rsid w:val="00070E7E"/>
    <w:rsid w:val="0007133F"/>
    <w:rsid w:val="00071E3C"/>
    <w:rsid w:val="000725DA"/>
    <w:rsid w:val="00072E18"/>
    <w:rsid w:val="00073045"/>
    <w:rsid w:val="0007318C"/>
    <w:rsid w:val="000752AA"/>
    <w:rsid w:val="000755F2"/>
    <w:rsid w:val="000758CA"/>
    <w:rsid w:val="00076B5B"/>
    <w:rsid w:val="000773F5"/>
    <w:rsid w:val="000779FB"/>
    <w:rsid w:val="00077B69"/>
    <w:rsid w:val="00077F4F"/>
    <w:rsid w:val="00081026"/>
    <w:rsid w:val="00081514"/>
    <w:rsid w:val="00081CE9"/>
    <w:rsid w:val="00083916"/>
    <w:rsid w:val="00083D31"/>
    <w:rsid w:val="000844E6"/>
    <w:rsid w:val="00084624"/>
    <w:rsid w:val="00086B86"/>
    <w:rsid w:val="0008765A"/>
    <w:rsid w:val="00090881"/>
    <w:rsid w:val="0009162C"/>
    <w:rsid w:val="00091873"/>
    <w:rsid w:val="00092875"/>
    <w:rsid w:val="00092EF6"/>
    <w:rsid w:val="00096169"/>
    <w:rsid w:val="00096B62"/>
    <w:rsid w:val="00097B5A"/>
    <w:rsid w:val="000A04DD"/>
    <w:rsid w:val="000A1207"/>
    <w:rsid w:val="000A15F9"/>
    <w:rsid w:val="000A187C"/>
    <w:rsid w:val="000A1C2D"/>
    <w:rsid w:val="000A3012"/>
    <w:rsid w:val="000A3FEE"/>
    <w:rsid w:val="000A70A3"/>
    <w:rsid w:val="000A7D7D"/>
    <w:rsid w:val="000B077B"/>
    <w:rsid w:val="000B1886"/>
    <w:rsid w:val="000B27F2"/>
    <w:rsid w:val="000B3CBE"/>
    <w:rsid w:val="000B4DAE"/>
    <w:rsid w:val="000B5EF6"/>
    <w:rsid w:val="000B6349"/>
    <w:rsid w:val="000C00B5"/>
    <w:rsid w:val="000C18DE"/>
    <w:rsid w:val="000C3BAF"/>
    <w:rsid w:val="000C6D80"/>
    <w:rsid w:val="000D0D04"/>
    <w:rsid w:val="000D1859"/>
    <w:rsid w:val="000D3B95"/>
    <w:rsid w:val="000D43BF"/>
    <w:rsid w:val="000D4CCB"/>
    <w:rsid w:val="000D55D7"/>
    <w:rsid w:val="000D70D8"/>
    <w:rsid w:val="000E140F"/>
    <w:rsid w:val="000E21AA"/>
    <w:rsid w:val="000E29C0"/>
    <w:rsid w:val="000E39B1"/>
    <w:rsid w:val="000E4538"/>
    <w:rsid w:val="000E6883"/>
    <w:rsid w:val="000E6CC7"/>
    <w:rsid w:val="000E71C4"/>
    <w:rsid w:val="000E74CC"/>
    <w:rsid w:val="000E7F5A"/>
    <w:rsid w:val="000F1260"/>
    <w:rsid w:val="000F1E0B"/>
    <w:rsid w:val="000F3294"/>
    <w:rsid w:val="00100833"/>
    <w:rsid w:val="00101028"/>
    <w:rsid w:val="00101655"/>
    <w:rsid w:val="00104456"/>
    <w:rsid w:val="001048D0"/>
    <w:rsid w:val="00104900"/>
    <w:rsid w:val="00107C7E"/>
    <w:rsid w:val="001103F9"/>
    <w:rsid w:val="00110A81"/>
    <w:rsid w:val="00112779"/>
    <w:rsid w:val="001141B8"/>
    <w:rsid w:val="00121830"/>
    <w:rsid w:val="00123225"/>
    <w:rsid w:val="001232A7"/>
    <w:rsid w:val="00130769"/>
    <w:rsid w:val="00130D22"/>
    <w:rsid w:val="00130DA9"/>
    <w:rsid w:val="00132347"/>
    <w:rsid w:val="00132693"/>
    <w:rsid w:val="00132993"/>
    <w:rsid w:val="001340F0"/>
    <w:rsid w:val="00136113"/>
    <w:rsid w:val="00140E2C"/>
    <w:rsid w:val="001428B6"/>
    <w:rsid w:val="001436F2"/>
    <w:rsid w:val="00143B28"/>
    <w:rsid w:val="0014486F"/>
    <w:rsid w:val="00145D2D"/>
    <w:rsid w:val="00147BF6"/>
    <w:rsid w:val="00147BF8"/>
    <w:rsid w:val="00151D28"/>
    <w:rsid w:val="00157228"/>
    <w:rsid w:val="001573F5"/>
    <w:rsid w:val="00157AF6"/>
    <w:rsid w:val="00160248"/>
    <w:rsid w:val="0016079B"/>
    <w:rsid w:val="00160E31"/>
    <w:rsid w:val="00161988"/>
    <w:rsid w:val="001640C0"/>
    <w:rsid w:val="00164DB8"/>
    <w:rsid w:val="001671D5"/>
    <w:rsid w:val="0016781D"/>
    <w:rsid w:val="00170ECF"/>
    <w:rsid w:val="00171BCF"/>
    <w:rsid w:val="00174C1E"/>
    <w:rsid w:val="001762B5"/>
    <w:rsid w:val="00176A71"/>
    <w:rsid w:val="00181116"/>
    <w:rsid w:val="0018159F"/>
    <w:rsid w:val="001820A0"/>
    <w:rsid w:val="001829AA"/>
    <w:rsid w:val="0018353C"/>
    <w:rsid w:val="001836F7"/>
    <w:rsid w:val="00184798"/>
    <w:rsid w:val="00187F6B"/>
    <w:rsid w:val="001903DC"/>
    <w:rsid w:val="00190599"/>
    <w:rsid w:val="00190DB7"/>
    <w:rsid w:val="00190FCA"/>
    <w:rsid w:val="00191251"/>
    <w:rsid w:val="00191C02"/>
    <w:rsid w:val="00192C87"/>
    <w:rsid w:val="00193C79"/>
    <w:rsid w:val="00197770"/>
    <w:rsid w:val="001A0977"/>
    <w:rsid w:val="001A0CC6"/>
    <w:rsid w:val="001A2318"/>
    <w:rsid w:val="001A396B"/>
    <w:rsid w:val="001A3E1A"/>
    <w:rsid w:val="001A5A26"/>
    <w:rsid w:val="001A5F7E"/>
    <w:rsid w:val="001A695D"/>
    <w:rsid w:val="001A6AE4"/>
    <w:rsid w:val="001A72FF"/>
    <w:rsid w:val="001A7794"/>
    <w:rsid w:val="001B0935"/>
    <w:rsid w:val="001B2342"/>
    <w:rsid w:val="001B51A4"/>
    <w:rsid w:val="001B5983"/>
    <w:rsid w:val="001B678D"/>
    <w:rsid w:val="001B67B0"/>
    <w:rsid w:val="001B6D1B"/>
    <w:rsid w:val="001B7FC7"/>
    <w:rsid w:val="001B7FD3"/>
    <w:rsid w:val="001C24B7"/>
    <w:rsid w:val="001C2571"/>
    <w:rsid w:val="001C2CFF"/>
    <w:rsid w:val="001C3762"/>
    <w:rsid w:val="001C4589"/>
    <w:rsid w:val="001C5082"/>
    <w:rsid w:val="001C6FAE"/>
    <w:rsid w:val="001C7FE4"/>
    <w:rsid w:val="001D007B"/>
    <w:rsid w:val="001D0D00"/>
    <w:rsid w:val="001D13DF"/>
    <w:rsid w:val="001D3667"/>
    <w:rsid w:val="001D3D2E"/>
    <w:rsid w:val="001D4ED0"/>
    <w:rsid w:val="001D68AA"/>
    <w:rsid w:val="001D6A47"/>
    <w:rsid w:val="001D77B6"/>
    <w:rsid w:val="001D7809"/>
    <w:rsid w:val="001D7948"/>
    <w:rsid w:val="001E15B9"/>
    <w:rsid w:val="001E2984"/>
    <w:rsid w:val="001E61A5"/>
    <w:rsid w:val="001F0475"/>
    <w:rsid w:val="001F064F"/>
    <w:rsid w:val="001F18BC"/>
    <w:rsid w:val="001F2974"/>
    <w:rsid w:val="001F3616"/>
    <w:rsid w:val="001F478F"/>
    <w:rsid w:val="001F6194"/>
    <w:rsid w:val="001F6980"/>
    <w:rsid w:val="001F74F3"/>
    <w:rsid w:val="001F77FE"/>
    <w:rsid w:val="002012CE"/>
    <w:rsid w:val="00201514"/>
    <w:rsid w:val="00201E49"/>
    <w:rsid w:val="00202873"/>
    <w:rsid w:val="002040BF"/>
    <w:rsid w:val="00204823"/>
    <w:rsid w:val="00205694"/>
    <w:rsid w:val="00205DAE"/>
    <w:rsid w:val="002068B7"/>
    <w:rsid w:val="00207C0F"/>
    <w:rsid w:val="00207DBC"/>
    <w:rsid w:val="0021181A"/>
    <w:rsid w:val="00212704"/>
    <w:rsid w:val="00212861"/>
    <w:rsid w:val="00212E64"/>
    <w:rsid w:val="00212F98"/>
    <w:rsid w:val="00213353"/>
    <w:rsid w:val="0021376A"/>
    <w:rsid w:val="00215221"/>
    <w:rsid w:val="002154F5"/>
    <w:rsid w:val="002165D4"/>
    <w:rsid w:val="00217222"/>
    <w:rsid w:val="00220257"/>
    <w:rsid w:val="0022028C"/>
    <w:rsid w:val="002209C3"/>
    <w:rsid w:val="00220B16"/>
    <w:rsid w:val="00220CB6"/>
    <w:rsid w:val="002214FE"/>
    <w:rsid w:val="00221FC4"/>
    <w:rsid w:val="00222836"/>
    <w:rsid w:val="00223B39"/>
    <w:rsid w:val="00223F45"/>
    <w:rsid w:val="00224021"/>
    <w:rsid w:val="00224149"/>
    <w:rsid w:val="00224191"/>
    <w:rsid w:val="002251A1"/>
    <w:rsid w:val="00226DF6"/>
    <w:rsid w:val="00226F13"/>
    <w:rsid w:val="00227E74"/>
    <w:rsid w:val="00230FA1"/>
    <w:rsid w:val="00233D98"/>
    <w:rsid w:val="00235C49"/>
    <w:rsid w:val="002415CA"/>
    <w:rsid w:val="00241BB9"/>
    <w:rsid w:val="00241EA7"/>
    <w:rsid w:val="0024241F"/>
    <w:rsid w:val="0024269B"/>
    <w:rsid w:val="00242DA1"/>
    <w:rsid w:val="00243702"/>
    <w:rsid w:val="00243796"/>
    <w:rsid w:val="00243E39"/>
    <w:rsid w:val="002452FC"/>
    <w:rsid w:val="002453A0"/>
    <w:rsid w:val="00245A65"/>
    <w:rsid w:val="002462B0"/>
    <w:rsid w:val="00246695"/>
    <w:rsid w:val="00247A0E"/>
    <w:rsid w:val="002508CC"/>
    <w:rsid w:val="002511B2"/>
    <w:rsid w:val="002514C9"/>
    <w:rsid w:val="00251D5C"/>
    <w:rsid w:val="00252CF5"/>
    <w:rsid w:val="00255DBD"/>
    <w:rsid w:val="00257F83"/>
    <w:rsid w:val="00260E74"/>
    <w:rsid w:val="00262659"/>
    <w:rsid w:val="00262C03"/>
    <w:rsid w:val="00264234"/>
    <w:rsid w:val="0026526C"/>
    <w:rsid w:val="0026592B"/>
    <w:rsid w:val="002665C6"/>
    <w:rsid w:val="0026759B"/>
    <w:rsid w:val="00270544"/>
    <w:rsid w:val="002708EE"/>
    <w:rsid w:val="00271BBF"/>
    <w:rsid w:val="00272266"/>
    <w:rsid w:val="002733D7"/>
    <w:rsid w:val="0027371A"/>
    <w:rsid w:val="00274262"/>
    <w:rsid w:val="00274E9C"/>
    <w:rsid w:val="00275526"/>
    <w:rsid w:val="002778E2"/>
    <w:rsid w:val="0028060C"/>
    <w:rsid w:val="0028118A"/>
    <w:rsid w:val="002818A4"/>
    <w:rsid w:val="0028191D"/>
    <w:rsid w:val="00281D29"/>
    <w:rsid w:val="00281E58"/>
    <w:rsid w:val="002821FA"/>
    <w:rsid w:val="002826E1"/>
    <w:rsid w:val="00283445"/>
    <w:rsid w:val="00283F17"/>
    <w:rsid w:val="00284998"/>
    <w:rsid w:val="002849A8"/>
    <w:rsid w:val="002869D6"/>
    <w:rsid w:val="00287B57"/>
    <w:rsid w:val="00287C55"/>
    <w:rsid w:val="00287F22"/>
    <w:rsid w:val="00290973"/>
    <w:rsid w:val="00290FF3"/>
    <w:rsid w:val="002917D4"/>
    <w:rsid w:val="00291BB1"/>
    <w:rsid w:val="00292381"/>
    <w:rsid w:val="0029242D"/>
    <w:rsid w:val="0029266A"/>
    <w:rsid w:val="0029308A"/>
    <w:rsid w:val="002959BB"/>
    <w:rsid w:val="00295C32"/>
    <w:rsid w:val="00297551"/>
    <w:rsid w:val="002A0795"/>
    <w:rsid w:val="002A15CD"/>
    <w:rsid w:val="002A287B"/>
    <w:rsid w:val="002A33A3"/>
    <w:rsid w:val="002A43AF"/>
    <w:rsid w:val="002A488A"/>
    <w:rsid w:val="002A5B64"/>
    <w:rsid w:val="002A67DC"/>
    <w:rsid w:val="002A7753"/>
    <w:rsid w:val="002B11E1"/>
    <w:rsid w:val="002B16D2"/>
    <w:rsid w:val="002B1C65"/>
    <w:rsid w:val="002B1D0E"/>
    <w:rsid w:val="002B32AA"/>
    <w:rsid w:val="002B6FCA"/>
    <w:rsid w:val="002B7894"/>
    <w:rsid w:val="002C0930"/>
    <w:rsid w:val="002C0B6F"/>
    <w:rsid w:val="002C0B90"/>
    <w:rsid w:val="002C1256"/>
    <w:rsid w:val="002C28FE"/>
    <w:rsid w:val="002C2DD6"/>
    <w:rsid w:val="002C362D"/>
    <w:rsid w:val="002C4432"/>
    <w:rsid w:val="002C5397"/>
    <w:rsid w:val="002C65E2"/>
    <w:rsid w:val="002C6F37"/>
    <w:rsid w:val="002D0D70"/>
    <w:rsid w:val="002D1040"/>
    <w:rsid w:val="002D1776"/>
    <w:rsid w:val="002D1ED4"/>
    <w:rsid w:val="002D2F07"/>
    <w:rsid w:val="002D34D0"/>
    <w:rsid w:val="002D3534"/>
    <w:rsid w:val="002D36F2"/>
    <w:rsid w:val="002D377D"/>
    <w:rsid w:val="002D387B"/>
    <w:rsid w:val="002D41CB"/>
    <w:rsid w:val="002D4451"/>
    <w:rsid w:val="002D5592"/>
    <w:rsid w:val="002D5C20"/>
    <w:rsid w:val="002D6C68"/>
    <w:rsid w:val="002D776F"/>
    <w:rsid w:val="002E07F9"/>
    <w:rsid w:val="002E1A18"/>
    <w:rsid w:val="002E1D5F"/>
    <w:rsid w:val="002E3C3A"/>
    <w:rsid w:val="002E6E72"/>
    <w:rsid w:val="002F0228"/>
    <w:rsid w:val="002F0782"/>
    <w:rsid w:val="002F2486"/>
    <w:rsid w:val="002F30C9"/>
    <w:rsid w:val="002F513E"/>
    <w:rsid w:val="002F5BC0"/>
    <w:rsid w:val="002F6CF5"/>
    <w:rsid w:val="002F6F74"/>
    <w:rsid w:val="002F7227"/>
    <w:rsid w:val="002F75D5"/>
    <w:rsid w:val="0030106A"/>
    <w:rsid w:val="00301108"/>
    <w:rsid w:val="00302732"/>
    <w:rsid w:val="003033E1"/>
    <w:rsid w:val="00303CA8"/>
    <w:rsid w:val="00305620"/>
    <w:rsid w:val="00305B84"/>
    <w:rsid w:val="00305E09"/>
    <w:rsid w:val="00306B82"/>
    <w:rsid w:val="00306B9D"/>
    <w:rsid w:val="00307093"/>
    <w:rsid w:val="00307165"/>
    <w:rsid w:val="00312398"/>
    <w:rsid w:val="003145C0"/>
    <w:rsid w:val="00315498"/>
    <w:rsid w:val="00316040"/>
    <w:rsid w:val="00317A92"/>
    <w:rsid w:val="003229CF"/>
    <w:rsid w:val="00322AA5"/>
    <w:rsid w:val="00323041"/>
    <w:rsid w:val="00323273"/>
    <w:rsid w:val="003259E2"/>
    <w:rsid w:val="00326468"/>
    <w:rsid w:val="00327D01"/>
    <w:rsid w:val="00330286"/>
    <w:rsid w:val="0033037C"/>
    <w:rsid w:val="003305E9"/>
    <w:rsid w:val="003306E5"/>
    <w:rsid w:val="00331275"/>
    <w:rsid w:val="003324EF"/>
    <w:rsid w:val="00332669"/>
    <w:rsid w:val="003335F9"/>
    <w:rsid w:val="0033658F"/>
    <w:rsid w:val="00337683"/>
    <w:rsid w:val="00337CA4"/>
    <w:rsid w:val="00340082"/>
    <w:rsid w:val="003420A3"/>
    <w:rsid w:val="00342193"/>
    <w:rsid w:val="00343639"/>
    <w:rsid w:val="0034401C"/>
    <w:rsid w:val="00344068"/>
    <w:rsid w:val="00345435"/>
    <w:rsid w:val="00345F29"/>
    <w:rsid w:val="003461EC"/>
    <w:rsid w:val="003463EE"/>
    <w:rsid w:val="003471C3"/>
    <w:rsid w:val="003502E3"/>
    <w:rsid w:val="00350FC6"/>
    <w:rsid w:val="003512D6"/>
    <w:rsid w:val="00351AD7"/>
    <w:rsid w:val="00351BBF"/>
    <w:rsid w:val="00351CC0"/>
    <w:rsid w:val="003525EF"/>
    <w:rsid w:val="0035354A"/>
    <w:rsid w:val="00354479"/>
    <w:rsid w:val="00357401"/>
    <w:rsid w:val="00357D33"/>
    <w:rsid w:val="00357F89"/>
    <w:rsid w:val="00360BBF"/>
    <w:rsid w:val="00361AE0"/>
    <w:rsid w:val="00364482"/>
    <w:rsid w:val="00365541"/>
    <w:rsid w:val="00365D92"/>
    <w:rsid w:val="00367132"/>
    <w:rsid w:val="00367762"/>
    <w:rsid w:val="00372269"/>
    <w:rsid w:val="00373962"/>
    <w:rsid w:val="00374BD2"/>
    <w:rsid w:val="00375B59"/>
    <w:rsid w:val="00375BA2"/>
    <w:rsid w:val="003779BE"/>
    <w:rsid w:val="00377FAE"/>
    <w:rsid w:val="00381143"/>
    <w:rsid w:val="00381C51"/>
    <w:rsid w:val="0038222F"/>
    <w:rsid w:val="00382A78"/>
    <w:rsid w:val="00383451"/>
    <w:rsid w:val="00383799"/>
    <w:rsid w:val="00383A20"/>
    <w:rsid w:val="003858F8"/>
    <w:rsid w:val="003859C7"/>
    <w:rsid w:val="00385BAC"/>
    <w:rsid w:val="003869BB"/>
    <w:rsid w:val="00387330"/>
    <w:rsid w:val="00387918"/>
    <w:rsid w:val="00387CC2"/>
    <w:rsid w:val="00390784"/>
    <w:rsid w:val="003922FE"/>
    <w:rsid w:val="0039275A"/>
    <w:rsid w:val="00392A39"/>
    <w:rsid w:val="00392B6E"/>
    <w:rsid w:val="00393753"/>
    <w:rsid w:val="00393D41"/>
    <w:rsid w:val="003946F9"/>
    <w:rsid w:val="0039561E"/>
    <w:rsid w:val="00395C1E"/>
    <w:rsid w:val="00396256"/>
    <w:rsid w:val="00396B78"/>
    <w:rsid w:val="003A022F"/>
    <w:rsid w:val="003A12D7"/>
    <w:rsid w:val="003A1FBF"/>
    <w:rsid w:val="003A2C96"/>
    <w:rsid w:val="003A334B"/>
    <w:rsid w:val="003A4637"/>
    <w:rsid w:val="003A4890"/>
    <w:rsid w:val="003A48B6"/>
    <w:rsid w:val="003A4DD9"/>
    <w:rsid w:val="003A67CF"/>
    <w:rsid w:val="003A7063"/>
    <w:rsid w:val="003B3D65"/>
    <w:rsid w:val="003B4838"/>
    <w:rsid w:val="003B56A7"/>
    <w:rsid w:val="003B5779"/>
    <w:rsid w:val="003B606F"/>
    <w:rsid w:val="003B6C7D"/>
    <w:rsid w:val="003B7B26"/>
    <w:rsid w:val="003B7CCD"/>
    <w:rsid w:val="003C0224"/>
    <w:rsid w:val="003C05DC"/>
    <w:rsid w:val="003C273C"/>
    <w:rsid w:val="003C2DC0"/>
    <w:rsid w:val="003C3023"/>
    <w:rsid w:val="003C4981"/>
    <w:rsid w:val="003C5870"/>
    <w:rsid w:val="003D0494"/>
    <w:rsid w:val="003D0875"/>
    <w:rsid w:val="003D1795"/>
    <w:rsid w:val="003D23BB"/>
    <w:rsid w:val="003D48E1"/>
    <w:rsid w:val="003D56F5"/>
    <w:rsid w:val="003D5835"/>
    <w:rsid w:val="003D617A"/>
    <w:rsid w:val="003D7441"/>
    <w:rsid w:val="003D75C4"/>
    <w:rsid w:val="003E0D96"/>
    <w:rsid w:val="003E3576"/>
    <w:rsid w:val="003E477D"/>
    <w:rsid w:val="003E5125"/>
    <w:rsid w:val="003E56C2"/>
    <w:rsid w:val="003E64FD"/>
    <w:rsid w:val="003E7669"/>
    <w:rsid w:val="003F0591"/>
    <w:rsid w:val="003F1A2B"/>
    <w:rsid w:val="003F2298"/>
    <w:rsid w:val="003F3C67"/>
    <w:rsid w:val="003F3CC6"/>
    <w:rsid w:val="003F4371"/>
    <w:rsid w:val="003F49D6"/>
    <w:rsid w:val="003F5990"/>
    <w:rsid w:val="003F5DD8"/>
    <w:rsid w:val="003F68F3"/>
    <w:rsid w:val="003F7216"/>
    <w:rsid w:val="00400571"/>
    <w:rsid w:val="00400821"/>
    <w:rsid w:val="00400D0D"/>
    <w:rsid w:val="00400F47"/>
    <w:rsid w:val="0040179D"/>
    <w:rsid w:val="00402657"/>
    <w:rsid w:val="00403045"/>
    <w:rsid w:val="00403A19"/>
    <w:rsid w:val="00403D69"/>
    <w:rsid w:val="00406861"/>
    <w:rsid w:val="00406B18"/>
    <w:rsid w:val="004071D2"/>
    <w:rsid w:val="00411254"/>
    <w:rsid w:val="00411DE4"/>
    <w:rsid w:val="00412603"/>
    <w:rsid w:val="004136E1"/>
    <w:rsid w:val="00414416"/>
    <w:rsid w:val="00415856"/>
    <w:rsid w:val="0041674D"/>
    <w:rsid w:val="00416B99"/>
    <w:rsid w:val="00417369"/>
    <w:rsid w:val="00420958"/>
    <w:rsid w:val="004212A8"/>
    <w:rsid w:val="004217AB"/>
    <w:rsid w:val="0042204D"/>
    <w:rsid w:val="0042232A"/>
    <w:rsid w:val="00422574"/>
    <w:rsid w:val="00422E2B"/>
    <w:rsid w:val="004236FD"/>
    <w:rsid w:val="00423F59"/>
    <w:rsid w:val="00425397"/>
    <w:rsid w:val="00425D1C"/>
    <w:rsid w:val="00426C79"/>
    <w:rsid w:val="004272CD"/>
    <w:rsid w:val="00430363"/>
    <w:rsid w:val="00431A07"/>
    <w:rsid w:val="00432A71"/>
    <w:rsid w:val="00432F12"/>
    <w:rsid w:val="004342B1"/>
    <w:rsid w:val="004344E7"/>
    <w:rsid w:val="00434ACA"/>
    <w:rsid w:val="00436114"/>
    <w:rsid w:val="00437440"/>
    <w:rsid w:val="0044006B"/>
    <w:rsid w:val="00441A0B"/>
    <w:rsid w:val="004423A3"/>
    <w:rsid w:val="004423E7"/>
    <w:rsid w:val="00442490"/>
    <w:rsid w:val="00442FFC"/>
    <w:rsid w:val="00443CB9"/>
    <w:rsid w:val="004453EF"/>
    <w:rsid w:val="0044550A"/>
    <w:rsid w:val="004460A9"/>
    <w:rsid w:val="00446C93"/>
    <w:rsid w:val="00447671"/>
    <w:rsid w:val="00451055"/>
    <w:rsid w:val="004513C3"/>
    <w:rsid w:val="00453F74"/>
    <w:rsid w:val="0045532A"/>
    <w:rsid w:val="00455510"/>
    <w:rsid w:val="00455936"/>
    <w:rsid w:val="004561EC"/>
    <w:rsid w:val="0045625C"/>
    <w:rsid w:val="00460E98"/>
    <w:rsid w:val="00461417"/>
    <w:rsid w:val="00461AA1"/>
    <w:rsid w:val="004628DB"/>
    <w:rsid w:val="004629AD"/>
    <w:rsid w:val="00462AE7"/>
    <w:rsid w:val="00462B25"/>
    <w:rsid w:val="0046452B"/>
    <w:rsid w:val="00464BB8"/>
    <w:rsid w:val="004704BB"/>
    <w:rsid w:val="00471139"/>
    <w:rsid w:val="00471DF9"/>
    <w:rsid w:val="004721AB"/>
    <w:rsid w:val="00472A81"/>
    <w:rsid w:val="00474ADE"/>
    <w:rsid w:val="004763E2"/>
    <w:rsid w:val="00476AE9"/>
    <w:rsid w:val="00476D0B"/>
    <w:rsid w:val="00477206"/>
    <w:rsid w:val="0047736B"/>
    <w:rsid w:val="00477709"/>
    <w:rsid w:val="0047779D"/>
    <w:rsid w:val="00477EFD"/>
    <w:rsid w:val="00480156"/>
    <w:rsid w:val="00481B42"/>
    <w:rsid w:val="00481B90"/>
    <w:rsid w:val="00482314"/>
    <w:rsid w:val="0048250B"/>
    <w:rsid w:val="00482A98"/>
    <w:rsid w:val="00484F89"/>
    <w:rsid w:val="00485445"/>
    <w:rsid w:val="004856EF"/>
    <w:rsid w:val="00485B03"/>
    <w:rsid w:val="00486618"/>
    <w:rsid w:val="0048703E"/>
    <w:rsid w:val="00487FB8"/>
    <w:rsid w:val="00493178"/>
    <w:rsid w:val="00493AC8"/>
    <w:rsid w:val="00493D23"/>
    <w:rsid w:val="00493FEB"/>
    <w:rsid w:val="004946A1"/>
    <w:rsid w:val="0049523F"/>
    <w:rsid w:val="00495B03"/>
    <w:rsid w:val="00495B6C"/>
    <w:rsid w:val="0049691F"/>
    <w:rsid w:val="00496F47"/>
    <w:rsid w:val="004A021C"/>
    <w:rsid w:val="004A1C07"/>
    <w:rsid w:val="004A2791"/>
    <w:rsid w:val="004A3EBF"/>
    <w:rsid w:val="004A3F22"/>
    <w:rsid w:val="004A686D"/>
    <w:rsid w:val="004A73E1"/>
    <w:rsid w:val="004A7567"/>
    <w:rsid w:val="004B116C"/>
    <w:rsid w:val="004B1CE7"/>
    <w:rsid w:val="004B24A3"/>
    <w:rsid w:val="004B2C89"/>
    <w:rsid w:val="004B3DE9"/>
    <w:rsid w:val="004B576B"/>
    <w:rsid w:val="004B5CDB"/>
    <w:rsid w:val="004B5F6C"/>
    <w:rsid w:val="004B5F88"/>
    <w:rsid w:val="004B66FC"/>
    <w:rsid w:val="004B6A11"/>
    <w:rsid w:val="004B7320"/>
    <w:rsid w:val="004C05EC"/>
    <w:rsid w:val="004C174E"/>
    <w:rsid w:val="004C222E"/>
    <w:rsid w:val="004C32AC"/>
    <w:rsid w:val="004C378C"/>
    <w:rsid w:val="004C4ADE"/>
    <w:rsid w:val="004C4EBF"/>
    <w:rsid w:val="004C568E"/>
    <w:rsid w:val="004C5D0F"/>
    <w:rsid w:val="004C60B4"/>
    <w:rsid w:val="004C6F5C"/>
    <w:rsid w:val="004C7437"/>
    <w:rsid w:val="004D1E0A"/>
    <w:rsid w:val="004D37BD"/>
    <w:rsid w:val="004D547B"/>
    <w:rsid w:val="004D5484"/>
    <w:rsid w:val="004D5EF3"/>
    <w:rsid w:val="004D66D6"/>
    <w:rsid w:val="004D795A"/>
    <w:rsid w:val="004E13FD"/>
    <w:rsid w:val="004E18EC"/>
    <w:rsid w:val="004E1B92"/>
    <w:rsid w:val="004E2038"/>
    <w:rsid w:val="004E3858"/>
    <w:rsid w:val="004E3F81"/>
    <w:rsid w:val="004E483C"/>
    <w:rsid w:val="004E4BF7"/>
    <w:rsid w:val="004E5319"/>
    <w:rsid w:val="004E5794"/>
    <w:rsid w:val="004E580F"/>
    <w:rsid w:val="004E5AD2"/>
    <w:rsid w:val="004E790B"/>
    <w:rsid w:val="004E7B37"/>
    <w:rsid w:val="004F0E71"/>
    <w:rsid w:val="004F298F"/>
    <w:rsid w:val="004F2D12"/>
    <w:rsid w:val="004F3C83"/>
    <w:rsid w:val="004F4919"/>
    <w:rsid w:val="004F57C9"/>
    <w:rsid w:val="004F592F"/>
    <w:rsid w:val="004F6C62"/>
    <w:rsid w:val="004F7016"/>
    <w:rsid w:val="005008F1"/>
    <w:rsid w:val="00502004"/>
    <w:rsid w:val="00502098"/>
    <w:rsid w:val="0050259B"/>
    <w:rsid w:val="00502A11"/>
    <w:rsid w:val="0050423F"/>
    <w:rsid w:val="00505179"/>
    <w:rsid w:val="0050543A"/>
    <w:rsid w:val="00506461"/>
    <w:rsid w:val="00507DA1"/>
    <w:rsid w:val="00507E58"/>
    <w:rsid w:val="005106D0"/>
    <w:rsid w:val="005108D3"/>
    <w:rsid w:val="00510A82"/>
    <w:rsid w:val="00511DD6"/>
    <w:rsid w:val="00512C3A"/>
    <w:rsid w:val="00513E13"/>
    <w:rsid w:val="0051426B"/>
    <w:rsid w:val="0051569B"/>
    <w:rsid w:val="00515BD9"/>
    <w:rsid w:val="00517277"/>
    <w:rsid w:val="00517315"/>
    <w:rsid w:val="005207C7"/>
    <w:rsid w:val="00521071"/>
    <w:rsid w:val="005211B7"/>
    <w:rsid w:val="00522C1C"/>
    <w:rsid w:val="00522F35"/>
    <w:rsid w:val="005248D4"/>
    <w:rsid w:val="00524D14"/>
    <w:rsid w:val="00525B3C"/>
    <w:rsid w:val="00526537"/>
    <w:rsid w:val="00527454"/>
    <w:rsid w:val="00527739"/>
    <w:rsid w:val="00527B74"/>
    <w:rsid w:val="00527E0D"/>
    <w:rsid w:val="00530390"/>
    <w:rsid w:val="00530988"/>
    <w:rsid w:val="005309BC"/>
    <w:rsid w:val="00531F74"/>
    <w:rsid w:val="00532387"/>
    <w:rsid w:val="005334E3"/>
    <w:rsid w:val="00535D80"/>
    <w:rsid w:val="00536E16"/>
    <w:rsid w:val="00537226"/>
    <w:rsid w:val="00537361"/>
    <w:rsid w:val="00540B14"/>
    <w:rsid w:val="0054180A"/>
    <w:rsid w:val="00542310"/>
    <w:rsid w:val="00542D6B"/>
    <w:rsid w:val="005445B4"/>
    <w:rsid w:val="00546702"/>
    <w:rsid w:val="00546D84"/>
    <w:rsid w:val="0054701E"/>
    <w:rsid w:val="00547D98"/>
    <w:rsid w:val="00551120"/>
    <w:rsid w:val="0055184B"/>
    <w:rsid w:val="00554851"/>
    <w:rsid w:val="00554A2F"/>
    <w:rsid w:val="00554C77"/>
    <w:rsid w:val="00554F7A"/>
    <w:rsid w:val="005553C9"/>
    <w:rsid w:val="005558CA"/>
    <w:rsid w:val="005578E4"/>
    <w:rsid w:val="00560219"/>
    <w:rsid w:val="00561957"/>
    <w:rsid w:val="00564951"/>
    <w:rsid w:val="005654FC"/>
    <w:rsid w:val="005662B3"/>
    <w:rsid w:val="00566894"/>
    <w:rsid w:val="00567BD1"/>
    <w:rsid w:val="00571023"/>
    <w:rsid w:val="005711E1"/>
    <w:rsid w:val="00571E16"/>
    <w:rsid w:val="00575C65"/>
    <w:rsid w:val="005766B2"/>
    <w:rsid w:val="00576C5A"/>
    <w:rsid w:val="00577373"/>
    <w:rsid w:val="00580650"/>
    <w:rsid w:val="00580ED4"/>
    <w:rsid w:val="00580FC3"/>
    <w:rsid w:val="00581F86"/>
    <w:rsid w:val="00582264"/>
    <w:rsid w:val="005828ED"/>
    <w:rsid w:val="00583A1A"/>
    <w:rsid w:val="00583BCD"/>
    <w:rsid w:val="005847F8"/>
    <w:rsid w:val="005862F2"/>
    <w:rsid w:val="0059060D"/>
    <w:rsid w:val="0059127A"/>
    <w:rsid w:val="00591A2F"/>
    <w:rsid w:val="005961F5"/>
    <w:rsid w:val="005972A4"/>
    <w:rsid w:val="00597652"/>
    <w:rsid w:val="005A089E"/>
    <w:rsid w:val="005A0A17"/>
    <w:rsid w:val="005A3033"/>
    <w:rsid w:val="005A40B0"/>
    <w:rsid w:val="005A4389"/>
    <w:rsid w:val="005A4EB9"/>
    <w:rsid w:val="005A53F1"/>
    <w:rsid w:val="005A54F0"/>
    <w:rsid w:val="005A5D2E"/>
    <w:rsid w:val="005A61A8"/>
    <w:rsid w:val="005A65FA"/>
    <w:rsid w:val="005A6FD5"/>
    <w:rsid w:val="005A7D49"/>
    <w:rsid w:val="005B0034"/>
    <w:rsid w:val="005B0562"/>
    <w:rsid w:val="005B1040"/>
    <w:rsid w:val="005B16CB"/>
    <w:rsid w:val="005B1BC8"/>
    <w:rsid w:val="005B1C3C"/>
    <w:rsid w:val="005B450F"/>
    <w:rsid w:val="005B5A7A"/>
    <w:rsid w:val="005B5ADA"/>
    <w:rsid w:val="005B633F"/>
    <w:rsid w:val="005B63E0"/>
    <w:rsid w:val="005B7778"/>
    <w:rsid w:val="005C0191"/>
    <w:rsid w:val="005C0443"/>
    <w:rsid w:val="005C0FF6"/>
    <w:rsid w:val="005C2085"/>
    <w:rsid w:val="005C2946"/>
    <w:rsid w:val="005C2E66"/>
    <w:rsid w:val="005C32C3"/>
    <w:rsid w:val="005C41E7"/>
    <w:rsid w:val="005C42E3"/>
    <w:rsid w:val="005C5349"/>
    <w:rsid w:val="005C53CF"/>
    <w:rsid w:val="005C5C11"/>
    <w:rsid w:val="005C5FC7"/>
    <w:rsid w:val="005C6B8D"/>
    <w:rsid w:val="005D13B7"/>
    <w:rsid w:val="005D238A"/>
    <w:rsid w:val="005D3F89"/>
    <w:rsid w:val="005D4CA0"/>
    <w:rsid w:val="005D4FEA"/>
    <w:rsid w:val="005D524D"/>
    <w:rsid w:val="005D5AFA"/>
    <w:rsid w:val="005D6E4E"/>
    <w:rsid w:val="005D7AEC"/>
    <w:rsid w:val="005D7FAF"/>
    <w:rsid w:val="005D7FC1"/>
    <w:rsid w:val="005E0295"/>
    <w:rsid w:val="005E156B"/>
    <w:rsid w:val="005E2A86"/>
    <w:rsid w:val="005E2B64"/>
    <w:rsid w:val="005E3E71"/>
    <w:rsid w:val="005E59BC"/>
    <w:rsid w:val="005E61F0"/>
    <w:rsid w:val="005E6AEA"/>
    <w:rsid w:val="005E707E"/>
    <w:rsid w:val="005E7AD7"/>
    <w:rsid w:val="005F128E"/>
    <w:rsid w:val="005F1F61"/>
    <w:rsid w:val="005F2B13"/>
    <w:rsid w:val="005F3AD9"/>
    <w:rsid w:val="005F3C47"/>
    <w:rsid w:val="005F49CE"/>
    <w:rsid w:val="005F4A5E"/>
    <w:rsid w:val="005F6351"/>
    <w:rsid w:val="005F6769"/>
    <w:rsid w:val="005F6840"/>
    <w:rsid w:val="005F6F60"/>
    <w:rsid w:val="005F73A7"/>
    <w:rsid w:val="005F7922"/>
    <w:rsid w:val="005F79F2"/>
    <w:rsid w:val="00600EE6"/>
    <w:rsid w:val="00601D91"/>
    <w:rsid w:val="006037E7"/>
    <w:rsid w:val="00603B19"/>
    <w:rsid w:val="0060421F"/>
    <w:rsid w:val="00605063"/>
    <w:rsid w:val="006053D7"/>
    <w:rsid w:val="006058FE"/>
    <w:rsid w:val="0060656C"/>
    <w:rsid w:val="00606CD6"/>
    <w:rsid w:val="00610694"/>
    <w:rsid w:val="006113E8"/>
    <w:rsid w:val="0061224F"/>
    <w:rsid w:val="00612E7C"/>
    <w:rsid w:val="006135C2"/>
    <w:rsid w:val="0061482C"/>
    <w:rsid w:val="006159B8"/>
    <w:rsid w:val="006208FB"/>
    <w:rsid w:val="00620CEA"/>
    <w:rsid w:val="0062135B"/>
    <w:rsid w:val="00621549"/>
    <w:rsid w:val="006247D0"/>
    <w:rsid w:val="00624EBC"/>
    <w:rsid w:val="00625341"/>
    <w:rsid w:val="006258DC"/>
    <w:rsid w:val="00625923"/>
    <w:rsid w:val="00627471"/>
    <w:rsid w:val="006278F6"/>
    <w:rsid w:val="00627E30"/>
    <w:rsid w:val="00627E3D"/>
    <w:rsid w:val="0063018A"/>
    <w:rsid w:val="006302D2"/>
    <w:rsid w:val="006310CC"/>
    <w:rsid w:val="00631795"/>
    <w:rsid w:val="00631D6E"/>
    <w:rsid w:val="00632785"/>
    <w:rsid w:val="0063297A"/>
    <w:rsid w:val="00634BC6"/>
    <w:rsid w:val="00635867"/>
    <w:rsid w:val="00635C32"/>
    <w:rsid w:val="00635C59"/>
    <w:rsid w:val="00637683"/>
    <w:rsid w:val="00640748"/>
    <w:rsid w:val="00641DBC"/>
    <w:rsid w:val="00642FA0"/>
    <w:rsid w:val="0064365E"/>
    <w:rsid w:val="00644881"/>
    <w:rsid w:val="00645BDA"/>
    <w:rsid w:val="006468A6"/>
    <w:rsid w:val="00646C84"/>
    <w:rsid w:val="00647540"/>
    <w:rsid w:val="00647836"/>
    <w:rsid w:val="0064786A"/>
    <w:rsid w:val="00647A38"/>
    <w:rsid w:val="0065021C"/>
    <w:rsid w:val="006515B5"/>
    <w:rsid w:val="00651BB5"/>
    <w:rsid w:val="00652B00"/>
    <w:rsid w:val="00652C24"/>
    <w:rsid w:val="00652DC1"/>
    <w:rsid w:val="00652F52"/>
    <w:rsid w:val="00653AD1"/>
    <w:rsid w:val="00654178"/>
    <w:rsid w:val="00654264"/>
    <w:rsid w:val="006561EF"/>
    <w:rsid w:val="00657C5B"/>
    <w:rsid w:val="00657E2A"/>
    <w:rsid w:val="006614EB"/>
    <w:rsid w:val="00662A4B"/>
    <w:rsid w:val="00663814"/>
    <w:rsid w:val="00663F73"/>
    <w:rsid w:val="00664992"/>
    <w:rsid w:val="00664CBA"/>
    <w:rsid w:val="00664DEA"/>
    <w:rsid w:val="00664F1D"/>
    <w:rsid w:val="0066638C"/>
    <w:rsid w:val="0066695C"/>
    <w:rsid w:val="00666E08"/>
    <w:rsid w:val="00667368"/>
    <w:rsid w:val="00667D5E"/>
    <w:rsid w:val="00667DB2"/>
    <w:rsid w:val="00670A46"/>
    <w:rsid w:val="00670F1B"/>
    <w:rsid w:val="00672003"/>
    <w:rsid w:val="00675A5A"/>
    <w:rsid w:val="00675F15"/>
    <w:rsid w:val="006776B0"/>
    <w:rsid w:val="00677BE9"/>
    <w:rsid w:val="0068084C"/>
    <w:rsid w:val="00681011"/>
    <w:rsid w:val="00681122"/>
    <w:rsid w:val="0068149B"/>
    <w:rsid w:val="0068294D"/>
    <w:rsid w:val="00682DCB"/>
    <w:rsid w:val="00682F48"/>
    <w:rsid w:val="00684C2F"/>
    <w:rsid w:val="006854B7"/>
    <w:rsid w:val="006856FC"/>
    <w:rsid w:val="00685B4D"/>
    <w:rsid w:val="00685F4D"/>
    <w:rsid w:val="0069009D"/>
    <w:rsid w:val="00690217"/>
    <w:rsid w:val="006921C1"/>
    <w:rsid w:val="0069279D"/>
    <w:rsid w:val="006931AB"/>
    <w:rsid w:val="006935AD"/>
    <w:rsid w:val="006936B2"/>
    <w:rsid w:val="00694EE7"/>
    <w:rsid w:val="00695967"/>
    <w:rsid w:val="00695F7B"/>
    <w:rsid w:val="00696EBA"/>
    <w:rsid w:val="006977F5"/>
    <w:rsid w:val="00697CCE"/>
    <w:rsid w:val="006A05FA"/>
    <w:rsid w:val="006A06D8"/>
    <w:rsid w:val="006A0B7E"/>
    <w:rsid w:val="006A0FE8"/>
    <w:rsid w:val="006A1459"/>
    <w:rsid w:val="006A22D7"/>
    <w:rsid w:val="006A35C6"/>
    <w:rsid w:val="006A46EE"/>
    <w:rsid w:val="006A5307"/>
    <w:rsid w:val="006A60B4"/>
    <w:rsid w:val="006B1CC4"/>
    <w:rsid w:val="006B1EA3"/>
    <w:rsid w:val="006B21AD"/>
    <w:rsid w:val="006B22C8"/>
    <w:rsid w:val="006B24E2"/>
    <w:rsid w:val="006B3AEE"/>
    <w:rsid w:val="006B4043"/>
    <w:rsid w:val="006B4341"/>
    <w:rsid w:val="006B44A3"/>
    <w:rsid w:val="006B48F3"/>
    <w:rsid w:val="006B60E2"/>
    <w:rsid w:val="006B7028"/>
    <w:rsid w:val="006B760F"/>
    <w:rsid w:val="006C08F6"/>
    <w:rsid w:val="006C122D"/>
    <w:rsid w:val="006C3869"/>
    <w:rsid w:val="006C3D73"/>
    <w:rsid w:val="006C575D"/>
    <w:rsid w:val="006C6B7A"/>
    <w:rsid w:val="006D1275"/>
    <w:rsid w:val="006D1500"/>
    <w:rsid w:val="006D1F27"/>
    <w:rsid w:val="006D32B0"/>
    <w:rsid w:val="006D3C35"/>
    <w:rsid w:val="006D44F3"/>
    <w:rsid w:val="006D4B5A"/>
    <w:rsid w:val="006D5540"/>
    <w:rsid w:val="006D5A80"/>
    <w:rsid w:val="006D6C53"/>
    <w:rsid w:val="006D7A94"/>
    <w:rsid w:val="006E16CE"/>
    <w:rsid w:val="006E2961"/>
    <w:rsid w:val="006E36BC"/>
    <w:rsid w:val="006E38EE"/>
    <w:rsid w:val="006E3FA6"/>
    <w:rsid w:val="006E4EA0"/>
    <w:rsid w:val="006E5149"/>
    <w:rsid w:val="006E58E5"/>
    <w:rsid w:val="006E5A34"/>
    <w:rsid w:val="006E6A70"/>
    <w:rsid w:val="006E6A94"/>
    <w:rsid w:val="006E7E0C"/>
    <w:rsid w:val="006F0126"/>
    <w:rsid w:val="006F0E54"/>
    <w:rsid w:val="006F191B"/>
    <w:rsid w:val="006F23BB"/>
    <w:rsid w:val="006F2A2A"/>
    <w:rsid w:val="006F2C68"/>
    <w:rsid w:val="006F30F7"/>
    <w:rsid w:val="006F33B9"/>
    <w:rsid w:val="006F3AB1"/>
    <w:rsid w:val="006F4C48"/>
    <w:rsid w:val="006F642D"/>
    <w:rsid w:val="006F7124"/>
    <w:rsid w:val="00700FBA"/>
    <w:rsid w:val="0070170C"/>
    <w:rsid w:val="00701B0D"/>
    <w:rsid w:val="00702690"/>
    <w:rsid w:val="00703C1E"/>
    <w:rsid w:val="00704F38"/>
    <w:rsid w:val="007059C1"/>
    <w:rsid w:val="007061B6"/>
    <w:rsid w:val="00707EC4"/>
    <w:rsid w:val="00710854"/>
    <w:rsid w:val="0071108E"/>
    <w:rsid w:val="007121A1"/>
    <w:rsid w:val="007131C9"/>
    <w:rsid w:val="00713853"/>
    <w:rsid w:val="00714588"/>
    <w:rsid w:val="00714811"/>
    <w:rsid w:val="007161C1"/>
    <w:rsid w:val="0071706E"/>
    <w:rsid w:val="00721250"/>
    <w:rsid w:val="0072343D"/>
    <w:rsid w:val="00724325"/>
    <w:rsid w:val="00725758"/>
    <w:rsid w:val="007257A3"/>
    <w:rsid w:val="007265D6"/>
    <w:rsid w:val="007268A5"/>
    <w:rsid w:val="00727AE1"/>
    <w:rsid w:val="007302D7"/>
    <w:rsid w:val="00730B23"/>
    <w:rsid w:val="00730FBA"/>
    <w:rsid w:val="0073399C"/>
    <w:rsid w:val="00733F33"/>
    <w:rsid w:val="00736452"/>
    <w:rsid w:val="00736972"/>
    <w:rsid w:val="007371DA"/>
    <w:rsid w:val="007372D7"/>
    <w:rsid w:val="007376AF"/>
    <w:rsid w:val="007401F3"/>
    <w:rsid w:val="00740C30"/>
    <w:rsid w:val="00740D64"/>
    <w:rsid w:val="00741E17"/>
    <w:rsid w:val="00741EA5"/>
    <w:rsid w:val="007431A9"/>
    <w:rsid w:val="007446BA"/>
    <w:rsid w:val="0074576C"/>
    <w:rsid w:val="00745AE3"/>
    <w:rsid w:val="00745E84"/>
    <w:rsid w:val="00745FA3"/>
    <w:rsid w:val="007469EC"/>
    <w:rsid w:val="00746BF3"/>
    <w:rsid w:val="00747982"/>
    <w:rsid w:val="00747A15"/>
    <w:rsid w:val="00750CD9"/>
    <w:rsid w:val="007514CF"/>
    <w:rsid w:val="00751542"/>
    <w:rsid w:val="00752487"/>
    <w:rsid w:val="00752F1D"/>
    <w:rsid w:val="0075312B"/>
    <w:rsid w:val="007533BB"/>
    <w:rsid w:val="00753F58"/>
    <w:rsid w:val="00754879"/>
    <w:rsid w:val="0075508E"/>
    <w:rsid w:val="00755C58"/>
    <w:rsid w:val="00757360"/>
    <w:rsid w:val="007576D7"/>
    <w:rsid w:val="007578B0"/>
    <w:rsid w:val="00760C35"/>
    <w:rsid w:val="00760F3B"/>
    <w:rsid w:val="00763271"/>
    <w:rsid w:val="00764604"/>
    <w:rsid w:val="00765479"/>
    <w:rsid w:val="007659F9"/>
    <w:rsid w:val="0076668C"/>
    <w:rsid w:val="0076710C"/>
    <w:rsid w:val="00767205"/>
    <w:rsid w:val="0076727F"/>
    <w:rsid w:val="00770A1A"/>
    <w:rsid w:val="00771A7A"/>
    <w:rsid w:val="00773204"/>
    <w:rsid w:val="007737C4"/>
    <w:rsid w:val="00773C5E"/>
    <w:rsid w:val="007744D2"/>
    <w:rsid w:val="007745BA"/>
    <w:rsid w:val="007759DF"/>
    <w:rsid w:val="007762CB"/>
    <w:rsid w:val="007768FE"/>
    <w:rsid w:val="00776E30"/>
    <w:rsid w:val="007772CE"/>
    <w:rsid w:val="00777D94"/>
    <w:rsid w:val="007807E1"/>
    <w:rsid w:val="00781EDA"/>
    <w:rsid w:val="0078286F"/>
    <w:rsid w:val="00782A63"/>
    <w:rsid w:val="007840E6"/>
    <w:rsid w:val="00784F9C"/>
    <w:rsid w:val="00785211"/>
    <w:rsid w:val="00786395"/>
    <w:rsid w:val="007863E6"/>
    <w:rsid w:val="00787027"/>
    <w:rsid w:val="007871A6"/>
    <w:rsid w:val="00787381"/>
    <w:rsid w:val="00787547"/>
    <w:rsid w:val="00791809"/>
    <w:rsid w:val="00791A3F"/>
    <w:rsid w:val="00791ECE"/>
    <w:rsid w:val="00792FFD"/>
    <w:rsid w:val="0079398E"/>
    <w:rsid w:val="00793A22"/>
    <w:rsid w:val="00793BC9"/>
    <w:rsid w:val="007945DF"/>
    <w:rsid w:val="00794849"/>
    <w:rsid w:val="007A0012"/>
    <w:rsid w:val="007A0144"/>
    <w:rsid w:val="007A2AF7"/>
    <w:rsid w:val="007A4B80"/>
    <w:rsid w:val="007A5DD7"/>
    <w:rsid w:val="007A74E8"/>
    <w:rsid w:val="007B07CA"/>
    <w:rsid w:val="007B0DB0"/>
    <w:rsid w:val="007B1F1B"/>
    <w:rsid w:val="007B2294"/>
    <w:rsid w:val="007B44DF"/>
    <w:rsid w:val="007B5E94"/>
    <w:rsid w:val="007B61FB"/>
    <w:rsid w:val="007B709B"/>
    <w:rsid w:val="007B731B"/>
    <w:rsid w:val="007B747A"/>
    <w:rsid w:val="007C02EE"/>
    <w:rsid w:val="007C1F98"/>
    <w:rsid w:val="007C1FEF"/>
    <w:rsid w:val="007C30D1"/>
    <w:rsid w:val="007C32C2"/>
    <w:rsid w:val="007C3C3A"/>
    <w:rsid w:val="007C3DBC"/>
    <w:rsid w:val="007C4627"/>
    <w:rsid w:val="007C5399"/>
    <w:rsid w:val="007C6BB1"/>
    <w:rsid w:val="007C7D67"/>
    <w:rsid w:val="007D01D5"/>
    <w:rsid w:val="007D071C"/>
    <w:rsid w:val="007D0C7D"/>
    <w:rsid w:val="007D0DB1"/>
    <w:rsid w:val="007D171F"/>
    <w:rsid w:val="007D3258"/>
    <w:rsid w:val="007D34D7"/>
    <w:rsid w:val="007D4522"/>
    <w:rsid w:val="007D6125"/>
    <w:rsid w:val="007D7B07"/>
    <w:rsid w:val="007E04EF"/>
    <w:rsid w:val="007E1052"/>
    <w:rsid w:val="007E145A"/>
    <w:rsid w:val="007E32FC"/>
    <w:rsid w:val="007F01A9"/>
    <w:rsid w:val="007F03A4"/>
    <w:rsid w:val="007F14BD"/>
    <w:rsid w:val="007F31F1"/>
    <w:rsid w:val="007F40C6"/>
    <w:rsid w:val="007F425B"/>
    <w:rsid w:val="007F5EFA"/>
    <w:rsid w:val="007F6153"/>
    <w:rsid w:val="007F73E0"/>
    <w:rsid w:val="007F794A"/>
    <w:rsid w:val="008008DC"/>
    <w:rsid w:val="00801591"/>
    <w:rsid w:val="00801728"/>
    <w:rsid w:val="00801835"/>
    <w:rsid w:val="00801949"/>
    <w:rsid w:val="00802B4D"/>
    <w:rsid w:val="00803542"/>
    <w:rsid w:val="00804CEF"/>
    <w:rsid w:val="008054EC"/>
    <w:rsid w:val="00805E44"/>
    <w:rsid w:val="008066EA"/>
    <w:rsid w:val="0081088C"/>
    <w:rsid w:val="0081091A"/>
    <w:rsid w:val="00813C05"/>
    <w:rsid w:val="008143CF"/>
    <w:rsid w:val="00815222"/>
    <w:rsid w:val="00817AFA"/>
    <w:rsid w:val="00817E36"/>
    <w:rsid w:val="0082048F"/>
    <w:rsid w:val="008204B6"/>
    <w:rsid w:val="00821AA3"/>
    <w:rsid w:val="00822D03"/>
    <w:rsid w:val="00822D77"/>
    <w:rsid w:val="00823311"/>
    <w:rsid w:val="00826EF8"/>
    <w:rsid w:val="008305E4"/>
    <w:rsid w:val="0083091A"/>
    <w:rsid w:val="00830AC6"/>
    <w:rsid w:val="0083152C"/>
    <w:rsid w:val="00832F80"/>
    <w:rsid w:val="008334DA"/>
    <w:rsid w:val="00833DAE"/>
    <w:rsid w:val="00835250"/>
    <w:rsid w:val="00837B9A"/>
    <w:rsid w:val="00840257"/>
    <w:rsid w:val="008408EE"/>
    <w:rsid w:val="00840D78"/>
    <w:rsid w:val="00840F8B"/>
    <w:rsid w:val="0084129D"/>
    <w:rsid w:val="00841FDA"/>
    <w:rsid w:val="008424BC"/>
    <w:rsid w:val="00842E0F"/>
    <w:rsid w:val="00842E16"/>
    <w:rsid w:val="00843157"/>
    <w:rsid w:val="00843C9B"/>
    <w:rsid w:val="00844F06"/>
    <w:rsid w:val="00850D8D"/>
    <w:rsid w:val="00852FFB"/>
    <w:rsid w:val="00854665"/>
    <w:rsid w:val="008560E3"/>
    <w:rsid w:val="00857452"/>
    <w:rsid w:val="00862EAC"/>
    <w:rsid w:val="00864F56"/>
    <w:rsid w:val="00865608"/>
    <w:rsid w:val="00865D8F"/>
    <w:rsid w:val="00866251"/>
    <w:rsid w:val="00866505"/>
    <w:rsid w:val="00866A77"/>
    <w:rsid w:val="00867061"/>
    <w:rsid w:val="008674BE"/>
    <w:rsid w:val="008678AE"/>
    <w:rsid w:val="0086790A"/>
    <w:rsid w:val="008704A2"/>
    <w:rsid w:val="00871536"/>
    <w:rsid w:val="00871929"/>
    <w:rsid w:val="00871EAC"/>
    <w:rsid w:val="008720B2"/>
    <w:rsid w:val="008729B5"/>
    <w:rsid w:val="008729C0"/>
    <w:rsid w:val="00872F5F"/>
    <w:rsid w:val="00872FB5"/>
    <w:rsid w:val="00873826"/>
    <w:rsid w:val="00873D5C"/>
    <w:rsid w:val="0087448D"/>
    <w:rsid w:val="00874B82"/>
    <w:rsid w:val="008751EF"/>
    <w:rsid w:val="0087527F"/>
    <w:rsid w:val="00876111"/>
    <w:rsid w:val="0088076E"/>
    <w:rsid w:val="00881105"/>
    <w:rsid w:val="00881165"/>
    <w:rsid w:val="00881198"/>
    <w:rsid w:val="0088187D"/>
    <w:rsid w:val="00881BB5"/>
    <w:rsid w:val="0088216D"/>
    <w:rsid w:val="00883775"/>
    <w:rsid w:val="00884859"/>
    <w:rsid w:val="00884AFD"/>
    <w:rsid w:val="00886818"/>
    <w:rsid w:val="00887619"/>
    <w:rsid w:val="00887949"/>
    <w:rsid w:val="00887CAA"/>
    <w:rsid w:val="008917C6"/>
    <w:rsid w:val="0089193D"/>
    <w:rsid w:val="00892AA6"/>
    <w:rsid w:val="00893B0D"/>
    <w:rsid w:val="00893F15"/>
    <w:rsid w:val="00893F71"/>
    <w:rsid w:val="00894D67"/>
    <w:rsid w:val="00897132"/>
    <w:rsid w:val="008A0A90"/>
    <w:rsid w:val="008A13B6"/>
    <w:rsid w:val="008A28C9"/>
    <w:rsid w:val="008A2CC9"/>
    <w:rsid w:val="008A3BFE"/>
    <w:rsid w:val="008A49E6"/>
    <w:rsid w:val="008A5488"/>
    <w:rsid w:val="008A5D8F"/>
    <w:rsid w:val="008A610D"/>
    <w:rsid w:val="008A61B0"/>
    <w:rsid w:val="008A6387"/>
    <w:rsid w:val="008A6BDF"/>
    <w:rsid w:val="008A7434"/>
    <w:rsid w:val="008A761D"/>
    <w:rsid w:val="008B2659"/>
    <w:rsid w:val="008B291B"/>
    <w:rsid w:val="008B292C"/>
    <w:rsid w:val="008B357E"/>
    <w:rsid w:val="008B3E36"/>
    <w:rsid w:val="008B4E08"/>
    <w:rsid w:val="008B7308"/>
    <w:rsid w:val="008B7606"/>
    <w:rsid w:val="008C0028"/>
    <w:rsid w:val="008C14DE"/>
    <w:rsid w:val="008C15DC"/>
    <w:rsid w:val="008C1E16"/>
    <w:rsid w:val="008C2A3A"/>
    <w:rsid w:val="008C4547"/>
    <w:rsid w:val="008C499D"/>
    <w:rsid w:val="008C52B5"/>
    <w:rsid w:val="008C7918"/>
    <w:rsid w:val="008D0D11"/>
    <w:rsid w:val="008D21C7"/>
    <w:rsid w:val="008D27C7"/>
    <w:rsid w:val="008D2880"/>
    <w:rsid w:val="008D33C1"/>
    <w:rsid w:val="008D395C"/>
    <w:rsid w:val="008D3FCE"/>
    <w:rsid w:val="008D490C"/>
    <w:rsid w:val="008D4C56"/>
    <w:rsid w:val="008D4FC0"/>
    <w:rsid w:val="008D5B9A"/>
    <w:rsid w:val="008D655E"/>
    <w:rsid w:val="008D7466"/>
    <w:rsid w:val="008D7582"/>
    <w:rsid w:val="008E0842"/>
    <w:rsid w:val="008E0916"/>
    <w:rsid w:val="008E11B8"/>
    <w:rsid w:val="008E1343"/>
    <w:rsid w:val="008E2F58"/>
    <w:rsid w:val="008E34DB"/>
    <w:rsid w:val="008E3DB5"/>
    <w:rsid w:val="008E4711"/>
    <w:rsid w:val="008E53AA"/>
    <w:rsid w:val="008E635F"/>
    <w:rsid w:val="008F13E2"/>
    <w:rsid w:val="008F19D5"/>
    <w:rsid w:val="008F24CC"/>
    <w:rsid w:val="008F3D8F"/>
    <w:rsid w:val="008F4007"/>
    <w:rsid w:val="008F4D1F"/>
    <w:rsid w:val="008F5573"/>
    <w:rsid w:val="008F5BE6"/>
    <w:rsid w:val="008F5C4C"/>
    <w:rsid w:val="008F64A3"/>
    <w:rsid w:val="008F6CEA"/>
    <w:rsid w:val="008F7E0F"/>
    <w:rsid w:val="008F7F7D"/>
    <w:rsid w:val="00900AA4"/>
    <w:rsid w:val="009013EA"/>
    <w:rsid w:val="009014E6"/>
    <w:rsid w:val="00901627"/>
    <w:rsid w:val="00901B97"/>
    <w:rsid w:val="00902483"/>
    <w:rsid w:val="009034BC"/>
    <w:rsid w:val="009048B9"/>
    <w:rsid w:val="0090533D"/>
    <w:rsid w:val="00906565"/>
    <w:rsid w:val="00906E9A"/>
    <w:rsid w:val="00906FF8"/>
    <w:rsid w:val="009105B6"/>
    <w:rsid w:val="009121B2"/>
    <w:rsid w:val="00912651"/>
    <w:rsid w:val="00913209"/>
    <w:rsid w:val="009137BF"/>
    <w:rsid w:val="00914CD5"/>
    <w:rsid w:val="00915278"/>
    <w:rsid w:val="009158E3"/>
    <w:rsid w:val="00916F06"/>
    <w:rsid w:val="009205F9"/>
    <w:rsid w:val="00920A18"/>
    <w:rsid w:val="0092110F"/>
    <w:rsid w:val="00921825"/>
    <w:rsid w:val="00922A12"/>
    <w:rsid w:val="009235EC"/>
    <w:rsid w:val="00924E00"/>
    <w:rsid w:val="009252CD"/>
    <w:rsid w:val="00925A0D"/>
    <w:rsid w:val="00925C8E"/>
    <w:rsid w:val="00927134"/>
    <w:rsid w:val="00927566"/>
    <w:rsid w:val="00930137"/>
    <w:rsid w:val="009311E5"/>
    <w:rsid w:val="009315C6"/>
    <w:rsid w:val="00932239"/>
    <w:rsid w:val="00932453"/>
    <w:rsid w:val="00932777"/>
    <w:rsid w:val="00932B7C"/>
    <w:rsid w:val="009338DF"/>
    <w:rsid w:val="0093481B"/>
    <w:rsid w:val="009348D3"/>
    <w:rsid w:val="00935253"/>
    <w:rsid w:val="009356F4"/>
    <w:rsid w:val="00936F5E"/>
    <w:rsid w:val="00937142"/>
    <w:rsid w:val="009375C6"/>
    <w:rsid w:val="0094461F"/>
    <w:rsid w:val="00945EE1"/>
    <w:rsid w:val="00946368"/>
    <w:rsid w:val="00947218"/>
    <w:rsid w:val="00950580"/>
    <w:rsid w:val="00950AAC"/>
    <w:rsid w:val="00950FA2"/>
    <w:rsid w:val="009510DD"/>
    <w:rsid w:val="00953954"/>
    <w:rsid w:val="0095452B"/>
    <w:rsid w:val="00955453"/>
    <w:rsid w:val="00956106"/>
    <w:rsid w:val="00956DC5"/>
    <w:rsid w:val="0096002A"/>
    <w:rsid w:val="00960CE3"/>
    <w:rsid w:val="009617BF"/>
    <w:rsid w:val="00962A89"/>
    <w:rsid w:val="0096450C"/>
    <w:rsid w:val="00964E7B"/>
    <w:rsid w:val="009651CD"/>
    <w:rsid w:val="00965A41"/>
    <w:rsid w:val="00965F89"/>
    <w:rsid w:val="00967828"/>
    <w:rsid w:val="00970147"/>
    <w:rsid w:val="00970238"/>
    <w:rsid w:val="00970920"/>
    <w:rsid w:val="00970C5E"/>
    <w:rsid w:val="00970F6D"/>
    <w:rsid w:val="00972593"/>
    <w:rsid w:val="00972D42"/>
    <w:rsid w:val="00972DD6"/>
    <w:rsid w:val="009730F8"/>
    <w:rsid w:val="0097346E"/>
    <w:rsid w:val="009734D1"/>
    <w:rsid w:val="00973C73"/>
    <w:rsid w:val="00975DD9"/>
    <w:rsid w:val="009769FA"/>
    <w:rsid w:val="0098005E"/>
    <w:rsid w:val="0098033F"/>
    <w:rsid w:val="00980C76"/>
    <w:rsid w:val="009823A6"/>
    <w:rsid w:val="00982CF5"/>
    <w:rsid w:val="00982D41"/>
    <w:rsid w:val="00982F0E"/>
    <w:rsid w:val="009833D8"/>
    <w:rsid w:val="00983B0A"/>
    <w:rsid w:val="00984B19"/>
    <w:rsid w:val="00984B7A"/>
    <w:rsid w:val="0098544C"/>
    <w:rsid w:val="009857CD"/>
    <w:rsid w:val="00986004"/>
    <w:rsid w:val="00990C59"/>
    <w:rsid w:val="00991BB8"/>
    <w:rsid w:val="009934A9"/>
    <w:rsid w:val="00994FE0"/>
    <w:rsid w:val="0099584D"/>
    <w:rsid w:val="009962FA"/>
    <w:rsid w:val="009A4809"/>
    <w:rsid w:val="009A4C21"/>
    <w:rsid w:val="009A6301"/>
    <w:rsid w:val="009A6C45"/>
    <w:rsid w:val="009A6FEC"/>
    <w:rsid w:val="009A75C9"/>
    <w:rsid w:val="009B0B29"/>
    <w:rsid w:val="009B1A9B"/>
    <w:rsid w:val="009B1ED5"/>
    <w:rsid w:val="009B2264"/>
    <w:rsid w:val="009B2724"/>
    <w:rsid w:val="009B3D24"/>
    <w:rsid w:val="009B3DBF"/>
    <w:rsid w:val="009B5F6A"/>
    <w:rsid w:val="009B6020"/>
    <w:rsid w:val="009B60FE"/>
    <w:rsid w:val="009B6A7D"/>
    <w:rsid w:val="009B73FC"/>
    <w:rsid w:val="009C0DA9"/>
    <w:rsid w:val="009C1257"/>
    <w:rsid w:val="009C18DD"/>
    <w:rsid w:val="009C235E"/>
    <w:rsid w:val="009C49D4"/>
    <w:rsid w:val="009C53A5"/>
    <w:rsid w:val="009C583D"/>
    <w:rsid w:val="009C585B"/>
    <w:rsid w:val="009C71BA"/>
    <w:rsid w:val="009C7A12"/>
    <w:rsid w:val="009D00C6"/>
    <w:rsid w:val="009D1266"/>
    <w:rsid w:val="009D1BB9"/>
    <w:rsid w:val="009D222F"/>
    <w:rsid w:val="009D23D0"/>
    <w:rsid w:val="009D3361"/>
    <w:rsid w:val="009D565F"/>
    <w:rsid w:val="009D58E6"/>
    <w:rsid w:val="009D5E30"/>
    <w:rsid w:val="009D6BB1"/>
    <w:rsid w:val="009D754A"/>
    <w:rsid w:val="009D7938"/>
    <w:rsid w:val="009D7C3A"/>
    <w:rsid w:val="009D7DE2"/>
    <w:rsid w:val="009E1542"/>
    <w:rsid w:val="009E1CBD"/>
    <w:rsid w:val="009E2419"/>
    <w:rsid w:val="009E2DC2"/>
    <w:rsid w:val="009E3374"/>
    <w:rsid w:val="009E456F"/>
    <w:rsid w:val="009E49C0"/>
    <w:rsid w:val="009E66A3"/>
    <w:rsid w:val="009E7204"/>
    <w:rsid w:val="009E7853"/>
    <w:rsid w:val="009F2DF9"/>
    <w:rsid w:val="009F2E6A"/>
    <w:rsid w:val="009F34AD"/>
    <w:rsid w:val="009F52BD"/>
    <w:rsid w:val="009F6D0E"/>
    <w:rsid w:val="009F71FC"/>
    <w:rsid w:val="009F76E9"/>
    <w:rsid w:val="00A0074D"/>
    <w:rsid w:val="00A00908"/>
    <w:rsid w:val="00A00D29"/>
    <w:rsid w:val="00A010A2"/>
    <w:rsid w:val="00A01791"/>
    <w:rsid w:val="00A02965"/>
    <w:rsid w:val="00A02C3A"/>
    <w:rsid w:val="00A03673"/>
    <w:rsid w:val="00A0367C"/>
    <w:rsid w:val="00A04ADB"/>
    <w:rsid w:val="00A04E33"/>
    <w:rsid w:val="00A0738C"/>
    <w:rsid w:val="00A107EF"/>
    <w:rsid w:val="00A11AEF"/>
    <w:rsid w:val="00A124BE"/>
    <w:rsid w:val="00A13239"/>
    <w:rsid w:val="00A13A27"/>
    <w:rsid w:val="00A1406C"/>
    <w:rsid w:val="00A14177"/>
    <w:rsid w:val="00A15249"/>
    <w:rsid w:val="00A1651A"/>
    <w:rsid w:val="00A17048"/>
    <w:rsid w:val="00A172DE"/>
    <w:rsid w:val="00A17E58"/>
    <w:rsid w:val="00A2255B"/>
    <w:rsid w:val="00A22B39"/>
    <w:rsid w:val="00A23261"/>
    <w:rsid w:val="00A273F8"/>
    <w:rsid w:val="00A31A06"/>
    <w:rsid w:val="00A327A2"/>
    <w:rsid w:val="00A3302F"/>
    <w:rsid w:val="00A37140"/>
    <w:rsid w:val="00A37D8D"/>
    <w:rsid w:val="00A40291"/>
    <w:rsid w:val="00A40F37"/>
    <w:rsid w:val="00A428A6"/>
    <w:rsid w:val="00A43426"/>
    <w:rsid w:val="00A44320"/>
    <w:rsid w:val="00A44CA1"/>
    <w:rsid w:val="00A465C0"/>
    <w:rsid w:val="00A46E7B"/>
    <w:rsid w:val="00A4726B"/>
    <w:rsid w:val="00A47961"/>
    <w:rsid w:val="00A503A6"/>
    <w:rsid w:val="00A512C4"/>
    <w:rsid w:val="00A5207F"/>
    <w:rsid w:val="00A53CF1"/>
    <w:rsid w:val="00A54E2E"/>
    <w:rsid w:val="00A54FD2"/>
    <w:rsid w:val="00A55702"/>
    <w:rsid w:val="00A572F3"/>
    <w:rsid w:val="00A57C10"/>
    <w:rsid w:val="00A57E36"/>
    <w:rsid w:val="00A57E8E"/>
    <w:rsid w:val="00A57FE2"/>
    <w:rsid w:val="00A60138"/>
    <w:rsid w:val="00A60196"/>
    <w:rsid w:val="00A61898"/>
    <w:rsid w:val="00A62441"/>
    <w:rsid w:val="00A62B6C"/>
    <w:rsid w:val="00A636CC"/>
    <w:rsid w:val="00A63A16"/>
    <w:rsid w:val="00A649C6"/>
    <w:rsid w:val="00A654BB"/>
    <w:rsid w:val="00A65B0A"/>
    <w:rsid w:val="00A724EC"/>
    <w:rsid w:val="00A735C7"/>
    <w:rsid w:val="00A74066"/>
    <w:rsid w:val="00A75A82"/>
    <w:rsid w:val="00A76820"/>
    <w:rsid w:val="00A77146"/>
    <w:rsid w:val="00A77593"/>
    <w:rsid w:val="00A82036"/>
    <w:rsid w:val="00A82619"/>
    <w:rsid w:val="00A82BF3"/>
    <w:rsid w:val="00A84138"/>
    <w:rsid w:val="00A85EB5"/>
    <w:rsid w:val="00A8646B"/>
    <w:rsid w:val="00A87794"/>
    <w:rsid w:val="00A90618"/>
    <w:rsid w:val="00A906F0"/>
    <w:rsid w:val="00A92010"/>
    <w:rsid w:val="00A9221B"/>
    <w:rsid w:val="00A937FE"/>
    <w:rsid w:val="00A948E4"/>
    <w:rsid w:val="00A94E0F"/>
    <w:rsid w:val="00A94E21"/>
    <w:rsid w:val="00A95FA4"/>
    <w:rsid w:val="00A962A8"/>
    <w:rsid w:val="00AA0748"/>
    <w:rsid w:val="00AA0D1B"/>
    <w:rsid w:val="00AA24C6"/>
    <w:rsid w:val="00AA2DA2"/>
    <w:rsid w:val="00AA557D"/>
    <w:rsid w:val="00AA574B"/>
    <w:rsid w:val="00AA7D73"/>
    <w:rsid w:val="00AA7D7E"/>
    <w:rsid w:val="00AB0F0F"/>
    <w:rsid w:val="00AB15FC"/>
    <w:rsid w:val="00AB1CF6"/>
    <w:rsid w:val="00AB3533"/>
    <w:rsid w:val="00AB4592"/>
    <w:rsid w:val="00AB46C0"/>
    <w:rsid w:val="00AB5E9D"/>
    <w:rsid w:val="00AB616B"/>
    <w:rsid w:val="00AB67C4"/>
    <w:rsid w:val="00AB712D"/>
    <w:rsid w:val="00AC023B"/>
    <w:rsid w:val="00AC05ED"/>
    <w:rsid w:val="00AC17B2"/>
    <w:rsid w:val="00AC206A"/>
    <w:rsid w:val="00AC216D"/>
    <w:rsid w:val="00AC3FC3"/>
    <w:rsid w:val="00AC4BCD"/>
    <w:rsid w:val="00AC5579"/>
    <w:rsid w:val="00AC5730"/>
    <w:rsid w:val="00AC5CF6"/>
    <w:rsid w:val="00AC6192"/>
    <w:rsid w:val="00AC6676"/>
    <w:rsid w:val="00AC6DEA"/>
    <w:rsid w:val="00AC6E57"/>
    <w:rsid w:val="00AC738C"/>
    <w:rsid w:val="00AC7820"/>
    <w:rsid w:val="00AD0D20"/>
    <w:rsid w:val="00AD11AD"/>
    <w:rsid w:val="00AD212B"/>
    <w:rsid w:val="00AD3172"/>
    <w:rsid w:val="00AD33F1"/>
    <w:rsid w:val="00AD4B98"/>
    <w:rsid w:val="00AD4BAE"/>
    <w:rsid w:val="00AD5ADC"/>
    <w:rsid w:val="00AD5DF1"/>
    <w:rsid w:val="00AD67AB"/>
    <w:rsid w:val="00AD705C"/>
    <w:rsid w:val="00AD76BA"/>
    <w:rsid w:val="00AE0414"/>
    <w:rsid w:val="00AE3608"/>
    <w:rsid w:val="00AE38E4"/>
    <w:rsid w:val="00AE5580"/>
    <w:rsid w:val="00AE5682"/>
    <w:rsid w:val="00AF12CB"/>
    <w:rsid w:val="00AF165B"/>
    <w:rsid w:val="00AF1F82"/>
    <w:rsid w:val="00AF2325"/>
    <w:rsid w:val="00AF2F67"/>
    <w:rsid w:val="00AF314A"/>
    <w:rsid w:val="00AF3188"/>
    <w:rsid w:val="00AF32B4"/>
    <w:rsid w:val="00AF3D53"/>
    <w:rsid w:val="00AF45DF"/>
    <w:rsid w:val="00AF46B4"/>
    <w:rsid w:val="00AF541D"/>
    <w:rsid w:val="00AF55A4"/>
    <w:rsid w:val="00AF6329"/>
    <w:rsid w:val="00B02858"/>
    <w:rsid w:val="00B033A6"/>
    <w:rsid w:val="00B034D6"/>
    <w:rsid w:val="00B04869"/>
    <w:rsid w:val="00B05C08"/>
    <w:rsid w:val="00B05EAF"/>
    <w:rsid w:val="00B06242"/>
    <w:rsid w:val="00B06E99"/>
    <w:rsid w:val="00B07625"/>
    <w:rsid w:val="00B07B1C"/>
    <w:rsid w:val="00B10E5E"/>
    <w:rsid w:val="00B117CA"/>
    <w:rsid w:val="00B11A39"/>
    <w:rsid w:val="00B12668"/>
    <w:rsid w:val="00B13B7B"/>
    <w:rsid w:val="00B1414C"/>
    <w:rsid w:val="00B17BA2"/>
    <w:rsid w:val="00B17BD0"/>
    <w:rsid w:val="00B17FB8"/>
    <w:rsid w:val="00B20868"/>
    <w:rsid w:val="00B20DE8"/>
    <w:rsid w:val="00B23ECC"/>
    <w:rsid w:val="00B2411D"/>
    <w:rsid w:val="00B2423D"/>
    <w:rsid w:val="00B242C2"/>
    <w:rsid w:val="00B257AF"/>
    <w:rsid w:val="00B26928"/>
    <w:rsid w:val="00B26989"/>
    <w:rsid w:val="00B27778"/>
    <w:rsid w:val="00B30427"/>
    <w:rsid w:val="00B32321"/>
    <w:rsid w:val="00B32C7F"/>
    <w:rsid w:val="00B33876"/>
    <w:rsid w:val="00B34BC5"/>
    <w:rsid w:val="00B34BD6"/>
    <w:rsid w:val="00B34EB2"/>
    <w:rsid w:val="00B378B7"/>
    <w:rsid w:val="00B37C11"/>
    <w:rsid w:val="00B40C3A"/>
    <w:rsid w:val="00B41353"/>
    <w:rsid w:val="00B413AE"/>
    <w:rsid w:val="00B418FE"/>
    <w:rsid w:val="00B42188"/>
    <w:rsid w:val="00B4221C"/>
    <w:rsid w:val="00B432F7"/>
    <w:rsid w:val="00B45E2A"/>
    <w:rsid w:val="00B460C1"/>
    <w:rsid w:val="00B47457"/>
    <w:rsid w:val="00B47B86"/>
    <w:rsid w:val="00B5072C"/>
    <w:rsid w:val="00B52B7E"/>
    <w:rsid w:val="00B53DB8"/>
    <w:rsid w:val="00B54403"/>
    <w:rsid w:val="00B550A2"/>
    <w:rsid w:val="00B569D4"/>
    <w:rsid w:val="00B605BE"/>
    <w:rsid w:val="00B60666"/>
    <w:rsid w:val="00B60D26"/>
    <w:rsid w:val="00B61223"/>
    <w:rsid w:val="00B616C1"/>
    <w:rsid w:val="00B624DA"/>
    <w:rsid w:val="00B62F31"/>
    <w:rsid w:val="00B63434"/>
    <w:rsid w:val="00B643C8"/>
    <w:rsid w:val="00B65305"/>
    <w:rsid w:val="00B6544B"/>
    <w:rsid w:val="00B6578D"/>
    <w:rsid w:val="00B67D93"/>
    <w:rsid w:val="00B67ED0"/>
    <w:rsid w:val="00B70E51"/>
    <w:rsid w:val="00B71B0C"/>
    <w:rsid w:val="00B71F62"/>
    <w:rsid w:val="00B71FA1"/>
    <w:rsid w:val="00B720DD"/>
    <w:rsid w:val="00B72AE5"/>
    <w:rsid w:val="00B73646"/>
    <w:rsid w:val="00B7437F"/>
    <w:rsid w:val="00B74464"/>
    <w:rsid w:val="00B76D1F"/>
    <w:rsid w:val="00B77345"/>
    <w:rsid w:val="00B777C6"/>
    <w:rsid w:val="00B802EC"/>
    <w:rsid w:val="00B80C15"/>
    <w:rsid w:val="00B8101B"/>
    <w:rsid w:val="00B8212D"/>
    <w:rsid w:val="00B8243D"/>
    <w:rsid w:val="00B82B78"/>
    <w:rsid w:val="00B82CEA"/>
    <w:rsid w:val="00B83AA1"/>
    <w:rsid w:val="00B83E16"/>
    <w:rsid w:val="00B8407F"/>
    <w:rsid w:val="00B8476C"/>
    <w:rsid w:val="00B8799E"/>
    <w:rsid w:val="00B87B06"/>
    <w:rsid w:val="00B912B5"/>
    <w:rsid w:val="00B92341"/>
    <w:rsid w:val="00B924F5"/>
    <w:rsid w:val="00B939BD"/>
    <w:rsid w:val="00B94355"/>
    <w:rsid w:val="00B94605"/>
    <w:rsid w:val="00B94BE6"/>
    <w:rsid w:val="00B94FF4"/>
    <w:rsid w:val="00B9599B"/>
    <w:rsid w:val="00B95E55"/>
    <w:rsid w:val="00B95F2F"/>
    <w:rsid w:val="00B962CA"/>
    <w:rsid w:val="00B96D65"/>
    <w:rsid w:val="00B97023"/>
    <w:rsid w:val="00B9790C"/>
    <w:rsid w:val="00BA02CA"/>
    <w:rsid w:val="00BA1BBD"/>
    <w:rsid w:val="00BA2732"/>
    <w:rsid w:val="00BA34FB"/>
    <w:rsid w:val="00BA3FAC"/>
    <w:rsid w:val="00BA4127"/>
    <w:rsid w:val="00BA4829"/>
    <w:rsid w:val="00BA5FD5"/>
    <w:rsid w:val="00BA6208"/>
    <w:rsid w:val="00BA65D9"/>
    <w:rsid w:val="00BA6DAC"/>
    <w:rsid w:val="00BA7FEE"/>
    <w:rsid w:val="00BB1013"/>
    <w:rsid w:val="00BB1B25"/>
    <w:rsid w:val="00BB47FF"/>
    <w:rsid w:val="00BB48BC"/>
    <w:rsid w:val="00BB6D6D"/>
    <w:rsid w:val="00BB7D39"/>
    <w:rsid w:val="00BC0A98"/>
    <w:rsid w:val="00BC1680"/>
    <w:rsid w:val="00BC1C9C"/>
    <w:rsid w:val="00BC241C"/>
    <w:rsid w:val="00BC31C8"/>
    <w:rsid w:val="00BC3267"/>
    <w:rsid w:val="00BC3B69"/>
    <w:rsid w:val="00BC3C63"/>
    <w:rsid w:val="00BC52BB"/>
    <w:rsid w:val="00BC5773"/>
    <w:rsid w:val="00BC5F24"/>
    <w:rsid w:val="00BC6126"/>
    <w:rsid w:val="00BC725E"/>
    <w:rsid w:val="00BC7D51"/>
    <w:rsid w:val="00BC7E50"/>
    <w:rsid w:val="00BD0154"/>
    <w:rsid w:val="00BD09A9"/>
    <w:rsid w:val="00BD1647"/>
    <w:rsid w:val="00BD1C91"/>
    <w:rsid w:val="00BD241C"/>
    <w:rsid w:val="00BD2938"/>
    <w:rsid w:val="00BD3E2C"/>
    <w:rsid w:val="00BD3F07"/>
    <w:rsid w:val="00BD6391"/>
    <w:rsid w:val="00BD6FCD"/>
    <w:rsid w:val="00BE00AC"/>
    <w:rsid w:val="00BE0A81"/>
    <w:rsid w:val="00BE11F6"/>
    <w:rsid w:val="00BE1F4F"/>
    <w:rsid w:val="00BE247E"/>
    <w:rsid w:val="00BE2BF3"/>
    <w:rsid w:val="00BE4F83"/>
    <w:rsid w:val="00BE50A3"/>
    <w:rsid w:val="00BF2105"/>
    <w:rsid w:val="00BF21D3"/>
    <w:rsid w:val="00BF2F48"/>
    <w:rsid w:val="00BF3386"/>
    <w:rsid w:val="00BF6E86"/>
    <w:rsid w:val="00BF77B9"/>
    <w:rsid w:val="00C013FB"/>
    <w:rsid w:val="00C02DE5"/>
    <w:rsid w:val="00C042A4"/>
    <w:rsid w:val="00C05A8B"/>
    <w:rsid w:val="00C0628B"/>
    <w:rsid w:val="00C06DB3"/>
    <w:rsid w:val="00C07030"/>
    <w:rsid w:val="00C071A0"/>
    <w:rsid w:val="00C0786F"/>
    <w:rsid w:val="00C110E2"/>
    <w:rsid w:val="00C113CC"/>
    <w:rsid w:val="00C122AC"/>
    <w:rsid w:val="00C12C35"/>
    <w:rsid w:val="00C142C3"/>
    <w:rsid w:val="00C14C96"/>
    <w:rsid w:val="00C15153"/>
    <w:rsid w:val="00C16B3B"/>
    <w:rsid w:val="00C1735D"/>
    <w:rsid w:val="00C204E0"/>
    <w:rsid w:val="00C207DD"/>
    <w:rsid w:val="00C20915"/>
    <w:rsid w:val="00C20CC4"/>
    <w:rsid w:val="00C20D08"/>
    <w:rsid w:val="00C210C0"/>
    <w:rsid w:val="00C2122E"/>
    <w:rsid w:val="00C2130A"/>
    <w:rsid w:val="00C21CFB"/>
    <w:rsid w:val="00C22332"/>
    <w:rsid w:val="00C24D9A"/>
    <w:rsid w:val="00C251BD"/>
    <w:rsid w:val="00C252DE"/>
    <w:rsid w:val="00C2576A"/>
    <w:rsid w:val="00C27187"/>
    <w:rsid w:val="00C27B67"/>
    <w:rsid w:val="00C303AB"/>
    <w:rsid w:val="00C31183"/>
    <w:rsid w:val="00C32A18"/>
    <w:rsid w:val="00C34BAC"/>
    <w:rsid w:val="00C36BE1"/>
    <w:rsid w:val="00C36E3D"/>
    <w:rsid w:val="00C40042"/>
    <w:rsid w:val="00C41671"/>
    <w:rsid w:val="00C42470"/>
    <w:rsid w:val="00C42C11"/>
    <w:rsid w:val="00C432BB"/>
    <w:rsid w:val="00C43600"/>
    <w:rsid w:val="00C44CBA"/>
    <w:rsid w:val="00C4567A"/>
    <w:rsid w:val="00C46223"/>
    <w:rsid w:val="00C47CB1"/>
    <w:rsid w:val="00C50825"/>
    <w:rsid w:val="00C53067"/>
    <w:rsid w:val="00C54106"/>
    <w:rsid w:val="00C54D71"/>
    <w:rsid w:val="00C551DE"/>
    <w:rsid w:val="00C55BED"/>
    <w:rsid w:val="00C570EC"/>
    <w:rsid w:val="00C573B9"/>
    <w:rsid w:val="00C57518"/>
    <w:rsid w:val="00C57968"/>
    <w:rsid w:val="00C60EA9"/>
    <w:rsid w:val="00C61118"/>
    <w:rsid w:val="00C62274"/>
    <w:rsid w:val="00C624E4"/>
    <w:rsid w:val="00C63989"/>
    <w:rsid w:val="00C63AE6"/>
    <w:rsid w:val="00C641BF"/>
    <w:rsid w:val="00C6577E"/>
    <w:rsid w:val="00C65878"/>
    <w:rsid w:val="00C66D62"/>
    <w:rsid w:val="00C67205"/>
    <w:rsid w:val="00C71859"/>
    <w:rsid w:val="00C71A44"/>
    <w:rsid w:val="00C71ADB"/>
    <w:rsid w:val="00C72287"/>
    <w:rsid w:val="00C72A49"/>
    <w:rsid w:val="00C74B08"/>
    <w:rsid w:val="00C758DD"/>
    <w:rsid w:val="00C774FB"/>
    <w:rsid w:val="00C77D1E"/>
    <w:rsid w:val="00C77FA1"/>
    <w:rsid w:val="00C80979"/>
    <w:rsid w:val="00C809E2"/>
    <w:rsid w:val="00C81F10"/>
    <w:rsid w:val="00C83BBD"/>
    <w:rsid w:val="00C84E87"/>
    <w:rsid w:val="00C862A0"/>
    <w:rsid w:val="00C90221"/>
    <w:rsid w:val="00C904CA"/>
    <w:rsid w:val="00C90E08"/>
    <w:rsid w:val="00C933B2"/>
    <w:rsid w:val="00C938A9"/>
    <w:rsid w:val="00C94490"/>
    <w:rsid w:val="00C94FBA"/>
    <w:rsid w:val="00C95759"/>
    <w:rsid w:val="00C95F0A"/>
    <w:rsid w:val="00C95F93"/>
    <w:rsid w:val="00C96275"/>
    <w:rsid w:val="00C96888"/>
    <w:rsid w:val="00C96E97"/>
    <w:rsid w:val="00C97527"/>
    <w:rsid w:val="00C97C73"/>
    <w:rsid w:val="00CA0274"/>
    <w:rsid w:val="00CA0693"/>
    <w:rsid w:val="00CA0D45"/>
    <w:rsid w:val="00CA2293"/>
    <w:rsid w:val="00CA407E"/>
    <w:rsid w:val="00CA4AB9"/>
    <w:rsid w:val="00CA4B2E"/>
    <w:rsid w:val="00CA572E"/>
    <w:rsid w:val="00CA5FCE"/>
    <w:rsid w:val="00CA6660"/>
    <w:rsid w:val="00CA7F4E"/>
    <w:rsid w:val="00CB0983"/>
    <w:rsid w:val="00CB177C"/>
    <w:rsid w:val="00CB2374"/>
    <w:rsid w:val="00CB249E"/>
    <w:rsid w:val="00CB3549"/>
    <w:rsid w:val="00CB5057"/>
    <w:rsid w:val="00CB55D0"/>
    <w:rsid w:val="00CB5A3D"/>
    <w:rsid w:val="00CB5E28"/>
    <w:rsid w:val="00CB63A0"/>
    <w:rsid w:val="00CB6D21"/>
    <w:rsid w:val="00CB70FA"/>
    <w:rsid w:val="00CB74D5"/>
    <w:rsid w:val="00CB78F5"/>
    <w:rsid w:val="00CC025C"/>
    <w:rsid w:val="00CC071A"/>
    <w:rsid w:val="00CC17A3"/>
    <w:rsid w:val="00CC1B25"/>
    <w:rsid w:val="00CC22A9"/>
    <w:rsid w:val="00CC2605"/>
    <w:rsid w:val="00CC2943"/>
    <w:rsid w:val="00CC2965"/>
    <w:rsid w:val="00CC2AD3"/>
    <w:rsid w:val="00CC3D42"/>
    <w:rsid w:val="00CC4726"/>
    <w:rsid w:val="00CC590D"/>
    <w:rsid w:val="00CC61A9"/>
    <w:rsid w:val="00CC61D1"/>
    <w:rsid w:val="00CC642A"/>
    <w:rsid w:val="00CC699D"/>
    <w:rsid w:val="00CC6D94"/>
    <w:rsid w:val="00CC73EF"/>
    <w:rsid w:val="00CD0456"/>
    <w:rsid w:val="00CD0461"/>
    <w:rsid w:val="00CD171D"/>
    <w:rsid w:val="00CD1A06"/>
    <w:rsid w:val="00CD281C"/>
    <w:rsid w:val="00CD2FC1"/>
    <w:rsid w:val="00CD3D72"/>
    <w:rsid w:val="00CD458C"/>
    <w:rsid w:val="00CD4B4A"/>
    <w:rsid w:val="00CD4D77"/>
    <w:rsid w:val="00CD5193"/>
    <w:rsid w:val="00CD547E"/>
    <w:rsid w:val="00CD6C0B"/>
    <w:rsid w:val="00CE1009"/>
    <w:rsid w:val="00CE1CC0"/>
    <w:rsid w:val="00CE1F41"/>
    <w:rsid w:val="00CE236C"/>
    <w:rsid w:val="00CE237B"/>
    <w:rsid w:val="00CE4453"/>
    <w:rsid w:val="00CE4CFD"/>
    <w:rsid w:val="00CE58AE"/>
    <w:rsid w:val="00CE6E90"/>
    <w:rsid w:val="00CE7982"/>
    <w:rsid w:val="00CF5C3A"/>
    <w:rsid w:val="00CF7E9E"/>
    <w:rsid w:val="00D01291"/>
    <w:rsid w:val="00D01807"/>
    <w:rsid w:val="00D02301"/>
    <w:rsid w:val="00D024CB"/>
    <w:rsid w:val="00D03EB9"/>
    <w:rsid w:val="00D04007"/>
    <w:rsid w:val="00D04238"/>
    <w:rsid w:val="00D043F3"/>
    <w:rsid w:val="00D04881"/>
    <w:rsid w:val="00D05D35"/>
    <w:rsid w:val="00D07522"/>
    <w:rsid w:val="00D10274"/>
    <w:rsid w:val="00D10FF6"/>
    <w:rsid w:val="00D11395"/>
    <w:rsid w:val="00D11B27"/>
    <w:rsid w:val="00D12FDA"/>
    <w:rsid w:val="00D138A2"/>
    <w:rsid w:val="00D15F8C"/>
    <w:rsid w:val="00D16B85"/>
    <w:rsid w:val="00D201A6"/>
    <w:rsid w:val="00D21284"/>
    <w:rsid w:val="00D244D3"/>
    <w:rsid w:val="00D25595"/>
    <w:rsid w:val="00D30CDC"/>
    <w:rsid w:val="00D317C9"/>
    <w:rsid w:val="00D33628"/>
    <w:rsid w:val="00D33FD3"/>
    <w:rsid w:val="00D34124"/>
    <w:rsid w:val="00D35A08"/>
    <w:rsid w:val="00D37379"/>
    <w:rsid w:val="00D37E76"/>
    <w:rsid w:val="00D40FB2"/>
    <w:rsid w:val="00D42DF9"/>
    <w:rsid w:val="00D4509C"/>
    <w:rsid w:val="00D45464"/>
    <w:rsid w:val="00D45F8E"/>
    <w:rsid w:val="00D46A6C"/>
    <w:rsid w:val="00D46C57"/>
    <w:rsid w:val="00D47576"/>
    <w:rsid w:val="00D47C11"/>
    <w:rsid w:val="00D526AE"/>
    <w:rsid w:val="00D53161"/>
    <w:rsid w:val="00D538A9"/>
    <w:rsid w:val="00D53B03"/>
    <w:rsid w:val="00D53FE7"/>
    <w:rsid w:val="00D550A9"/>
    <w:rsid w:val="00D55445"/>
    <w:rsid w:val="00D5611C"/>
    <w:rsid w:val="00D6002A"/>
    <w:rsid w:val="00D60876"/>
    <w:rsid w:val="00D610D5"/>
    <w:rsid w:val="00D61366"/>
    <w:rsid w:val="00D613EF"/>
    <w:rsid w:val="00D635F7"/>
    <w:rsid w:val="00D63DEC"/>
    <w:rsid w:val="00D646BB"/>
    <w:rsid w:val="00D647C2"/>
    <w:rsid w:val="00D671A9"/>
    <w:rsid w:val="00D67B68"/>
    <w:rsid w:val="00D67F83"/>
    <w:rsid w:val="00D70131"/>
    <w:rsid w:val="00D723B9"/>
    <w:rsid w:val="00D72692"/>
    <w:rsid w:val="00D735E5"/>
    <w:rsid w:val="00D7492A"/>
    <w:rsid w:val="00D757DB"/>
    <w:rsid w:val="00D7743F"/>
    <w:rsid w:val="00D77F02"/>
    <w:rsid w:val="00D80ED4"/>
    <w:rsid w:val="00D810B7"/>
    <w:rsid w:val="00D81364"/>
    <w:rsid w:val="00D82BAA"/>
    <w:rsid w:val="00D83662"/>
    <w:rsid w:val="00D85B13"/>
    <w:rsid w:val="00D86744"/>
    <w:rsid w:val="00D86BAB"/>
    <w:rsid w:val="00D87383"/>
    <w:rsid w:val="00D90472"/>
    <w:rsid w:val="00D904FA"/>
    <w:rsid w:val="00D90ED6"/>
    <w:rsid w:val="00D916BA"/>
    <w:rsid w:val="00D91A90"/>
    <w:rsid w:val="00D952A3"/>
    <w:rsid w:val="00D9566F"/>
    <w:rsid w:val="00D9581F"/>
    <w:rsid w:val="00D97BE7"/>
    <w:rsid w:val="00DA190E"/>
    <w:rsid w:val="00DA32EF"/>
    <w:rsid w:val="00DA42A6"/>
    <w:rsid w:val="00DA4EEA"/>
    <w:rsid w:val="00DA78E5"/>
    <w:rsid w:val="00DA7CA4"/>
    <w:rsid w:val="00DB0310"/>
    <w:rsid w:val="00DB234F"/>
    <w:rsid w:val="00DB2363"/>
    <w:rsid w:val="00DB2E2F"/>
    <w:rsid w:val="00DB31C6"/>
    <w:rsid w:val="00DB3C51"/>
    <w:rsid w:val="00DB3D1B"/>
    <w:rsid w:val="00DB4AE6"/>
    <w:rsid w:val="00DB4FD5"/>
    <w:rsid w:val="00DB5CD1"/>
    <w:rsid w:val="00DB6EF9"/>
    <w:rsid w:val="00DB7776"/>
    <w:rsid w:val="00DC12EC"/>
    <w:rsid w:val="00DC356E"/>
    <w:rsid w:val="00DC3C6D"/>
    <w:rsid w:val="00DC3DD8"/>
    <w:rsid w:val="00DC535E"/>
    <w:rsid w:val="00DC69BF"/>
    <w:rsid w:val="00DD0067"/>
    <w:rsid w:val="00DD017F"/>
    <w:rsid w:val="00DD039F"/>
    <w:rsid w:val="00DD1288"/>
    <w:rsid w:val="00DD1506"/>
    <w:rsid w:val="00DD25C0"/>
    <w:rsid w:val="00DD5333"/>
    <w:rsid w:val="00DD69C4"/>
    <w:rsid w:val="00DD6CC8"/>
    <w:rsid w:val="00DD6CCC"/>
    <w:rsid w:val="00DE02CF"/>
    <w:rsid w:val="00DE177E"/>
    <w:rsid w:val="00DE20E3"/>
    <w:rsid w:val="00DE377A"/>
    <w:rsid w:val="00DE38B6"/>
    <w:rsid w:val="00DE4CAC"/>
    <w:rsid w:val="00DE5362"/>
    <w:rsid w:val="00DE5685"/>
    <w:rsid w:val="00DF1905"/>
    <w:rsid w:val="00DF1FAF"/>
    <w:rsid w:val="00DF2DA7"/>
    <w:rsid w:val="00DF3EB3"/>
    <w:rsid w:val="00DF7461"/>
    <w:rsid w:val="00DF783E"/>
    <w:rsid w:val="00E01F62"/>
    <w:rsid w:val="00E02182"/>
    <w:rsid w:val="00E021A9"/>
    <w:rsid w:val="00E024BC"/>
    <w:rsid w:val="00E02599"/>
    <w:rsid w:val="00E0290E"/>
    <w:rsid w:val="00E02DD5"/>
    <w:rsid w:val="00E03632"/>
    <w:rsid w:val="00E03727"/>
    <w:rsid w:val="00E03884"/>
    <w:rsid w:val="00E04D94"/>
    <w:rsid w:val="00E04E39"/>
    <w:rsid w:val="00E05E4F"/>
    <w:rsid w:val="00E06865"/>
    <w:rsid w:val="00E079F4"/>
    <w:rsid w:val="00E100EA"/>
    <w:rsid w:val="00E1025F"/>
    <w:rsid w:val="00E1039B"/>
    <w:rsid w:val="00E10912"/>
    <w:rsid w:val="00E10DEE"/>
    <w:rsid w:val="00E11C91"/>
    <w:rsid w:val="00E11E9B"/>
    <w:rsid w:val="00E12283"/>
    <w:rsid w:val="00E127E2"/>
    <w:rsid w:val="00E13900"/>
    <w:rsid w:val="00E13EA2"/>
    <w:rsid w:val="00E13EE8"/>
    <w:rsid w:val="00E149B0"/>
    <w:rsid w:val="00E157ED"/>
    <w:rsid w:val="00E162DA"/>
    <w:rsid w:val="00E16649"/>
    <w:rsid w:val="00E16F21"/>
    <w:rsid w:val="00E1727C"/>
    <w:rsid w:val="00E17E25"/>
    <w:rsid w:val="00E17F85"/>
    <w:rsid w:val="00E2112F"/>
    <w:rsid w:val="00E22542"/>
    <w:rsid w:val="00E246C5"/>
    <w:rsid w:val="00E252EA"/>
    <w:rsid w:val="00E25AC4"/>
    <w:rsid w:val="00E269AF"/>
    <w:rsid w:val="00E26F64"/>
    <w:rsid w:val="00E27D2F"/>
    <w:rsid w:val="00E27E62"/>
    <w:rsid w:val="00E30F69"/>
    <w:rsid w:val="00E312B0"/>
    <w:rsid w:val="00E31D6C"/>
    <w:rsid w:val="00E32ED8"/>
    <w:rsid w:val="00E3470E"/>
    <w:rsid w:val="00E35738"/>
    <w:rsid w:val="00E366EA"/>
    <w:rsid w:val="00E37E20"/>
    <w:rsid w:val="00E41786"/>
    <w:rsid w:val="00E4353F"/>
    <w:rsid w:val="00E43717"/>
    <w:rsid w:val="00E4383F"/>
    <w:rsid w:val="00E43D60"/>
    <w:rsid w:val="00E44E5C"/>
    <w:rsid w:val="00E450E9"/>
    <w:rsid w:val="00E45296"/>
    <w:rsid w:val="00E51279"/>
    <w:rsid w:val="00E513E0"/>
    <w:rsid w:val="00E518E5"/>
    <w:rsid w:val="00E522B4"/>
    <w:rsid w:val="00E52989"/>
    <w:rsid w:val="00E529F0"/>
    <w:rsid w:val="00E52C52"/>
    <w:rsid w:val="00E52E66"/>
    <w:rsid w:val="00E53D2B"/>
    <w:rsid w:val="00E55557"/>
    <w:rsid w:val="00E5572D"/>
    <w:rsid w:val="00E57478"/>
    <w:rsid w:val="00E6029E"/>
    <w:rsid w:val="00E6065A"/>
    <w:rsid w:val="00E61266"/>
    <w:rsid w:val="00E61467"/>
    <w:rsid w:val="00E62157"/>
    <w:rsid w:val="00E62360"/>
    <w:rsid w:val="00E6300F"/>
    <w:rsid w:val="00E63228"/>
    <w:rsid w:val="00E6343D"/>
    <w:rsid w:val="00E64D89"/>
    <w:rsid w:val="00E65086"/>
    <w:rsid w:val="00E65BE9"/>
    <w:rsid w:val="00E66A1D"/>
    <w:rsid w:val="00E66BFB"/>
    <w:rsid w:val="00E66E0D"/>
    <w:rsid w:val="00E66EB0"/>
    <w:rsid w:val="00E67A18"/>
    <w:rsid w:val="00E70641"/>
    <w:rsid w:val="00E71254"/>
    <w:rsid w:val="00E71459"/>
    <w:rsid w:val="00E71671"/>
    <w:rsid w:val="00E723AA"/>
    <w:rsid w:val="00E726E7"/>
    <w:rsid w:val="00E72CC4"/>
    <w:rsid w:val="00E7437B"/>
    <w:rsid w:val="00E75D49"/>
    <w:rsid w:val="00E76E15"/>
    <w:rsid w:val="00E80431"/>
    <w:rsid w:val="00E80AA1"/>
    <w:rsid w:val="00E80F39"/>
    <w:rsid w:val="00E80FA6"/>
    <w:rsid w:val="00E81950"/>
    <w:rsid w:val="00E82C41"/>
    <w:rsid w:val="00E83463"/>
    <w:rsid w:val="00E83743"/>
    <w:rsid w:val="00E87B24"/>
    <w:rsid w:val="00E87DF7"/>
    <w:rsid w:val="00E9018E"/>
    <w:rsid w:val="00E90197"/>
    <w:rsid w:val="00E914FD"/>
    <w:rsid w:val="00E92B87"/>
    <w:rsid w:val="00E92D38"/>
    <w:rsid w:val="00E947CB"/>
    <w:rsid w:val="00E95464"/>
    <w:rsid w:val="00EA1247"/>
    <w:rsid w:val="00EA27C5"/>
    <w:rsid w:val="00EA4762"/>
    <w:rsid w:val="00EA4835"/>
    <w:rsid w:val="00EA5A43"/>
    <w:rsid w:val="00EA5C05"/>
    <w:rsid w:val="00EA5C54"/>
    <w:rsid w:val="00EA62F9"/>
    <w:rsid w:val="00EA7EF4"/>
    <w:rsid w:val="00EB0DB1"/>
    <w:rsid w:val="00EB15C3"/>
    <w:rsid w:val="00EB18FE"/>
    <w:rsid w:val="00EB2867"/>
    <w:rsid w:val="00EB3282"/>
    <w:rsid w:val="00EB343C"/>
    <w:rsid w:val="00EB3555"/>
    <w:rsid w:val="00EB3E57"/>
    <w:rsid w:val="00EB4B8B"/>
    <w:rsid w:val="00EB5A76"/>
    <w:rsid w:val="00EB7B02"/>
    <w:rsid w:val="00EB7CE3"/>
    <w:rsid w:val="00EB7F03"/>
    <w:rsid w:val="00EC0928"/>
    <w:rsid w:val="00EC0E37"/>
    <w:rsid w:val="00EC12DA"/>
    <w:rsid w:val="00EC27BA"/>
    <w:rsid w:val="00EC301C"/>
    <w:rsid w:val="00EC3CFE"/>
    <w:rsid w:val="00EC3D27"/>
    <w:rsid w:val="00EC6F92"/>
    <w:rsid w:val="00ED16A9"/>
    <w:rsid w:val="00ED1A67"/>
    <w:rsid w:val="00ED3831"/>
    <w:rsid w:val="00ED39F9"/>
    <w:rsid w:val="00ED5136"/>
    <w:rsid w:val="00ED581C"/>
    <w:rsid w:val="00ED620D"/>
    <w:rsid w:val="00EE1133"/>
    <w:rsid w:val="00EE15AA"/>
    <w:rsid w:val="00EE19AC"/>
    <w:rsid w:val="00EE2FB9"/>
    <w:rsid w:val="00EE3E1C"/>
    <w:rsid w:val="00EE4001"/>
    <w:rsid w:val="00EE4446"/>
    <w:rsid w:val="00EE5AA1"/>
    <w:rsid w:val="00EE658D"/>
    <w:rsid w:val="00EE7091"/>
    <w:rsid w:val="00EE74A8"/>
    <w:rsid w:val="00EF08FF"/>
    <w:rsid w:val="00EF092A"/>
    <w:rsid w:val="00EF1930"/>
    <w:rsid w:val="00EF1E08"/>
    <w:rsid w:val="00EF223A"/>
    <w:rsid w:val="00EF2AA3"/>
    <w:rsid w:val="00EF3220"/>
    <w:rsid w:val="00EF3325"/>
    <w:rsid w:val="00EF3E96"/>
    <w:rsid w:val="00EF42A7"/>
    <w:rsid w:val="00EF5045"/>
    <w:rsid w:val="00EF6074"/>
    <w:rsid w:val="00EF67D3"/>
    <w:rsid w:val="00EF772E"/>
    <w:rsid w:val="00F0128A"/>
    <w:rsid w:val="00F01BDF"/>
    <w:rsid w:val="00F02DFE"/>
    <w:rsid w:val="00F03341"/>
    <w:rsid w:val="00F04138"/>
    <w:rsid w:val="00F0510A"/>
    <w:rsid w:val="00F0561B"/>
    <w:rsid w:val="00F06411"/>
    <w:rsid w:val="00F067D9"/>
    <w:rsid w:val="00F06E32"/>
    <w:rsid w:val="00F07094"/>
    <w:rsid w:val="00F13D1F"/>
    <w:rsid w:val="00F1464B"/>
    <w:rsid w:val="00F1563E"/>
    <w:rsid w:val="00F15688"/>
    <w:rsid w:val="00F15D47"/>
    <w:rsid w:val="00F16054"/>
    <w:rsid w:val="00F17986"/>
    <w:rsid w:val="00F21132"/>
    <w:rsid w:val="00F21C12"/>
    <w:rsid w:val="00F222E7"/>
    <w:rsid w:val="00F2538B"/>
    <w:rsid w:val="00F26598"/>
    <w:rsid w:val="00F267D8"/>
    <w:rsid w:val="00F2684B"/>
    <w:rsid w:val="00F26E32"/>
    <w:rsid w:val="00F278D8"/>
    <w:rsid w:val="00F3259A"/>
    <w:rsid w:val="00F356EE"/>
    <w:rsid w:val="00F35F37"/>
    <w:rsid w:val="00F36192"/>
    <w:rsid w:val="00F36947"/>
    <w:rsid w:val="00F36D35"/>
    <w:rsid w:val="00F374B8"/>
    <w:rsid w:val="00F431B1"/>
    <w:rsid w:val="00F43A52"/>
    <w:rsid w:val="00F43BC7"/>
    <w:rsid w:val="00F4425A"/>
    <w:rsid w:val="00F449A7"/>
    <w:rsid w:val="00F45336"/>
    <w:rsid w:val="00F46106"/>
    <w:rsid w:val="00F47988"/>
    <w:rsid w:val="00F47E0C"/>
    <w:rsid w:val="00F52312"/>
    <w:rsid w:val="00F527B6"/>
    <w:rsid w:val="00F53726"/>
    <w:rsid w:val="00F54641"/>
    <w:rsid w:val="00F54868"/>
    <w:rsid w:val="00F552D1"/>
    <w:rsid w:val="00F553A5"/>
    <w:rsid w:val="00F56006"/>
    <w:rsid w:val="00F6021A"/>
    <w:rsid w:val="00F61564"/>
    <w:rsid w:val="00F618CF"/>
    <w:rsid w:val="00F61DD9"/>
    <w:rsid w:val="00F627BA"/>
    <w:rsid w:val="00F62D4D"/>
    <w:rsid w:val="00F6323A"/>
    <w:rsid w:val="00F6350E"/>
    <w:rsid w:val="00F636B1"/>
    <w:rsid w:val="00F638F1"/>
    <w:rsid w:val="00F648AD"/>
    <w:rsid w:val="00F65E70"/>
    <w:rsid w:val="00F66234"/>
    <w:rsid w:val="00F66799"/>
    <w:rsid w:val="00F70AC0"/>
    <w:rsid w:val="00F72217"/>
    <w:rsid w:val="00F726E5"/>
    <w:rsid w:val="00F72E1A"/>
    <w:rsid w:val="00F74989"/>
    <w:rsid w:val="00F7671C"/>
    <w:rsid w:val="00F76CE7"/>
    <w:rsid w:val="00F76D51"/>
    <w:rsid w:val="00F81A86"/>
    <w:rsid w:val="00F84A7A"/>
    <w:rsid w:val="00F8505D"/>
    <w:rsid w:val="00F8589F"/>
    <w:rsid w:val="00F86CA7"/>
    <w:rsid w:val="00F877FA"/>
    <w:rsid w:val="00F90B3D"/>
    <w:rsid w:val="00F90FE8"/>
    <w:rsid w:val="00F92066"/>
    <w:rsid w:val="00F92F68"/>
    <w:rsid w:val="00F947B5"/>
    <w:rsid w:val="00F94F85"/>
    <w:rsid w:val="00F974F7"/>
    <w:rsid w:val="00FA0165"/>
    <w:rsid w:val="00FA0233"/>
    <w:rsid w:val="00FA2636"/>
    <w:rsid w:val="00FA2669"/>
    <w:rsid w:val="00FA2FD9"/>
    <w:rsid w:val="00FA35DA"/>
    <w:rsid w:val="00FA5624"/>
    <w:rsid w:val="00FA7640"/>
    <w:rsid w:val="00FB016F"/>
    <w:rsid w:val="00FB1E9A"/>
    <w:rsid w:val="00FB3DE4"/>
    <w:rsid w:val="00FB42E8"/>
    <w:rsid w:val="00FB6B3C"/>
    <w:rsid w:val="00FB705D"/>
    <w:rsid w:val="00FB7AB6"/>
    <w:rsid w:val="00FC0586"/>
    <w:rsid w:val="00FC1BE5"/>
    <w:rsid w:val="00FC1EE2"/>
    <w:rsid w:val="00FC2876"/>
    <w:rsid w:val="00FC4B64"/>
    <w:rsid w:val="00FC5091"/>
    <w:rsid w:val="00FC51A7"/>
    <w:rsid w:val="00FC797D"/>
    <w:rsid w:val="00FC7E1D"/>
    <w:rsid w:val="00FD0130"/>
    <w:rsid w:val="00FD0B04"/>
    <w:rsid w:val="00FD0D07"/>
    <w:rsid w:val="00FD1A27"/>
    <w:rsid w:val="00FD2459"/>
    <w:rsid w:val="00FD2B15"/>
    <w:rsid w:val="00FD35F8"/>
    <w:rsid w:val="00FD37EF"/>
    <w:rsid w:val="00FD47C6"/>
    <w:rsid w:val="00FD5E4C"/>
    <w:rsid w:val="00FD7224"/>
    <w:rsid w:val="00FD7C26"/>
    <w:rsid w:val="00FE0628"/>
    <w:rsid w:val="00FE108D"/>
    <w:rsid w:val="00FE1772"/>
    <w:rsid w:val="00FE2017"/>
    <w:rsid w:val="00FE44CC"/>
    <w:rsid w:val="00FE4898"/>
    <w:rsid w:val="00FE4CD4"/>
    <w:rsid w:val="00FE624F"/>
    <w:rsid w:val="00FE730A"/>
    <w:rsid w:val="00FE78A0"/>
    <w:rsid w:val="00FE7D98"/>
    <w:rsid w:val="00FF05A4"/>
    <w:rsid w:val="00FF068B"/>
    <w:rsid w:val="00FF0980"/>
    <w:rsid w:val="00FF0EEF"/>
    <w:rsid w:val="00FF351F"/>
    <w:rsid w:val="00FF57E6"/>
    <w:rsid w:val="00FF5D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List 4"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3"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064DDF"/>
    <w:pPr>
      <w:jc w:val="both"/>
    </w:pPr>
    <w:rPr>
      <w:rFonts w:ascii="Arial" w:hAnsi="Arial" w:cs="Arial"/>
      <w:sz w:val="24"/>
      <w:szCs w:val="24"/>
      <w:lang w:val="es-ES"/>
    </w:rPr>
  </w:style>
  <w:style w:type="paragraph" w:styleId="Heading1">
    <w:name w:val="heading 1"/>
    <w:aliases w:val="Heading 1.I"/>
    <w:basedOn w:val="Normal"/>
    <w:next w:val="Normal"/>
    <w:link w:val="Heading1Char"/>
    <w:qFormat/>
    <w:rsid w:val="00A0074D"/>
    <w:pPr>
      <w:keepNext/>
      <w:keepLines/>
      <w:numPr>
        <w:numId w:val="6"/>
      </w:numPr>
      <w:jc w:val="left"/>
      <w:outlineLvl w:val="0"/>
    </w:pPr>
    <w:rPr>
      <w:rFonts w:eastAsia="MS Gothic"/>
      <w:b/>
      <w:bCs/>
      <w:color w:val="345A8A"/>
      <w:sz w:val="28"/>
      <w:szCs w:val="28"/>
      <w:lang w:val="es-ES_tradnl"/>
    </w:rPr>
  </w:style>
  <w:style w:type="paragraph" w:styleId="Heading2">
    <w:name w:val="heading 2"/>
    <w:basedOn w:val="Heading3"/>
    <w:next w:val="Normal"/>
    <w:link w:val="Heading2Char"/>
    <w:uiPriority w:val="9"/>
    <w:qFormat/>
    <w:rsid w:val="00F648AD"/>
    <w:pPr>
      <w:numPr>
        <w:ilvl w:val="2"/>
        <w:numId w:val="4"/>
      </w:numPr>
      <w:outlineLvl w:val="1"/>
    </w:pPr>
  </w:style>
  <w:style w:type="paragraph" w:styleId="Heading3">
    <w:name w:val="heading 3"/>
    <w:basedOn w:val="Normal"/>
    <w:next w:val="Normal"/>
    <w:link w:val="Heading3Char"/>
    <w:uiPriority w:val="9"/>
    <w:qFormat/>
    <w:rsid w:val="00E1025F"/>
    <w:pPr>
      <w:keepNext/>
      <w:keepLines/>
      <w:numPr>
        <w:numId w:val="10"/>
      </w:numPr>
      <w:tabs>
        <w:tab w:val="left" w:pos="1134"/>
        <w:tab w:val="left" w:pos="1560"/>
      </w:tabs>
      <w:spacing w:before="200" w:after="240"/>
      <w:outlineLvl w:val="2"/>
    </w:pPr>
    <w:rPr>
      <w:rFonts w:ascii="Times New Roman" w:eastAsia="MS Gothic" w:hAnsi="Times New Roman" w:cs="Times New Roman"/>
      <w:b/>
      <w:bCs/>
      <w:lang w:val="es-ES_tradnl"/>
    </w:rPr>
  </w:style>
  <w:style w:type="paragraph" w:styleId="Heading4">
    <w:name w:val="heading 4"/>
    <w:aliases w:val="Heading 4.a"/>
    <w:basedOn w:val="Normal"/>
    <w:next w:val="Normal"/>
    <w:link w:val="Heading4Char"/>
    <w:uiPriority w:val="9"/>
    <w:unhideWhenUsed/>
    <w:qFormat/>
    <w:rsid w:val="00580FC3"/>
    <w:pPr>
      <w:keepNext/>
      <w:numPr>
        <w:ilvl w:val="2"/>
        <w:numId w:val="6"/>
      </w:numPr>
      <w:tabs>
        <w:tab w:val="left" w:pos="1440"/>
      </w:tabs>
      <w:spacing w:before="120" w:after="120"/>
      <w:outlineLvl w:val="3"/>
    </w:pPr>
    <w:rPr>
      <w:u w:val="single"/>
    </w:rPr>
  </w:style>
  <w:style w:type="paragraph" w:styleId="Heading5">
    <w:name w:val="heading 5"/>
    <w:aliases w:val="Heading 5.(i)"/>
    <w:next w:val="Normal"/>
    <w:link w:val="Heading5Char"/>
    <w:uiPriority w:val="9"/>
    <w:qFormat/>
    <w:rsid w:val="00580FC3"/>
    <w:pPr>
      <w:keepNext/>
      <w:numPr>
        <w:ilvl w:val="3"/>
        <w:numId w:val="6"/>
      </w:numPr>
      <w:spacing w:before="120" w:after="120"/>
      <w:jc w:val="both"/>
      <w:outlineLvl w:val="4"/>
    </w:pPr>
    <w:rPr>
      <w:rFonts w:ascii="Times New Roman Bold" w:eastAsia="Times New Roman" w:hAnsi="Times New Roman Bold"/>
      <w:b/>
      <w:noProof/>
      <w:sz w:val="24"/>
      <w:szCs w:val="24"/>
    </w:rPr>
  </w:style>
  <w:style w:type="paragraph" w:styleId="Heading6">
    <w:name w:val="heading 6"/>
    <w:basedOn w:val="Normal"/>
    <w:next w:val="Normal"/>
    <w:link w:val="Heading6Char"/>
    <w:uiPriority w:val="9"/>
    <w:unhideWhenUsed/>
    <w:qFormat/>
    <w:rsid w:val="005B633F"/>
    <w:pPr>
      <w:keepNext/>
      <w:keepLines/>
      <w:spacing w:before="200"/>
      <w:ind w:left="1152" w:hanging="432"/>
      <w:jc w:val="left"/>
      <w:outlineLvl w:val="5"/>
    </w:pPr>
    <w:rPr>
      <w:rFonts w:asciiTheme="majorHAnsi" w:eastAsiaTheme="majorEastAsia" w:hAnsiTheme="majorHAnsi" w:cstheme="majorBidi"/>
      <w:i/>
      <w:iCs/>
      <w:color w:val="243F60" w:themeColor="accent1" w:themeShade="7F"/>
      <w:szCs w:val="20"/>
      <w:lang w:val="es-ES_tradnl"/>
    </w:rPr>
  </w:style>
  <w:style w:type="paragraph" w:styleId="Heading7">
    <w:name w:val="heading 7"/>
    <w:basedOn w:val="Normal"/>
    <w:next w:val="Normal"/>
    <w:link w:val="Heading7Char"/>
    <w:uiPriority w:val="9"/>
    <w:unhideWhenUsed/>
    <w:qFormat/>
    <w:rsid w:val="005B633F"/>
    <w:pPr>
      <w:keepNext/>
      <w:keepLines/>
      <w:spacing w:before="200"/>
      <w:ind w:left="1296" w:hanging="288"/>
      <w:jc w:val="left"/>
      <w:outlineLvl w:val="6"/>
    </w:pPr>
    <w:rPr>
      <w:rFonts w:asciiTheme="majorHAnsi" w:eastAsiaTheme="majorEastAsia" w:hAnsiTheme="majorHAnsi" w:cstheme="majorBidi"/>
      <w:i/>
      <w:iCs/>
      <w:color w:val="404040" w:themeColor="text1" w:themeTint="BF"/>
      <w:szCs w:val="20"/>
      <w:lang w:val="es-ES_tradnl"/>
    </w:rPr>
  </w:style>
  <w:style w:type="paragraph" w:styleId="Heading8">
    <w:name w:val="heading 8"/>
    <w:basedOn w:val="Normal"/>
    <w:next w:val="Normal"/>
    <w:link w:val="Heading8Char"/>
    <w:uiPriority w:val="9"/>
    <w:unhideWhenUsed/>
    <w:qFormat/>
    <w:rsid w:val="005B633F"/>
    <w:pPr>
      <w:keepNext/>
      <w:keepLines/>
      <w:spacing w:before="200"/>
      <w:ind w:left="1440" w:hanging="432"/>
      <w:jc w:val="left"/>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iPriority w:val="9"/>
    <w:unhideWhenUsed/>
    <w:qFormat/>
    <w:rsid w:val="005B633F"/>
    <w:pPr>
      <w:keepNext/>
      <w:keepLines/>
      <w:spacing w:before="200"/>
      <w:ind w:left="1584" w:hanging="144"/>
      <w:jc w:val="left"/>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locked/>
    <w:rsid w:val="00A0074D"/>
    <w:rPr>
      <w:rFonts w:ascii="Arial" w:eastAsia="MS Gothic" w:hAnsi="Arial" w:cs="Arial"/>
      <w:b/>
      <w:bCs/>
      <w:color w:val="345A8A"/>
      <w:sz w:val="28"/>
      <w:szCs w:val="28"/>
      <w:lang w:val="es-ES_tradnl"/>
    </w:rPr>
  </w:style>
  <w:style w:type="character" w:customStyle="1" w:styleId="Heading2Char">
    <w:name w:val="Heading 2 Char"/>
    <w:link w:val="Heading2"/>
    <w:uiPriority w:val="9"/>
    <w:locked/>
    <w:rsid w:val="00F648AD"/>
    <w:rPr>
      <w:rFonts w:ascii="Times New Roman" w:eastAsia="MS Gothic" w:hAnsi="Times New Roman"/>
      <w:b/>
      <w:bCs/>
      <w:sz w:val="24"/>
      <w:szCs w:val="24"/>
      <w:lang w:val="es-ES_tradnl"/>
    </w:rPr>
  </w:style>
  <w:style w:type="character" w:customStyle="1" w:styleId="Heading3Char">
    <w:name w:val="Heading 3 Char"/>
    <w:link w:val="Heading3"/>
    <w:uiPriority w:val="9"/>
    <w:locked/>
    <w:rsid w:val="00E1025F"/>
    <w:rPr>
      <w:rFonts w:ascii="Times New Roman" w:eastAsia="MS Gothic" w:hAnsi="Times New Roman"/>
      <w:b/>
      <w:bCs/>
      <w:sz w:val="24"/>
      <w:szCs w:val="24"/>
      <w:lang w:val="es-ES_tradnl"/>
    </w:rPr>
  </w:style>
  <w:style w:type="table" w:styleId="TableGrid">
    <w:name w:val="Table Grid"/>
    <w:basedOn w:val="TableNormal"/>
    <w:uiPriority w:val="59"/>
    <w:rsid w:val="00642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1">
    <w:name w:val="Colorful List Accent 1"/>
    <w:basedOn w:val="TableNormal"/>
    <w:uiPriority w:val="72"/>
    <w:rsid w:val="007B26C4"/>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Header">
    <w:name w:val="header"/>
    <w:basedOn w:val="Normal"/>
    <w:link w:val="HeaderChar"/>
    <w:uiPriority w:val="99"/>
    <w:rsid w:val="00771A7A"/>
    <w:pPr>
      <w:tabs>
        <w:tab w:val="center" w:pos="4680"/>
        <w:tab w:val="right" w:pos="9360"/>
      </w:tabs>
      <w:spacing w:after="120"/>
    </w:pPr>
    <w:rPr>
      <w:rFonts w:ascii="Calibri" w:eastAsia="Times New Roman" w:hAnsi="Calibri"/>
      <w:szCs w:val="22"/>
      <w:lang w:val="es-ES_tradnl"/>
    </w:rPr>
  </w:style>
  <w:style w:type="character" w:customStyle="1" w:styleId="HeaderChar">
    <w:name w:val="Header Char"/>
    <w:link w:val="Header"/>
    <w:uiPriority w:val="99"/>
    <w:locked/>
    <w:rsid w:val="00771A7A"/>
    <w:rPr>
      <w:rFonts w:ascii="Calibri" w:eastAsia="Times New Roman" w:hAnsi="Calibri"/>
      <w:sz w:val="22"/>
      <w:lang w:val="es-ES_tradnl"/>
    </w:rPr>
  </w:style>
  <w:style w:type="paragraph" w:styleId="Footer">
    <w:name w:val="footer"/>
    <w:basedOn w:val="Normal"/>
    <w:link w:val="FooterChar"/>
    <w:uiPriority w:val="99"/>
    <w:rsid w:val="00771A7A"/>
    <w:pPr>
      <w:tabs>
        <w:tab w:val="center" w:pos="4680"/>
        <w:tab w:val="right" w:pos="9360"/>
      </w:tabs>
      <w:spacing w:after="120"/>
    </w:pPr>
    <w:rPr>
      <w:rFonts w:ascii="Calibri" w:eastAsia="Times New Roman" w:hAnsi="Calibri"/>
      <w:szCs w:val="22"/>
      <w:lang w:val="es-ES_tradnl"/>
    </w:rPr>
  </w:style>
  <w:style w:type="character" w:customStyle="1" w:styleId="FooterChar">
    <w:name w:val="Footer Char"/>
    <w:link w:val="Footer"/>
    <w:uiPriority w:val="99"/>
    <w:locked/>
    <w:rsid w:val="00771A7A"/>
    <w:rPr>
      <w:rFonts w:ascii="Calibri" w:eastAsia="Times New Roman" w:hAnsi="Calibri"/>
      <w:sz w:val="22"/>
      <w:lang w:val="es-ES_tradnl"/>
    </w:rPr>
  </w:style>
  <w:style w:type="paragraph" w:styleId="Title">
    <w:name w:val="Title"/>
    <w:basedOn w:val="Normal"/>
    <w:link w:val="TitleChar"/>
    <w:qFormat/>
    <w:rsid w:val="00771A7A"/>
    <w:pPr>
      <w:spacing w:after="120"/>
    </w:pPr>
  </w:style>
  <w:style w:type="character" w:customStyle="1" w:styleId="TitleChar">
    <w:name w:val="Title Char"/>
    <w:link w:val="Title"/>
    <w:locked/>
    <w:rsid w:val="00771A7A"/>
    <w:rPr>
      <w:rFonts w:ascii="Arial" w:hAnsi="Arial"/>
      <w:sz w:val="20"/>
    </w:rPr>
  </w:style>
  <w:style w:type="character" w:styleId="PageNumber">
    <w:name w:val="page number"/>
    <w:basedOn w:val="DefaultParagraphFont"/>
    <w:uiPriority w:val="99"/>
    <w:rsid w:val="00771A7A"/>
  </w:style>
  <w:style w:type="paragraph" w:styleId="BalloonText">
    <w:name w:val="Balloon Text"/>
    <w:basedOn w:val="Normal"/>
    <w:link w:val="BalloonTextChar"/>
    <w:uiPriority w:val="99"/>
    <w:semiHidden/>
    <w:unhideWhenUsed/>
    <w:rsid w:val="006113E8"/>
    <w:rPr>
      <w:rFonts w:ascii="Lucida Grande" w:hAnsi="Lucida Grande"/>
      <w:sz w:val="18"/>
      <w:szCs w:val="18"/>
    </w:rPr>
  </w:style>
  <w:style w:type="character" w:customStyle="1" w:styleId="BalloonTextChar">
    <w:name w:val="Balloon Text Char"/>
    <w:link w:val="BalloonText"/>
    <w:uiPriority w:val="99"/>
    <w:semiHidden/>
    <w:locked/>
    <w:rsid w:val="006113E8"/>
    <w:rPr>
      <w:rFonts w:ascii="Lucida Grande" w:hAnsi="Lucida Grande"/>
      <w:sz w:val="18"/>
    </w:rPr>
  </w:style>
  <w:style w:type="table" w:customStyle="1" w:styleId="LightList-Accent11">
    <w:name w:val="Light List - Accent 11"/>
    <w:basedOn w:val="TableNormal"/>
    <w:uiPriority w:val="61"/>
    <w:rsid w:val="00784F9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TableNormal"/>
    <w:uiPriority w:val="68"/>
    <w:rsid w:val="00CD4D7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customStyle="1" w:styleId="n">
    <w:name w:val="n"/>
    <w:rsid w:val="00BE4F83"/>
    <w:pPr>
      <w:spacing w:before="120" w:after="120"/>
      <w:jc w:val="both"/>
    </w:pPr>
    <w:rPr>
      <w:rFonts w:ascii="Arial" w:hAnsi="Arial"/>
      <w:sz w:val="24"/>
      <w:szCs w:val="24"/>
      <w:lang w:val="es-ES_tradnl"/>
    </w:rPr>
  </w:style>
  <w:style w:type="paragraph" w:customStyle="1" w:styleId="Paragraph">
    <w:name w:val="Paragraph"/>
    <w:aliases w:val="paragraph,p,PARAGRAPH,PG,pa,at"/>
    <w:basedOn w:val="BodyTextIndent"/>
    <w:link w:val="ParagraphChar"/>
    <w:qFormat/>
    <w:rsid w:val="00785211"/>
    <w:pPr>
      <w:tabs>
        <w:tab w:val="num" w:pos="720"/>
      </w:tabs>
      <w:spacing w:before="120"/>
      <w:ind w:left="720" w:hanging="720"/>
      <w:outlineLvl w:val="1"/>
    </w:pPr>
  </w:style>
  <w:style w:type="character" w:customStyle="1" w:styleId="ParagraphChar">
    <w:name w:val="Paragraph Char"/>
    <w:link w:val="Paragraph"/>
    <w:locked/>
    <w:rsid w:val="00785211"/>
    <w:rPr>
      <w:rFonts w:ascii="Times New Roman" w:hAnsi="Times New Roman"/>
      <w:sz w:val="24"/>
      <w:lang w:val="es-ES"/>
    </w:rPr>
  </w:style>
  <w:style w:type="paragraph" w:styleId="BodyTextIndent">
    <w:name w:val="Body Text Indent"/>
    <w:basedOn w:val="Normal"/>
    <w:link w:val="BodyTextIndentChar"/>
    <w:uiPriority w:val="99"/>
    <w:semiHidden/>
    <w:unhideWhenUsed/>
    <w:rsid w:val="00785211"/>
    <w:pPr>
      <w:spacing w:after="120"/>
      <w:ind w:left="360"/>
    </w:pPr>
    <w:rPr>
      <w:rFonts w:ascii="Times New Roman" w:hAnsi="Times New Roman"/>
    </w:rPr>
  </w:style>
  <w:style w:type="character" w:customStyle="1" w:styleId="BodyTextIndentChar">
    <w:name w:val="Body Text Indent Char"/>
    <w:link w:val="BodyTextIndent"/>
    <w:uiPriority w:val="99"/>
    <w:semiHidden/>
    <w:locked/>
    <w:rsid w:val="00785211"/>
    <w:rPr>
      <w:rFonts w:ascii="Times New Roman" w:hAnsi="Times New Roman" w:cs="Times New Roman"/>
      <w:sz w:val="24"/>
      <w:szCs w:val="24"/>
    </w:rPr>
  </w:style>
  <w:style w:type="paragraph" w:customStyle="1" w:styleId="AbbrDesc">
    <w:name w:val="AbbrDesc"/>
    <w:basedOn w:val="Normal"/>
    <w:rsid w:val="0072343D"/>
    <w:pPr>
      <w:tabs>
        <w:tab w:val="left" w:pos="3060"/>
      </w:tabs>
    </w:pPr>
    <w:rPr>
      <w:rFonts w:ascii="Times New Roman" w:hAnsi="Times New Roman"/>
      <w:lang w:val="es-ES_tradnl"/>
    </w:rPr>
  </w:style>
  <w:style w:type="paragraph" w:customStyle="1" w:styleId="Chapter">
    <w:name w:val="Chapter"/>
    <w:basedOn w:val="Normal"/>
    <w:next w:val="Normal"/>
    <w:link w:val="ChapterChar"/>
    <w:qFormat/>
    <w:rsid w:val="00866505"/>
    <w:pPr>
      <w:numPr>
        <w:numId w:val="1"/>
      </w:numPr>
      <w:tabs>
        <w:tab w:val="num" w:pos="648"/>
        <w:tab w:val="left" w:pos="1440"/>
      </w:tabs>
      <w:spacing w:before="240" w:after="240"/>
      <w:ind w:left="0" w:firstLine="288"/>
      <w:jc w:val="center"/>
    </w:pPr>
    <w:rPr>
      <w:rFonts w:ascii="Times New Roman" w:hAnsi="Times New Roman"/>
      <w:smallCaps/>
    </w:rPr>
  </w:style>
  <w:style w:type="character" w:customStyle="1" w:styleId="ChapterChar">
    <w:name w:val="Chapter Char"/>
    <w:link w:val="Chapter"/>
    <w:locked/>
    <w:rsid w:val="00866505"/>
    <w:rPr>
      <w:rFonts w:ascii="Times New Roman" w:hAnsi="Times New Roman" w:cs="Arial"/>
      <w:smallCaps/>
      <w:sz w:val="24"/>
      <w:szCs w:val="24"/>
      <w:lang w:val="es-ES"/>
    </w:rPr>
  </w:style>
  <w:style w:type="paragraph" w:customStyle="1" w:styleId="FirstHeading">
    <w:name w:val="FirstHeading"/>
    <w:basedOn w:val="Normal"/>
    <w:next w:val="Normal"/>
    <w:link w:val="FirstHeadingChar"/>
    <w:uiPriority w:val="99"/>
    <w:rsid w:val="00866505"/>
    <w:pPr>
      <w:tabs>
        <w:tab w:val="left" w:pos="0"/>
        <w:tab w:val="left" w:pos="86"/>
      </w:tabs>
      <w:spacing w:before="120" w:after="120"/>
      <w:ind w:left="720" w:hanging="720"/>
    </w:pPr>
    <w:rPr>
      <w:rFonts w:ascii="Times New Roman" w:hAnsi="Times New Roman"/>
    </w:rPr>
  </w:style>
  <w:style w:type="character" w:customStyle="1" w:styleId="FirstHeadingChar">
    <w:name w:val="FirstHeading Char"/>
    <w:link w:val="FirstHeading"/>
    <w:uiPriority w:val="99"/>
    <w:locked/>
    <w:rsid w:val="00866505"/>
    <w:rPr>
      <w:rFonts w:ascii="Times New Roman" w:eastAsia="MS Gothic" w:hAnsi="Times New Roman" w:cs="Arial"/>
      <w:b/>
      <w:bCs/>
      <w:color w:val="345A8A"/>
      <w:sz w:val="24"/>
      <w:szCs w:val="24"/>
      <w:lang w:val="es-ES_tradnl"/>
    </w:rPr>
  </w:style>
  <w:style w:type="paragraph" w:customStyle="1" w:styleId="SecHeading">
    <w:name w:val="SecHeading"/>
    <w:basedOn w:val="Normal"/>
    <w:next w:val="Paragraph"/>
    <w:link w:val="SecHeadingChar"/>
    <w:uiPriority w:val="99"/>
    <w:rsid w:val="00866505"/>
    <w:pPr>
      <w:tabs>
        <w:tab w:val="num" w:pos="1296"/>
      </w:tabs>
      <w:spacing w:before="120" w:after="120"/>
      <w:ind w:left="1296" w:hanging="576"/>
    </w:pPr>
    <w:rPr>
      <w:rFonts w:ascii="Times New Roman" w:hAnsi="Times New Roman"/>
    </w:rPr>
  </w:style>
  <w:style w:type="character" w:customStyle="1" w:styleId="SecHeadingChar">
    <w:name w:val="SecHeading Char"/>
    <w:link w:val="SecHeading"/>
    <w:locked/>
    <w:rsid w:val="00866505"/>
    <w:rPr>
      <w:rFonts w:ascii="Times New Roman" w:eastAsia="MS Gothic" w:hAnsi="Times New Roman" w:cs="Arial"/>
      <w:b/>
      <w:bCs/>
      <w:color w:val="345A8A"/>
      <w:sz w:val="24"/>
      <w:szCs w:val="24"/>
      <w:lang w:val="es-ES_tradnl"/>
    </w:rPr>
  </w:style>
  <w:style w:type="paragraph" w:customStyle="1" w:styleId="SubHeading1">
    <w:name w:val="SubHeading1"/>
    <w:basedOn w:val="SecHeading"/>
    <w:link w:val="SubHeading1Char"/>
    <w:rsid w:val="00866505"/>
    <w:pPr>
      <w:keepNext/>
      <w:tabs>
        <w:tab w:val="clear" w:pos="1296"/>
        <w:tab w:val="num" w:pos="1872"/>
      </w:tabs>
      <w:ind w:left="1872"/>
    </w:pPr>
    <w:rPr>
      <w:b/>
    </w:rPr>
  </w:style>
  <w:style w:type="character" w:customStyle="1" w:styleId="SubHeading1Char">
    <w:name w:val="SubHeading1 Char"/>
    <w:link w:val="SubHeading1"/>
    <w:locked/>
    <w:rsid w:val="00866505"/>
    <w:rPr>
      <w:rFonts w:ascii="Times New Roman" w:eastAsia="MS Gothic" w:hAnsi="Times New Roman" w:cs="Times New Roman"/>
      <w:b/>
      <w:bCs w:val="0"/>
      <w:color w:val="345A8A"/>
      <w:sz w:val="24"/>
      <w:szCs w:val="24"/>
      <w:lang w:val="es-ES_tradnl"/>
    </w:rPr>
  </w:style>
  <w:style w:type="paragraph" w:customStyle="1" w:styleId="Subheading2">
    <w:name w:val="Subheading2"/>
    <w:basedOn w:val="SecHeading"/>
    <w:link w:val="Subheading2Char"/>
    <w:rsid w:val="00866505"/>
    <w:pPr>
      <w:keepNext/>
      <w:tabs>
        <w:tab w:val="clear" w:pos="1296"/>
        <w:tab w:val="num" w:pos="2376"/>
      </w:tabs>
      <w:ind w:left="2376" w:hanging="288"/>
    </w:pPr>
    <w:rPr>
      <w:b/>
    </w:rPr>
  </w:style>
  <w:style w:type="character" w:customStyle="1" w:styleId="Subheading2Char">
    <w:name w:val="Subheading2 Char"/>
    <w:link w:val="Subheading2"/>
    <w:locked/>
    <w:rsid w:val="00866505"/>
    <w:rPr>
      <w:rFonts w:ascii="Times New Roman" w:eastAsia="MS Gothic" w:hAnsi="Times New Roman" w:cs="Times New Roman"/>
      <w:b/>
      <w:bCs w:val="0"/>
      <w:color w:val="345A8A"/>
      <w:sz w:val="24"/>
      <w:szCs w:val="24"/>
      <w:lang w:val="es-ES_tradnl"/>
    </w:rPr>
  </w:style>
  <w:style w:type="paragraph" w:customStyle="1" w:styleId="subpar">
    <w:name w:val="subpar"/>
    <w:basedOn w:val="BodyTextIndent3"/>
    <w:link w:val="subparChar"/>
    <w:rsid w:val="00866505"/>
    <w:pPr>
      <w:tabs>
        <w:tab w:val="num" w:pos="1152"/>
      </w:tabs>
      <w:spacing w:before="120"/>
      <w:ind w:left="1152" w:hanging="432"/>
      <w:outlineLvl w:val="2"/>
    </w:pPr>
    <w:rPr>
      <w:b/>
    </w:rPr>
  </w:style>
  <w:style w:type="character" w:customStyle="1" w:styleId="subparChar">
    <w:name w:val="subpar Char"/>
    <w:link w:val="subpar"/>
    <w:locked/>
    <w:rsid w:val="00866505"/>
    <w:rPr>
      <w:rFonts w:ascii="Times New Roman" w:eastAsia="MS Gothic" w:hAnsi="Times New Roman" w:cs="Arial"/>
      <w:b/>
      <w:bCs/>
      <w:color w:val="345A8A"/>
      <w:sz w:val="24"/>
      <w:szCs w:val="16"/>
      <w:lang w:val="es-ES_tradnl"/>
    </w:rPr>
  </w:style>
  <w:style w:type="paragraph" w:customStyle="1" w:styleId="SubSubPar">
    <w:name w:val="SubSubPar"/>
    <w:basedOn w:val="subpar"/>
    <w:link w:val="SubSubParChar"/>
    <w:rsid w:val="00866505"/>
    <w:pPr>
      <w:tabs>
        <w:tab w:val="clear" w:pos="1152"/>
        <w:tab w:val="left" w:pos="0"/>
        <w:tab w:val="num" w:pos="1296"/>
      </w:tabs>
      <w:ind w:left="1296" w:hanging="288"/>
    </w:pPr>
    <w:rPr>
      <w:b w:val="0"/>
    </w:rPr>
  </w:style>
  <w:style w:type="character" w:customStyle="1" w:styleId="SubSubParChar">
    <w:name w:val="SubSubPar Char"/>
    <w:link w:val="SubSubPar"/>
    <w:locked/>
    <w:rsid w:val="00866505"/>
    <w:rPr>
      <w:rFonts w:ascii="Times New Roman" w:eastAsia="MS Gothic" w:hAnsi="Times New Roman" w:cs="Times New Roman"/>
      <w:b/>
      <w:bCs w:val="0"/>
      <w:color w:val="345A8A"/>
      <w:sz w:val="16"/>
      <w:szCs w:val="16"/>
      <w:lang w:val="es-ES_tradnl"/>
    </w:rPr>
  </w:style>
  <w:style w:type="paragraph" w:customStyle="1" w:styleId="Regtable">
    <w:name w:val="Regtable"/>
    <w:basedOn w:val="Normal"/>
    <w:link w:val="RegtableChar"/>
    <w:rsid w:val="00866505"/>
    <w:pPr>
      <w:framePr w:wrap="around" w:vAnchor="text" w:hAnchor="text" w:y="1"/>
      <w:spacing w:before="20" w:after="20"/>
    </w:pPr>
    <w:rPr>
      <w:rFonts w:ascii="Times New Roman" w:hAnsi="Times New Roman"/>
      <w:b/>
    </w:rPr>
  </w:style>
  <w:style w:type="character" w:customStyle="1" w:styleId="RegtableChar">
    <w:name w:val="Regtable Char"/>
    <w:link w:val="Regtable"/>
    <w:locked/>
    <w:rsid w:val="00866505"/>
    <w:rPr>
      <w:rFonts w:ascii="Times New Roman" w:eastAsia="MS Gothic" w:hAnsi="Times New Roman" w:cs="Arial"/>
      <w:b/>
      <w:bCs/>
      <w:color w:val="345A8A"/>
      <w:sz w:val="32"/>
      <w:szCs w:val="24"/>
      <w:lang w:val="es-ES_tradnl"/>
    </w:rPr>
  </w:style>
  <w:style w:type="paragraph" w:customStyle="1" w:styleId="TableTitle">
    <w:name w:val="TableTitle"/>
    <w:basedOn w:val="Normal"/>
    <w:link w:val="TableTitleChar"/>
    <w:rsid w:val="00866505"/>
    <w:pPr>
      <w:framePr w:wrap="around" w:vAnchor="text" w:hAnchor="text" w:y="1"/>
      <w:spacing w:before="20" w:after="20"/>
      <w:jc w:val="center"/>
    </w:pPr>
    <w:rPr>
      <w:rFonts w:ascii="Times New Roman Bold" w:hAnsi="Times New Roman Bold"/>
      <w:spacing w:val="-3"/>
    </w:rPr>
  </w:style>
  <w:style w:type="character" w:customStyle="1" w:styleId="TableTitleChar">
    <w:name w:val="TableTitle Char"/>
    <w:link w:val="TableTitle"/>
    <w:locked/>
    <w:rsid w:val="00866505"/>
    <w:rPr>
      <w:rFonts w:ascii="Times New Roman Bold" w:eastAsia="MS Gothic" w:hAnsi="Times New Roman Bold" w:cs="Times New Roman"/>
      <w:b/>
      <w:bCs w:val="0"/>
      <w:color w:val="345A8A"/>
      <w:spacing w:val="-3"/>
      <w:sz w:val="24"/>
      <w:szCs w:val="24"/>
      <w:lang w:val="es-ES_tradnl"/>
    </w:rPr>
  </w:style>
  <w:style w:type="paragraph" w:styleId="BodyTextIndent3">
    <w:name w:val="Body Text Indent 3"/>
    <w:basedOn w:val="Normal"/>
    <w:link w:val="BodyTextIndent3Char"/>
    <w:uiPriority w:val="99"/>
    <w:semiHidden/>
    <w:unhideWhenUsed/>
    <w:rsid w:val="00866505"/>
    <w:pPr>
      <w:spacing w:after="120"/>
      <w:ind w:left="360"/>
    </w:pPr>
    <w:rPr>
      <w:rFonts w:ascii="Times New Roman" w:hAnsi="Times New Roman"/>
      <w:szCs w:val="16"/>
    </w:rPr>
  </w:style>
  <w:style w:type="character" w:customStyle="1" w:styleId="BodyTextIndent3Char">
    <w:name w:val="Body Text Indent 3 Char"/>
    <w:link w:val="BodyTextIndent3"/>
    <w:uiPriority w:val="99"/>
    <w:semiHidden/>
    <w:locked/>
    <w:rsid w:val="00866505"/>
    <w:rPr>
      <w:rFonts w:ascii="Times New Roman" w:hAnsi="Times New Roman" w:cs="Times New Roman"/>
      <w:sz w:val="16"/>
      <w:szCs w:val="16"/>
    </w:rPr>
  </w:style>
  <w:style w:type="paragraph" w:styleId="FootnoteText">
    <w:name w:val="footnote text"/>
    <w:aliases w:val="fn,texto de nota al pie,Nota a pie/Bibliog,footnote,foottextfra,F,Texto nota pie Car Car Car Car Car Car Car Car,Texto nota pie Car Car Car,Footnote Text Char Char Char Char Char Char,Texto nota pie Car Car Car Car Car,Texto nota pie Car1"/>
    <w:basedOn w:val="Normal"/>
    <w:link w:val="FootnoteTextChar"/>
    <w:uiPriority w:val="99"/>
    <w:unhideWhenUsed/>
    <w:qFormat/>
    <w:rsid w:val="00866505"/>
    <w:pPr>
      <w:keepNext/>
      <w:keepLines/>
      <w:spacing w:after="120"/>
      <w:ind w:left="288" w:hanging="288"/>
    </w:pPr>
    <w:rPr>
      <w:rFonts w:ascii="Times New Roman" w:hAnsi="Times New Roman"/>
      <w:spacing w:val="-3"/>
    </w:rPr>
  </w:style>
  <w:style w:type="character" w:customStyle="1" w:styleId="FootnoteTextChar">
    <w:name w:val="Footnote Text Char"/>
    <w:aliases w:val="fn Char,texto de nota al pie Char,Nota a pie/Bibliog Char,footnote Char,foottextfra Char,F Char,Texto nota pie Car Car Car Car Car Car Car Car Char,Texto nota pie Car Car Car Char,Footnote Text Char Char Char Char Char Char Char"/>
    <w:link w:val="FootnoteText"/>
    <w:uiPriority w:val="99"/>
    <w:locked/>
    <w:rsid w:val="00866505"/>
    <w:rPr>
      <w:rFonts w:ascii="Times New Roman" w:hAnsi="Times New Roman" w:cs="Times New Roman"/>
      <w:spacing w:val="-3"/>
    </w:rPr>
  </w:style>
  <w:style w:type="paragraph" w:styleId="TOC1">
    <w:name w:val="toc 1"/>
    <w:basedOn w:val="Normal"/>
    <w:next w:val="Normal"/>
    <w:autoRedefine/>
    <w:uiPriority w:val="39"/>
    <w:unhideWhenUsed/>
    <w:qFormat/>
    <w:rsid w:val="00D4509C"/>
    <w:pPr>
      <w:tabs>
        <w:tab w:val="left" w:pos="426"/>
        <w:tab w:val="right" w:pos="8630"/>
      </w:tabs>
      <w:spacing w:before="240"/>
      <w:jc w:val="left"/>
    </w:pPr>
    <w:rPr>
      <w:rFonts w:ascii="Cambria" w:hAnsi="Cambria"/>
      <w:b/>
      <w:caps/>
    </w:rPr>
  </w:style>
  <w:style w:type="paragraph" w:styleId="TOC2">
    <w:name w:val="toc 2"/>
    <w:basedOn w:val="Normal"/>
    <w:next w:val="Normal"/>
    <w:autoRedefine/>
    <w:uiPriority w:val="39"/>
    <w:unhideWhenUsed/>
    <w:qFormat/>
    <w:rsid w:val="00064DDF"/>
    <w:pPr>
      <w:spacing w:before="240"/>
      <w:jc w:val="left"/>
    </w:pPr>
    <w:rPr>
      <w:rFonts w:ascii="Calibri" w:hAnsi="Calibri"/>
      <w:b/>
    </w:rPr>
  </w:style>
  <w:style w:type="paragraph" w:styleId="TOC3">
    <w:name w:val="toc 3"/>
    <w:basedOn w:val="Normal"/>
    <w:next w:val="Normal"/>
    <w:autoRedefine/>
    <w:uiPriority w:val="39"/>
    <w:unhideWhenUsed/>
    <w:qFormat/>
    <w:rsid w:val="00287C55"/>
    <w:pPr>
      <w:tabs>
        <w:tab w:val="left" w:pos="628"/>
        <w:tab w:val="left" w:pos="720"/>
        <w:tab w:val="right" w:pos="8630"/>
      </w:tabs>
      <w:ind w:left="450"/>
      <w:jc w:val="left"/>
    </w:pPr>
    <w:rPr>
      <w:rFonts w:ascii="Calibri" w:hAnsi="Calibri"/>
    </w:rPr>
  </w:style>
  <w:style w:type="paragraph" w:styleId="TOCHeading">
    <w:name w:val="TOC Heading"/>
    <w:basedOn w:val="Heading1"/>
    <w:next w:val="Normal"/>
    <w:uiPriority w:val="39"/>
    <w:semiHidden/>
    <w:unhideWhenUsed/>
    <w:qFormat/>
    <w:rsid w:val="00755C58"/>
    <w:pPr>
      <w:numPr>
        <w:numId w:val="0"/>
      </w:numPr>
      <w:spacing w:before="480" w:line="276" w:lineRule="auto"/>
      <w:outlineLvl w:val="9"/>
    </w:pPr>
    <w:rPr>
      <w:rFonts w:ascii="Cambria" w:eastAsia="MS Mincho" w:hAnsi="Cambria"/>
      <w:color w:val="365F91"/>
      <w:lang w:val="en-US"/>
    </w:rPr>
  </w:style>
  <w:style w:type="character" w:styleId="Hyperlink">
    <w:name w:val="Hyperlink"/>
    <w:uiPriority w:val="99"/>
    <w:unhideWhenUsed/>
    <w:rsid w:val="00755C58"/>
    <w:rPr>
      <w:rFonts w:cs="Times New Roman"/>
      <w:color w:val="0000FF"/>
      <w:u w:val="single"/>
    </w:rPr>
  </w:style>
  <w:style w:type="paragraph" w:customStyle="1" w:styleId="ColorfulList-Accent11">
    <w:name w:val="Colorful List - Accent 11"/>
    <w:basedOn w:val="Normal"/>
    <w:link w:val="ColorfulList-Accent1Char"/>
    <w:uiPriority w:val="34"/>
    <w:qFormat/>
    <w:rsid w:val="009D5E30"/>
    <w:pPr>
      <w:spacing w:after="120"/>
    </w:pPr>
  </w:style>
  <w:style w:type="paragraph" w:styleId="ListParagraph">
    <w:name w:val="List Paragraph"/>
    <w:basedOn w:val="Normal"/>
    <w:uiPriority w:val="34"/>
    <w:qFormat/>
    <w:rsid w:val="002665C6"/>
    <w:pPr>
      <w:numPr>
        <w:ilvl w:val="1"/>
        <w:numId w:val="2"/>
      </w:numPr>
      <w:spacing w:after="120"/>
    </w:pPr>
    <w:rPr>
      <w:sz w:val="22"/>
      <w:szCs w:val="22"/>
    </w:rPr>
  </w:style>
  <w:style w:type="paragraph" w:styleId="TOC4">
    <w:name w:val="toc 4"/>
    <w:basedOn w:val="Normal"/>
    <w:next w:val="Normal"/>
    <w:autoRedefine/>
    <w:uiPriority w:val="39"/>
    <w:unhideWhenUsed/>
    <w:rsid w:val="00064DDF"/>
    <w:pPr>
      <w:ind w:left="400"/>
      <w:jc w:val="left"/>
    </w:pPr>
    <w:rPr>
      <w:rFonts w:ascii="Calibri" w:hAnsi="Calibri"/>
    </w:rPr>
  </w:style>
  <w:style w:type="paragraph" w:styleId="TOC5">
    <w:name w:val="toc 5"/>
    <w:basedOn w:val="Normal"/>
    <w:next w:val="Normal"/>
    <w:autoRedefine/>
    <w:uiPriority w:val="39"/>
    <w:unhideWhenUsed/>
    <w:rsid w:val="00064DDF"/>
    <w:pPr>
      <w:ind w:left="600"/>
      <w:jc w:val="left"/>
    </w:pPr>
    <w:rPr>
      <w:rFonts w:ascii="Calibri" w:hAnsi="Calibri"/>
    </w:rPr>
  </w:style>
  <w:style w:type="paragraph" w:styleId="TOC6">
    <w:name w:val="toc 6"/>
    <w:basedOn w:val="Normal"/>
    <w:next w:val="Normal"/>
    <w:autoRedefine/>
    <w:uiPriority w:val="39"/>
    <w:unhideWhenUsed/>
    <w:rsid w:val="00064DDF"/>
    <w:pPr>
      <w:ind w:left="800"/>
      <w:jc w:val="left"/>
    </w:pPr>
    <w:rPr>
      <w:rFonts w:ascii="Calibri" w:hAnsi="Calibri"/>
    </w:rPr>
  </w:style>
  <w:style w:type="paragraph" w:styleId="TOC7">
    <w:name w:val="toc 7"/>
    <w:basedOn w:val="Normal"/>
    <w:next w:val="Normal"/>
    <w:autoRedefine/>
    <w:uiPriority w:val="39"/>
    <w:unhideWhenUsed/>
    <w:rsid w:val="00064DDF"/>
    <w:pPr>
      <w:ind w:left="1000"/>
      <w:jc w:val="left"/>
    </w:pPr>
    <w:rPr>
      <w:rFonts w:ascii="Calibri" w:hAnsi="Calibri"/>
    </w:rPr>
  </w:style>
  <w:style w:type="paragraph" w:styleId="TOC8">
    <w:name w:val="toc 8"/>
    <w:basedOn w:val="Normal"/>
    <w:next w:val="Normal"/>
    <w:autoRedefine/>
    <w:uiPriority w:val="39"/>
    <w:unhideWhenUsed/>
    <w:rsid w:val="00064DDF"/>
    <w:pPr>
      <w:ind w:left="1200"/>
      <w:jc w:val="left"/>
    </w:pPr>
    <w:rPr>
      <w:rFonts w:ascii="Calibri" w:hAnsi="Calibri"/>
    </w:rPr>
  </w:style>
  <w:style w:type="paragraph" w:styleId="TOC9">
    <w:name w:val="toc 9"/>
    <w:basedOn w:val="Normal"/>
    <w:next w:val="Normal"/>
    <w:autoRedefine/>
    <w:uiPriority w:val="39"/>
    <w:unhideWhenUsed/>
    <w:rsid w:val="00064DDF"/>
    <w:pPr>
      <w:ind w:left="1400"/>
      <w:jc w:val="left"/>
    </w:pPr>
    <w:rPr>
      <w:rFonts w:ascii="Calibri" w:hAnsi="Calibri"/>
    </w:rPr>
  </w:style>
  <w:style w:type="character" w:customStyle="1" w:styleId="Heading4Char">
    <w:name w:val="Heading 4 Char"/>
    <w:aliases w:val="Heading 4.a Char"/>
    <w:link w:val="Heading4"/>
    <w:uiPriority w:val="9"/>
    <w:rsid w:val="00580FC3"/>
    <w:rPr>
      <w:rFonts w:ascii="Arial" w:hAnsi="Arial" w:cs="Arial"/>
      <w:sz w:val="24"/>
      <w:szCs w:val="24"/>
      <w:u w:val="single"/>
      <w:lang w:val="es-ES"/>
    </w:rPr>
  </w:style>
  <w:style w:type="character" w:styleId="CommentReference">
    <w:name w:val="annotation reference"/>
    <w:uiPriority w:val="99"/>
    <w:semiHidden/>
    <w:unhideWhenUsed/>
    <w:rsid w:val="007B44DF"/>
    <w:rPr>
      <w:sz w:val="16"/>
      <w:szCs w:val="16"/>
    </w:rPr>
  </w:style>
  <w:style w:type="paragraph" w:styleId="CommentText">
    <w:name w:val="annotation text"/>
    <w:basedOn w:val="Normal"/>
    <w:link w:val="CommentTextChar"/>
    <w:uiPriority w:val="99"/>
    <w:semiHidden/>
    <w:unhideWhenUsed/>
    <w:rsid w:val="007B44DF"/>
  </w:style>
  <w:style w:type="character" w:customStyle="1" w:styleId="CommentTextChar">
    <w:name w:val="Comment Text Char"/>
    <w:link w:val="CommentText"/>
    <w:uiPriority w:val="99"/>
    <w:semiHidden/>
    <w:rsid w:val="007B44DF"/>
    <w:rPr>
      <w:rFonts w:ascii="Arial" w:hAnsi="Arial" w:cs="Arial"/>
      <w:lang w:val="es-ES"/>
    </w:rPr>
  </w:style>
  <w:style w:type="paragraph" w:styleId="CommentSubject">
    <w:name w:val="annotation subject"/>
    <w:basedOn w:val="CommentText"/>
    <w:next w:val="CommentText"/>
    <w:link w:val="CommentSubjectChar"/>
    <w:uiPriority w:val="99"/>
    <w:semiHidden/>
    <w:unhideWhenUsed/>
    <w:rsid w:val="007B44DF"/>
    <w:rPr>
      <w:b/>
      <w:bCs/>
    </w:rPr>
  </w:style>
  <w:style w:type="character" w:customStyle="1" w:styleId="CommentSubjectChar">
    <w:name w:val="Comment Subject Char"/>
    <w:link w:val="CommentSubject"/>
    <w:uiPriority w:val="99"/>
    <w:semiHidden/>
    <w:rsid w:val="007B44DF"/>
    <w:rPr>
      <w:rFonts w:ascii="Arial" w:hAnsi="Arial" w:cs="Arial"/>
      <w:b/>
      <w:bCs/>
      <w:lang w:val="es-ES"/>
    </w:rPr>
  </w:style>
  <w:style w:type="paragraph" w:customStyle="1" w:styleId="TableContents">
    <w:name w:val="Table Contents"/>
    <w:basedOn w:val="Normal"/>
    <w:rsid w:val="00020E11"/>
    <w:pPr>
      <w:widowControl w:val="0"/>
      <w:suppressLineNumbers/>
      <w:suppressAutoHyphens/>
      <w:autoSpaceDN w:val="0"/>
      <w:spacing w:after="198"/>
      <w:textAlignment w:val="baseline"/>
    </w:pPr>
    <w:rPr>
      <w:rFonts w:ascii="DejaVu Sans" w:eastAsia="WenQuanYi Micro Hei" w:hAnsi="DejaVu Sans" w:cs="Lohit Hindi"/>
      <w:kern w:val="3"/>
      <w:sz w:val="21"/>
      <w:lang w:val="en-US" w:eastAsia="zh-CN" w:bidi="hi-IN"/>
    </w:rPr>
  </w:style>
  <w:style w:type="character" w:styleId="FootnoteReference">
    <w:name w:val="footnote reference"/>
    <w:aliases w:val="ftref,titulo 2,Fußnotenzeichen DISS,16 Point,Superscript 6 Point,BVI fnr, BVI fnr,Знак сноски 1,referencia nota al pie,FC,Footnote Referencefra,Ref. de nota al pie.,Style 24,Footnote Reference Number,Footnote,Ref,de nota al pie,fr"/>
    <w:uiPriority w:val="99"/>
    <w:unhideWhenUsed/>
    <w:qFormat/>
    <w:rsid w:val="00284998"/>
    <w:rPr>
      <w:vertAlign w:val="superscript"/>
    </w:rPr>
  </w:style>
  <w:style w:type="paragraph" w:customStyle="1" w:styleId="Default">
    <w:name w:val="Default"/>
    <w:rsid w:val="008751EF"/>
    <w:pPr>
      <w:widowControl w:val="0"/>
      <w:autoSpaceDE w:val="0"/>
      <w:autoSpaceDN w:val="0"/>
      <w:adjustRightInd w:val="0"/>
    </w:pPr>
    <w:rPr>
      <w:rFonts w:ascii="Times New Roman" w:hAnsi="Times New Roman"/>
      <w:color w:val="000000"/>
      <w:sz w:val="24"/>
      <w:szCs w:val="24"/>
    </w:rPr>
  </w:style>
  <w:style w:type="character" w:customStyle="1" w:styleId="Heading5Char">
    <w:name w:val="Heading 5 Char"/>
    <w:aliases w:val="Heading 5.(i) Char"/>
    <w:link w:val="Heading5"/>
    <w:uiPriority w:val="9"/>
    <w:rsid w:val="00580FC3"/>
    <w:rPr>
      <w:rFonts w:ascii="Times New Roman Bold" w:eastAsia="Times New Roman" w:hAnsi="Times New Roman Bold"/>
      <w:b/>
      <w:noProof/>
      <w:sz w:val="24"/>
      <w:szCs w:val="24"/>
    </w:rPr>
  </w:style>
  <w:style w:type="paragraph" w:customStyle="1" w:styleId="AutoNumpara">
    <w:name w:val="AutoNumpara"/>
    <w:basedOn w:val="BodyTextIndent"/>
    <w:rsid w:val="00580FC3"/>
    <w:pPr>
      <w:numPr>
        <w:ilvl w:val="1"/>
        <w:numId w:val="6"/>
      </w:numPr>
      <w:spacing w:before="120"/>
    </w:pPr>
    <w:rPr>
      <w:rFonts w:eastAsia="Times New Roman" w:cs="Times New Roman"/>
      <w:noProof/>
      <w:spacing w:val="-2"/>
      <w:lang w:val="es-ES_tradnl"/>
    </w:rPr>
  </w:style>
  <w:style w:type="paragraph" w:customStyle="1" w:styleId="IndentedParagr">
    <w:name w:val="IndentedParagr"/>
    <w:basedOn w:val="Normal"/>
    <w:rsid w:val="00580FC3"/>
    <w:pPr>
      <w:spacing w:before="120" w:after="120"/>
      <w:ind w:left="720"/>
    </w:pPr>
    <w:rPr>
      <w:rFonts w:ascii="Times New Roman" w:eastAsia="Times New Roman" w:hAnsi="Times New Roman" w:cs="Times New Roman"/>
      <w:lang w:val="es-ES_tradnl"/>
    </w:rPr>
  </w:style>
  <w:style w:type="paragraph" w:customStyle="1" w:styleId="61Paragraph">
    <w:name w:val="6.1 Paragraph"/>
    <w:basedOn w:val="ListParagraph"/>
    <w:qFormat/>
    <w:rsid w:val="00D04881"/>
    <w:pPr>
      <w:numPr>
        <w:numId w:val="5"/>
      </w:numPr>
      <w:spacing w:before="120"/>
    </w:pPr>
    <w:rPr>
      <w:noProof/>
      <w:lang w:val="en-US"/>
    </w:rPr>
  </w:style>
  <w:style w:type="character" w:customStyle="1" w:styleId="ColorfulList-Accent1Char">
    <w:name w:val="Colorful List - Accent 1 Char"/>
    <w:link w:val="ColorfulList-Accent11"/>
    <w:uiPriority w:val="34"/>
    <w:rsid w:val="00315498"/>
    <w:rPr>
      <w:rFonts w:ascii="Arial" w:hAnsi="Arial" w:cs="Arial"/>
      <w:lang w:val="es-ES"/>
    </w:rPr>
  </w:style>
  <w:style w:type="character" w:styleId="PlaceholderText">
    <w:name w:val="Placeholder Text"/>
    <w:uiPriority w:val="99"/>
    <w:unhideWhenUsed/>
    <w:rsid w:val="00517277"/>
    <w:rPr>
      <w:color w:val="808080"/>
    </w:rPr>
  </w:style>
  <w:style w:type="paragraph" w:customStyle="1" w:styleId="StyleBodyTextBoldLeft63mm">
    <w:name w:val="Style Body Text + Bold Left:  6.3 mm"/>
    <w:basedOn w:val="BodyText"/>
    <w:rsid w:val="00F638F1"/>
    <w:pPr>
      <w:suppressAutoHyphens/>
      <w:ind w:left="357"/>
      <w:jc w:val="center"/>
    </w:pPr>
    <w:rPr>
      <w:rFonts w:ascii="Times New Roman Bold" w:eastAsia="Times New Roman" w:hAnsi="Times New Roman Bold" w:cs="Times New Roman"/>
      <w:b/>
      <w:bCs/>
      <w:smallCaps/>
      <w:color w:val="000000"/>
      <w:szCs w:val="20"/>
      <w:lang w:val="es-ES_tradnl"/>
    </w:rPr>
  </w:style>
  <w:style w:type="paragraph" w:styleId="BodyText">
    <w:name w:val="Body Text"/>
    <w:basedOn w:val="Normal"/>
    <w:link w:val="BodyTextChar"/>
    <w:uiPriority w:val="99"/>
    <w:semiHidden/>
    <w:unhideWhenUsed/>
    <w:rsid w:val="00F638F1"/>
    <w:pPr>
      <w:spacing w:after="120"/>
    </w:pPr>
  </w:style>
  <w:style w:type="character" w:customStyle="1" w:styleId="BodyTextChar">
    <w:name w:val="Body Text Char"/>
    <w:link w:val="BodyText"/>
    <w:uiPriority w:val="99"/>
    <w:semiHidden/>
    <w:rsid w:val="00F638F1"/>
    <w:rPr>
      <w:rFonts w:ascii="Arial" w:hAnsi="Arial" w:cs="Arial"/>
      <w:lang w:val="es-ES"/>
    </w:rPr>
  </w:style>
  <w:style w:type="paragraph" w:customStyle="1" w:styleId="21Paragraph">
    <w:name w:val="2.1 Paragraph"/>
    <w:basedOn w:val="11Paragraph"/>
    <w:qFormat/>
    <w:rsid w:val="00422E2B"/>
    <w:pPr>
      <w:numPr>
        <w:numId w:val="7"/>
      </w:numPr>
    </w:pPr>
  </w:style>
  <w:style w:type="paragraph" w:customStyle="1" w:styleId="11Paragraph">
    <w:name w:val="1.1 Paragraph"/>
    <w:basedOn w:val="61Paragraph"/>
    <w:qFormat/>
    <w:rsid w:val="0094461F"/>
    <w:pPr>
      <w:numPr>
        <w:numId w:val="3"/>
      </w:numPr>
    </w:pPr>
    <w:rPr>
      <w:rFonts w:ascii="Times New Roman" w:hAnsi="Times New Roman" w:cs="Times New Roman"/>
      <w:noProof w:val="0"/>
      <w:sz w:val="24"/>
      <w:szCs w:val="24"/>
      <w:lang w:val="es-ES_tradnl"/>
    </w:rPr>
  </w:style>
  <w:style w:type="paragraph" w:customStyle="1" w:styleId="31Paragraph">
    <w:name w:val="3.1 Paragraph"/>
    <w:basedOn w:val="21Paragraph"/>
    <w:qFormat/>
    <w:rsid w:val="005106D0"/>
  </w:style>
  <w:style w:type="paragraph" w:styleId="NormalWeb">
    <w:name w:val="Normal (Web)"/>
    <w:basedOn w:val="Normal"/>
    <w:uiPriority w:val="99"/>
    <w:unhideWhenUsed/>
    <w:rsid w:val="00207C0F"/>
    <w:pPr>
      <w:spacing w:before="100" w:beforeAutospacing="1" w:after="100" w:afterAutospacing="1"/>
      <w:jc w:val="left"/>
    </w:pPr>
    <w:rPr>
      <w:rFonts w:ascii="Times New Roman" w:eastAsia="Times New Roman" w:hAnsi="Times New Roman" w:cs="Times New Roman"/>
      <w:lang w:eastAsia="es-ES"/>
    </w:rPr>
  </w:style>
  <w:style w:type="paragraph" w:customStyle="1" w:styleId="heading-b24">
    <w:name w:val="heading-b24"/>
    <w:basedOn w:val="Normal"/>
    <w:next w:val="Normal"/>
    <w:rsid w:val="00657E2A"/>
    <w:pPr>
      <w:spacing w:after="600"/>
      <w:jc w:val="center"/>
    </w:pPr>
    <w:rPr>
      <w:rFonts w:ascii="Times New Roman Bold" w:eastAsia="Times New Roman" w:hAnsi="Times New Roman Bold" w:cs="Times New Roman"/>
      <w:b/>
      <w:smallCaps/>
      <w:spacing w:val="-3"/>
      <w:szCs w:val="20"/>
      <w:lang w:val="es-ES_tradnl"/>
    </w:rPr>
  </w:style>
  <w:style w:type="paragraph" w:styleId="NoSpacing">
    <w:name w:val="No Spacing"/>
    <w:link w:val="NoSpacingChar"/>
    <w:uiPriority w:val="99"/>
    <w:qFormat/>
    <w:rsid w:val="006D5A80"/>
    <w:pPr>
      <w:widowControl w:val="0"/>
      <w:adjustRightInd w:val="0"/>
      <w:jc w:val="both"/>
      <w:textAlignment w:val="baseline"/>
    </w:pPr>
    <w:rPr>
      <w:rFonts w:ascii="Times New Roman" w:eastAsia="ヒラギノ角ゴ Pro W3" w:hAnsi="Times New Roman"/>
      <w:color w:val="000000"/>
      <w:sz w:val="24"/>
      <w:szCs w:val="24"/>
    </w:rPr>
  </w:style>
  <w:style w:type="character" w:customStyle="1" w:styleId="NoSpacingChar">
    <w:name w:val="No Spacing Char"/>
    <w:link w:val="NoSpacing"/>
    <w:uiPriority w:val="99"/>
    <w:rsid w:val="006D5A80"/>
    <w:rPr>
      <w:rFonts w:ascii="Times New Roman" w:eastAsia="ヒラギノ角ゴ Pro W3" w:hAnsi="Times New Roman"/>
      <w:color w:val="000000"/>
    </w:rPr>
  </w:style>
  <w:style w:type="table" w:customStyle="1" w:styleId="MediumShading1-Accent12">
    <w:name w:val="Medium Shading 1 - Accent 12"/>
    <w:basedOn w:val="TableNormal"/>
    <w:uiPriority w:val="63"/>
    <w:rsid w:val="00A9221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List4">
    <w:name w:val="List 4"/>
    <w:basedOn w:val="Normal"/>
    <w:rsid w:val="001E61A5"/>
    <w:pPr>
      <w:spacing w:after="120"/>
      <w:ind w:left="1132" w:hanging="283"/>
      <w:contextualSpacing/>
    </w:pPr>
    <w:rPr>
      <w:rFonts w:ascii="Cambria" w:eastAsia="Cambria" w:hAnsi="Cambria" w:cs="Times New Roman"/>
      <w:sz w:val="22"/>
      <w:szCs w:val="22"/>
      <w:lang w:val="en-US"/>
    </w:rPr>
  </w:style>
  <w:style w:type="paragraph" w:styleId="ListBullet2">
    <w:name w:val="List Bullet 2"/>
    <w:basedOn w:val="Normal"/>
    <w:rsid w:val="001E61A5"/>
    <w:pPr>
      <w:numPr>
        <w:numId w:val="8"/>
      </w:numPr>
      <w:spacing w:after="120"/>
      <w:contextualSpacing/>
    </w:pPr>
    <w:rPr>
      <w:rFonts w:ascii="Cambria" w:eastAsia="Cambria" w:hAnsi="Cambria" w:cs="Times New Roman"/>
      <w:sz w:val="22"/>
      <w:szCs w:val="22"/>
      <w:lang w:val="en-US"/>
    </w:rPr>
  </w:style>
  <w:style w:type="paragraph" w:styleId="ListBullet3">
    <w:name w:val="List Bullet 3"/>
    <w:basedOn w:val="Normal"/>
    <w:rsid w:val="001E61A5"/>
    <w:pPr>
      <w:numPr>
        <w:numId w:val="9"/>
      </w:numPr>
      <w:spacing w:after="120"/>
      <w:contextualSpacing/>
    </w:pPr>
    <w:rPr>
      <w:rFonts w:ascii="Cambria" w:eastAsia="Cambria" w:hAnsi="Cambria" w:cs="Times New Roman"/>
      <w:sz w:val="22"/>
      <w:szCs w:val="22"/>
      <w:lang w:val="en-US"/>
    </w:rPr>
  </w:style>
  <w:style w:type="paragraph" w:customStyle="1" w:styleId="Newpage">
    <w:name w:val="Newpage"/>
    <w:basedOn w:val="Normal"/>
    <w:rsid w:val="00B65305"/>
    <w:pPr>
      <w:tabs>
        <w:tab w:val="left" w:pos="1440"/>
        <w:tab w:val="left" w:pos="3060"/>
      </w:tabs>
      <w:jc w:val="center"/>
    </w:pPr>
    <w:rPr>
      <w:rFonts w:ascii="Times New Roman" w:eastAsia="Times New Roman" w:hAnsi="Times New Roman"/>
      <w:b/>
      <w:smallCaps/>
      <w:spacing w:val="-3"/>
      <w:szCs w:val="20"/>
      <w:lang w:val="es-ES_tradnl"/>
    </w:rPr>
  </w:style>
  <w:style w:type="paragraph" w:styleId="PlainText">
    <w:name w:val="Plain Text"/>
    <w:basedOn w:val="Normal"/>
    <w:link w:val="PlainTextChar"/>
    <w:uiPriority w:val="99"/>
    <w:semiHidden/>
    <w:unhideWhenUsed/>
    <w:rsid w:val="00A327A2"/>
    <w:pPr>
      <w:jc w:val="left"/>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semiHidden/>
    <w:rsid w:val="00A327A2"/>
    <w:rPr>
      <w:rFonts w:ascii="Calibri" w:eastAsiaTheme="minorHAnsi" w:hAnsi="Calibri" w:cstheme="minorBidi"/>
      <w:sz w:val="22"/>
      <w:szCs w:val="21"/>
    </w:rPr>
  </w:style>
  <w:style w:type="table" w:customStyle="1" w:styleId="TableGrid1">
    <w:name w:val="Table Grid1"/>
    <w:basedOn w:val="TableNormal"/>
    <w:next w:val="TableGrid"/>
    <w:uiPriority w:val="99"/>
    <w:rsid w:val="00FF0EEF"/>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uiPriority w:val="1"/>
    <w:qFormat/>
    <w:rsid w:val="00B06242"/>
    <w:rPr>
      <w:rFonts w:ascii="Times New Roman" w:eastAsia="Times New Roman" w:hAnsi="Times New Roman"/>
      <w:sz w:val="24"/>
      <w:szCs w:val="24"/>
    </w:rPr>
  </w:style>
  <w:style w:type="paragraph" w:styleId="Caption">
    <w:name w:val="caption"/>
    <w:basedOn w:val="Normal"/>
    <w:next w:val="Normal"/>
    <w:uiPriority w:val="35"/>
    <w:unhideWhenUsed/>
    <w:qFormat/>
    <w:rsid w:val="00873826"/>
    <w:pPr>
      <w:spacing w:after="200"/>
      <w:jc w:val="left"/>
    </w:pPr>
    <w:rPr>
      <w:rFonts w:asciiTheme="minorHAnsi" w:eastAsiaTheme="minorEastAsia" w:hAnsiTheme="minorHAnsi" w:cstheme="minorBidi"/>
      <w:b/>
      <w:bCs/>
      <w:color w:val="4F81BD" w:themeColor="accent1"/>
      <w:sz w:val="18"/>
      <w:szCs w:val="18"/>
      <w:lang w:val="es-ES_tradnl" w:eastAsia="es-ES"/>
    </w:rPr>
  </w:style>
  <w:style w:type="paragraph" w:customStyle="1" w:styleId="Sinespaciado2">
    <w:name w:val="Sin espaciado2"/>
    <w:uiPriority w:val="1"/>
    <w:qFormat/>
    <w:rsid w:val="00C24D9A"/>
    <w:rPr>
      <w:rFonts w:ascii="Times New Roman" w:eastAsia="Times New Roman" w:hAnsi="Times New Roman"/>
      <w:sz w:val="24"/>
      <w:szCs w:val="24"/>
    </w:rPr>
  </w:style>
  <w:style w:type="paragraph" w:styleId="Revision">
    <w:name w:val="Revision"/>
    <w:hidden/>
    <w:uiPriority w:val="71"/>
    <w:rsid w:val="005B0034"/>
    <w:rPr>
      <w:rFonts w:ascii="Arial" w:hAnsi="Arial" w:cs="Arial"/>
      <w:sz w:val="24"/>
      <w:szCs w:val="24"/>
      <w:lang w:val="es-ES"/>
    </w:rPr>
  </w:style>
  <w:style w:type="character" w:customStyle="1" w:styleId="Heading6Char">
    <w:name w:val="Heading 6 Char"/>
    <w:basedOn w:val="DefaultParagraphFont"/>
    <w:link w:val="Heading6"/>
    <w:uiPriority w:val="9"/>
    <w:rsid w:val="005B633F"/>
    <w:rPr>
      <w:rFonts w:asciiTheme="majorHAnsi" w:eastAsiaTheme="majorEastAsia" w:hAnsiTheme="majorHAnsi" w:cstheme="majorBidi"/>
      <w:i/>
      <w:iCs/>
      <w:color w:val="243F60" w:themeColor="accent1" w:themeShade="7F"/>
      <w:sz w:val="24"/>
      <w:lang w:val="es-ES_tradnl"/>
    </w:rPr>
  </w:style>
  <w:style w:type="character" w:customStyle="1" w:styleId="Heading7Char">
    <w:name w:val="Heading 7 Char"/>
    <w:basedOn w:val="DefaultParagraphFont"/>
    <w:link w:val="Heading7"/>
    <w:uiPriority w:val="9"/>
    <w:rsid w:val="005B633F"/>
    <w:rPr>
      <w:rFonts w:asciiTheme="majorHAnsi" w:eastAsiaTheme="majorEastAsia" w:hAnsiTheme="majorHAnsi" w:cstheme="majorBidi"/>
      <w:i/>
      <w:iCs/>
      <w:color w:val="404040" w:themeColor="text1" w:themeTint="BF"/>
      <w:sz w:val="24"/>
      <w:lang w:val="es-ES_tradnl"/>
    </w:rPr>
  </w:style>
  <w:style w:type="character" w:customStyle="1" w:styleId="Heading8Char">
    <w:name w:val="Heading 8 Char"/>
    <w:basedOn w:val="DefaultParagraphFont"/>
    <w:link w:val="Heading8"/>
    <w:uiPriority w:val="9"/>
    <w:rsid w:val="005B633F"/>
    <w:rPr>
      <w:rFonts w:asciiTheme="majorHAnsi" w:eastAsiaTheme="majorEastAsia" w:hAnsiTheme="majorHAnsi" w:cstheme="majorBidi"/>
      <w:color w:val="404040" w:themeColor="text1" w:themeTint="BF"/>
      <w:lang w:val="es-ES_tradnl"/>
    </w:rPr>
  </w:style>
  <w:style w:type="character" w:customStyle="1" w:styleId="Heading9Char">
    <w:name w:val="Heading 9 Char"/>
    <w:basedOn w:val="DefaultParagraphFont"/>
    <w:link w:val="Heading9"/>
    <w:uiPriority w:val="9"/>
    <w:rsid w:val="005B633F"/>
    <w:rPr>
      <w:rFonts w:asciiTheme="majorHAnsi" w:eastAsiaTheme="majorEastAsia" w:hAnsiTheme="majorHAnsi" w:cstheme="majorBidi"/>
      <w:i/>
      <w:iCs/>
      <w:color w:val="404040" w:themeColor="text1" w:themeTint="BF"/>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List 4" w:uiPriority="0"/>
    <w:lsdException w:name="List Bullet 2"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3"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064DDF"/>
    <w:pPr>
      <w:jc w:val="both"/>
    </w:pPr>
    <w:rPr>
      <w:rFonts w:ascii="Arial" w:hAnsi="Arial" w:cs="Arial"/>
      <w:sz w:val="24"/>
      <w:szCs w:val="24"/>
      <w:lang w:val="es-ES"/>
    </w:rPr>
  </w:style>
  <w:style w:type="paragraph" w:styleId="Heading1">
    <w:name w:val="heading 1"/>
    <w:aliases w:val="Heading 1.I"/>
    <w:basedOn w:val="Normal"/>
    <w:next w:val="Normal"/>
    <w:link w:val="Heading1Char"/>
    <w:qFormat/>
    <w:rsid w:val="00A0074D"/>
    <w:pPr>
      <w:keepNext/>
      <w:keepLines/>
      <w:numPr>
        <w:numId w:val="6"/>
      </w:numPr>
      <w:jc w:val="left"/>
      <w:outlineLvl w:val="0"/>
    </w:pPr>
    <w:rPr>
      <w:rFonts w:eastAsia="MS Gothic"/>
      <w:b/>
      <w:bCs/>
      <w:color w:val="345A8A"/>
      <w:sz w:val="28"/>
      <w:szCs w:val="28"/>
      <w:lang w:val="es-ES_tradnl"/>
    </w:rPr>
  </w:style>
  <w:style w:type="paragraph" w:styleId="Heading2">
    <w:name w:val="heading 2"/>
    <w:basedOn w:val="Heading3"/>
    <w:next w:val="Normal"/>
    <w:link w:val="Heading2Char"/>
    <w:uiPriority w:val="9"/>
    <w:qFormat/>
    <w:rsid w:val="00F648AD"/>
    <w:pPr>
      <w:numPr>
        <w:ilvl w:val="2"/>
        <w:numId w:val="4"/>
      </w:numPr>
      <w:outlineLvl w:val="1"/>
    </w:pPr>
  </w:style>
  <w:style w:type="paragraph" w:styleId="Heading3">
    <w:name w:val="heading 3"/>
    <w:basedOn w:val="Normal"/>
    <w:next w:val="Normal"/>
    <w:link w:val="Heading3Char"/>
    <w:uiPriority w:val="9"/>
    <w:qFormat/>
    <w:rsid w:val="00E1025F"/>
    <w:pPr>
      <w:keepNext/>
      <w:keepLines/>
      <w:numPr>
        <w:numId w:val="10"/>
      </w:numPr>
      <w:tabs>
        <w:tab w:val="left" w:pos="1134"/>
        <w:tab w:val="left" w:pos="1560"/>
      </w:tabs>
      <w:spacing w:before="200" w:after="240"/>
      <w:outlineLvl w:val="2"/>
    </w:pPr>
    <w:rPr>
      <w:rFonts w:ascii="Times New Roman" w:eastAsia="MS Gothic" w:hAnsi="Times New Roman" w:cs="Times New Roman"/>
      <w:b/>
      <w:bCs/>
      <w:lang w:val="es-ES_tradnl"/>
    </w:rPr>
  </w:style>
  <w:style w:type="paragraph" w:styleId="Heading4">
    <w:name w:val="heading 4"/>
    <w:aliases w:val="Heading 4.a"/>
    <w:basedOn w:val="Normal"/>
    <w:next w:val="Normal"/>
    <w:link w:val="Heading4Char"/>
    <w:uiPriority w:val="9"/>
    <w:unhideWhenUsed/>
    <w:qFormat/>
    <w:rsid w:val="00580FC3"/>
    <w:pPr>
      <w:keepNext/>
      <w:numPr>
        <w:ilvl w:val="2"/>
        <w:numId w:val="6"/>
      </w:numPr>
      <w:tabs>
        <w:tab w:val="left" w:pos="1440"/>
      </w:tabs>
      <w:spacing w:before="120" w:after="120"/>
      <w:outlineLvl w:val="3"/>
    </w:pPr>
    <w:rPr>
      <w:u w:val="single"/>
    </w:rPr>
  </w:style>
  <w:style w:type="paragraph" w:styleId="Heading5">
    <w:name w:val="heading 5"/>
    <w:aliases w:val="Heading 5.(i)"/>
    <w:next w:val="Normal"/>
    <w:link w:val="Heading5Char"/>
    <w:uiPriority w:val="9"/>
    <w:qFormat/>
    <w:rsid w:val="00580FC3"/>
    <w:pPr>
      <w:keepNext/>
      <w:numPr>
        <w:ilvl w:val="3"/>
        <w:numId w:val="6"/>
      </w:numPr>
      <w:spacing w:before="120" w:after="120"/>
      <w:jc w:val="both"/>
      <w:outlineLvl w:val="4"/>
    </w:pPr>
    <w:rPr>
      <w:rFonts w:ascii="Times New Roman Bold" w:eastAsia="Times New Roman" w:hAnsi="Times New Roman Bold"/>
      <w:b/>
      <w:noProof/>
      <w:sz w:val="24"/>
      <w:szCs w:val="24"/>
    </w:rPr>
  </w:style>
  <w:style w:type="paragraph" w:styleId="Heading6">
    <w:name w:val="heading 6"/>
    <w:basedOn w:val="Normal"/>
    <w:next w:val="Normal"/>
    <w:link w:val="Heading6Char"/>
    <w:uiPriority w:val="9"/>
    <w:unhideWhenUsed/>
    <w:qFormat/>
    <w:rsid w:val="005B633F"/>
    <w:pPr>
      <w:keepNext/>
      <w:keepLines/>
      <w:spacing w:before="200"/>
      <w:ind w:left="1152" w:hanging="432"/>
      <w:jc w:val="left"/>
      <w:outlineLvl w:val="5"/>
    </w:pPr>
    <w:rPr>
      <w:rFonts w:asciiTheme="majorHAnsi" w:eastAsiaTheme="majorEastAsia" w:hAnsiTheme="majorHAnsi" w:cstheme="majorBidi"/>
      <w:i/>
      <w:iCs/>
      <w:color w:val="243F60" w:themeColor="accent1" w:themeShade="7F"/>
      <w:szCs w:val="20"/>
      <w:lang w:val="es-ES_tradnl"/>
    </w:rPr>
  </w:style>
  <w:style w:type="paragraph" w:styleId="Heading7">
    <w:name w:val="heading 7"/>
    <w:basedOn w:val="Normal"/>
    <w:next w:val="Normal"/>
    <w:link w:val="Heading7Char"/>
    <w:uiPriority w:val="9"/>
    <w:unhideWhenUsed/>
    <w:qFormat/>
    <w:rsid w:val="005B633F"/>
    <w:pPr>
      <w:keepNext/>
      <w:keepLines/>
      <w:spacing w:before="200"/>
      <w:ind w:left="1296" w:hanging="288"/>
      <w:jc w:val="left"/>
      <w:outlineLvl w:val="6"/>
    </w:pPr>
    <w:rPr>
      <w:rFonts w:asciiTheme="majorHAnsi" w:eastAsiaTheme="majorEastAsia" w:hAnsiTheme="majorHAnsi" w:cstheme="majorBidi"/>
      <w:i/>
      <w:iCs/>
      <w:color w:val="404040" w:themeColor="text1" w:themeTint="BF"/>
      <w:szCs w:val="20"/>
      <w:lang w:val="es-ES_tradnl"/>
    </w:rPr>
  </w:style>
  <w:style w:type="paragraph" w:styleId="Heading8">
    <w:name w:val="heading 8"/>
    <w:basedOn w:val="Normal"/>
    <w:next w:val="Normal"/>
    <w:link w:val="Heading8Char"/>
    <w:uiPriority w:val="9"/>
    <w:unhideWhenUsed/>
    <w:qFormat/>
    <w:rsid w:val="005B633F"/>
    <w:pPr>
      <w:keepNext/>
      <w:keepLines/>
      <w:spacing w:before="200"/>
      <w:ind w:left="1440" w:hanging="432"/>
      <w:jc w:val="left"/>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iPriority w:val="9"/>
    <w:unhideWhenUsed/>
    <w:qFormat/>
    <w:rsid w:val="005B633F"/>
    <w:pPr>
      <w:keepNext/>
      <w:keepLines/>
      <w:spacing w:before="200"/>
      <w:ind w:left="1584" w:hanging="144"/>
      <w:jc w:val="left"/>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link w:val="Heading1"/>
    <w:locked/>
    <w:rsid w:val="00A0074D"/>
    <w:rPr>
      <w:rFonts w:ascii="Arial" w:eastAsia="MS Gothic" w:hAnsi="Arial" w:cs="Arial"/>
      <w:b/>
      <w:bCs/>
      <w:color w:val="345A8A"/>
      <w:sz w:val="28"/>
      <w:szCs w:val="28"/>
      <w:lang w:val="es-ES_tradnl"/>
    </w:rPr>
  </w:style>
  <w:style w:type="character" w:customStyle="1" w:styleId="Heading2Char">
    <w:name w:val="Heading 2 Char"/>
    <w:link w:val="Heading2"/>
    <w:uiPriority w:val="9"/>
    <w:locked/>
    <w:rsid w:val="00F648AD"/>
    <w:rPr>
      <w:rFonts w:ascii="Times New Roman" w:eastAsia="MS Gothic" w:hAnsi="Times New Roman"/>
      <w:b/>
      <w:bCs/>
      <w:sz w:val="24"/>
      <w:szCs w:val="24"/>
      <w:lang w:val="es-ES_tradnl"/>
    </w:rPr>
  </w:style>
  <w:style w:type="character" w:customStyle="1" w:styleId="Heading3Char">
    <w:name w:val="Heading 3 Char"/>
    <w:link w:val="Heading3"/>
    <w:uiPriority w:val="9"/>
    <w:locked/>
    <w:rsid w:val="00E1025F"/>
    <w:rPr>
      <w:rFonts w:ascii="Times New Roman" w:eastAsia="MS Gothic" w:hAnsi="Times New Roman"/>
      <w:b/>
      <w:bCs/>
      <w:sz w:val="24"/>
      <w:szCs w:val="24"/>
      <w:lang w:val="es-ES_tradnl"/>
    </w:rPr>
  </w:style>
  <w:style w:type="table" w:styleId="TableGrid">
    <w:name w:val="Table Grid"/>
    <w:basedOn w:val="TableNormal"/>
    <w:uiPriority w:val="59"/>
    <w:rsid w:val="00642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1">
    <w:name w:val="Colorful List Accent 1"/>
    <w:basedOn w:val="TableNormal"/>
    <w:uiPriority w:val="72"/>
    <w:rsid w:val="007B26C4"/>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Header">
    <w:name w:val="header"/>
    <w:basedOn w:val="Normal"/>
    <w:link w:val="HeaderChar"/>
    <w:uiPriority w:val="99"/>
    <w:rsid w:val="00771A7A"/>
    <w:pPr>
      <w:tabs>
        <w:tab w:val="center" w:pos="4680"/>
        <w:tab w:val="right" w:pos="9360"/>
      </w:tabs>
      <w:spacing w:after="120"/>
    </w:pPr>
    <w:rPr>
      <w:rFonts w:ascii="Calibri" w:eastAsia="Times New Roman" w:hAnsi="Calibri"/>
      <w:szCs w:val="22"/>
      <w:lang w:val="es-ES_tradnl"/>
    </w:rPr>
  </w:style>
  <w:style w:type="character" w:customStyle="1" w:styleId="HeaderChar">
    <w:name w:val="Header Char"/>
    <w:link w:val="Header"/>
    <w:uiPriority w:val="99"/>
    <w:locked/>
    <w:rsid w:val="00771A7A"/>
    <w:rPr>
      <w:rFonts w:ascii="Calibri" w:eastAsia="Times New Roman" w:hAnsi="Calibri"/>
      <w:sz w:val="22"/>
      <w:lang w:val="es-ES_tradnl"/>
    </w:rPr>
  </w:style>
  <w:style w:type="paragraph" w:styleId="Footer">
    <w:name w:val="footer"/>
    <w:basedOn w:val="Normal"/>
    <w:link w:val="FooterChar"/>
    <w:uiPriority w:val="99"/>
    <w:rsid w:val="00771A7A"/>
    <w:pPr>
      <w:tabs>
        <w:tab w:val="center" w:pos="4680"/>
        <w:tab w:val="right" w:pos="9360"/>
      </w:tabs>
      <w:spacing w:after="120"/>
    </w:pPr>
    <w:rPr>
      <w:rFonts w:ascii="Calibri" w:eastAsia="Times New Roman" w:hAnsi="Calibri"/>
      <w:szCs w:val="22"/>
      <w:lang w:val="es-ES_tradnl"/>
    </w:rPr>
  </w:style>
  <w:style w:type="character" w:customStyle="1" w:styleId="FooterChar">
    <w:name w:val="Footer Char"/>
    <w:link w:val="Footer"/>
    <w:uiPriority w:val="99"/>
    <w:locked/>
    <w:rsid w:val="00771A7A"/>
    <w:rPr>
      <w:rFonts w:ascii="Calibri" w:eastAsia="Times New Roman" w:hAnsi="Calibri"/>
      <w:sz w:val="22"/>
      <w:lang w:val="es-ES_tradnl"/>
    </w:rPr>
  </w:style>
  <w:style w:type="paragraph" w:styleId="Title">
    <w:name w:val="Title"/>
    <w:basedOn w:val="Normal"/>
    <w:link w:val="TitleChar"/>
    <w:qFormat/>
    <w:rsid w:val="00771A7A"/>
    <w:pPr>
      <w:spacing w:after="120"/>
    </w:pPr>
  </w:style>
  <w:style w:type="character" w:customStyle="1" w:styleId="TitleChar">
    <w:name w:val="Title Char"/>
    <w:link w:val="Title"/>
    <w:locked/>
    <w:rsid w:val="00771A7A"/>
    <w:rPr>
      <w:rFonts w:ascii="Arial" w:hAnsi="Arial"/>
      <w:sz w:val="20"/>
    </w:rPr>
  </w:style>
  <w:style w:type="character" w:styleId="PageNumber">
    <w:name w:val="page number"/>
    <w:basedOn w:val="DefaultParagraphFont"/>
    <w:uiPriority w:val="99"/>
    <w:rsid w:val="00771A7A"/>
  </w:style>
  <w:style w:type="paragraph" w:styleId="BalloonText">
    <w:name w:val="Balloon Text"/>
    <w:basedOn w:val="Normal"/>
    <w:link w:val="BalloonTextChar"/>
    <w:uiPriority w:val="99"/>
    <w:semiHidden/>
    <w:unhideWhenUsed/>
    <w:rsid w:val="006113E8"/>
    <w:rPr>
      <w:rFonts w:ascii="Lucida Grande" w:hAnsi="Lucida Grande"/>
      <w:sz w:val="18"/>
      <w:szCs w:val="18"/>
    </w:rPr>
  </w:style>
  <w:style w:type="character" w:customStyle="1" w:styleId="BalloonTextChar">
    <w:name w:val="Balloon Text Char"/>
    <w:link w:val="BalloonText"/>
    <w:uiPriority w:val="99"/>
    <w:semiHidden/>
    <w:locked/>
    <w:rsid w:val="006113E8"/>
    <w:rPr>
      <w:rFonts w:ascii="Lucida Grande" w:hAnsi="Lucida Grande"/>
      <w:sz w:val="18"/>
    </w:rPr>
  </w:style>
  <w:style w:type="table" w:customStyle="1" w:styleId="LightList-Accent11">
    <w:name w:val="Light List - Accent 11"/>
    <w:basedOn w:val="TableNormal"/>
    <w:uiPriority w:val="61"/>
    <w:rsid w:val="00784F9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TableNormal"/>
    <w:uiPriority w:val="68"/>
    <w:rsid w:val="00CD4D7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customStyle="1" w:styleId="n">
    <w:name w:val="n"/>
    <w:rsid w:val="00BE4F83"/>
    <w:pPr>
      <w:spacing w:before="120" w:after="120"/>
      <w:jc w:val="both"/>
    </w:pPr>
    <w:rPr>
      <w:rFonts w:ascii="Arial" w:hAnsi="Arial"/>
      <w:sz w:val="24"/>
      <w:szCs w:val="24"/>
      <w:lang w:val="es-ES_tradnl"/>
    </w:rPr>
  </w:style>
  <w:style w:type="paragraph" w:customStyle="1" w:styleId="Paragraph">
    <w:name w:val="Paragraph"/>
    <w:aliases w:val="paragraph,p,PARAGRAPH,PG,pa,at"/>
    <w:basedOn w:val="BodyTextIndent"/>
    <w:link w:val="ParagraphChar"/>
    <w:qFormat/>
    <w:rsid w:val="00785211"/>
    <w:pPr>
      <w:tabs>
        <w:tab w:val="num" w:pos="720"/>
      </w:tabs>
      <w:spacing w:before="120"/>
      <w:ind w:left="720" w:hanging="720"/>
      <w:outlineLvl w:val="1"/>
    </w:pPr>
  </w:style>
  <w:style w:type="character" w:customStyle="1" w:styleId="ParagraphChar">
    <w:name w:val="Paragraph Char"/>
    <w:link w:val="Paragraph"/>
    <w:locked/>
    <w:rsid w:val="00785211"/>
    <w:rPr>
      <w:rFonts w:ascii="Times New Roman" w:hAnsi="Times New Roman"/>
      <w:sz w:val="24"/>
      <w:lang w:val="es-ES"/>
    </w:rPr>
  </w:style>
  <w:style w:type="paragraph" w:styleId="BodyTextIndent">
    <w:name w:val="Body Text Indent"/>
    <w:basedOn w:val="Normal"/>
    <w:link w:val="BodyTextIndentChar"/>
    <w:uiPriority w:val="99"/>
    <w:semiHidden/>
    <w:unhideWhenUsed/>
    <w:rsid w:val="00785211"/>
    <w:pPr>
      <w:spacing w:after="120"/>
      <w:ind w:left="360"/>
    </w:pPr>
    <w:rPr>
      <w:rFonts w:ascii="Times New Roman" w:hAnsi="Times New Roman"/>
    </w:rPr>
  </w:style>
  <w:style w:type="character" w:customStyle="1" w:styleId="BodyTextIndentChar">
    <w:name w:val="Body Text Indent Char"/>
    <w:link w:val="BodyTextIndent"/>
    <w:uiPriority w:val="99"/>
    <w:semiHidden/>
    <w:locked/>
    <w:rsid w:val="00785211"/>
    <w:rPr>
      <w:rFonts w:ascii="Times New Roman" w:hAnsi="Times New Roman" w:cs="Times New Roman"/>
      <w:sz w:val="24"/>
      <w:szCs w:val="24"/>
    </w:rPr>
  </w:style>
  <w:style w:type="paragraph" w:customStyle="1" w:styleId="AbbrDesc">
    <w:name w:val="AbbrDesc"/>
    <w:basedOn w:val="Normal"/>
    <w:rsid w:val="0072343D"/>
    <w:pPr>
      <w:tabs>
        <w:tab w:val="left" w:pos="3060"/>
      </w:tabs>
    </w:pPr>
    <w:rPr>
      <w:rFonts w:ascii="Times New Roman" w:hAnsi="Times New Roman"/>
      <w:lang w:val="es-ES_tradnl"/>
    </w:rPr>
  </w:style>
  <w:style w:type="paragraph" w:customStyle="1" w:styleId="Chapter">
    <w:name w:val="Chapter"/>
    <w:basedOn w:val="Normal"/>
    <w:next w:val="Normal"/>
    <w:link w:val="ChapterChar"/>
    <w:qFormat/>
    <w:rsid w:val="00866505"/>
    <w:pPr>
      <w:numPr>
        <w:numId w:val="1"/>
      </w:numPr>
      <w:tabs>
        <w:tab w:val="num" w:pos="648"/>
        <w:tab w:val="left" w:pos="1440"/>
      </w:tabs>
      <w:spacing w:before="240" w:after="240"/>
      <w:ind w:left="0" w:firstLine="288"/>
      <w:jc w:val="center"/>
    </w:pPr>
    <w:rPr>
      <w:rFonts w:ascii="Times New Roman" w:hAnsi="Times New Roman"/>
      <w:smallCaps/>
    </w:rPr>
  </w:style>
  <w:style w:type="character" w:customStyle="1" w:styleId="ChapterChar">
    <w:name w:val="Chapter Char"/>
    <w:link w:val="Chapter"/>
    <w:locked/>
    <w:rsid w:val="00866505"/>
    <w:rPr>
      <w:rFonts w:ascii="Times New Roman" w:hAnsi="Times New Roman" w:cs="Arial"/>
      <w:smallCaps/>
      <w:sz w:val="24"/>
      <w:szCs w:val="24"/>
      <w:lang w:val="es-ES"/>
    </w:rPr>
  </w:style>
  <w:style w:type="paragraph" w:customStyle="1" w:styleId="FirstHeading">
    <w:name w:val="FirstHeading"/>
    <w:basedOn w:val="Normal"/>
    <w:next w:val="Normal"/>
    <w:link w:val="FirstHeadingChar"/>
    <w:uiPriority w:val="99"/>
    <w:rsid w:val="00866505"/>
    <w:pPr>
      <w:tabs>
        <w:tab w:val="left" w:pos="0"/>
        <w:tab w:val="left" w:pos="86"/>
      </w:tabs>
      <w:spacing w:before="120" w:after="120"/>
      <w:ind w:left="720" w:hanging="720"/>
    </w:pPr>
    <w:rPr>
      <w:rFonts w:ascii="Times New Roman" w:hAnsi="Times New Roman"/>
    </w:rPr>
  </w:style>
  <w:style w:type="character" w:customStyle="1" w:styleId="FirstHeadingChar">
    <w:name w:val="FirstHeading Char"/>
    <w:link w:val="FirstHeading"/>
    <w:uiPriority w:val="99"/>
    <w:locked/>
    <w:rsid w:val="00866505"/>
    <w:rPr>
      <w:rFonts w:ascii="Times New Roman" w:eastAsia="MS Gothic" w:hAnsi="Times New Roman" w:cs="Arial"/>
      <w:b/>
      <w:bCs/>
      <w:color w:val="345A8A"/>
      <w:sz w:val="24"/>
      <w:szCs w:val="24"/>
      <w:lang w:val="es-ES_tradnl"/>
    </w:rPr>
  </w:style>
  <w:style w:type="paragraph" w:customStyle="1" w:styleId="SecHeading">
    <w:name w:val="SecHeading"/>
    <w:basedOn w:val="Normal"/>
    <w:next w:val="Paragraph"/>
    <w:link w:val="SecHeadingChar"/>
    <w:uiPriority w:val="99"/>
    <w:rsid w:val="00866505"/>
    <w:pPr>
      <w:tabs>
        <w:tab w:val="num" w:pos="1296"/>
      </w:tabs>
      <w:spacing w:before="120" w:after="120"/>
      <w:ind w:left="1296" w:hanging="576"/>
    </w:pPr>
    <w:rPr>
      <w:rFonts w:ascii="Times New Roman" w:hAnsi="Times New Roman"/>
    </w:rPr>
  </w:style>
  <w:style w:type="character" w:customStyle="1" w:styleId="SecHeadingChar">
    <w:name w:val="SecHeading Char"/>
    <w:link w:val="SecHeading"/>
    <w:locked/>
    <w:rsid w:val="00866505"/>
    <w:rPr>
      <w:rFonts w:ascii="Times New Roman" w:eastAsia="MS Gothic" w:hAnsi="Times New Roman" w:cs="Arial"/>
      <w:b/>
      <w:bCs/>
      <w:color w:val="345A8A"/>
      <w:sz w:val="24"/>
      <w:szCs w:val="24"/>
      <w:lang w:val="es-ES_tradnl"/>
    </w:rPr>
  </w:style>
  <w:style w:type="paragraph" w:customStyle="1" w:styleId="SubHeading1">
    <w:name w:val="SubHeading1"/>
    <w:basedOn w:val="SecHeading"/>
    <w:link w:val="SubHeading1Char"/>
    <w:rsid w:val="00866505"/>
    <w:pPr>
      <w:keepNext/>
      <w:tabs>
        <w:tab w:val="clear" w:pos="1296"/>
        <w:tab w:val="num" w:pos="1872"/>
      </w:tabs>
      <w:ind w:left="1872"/>
    </w:pPr>
    <w:rPr>
      <w:b/>
    </w:rPr>
  </w:style>
  <w:style w:type="character" w:customStyle="1" w:styleId="SubHeading1Char">
    <w:name w:val="SubHeading1 Char"/>
    <w:link w:val="SubHeading1"/>
    <w:locked/>
    <w:rsid w:val="00866505"/>
    <w:rPr>
      <w:rFonts w:ascii="Times New Roman" w:eastAsia="MS Gothic" w:hAnsi="Times New Roman" w:cs="Times New Roman"/>
      <w:b/>
      <w:bCs w:val="0"/>
      <w:color w:val="345A8A"/>
      <w:sz w:val="24"/>
      <w:szCs w:val="24"/>
      <w:lang w:val="es-ES_tradnl"/>
    </w:rPr>
  </w:style>
  <w:style w:type="paragraph" w:customStyle="1" w:styleId="Subheading2">
    <w:name w:val="Subheading2"/>
    <w:basedOn w:val="SecHeading"/>
    <w:link w:val="Subheading2Char"/>
    <w:rsid w:val="00866505"/>
    <w:pPr>
      <w:keepNext/>
      <w:tabs>
        <w:tab w:val="clear" w:pos="1296"/>
        <w:tab w:val="num" w:pos="2376"/>
      </w:tabs>
      <w:ind w:left="2376" w:hanging="288"/>
    </w:pPr>
    <w:rPr>
      <w:b/>
    </w:rPr>
  </w:style>
  <w:style w:type="character" w:customStyle="1" w:styleId="Subheading2Char">
    <w:name w:val="Subheading2 Char"/>
    <w:link w:val="Subheading2"/>
    <w:locked/>
    <w:rsid w:val="00866505"/>
    <w:rPr>
      <w:rFonts w:ascii="Times New Roman" w:eastAsia="MS Gothic" w:hAnsi="Times New Roman" w:cs="Times New Roman"/>
      <w:b/>
      <w:bCs w:val="0"/>
      <w:color w:val="345A8A"/>
      <w:sz w:val="24"/>
      <w:szCs w:val="24"/>
      <w:lang w:val="es-ES_tradnl"/>
    </w:rPr>
  </w:style>
  <w:style w:type="paragraph" w:customStyle="1" w:styleId="subpar">
    <w:name w:val="subpar"/>
    <w:basedOn w:val="BodyTextIndent3"/>
    <w:link w:val="subparChar"/>
    <w:rsid w:val="00866505"/>
    <w:pPr>
      <w:tabs>
        <w:tab w:val="num" w:pos="1152"/>
      </w:tabs>
      <w:spacing w:before="120"/>
      <w:ind w:left="1152" w:hanging="432"/>
      <w:outlineLvl w:val="2"/>
    </w:pPr>
    <w:rPr>
      <w:b/>
    </w:rPr>
  </w:style>
  <w:style w:type="character" w:customStyle="1" w:styleId="subparChar">
    <w:name w:val="subpar Char"/>
    <w:link w:val="subpar"/>
    <w:locked/>
    <w:rsid w:val="00866505"/>
    <w:rPr>
      <w:rFonts w:ascii="Times New Roman" w:eastAsia="MS Gothic" w:hAnsi="Times New Roman" w:cs="Arial"/>
      <w:b/>
      <w:bCs/>
      <w:color w:val="345A8A"/>
      <w:sz w:val="24"/>
      <w:szCs w:val="16"/>
      <w:lang w:val="es-ES_tradnl"/>
    </w:rPr>
  </w:style>
  <w:style w:type="paragraph" w:customStyle="1" w:styleId="SubSubPar">
    <w:name w:val="SubSubPar"/>
    <w:basedOn w:val="subpar"/>
    <w:link w:val="SubSubParChar"/>
    <w:rsid w:val="00866505"/>
    <w:pPr>
      <w:tabs>
        <w:tab w:val="clear" w:pos="1152"/>
        <w:tab w:val="left" w:pos="0"/>
        <w:tab w:val="num" w:pos="1296"/>
      </w:tabs>
      <w:ind w:left="1296" w:hanging="288"/>
    </w:pPr>
    <w:rPr>
      <w:b w:val="0"/>
    </w:rPr>
  </w:style>
  <w:style w:type="character" w:customStyle="1" w:styleId="SubSubParChar">
    <w:name w:val="SubSubPar Char"/>
    <w:link w:val="SubSubPar"/>
    <w:locked/>
    <w:rsid w:val="00866505"/>
    <w:rPr>
      <w:rFonts w:ascii="Times New Roman" w:eastAsia="MS Gothic" w:hAnsi="Times New Roman" w:cs="Times New Roman"/>
      <w:b/>
      <w:bCs w:val="0"/>
      <w:color w:val="345A8A"/>
      <w:sz w:val="16"/>
      <w:szCs w:val="16"/>
      <w:lang w:val="es-ES_tradnl"/>
    </w:rPr>
  </w:style>
  <w:style w:type="paragraph" w:customStyle="1" w:styleId="Regtable">
    <w:name w:val="Regtable"/>
    <w:basedOn w:val="Normal"/>
    <w:link w:val="RegtableChar"/>
    <w:rsid w:val="00866505"/>
    <w:pPr>
      <w:framePr w:wrap="around" w:vAnchor="text" w:hAnchor="text" w:y="1"/>
      <w:spacing w:before="20" w:after="20"/>
    </w:pPr>
    <w:rPr>
      <w:rFonts w:ascii="Times New Roman" w:hAnsi="Times New Roman"/>
      <w:b/>
    </w:rPr>
  </w:style>
  <w:style w:type="character" w:customStyle="1" w:styleId="RegtableChar">
    <w:name w:val="Regtable Char"/>
    <w:link w:val="Regtable"/>
    <w:locked/>
    <w:rsid w:val="00866505"/>
    <w:rPr>
      <w:rFonts w:ascii="Times New Roman" w:eastAsia="MS Gothic" w:hAnsi="Times New Roman" w:cs="Arial"/>
      <w:b/>
      <w:bCs/>
      <w:color w:val="345A8A"/>
      <w:sz w:val="32"/>
      <w:szCs w:val="24"/>
      <w:lang w:val="es-ES_tradnl"/>
    </w:rPr>
  </w:style>
  <w:style w:type="paragraph" w:customStyle="1" w:styleId="TableTitle">
    <w:name w:val="TableTitle"/>
    <w:basedOn w:val="Normal"/>
    <w:link w:val="TableTitleChar"/>
    <w:rsid w:val="00866505"/>
    <w:pPr>
      <w:framePr w:wrap="around" w:vAnchor="text" w:hAnchor="text" w:y="1"/>
      <w:spacing w:before="20" w:after="20"/>
      <w:jc w:val="center"/>
    </w:pPr>
    <w:rPr>
      <w:rFonts w:ascii="Times New Roman Bold" w:hAnsi="Times New Roman Bold"/>
      <w:spacing w:val="-3"/>
    </w:rPr>
  </w:style>
  <w:style w:type="character" w:customStyle="1" w:styleId="TableTitleChar">
    <w:name w:val="TableTitle Char"/>
    <w:link w:val="TableTitle"/>
    <w:locked/>
    <w:rsid w:val="00866505"/>
    <w:rPr>
      <w:rFonts w:ascii="Times New Roman Bold" w:eastAsia="MS Gothic" w:hAnsi="Times New Roman Bold" w:cs="Times New Roman"/>
      <w:b/>
      <w:bCs w:val="0"/>
      <w:color w:val="345A8A"/>
      <w:spacing w:val="-3"/>
      <w:sz w:val="24"/>
      <w:szCs w:val="24"/>
      <w:lang w:val="es-ES_tradnl"/>
    </w:rPr>
  </w:style>
  <w:style w:type="paragraph" w:styleId="BodyTextIndent3">
    <w:name w:val="Body Text Indent 3"/>
    <w:basedOn w:val="Normal"/>
    <w:link w:val="BodyTextIndent3Char"/>
    <w:uiPriority w:val="99"/>
    <w:semiHidden/>
    <w:unhideWhenUsed/>
    <w:rsid w:val="00866505"/>
    <w:pPr>
      <w:spacing w:after="120"/>
      <w:ind w:left="360"/>
    </w:pPr>
    <w:rPr>
      <w:rFonts w:ascii="Times New Roman" w:hAnsi="Times New Roman"/>
      <w:szCs w:val="16"/>
    </w:rPr>
  </w:style>
  <w:style w:type="character" w:customStyle="1" w:styleId="BodyTextIndent3Char">
    <w:name w:val="Body Text Indent 3 Char"/>
    <w:link w:val="BodyTextIndent3"/>
    <w:uiPriority w:val="99"/>
    <w:semiHidden/>
    <w:locked/>
    <w:rsid w:val="00866505"/>
    <w:rPr>
      <w:rFonts w:ascii="Times New Roman" w:hAnsi="Times New Roman" w:cs="Times New Roman"/>
      <w:sz w:val="16"/>
      <w:szCs w:val="16"/>
    </w:rPr>
  </w:style>
  <w:style w:type="paragraph" w:styleId="FootnoteText">
    <w:name w:val="footnote text"/>
    <w:aliases w:val="fn,texto de nota al pie,Nota a pie/Bibliog,footnote,foottextfra,F,Texto nota pie Car Car Car Car Car Car Car Car,Texto nota pie Car Car Car,Footnote Text Char Char Char Char Char Char,Texto nota pie Car Car Car Car Car,Texto nota pie Car1"/>
    <w:basedOn w:val="Normal"/>
    <w:link w:val="FootnoteTextChar"/>
    <w:uiPriority w:val="99"/>
    <w:unhideWhenUsed/>
    <w:qFormat/>
    <w:rsid w:val="00866505"/>
    <w:pPr>
      <w:keepNext/>
      <w:keepLines/>
      <w:spacing w:after="120"/>
      <w:ind w:left="288" w:hanging="288"/>
    </w:pPr>
    <w:rPr>
      <w:rFonts w:ascii="Times New Roman" w:hAnsi="Times New Roman"/>
      <w:spacing w:val="-3"/>
    </w:rPr>
  </w:style>
  <w:style w:type="character" w:customStyle="1" w:styleId="FootnoteTextChar">
    <w:name w:val="Footnote Text Char"/>
    <w:aliases w:val="fn Char,texto de nota al pie Char,Nota a pie/Bibliog Char,footnote Char,foottextfra Char,F Char,Texto nota pie Car Car Car Car Car Car Car Car Char,Texto nota pie Car Car Car Char,Footnote Text Char Char Char Char Char Char Char"/>
    <w:link w:val="FootnoteText"/>
    <w:uiPriority w:val="99"/>
    <w:locked/>
    <w:rsid w:val="00866505"/>
    <w:rPr>
      <w:rFonts w:ascii="Times New Roman" w:hAnsi="Times New Roman" w:cs="Times New Roman"/>
      <w:spacing w:val="-3"/>
    </w:rPr>
  </w:style>
  <w:style w:type="paragraph" w:styleId="TOC1">
    <w:name w:val="toc 1"/>
    <w:basedOn w:val="Normal"/>
    <w:next w:val="Normal"/>
    <w:autoRedefine/>
    <w:uiPriority w:val="39"/>
    <w:unhideWhenUsed/>
    <w:qFormat/>
    <w:rsid w:val="00D4509C"/>
    <w:pPr>
      <w:tabs>
        <w:tab w:val="left" w:pos="426"/>
        <w:tab w:val="right" w:pos="8630"/>
      </w:tabs>
      <w:spacing w:before="240"/>
      <w:jc w:val="left"/>
    </w:pPr>
    <w:rPr>
      <w:rFonts w:ascii="Cambria" w:hAnsi="Cambria"/>
      <w:b/>
      <w:caps/>
    </w:rPr>
  </w:style>
  <w:style w:type="paragraph" w:styleId="TOC2">
    <w:name w:val="toc 2"/>
    <w:basedOn w:val="Normal"/>
    <w:next w:val="Normal"/>
    <w:autoRedefine/>
    <w:uiPriority w:val="39"/>
    <w:unhideWhenUsed/>
    <w:qFormat/>
    <w:rsid w:val="00064DDF"/>
    <w:pPr>
      <w:spacing w:before="240"/>
      <w:jc w:val="left"/>
    </w:pPr>
    <w:rPr>
      <w:rFonts w:ascii="Calibri" w:hAnsi="Calibri"/>
      <w:b/>
    </w:rPr>
  </w:style>
  <w:style w:type="paragraph" w:styleId="TOC3">
    <w:name w:val="toc 3"/>
    <w:basedOn w:val="Normal"/>
    <w:next w:val="Normal"/>
    <w:autoRedefine/>
    <w:uiPriority w:val="39"/>
    <w:unhideWhenUsed/>
    <w:qFormat/>
    <w:rsid w:val="00287C55"/>
    <w:pPr>
      <w:tabs>
        <w:tab w:val="left" w:pos="628"/>
        <w:tab w:val="left" w:pos="720"/>
        <w:tab w:val="right" w:pos="8630"/>
      </w:tabs>
      <w:ind w:left="450"/>
      <w:jc w:val="left"/>
    </w:pPr>
    <w:rPr>
      <w:rFonts w:ascii="Calibri" w:hAnsi="Calibri"/>
    </w:rPr>
  </w:style>
  <w:style w:type="paragraph" w:styleId="TOCHeading">
    <w:name w:val="TOC Heading"/>
    <w:basedOn w:val="Heading1"/>
    <w:next w:val="Normal"/>
    <w:uiPriority w:val="39"/>
    <w:semiHidden/>
    <w:unhideWhenUsed/>
    <w:qFormat/>
    <w:rsid w:val="00755C58"/>
    <w:pPr>
      <w:numPr>
        <w:numId w:val="0"/>
      </w:numPr>
      <w:spacing w:before="480" w:line="276" w:lineRule="auto"/>
      <w:outlineLvl w:val="9"/>
    </w:pPr>
    <w:rPr>
      <w:rFonts w:ascii="Cambria" w:eastAsia="MS Mincho" w:hAnsi="Cambria"/>
      <w:color w:val="365F91"/>
      <w:lang w:val="en-US"/>
    </w:rPr>
  </w:style>
  <w:style w:type="character" w:styleId="Hyperlink">
    <w:name w:val="Hyperlink"/>
    <w:uiPriority w:val="99"/>
    <w:unhideWhenUsed/>
    <w:rsid w:val="00755C58"/>
    <w:rPr>
      <w:rFonts w:cs="Times New Roman"/>
      <w:color w:val="0000FF"/>
      <w:u w:val="single"/>
    </w:rPr>
  </w:style>
  <w:style w:type="paragraph" w:customStyle="1" w:styleId="ColorfulList-Accent11">
    <w:name w:val="Colorful List - Accent 11"/>
    <w:basedOn w:val="Normal"/>
    <w:link w:val="ColorfulList-Accent1Char"/>
    <w:uiPriority w:val="34"/>
    <w:qFormat/>
    <w:rsid w:val="009D5E30"/>
    <w:pPr>
      <w:spacing w:after="120"/>
    </w:pPr>
  </w:style>
  <w:style w:type="paragraph" w:styleId="ListParagraph">
    <w:name w:val="List Paragraph"/>
    <w:basedOn w:val="Normal"/>
    <w:uiPriority w:val="34"/>
    <w:qFormat/>
    <w:rsid w:val="002665C6"/>
    <w:pPr>
      <w:numPr>
        <w:ilvl w:val="1"/>
        <w:numId w:val="2"/>
      </w:numPr>
      <w:spacing w:after="120"/>
    </w:pPr>
    <w:rPr>
      <w:sz w:val="22"/>
      <w:szCs w:val="22"/>
    </w:rPr>
  </w:style>
  <w:style w:type="paragraph" w:styleId="TOC4">
    <w:name w:val="toc 4"/>
    <w:basedOn w:val="Normal"/>
    <w:next w:val="Normal"/>
    <w:autoRedefine/>
    <w:uiPriority w:val="39"/>
    <w:unhideWhenUsed/>
    <w:rsid w:val="00064DDF"/>
    <w:pPr>
      <w:ind w:left="400"/>
      <w:jc w:val="left"/>
    </w:pPr>
    <w:rPr>
      <w:rFonts w:ascii="Calibri" w:hAnsi="Calibri"/>
    </w:rPr>
  </w:style>
  <w:style w:type="paragraph" w:styleId="TOC5">
    <w:name w:val="toc 5"/>
    <w:basedOn w:val="Normal"/>
    <w:next w:val="Normal"/>
    <w:autoRedefine/>
    <w:uiPriority w:val="39"/>
    <w:unhideWhenUsed/>
    <w:rsid w:val="00064DDF"/>
    <w:pPr>
      <w:ind w:left="600"/>
      <w:jc w:val="left"/>
    </w:pPr>
    <w:rPr>
      <w:rFonts w:ascii="Calibri" w:hAnsi="Calibri"/>
    </w:rPr>
  </w:style>
  <w:style w:type="paragraph" w:styleId="TOC6">
    <w:name w:val="toc 6"/>
    <w:basedOn w:val="Normal"/>
    <w:next w:val="Normal"/>
    <w:autoRedefine/>
    <w:uiPriority w:val="39"/>
    <w:unhideWhenUsed/>
    <w:rsid w:val="00064DDF"/>
    <w:pPr>
      <w:ind w:left="800"/>
      <w:jc w:val="left"/>
    </w:pPr>
    <w:rPr>
      <w:rFonts w:ascii="Calibri" w:hAnsi="Calibri"/>
    </w:rPr>
  </w:style>
  <w:style w:type="paragraph" w:styleId="TOC7">
    <w:name w:val="toc 7"/>
    <w:basedOn w:val="Normal"/>
    <w:next w:val="Normal"/>
    <w:autoRedefine/>
    <w:uiPriority w:val="39"/>
    <w:unhideWhenUsed/>
    <w:rsid w:val="00064DDF"/>
    <w:pPr>
      <w:ind w:left="1000"/>
      <w:jc w:val="left"/>
    </w:pPr>
    <w:rPr>
      <w:rFonts w:ascii="Calibri" w:hAnsi="Calibri"/>
    </w:rPr>
  </w:style>
  <w:style w:type="paragraph" w:styleId="TOC8">
    <w:name w:val="toc 8"/>
    <w:basedOn w:val="Normal"/>
    <w:next w:val="Normal"/>
    <w:autoRedefine/>
    <w:uiPriority w:val="39"/>
    <w:unhideWhenUsed/>
    <w:rsid w:val="00064DDF"/>
    <w:pPr>
      <w:ind w:left="1200"/>
      <w:jc w:val="left"/>
    </w:pPr>
    <w:rPr>
      <w:rFonts w:ascii="Calibri" w:hAnsi="Calibri"/>
    </w:rPr>
  </w:style>
  <w:style w:type="paragraph" w:styleId="TOC9">
    <w:name w:val="toc 9"/>
    <w:basedOn w:val="Normal"/>
    <w:next w:val="Normal"/>
    <w:autoRedefine/>
    <w:uiPriority w:val="39"/>
    <w:unhideWhenUsed/>
    <w:rsid w:val="00064DDF"/>
    <w:pPr>
      <w:ind w:left="1400"/>
      <w:jc w:val="left"/>
    </w:pPr>
    <w:rPr>
      <w:rFonts w:ascii="Calibri" w:hAnsi="Calibri"/>
    </w:rPr>
  </w:style>
  <w:style w:type="character" w:customStyle="1" w:styleId="Heading4Char">
    <w:name w:val="Heading 4 Char"/>
    <w:aliases w:val="Heading 4.a Char"/>
    <w:link w:val="Heading4"/>
    <w:uiPriority w:val="9"/>
    <w:rsid w:val="00580FC3"/>
    <w:rPr>
      <w:rFonts w:ascii="Arial" w:hAnsi="Arial" w:cs="Arial"/>
      <w:sz w:val="24"/>
      <w:szCs w:val="24"/>
      <w:u w:val="single"/>
      <w:lang w:val="es-ES"/>
    </w:rPr>
  </w:style>
  <w:style w:type="character" w:styleId="CommentReference">
    <w:name w:val="annotation reference"/>
    <w:uiPriority w:val="99"/>
    <w:semiHidden/>
    <w:unhideWhenUsed/>
    <w:rsid w:val="007B44DF"/>
    <w:rPr>
      <w:sz w:val="16"/>
      <w:szCs w:val="16"/>
    </w:rPr>
  </w:style>
  <w:style w:type="paragraph" w:styleId="CommentText">
    <w:name w:val="annotation text"/>
    <w:basedOn w:val="Normal"/>
    <w:link w:val="CommentTextChar"/>
    <w:uiPriority w:val="99"/>
    <w:semiHidden/>
    <w:unhideWhenUsed/>
    <w:rsid w:val="007B44DF"/>
  </w:style>
  <w:style w:type="character" w:customStyle="1" w:styleId="CommentTextChar">
    <w:name w:val="Comment Text Char"/>
    <w:link w:val="CommentText"/>
    <w:uiPriority w:val="99"/>
    <w:semiHidden/>
    <w:rsid w:val="007B44DF"/>
    <w:rPr>
      <w:rFonts w:ascii="Arial" w:hAnsi="Arial" w:cs="Arial"/>
      <w:lang w:val="es-ES"/>
    </w:rPr>
  </w:style>
  <w:style w:type="paragraph" w:styleId="CommentSubject">
    <w:name w:val="annotation subject"/>
    <w:basedOn w:val="CommentText"/>
    <w:next w:val="CommentText"/>
    <w:link w:val="CommentSubjectChar"/>
    <w:uiPriority w:val="99"/>
    <w:semiHidden/>
    <w:unhideWhenUsed/>
    <w:rsid w:val="007B44DF"/>
    <w:rPr>
      <w:b/>
      <w:bCs/>
    </w:rPr>
  </w:style>
  <w:style w:type="character" w:customStyle="1" w:styleId="CommentSubjectChar">
    <w:name w:val="Comment Subject Char"/>
    <w:link w:val="CommentSubject"/>
    <w:uiPriority w:val="99"/>
    <w:semiHidden/>
    <w:rsid w:val="007B44DF"/>
    <w:rPr>
      <w:rFonts w:ascii="Arial" w:hAnsi="Arial" w:cs="Arial"/>
      <w:b/>
      <w:bCs/>
      <w:lang w:val="es-ES"/>
    </w:rPr>
  </w:style>
  <w:style w:type="paragraph" w:customStyle="1" w:styleId="TableContents">
    <w:name w:val="Table Contents"/>
    <w:basedOn w:val="Normal"/>
    <w:rsid w:val="00020E11"/>
    <w:pPr>
      <w:widowControl w:val="0"/>
      <w:suppressLineNumbers/>
      <w:suppressAutoHyphens/>
      <w:autoSpaceDN w:val="0"/>
      <w:spacing w:after="198"/>
      <w:textAlignment w:val="baseline"/>
    </w:pPr>
    <w:rPr>
      <w:rFonts w:ascii="DejaVu Sans" w:eastAsia="WenQuanYi Micro Hei" w:hAnsi="DejaVu Sans" w:cs="Lohit Hindi"/>
      <w:kern w:val="3"/>
      <w:sz w:val="21"/>
      <w:lang w:val="en-US" w:eastAsia="zh-CN" w:bidi="hi-IN"/>
    </w:rPr>
  </w:style>
  <w:style w:type="character" w:styleId="FootnoteReference">
    <w:name w:val="footnote reference"/>
    <w:aliases w:val="ftref,titulo 2,Fußnotenzeichen DISS,16 Point,Superscript 6 Point,BVI fnr, BVI fnr,Знак сноски 1,referencia nota al pie,FC,Footnote Referencefra,Ref. de nota al pie.,Style 24,Footnote Reference Number,Footnote,Ref,de nota al pie,fr"/>
    <w:uiPriority w:val="99"/>
    <w:unhideWhenUsed/>
    <w:qFormat/>
    <w:rsid w:val="00284998"/>
    <w:rPr>
      <w:vertAlign w:val="superscript"/>
    </w:rPr>
  </w:style>
  <w:style w:type="paragraph" w:customStyle="1" w:styleId="Default">
    <w:name w:val="Default"/>
    <w:rsid w:val="008751EF"/>
    <w:pPr>
      <w:widowControl w:val="0"/>
      <w:autoSpaceDE w:val="0"/>
      <w:autoSpaceDN w:val="0"/>
      <w:adjustRightInd w:val="0"/>
    </w:pPr>
    <w:rPr>
      <w:rFonts w:ascii="Times New Roman" w:hAnsi="Times New Roman"/>
      <w:color w:val="000000"/>
      <w:sz w:val="24"/>
      <w:szCs w:val="24"/>
    </w:rPr>
  </w:style>
  <w:style w:type="character" w:customStyle="1" w:styleId="Heading5Char">
    <w:name w:val="Heading 5 Char"/>
    <w:aliases w:val="Heading 5.(i) Char"/>
    <w:link w:val="Heading5"/>
    <w:uiPriority w:val="9"/>
    <w:rsid w:val="00580FC3"/>
    <w:rPr>
      <w:rFonts w:ascii="Times New Roman Bold" w:eastAsia="Times New Roman" w:hAnsi="Times New Roman Bold"/>
      <w:b/>
      <w:noProof/>
      <w:sz w:val="24"/>
      <w:szCs w:val="24"/>
    </w:rPr>
  </w:style>
  <w:style w:type="paragraph" w:customStyle="1" w:styleId="AutoNumpara">
    <w:name w:val="AutoNumpara"/>
    <w:basedOn w:val="BodyTextIndent"/>
    <w:rsid w:val="00580FC3"/>
    <w:pPr>
      <w:numPr>
        <w:ilvl w:val="1"/>
        <w:numId w:val="6"/>
      </w:numPr>
      <w:spacing w:before="120"/>
    </w:pPr>
    <w:rPr>
      <w:rFonts w:eastAsia="Times New Roman" w:cs="Times New Roman"/>
      <w:noProof/>
      <w:spacing w:val="-2"/>
      <w:lang w:val="es-ES_tradnl"/>
    </w:rPr>
  </w:style>
  <w:style w:type="paragraph" w:customStyle="1" w:styleId="IndentedParagr">
    <w:name w:val="IndentedParagr"/>
    <w:basedOn w:val="Normal"/>
    <w:rsid w:val="00580FC3"/>
    <w:pPr>
      <w:spacing w:before="120" w:after="120"/>
      <w:ind w:left="720"/>
    </w:pPr>
    <w:rPr>
      <w:rFonts w:ascii="Times New Roman" w:eastAsia="Times New Roman" w:hAnsi="Times New Roman" w:cs="Times New Roman"/>
      <w:lang w:val="es-ES_tradnl"/>
    </w:rPr>
  </w:style>
  <w:style w:type="paragraph" w:customStyle="1" w:styleId="61Paragraph">
    <w:name w:val="6.1 Paragraph"/>
    <w:basedOn w:val="ListParagraph"/>
    <w:qFormat/>
    <w:rsid w:val="00D04881"/>
    <w:pPr>
      <w:numPr>
        <w:numId w:val="5"/>
      </w:numPr>
      <w:spacing w:before="120"/>
    </w:pPr>
    <w:rPr>
      <w:noProof/>
      <w:lang w:val="en-US"/>
    </w:rPr>
  </w:style>
  <w:style w:type="character" w:customStyle="1" w:styleId="ColorfulList-Accent1Char">
    <w:name w:val="Colorful List - Accent 1 Char"/>
    <w:link w:val="ColorfulList-Accent11"/>
    <w:uiPriority w:val="34"/>
    <w:rsid w:val="00315498"/>
    <w:rPr>
      <w:rFonts w:ascii="Arial" w:hAnsi="Arial" w:cs="Arial"/>
      <w:lang w:val="es-ES"/>
    </w:rPr>
  </w:style>
  <w:style w:type="character" w:styleId="PlaceholderText">
    <w:name w:val="Placeholder Text"/>
    <w:uiPriority w:val="99"/>
    <w:unhideWhenUsed/>
    <w:rsid w:val="00517277"/>
    <w:rPr>
      <w:color w:val="808080"/>
    </w:rPr>
  </w:style>
  <w:style w:type="paragraph" w:customStyle="1" w:styleId="StyleBodyTextBoldLeft63mm">
    <w:name w:val="Style Body Text + Bold Left:  6.3 mm"/>
    <w:basedOn w:val="BodyText"/>
    <w:rsid w:val="00F638F1"/>
    <w:pPr>
      <w:suppressAutoHyphens/>
      <w:ind w:left="357"/>
      <w:jc w:val="center"/>
    </w:pPr>
    <w:rPr>
      <w:rFonts w:ascii="Times New Roman Bold" w:eastAsia="Times New Roman" w:hAnsi="Times New Roman Bold" w:cs="Times New Roman"/>
      <w:b/>
      <w:bCs/>
      <w:smallCaps/>
      <w:color w:val="000000"/>
      <w:szCs w:val="20"/>
      <w:lang w:val="es-ES_tradnl"/>
    </w:rPr>
  </w:style>
  <w:style w:type="paragraph" w:styleId="BodyText">
    <w:name w:val="Body Text"/>
    <w:basedOn w:val="Normal"/>
    <w:link w:val="BodyTextChar"/>
    <w:uiPriority w:val="99"/>
    <w:semiHidden/>
    <w:unhideWhenUsed/>
    <w:rsid w:val="00F638F1"/>
    <w:pPr>
      <w:spacing w:after="120"/>
    </w:pPr>
  </w:style>
  <w:style w:type="character" w:customStyle="1" w:styleId="BodyTextChar">
    <w:name w:val="Body Text Char"/>
    <w:link w:val="BodyText"/>
    <w:uiPriority w:val="99"/>
    <w:semiHidden/>
    <w:rsid w:val="00F638F1"/>
    <w:rPr>
      <w:rFonts w:ascii="Arial" w:hAnsi="Arial" w:cs="Arial"/>
      <w:lang w:val="es-ES"/>
    </w:rPr>
  </w:style>
  <w:style w:type="paragraph" w:customStyle="1" w:styleId="21Paragraph">
    <w:name w:val="2.1 Paragraph"/>
    <w:basedOn w:val="11Paragraph"/>
    <w:qFormat/>
    <w:rsid w:val="00422E2B"/>
    <w:pPr>
      <w:numPr>
        <w:numId w:val="7"/>
      </w:numPr>
    </w:pPr>
  </w:style>
  <w:style w:type="paragraph" w:customStyle="1" w:styleId="11Paragraph">
    <w:name w:val="1.1 Paragraph"/>
    <w:basedOn w:val="61Paragraph"/>
    <w:qFormat/>
    <w:rsid w:val="0094461F"/>
    <w:pPr>
      <w:numPr>
        <w:numId w:val="3"/>
      </w:numPr>
    </w:pPr>
    <w:rPr>
      <w:rFonts w:ascii="Times New Roman" w:hAnsi="Times New Roman" w:cs="Times New Roman"/>
      <w:noProof w:val="0"/>
      <w:sz w:val="24"/>
      <w:szCs w:val="24"/>
      <w:lang w:val="es-ES_tradnl"/>
    </w:rPr>
  </w:style>
  <w:style w:type="paragraph" w:customStyle="1" w:styleId="31Paragraph">
    <w:name w:val="3.1 Paragraph"/>
    <w:basedOn w:val="21Paragraph"/>
    <w:qFormat/>
    <w:rsid w:val="005106D0"/>
  </w:style>
  <w:style w:type="paragraph" w:styleId="NormalWeb">
    <w:name w:val="Normal (Web)"/>
    <w:basedOn w:val="Normal"/>
    <w:uiPriority w:val="99"/>
    <w:unhideWhenUsed/>
    <w:rsid w:val="00207C0F"/>
    <w:pPr>
      <w:spacing w:before="100" w:beforeAutospacing="1" w:after="100" w:afterAutospacing="1"/>
      <w:jc w:val="left"/>
    </w:pPr>
    <w:rPr>
      <w:rFonts w:ascii="Times New Roman" w:eastAsia="Times New Roman" w:hAnsi="Times New Roman" w:cs="Times New Roman"/>
      <w:lang w:eastAsia="es-ES"/>
    </w:rPr>
  </w:style>
  <w:style w:type="paragraph" w:customStyle="1" w:styleId="heading-b24">
    <w:name w:val="heading-b24"/>
    <w:basedOn w:val="Normal"/>
    <w:next w:val="Normal"/>
    <w:rsid w:val="00657E2A"/>
    <w:pPr>
      <w:spacing w:after="600"/>
      <w:jc w:val="center"/>
    </w:pPr>
    <w:rPr>
      <w:rFonts w:ascii="Times New Roman Bold" w:eastAsia="Times New Roman" w:hAnsi="Times New Roman Bold" w:cs="Times New Roman"/>
      <w:b/>
      <w:smallCaps/>
      <w:spacing w:val="-3"/>
      <w:szCs w:val="20"/>
      <w:lang w:val="es-ES_tradnl"/>
    </w:rPr>
  </w:style>
  <w:style w:type="paragraph" w:styleId="NoSpacing">
    <w:name w:val="No Spacing"/>
    <w:link w:val="NoSpacingChar"/>
    <w:uiPriority w:val="99"/>
    <w:qFormat/>
    <w:rsid w:val="006D5A80"/>
    <w:pPr>
      <w:widowControl w:val="0"/>
      <w:adjustRightInd w:val="0"/>
      <w:jc w:val="both"/>
      <w:textAlignment w:val="baseline"/>
    </w:pPr>
    <w:rPr>
      <w:rFonts w:ascii="Times New Roman" w:eastAsia="ヒラギノ角ゴ Pro W3" w:hAnsi="Times New Roman"/>
      <w:color w:val="000000"/>
      <w:sz w:val="24"/>
      <w:szCs w:val="24"/>
    </w:rPr>
  </w:style>
  <w:style w:type="character" w:customStyle="1" w:styleId="NoSpacingChar">
    <w:name w:val="No Spacing Char"/>
    <w:link w:val="NoSpacing"/>
    <w:uiPriority w:val="99"/>
    <w:rsid w:val="006D5A80"/>
    <w:rPr>
      <w:rFonts w:ascii="Times New Roman" w:eastAsia="ヒラギノ角ゴ Pro W3" w:hAnsi="Times New Roman"/>
      <w:color w:val="000000"/>
    </w:rPr>
  </w:style>
  <w:style w:type="table" w:customStyle="1" w:styleId="MediumShading1-Accent12">
    <w:name w:val="Medium Shading 1 - Accent 12"/>
    <w:basedOn w:val="TableNormal"/>
    <w:uiPriority w:val="63"/>
    <w:rsid w:val="00A9221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List4">
    <w:name w:val="List 4"/>
    <w:basedOn w:val="Normal"/>
    <w:rsid w:val="001E61A5"/>
    <w:pPr>
      <w:spacing w:after="120"/>
      <w:ind w:left="1132" w:hanging="283"/>
      <w:contextualSpacing/>
    </w:pPr>
    <w:rPr>
      <w:rFonts w:ascii="Cambria" w:eastAsia="Cambria" w:hAnsi="Cambria" w:cs="Times New Roman"/>
      <w:sz w:val="22"/>
      <w:szCs w:val="22"/>
      <w:lang w:val="en-US"/>
    </w:rPr>
  </w:style>
  <w:style w:type="paragraph" w:styleId="ListBullet2">
    <w:name w:val="List Bullet 2"/>
    <w:basedOn w:val="Normal"/>
    <w:rsid w:val="001E61A5"/>
    <w:pPr>
      <w:numPr>
        <w:numId w:val="8"/>
      </w:numPr>
      <w:spacing w:after="120"/>
      <w:contextualSpacing/>
    </w:pPr>
    <w:rPr>
      <w:rFonts w:ascii="Cambria" w:eastAsia="Cambria" w:hAnsi="Cambria" w:cs="Times New Roman"/>
      <w:sz w:val="22"/>
      <w:szCs w:val="22"/>
      <w:lang w:val="en-US"/>
    </w:rPr>
  </w:style>
  <w:style w:type="paragraph" w:styleId="ListBullet3">
    <w:name w:val="List Bullet 3"/>
    <w:basedOn w:val="Normal"/>
    <w:rsid w:val="001E61A5"/>
    <w:pPr>
      <w:numPr>
        <w:numId w:val="9"/>
      </w:numPr>
      <w:spacing w:after="120"/>
      <w:contextualSpacing/>
    </w:pPr>
    <w:rPr>
      <w:rFonts w:ascii="Cambria" w:eastAsia="Cambria" w:hAnsi="Cambria" w:cs="Times New Roman"/>
      <w:sz w:val="22"/>
      <w:szCs w:val="22"/>
      <w:lang w:val="en-US"/>
    </w:rPr>
  </w:style>
  <w:style w:type="paragraph" w:customStyle="1" w:styleId="Newpage">
    <w:name w:val="Newpage"/>
    <w:basedOn w:val="Normal"/>
    <w:rsid w:val="00B65305"/>
    <w:pPr>
      <w:tabs>
        <w:tab w:val="left" w:pos="1440"/>
        <w:tab w:val="left" w:pos="3060"/>
      </w:tabs>
      <w:jc w:val="center"/>
    </w:pPr>
    <w:rPr>
      <w:rFonts w:ascii="Times New Roman" w:eastAsia="Times New Roman" w:hAnsi="Times New Roman"/>
      <w:b/>
      <w:smallCaps/>
      <w:spacing w:val="-3"/>
      <w:szCs w:val="20"/>
      <w:lang w:val="es-ES_tradnl"/>
    </w:rPr>
  </w:style>
  <w:style w:type="paragraph" w:styleId="PlainText">
    <w:name w:val="Plain Text"/>
    <w:basedOn w:val="Normal"/>
    <w:link w:val="PlainTextChar"/>
    <w:uiPriority w:val="99"/>
    <w:semiHidden/>
    <w:unhideWhenUsed/>
    <w:rsid w:val="00A327A2"/>
    <w:pPr>
      <w:jc w:val="left"/>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semiHidden/>
    <w:rsid w:val="00A327A2"/>
    <w:rPr>
      <w:rFonts w:ascii="Calibri" w:eastAsiaTheme="minorHAnsi" w:hAnsi="Calibri" w:cstheme="minorBidi"/>
      <w:sz w:val="22"/>
      <w:szCs w:val="21"/>
    </w:rPr>
  </w:style>
  <w:style w:type="table" w:customStyle="1" w:styleId="TableGrid1">
    <w:name w:val="Table Grid1"/>
    <w:basedOn w:val="TableNormal"/>
    <w:next w:val="TableGrid"/>
    <w:uiPriority w:val="99"/>
    <w:rsid w:val="00FF0EEF"/>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espaciado1">
    <w:name w:val="Sin espaciado1"/>
    <w:uiPriority w:val="1"/>
    <w:qFormat/>
    <w:rsid w:val="00B06242"/>
    <w:rPr>
      <w:rFonts w:ascii="Times New Roman" w:eastAsia="Times New Roman" w:hAnsi="Times New Roman"/>
      <w:sz w:val="24"/>
      <w:szCs w:val="24"/>
    </w:rPr>
  </w:style>
  <w:style w:type="paragraph" w:styleId="Caption">
    <w:name w:val="caption"/>
    <w:basedOn w:val="Normal"/>
    <w:next w:val="Normal"/>
    <w:uiPriority w:val="35"/>
    <w:unhideWhenUsed/>
    <w:qFormat/>
    <w:rsid w:val="00873826"/>
    <w:pPr>
      <w:spacing w:after="200"/>
      <w:jc w:val="left"/>
    </w:pPr>
    <w:rPr>
      <w:rFonts w:asciiTheme="minorHAnsi" w:eastAsiaTheme="minorEastAsia" w:hAnsiTheme="minorHAnsi" w:cstheme="minorBidi"/>
      <w:b/>
      <w:bCs/>
      <w:color w:val="4F81BD" w:themeColor="accent1"/>
      <w:sz w:val="18"/>
      <w:szCs w:val="18"/>
      <w:lang w:val="es-ES_tradnl" w:eastAsia="es-ES"/>
    </w:rPr>
  </w:style>
  <w:style w:type="paragraph" w:customStyle="1" w:styleId="Sinespaciado2">
    <w:name w:val="Sin espaciado2"/>
    <w:uiPriority w:val="1"/>
    <w:qFormat/>
    <w:rsid w:val="00C24D9A"/>
    <w:rPr>
      <w:rFonts w:ascii="Times New Roman" w:eastAsia="Times New Roman" w:hAnsi="Times New Roman"/>
      <w:sz w:val="24"/>
      <w:szCs w:val="24"/>
    </w:rPr>
  </w:style>
  <w:style w:type="paragraph" w:styleId="Revision">
    <w:name w:val="Revision"/>
    <w:hidden/>
    <w:uiPriority w:val="71"/>
    <w:rsid w:val="005B0034"/>
    <w:rPr>
      <w:rFonts w:ascii="Arial" w:hAnsi="Arial" w:cs="Arial"/>
      <w:sz w:val="24"/>
      <w:szCs w:val="24"/>
      <w:lang w:val="es-ES"/>
    </w:rPr>
  </w:style>
  <w:style w:type="character" w:customStyle="1" w:styleId="Heading6Char">
    <w:name w:val="Heading 6 Char"/>
    <w:basedOn w:val="DefaultParagraphFont"/>
    <w:link w:val="Heading6"/>
    <w:uiPriority w:val="9"/>
    <w:rsid w:val="005B633F"/>
    <w:rPr>
      <w:rFonts w:asciiTheme="majorHAnsi" w:eastAsiaTheme="majorEastAsia" w:hAnsiTheme="majorHAnsi" w:cstheme="majorBidi"/>
      <w:i/>
      <w:iCs/>
      <w:color w:val="243F60" w:themeColor="accent1" w:themeShade="7F"/>
      <w:sz w:val="24"/>
      <w:lang w:val="es-ES_tradnl"/>
    </w:rPr>
  </w:style>
  <w:style w:type="character" w:customStyle="1" w:styleId="Heading7Char">
    <w:name w:val="Heading 7 Char"/>
    <w:basedOn w:val="DefaultParagraphFont"/>
    <w:link w:val="Heading7"/>
    <w:uiPriority w:val="9"/>
    <w:rsid w:val="005B633F"/>
    <w:rPr>
      <w:rFonts w:asciiTheme="majorHAnsi" w:eastAsiaTheme="majorEastAsia" w:hAnsiTheme="majorHAnsi" w:cstheme="majorBidi"/>
      <w:i/>
      <w:iCs/>
      <w:color w:val="404040" w:themeColor="text1" w:themeTint="BF"/>
      <w:sz w:val="24"/>
      <w:lang w:val="es-ES_tradnl"/>
    </w:rPr>
  </w:style>
  <w:style w:type="character" w:customStyle="1" w:styleId="Heading8Char">
    <w:name w:val="Heading 8 Char"/>
    <w:basedOn w:val="DefaultParagraphFont"/>
    <w:link w:val="Heading8"/>
    <w:uiPriority w:val="9"/>
    <w:rsid w:val="005B633F"/>
    <w:rPr>
      <w:rFonts w:asciiTheme="majorHAnsi" w:eastAsiaTheme="majorEastAsia" w:hAnsiTheme="majorHAnsi" w:cstheme="majorBidi"/>
      <w:color w:val="404040" w:themeColor="text1" w:themeTint="BF"/>
      <w:lang w:val="es-ES_tradnl"/>
    </w:rPr>
  </w:style>
  <w:style w:type="character" w:customStyle="1" w:styleId="Heading9Char">
    <w:name w:val="Heading 9 Char"/>
    <w:basedOn w:val="DefaultParagraphFont"/>
    <w:link w:val="Heading9"/>
    <w:uiPriority w:val="9"/>
    <w:rsid w:val="005B633F"/>
    <w:rPr>
      <w:rFonts w:asciiTheme="majorHAnsi" w:eastAsiaTheme="majorEastAsia" w:hAnsiTheme="majorHAnsi" w:cstheme="majorBidi"/>
      <w:i/>
      <w:iCs/>
      <w:color w:val="404040" w:themeColor="text1" w:themeTint="BF"/>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79074">
      <w:bodyDiv w:val="1"/>
      <w:marLeft w:val="0"/>
      <w:marRight w:val="0"/>
      <w:marTop w:val="0"/>
      <w:marBottom w:val="0"/>
      <w:divBdr>
        <w:top w:val="none" w:sz="0" w:space="0" w:color="auto"/>
        <w:left w:val="none" w:sz="0" w:space="0" w:color="auto"/>
        <w:bottom w:val="none" w:sz="0" w:space="0" w:color="auto"/>
        <w:right w:val="none" w:sz="0" w:space="0" w:color="auto"/>
      </w:divBdr>
    </w:div>
    <w:div w:id="90903024">
      <w:bodyDiv w:val="1"/>
      <w:marLeft w:val="0"/>
      <w:marRight w:val="0"/>
      <w:marTop w:val="0"/>
      <w:marBottom w:val="0"/>
      <w:divBdr>
        <w:top w:val="none" w:sz="0" w:space="0" w:color="auto"/>
        <w:left w:val="none" w:sz="0" w:space="0" w:color="auto"/>
        <w:bottom w:val="none" w:sz="0" w:space="0" w:color="auto"/>
        <w:right w:val="none" w:sz="0" w:space="0" w:color="auto"/>
      </w:divBdr>
    </w:div>
    <w:div w:id="104664080">
      <w:bodyDiv w:val="1"/>
      <w:marLeft w:val="0"/>
      <w:marRight w:val="0"/>
      <w:marTop w:val="0"/>
      <w:marBottom w:val="0"/>
      <w:divBdr>
        <w:top w:val="none" w:sz="0" w:space="0" w:color="auto"/>
        <w:left w:val="none" w:sz="0" w:space="0" w:color="auto"/>
        <w:bottom w:val="none" w:sz="0" w:space="0" w:color="auto"/>
        <w:right w:val="none" w:sz="0" w:space="0" w:color="auto"/>
      </w:divBdr>
    </w:div>
    <w:div w:id="121728154">
      <w:bodyDiv w:val="1"/>
      <w:marLeft w:val="0"/>
      <w:marRight w:val="0"/>
      <w:marTop w:val="0"/>
      <w:marBottom w:val="0"/>
      <w:divBdr>
        <w:top w:val="none" w:sz="0" w:space="0" w:color="auto"/>
        <w:left w:val="none" w:sz="0" w:space="0" w:color="auto"/>
        <w:bottom w:val="none" w:sz="0" w:space="0" w:color="auto"/>
        <w:right w:val="none" w:sz="0" w:space="0" w:color="auto"/>
      </w:divBdr>
    </w:div>
    <w:div w:id="326059023">
      <w:bodyDiv w:val="1"/>
      <w:marLeft w:val="0"/>
      <w:marRight w:val="0"/>
      <w:marTop w:val="0"/>
      <w:marBottom w:val="0"/>
      <w:divBdr>
        <w:top w:val="none" w:sz="0" w:space="0" w:color="auto"/>
        <w:left w:val="none" w:sz="0" w:space="0" w:color="auto"/>
        <w:bottom w:val="none" w:sz="0" w:space="0" w:color="auto"/>
        <w:right w:val="none" w:sz="0" w:space="0" w:color="auto"/>
      </w:divBdr>
    </w:div>
    <w:div w:id="328753086">
      <w:bodyDiv w:val="1"/>
      <w:marLeft w:val="0"/>
      <w:marRight w:val="0"/>
      <w:marTop w:val="0"/>
      <w:marBottom w:val="0"/>
      <w:divBdr>
        <w:top w:val="none" w:sz="0" w:space="0" w:color="auto"/>
        <w:left w:val="none" w:sz="0" w:space="0" w:color="auto"/>
        <w:bottom w:val="none" w:sz="0" w:space="0" w:color="auto"/>
        <w:right w:val="none" w:sz="0" w:space="0" w:color="auto"/>
      </w:divBdr>
    </w:div>
    <w:div w:id="559168401">
      <w:bodyDiv w:val="1"/>
      <w:marLeft w:val="0"/>
      <w:marRight w:val="0"/>
      <w:marTop w:val="0"/>
      <w:marBottom w:val="0"/>
      <w:divBdr>
        <w:top w:val="none" w:sz="0" w:space="0" w:color="auto"/>
        <w:left w:val="none" w:sz="0" w:space="0" w:color="auto"/>
        <w:bottom w:val="none" w:sz="0" w:space="0" w:color="auto"/>
        <w:right w:val="none" w:sz="0" w:space="0" w:color="auto"/>
      </w:divBdr>
    </w:div>
    <w:div w:id="590046790">
      <w:bodyDiv w:val="1"/>
      <w:marLeft w:val="0"/>
      <w:marRight w:val="0"/>
      <w:marTop w:val="0"/>
      <w:marBottom w:val="0"/>
      <w:divBdr>
        <w:top w:val="none" w:sz="0" w:space="0" w:color="auto"/>
        <w:left w:val="none" w:sz="0" w:space="0" w:color="auto"/>
        <w:bottom w:val="none" w:sz="0" w:space="0" w:color="auto"/>
        <w:right w:val="none" w:sz="0" w:space="0" w:color="auto"/>
      </w:divBdr>
    </w:div>
    <w:div w:id="735467766">
      <w:bodyDiv w:val="1"/>
      <w:marLeft w:val="0"/>
      <w:marRight w:val="0"/>
      <w:marTop w:val="0"/>
      <w:marBottom w:val="0"/>
      <w:divBdr>
        <w:top w:val="none" w:sz="0" w:space="0" w:color="auto"/>
        <w:left w:val="none" w:sz="0" w:space="0" w:color="auto"/>
        <w:bottom w:val="none" w:sz="0" w:space="0" w:color="auto"/>
        <w:right w:val="none" w:sz="0" w:space="0" w:color="auto"/>
      </w:divBdr>
    </w:div>
    <w:div w:id="854853571">
      <w:bodyDiv w:val="1"/>
      <w:marLeft w:val="0"/>
      <w:marRight w:val="0"/>
      <w:marTop w:val="0"/>
      <w:marBottom w:val="0"/>
      <w:divBdr>
        <w:top w:val="none" w:sz="0" w:space="0" w:color="auto"/>
        <w:left w:val="none" w:sz="0" w:space="0" w:color="auto"/>
        <w:bottom w:val="none" w:sz="0" w:space="0" w:color="auto"/>
        <w:right w:val="none" w:sz="0" w:space="0" w:color="auto"/>
      </w:divBdr>
    </w:div>
    <w:div w:id="863904454">
      <w:bodyDiv w:val="1"/>
      <w:marLeft w:val="0"/>
      <w:marRight w:val="0"/>
      <w:marTop w:val="0"/>
      <w:marBottom w:val="0"/>
      <w:divBdr>
        <w:top w:val="none" w:sz="0" w:space="0" w:color="auto"/>
        <w:left w:val="none" w:sz="0" w:space="0" w:color="auto"/>
        <w:bottom w:val="none" w:sz="0" w:space="0" w:color="auto"/>
        <w:right w:val="none" w:sz="0" w:space="0" w:color="auto"/>
      </w:divBdr>
    </w:div>
    <w:div w:id="943224424">
      <w:bodyDiv w:val="1"/>
      <w:marLeft w:val="0"/>
      <w:marRight w:val="0"/>
      <w:marTop w:val="0"/>
      <w:marBottom w:val="0"/>
      <w:divBdr>
        <w:top w:val="none" w:sz="0" w:space="0" w:color="auto"/>
        <w:left w:val="none" w:sz="0" w:space="0" w:color="auto"/>
        <w:bottom w:val="none" w:sz="0" w:space="0" w:color="auto"/>
        <w:right w:val="none" w:sz="0" w:space="0" w:color="auto"/>
      </w:divBdr>
    </w:div>
    <w:div w:id="997542576">
      <w:bodyDiv w:val="1"/>
      <w:marLeft w:val="0"/>
      <w:marRight w:val="0"/>
      <w:marTop w:val="0"/>
      <w:marBottom w:val="0"/>
      <w:divBdr>
        <w:top w:val="none" w:sz="0" w:space="0" w:color="auto"/>
        <w:left w:val="none" w:sz="0" w:space="0" w:color="auto"/>
        <w:bottom w:val="none" w:sz="0" w:space="0" w:color="auto"/>
        <w:right w:val="none" w:sz="0" w:space="0" w:color="auto"/>
      </w:divBdr>
    </w:div>
    <w:div w:id="1136071119">
      <w:bodyDiv w:val="1"/>
      <w:marLeft w:val="0"/>
      <w:marRight w:val="0"/>
      <w:marTop w:val="0"/>
      <w:marBottom w:val="0"/>
      <w:divBdr>
        <w:top w:val="none" w:sz="0" w:space="0" w:color="auto"/>
        <w:left w:val="none" w:sz="0" w:space="0" w:color="auto"/>
        <w:bottom w:val="none" w:sz="0" w:space="0" w:color="auto"/>
        <w:right w:val="none" w:sz="0" w:space="0" w:color="auto"/>
      </w:divBdr>
    </w:div>
    <w:div w:id="1256935492">
      <w:bodyDiv w:val="1"/>
      <w:marLeft w:val="0"/>
      <w:marRight w:val="0"/>
      <w:marTop w:val="0"/>
      <w:marBottom w:val="0"/>
      <w:divBdr>
        <w:top w:val="none" w:sz="0" w:space="0" w:color="auto"/>
        <w:left w:val="none" w:sz="0" w:space="0" w:color="auto"/>
        <w:bottom w:val="none" w:sz="0" w:space="0" w:color="auto"/>
        <w:right w:val="none" w:sz="0" w:space="0" w:color="auto"/>
      </w:divBdr>
    </w:div>
    <w:div w:id="1337884410">
      <w:bodyDiv w:val="1"/>
      <w:marLeft w:val="0"/>
      <w:marRight w:val="0"/>
      <w:marTop w:val="0"/>
      <w:marBottom w:val="0"/>
      <w:divBdr>
        <w:top w:val="none" w:sz="0" w:space="0" w:color="auto"/>
        <w:left w:val="none" w:sz="0" w:space="0" w:color="auto"/>
        <w:bottom w:val="none" w:sz="0" w:space="0" w:color="auto"/>
        <w:right w:val="none" w:sz="0" w:space="0" w:color="auto"/>
      </w:divBdr>
    </w:div>
    <w:div w:id="1369336916">
      <w:bodyDiv w:val="1"/>
      <w:marLeft w:val="0"/>
      <w:marRight w:val="0"/>
      <w:marTop w:val="0"/>
      <w:marBottom w:val="0"/>
      <w:divBdr>
        <w:top w:val="none" w:sz="0" w:space="0" w:color="auto"/>
        <w:left w:val="none" w:sz="0" w:space="0" w:color="auto"/>
        <w:bottom w:val="none" w:sz="0" w:space="0" w:color="auto"/>
        <w:right w:val="none" w:sz="0" w:space="0" w:color="auto"/>
      </w:divBdr>
    </w:div>
    <w:div w:id="1415783857">
      <w:bodyDiv w:val="1"/>
      <w:marLeft w:val="0"/>
      <w:marRight w:val="0"/>
      <w:marTop w:val="0"/>
      <w:marBottom w:val="0"/>
      <w:divBdr>
        <w:top w:val="none" w:sz="0" w:space="0" w:color="auto"/>
        <w:left w:val="none" w:sz="0" w:space="0" w:color="auto"/>
        <w:bottom w:val="none" w:sz="0" w:space="0" w:color="auto"/>
        <w:right w:val="none" w:sz="0" w:space="0" w:color="auto"/>
      </w:divBdr>
    </w:div>
    <w:div w:id="1556308707">
      <w:bodyDiv w:val="1"/>
      <w:marLeft w:val="0"/>
      <w:marRight w:val="0"/>
      <w:marTop w:val="0"/>
      <w:marBottom w:val="0"/>
      <w:divBdr>
        <w:top w:val="none" w:sz="0" w:space="0" w:color="auto"/>
        <w:left w:val="none" w:sz="0" w:space="0" w:color="auto"/>
        <w:bottom w:val="none" w:sz="0" w:space="0" w:color="auto"/>
        <w:right w:val="none" w:sz="0" w:space="0" w:color="auto"/>
      </w:divBdr>
    </w:div>
    <w:div w:id="1567565461">
      <w:bodyDiv w:val="1"/>
      <w:marLeft w:val="0"/>
      <w:marRight w:val="0"/>
      <w:marTop w:val="0"/>
      <w:marBottom w:val="0"/>
      <w:divBdr>
        <w:top w:val="none" w:sz="0" w:space="0" w:color="auto"/>
        <w:left w:val="none" w:sz="0" w:space="0" w:color="auto"/>
        <w:bottom w:val="none" w:sz="0" w:space="0" w:color="auto"/>
        <w:right w:val="none" w:sz="0" w:space="0" w:color="auto"/>
      </w:divBdr>
    </w:div>
    <w:div w:id="1570773635">
      <w:bodyDiv w:val="1"/>
      <w:marLeft w:val="0"/>
      <w:marRight w:val="0"/>
      <w:marTop w:val="0"/>
      <w:marBottom w:val="0"/>
      <w:divBdr>
        <w:top w:val="none" w:sz="0" w:space="0" w:color="auto"/>
        <w:left w:val="none" w:sz="0" w:space="0" w:color="auto"/>
        <w:bottom w:val="none" w:sz="0" w:space="0" w:color="auto"/>
        <w:right w:val="none" w:sz="0" w:space="0" w:color="auto"/>
      </w:divBdr>
      <w:divsChild>
        <w:div w:id="437876717">
          <w:marLeft w:val="0"/>
          <w:marRight w:val="0"/>
          <w:marTop w:val="0"/>
          <w:marBottom w:val="0"/>
          <w:divBdr>
            <w:top w:val="none" w:sz="0" w:space="0" w:color="auto"/>
            <w:left w:val="none" w:sz="0" w:space="0" w:color="auto"/>
            <w:bottom w:val="none" w:sz="0" w:space="0" w:color="auto"/>
            <w:right w:val="none" w:sz="0" w:space="0" w:color="auto"/>
          </w:divBdr>
        </w:div>
      </w:divsChild>
    </w:div>
    <w:div w:id="1705671092">
      <w:marLeft w:val="0"/>
      <w:marRight w:val="0"/>
      <w:marTop w:val="0"/>
      <w:marBottom w:val="0"/>
      <w:divBdr>
        <w:top w:val="none" w:sz="0" w:space="0" w:color="auto"/>
        <w:left w:val="none" w:sz="0" w:space="0" w:color="auto"/>
        <w:bottom w:val="none" w:sz="0" w:space="0" w:color="auto"/>
        <w:right w:val="none" w:sz="0" w:space="0" w:color="auto"/>
      </w:divBdr>
    </w:div>
    <w:div w:id="1722442567">
      <w:bodyDiv w:val="1"/>
      <w:marLeft w:val="0"/>
      <w:marRight w:val="0"/>
      <w:marTop w:val="0"/>
      <w:marBottom w:val="0"/>
      <w:divBdr>
        <w:top w:val="none" w:sz="0" w:space="0" w:color="auto"/>
        <w:left w:val="none" w:sz="0" w:space="0" w:color="auto"/>
        <w:bottom w:val="none" w:sz="0" w:space="0" w:color="auto"/>
        <w:right w:val="none" w:sz="0" w:space="0" w:color="auto"/>
      </w:divBdr>
    </w:div>
    <w:div w:id="1751846608">
      <w:bodyDiv w:val="1"/>
      <w:marLeft w:val="0"/>
      <w:marRight w:val="0"/>
      <w:marTop w:val="0"/>
      <w:marBottom w:val="0"/>
      <w:divBdr>
        <w:top w:val="none" w:sz="0" w:space="0" w:color="auto"/>
        <w:left w:val="none" w:sz="0" w:space="0" w:color="auto"/>
        <w:bottom w:val="none" w:sz="0" w:space="0" w:color="auto"/>
        <w:right w:val="none" w:sz="0" w:space="0" w:color="auto"/>
      </w:divBdr>
    </w:div>
    <w:div w:id="1965310247">
      <w:bodyDiv w:val="1"/>
      <w:marLeft w:val="0"/>
      <w:marRight w:val="0"/>
      <w:marTop w:val="0"/>
      <w:marBottom w:val="0"/>
      <w:divBdr>
        <w:top w:val="none" w:sz="0" w:space="0" w:color="auto"/>
        <w:left w:val="none" w:sz="0" w:space="0" w:color="auto"/>
        <w:bottom w:val="none" w:sz="0" w:space="0" w:color="auto"/>
        <w:right w:val="none" w:sz="0" w:space="0" w:color="auto"/>
      </w:divBdr>
    </w:div>
    <w:div w:id="199794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idbdocs.iadb.org/wsdocs/getDocument.aspx?Docnum=4020473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40211148" TargetMode="Externa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customXml" Target="../customXml/item6.xml"/><Relationship Id="rId10" Type="http://schemas.openxmlformats.org/officeDocument/2006/relationships/hyperlink" Target="http://idbdocs.iadb.org/wsdocs/getDocument.aspx?Docnum=40211301"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http://idbdocs.iadb.org/wsdocs/getDocument.aspx?Docnum=40211301" TargetMode="External"/><Relationship Id="rId14" Type="http://schemas.openxmlformats.org/officeDocument/2006/relationships/hyperlink" Target="http://idbdocs.iadb.org/wsdocs/getDocument.aspx?Docnum=40211148" TargetMode="Externa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6080C19D4F33E4FBEC6FCC640814EE7" ma:contentTypeVersion="6" ma:contentTypeDescription="A content type to manage public (operations) IDB documents" ma:contentTypeScope="" ma:versionID="aac9164b08c62d3588b72ffff8e880e8">
  <xsd:schema xmlns:xsd="http://www.w3.org/2001/XMLSchema" xmlns:xs="http://www.w3.org/2001/XMLSchema" xmlns:p="http://schemas.microsoft.com/office/2006/metadata/properties" xmlns:ns2="9c571b2f-e523-4ab2-ba2e-09e151a03ef4" targetNamespace="http://schemas.microsoft.com/office/2006/metadata/properties" ma:root="true" ma:fieldsID="f3c849ee62098829b5dfbd8e7102ca2b"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40219600</IDBDocs_x0020_Number>
    <Document_x0020_Author xmlns="9c571b2f-e523-4ab2-ba2e-09e151a03ef4">Prats Cabrera, Joan Oriol</Document_x0020_Author>
    <Publication_x0020_Type xmlns="9c571b2f-e523-4ab2-ba2e-09e151a03ef4" xsi:nil="true"/>
    <Operation_x0020_Type xmlns="9c571b2f-e523-4ab2-ba2e-09e151a03ef4" xsi:nil="true"/>
    <TaxCatchAll xmlns="9c571b2f-e523-4ab2-ba2e-09e151a03ef4">
      <Value>2</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NI-L1096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Package_x0020_Code xmlns="9c571b2f-e523-4ab2-ba2e-09e151a03ef4" xsi:nil="true"/>
    <Migration_x0020_Info xmlns="9c571b2f-e523-4ab2-ba2e-09e151a03ef4">&lt;Data&gt;&lt;APPLICATION&gt;MS WORD&lt;/APPLICATION&gt;&lt;STAGE_CODE&gt;LP&lt;/STAGE_CODE&gt;&lt;USER_STAGE&gt;Loan Proposal&lt;/USER_STAGE&gt;&lt;APPROVAL_CODE&gt;DE&lt;/APPROVAL_CODE&gt;&lt;APPROVAL_DESC&gt;Board of Executive Directors&lt;/APPROVAL_DESC&gt;&lt;PD_OBJ_TYPE&gt;0&lt;/PD_OBJ_TYPE&gt;&lt;MAKERECORD&gt;N&lt;/MAKERECORD&gt;&lt;MULTI_SUBREGION&gt;Central America&lt;/MULTI_SUBREGION&gt;&lt;PD_FILEPT_NO&gt;PO-NI-L1096-Anl&lt;/PD_FILEPT_NO&gt;&lt;PD_FILE_PART&gt;1180653533&lt;/PD_FILE_PART&gt;&lt;/Data&gt;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FULL DOC</Identifier>
    <Publishing_x0020_House xmlns="9c571b2f-e523-4ab2-ba2e-09e151a03ef4" xsi:nil="true"/>
    <Disclosed xmlns="9c571b2f-e523-4ab2-ba2e-09e151a03ef4">false</Disclosed>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99633188-1218-4AA9-A74B-22068A5121A2}"/>
</file>

<file path=customXml/itemProps2.xml><?xml version="1.0" encoding="utf-8"?>
<ds:datastoreItem xmlns:ds="http://schemas.openxmlformats.org/officeDocument/2006/customXml" ds:itemID="{66B06C68-4FD1-4504-B9DA-9EF9A0BD43E9}"/>
</file>

<file path=customXml/itemProps3.xml><?xml version="1.0" encoding="utf-8"?>
<ds:datastoreItem xmlns:ds="http://schemas.openxmlformats.org/officeDocument/2006/customXml" ds:itemID="{17893CE5-89E5-414E-B3AB-900851A677B7}"/>
</file>

<file path=customXml/itemProps4.xml><?xml version="1.0" encoding="utf-8"?>
<ds:datastoreItem xmlns:ds="http://schemas.openxmlformats.org/officeDocument/2006/customXml" ds:itemID="{3FD3CE2E-F4DD-4D9F-8313-670BC032DB9B}"/>
</file>

<file path=customXml/itemProps5.xml><?xml version="1.0" encoding="utf-8"?>
<ds:datastoreItem xmlns:ds="http://schemas.openxmlformats.org/officeDocument/2006/customXml" ds:itemID="{F180D458-2C95-423D-A8A8-3C94FDD5FF92}"/>
</file>

<file path=customXml/itemProps6.xml><?xml version="1.0" encoding="utf-8"?>
<ds:datastoreItem xmlns:ds="http://schemas.openxmlformats.org/officeDocument/2006/customXml" ds:itemID="{6444BA7B-7A22-40E8-BB58-ABE32219B41C}"/>
</file>

<file path=docProps/app.xml><?xml version="1.0" encoding="utf-8"?>
<Properties xmlns="http://schemas.openxmlformats.org/officeDocument/2006/extended-properties" xmlns:vt="http://schemas.openxmlformats.org/officeDocument/2006/docPropsVTypes">
  <Template>Normal.dotm</Template>
  <TotalTime>1623</TotalTime>
  <Pages>23</Pages>
  <Words>7544</Words>
  <Characters>42599</Characters>
  <Application>Microsoft Office Word</Application>
  <DocSecurity>0</DocSecurity>
  <Lines>354</Lines>
  <Paragraphs>100</Paragraphs>
  <ScaleCrop>false</ScaleCrop>
  <HeadingPairs>
    <vt:vector size="2" baseType="variant">
      <vt:variant>
        <vt:lpstr>Title</vt:lpstr>
      </vt:variant>
      <vt:variant>
        <vt:i4>1</vt:i4>
      </vt:variant>
    </vt:vector>
  </HeadingPairs>
  <TitlesOfParts>
    <vt:vector size="1" baseType="lpstr">
      <vt:lpstr/>
    </vt:vector>
  </TitlesOfParts>
  <Company>EQUUS CONSULTING</Company>
  <LinksUpToDate>false</LinksUpToDate>
  <CharactersWithSpaces>50043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Evaluacion_ NI-L1096</dc:title>
  <dc:creator>ROGER PIPE</dc:creator>
  <cp:lastModifiedBy>annabellag</cp:lastModifiedBy>
  <cp:revision>32</cp:revision>
  <cp:lastPrinted>2016-05-06T19:34:00Z</cp:lastPrinted>
  <dcterms:created xsi:type="dcterms:W3CDTF">2016-05-20T19:33:00Z</dcterms:created>
  <dcterms:modified xsi:type="dcterms:W3CDTF">2016-10-04T20:40:00Z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0x01010046CF21643EE8D14686A648AA6DAD089200B6080C19D4F33E4FBEC6FCC640814EE7</vt:lpwstr>
  </property>
  <property fmtid="{D5CDD505-2E9C-101B-9397-08002B2CF9AE}" pid="5" name="TaxKeywordTaxHTField">
    <vt:lpwstr/>
  </property>
  <property fmtid="{D5CDD505-2E9C-101B-9397-08002B2CF9AE}" pid="6" name="Series Operations IDB">
    <vt:lpwstr>2;#Loan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3;#Project Preparation, Planning and Design|29ca0c72-1fc4-435f-a09c-28585cb5eac9</vt:lpwstr>
  </property>
</Properties>
</file>