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02482" w14:textId="77777777" w:rsidR="007D2479" w:rsidRPr="00AC1BDD" w:rsidRDefault="00EB44B1">
      <w:pPr>
        <w:spacing w:before="200" w:after="200"/>
        <w:jc w:val="center"/>
        <w:rPr>
          <w:lang w:val="es-PR"/>
        </w:rPr>
      </w:pPr>
      <w:r w:rsidRPr="00AC1BDD">
        <w:rPr>
          <w:rFonts w:ascii="Arial" w:hAnsi="Arial" w:cs="Arial"/>
          <w:b/>
          <w:lang w:val="es-PR"/>
        </w:rPr>
        <w:t>ABSTRACTO DE COOPERACIÓN TÉCNICA</w:t>
      </w:r>
    </w:p>
    <w:p w14:paraId="70054D90" w14:textId="77777777" w:rsidR="007D2479" w:rsidRPr="00AC1BDD" w:rsidRDefault="00EB44B1">
      <w:pPr>
        <w:spacing w:before="120" w:after="120"/>
        <w:ind w:left="579" w:hanging="579"/>
        <w:rPr>
          <w:lang w:val="es-PR"/>
        </w:rPr>
      </w:pPr>
      <w:r w:rsidRPr="00AC1BDD">
        <w:rPr>
          <w:rFonts w:ascii="Arial" w:hAnsi="Arial" w:cs="Arial"/>
          <w:b/>
          <w:lang w:val="es-PR"/>
        </w:rPr>
        <w:t>I.</w:t>
      </w:r>
      <w:r w:rsidRPr="00AC1BDD">
        <w:rPr>
          <w:rFonts w:ascii="Arial" w:hAnsi="Arial" w:cs="Arial"/>
          <w:b/>
          <w:lang w:val="es-PR"/>
        </w:rPr>
        <w:tab/>
        <w:t>Información Básica del Proyecto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4"/>
        <w:gridCol w:w="4966"/>
      </w:tblGrid>
      <w:tr w:rsidR="007D2479" w:rsidRPr="00AC1BDD" w14:paraId="6AFC7663" w14:textId="77777777" w:rsidTr="00EB44B1">
        <w:trPr>
          <w:jc w:val="center"/>
        </w:trPr>
        <w:tc>
          <w:tcPr>
            <w:tcW w:w="4054" w:type="dxa"/>
          </w:tcPr>
          <w:p w14:paraId="167D9250"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País/Región:</w:t>
            </w:r>
          </w:p>
        </w:tc>
        <w:tc>
          <w:tcPr>
            <w:tcW w:w="4966" w:type="dxa"/>
          </w:tcPr>
          <w:p w14:paraId="6A62CA6C" w14:textId="77777777" w:rsidR="007D2479" w:rsidRPr="00AC1BDD" w:rsidRDefault="00EB44B1">
            <w:pPr>
              <w:spacing w:before="40" w:after="40"/>
              <w:rPr>
                <w:lang w:val="es-PR"/>
              </w:rPr>
            </w:pPr>
            <w:r w:rsidRPr="00AC1BDD">
              <w:rPr>
                <w:rFonts w:ascii="Arial" w:hAnsi="Arial" w:cs="Arial"/>
                <w:sz w:val="18"/>
                <w:szCs w:val="18"/>
                <w:lang w:val="es-PR"/>
              </w:rPr>
              <w:t>PANAMA/CID - Istmo y RD</w:t>
            </w:r>
          </w:p>
        </w:tc>
      </w:tr>
      <w:tr w:rsidR="007D2479" w:rsidRPr="00AC1BDD" w14:paraId="37715989" w14:textId="77777777" w:rsidTr="00EB44B1">
        <w:trPr>
          <w:jc w:val="center"/>
        </w:trPr>
        <w:tc>
          <w:tcPr>
            <w:tcW w:w="4054" w:type="dxa"/>
          </w:tcPr>
          <w:p w14:paraId="7256960B"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Nombre de la CT:</w:t>
            </w:r>
          </w:p>
        </w:tc>
        <w:tc>
          <w:tcPr>
            <w:tcW w:w="4966" w:type="dxa"/>
          </w:tcPr>
          <w:p w14:paraId="7EC71B5A" w14:textId="77777777" w:rsidR="007D2479" w:rsidRPr="00AC1BDD" w:rsidRDefault="00EB44B1">
            <w:pPr>
              <w:spacing w:before="40" w:after="40"/>
              <w:rPr>
                <w:lang w:val="es-PR"/>
              </w:rPr>
            </w:pPr>
            <w:r w:rsidRPr="00AC1BDD">
              <w:rPr>
                <w:rFonts w:ascii="Arial" w:hAnsi="Arial" w:cs="Arial"/>
                <w:sz w:val="18"/>
                <w:szCs w:val="18"/>
                <w:lang w:val="es-PR"/>
              </w:rPr>
              <w:t xml:space="preserve">Mejora a los Sistemas de Alcantarillado Sanitario y Tratamiento de Aguas Residuales en Áreas Revertidas – Corregimiento de Ancón </w:t>
            </w:r>
          </w:p>
        </w:tc>
      </w:tr>
      <w:tr w:rsidR="007D2479" w14:paraId="0BC8D5E4" w14:textId="77777777" w:rsidTr="00EB44B1">
        <w:trPr>
          <w:jc w:val="center"/>
        </w:trPr>
        <w:tc>
          <w:tcPr>
            <w:tcW w:w="4054" w:type="dxa"/>
          </w:tcPr>
          <w:p w14:paraId="1284B0C4"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Número de CT:</w:t>
            </w:r>
          </w:p>
        </w:tc>
        <w:tc>
          <w:tcPr>
            <w:tcW w:w="4966" w:type="dxa"/>
          </w:tcPr>
          <w:p w14:paraId="077E1A6F" w14:textId="77777777" w:rsidR="007D2479" w:rsidRDefault="00EB44B1">
            <w:pPr>
              <w:spacing w:before="40" w:after="40"/>
            </w:pPr>
            <w:r>
              <w:rPr>
                <w:rFonts w:ascii="Arial" w:hAnsi="Arial" w:cs="Arial"/>
                <w:sz w:val="18"/>
                <w:szCs w:val="18"/>
              </w:rPr>
              <w:t>PN-T1308</w:t>
            </w:r>
          </w:p>
        </w:tc>
      </w:tr>
      <w:tr w:rsidR="007D2479" w:rsidRPr="00AC1BDD" w14:paraId="233330BA" w14:textId="77777777" w:rsidTr="00EB44B1">
        <w:trPr>
          <w:jc w:val="center"/>
        </w:trPr>
        <w:tc>
          <w:tcPr>
            <w:tcW w:w="4054" w:type="dxa"/>
          </w:tcPr>
          <w:p w14:paraId="32C23CD5"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Jefe de Equipo/Miembros:</w:t>
            </w:r>
          </w:p>
        </w:tc>
        <w:tc>
          <w:tcPr>
            <w:tcW w:w="4966" w:type="dxa"/>
          </w:tcPr>
          <w:p w14:paraId="60A48946" w14:textId="77777777" w:rsidR="007D2479" w:rsidRPr="00AC1BDD" w:rsidRDefault="00EB44B1">
            <w:pPr>
              <w:spacing w:before="40" w:after="40"/>
              <w:rPr>
                <w:lang w:val="es-PR"/>
              </w:rPr>
            </w:pPr>
            <w:r w:rsidRPr="00AC1BDD">
              <w:rPr>
                <w:rFonts w:ascii="Arial" w:hAnsi="Arial" w:cs="Arial"/>
                <w:sz w:val="18"/>
                <w:szCs w:val="18"/>
                <w:lang w:val="es-PR"/>
              </w:rPr>
              <w:t>GARZONIO, OMAR DARIO (INE/WSA) Líder del Equipo; MARIA EUGENIA DE LA PEN</w:t>
            </w:r>
            <w:r w:rsidRPr="00AC1BDD">
              <w:rPr>
                <w:rFonts w:ascii="Arial" w:hAnsi="Arial" w:cs="Arial"/>
                <w:sz w:val="18"/>
                <w:szCs w:val="18"/>
                <w:lang w:val="es-PR"/>
              </w:rPr>
              <w:t>A (INE/WSA) Jefe Alterno del Equipo de Proyecto; CORRIOLS DIAZ, LEONOR ODILIE (VPC/FMP); LOPEZ LUZCANDO, MARIESTHER (CID/CPN); HEAVENN PASTOR (INE/WSA); AROSEMENA ANGULO, ARACELIS ITZEL (INE/WSA); GUERRERO RIVERA, MARILYN IVETTE (KIC/DCC); BUJAK, NICOLAS (</w:t>
            </w:r>
            <w:r w:rsidRPr="00AC1BDD">
              <w:rPr>
                <w:rFonts w:ascii="Arial" w:hAnsi="Arial" w:cs="Arial"/>
                <w:sz w:val="18"/>
                <w:szCs w:val="18"/>
                <w:lang w:val="es-PR"/>
              </w:rPr>
              <w:t>VPS/ESG); HERNANDEZ, GABRIEL ANTONIO (VPS/ESG); SANMARTIN BAEZ, ALVARO LUIS (LEG/SGO)</w:t>
            </w:r>
          </w:p>
        </w:tc>
      </w:tr>
      <w:tr w:rsidR="007D2479" w14:paraId="01833875" w14:textId="77777777" w:rsidTr="00EB44B1">
        <w:trPr>
          <w:jc w:val="center"/>
        </w:trPr>
        <w:tc>
          <w:tcPr>
            <w:tcW w:w="4054" w:type="dxa"/>
          </w:tcPr>
          <w:p w14:paraId="7DE1116E"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Taxonomía:</w:t>
            </w:r>
          </w:p>
        </w:tc>
        <w:tc>
          <w:tcPr>
            <w:tcW w:w="4966" w:type="dxa"/>
          </w:tcPr>
          <w:p w14:paraId="3E669C33" w14:textId="77777777" w:rsidR="007D2479" w:rsidRDefault="00EB44B1">
            <w:pPr>
              <w:spacing w:before="40" w:after="40"/>
            </w:pPr>
            <w:r>
              <w:rPr>
                <w:rFonts w:ascii="Arial" w:hAnsi="Arial" w:cs="Arial"/>
                <w:sz w:val="18"/>
                <w:szCs w:val="18"/>
              </w:rPr>
              <w:t>Apoyo Operativo</w:t>
            </w:r>
          </w:p>
        </w:tc>
      </w:tr>
      <w:tr w:rsidR="007D2479" w:rsidRPr="00AC1BDD" w14:paraId="165B710F" w14:textId="77777777" w:rsidTr="00EB44B1">
        <w:trPr>
          <w:jc w:val="center"/>
        </w:trPr>
        <w:tc>
          <w:tcPr>
            <w:tcW w:w="4054" w:type="dxa"/>
          </w:tcPr>
          <w:p w14:paraId="22199182" w14:textId="77777777" w:rsidR="007D2479" w:rsidRPr="00AC1BDD" w:rsidRDefault="00EB44B1">
            <w:pPr>
              <w:spacing w:before="40" w:after="40"/>
              <w:ind w:left="115" w:hanging="115"/>
              <w:rPr>
                <w:lang w:val="es-PR"/>
              </w:rPr>
            </w:pPr>
            <w:r w:rsidRPr="00AC1BDD">
              <w:rPr>
                <w:rFonts w:ascii="Arial" w:hAnsi="Arial" w:cs="Arial"/>
                <w:sz w:val="18"/>
                <w:szCs w:val="18"/>
                <w:lang w:val="es-PR"/>
              </w:rPr>
              <w:t>▪</w:t>
            </w:r>
            <w:r w:rsidRPr="00AC1BDD">
              <w:rPr>
                <w:rFonts w:ascii="Arial" w:hAnsi="Arial" w:cs="Arial"/>
                <w:sz w:val="18"/>
                <w:szCs w:val="18"/>
                <w:lang w:val="es-PR"/>
              </w:rPr>
              <w:t xml:space="preserve"> Número y nombre de la operación que apoyará la CT:</w:t>
            </w:r>
          </w:p>
        </w:tc>
        <w:tc>
          <w:tcPr>
            <w:tcW w:w="4966" w:type="dxa"/>
          </w:tcPr>
          <w:p w14:paraId="49EFFA20" w14:textId="77777777" w:rsidR="007D2479" w:rsidRPr="00AC1BDD" w:rsidRDefault="00EB44B1">
            <w:pPr>
              <w:spacing w:before="40" w:after="40"/>
              <w:rPr>
                <w:lang w:val="es-PR"/>
              </w:rPr>
            </w:pPr>
            <w:r w:rsidRPr="00AC1BDD">
              <w:rPr>
                <w:rFonts w:ascii="Arial" w:hAnsi="Arial" w:cs="Arial"/>
                <w:sz w:val="18"/>
                <w:szCs w:val="18"/>
                <w:lang w:val="es-PR"/>
              </w:rPr>
              <w:t xml:space="preserve">Programa de Saneamiento de la Ciudad y Bahia de Panama II - PN-L1109 </w:t>
            </w:r>
            <w:r w:rsidRPr="00AC1BDD">
              <w:rPr>
                <w:rFonts w:ascii="Arial" w:hAnsi="Arial" w:cs="Arial"/>
                <w:sz w:val="18"/>
                <w:szCs w:val="18"/>
                <w:lang w:val="es-PR"/>
              </w:rPr>
              <w:br/>
            </w:r>
            <w:r w:rsidRPr="00AC1BDD">
              <w:rPr>
                <w:rFonts w:ascii="Arial" w:hAnsi="Arial" w:cs="Arial"/>
                <w:sz w:val="18"/>
                <w:szCs w:val="18"/>
                <w:lang w:val="es-PR"/>
              </w:rPr>
              <w:br/>
            </w:r>
          </w:p>
        </w:tc>
      </w:tr>
      <w:tr w:rsidR="007D2479" w14:paraId="35408AA5" w14:textId="77777777" w:rsidTr="00EB44B1">
        <w:trPr>
          <w:jc w:val="center"/>
        </w:trPr>
        <w:tc>
          <w:tcPr>
            <w:tcW w:w="4054" w:type="dxa"/>
          </w:tcPr>
          <w:p w14:paraId="4D0D1CEC" w14:textId="77777777" w:rsidR="007D2479" w:rsidRPr="00AC1BDD" w:rsidRDefault="00EB44B1">
            <w:pPr>
              <w:spacing w:before="40" w:after="40"/>
              <w:ind w:left="115" w:hanging="115"/>
              <w:rPr>
                <w:lang w:val="es-PR"/>
              </w:rPr>
            </w:pPr>
            <w:r w:rsidRPr="00AC1BDD">
              <w:rPr>
                <w:rFonts w:ascii="Arial" w:hAnsi="Arial" w:cs="Arial"/>
                <w:sz w:val="18"/>
                <w:szCs w:val="18"/>
                <w:lang w:val="es-PR"/>
              </w:rPr>
              <w:t>▪</w:t>
            </w:r>
            <w:r w:rsidRPr="00AC1BDD">
              <w:rPr>
                <w:rFonts w:ascii="Arial" w:hAnsi="Arial" w:cs="Arial"/>
                <w:sz w:val="18"/>
                <w:szCs w:val="18"/>
                <w:lang w:val="es-PR"/>
              </w:rPr>
              <w:t xml:space="preserve"> Fecha del Abstracto de CT:</w:t>
            </w:r>
          </w:p>
        </w:tc>
        <w:tc>
          <w:tcPr>
            <w:tcW w:w="4966" w:type="dxa"/>
          </w:tcPr>
          <w:p w14:paraId="0B1B66B9" w14:textId="77777777" w:rsidR="007D2479" w:rsidRDefault="00EB44B1">
            <w:pPr>
              <w:spacing w:before="40" w:after="40"/>
            </w:pPr>
            <w:r>
              <w:rPr>
                <w:rFonts w:ascii="Arial" w:hAnsi="Arial" w:cs="Arial"/>
                <w:sz w:val="18"/>
                <w:szCs w:val="18"/>
              </w:rPr>
              <w:t>04 Apr 2022</w:t>
            </w:r>
          </w:p>
        </w:tc>
      </w:tr>
      <w:tr w:rsidR="007D2479" w14:paraId="51041435" w14:textId="77777777" w:rsidTr="00EB44B1">
        <w:trPr>
          <w:jc w:val="center"/>
        </w:trPr>
        <w:tc>
          <w:tcPr>
            <w:tcW w:w="4054" w:type="dxa"/>
          </w:tcPr>
          <w:p w14:paraId="0813A1B4"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Beneficiario:</w:t>
            </w:r>
          </w:p>
        </w:tc>
        <w:tc>
          <w:tcPr>
            <w:tcW w:w="4966" w:type="dxa"/>
          </w:tcPr>
          <w:p w14:paraId="742F2DFC" w14:textId="77777777" w:rsidR="007D2479" w:rsidRDefault="00EB44B1">
            <w:pPr>
              <w:spacing w:before="40" w:after="40"/>
            </w:pPr>
            <w:r>
              <w:rPr>
                <w:rFonts w:ascii="Arial" w:hAnsi="Arial" w:cs="Arial"/>
                <w:sz w:val="18"/>
                <w:szCs w:val="18"/>
              </w:rPr>
              <w:t>PN</w:t>
            </w:r>
          </w:p>
        </w:tc>
      </w:tr>
      <w:tr w:rsidR="007D2479" w14:paraId="4A427E20" w14:textId="77777777" w:rsidTr="00EB44B1">
        <w:trPr>
          <w:jc w:val="center"/>
        </w:trPr>
        <w:tc>
          <w:tcPr>
            <w:tcW w:w="4054" w:type="dxa"/>
          </w:tcPr>
          <w:p w14:paraId="2488123E"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Agencia Ejecutora:</w:t>
            </w:r>
          </w:p>
        </w:tc>
        <w:tc>
          <w:tcPr>
            <w:tcW w:w="4966" w:type="dxa"/>
          </w:tcPr>
          <w:p w14:paraId="133097F6" w14:textId="77777777" w:rsidR="007D2479" w:rsidRDefault="00EB44B1">
            <w:pPr>
              <w:spacing w:before="40" w:after="40"/>
            </w:pPr>
            <w:r>
              <w:rPr>
                <w:rFonts w:ascii="Arial" w:hAnsi="Arial" w:cs="Arial"/>
                <w:sz w:val="18"/>
                <w:szCs w:val="18"/>
              </w:rPr>
              <w:t>INTER-AMERICAN DEVELOPMENT BANK</w:t>
            </w:r>
          </w:p>
        </w:tc>
      </w:tr>
      <w:tr w:rsidR="007D2479" w14:paraId="557E885E" w14:textId="77777777" w:rsidTr="00EB44B1">
        <w:trPr>
          <w:jc w:val="center"/>
        </w:trPr>
        <w:tc>
          <w:tcPr>
            <w:tcW w:w="4054" w:type="dxa"/>
          </w:tcPr>
          <w:p w14:paraId="73ED6F95"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Financiamiento solicitado del BID:</w:t>
            </w:r>
          </w:p>
        </w:tc>
        <w:tc>
          <w:tcPr>
            <w:tcW w:w="4966" w:type="dxa"/>
          </w:tcPr>
          <w:p w14:paraId="76DE9EC9" w14:textId="77777777" w:rsidR="007D2479" w:rsidRDefault="00EB44B1">
            <w:pPr>
              <w:bidi/>
              <w:spacing w:before="40" w:after="40"/>
            </w:pPr>
            <w:r>
              <w:rPr>
                <w:rFonts w:ascii="Arial" w:hAnsi="Arial" w:cs="Arial"/>
                <w:sz w:val="18"/>
                <w:szCs w:val="18"/>
              </w:rPr>
              <w:t>US$200,000.00</w:t>
            </w:r>
          </w:p>
        </w:tc>
      </w:tr>
      <w:tr w:rsidR="007D2479" w14:paraId="4C80F01F" w14:textId="77777777" w:rsidTr="00EB44B1">
        <w:trPr>
          <w:jc w:val="center"/>
        </w:trPr>
        <w:tc>
          <w:tcPr>
            <w:tcW w:w="4054" w:type="dxa"/>
          </w:tcPr>
          <w:p w14:paraId="72426805"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Contrapartida Local:</w:t>
            </w:r>
          </w:p>
        </w:tc>
        <w:tc>
          <w:tcPr>
            <w:tcW w:w="4966" w:type="dxa"/>
          </w:tcPr>
          <w:p w14:paraId="789D7AE7" w14:textId="77777777" w:rsidR="007D2479" w:rsidRDefault="00EB44B1">
            <w:pPr>
              <w:bidi/>
              <w:spacing w:before="40" w:after="40"/>
            </w:pPr>
            <w:r>
              <w:rPr>
                <w:rFonts w:ascii="Arial" w:hAnsi="Arial" w:cs="Arial"/>
                <w:sz w:val="18"/>
                <w:szCs w:val="18"/>
              </w:rPr>
              <w:t>US$0.00</w:t>
            </w:r>
          </w:p>
        </w:tc>
      </w:tr>
      <w:tr w:rsidR="007D2479" w14:paraId="5C1D8E18" w14:textId="77777777" w:rsidTr="00EB44B1">
        <w:trPr>
          <w:jc w:val="center"/>
        </w:trPr>
        <w:tc>
          <w:tcPr>
            <w:tcW w:w="4054" w:type="dxa"/>
          </w:tcPr>
          <w:p w14:paraId="0988A703"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Periodo de Desembolso:</w:t>
            </w:r>
          </w:p>
        </w:tc>
        <w:tc>
          <w:tcPr>
            <w:tcW w:w="4966" w:type="dxa"/>
          </w:tcPr>
          <w:p w14:paraId="5A7BD815" w14:textId="77777777" w:rsidR="007D2479" w:rsidRDefault="00EB44B1">
            <w:pPr>
              <w:bidi/>
              <w:spacing w:before="40" w:after="40"/>
            </w:pPr>
            <w:r>
              <w:rPr>
                <w:rFonts w:ascii="Arial" w:hAnsi="Arial" w:cs="Arial"/>
                <w:sz w:val="18"/>
                <w:szCs w:val="18"/>
              </w:rPr>
              <w:t>24 meses</w:t>
            </w:r>
          </w:p>
        </w:tc>
      </w:tr>
      <w:tr w:rsidR="007D2479" w14:paraId="2404EE42" w14:textId="77777777" w:rsidTr="00EB44B1">
        <w:trPr>
          <w:jc w:val="center"/>
        </w:trPr>
        <w:tc>
          <w:tcPr>
            <w:tcW w:w="4054" w:type="dxa"/>
          </w:tcPr>
          <w:p w14:paraId="74E12135"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Tipos de consultores:</w:t>
            </w:r>
          </w:p>
        </w:tc>
        <w:tc>
          <w:tcPr>
            <w:tcW w:w="4966" w:type="dxa"/>
          </w:tcPr>
          <w:p w14:paraId="7BC3DD12" w14:textId="77777777" w:rsidR="007D2479" w:rsidRDefault="00EB44B1">
            <w:pPr>
              <w:spacing w:before="40" w:after="40"/>
            </w:pPr>
            <w:r>
              <w:rPr>
                <w:rFonts w:ascii="Arial" w:hAnsi="Arial" w:cs="Arial"/>
                <w:sz w:val="18"/>
                <w:szCs w:val="18"/>
              </w:rPr>
              <w:t>Empresas</w:t>
            </w:r>
          </w:p>
        </w:tc>
      </w:tr>
      <w:tr w:rsidR="007D2479" w:rsidRPr="00AC1BDD" w14:paraId="712A9BDA" w14:textId="77777777" w:rsidTr="00EB44B1">
        <w:trPr>
          <w:jc w:val="center"/>
        </w:trPr>
        <w:tc>
          <w:tcPr>
            <w:tcW w:w="4054" w:type="dxa"/>
          </w:tcPr>
          <w:p w14:paraId="6C35110C"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Unidad Responsable de Preparación:</w:t>
            </w:r>
          </w:p>
        </w:tc>
        <w:tc>
          <w:tcPr>
            <w:tcW w:w="4966" w:type="dxa"/>
          </w:tcPr>
          <w:p w14:paraId="4ADBE69B" w14:textId="77777777" w:rsidR="007D2479" w:rsidRPr="00AC1BDD" w:rsidRDefault="00EB44B1">
            <w:pPr>
              <w:spacing w:before="40" w:after="40"/>
              <w:rPr>
                <w:lang w:val="es-PR"/>
              </w:rPr>
            </w:pPr>
            <w:r w:rsidRPr="00AC1BDD">
              <w:rPr>
                <w:rFonts w:ascii="Arial" w:hAnsi="Arial" w:cs="Arial"/>
                <w:sz w:val="18"/>
                <w:szCs w:val="18"/>
                <w:lang w:val="es-PR"/>
              </w:rPr>
              <w:t>INE/WSA - Agua y Saneamiento</w:t>
            </w:r>
          </w:p>
        </w:tc>
      </w:tr>
      <w:tr w:rsidR="007D2479" w14:paraId="32FD850D" w14:textId="77777777" w:rsidTr="00EB44B1">
        <w:trPr>
          <w:jc w:val="center"/>
        </w:trPr>
        <w:tc>
          <w:tcPr>
            <w:tcW w:w="4054" w:type="dxa"/>
          </w:tcPr>
          <w:p w14:paraId="0AA9E858" w14:textId="77777777" w:rsidR="007D2479" w:rsidRDefault="00EB44B1">
            <w:pPr>
              <w:spacing w:before="40" w:after="40"/>
              <w:ind w:left="115" w:hanging="115"/>
            </w:pPr>
            <w:r>
              <w:rPr>
                <w:rFonts w:ascii="Arial" w:hAnsi="Arial" w:cs="Arial"/>
                <w:sz w:val="18"/>
                <w:szCs w:val="18"/>
              </w:rPr>
              <w:t>▪</w:t>
            </w:r>
            <w:r>
              <w:rPr>
                <w:rFonts w:ascii="Arial" w:hAnsi="Arial" w:cs="Arial"/>
                <w:sz w:val="18"/>
                <w:szCs w:val="18"/>
              </w:rPr>
              <w:t xml:space="preserve"> Unidad Responsable de Desembolso:</w:t>
            </w:r>
          </w:p>
        </w:tc>
        <w:tc>
          <w:tcPr>
            <w:tcW w:w="4966" w:type="dxa"/>
          </w:tcPr>
          <w:p w14:paraId="33432C0C" w14:textId="77777777" w:rsidR="007D2479" w:rsidRDefault="00EB44B1">
            <w:pPr>
              <w:spacing w:before="40" w:after="40"/>
            </w:pPr>
            <w:r>
              <w:rPr>
                <w:rFonts w:ascii="Arial" w:hAnsi="Arial" w:cs="Arial"/>
                <w:sz w:val="18"/>
                <w:szCs w:val="18"/>
              </w:rPr>
              <w:t>CID/CPN - Representación Panamá</w:t>
            </w:r>
          </w:p>
        </w:tc>
      </w:tr>
      <w:tr w:rsidR="007D2479" w14:paraId="0CEC5FB9" w14:textId="77777777" w:rsidTr="00EB44B1">
        <w:trPr>
          <w:jc w:val="center"/>
        </w:trPr>
        <w:tc>
          <w:tcPr>
            <w:tcW w:w="4054" w:type="dxa"/>
          </w:tcPr>
          <w:p w14:paraId="42E62282" w14:textId="77777777" w:rsidR="007D2479" w:rsidRPr="00AC1BDD" w:rsidRDefault="00EB44B1">
            <w:pPr>
              <w:spacing w:before="40" w:after="40"/>
              <w:rPr>
                <w:lang w:val="es-PR"/>
              </w:rPr>
            </w:pPr>
            <w:r w:rsidRPr="00AC1BDD">
              <w:rPr>
                <w:rFonts w:ascii="Arial" w:hAnsi="Arial" w:cs="Arial"/>
                <w:sz w:val="18"/>
                <w:szCs w:val="18"/>
                <w:lang w:val="es-PR"/>
              </w:rPr>
              <w:t>▪</w:t>
            </w:r>
            <w:r w:rsidRPr="00AC1BDD">
              <w:rPr>
                <w:rFonts w:ascii="Arial" w:hAnsi="Arial" w:cs="Arial"/>
                <w:sz w:val="18"/>
                <w:szCs w:val="18"/>
                <w:lang w:val="es-PR"/>
              </w:rPr>
              <w:t xml:space="preserve"> CT incluida en la </w:t>
            </w:r>
            <w:r w:rsidRPr="00AC1BDD">
              <w:rPr>
                <w:rFonts w:ascii="Arial" w:hAnsi="Arial" w:cs="Arial"/>
                <w:sz w:val="18"/>
                <w:szCs w:val="18"/>
                <w:lang w:val="es-PR"/>
              </w:rPr>
              <w:t>Estrategia de País (s/n):</w:t>
            </w:r>
            <w:r w:rsidRPr="00AC1BDD">
              <w:rPr>
                <w:rFonts w:ascii="Arial" w:hAnsi="Arial" w:cs="Arial"/>
                <w:sz w:val="18"/>
                <w:szCs w:val="18"/>
                <w:lang w:val="es-PR"/>
              </w:rPr>
              <w:br/>
            </w:r>
            <w:r w:rsidRPr="00AC1BDD">
              <w:rPr>
                <w:rFonts w:ascii="Arial" w:hAnsi="Arial" w:cs="Arial"/>
                <w:sz w:val="18"/>
                <w:szCs w:val="18"/>
                <w:lang w:val="es-PR"/>
              </w:rPr>
              <w:br/>
              <w:t>▪ CT incluida en CPD (s/n):</w:t>
            </w:r>
          </w:p>
        </w:tc>
        <w:tc>
          <w:tcPr>
            <w:tcW w:w="4966" w:type="dxa"/>
          </w:tcPr>
          <w:p w14:paraId="11C6A674" w14:textId="77777777" w:rsidR="007D2479" w:rsidRDefault="00EB44B1">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t>No</w:t>
            </w:r>
          </w:p>
        </w:tc>
      </w:tr>
      <w:tr w:rsidR="007D2479" w:rsidRPr="00AC1BDD" w14:paraId="1C585325" w14:textId="77777777" w:rsidTr="00EB44B1">
        <w:trPr>
          <w:jc w:val="center"/>
        </w:trPr>
        <w:tc>
          <w:tcPr>
            <w:tcW w:w="4054" w:type="dxa"/>
          </w:tcPr>
          <w:p w14:paraId="6320FCCB" w14:textId="77777777" w:rsidR="007D2479" w:rsidRPr="00AC1BDD" w:rsidRDefault="00EB44B1">
            <w:pPr>
              <w:spacing w:before="40" w:after="40"/>
              <w:ind w:left="115" w:hanging="115"/>
              <w:rPr>
                <w:lang w:val="es-PR"/>
              </w:rPr>
            </w:pPr>
            <w:r w:rsidRPr="00AC1BDD">
              <w:rPr>
                <w:rFonts w:ascii="Arial" w:hAnsi="Arial" w:cs="Arial"/>
                <w:sz w:val="18"/>
                <w:szCs w:val="18"/>
                <w:lang w:val="es-PR"/>
              </w:rPr>
              <w:t>▪</w:t>
            </w:r>
            <w:r w:rsidRPr="00AC1BDD">
              <w:rPr>
                <w:rFonts w:ascii="Arial" w:hAnsi="Arial" w:cs="Arial"/>
                <w:sz w:val="18"/>
                <w:szCs w:val="18"/>
                <w:lang w:val="es-PR"/>
              </w:rPr>
              <w:t xml:space="preserve"> Alineación a la Actualización de la Estrategia Institucional 2010-2020:</w:t>
            </w:r>
          </w:p>
        </w:tc>
        <w:tc>
          <w:tcPr>
            <w:tcW w:w="4966" w:type="dxa"/>
          </w:tcPr>
          <w:p w14:paraId="038EE79E" w14:textId="77777777" w:rsidR="007D2479" w:rsidRPr="00AC1BDD" w:rsidRDefault="00EB44B1">
            <w:pPr>
              <w:spacing w:before="40" w:after="40"/>
              <w:rPr>
                <w:lang w:val="es-PR"/>
              </w:rPr>
            </w:pPr>
            <w:r w:rsidRPr="00AC1BDD">
              <w:rPr>
                <w:rFonts w:ascii="Arial" w:hAnsi="Arial" w:cs="Arial"/>
                <w:sz w:val="18"/>
                <w:szCs w:val="18"/>
                <w:lang w:val="es-PR"/>
              </w:rPr>
              <w:t>Sostenibilidad ambiental; Igualdad de género</w:t>
            </w:r>
          </w:p>
        </w:tc>
      </w:tr>
    </w:tbl>
    <w:p w14:paraId="39E2FB5E" w14:textId="77777777" w:rsidR="007D2479" w:rsidRPr="00AC1BDD" w:rsidRDefault="00EB44B1">
      <w:pPr>
        <w:spacing w:before="120" w:after="120"/>
        <w:ind w:left="579" w:hanging="579"/>
        <w:rPr>
          <w:lang w:val="es-PR"/>
        </w:rPr>
      </w:pPr>
      <w:r w:rsidRPr="00AC1BDD">
        <w:rPr>
          <w:rFonts w:ascii="Arial" w:hAnsi="Arial" w:cs="Arial"/>
          <w:b/>
          <w:lang w:val="es-PR"/>
        </w:rPr>
        <w:t>II.</w:t>
      </w:r>
      <w:r w:rsidRPr="00AC1BDD">
        <w:rPr>
          <w:rFonts w:ascii="Arial" w:hAnsi="Arial" w:cs="Arial"/>
          <w:b/>
          <w:lang w:val="es-PR"/>
        </w:rPr>
        <w:tab/>
        <w:t>Objetivos y Justificación de la CT</w:t>
      </w:r>
    </w:p>
    <w:p w14:paraId="53D20D4E" w14:textId="77777777" w:rsidR="007D2479" w:rsidRPr="00AC1BDD" w:rsidRDefault="00EB44B1">
      <w:pPr>
        <w:spacing w:before="120" w:after="120"/>
        <w:ind w:left="579" w:hanging="579"/>
        <w:jc w:val="both"/>
        <w:rPr>
          <w:lang w:val="es-PR"/>
        </w:rPr>
      </w:pPr>
      <w:r w:rsidRPr="00AC1BDD">
        <w:rPr>
          <w:rFonts w:ascii="Arial" w:hAnsi="Arial" w:cs="Arial"/>
          <w:lang w:val="es-PR"/>
        </w:rPr>
        <w:t>2.1</w:t>
      </w:r>
      <w:r w:rsidRPr="00AC1BDD">
        <w:rPr>
          <w:rFonts w:ascii="Arial" w:hAnsi="Arial" w:cs="Arial"/>
          <w:lang w:val="es-PR"/>
        </w:rPr>
        <w:tab/>
        <w:t xml:space="preserve">Esta Cooperación </w:t>
      </w:r>
      <w:r w:rsidRPr="00AC1BDD">
        <w:rPr>
          <w:rFonts w:ascii="Arial" w:hAnsi="Arial" w:cs="Arial"/>
          <w:lang w:val="es-PR"/>
        </w:rPr>
        <w:t>Técnica (CT) tiene como objetivo general contratar una firma consultora para desarrollar el diagnóstico, estudios y diseño conceptual para el Proyecto de Saneamiento de las Áreas Revertidas de la Zona del Canal de Panamá.</w:t>
      </w:r>
      <w:r w:rsidRPr="00AC1BDD">
        <w:rPr>
          <w:rFonts w:ascii="Arial" w:hAnsi="Arial" w:cs="Arial"/>
          <w:lang w:val="es-PR"/>
        </w:rPr>
        <w:br/>
      </w:r>
      <w:r w:rsidRPr="0062386D">
        <w:rPr>
          <w:rFonts w:ascii="Arial" w:hAnsi="Arial" w:cs="Arial"/>
          <w:lang w:val="es-PR"/>
        </w:rPr>
        <w:t>El sector de Agua y Saneamiento ti</w:t>
      </w:r>
      <w:r w:rsidRPr="0062386D">
        <w:rPr>
          <w:rFonts w:ascii="Arial" w:hAnsi="Arial" w:cs="Arial"/>
          <w:lang w:val="es-PR"/>
        </w:rPr>
        <w:t xml:space="preserve">ene un rol fundamental en el desarrollo económico, la competitividad y el crecimiento inclusivo de Panamá, debido a sus impactos positivos sobre la salud, la educación, la productividad laboral y la conservación y protección del medio ambiente. </w:t>
      </w:r>
      <w:r w:rsidRPr="00AC1BDD">
        <w:rPr>
          <w:rFonts w:ascii="Arial" w:hAnsi="Arial" w:cs="Arial"/>
          <w:lang w:val="es-PR"/>
        </w:rPr>
        <w:t>Es por ello</w:t>
      </w:r>
      <w:r w:rsidRPr="00AC1BDD">
        <w:rPr>
          <w:rFonts w:ascii="Arial" w:hAnsi="Arial" w:cs="Arial"/>
          <w:lang w:val="es-PR"/>
        </w:rPr>
        <w:t xml:space="preserve"> que el Plan Estratégico del Gobierno 2019-2024 lo incluye en tres pilares estratégicos, reafirmando la relevancia y prioridad que las autoridades han asignado al sector, donde todavía persisten brechas que atender.</w:t>
      </w:r>
      <w:r w:rsidRPr="00AC1BDD">
        <w:rPr>
          <w:rFonts w:ascii="Arial" w:hAnsi="Arial" w:cs="Arial"/>
          <w:lang w:val="es-PR"/>
        </w:rPr>
        <w:br/>
      </w:r>
      <w:r w:rsidRPr="0062386D">
        <w:rPr>
          <w:rFonts w:ascii="Arial" w:hAnsi="Arial" w:cs="Arial"/>
          <w:lang w:val="es-PR"/>
        </w:rPr>
        <w:t>Por otro lado, la CT se alinea con el en</w:t>
      </w:r>
      <w:r w:rsidRPr="0062386D">
        <w:rPr>
          <w:rFonts w:ascii="Arial" w:hAnsi="Arial" w:cs="Arial"/>
          <w:lang w:val="es-PR"/>
        </w:rPr>
        <w:t>foque de la Visión 2025 del Banco de “Trabajar por un crecimiento económico sostenible e incluyente”, particularmente “Promover el progreso social de manera que fomente el acceso y la calidad de los servicios públicos, en particular la salud, la educación,</w:t>
      </w:r>
      <w:r w:rsidRPr="0062386D">
        <w:rPr>
          <w:rFonts w:ascii="Arial" w:hAnsi="Arial" w:cs="Arial"/>
          <w:lang w:val="es-PR"/>
        </w:rPr>
        <w:t xml:space="preserve"> el agua y el saneamiento”. </w:t>
      </w:r>
      <w:r w:rsidRPr="00AC1BDD">
        <w:rPr>
          <w:rFonts w:ascii="Arial" w:hAnsi="Arial" w:cs="Arial"/>
          <w:lang w:val="es-PR"/>
        </w:rPr>
        <w:t>También está alineada con los temas transversales de género y diversidad, así como el de acción frente al cambio climático.</w:t>
      </w:r>
    </w:p>
    <w:p w14:paraId="3C55401A" w14:textId="77777777" w:rsidR="007D2479" w:rsidRPr="00AC1BDD" w:rsidRDefault="00EB44B1">
      <w:pPr>
        <w:spacing w:before="120" w:after="120"/>
        <w:ind w:left="579" w:hanging="579"/>
        <w:jc w:val="both"/>
        <w:rPr>
          <w:lang w:val="es-PR"/>
        </w:rPr>
      </w:pPr>
      <w:r w:rsidRPr="00AC1BDD">
        <w:rPr>
          <w:rFonts w:ascii="Arial" w:hAnsi="Arial" w:cs="Arial"/>
          <w:lang w:val="es-PR"/>
        </w:rPr>
        <w:lastRenderedPageBreak/>
        <w:t>2.2</w:t>
      </w:r>
      <w:r w:rsidRPr="00AC1BDD">
        <w:rPr>
          <w:rFonts w:ascii="Arial" w:hAnsi="Arial" w:cs="Arial"/>
          <w:lang w:val="es-PR"/>
        </w:rPr>
        <w:tab/>
        <w:t>En la Actualización del Plan Maestro del Programa de Saneamiento de Panamá, elaborado en el año 2015</w:t>
      </w:r>
      <w:r w:rsidRPr="00AC1BDD">
        <w:rPr>
          <w:rFonts w:ascii="Arial" w:hAnsi="Arial" w:cs="Arial"/>
          <w:lang w:val="es-PR"/>
        </w:rPr>
        <w:t>, se identificó la problemática del sistema de alcantarillado sanitario de las Áreas Revertidas de la antigua Zona del Canal de Panamá, que data de hace más de 100 años y que ha sobrepasado su vida útil, presentando problemas de roturas y desbordes en la v</w:t>
      </w:r>
      <w:r w:rsidRPr="00AC1BDD">
        <w:rPr>
          <w:rFonts w:ascii="Arial" w:hAnsi="Arial" w:cs="Arial"/>
          <w:lang w:val="es-PR"/>
        </w:rPr>
        <w:t>ía pública y cuerpos de agua. Asimismo, el crecimiento urbano y económico de los últimos años que ha experimentado el área, particularmente los sectores de Paraíso, Pedro Miguel, Clayton, Cárdenas, Corozal, Los Ríos y Diablo, pertenecientes al Corregimient</w:t>
      </w:r>
      <w:r w:rsidRPr="00AC1BDD">
        <w:rPr>
          <w:rFonts w:ascii="Arial" w:hAnsi="Arial" w:cs="Arial"/>
          <w:lang w:val="es-PR"/>
        </w:rPr>
        <w:t>o de Ancón, ha causado que la capacidad de dicho sistema se encuentre superada, por lo que su funcionamiento es deficiente, ocasionando que las aguas residuales de estos sectores sean vertidas en áreas públicas y también descarguen sin tratamiento al Canal</w:t>
      </w:r>
      <w:r w:rsidRPr="00AC1BDD">
        <w:rPr>
          <w:rFonts w:ascii="Arial" w:hAnsi="Arial" w:cs="Arial"/>
          <w:lang w:val="es-PR"/>
        </w:rPr>
        <w:t xml:space="preserve"> de Panamá. Por todo lo anterior, se justifica desarrollar el diseño conceptual de las obras que permitan resolver esta problemática, con el propósito de mejorar las condiciones de salud pública y ambiental del área.</w:t>
      </w:r>
    </w:p>
    <w:p w14:paraId="2D890C53" w14:textId="77777777" w:rsidR="007D2479" w:rsidRPr="00AC1BDD" w:rsidRDefault="00EB44B1">
      <w:pPr>
        <w:spacing w:before="120" w:after="120"/>
        <w:ind w:left="579" w:hanging="579"/>
        <w:jc w:val="both"/>
        <w:rPr>
          <w:lang w:val="es-PR"/>
        </w:rPr>
      </w:pPr>
      <w:r w:rsidRPr="00AC1BDD">
        <w:rPr>
          <w:rFonts w:ascii="Arial" w:hAnsi="Arial" w:cs="Arial"/>
          <w:lang w:val="es-PR"/>
        </w:rPr>
        <w:t>2.3</w:t>
      </w:r>
      <w:r w:rsidRPr="00AC1BDD">
        <w:rPr>
          <w:rFonts w:ascii="Arial" w:hAnsi="Arial" w:cs="Arial"/>
          <w:lang w:val="es-PR"/>
        </w:rPr>
        <w:tab/>
        <w:t>Esta CT se vincula con la Estrategi</w:t>
      </w:r>
      <w:r w:rsidRPr="00AC1BDD">
        <w:rPr>
          <w:rFonts w:ascii="Arial" w:hAnsi="Arial" w:cs="Arial"/>
          <w:lang w:val="es-PR"/>
        </w:rPr>
        <w:t>a de País con Panamá 2021-2024, de “Ampliar el acceso y calidad de los servicios de protección social, salud, y agua y saneamiento”. Asimismo, es consistente con la Segunda Actualización de la Estrategia Institucional 2020-2024 (AB-3190-2), alineándose con</w:t>
      </w:r>
      <w:r w:rsidRPr="00AC1BDD">
        <w:rPr>
          <w:rFonts w:ascii="Arial" w:hAnsi="Arial" w:cs="Arial"/>
          <w:lang w:val="es-PR"/>
        </w:rPr>
        <w:t xml:space="preserve"> sus temas transversales de “Igualdad de Género” ya que se han previsto financiar un diagnóstico sobre la situación actual del enfoque de género en el Programa Saneamiento de Panamá, así como un Plan de Acción para promover la participación de mujeres en e</w:t>
      </w:r>
      <w:r w:rsidRPr="00AC1BDD">
        <w:rPr>
          <w:rFonts w:ascii="Arial" w:hAnsi="Arial" w:cs="Arial"/>
          <w:lang w:val="es-PR"/>
        </w:rPr>
        <w:t>l subsector saneamiento y “Cambio climático y sostenibilidad ambiental” pues financiará el diseño conceptual del futuro Programa de Saneamiento de Áreas Revertidas, cuya infraestructura una vez construida en una futura operación de préstamo, transportará l</w:t>
      </w:r>
      <w:r w:rsidRPr="00AC1BDD">
        <w:rPr>
          <w:rFonts w:ascii="Arial" w:hAnsi="Arial" w:cs="Arial"/>
          <w:lang w:val="es-PR"/>
        </w:rPr>
        <w:t>as aguas residuales para su tratamiento.</w:t>
      </w:r>
    </w:p>
    <w:p w14:paraId="7DAA8EAF" w14:textId="77777777" w:rsidR="007D2479" w:rsidRPr="00AC1BDD" w:rsidRDefault="00EB44B1">
      <w:pPr>
        <w:spacing w:before="120" w:after="120"/>
        <w:ind w:left="579" w:hanging="579"/>
        <w:rPr>
          <w:lang w:val="es-PR"/>
        </w:rPr>
      </w:pPr>
      <w:r w:rsidRPr="00AC1BDD">
        <w:rPr>
          <w:rFonts w:ascii="Arial" w:hAnsi="Arial" w:cs="Arial"/>
          <w:b/>
          <w:lang w:val="es-PR"/>
        </w:rPr>
        <w:t>III.</w:t>
      </w:r>
      <w:r w:rsidRPr="00AC1BDD">
        <w:rPr>
          <w:rFonts w:ascii="Arial" w:hAnsi="Arial" w:cs="Arial"/>
          <w:b/>
          <w:lang w:val="es-PR"/>
        </w:rPr>
        <w:tab/>
        <w:t>Descripción de las Actividades y Resultados</w:t>
      </w:r>
    </w:p>
    <w:p w14:paraId="1330DB2B" w14:textId="02A8AE99" w:rsidR="007D2479" w:rsidRPr="00AC1BDD" w:rsidRDefault="00EB44B1">
      <w:pPr>
        <w:spacing w:before="120" w:after="120"/>
        <w:ind w:left="579" w:hanging="579"/>
        <w:jc w:val="both"/>
        <w:rPr>
          <w:lang w:val="es-PR"/>
        </w:rPr>
      </w:pPr>
      <w:r w:rsidRPr="00AC1BDD">
        <w:rPr>
          <w:rFonts w:ascii="Arial" w:hAnsi="Arial" w:cs="Arial"/>
          <w:lang w:val="es-PR"/>
        </w:rPr>
        <w:t>3.1</w:t>
      </w:r>
      <w:r w:rsidRPr="00AC1BDD">
        <w:rPr>
          <w:rFonts w:ascii="Arial" w:hAnsi="Arial" w:cs="Arial"/>
          <w:lang w:val="es-PR"/>
        </w:rPr>
        <w:tab/>
      </w:r>
      <w:r w:rsidRPr="00AC1BDD">
        <w:rPr>
          <w:rFonts w:ascii="Arial" w:hAnsi="Arial" w:cs="Arial"/>
          <w:b/>
          <w:lang w:val="es-PR"/>
        </w:rPr>
        <w:t>Componente I: Diagnóstico del Saneamiento de las Áreas Revertidas.</w:t>
      </w:r>
      <w:r w:rsidRPr="00AC1BDD">
        <w:rPr>
          <w:rFonts w:ascii="Arial" w:hAnsi="Arial" w:cs="Arial"/>
          <w:b/>
          <w:lang w:val="es-PR"/>
        </w:rPr>
        <w:t xml:space="preserve"> </w:t>
      </w:r>
      <w:r w:rsidRPr="00AC1BDD">
        <w:rPr>
          <w:rFonts w:ascii="Arial" w:hAnsi="Arial" w:cs="Arial"/>
          <w:lang w:val="es-PR"/>
        </w:rPr>
        <w:t>Se contratará con una firma consultora para hacer el diagnóstico del sistema de alcantarillad</w:t>
      </w:r>
      <w:r w:rsidRPr="00AC1BDD">
        <w:rPr>
          <w:rFonts w:ascii="Arial" w:hAnsi="Arial" w:cs="Arial"/>
          <w:lang w:val="es-PR"/>
        </w:rPr>
        <w:t xml:space="preserve">o en el Corregimiento de Ancón, (sectores de Paraíso, Pedro Miguel, Clayton, Cárdenas, Corozal, Los Ríos y Diablo). </w:t>
      </w:r>
    </w:p>
    <w:p w14:paraId="5454C362" w14:textId="064155A2" w:rsidR="007D2479" w:rsidRPr="00AC1BDD" w:rsidRDefault="00EB44B1">
      <w:pPr>
        <w:spacing w:before="120" w:after="120"/>
        <w:ind w:left="579" w:hanging="579"/>
        <w:jc w:val="both"/>
        <w:rPr>
          <w:lang w:val="es-PR"/>
        </w:rPr>
      </w:pPr>
      <w:r w:rsidRPr="00AC1BDD">
        <w:rPr>
          <w:rFonts w:ascii="Arial" w:hAnsi="Arial" w:cs="Arial"/>
          <w:lang w:val="es-PR"/>
        </w:rPr>
        <w:t>3.2</w:t>
      </w:r>
      <w:r w:rsidRPr="00AC1BDD">
        <w:rPr>
          <w:rFonts w:ascii="Arial" w:hAnsi="Arial" w:cs="Arial"/>
          <w:lang w:val="es-PR"/>
        </w:rPr>
        <w:tab/>
      </w:r>
      <w:r w:rsidRPr="00AC1BDD">
        <w:rPr>
          <w:rFonts w:ascii="Arial" w:hAnsi="Arial" w:cs="Arial"/>
          <w:b/>
          <w:lang w:val="es-PR"/>
        </w:rPr>
        <w:t>Componente II: Estudios y Diseño Conceptual del Proyecto de Saneamiento de Áreas Revertidas.</w:t>
      </w:r>
      <w:r w:rsidRPr="00AC1BDD">
        <w:rPr>
          <w:rFonts w:ascii="Arial" w:hAnsi="Arial" w:cs="Arial"/>
          <w:b/>
          <w:lang w:val="es-PR"/>
        </w:rPr>
        <w:t xml:space="preserve"> </w:t>
      </w:r>
      <w:r w:rsidRPr="00AC1BDD">
        <w:rPr>
          <w:rFonts w:ascii="Arial" w:hAnsi="Arial" w:cs="Arial"/>
          <w:lang w:val="es-PR"/>
        </w:rPr>
        <w:t>Se contratará una firma consultora para realizar los estudios y diseños, evaluación y selección de la solución para resolver la problemática de saneamiento en lo</w:t>
      </w:r>
      <w:r w:rsidRPr="00AC1BDD">
        <w:rPr>
          <w:rFonts w:ascii="Arial" w:hAnsi="Arial" w:cs="Arial"/>
          <w:lang w:val="es-PR"/>
        </w:rPr>
        <w:t xml:space="preserve">s sectores diagnosticados en el Componente I, llevando esta alternativa hasta el nivel de factibilidad, para desarrollar el diseño de las obras que se construirían con el Proyecto de Saneamiento la Zona del Canal de Panamá. </w:t>
      </w:r>
    </w:p>
    <w:p w14:paraId="52D85A5F" w14:textId="77777777" w:rsidR="007D2479" w:rsidRDefault="00EB44B1">
      <w:pPr>
        <w:spacing w:before="120" w:after="120"/>
        <w:ind w:left="579" w:hanging="579"/>
      </w:pPr>
      <w:r>
        <w:rPr>
          <w:rFonts w:ascii="Arial" w:hAnsi="Arial" w:cs="Arial"/>
          <w:b/>
        </w:rPr>
        <w:t>IV.</w:t>
      </w:r>
      <w:r>
        <w:rPr>
          <w:rFonts w:ascii="Arial" w:hAnsi="Arial" w:cs="Arial"/>
          <w:b/>
        </w:rPr>
        <w:tab/>
        <w:t>Presupuesto</w:t>
      </w:r>
    </w:p>
    <w:p w14:paraId="510FCB33" w14:textId="77777777" w:rsidR="007D2479" w:rsidRDefault="00EB44B1">
      <w:pPr>
        <w:spacing w:before="240" w:after="120"/>
        <w:jc w:val="center"/>
      </w:pPr>
      <w:r>
        <w:rPr>
          <w:rFonts w:ascii="Arial" w:hAnsi="Arial" w:cs="Arial"/>
          <w:b/>
          <w:sz w:val="18"/>
          <w:szCs w:val="18"/>
        </w:rPr>
        <w:t>Presupuesto Ind</w:t>
      </w:r>
      <w:r>
        <w:rPr>
          <w:rFonts w:ascii="Arial" w:hAnsi="Arial" w:cs="Arial"/>
          <w:b/>
          <w:sz w:val="18"/>
          <w:szCs w:val="18"/>
        </w:rPr>
        <w:t>icativo</w:t>
      </w:r>
    </w:p>
    <w:tbl>
      <w:tblPr>
        <w:tblStyle w:val="TableGrid"/>
        <w:tblW w:w="5000" w:type="auto"/>
        <w:tblLook w:val="04A0" w:firstRow="1" w:lastRow="0" w:firstColumn="1" w:lastColumn="0" w:noHBand="0" w:noVBand="1"/>
      </w:tblPr>
      <w:tblGrid>
        <w:gridCol w:w="2297"/>
        <w:gridCol w:w="2269"/>
        <w:gridCol w:w="2218"/>
        <w:gridCol w:w="2232"/>
      </w:tblGrid>
      <w:tr w:rsidR="007D2479" w14:paraId="467476C5" w14:textId="77777777">
        <w:tc>
          <w:tcPr>
            <w:tcW w:w="2310" w:type="dxa"/>
            <w:vAlign w:val="center"/>
          </w:tcPr>
          <w:p w14:paraId="65F33173" w14:textId="77777777" w:rsidR="007D2479" w:rsidRDefault="00EB44B1">
            <w:pPr>
              <w:spacing w:before="40" w:after="40"/>
              <w:jc w:val="center"/>
            </w:pPr>
            <w:r>
              <w:rPr>
                <w:rFonts w:ascii="Arial" w:hAnsi="Arial" w:cs="Arial"/>
                <w:b/>
                <w:sz w:val="18"/>
                <w:szCs w:val="18"/>
              </w:rPr>
              <w:t>Actividad/Componente</w:t>
            </w:r>
          </w:p>
        </w:tc>
        <w:tc>
          <w:tcPr>
            <w:tcW w:w="2310" w:type="dxa"/>
          </w:tcPr>
          <w:p w14:paraId="3DBD0562" w14:textId="77777777" w:rsidR="007D2479" w:rsidRDefault="00EB44B1">
            <w:pPr>
              <w:spacing w:before="40" w:after="40"/>
              <w:jc w:val="center"/>
            </w:pPr>
            <w:r>
              <w:rPr>
                <w:rFonts w:ascii="Arial" w:hAnsi="Arial" w:cs="Arial"/>
                <w:b/>
                <w:sz w:val="18"/>
                <w:szCs w:val="18"/>
              </w:rPr>
              <w:t>BID/Financiamiento por Fondo</w:t>
            </w:r>
          </w:p>
        </w:tc>
        <w:tc>
          <w:tcPr>
            <w:tcW w:w="2310" w:type="dxa"/>
          </w:tcPr>
          <w:p w14:paraId="17845D11" w14:textId="77777777" w:rsidR="007D2479" w:rsidRDefault="00EB44B1">
            <w:pPr>
              <w:spacing w:before="40" w:after="40"/>
              <w:jc w:val="center"/>
            </w:pPr>
            <w:r>
              <w:rPr>
                <w:rFonts w:ascii="Arial" w:hAnsi="Arial" w:cs="Arial"/>
                <w:b/>
                <w:sz w:val="18"/>
                <w:szCs w:val="18"/>
              </w:rPr>
              <w:t>Contrapartida Local</w:t>
            </w:r>
          </w:p>
        </w:tc>
        <w:tc>
          <w:tcPr>
            <w:tcW w:w="2310" w:type="dxa"/>
          </w:tcPr>
          <w:p w14:paraId="4BF30E32" w14:textId="77777777" w:rsidR="007D2479" w:rsidRDefault="00EB44B1">
            <w:pPr>
              <w:spacing w:before="40" w:after="40"/>
              <w:jc w:val="center"/>
            </w:pPr>
            <w:r>
              <w:rPr>
                <w:rFonts w:ascii="Arial" w:hAnsi="Arial" w:cs="Arial"/>
                <w:b/>
                <w:sz w:val="18"/>
                <w:szCs w:val="18"/>
              </w:rPr>
              <w:t>Financiamiento Total</w:t>
            </w:r>
          </w:p>
        </w:tc>
      </w:tr>
      <w:tr w:rsidR="007D2479" w14:paraId="10E5EFC5" w14:textId="77777777">
        <w:tc>
          <w:tcPr>
            <w:tcW w:w="2310" w:type="dxa"/>
            <w:vAlign w:val="center"/>
          </w:tcPr>
          <w:p w14:paraId="7CFD3EE7" w14:textId="77777777" w:rsidR="007D2479" w:rsidRPr="00AC1BDD" w:rsidRDefault="00EB44B1">
            <w:pPr>
              <w:spacing w:before="40" w:after="40"/>
              <w:rPr>
                <w:lang w:val="es-PR"/>
              </w:rPr>
            </w:pPr>
            <w:r w:rsidRPr="00AC1BDD">
              <w:rPr>
                <w:rFonts w:ascii="Arial" w:hAnsi="Arial" w:cs="Arial"/>
                <w:sz w:val="18"/>
                <w:szCs w:val="18"/>
                <w:lang w:val="es-PR"/>
              </w:rPr>
              <w:t xml:space="preserve">Diagnóstico del Saneamiento de las Áreas Revertidas. </w:t>
            </w:r>
          </w:p>
        </w:tc>
        <w:tc>
          <w:tcPr>
            <w:tcW w:w="2310" w:type="dxa"/>
            <w:vAlign w:val="center"/>
          </w:tcPr>
          <w:p w14:paraId="1A630DDF" w14:textId="77777777" w:rsidR="007D2479" w:rsidRDefault="00EB44B1">
            <w:pPr>
              <w:spacing w:before="40" w:after="40"/>
              <w:jc w:val="right"/>
            </w:pPr>
            <w:r>
              <w:rPr>
                <w:rFonts w:ascii="Arial" w:hAnsi="Arial" w:cs="Arial"/>
                <w:sz w:val="18"/>
                <w:szCs w:val="18"/>
              </w:rPr>
              <w:t>US$75,000.00</w:t>
            </w:r>
          </w:p>
        </w:tc>
        <w:tc>
          <w:tcPr>
            <w:tcW w:w="2310" w:type="dxa"/>
            <w:vAlign w:val="center"/>
          </w:tcPr>
          <w:p w14:paraId="6517D17E" w14:textId="77777777" w:rsidR="007D2479" w:rsidRDefault="00EB44B1">
            <w:pPr>
              <w:spacing w:before="40" w:after="40"/>
              <w:jc w:val="right"/>
            </w:pPr>
            <w:r>
              <w:rPr>
                <w:rFonts w:ascii="Arial" w:hAnsi="Arial" w:cs="Arial"/>
                <w:sz w:val="18"/>
                <w:szCs w:val="18"/>
              </w:rPr>
              <w:t>US$0.00</w:t>
            </w:r>
          </w:p>
        </w:tc>
        <w:tc>
          <w:tcPr>
            <w:tcW w:w="2310" w:type="dxa"/>
            <w:vAlign w:val="center"/>
          </w:tcPr>
          <w:p w14:paraId="5DCCB26D" w14:textId="77777777" w:rsidR="007D2479" w:rsidRDefault="00EB44B1">
            <w:pPr>
              <w:spacing w:before="40" w:after="40"/>
              <w:jc w:val="right"/>
            </w:pPr>
            <w:r>
              <w:rPr>
                <w:rFonts w:ascii="Arial" w:hAnsi="Arial" w:cs="Arial"/>
                <w:sz w:val="18"/>
                <w:szCs w:val="18"/>
              </w:rPr>
              <w:t>US$75,000.00</w:t>
            </w:r>
          </w:p>
        </w:tc>
      </w:tr>
      <w:tr w:rsidR="007D2479" w14:paraId="4EFE63D0" w14:textId="77777777">
        <w:tc>
          <w:tcPr>
            <w:tcW w:w="2310" w:type="dxa"/>
            <w:vAlign w:val="center"/>
          </w:tcPr>
          <w:p w14:paraId="602C08D2" w14:textId="77777777" w:rsidR="007D2479" w:rsidRPr="00AC1BDD" w:rsidRDefault="00EB44B1">
            <w:pPr>
              <w:spacing w:before="40" w:after="40"/>
              <w:rPr>
                <w:lang w:val="es-PR"/>
              </w:rPr>
            </w:pPr>
            <w:r w:rsidRPr="00AC1BDD">
              <w:rPr>
                <w:rFonts w:ascii="Arial" w:hAnsi="Arial" w:cs="Arial"/>
                <w:sz w:val="18"/>
                <w:szCs w:val="18"/>
                <w:lang w:val="es-PR"/>
              </w:rPr>
              <w:t xml:space="preserve">Estudios y Diseño Conceptual del Proyecto de Saneamiento de Áreas Revertidas. </w:t>
            </w:r>
          </w:p>
        </w:tc>
        <w:tc>
          <w:tcPr>
            <w:tcW w:w="2310" w:type="dxa"/>
            <w:vAlign w:val="center"/>
          </w:tcPr>
          <w:p w14:paraId="145B393B" w14:textId="77777777" w:rsidR="007D2479" w:rsidRDefault="00EB44B1">
            <w:pPr>
              <w:spacing w:before="40" w:after="40"/>
              <w:jc w:val="right"/>
            </w:pPr>
            <w:r>
              <w:rPr>
                <w:rFonts w:ascii="Arial" w:hAnsi="Arial" w:cs="Arial"/>
                <w:sz w:val="18"/>
                <w:szCs w:val="18"/>
              </w:rPr>
              <w:t>US$125,000.00</w:t>
            </w:r>
          </w:p>
        </w:tc>
        <w:tc>
          <w:tcPr>
            <w:tcW w:w="2310" w:type="dxa"/>
            <w:vAlign w:val="center"/>
          </w:tcPr>
          <w:p w14:paraId="0AAF5737" w14:textId="77777777" w:rsidR="007D2479" w:rsidRDefault="00EB44B1">
            <w:pPr>
              <w:spacing w:before="40" w:after="40"/>
              <w:jc w:val="right"/>
            </w:pPr>
            <w:r>
              <w:rPr>
                <w:rFonts w:ascii="Arial" w:hAnsi="Arial" w:cs="Arial"/>
                <w:sz w:val="18"/>
                <w:szCs w:val="18"/>
              </w:rPr>
              <w:t>US$0.00</w:t>
            </w:r>
          </w:p>
        </w:tc>
        <w:tc>
          <w:tcPr>
            <w:tcW w:w="2310" w:type="dxa"/>
            <w:vAlign w:val="center"/>
          </w:tcPr>
          <w:p w14:paraId="03B1971A" w14:textId="77777777" w:rsidR="007D2479" w:rsidRDefault="00EB44B1">
            <w:pPr>
              <w:spacing w:before="40" w:after="40"/>
              <w:jc w:val="right"/>
            </w:pPr>
            <w:r>
              <w:rPr>
                <w:rFonts w:ascii="Arial" w:hAnsi="Arial" w:cs="Arial"/>
                <w:sz w:val="18"/>
                <w:szCs w:val="18"/>
              </w:rPr>
              <w:t>US$125,000.00</w:t>
            </w:r>
          </w:p>
        </w:tc>
      </w:tr>
      <w:tr w:rsidR="007D2479" w14:paraId="4494659B" w14:textId="77777777">
        <w:tc>
          <w:tcPr>
            <w:tcW w:w="2310" w:type="dxa"/>
            <w:vAlign w:val="center"/>
          </w:tcPr>
          <w:p w14:paraId="1047F237" w14:textId="77777777" w:rsidR="007D2479" w:rsidRDefault="00EB44B1">
            <w:pPr>
              <w:spacing w:before="40" w:after="40"/>
            </w:pPr>
            <w:r>
              <w:rPr>
                <w:rFonts w:ascii="Arial" w:hAnsi="Arial" w:cs="Arial"/>
                <w:b/>
                <w:sz w:val="18"/>
                <w:szCs w:val="18"/>
              </w:rPr>
              <w:t>Total</w:t>
            </w:r>
          </w:p>
        </w:tc>
        <w:tc>
          <w:tcPr>
            <w:tcW w:w="2310" w:type="dxa"/>
            <w:vAlign w:val="center"/>
          </w:tcPr>
          <w:p w14:paraId="3323DEAE" w14:textId="77777777" w:rsidR="007D2479" w:rsidRDefault="00EB44B1">
            <w:pPr>
              <w:spacing w:before="40" w:after="40"/>
              <w:jc w:val="right"/>
            </w:pPr>
            <w:r>
              <w:rPr>
                <w:rFonts w:ascii="Arial" w:hAnsi="Arial" w:cs="Arial"/>
                <w:b/>
                <w:sz w:val="18"/>
                <w:szCs w:val="18"/>
              </w:rPr>
              <w:t>US$200,000.00</w:t>
            </w:r>
          </w:p>
        </w:tc>
        <w:tc>
          <w:tcPr>
            <w:tcW w:w="2310" w:type="dxa"/>
            <w:vAlign w:val="center"/>
          </w:tcPr>
          <w:p w14:paraId="0222839E" w14:textId="77777777" w:rsidR="007D2479" w:rsidRDefault="00EB44B1">
            <w:pPr>
              <w:spacing w:before="40" w:after="40"/>
              <w:jc w:val="right"/>
            </w:pPr>
            <w:r>
              <w:rPr>
                <w:rFonts w:ascii="Arial" w:hAnsi="Arial" w:cs="Arial"/>
                <w:b/>
                <w:sz w:val="18"/>
                <w:szCs w:val="18"/>
              </w:rPr>
              <w:t>US$0.00</w:t>
            </w:r>
          </w:p>
        </w:tc>
        <w:tc>
          <w:tcPr>
            <w:tcW w:w="2310" w:type="dxa"/>
            <w:vAlign w:val="center"/>
          </w:tcPr>
          <w:p w14:paraId="0120060A" w14:textId="77777777" w:rsidR="007D2479" w:rsidRDefault="00EB44B1">
            <w:pPr>
              <w:spacing w:before="40" w:after="40"/>
              <w:jc w:val="right"/>
            </w:pPr>
            <w:r>
              <w:rPr>
                <w:rFonts w:ascii="Arial" w:hAnsi="Arial" w:cs="Arial"/>
                <w:b/>
                <w:sz w:val="18"/>
                <w:szCs w:val="18"/>
              </w:rPr>
              <w:t>US$200,000.00</w:t>
            </w:r>
          </w:p>
        </w:tc>
      </w:tr>
    </w:tbl>
    <w:p w14:paraId="0C0AD016" w14:textId="77777777" w:rsidR="007D2479" w:rsidRPr="00AC1BDD" w:rsidRDefault="00EB44B1">
      <w:pPr>
        <w:spacing w:before="120" w:after="120"/>
        <w:ind w:left="579" w:hanging="579"/>
        <w:rPr>
          <w:lang w:val="es-PR"/>
        </w:rPr>
      </w:pPr>
      <w:r w:rsidRPr="00AC1BDD">
        <w:rPr>
          <w:rFonts w:ascii="Arial" w:hAnsi="Arial" w:cs="Arial"/>
          <w:b/>
          <w:lang w:val="es-PR"/>
        </w:rPr>
        <w:t>V.</w:t>
      </w:r>
      <w:r w:rsidRPr="00AC1BDD">
        <w:rPr>
          <w:rFonts w:ascii="Arial" w:hAnsi="Arial" w:cs="Arial"/>
          <w:b/>
          <w:lang w:val="es-PR"/>
        </w:rPr>
        <w:tab/>
        <w:t>Agencia Ejecutora y Estructura de Ejecución</w:t>
      </w:r>
    </w:p>
    <w:p w14:paraId="15DD8821" w14:textId="77777777" w:rsidR="007D2479" w:rsidRPr="00AC1BDD" w:rsidRDefault="00EB44B1">
      <w:pPr>
        <w:spacing w:before="200" w:after="200"/>
        <w:ind w:left="579" w:hanging="579"/>
        <w:jc w:val="both"/>
        <w:rPr>
          <w:lang w:val="es-PR"/>
        </w:rPr>
      </w:pPr>
      <w:r w:rsidRPr="00AC1BDD">
        <w:rPr>
          <w:rFonts w:ascii="Arial" w:hAnsi="Arial" w:cs="Arial"/>
          <w:lang w:val="es-PR"/>
        </w:rPr>
        <w:lastRenderedPageBreak/>
        <w:t>5.1</w:t>
      </w:r>
      <w:r w:rsidRPr="00AC1BDD">
        <w:rPr>
          <w:rFonts w:ascii="Arial" w:hAnsi="Arial" w:cs="Arial"/>
          <w:lang w:val="es-PR"/>
        </w:rPr>
        <w:tab/>
        <w:t>El Banco será el encargado de ejecutar las act</w:t>
      </w:r>
      <w:r w:rsidRPr="00AC1BDD">
        <w:rPr>
          <w:rFonts w:ascii="Arial" w:hAnsi="Arial" w:cs="Arial"/>
          <w:lang w:val="es-PR"/>
        </w:rPr>
        <w:t>ividades de esta CT a solicitud del beneficiario a través de la División de Agua y Saneamiento (INE/WSA).</w:t>
      </w:r>
    </w:p>
    <w:p w14:paraId="6EBC0CF0" w14:textId="77777777" w:rsidR="007D2479" w:rsidRPr="00AC1BDD" w:rsidRDefault="00EB44B1">
      <w:pPr>
        <w:spacing w:before="200" w:after="200"/>
        <w:ind w:left="579" w:hanging="579"/>
        <w:jc w:val="both"/>
        <w:rPr>
          <w:lang w:val="es-PR"/>
        </w:rPr>
      </w:pPr>
      <w:r w:rsidRPr="00AC1BDD">
        <w:rPr>
          <w:rFonts w:ascii="Arial" w:hAnsi="Arial" w:cs="Arial"/>
          <w:lang w:val="es-PR"/>
        </w:rPr>
        <w:t>5.2</w:t>
      </w:r>
      <w:r w:rsidRPr="00AC1BDD">
        <w:rPr>
          <w:rFonts w:ascii="Arial" w:hAnsi="Arial" w:cs="Arial"/>
          <w:lang w:val="es-PR"/>
        </w:rPr>
        <w:tab/>
        <w:t>La ejecución por parte del Banco permitirá cumplir con los tiempos de ejecución previstos y aprovechar el conocimiento técnico del equipo del Banc</w:t>
      </w:r>
      <w:r w:rsidRPr="00AC1BDD">
        <w:rPr>
          <w:rFonts w:ascii="Arial" w:hAnsi="Arial" w:cs="Arial"/>
          <w:lang w:val="es-PR"/>
        </w:rPr>
        <w:t>o en este tipo de actividades. El Banco contratará los servicios de consultoría de conformidad con las políticas y procedimientos vigentes en el Banco.</w:t>
      </w:r>
    </w:p>
    <w:p w14:paraId="3F4940CF" w14:textId="77777777" w:rsidR="007D2479" w:rsidRPr="00AC1BDD" w:rsidRDefault="00EB44B1">
      <w:pPr>
        <w:spacing w:before="120" w:after="120"/>
        <w:ind w:left="579" w:hanging="579"/>
        <w:rPr>
          <w:lang w:val="es-PR"/>
        </w:rPr>
      </w:pPr>
      <w:r w:rsidRPr="00AC1BDD">
        <w:rPr>
          <w:rFonts w:ascii="Arial" w:hAnsi="Arial" w:cs="Arial"/>
          <w:b/>
          <w:lang w:val="es-PR"/>
        </w:rPr>
        <w:t>VI.</w:t>
      </w:r>
      <w:r w:rsidRPr="00AC1BDD">
        <w:rPr>
          <w:rFonts w:ascii="Arial" w:hAnsi="Arial" w:cs="Arial"/>
          <w:b/>
          <w:lang w:val="es-PR"/>
        </w:rPr>
        <w:tab/>
        <w:t>Riesgos Importantes</w:t>
      </w:r>
    </w:p>
    <w:p w14:paraId="78481525" w14:textId="1C3EE79F" w:rsidR="007D2479" w:rsidRPr="00AC1BDD" w:rsidRDefault="00EB44B1">
      <w:pPr>
        <w:spacing w:before="200" w:after="200"/>
        <w:ind w:left="579" w:hanging="579"/>
        <w:jc w:val="both"/>
        <w:rPr>
          <w:lang w:val="es-PR"/>
        </w:rPr>
      </w:pPr>
      <w:r w:rsidRPr="00AC1BDD">
        <w:rPr>
          <w:rFonts w:ascii="Arial" w:hAnsi="Arial" w:cs="Arial"/>
          <w:lang w:val="es-PR"/>
        </w:rPr>
        <w:t>6.1</w:t>
      </w:r>
      <w:r w:rsidRPr="00AC1BDD">
        <w:rPr>
          <w:rFonts w:ascii="Arial" w:hAnsi="Arial" w:cs="Arial"/>
          <w:lang w:val="es-PR"/>
        </w:rPr>
        <w:tab/>
        <w:t>No se han identificado riesgos significativos que afecten sustancialmente la</w:t>
      </w:r>
      <w:r w:rsidRPr="00AC1BDD">
        <w:rPr>
          <w:rFonts w:ascii="Arial" w:hAnsi="Arial" w:cs="Arial"/>
          <w:lang w:val="es-PR"/>
        </w:rPr>
        <w:t xml:space="preserve"> ejecución de la CT. No obstante, se considera como potencial riesgo la adecuada coordinación con la Unidad Coordinadora Saneamiento de Panamá, en cuanto a la retroalimentación técnica que deba realizar a la firma consultora seleccionada. </w:t>
      </w:r>
      <w:r w:rsidRPr="00AC1BDD">
        <w:rPr>
          <w:rFonts w:ascii="Arial" w:hAnsi="Arial" w:cs="Arial"/>
          <w:lang w:val="es-PR"/>
        </w:rPr>
        <w:t>Para mitigar est</w:t>
      </w:r>
      <w:r w:rsidRPr="00AC1BDD">
        <w:rPr>
          <w:rFonts w:ascii="Arial" w:hAnsi="Arial" w:cs="Arial"/>
          <w:lang w:val="es-PR"/>
        </w:rPr>
        <w:t>e riesgo se establecerá desde el inicio de la implementación de la CT mecanismos de coordinación del Banco con la UCPSP, para garantizar la adecuada discusión y toma de decisiones conjunta, y la apropiación de los resultados.</w:t>
      </w:r>
    </w:p>
    <w:p w14:paraId="00602561" w14:textId="77777777" w:rsidR="007D2479" w:rsidRPr="00AC1BDD" w:rsidRDefault="00EB44B1">
      <w:pPr>
        <w:spacing w:before="120" w:after="120"/>
        <w:ind w:left="579" w:hanging="579"/>
        <w:rPr>
          <w:lang w:val="es-PR"/>
        </w:rPr>
      </w:pPr>
      <w:r w:rsidRPr="00AC1BDD">
        <w:rPr>
          <w:rFonts w:ascii="Arial" w:hAnsi="Arial" w:cs="Arial"/>
          <w:b/>
          <w:lang w:val="es-PR"/>
        </w:rPr>
        <w:t>VII.</w:t>
      </w:r>
      <w:r w:rsidRPr="00AC1BDD">
        <w:rPr>
          <w:rFonts w:ascii="Arial" w:hAnsi="Arial" w:cs="Arial"/>
          <w:b/>
          <w:lang w:val="es-PR"/>
        </w:rPr>
        <w:tab/>
      </w:r>
      <w:r w:rsidRPr="00AC1BDD">
        <w:rPr>
          <w:rFonts w:ascii="Arial" w:hAnsi="Arial" w:cs="Arial"/>
          <w:b/>
          <w:lang w:val="es-PR"/>
        </w:rPr>
        <w:t>Salvaguardias Ambientales</w:t>
      </w:r>
    </w:p>
    <w:p w14:paraId="0386B450" w14:textId="77777777" w:rsidR="007D2479" w:rsidRPr="00AC1BDD" w:rsidRDefault="00EB44B1">
      <w:pPr>
        <w:spacing w:before="240" w:after="120"/>
        <w:ind w:left="579" w:hanging="579"/>
        <w:jc w:val="both"/>
        <w:rPr>
          <w:lang w:val="es-PR"/>
        </w:rPr>
      </w:pPr>
      <w:r w:rsidRPr="00AC1BDD">
        <w:rPr>
          <w:rFonts w:ascii="Arial" w:hAnsi="Arial" w:cs="Arial"/>
          <w:lang w:val="es-PR"/>
        </w:rPr>
        <w:t>7.1</w:t>
      </w:r>
      <w:r w:rsidRPr="00AC1BDD">
        <w:rPr>
          <w:rFonts w:ascii="Arial" w:hAnsi="Arial" w:cs="Arial"/>
          <w:lang w:val="es-PR"/>
        </w:rPr>
        <w:tab/>
        <w:t>La clasificación ESG para esta operación es "N/A".</w:t>
      </w:r>
    </w:p>
    <w:sectPr w:rsidR="007D2479" w:rsidRPr="00AC1BDD"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2D168" w14:textId="77777777" w:rsidR="00000000" w:rsidRDefault="00EB44B1">
      <w:r>
        <w:separator/>
      </w:r>
    </w:p>
  </w:endnote>
  <w:endnote w:type="continuationSeparator" w:id="0">
    <w:p w14:paraId="4D80B75E" w14:textId="77777777" w:rsidR="00000000" w:rsidRDefault="00EB4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8EDBF" w14:textId="77777777" w:rsidR="007D2479" w:rsidRDefault="00EB44B1">
    <w:pPr>
      <w:pStyle w:val="FooterStyle"/>
      <w:jc w:val="center"/>
    </w:pPr>
    <w:r>
      <w:t xml:space="preserve"> - </w:t>
    </w:r>
    <w:r>
      <w:fldChar w:fldCharType="begin"/>
    </w:r>
    <w:r>
      <w:instrText xml:space="preserve"> PAGE </w:instrText>
    </w:r>
    <w:r>
      <w:fldChar w:fldCharType="separate"/>
    </w:r>
    <w:r w:rsidR="00AC1BDD">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00BC5" w14:textId="77777777" w:rsidR="00000000" w:rsidRDefault="00EB44B1">
      <w:r>
        <w:separator/>
      </w:r>
    </w:p>
  </w:footnote>
  <w:footnote w:type="continuationSeparator" w:id="0">
    <w:p w14:paraId="05BD8740" w14:textId="77777777" w:rsidR="00000000" w:rsidRDefault="00EB44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62386D"/>
    <w:rsid w:val="007D2479"/>
    <w:rsid w:val="00A906D8"/>
    <w:rsid w:val="00AB5A74"/>
    <w:rsid w:val="00AC1BDD"/>
    <w:rsid w:val="00EB44B1"/>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321EB"/>
  <w15:docId w15:val="{D20491C4-5173-4F88-A5EF-BDEDC934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80BABADB306BF040929343AD06630E98" ma:contentTypeVersion="0" ma:contentTypeDescription="The base project type from which other project content types inherit their information." ma:contentTypeScope="" ma:versionID="b3e06fb4fde47bf7e91ef3c446319326">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67</Value>
      <Value>59</Value>
      <Value>23</Value>
      <Value>25</Value>
      <Value>2</Value>
      <Value>103</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PN-T1308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EZSHARE-1736537261-3</_dlc_DocId>
    <_dlc_DocIdUrl xmlns="cdc7663a-08f0-4737-9e8c-148ce897a09c">
      <Url>https://idbg.sharepoint.com/teams/EZ-PN-TCP/PN-T1308/_layouts/15/DocIdRedir.aspx?ID=EZSHARE-1736537261-3</Url>
      <Description>EZSHARE-1736537261-3</Description>
    </_dlc_DocIdUrl>
  </documentManagement>
</p:properties>
</file>

<file path=customXml/itemProps1.xml><?xml version="1.0" encoding="utf-8"?>
<ds:datastoreItem xmlns:ds="http://schemas.openxmlformats.org/officeDocument/2006/customXml" ds:itemID="{89BDDA1E-856F-4314-8CAB-D137A0160294}"/>
</file>

<file path=customXml/itemProps2.xml><?xml version="1.0" encoding="utf-8"?>
<ds:datastoreItem xmlns:ds="http://schemas.openxmlformats.org/officeDocument/2006/customXml" ds:itemID="{B079B8A3-7B96-479F-9A60-70CB334BDDB6}"/>
</file>

<file path=customXml/itemProps3.xml><?xml version="1.0" encoding="utf-8"?>
<ds:datastoreItem xmlns:ds="http://schemas.openxmlformats.org/officeDocument/2006/customXml" ds:itemID="{097DB05E-ADC0-45F6-90FB-C6A3F7BD3329}"/>
</file>

<file path=customXml/itemProps4.xml><?xml version="1.0" encoding="utf-8"?>
<ds:datastoreItem xmlns:ds="http://schemas.openxmlformats.org/officeDocument/2006/customXml" ds:itemID="{6ADC2DE1-7F2E-4EA5-83C0-D22F4A637C9A}"/>
</file>

<file path=customXml/itemProps5.xml><?xml version="1.0" encoding="utf-8"?>
<ds:datastoreItem xmlns:ds="http://schemas.openxmlformats.org/officeDocument/2006/customXml" ds:itemID="{E6A488AD-1170-4E36-AA69-F6BCC2971864}"/>
</file>

<file path=customXml/itemProps6.xml><?xml version="1.0" encoding="utf-8"?>
<ds:datastoreItem xmlns:ds="http://schemas.openxmlformats.org/officeDocument/2006/customXml" ds:itemID="{DAB25067-8513-4B7F-BFEA-2113D86F6173}"/>
</file>

<file path=docProps/app.xml><?xml version="1.0" encoding="utf-8"?>
<Properties xmlns="http://schemas.openxmlformats.org/officeDocument/2006/extended-properties" xmlns:vt="http://schemas.openxmlformats.org/officeDocument/2006/docPropsVTypes">
  <Template>Normal</Template>
  <TotalTime>2</TotalTime>
  <Pages>3</Pages>
  <Words>1049</Words>
  <Characters>5982</Characters>
  <Application>Microsoft Office Word</Application>
  <DocSecurity>0</DocSecurity>
  <Lines>49</Lines>
  <Paragraphs>14</Paragraphs>
  <ScaleCrop>false</ScaleCrop>
  <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Guerrero Rivera, Marilyn Ivette</dc:creator>
  <cp:keywords/>
  <cp:lastModifiedBy>Guerrero Rivera, Marilyn Ivette</cp:lastModifiedBy>
  <cp:revision>4</cp:revision>
  <dcterms:created xsi:type="dcterms:W3CDTF">2022-04-25T17:47:00Z</dcterms:created>
  <dcterms:modified xsi:type="dcterms:W3CDTF">2022-04-25T17:48:00Z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0x010100ACF722E9F6B0B149B0CD8BE2560A66720080BABADB306BF040929343AD06630E98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25;#Panama|7af43a84-776d-43d1-b0f2-8a1f2a8ffc7b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103;#WATER SUPPLY URBAN|28df1b5d-8f50-49f8-b50a-8bcbae67d2a4</vt:lpwstr>
  </property>
  <property fmtid="{D5CDD505-2E9C-101B-9397-08002B2CF9AE}" pid="12" name="Series Operations IDB">
    <vt:lpwstr>23;#TC Abstract|7d12d2c9-3b07-4a95-a4b4-99c2881b0472</vt:lpwstr>
  </property>
  <property fmtid="{D5CDD505-2E9C-101B-9397-08002B2CF9AE}" pid="13" name="Fund IDB">
    <vt:lpwstr>59;#TBD|d62f6e05-3e80-4abd-9bb4-5f10b4906ff6</vt:lpwstr>
  </property>
  <property fmtid="{D5CDD505-2E9C-101B-9397-08002B2CF9AE}" pid="14" name="Sector IDB">
    <vt:lpwstr>67;#WATER AND SANITATION|ba6b63cd-e402-47cb-9357-08149f7ce046</vt:lpwstr>
  </property>
  <property fmtid="{D5CDD505-2E9C-101B-9397-08002B2CF9AE}" pid="15" name="_dlc_DocIdItemGuid">
    <vt:lpwstr>2c0728da-1d7d-4bf1-a79d-b0372b616f9c</vt:lpwstr>
  </property>
  <property fmtid="{D5CDD505-2E9C-101B-9397-08002B2CF9AE}" pid="16" name="Disclosure Activity">
    <vt:lpwstr>TC Abstract</vt:lpwstr>
  </property>
  <property fmtid="{D5CDD505-2E9C-101B-9397-08002B2CF9AE}" pid="17" name="Webtopic">
    <vt:lpwstr>Water and Sanitation;</vt:lpwstr>
  </property>
</Properties>
</file>