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B9D" w:rsidRPr="00302319" w:rsidRDefault="00070B9D" w:rsidP="00302319">
      <w:pPr>
        <w:tabs>
          <w:tab w:val="left" w:pos="2070"/>
        </w:tabs>
        <w:spacing w:after="0" w:line="240" w:lineRule="auto"/>
        <w:jc w:val="center"/>
        <w:rPr>
          <w:rFonts w:ascii="Arial" w:hAnsi="Arial" w:cs="Arial"/>
          <w:b/>
          <w:smallCaps/>
          <w:color w:val="000000"/>
          <w:sz w:val="24"/>
          <w:lang w:val="es-ES_tradnl"/>
        </w:rPr>
      </w:pPr>
      <w:bookmarkStart w:id="0" w:name="_GoBack"/>
      <w:bookmarkEnd w:id="0"/>
      <w:r w:rsidRPr="00302319">
        <w:rPr>
          <w:rFonts w:ascii="Arial" w:hAnsi="Arial" w:cs="Arial"/>
          <w:b/>
          <w:smallCaps/>
          <w:color w:val="000000"/>
          <w:sz w:val="24"/>
          <w:lang w:val="es-ES_tradnl"/>
        </w:rPr>
        <w:t>Plan de Adquisiciones</w:t>
      </w:r>
    </w:p>
    <w:tbl>
      <w:tblPr>
        <w:tblStyle w:val="TableGrid"/>
        <w:tblW w:w="0" w:type="auto"/>
        <w:tblLook w:val="04A0" w:firstRow="1" w:lastRow="0" w:firstColumn="1" w:lastColumn="0" w:noHBand="0" w:noVBand="1"/>
      </w:tblPr>
      <w:tblGrid>
        <w:gridCol w:w="2688"/>
        <w:gridCol w:w="10262"/>
      </w:tblGrid>
      <w:tr w:rsidR="00070B9D" w:rsidRPr="00302319" w:rsidTr="00070B9D">
        <w:trPr>
          <w:trHeight w:val="341"/>
        </w:trPr>
        <w:tc>
          <w:tcPr>
            <w:tcW w:w="2718" w:type="dxa"/>
            <w:shd w:val="clear" w:color="auto" w:fill="D9D9D9" w:themeFill="background1" w:themeFillShade="D9"/>
          </w:tcPr>
          <w:p w:rsidR="00070B9D" w:rsidRPr="00302319" w:rsidRDefault="00070B9D" w:rsidP="00302319">
            <w:pPr>
              <w:spacing w:after="0" w:line="240" w:lineRule="auto"/>
              <w:rPr>
                <w:rFonts w:ascii="Arial" w:hAnsi="Arial" w:cs="Arial"/>
                <w:b/>
                <w:sz w:val="20"/>
                <w:szCs w:val="20"/>
                <w:lang w:val="es-ES"/>
              </w:rPr>
            </w:pPr>
            <w:r w:rsidRPr="00302319">
              <w:rPr>
                <w:rFonts w:ascii="Arial" w:hAnsi="Arial" w:cs="Arial"/>
                <w:b/>
                <w:sz w:val="20"/>
                <w:szCs w:val="20"/>
                <w:lang w:val="es-ES"/>
              </w:rPr>
              <w:t>País:</w:t>
            </w:r>
          </w:p>
        </w:tc>
        <w:tc>
          <w:tcPr>
            <w:tcW w:w="10458" w:type="dxa"/>
          </w:tcPr>
          <w:p w:rsidR="00070B9D" w:rsidRPr="00302319" w:rsidRDefault="00070B9D" w:rsidP="00302319">
            <w:pPr>
              <w:spacing w:after="0" w:line="240" w:lineRule="auto"/>
              <w:jc w:val="both"/>
              <w:rPr>
                <w:rFonts w:ascii="Arial" w:hAnsi="Arial" w:cs="Arial"/>
                <w:color w:val="000000"/>
                <w:sz w:val="20"/>
                <w:szCs w:val="20"/>
                <w:lang w:val="es-ES_tradnl"/>
              </w:rPr>
            </w:pPr>
            <w:r w:rsidRPr="00302319">
              <w:rPr>
                <w:rFonts w:ascii="Arial" w:hAnsi="Arial" w:cs="Arial"/>
                <w:color w:val="000000"/>
                <w:sz w:val="20"/>
                <w:szCs w:val="20"/>
                <w:lang w:val="es-ES_tradnl"/>
              </w:rPr>
              <w:t xml:space="preserve">Nicaragua </w:t>
            </w:r>
          </w:p>
        </w:tc>
      </w:tr>
      <w:tr w:rsidR="00070B9D" w:rsidRPr="004F25F4" w:rsidTr="00070B9D">
        <w:trPr>
          <w:trHeight w:val="125"/>
        </w:trPr>
        <w:tc>
          <w:tcPr>
            <w:tcW w:w="2718" w:type="dxa"/>
            <w:shd w:val="clear" w:color="auto" w:fill="D9D9D9" w:themeFill="background1" w:themeFillShade="D9"/>
          </w:tcPr>
          <w:p w:rsidR="00070B9D" w:rsidRPr="00302319" w:rsidRDefault="00070B9D" w:rsidP="00302319">
            <w:pPr>
              <w:spacing w:after="0" w:line="240" w:lineRule="auto"/>
              <w:rPr>
                <w:rFonts w:ascii="Arial" w:hAnsi="Arial" w:cs="Arial"/>
                <w:b/>
                <w:sz w:val="20"/>
                <w:szCs w:val="20"/>
                <w:lang w:val="es-ES"/>
              </w:rPr>
            </w:pPr>
            <w:r w:rsidRPr="00302319">
              <w:rPr>
                <w:rFonts w:ascii="Arial" w:hAnsi="Arial" w:cs="Arial"/>
                <w:b/>
                <w:sz w:val="20"/>
                <w:szCs w:val="20"/>
                <w:lang w:val="es-ES"/>
              </w:rPr>
              <w:t>Agencia Ejecutora:</w:t>
            </w:r>
          </w:p>
        </w:tc>
        <w:tc>
          <w:tcPr>
            <w:tcW w:w="10458" w:type="dxa"/>
          </w:tcPr>
          <w:p w:rsidR="00070B9D" w:rsidRPr="00302319" w:rsidRDefault="00070B9D" w:rsidP="00302319">
            <w:pPr>
              <w:spacing w:after="0" w:line="240" w:lineRule="auto"/>
              <w:jc w:val="both"/>
              <w:rPr>
                <w:rFonts w:ascii="Arial" w:hAnsi="Arial" w:cs="Arial"/>
                <w:color w:val="000000"/>
                <w:sz w:val="20"/>
                <w:szCs w:val="20"/>
                <w:lang w:val="es-ES_tradnl"/>
              </w:rPr>
            </w:pPr>
            <w:r w:rsidRPr="00302319">
              <w:rPr>
                <w:rFonts w:ascii="Arial" w:hAnsi="Arial" w:cs="Arial"/>
                <w:color w:val="000000"/>
                <w:sz w:val="20"/>
                <w:szCs w:val="20"/>
                <w:lang w:val="es-ES_tradnl"/>
              </w:rPr>
              <w:t>Banco Interamericano de Desarrollo (BID).</w:t>
            </w:r>
          </w:p>
        </w:tc>
      </w:tr>
      <w:tr w:rsidR="00070B9D" w:rsidRPr="004F25F4" w:rsidTr="00AA1734">
        <w:tc>
          <w:tcPr>
            <w:tcW w:w="2718" w:type="dxa"/>
            <w:shd w:val="clear" w:color="auto" w:fill="D9D9D9" w:themeFill="background1" w:themeFillShade="D9"/>
          </w:tcPr>
          <w:p w:rsidR="00070B9D" w:rsidRPr="00302319" w:rsidRDefault="00070B9D" w:rsidP="00302319">
            <w:pPr>
              <w:spacing w:after="0" w:line="240" w:lineRule="auto"/>
              <w:rPr>
                <w:rFonts w:ascii="Arial" w:hAnsi="Arial" w:cs="Arial"/>
                <w:b/>
                <w:sz w:val="20"/>
                <w:szCs w:val="20"/>
                <w:lang w:val="es-ES"/>
              </w:rPr>
            </w:pPr>
            <w:r w:rsidRPr="00302319">
              <w:rPr>
                <w:rFonts w:ascii="Arial" w:hAnsi="Arial" w:cs="Arial"/>
                <w:b/>
                <w:sz w:val="20"/>
                <w:szCs w:val="20"/>
                <w:lang w:val="es-ES"/>
              </w:rPr>
              <w:t>Proyecto:</w:t>
            </w:r>
          </w:p>
        </w:tc>
        <w:tc>
          <w:tcPr>
            <w:tcW w:w="10458" w:type="dxa"/>
          </w:tcPr>
          <w:p w:rsidR="00070B9D" w:rsidRPr="00302319" w:rsidRDefault="00070B9D" w:rsidP="00302319">
            <w:pPr>
              <w:spacing w:after="0" w:line="240" w:lineRule="auto"/>
              <w:jc w:val="both"/>
              <w:rPr>
                <w:rFonts w:ascii="Arial" w:hAnsi="Arial" w:cs="Arial"/>
                <w:sz w:val="20"/>
                <w:szCs w:val="20"/>
                <w:lang w:val="es-ES"/>
              </w:rPr>
            </w:pPr>
            <w:r w:rsidRPr="00302319">
              <w:rPr>
                <w:rFonts w:ascii="Arial" w:hAnsi="Arial" w:cs="Arial"/>
                <w:sz w:val="20"/>
                <w:szCs w:val="20"/>
                <w:lang w:val="es-ES"/>
              </w:rPr>
              <w:t>Asociación Público-Privada (APP) en Infraestructura para la competitividad en Nicaragua</w:t>
            </w:r>
          </w:p>
        </w:tc>
      </w:tr>
      <w:tr w:rsidR="00070B9D" w:rsidRPr="00302319" w:rsidTr="00AA1734">
        <w:tc>
          <w:tcPr>
            <w:tcW w:w="2718" w:type="dxa"/>
            <w:shd w:val="clear" w:color="auto" w:fill="D9D9D9" w:themeFill="background1" w:themeFillShade="D9"/>
          </w:tcPr>
          <w:p w:rsidR="00070B9D" w:rsidRPr="00302319" w:rsidRDefault="00070B9D" w:rsidP="00302319">
            <w:pPr>
              <w:spacing w:after="0" w:line="240" w:lineRule="auto"/>
              <w:rPr>
                <w:rFonts w:ascii="Arial" w:hAnsi="Arial" w:cs="Arial"/>
                <w:b/>
                <w:sz w:val="20"/>
                <w:szCs w:val="20"/>
                <w:lang w:val="es-ES"/>
              </w:rPr>
            </w:pPr>
            <w:r w:rsidRPr="00302319">
              <w:rPr>
                <w:rFonts w:ascii="Arial" w:hAnsi="Arial" w:cs="Arial"/>
                <w:b/>
                <w:sz w:val="20"/>
                <w:szCs w:val="20"/>
                <w:lang w:val="es-ES"/>
              </w:rPr>
              <w:t>Numero de Proyecto:</w:t>
            </w:r>
          </w:p>
        </w:tc>
        <w:tc>
          <w:tcPr>
            <w:tcW w:w="10458" w:type="dxa"/>
          </w:tcPr>
          <w:p w:rsidR="00070B9D" w:rsidRPr="00302319" w:rsidRDefault="00070B9D" w:rsidP="00302319">
            <w:pPr>
              <w:spacing w:after="0" w:line="240" w:lineRule="auto"/>
              <w:jc w:val="both"/>
              <w:rPr>
                <w:rFonts w:ascii="Arial" w:hAnsi="Arial" w:cs="Arial"/>
                <w:sz w:val="20"/>
                <w:szCs w:val="20"/>
              </w:rPr>
            </w:pPr>
            <w:r w:rsidRPr="00302319">
              <w:rPr>
                <w:rFonts w:ascii="Arial" w:hAnsi="Arial" w:cs="Arial"/>
                <w:sz w:val="20"/>
                <w:szCs w:val="20"/>
                <w:lang w:val="es-ES"/>
              </w:rPr>
              <w:t>NI-T1204</w:t>
            </w:r>
          </w:p>
        </w:tc>
      </w:tr>
      <w:tr w:rsidR="00070B9D" w:rsidRPr="004F25F4" w:rsidTr="00AA1734">
        <w:trPr>
          <w:trHeight w:val="431"/>
        </w:trPr>
        <w:tc>
          <w:tcPr>
            <w:tcW w:w="2718" w:type="dxa"/>
            <w:shd w:val="clear" w:color="auto" w:fill="D9D9D9" w:themeFill="background1" w:themeFillShade="D9"/>
          </w:tcPr>
          <w:p w:rsidR="00070B9D" w:rsidRPr="00302319" w:rsidRDefault="00070B9D" w:rsidP="00302319">
            <w:pPr>
              <w:spacing w:after="0" w:line="240" w:lineRule="auto"/>
              <w:rPr>
                <w:rFonts w:ascii="Arial" w:hAnsi="Arial" w:cs="Arial"/>
                <w:b/>
                <w:sz w:val="20"/>
                <w:szCs w:val="20"/>
                <w:lang w:val="es-ES"/>
              </w:rPr>
            </w:pPr>
            <w:r w:rsidRPr="00302319">
              <w:rPr>
                <w:rFonts w:ascii="Arial" w:hAnsi="Arial" w:cs="Arial"/>
                <w:b/>
                <w:sz w:val="20"/>
                <w:szCs w:val="20"/>
                <w:lang w:val="es-ES"/>
              </w:rPr>
              <w:t>Descripción del Proyecto:</w:t>
            </w:r>
          </w:p>
        </w:tc>
        <w:tc>
          <w:tcPr>
            <w:tcW w:w="10458" w:type="dxa"/>
          </w:tcPr>
          <w:p w:rsidR="00070B9D" w:rsidRPr="00302319" w:rsidRDefault="00070B9D" w:rsidP="00302319">
            <w:pPr>
              <w:autoSpaceDE w:val="0"/>
              <w:autoSpaceDN w:val="0"/>
              <w:adjustRightInd w:val="0"/>
              <w:spacing w:after="0" w:line="240" w:lineRule="auto"/>
              <w:jc w:val="both"/>
              <w:rPr>
                <w:rFonts w:ascii="Arial" w:hAnsi="Arial" w:cs="Arial"/>
                <w:color w:val="000000"/>
                <w:sz w:val="20"/>
                <w:szCs w:val="20"/>
                <w:lang w:val="es-ES_tradnl"/>
              </w:rPr>
            </w:pPr>
            <w:r w:rsidRPr="00302319">
              <w:rPr>
                <w:rFonts w:ascii="Arial" w:hAnsi="Arial" w:cs="Arial"/>
                <w:sz w:val="20"/>
                <w:szCs w:val="20"/>
                <w:lang w:val="es-ES"/>
              </w:rPr>
              <w:t>El objetivo de esta cooperación técnica es apoyar la consolidación del marco normativo y la estructuración de proyectos relacionados con las APP en Nicaragua, a través de apoyo en la revisión de la reglamentación de la ley de APP recientemente aprobada, apoyo en la estructuración de un proyecto de infraestructura con potencial de financiamiento a través de APP y el fortalecimiento del marco institucional necesario para la adecuada implementación del esquema APP en el país.</w:t>
            </w:r>
          </w:p>
        </w:tc>
      </w:tr>
    </w:tbl>
    <w:p w:rsidR="00070B9D" w:rsidRPr="00302319" w:rsidRDefault="00070B9D" w:rsidP="00302319">
      <w:pPr>
        <w:spacing w:after="0" w:line="240" w:lineRule="auto"/>
        <w:rPr>
          <w:rFonts w:ascii="Arial" w:hAnsi="Arial" w:cs="Arial"/>
          <w:sz w:val="20"/>
          <w:szCs w:val="20"/>
          <w:highlight w:val="yellow"/>
          <w:lang w:val="es-ES"/>
        </w:rPr>
      </w:pPr>
    </w:p>
    <w:tbl>
      <w:tblPr>
        <w:tblStyle w:val="LightList"/>
        <w:tblW w:w="12932" w:type="dxa"/>
        <w:tblInd w:w="18" w:type="dxa"/>
        <w:tblBorders>
          <w:insideH w:val="single" w:sz="8" w:space="0" w:color="000000" w:themeColor="text1"/>
          <w:insideV w:val="single" w:sz="8" w:space="0" w:color="000000" w:themeColor="text1"/>
        </w:tblBorders>
        <w:tblLayout w:type="fixed"/>
        <w:tblLook w:val="04A0" w:firstRow="1" w:lastRow="0" w:firstColumn="1" w:lastColumn="0" w:noHBand="0" w:noVBand="1"/>
      </w:tblPr>
      <w:tblGrid>
        <w:gridCol w:w="1682"/>
        <w:gridCol w:w="5310"/>
        <w:gridCol w:w="1170"/>
        <w:gridCol w:w="1350"/>
        <w:gridCol w:w="900"/>
        <w:gridCol w:w="1260"/>
        <w:gridCol w:w="1260"/>
      </w:tblGrid>
      <w:tr w:rsidR="00070B9D" w:rsidRPr="00302319" w:rsidTr="003023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82" w:type="dxa"/>
            <w:vMerge w:val="restart"/>
            <w:shd w:val="clear" w:color="auto" w:fill="D9D9D9" w:themeFill="background1" w:themeFillShade="D9"/>
            <w:vAlign w:val="center"/>
          </w:tcPr>
          <w:p w:rsidR="00070B9D" w:rsidRPr="00302319" w:rsidRDefault="00070B9D" w:rsidP="00302319">
            <w:pPr>
              <w:spacing w:after="0" w:line="240" w:lineRule="auto"/>
              <w:jc w:val="center"/>
              <w:rPr>
                <w:rFonts w:ascii="Arial" w:hAnsi="Arial" w:cs="Arial"/>
                <w:b w:val="0"/>
                <w:color w:val="auto"/>
                <w:sz w:val="18"/>
                <w:szCs w:val="18"/>
                <w:lang w:val="es-ES"/>
              </w:rPr>
            </w:pPr>
            <w:r w:rsidRPr="00302319">
              <w:rPr>
                <w:rFonts w:ascii="Arial" w:hAnsi="Arial" w:cs="Arial"/>
                <w:color w:val="auto"/>
                <w:sz w:val="18"/>
                <w:szCs w:val="18"/>
                <w:lang w:val="es-ES"/>
              </w:rPr>
              <w:t>Componentes</w:t>
            </w:r>
          </w:p>
        </w:tc>
        <w:tc>
          <w:tcPr>
            <w:tcW w:w="5310" w:type="dxa"/>
            <w:vMerge w:val="restart"/>
            <w:shd w:val="clear" w:color="auto" w:fill="D9D9D9" w:themeFill="background1" w:themeFillShade="D9"/>
            <w:vAlign w:val="center"/>
          </w:tcPr>
          <w:p w:rsidR="00070B9D" w:rsidRPr="00302319" w:rsidRDefault="00070B9D" w:rsidP="003023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18"/>
                <w:lang w:val="es-ES"/>
              </w:rPr>
            </w:pPr>
            <w:r w:rsidRPr="00302319">
              <w:rPr>
                <w:rFonts w:ascii="Arial" w:hAnsi="Arial" w:cs="Arial"/>
                <w:color w:val="auto"/>
                <w:sz w:val="18"/>
                <w:szCs w:val="18"/>
                <w:lang w:val="es-ES"/>
              </w:rPr>
              <w:t>Descripción</w:t>
            </w:r>
            <w:r w:rsidRPr="00302319">
              <w:rPr>
                <w:rStyle w:val="FootnoteReference"/>
                <w:rFonts w:ascii="Arial" w:hAnsi="Arial" w:cs="Arial"/>
                <w:color w:val="auto"/>
                <w:sz w:val="18"/>
                <w:szCs w:val="18"/>
                <w:lang w:val="es-ES"/>
              </w:rPr>
              <w:footnoteReference w:id="1"/>
            </w:r>
          </w:p>
        </w:tc>
        <w:tc>
          <w:tcPr>
            <w:tcW w:w="1170" w:type="dxa"/>
            <w:vMerge w:val="restart"/>
            <w:shd w:val="clear" w:color="auto" w:fill="D9D9D9" w:themeFill="background1" w:themeFillShade="D9"/>
            <w:vAlign w:val="center"/>
          </w:tcPr>
          <w:p w:rsidR="00070B9D" w:rsidRPr="00302319" w:rsidRDefault="00070B9D" w:rsidP="003023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18"/>
                <w:lang w:val="es-ES"/>
              </w:rPr>
            </w:pPr>
            <w:r w:rsidRPr="00302319">
              <w:rPr>
                <w:rFonts w:ascii="Arial" w:hAnsi="Arial" w:cs="Arial"/>
                <w:color w:val="auto"/>
                <w:sz w:val="18"/>
                <w:szCs w:val="18"/>
                <w:lang w:val="es-ES"/>
              </w:rPr>
              <w:t>Costo Estimado (US$)</w:t>
            </w:r>
          </w:p>
        </w:tc>
        <w:tc>
          <w:tcPr>
            <w:tcW w:w="1350" w:type="dxa"/>
            <w:vMerge w:val="restart"/>
            <w:shd w:val="clear" w:color="auto" w:fill="D9D9D9" w:themeFill="background1" w:themeFillShade="D9"/>
            <w:vAlign w:val="center"/>
          </w:tcPr>
          <w:p w:rsidR="00070B9D" w:rsidRPr="00302319" w:rsidRDefault="00070B9D" w:rsidP="003023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18"/>
                <w:lang w:val="es-ES"/>
              </w:rPr>
            </w:pPr>
            <w:r w:rsidRPr="00302319">
              <w:rPr>
                <w:rFonts w:ascii="Arial" w:hAnsi="Arial" w:cs="Arial"/>
                <w:color w:val="auto"/>
                <w:sz w:val="18"/>
                <w:szCs w:val="18"/>
                <w:lang w:val="es-ES"/>
              </w:rPr>
              <w:t>Método de Adquisición</w:t>
            </w:r>
            <w:r w:rsidRPr="00302319">
              <w:rPr>
                <w:rStyle w:val="FootnoteReference"/>
                <w:rFonts w:ascii="Arial" w:hAnsi="Arial" w:cs="Arial"/>
                <w:color w:val="auto"/>
                <w:sz w:val="18"/>
                <w:szCs w:val="18"/>
                <w:lang w:val="es-ES"/>
              </w:rPr>
              <w:footnoteReference w:id="2"/>
            </w:r>
          </w:p>
        </w:tc>
        <w:tc>
          <w:tcPr>
            <w:tcW w:w="2160" w:type="dxa"/>
            <w:gridSpan w:val="2"/>
            <w:shd w:val="clear" w:color="auto" w:fill="D9D9D9" w:themeFill="background1" w:themeFillShade="D9"/>
            <w:vAlign w:val="center"/>
          </w:tcPr>
          <w:p w:rsidR="00070B9D" w:rsidRPr="00302319" w:rsidRDefault="00070B9D" w:rsidP="003023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18"/>
                <w:lang w:val="es-ES"/>
              </w:rPr>
            </w:pPr>
            <w:r w:rsidRPr="00302319">
              <w:rPr>
                <w:rFonts w:ascii="Arial" w:hAnsi="Arial" w:cs="Arial"/>
                <w:color w:val="auto"/>
                <w:sz w:val="18"/>
                <w:szCs w:val="18"/>
                <w:lang w:val="es-ES"/>
              </w:rPr>
              <w:t>Fuente de Financiamiento en %</w:t>
            </w:r>
          </w:p>
        </w:tc>
        <w:tc>
          <w:tcPr>
            <w:tcW w:w="1260" w:type="dxa"/>
            <w:vMerge w:val="restart"/>
            <w:shd w:val="clear" w:color="auto" w:fill="D9D9D9" w:themeFill="background1" w:themeFillShade="D9"/>
            <w:vAlign w:val="center"/>
          </w:tcPr>
          <w:p w:rsidR="00070B9D" w:rsidRPr="00302319" w:rsidRDefault="00070B9D" w:rsidP="0030231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lang w:val="es-ES"/>
              </w:rPr>
            </w:pPr>
            <w:r w:rsidRPr="00302319">
              <w:rPr>
                <w:rFonts w:ascii="Arial" w:hAnsi="Arial" w:cs="Arial"/>
                <w:color w:val="auto"/>
                <w:sz w:val="18"/>
                <w:szCs w:val="18"/>
                <w:lang w:val="es-ES"/>
              </w:rPr>
              <w:t>Comentario</w:t>
            </w:r>
          </w:p>
        </w:tc>
      </w:tr>
      <w:tr w:rsidR="00070B9D" w:rsidRPr="00302319" w:rsidTr="00302319">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682" w:type="dxa"/>
            <w:vMerge/>
            <w:shd w:val="clear" w:color="auto" w:fill="A6A6A6" w:themeFill="background1" w:themeFillShade="A6"/>
          </w:tcPr>
          <w:p w:rsidR="00070B9D" w:rsidRPr="00302319" w:rsidRDefault="00070B9D" w:rsidP="00302319">
            <w:pPr>
              <w:spacing w:after="0" w:line="240" w:lineRule="auto"/>
              <w:rPr>
                <w:rFonts w:ascii="Arial" w:hAnsi="Arial" w:cs="Arial"/>
                <w:sz w:val="18"/>
                <w:szCs w:val="18"/>
                <w:lang w:val="es-ES"/>
              </w:rPr>
            </w:pPr>
          </w:p>
        </w:tc>
        <w:tc>
          <w:tcPr>
            <w:tcW w:w="5310" w:type="dxa"/>
            <w:vMerge/>
            <w:shd w:val="clear" w:color="auto" w:fill="A6A6A6" w:themeFill="background1" w:themeFillShade="A6"/>
          </w:tcPr>
          <w:p w:rsidR="00070B9D" w:rsidRPr="00302319" w:rsidRDefault="00070B9D" w:rsidP="0030231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170" w:type="dxa"/>
            <w:vMerge/>
            <w:shd w:val="clear" w:color="auto" w:fill="A6A6A6" w:themeFill="background1" w:themeFillShade="A6"/>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1350" w:type="dxa"/>
            <w:vMerge/>
            <w:shd w:val="clear" w:color="auto" w:fill="A6A6A6" w:themeFill="background1" w:themeFillShade="A6"/>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c>
          <w:tcPr>
            <w:tcW w:w="900" w:type="dxa"/>
            <w:shd w:val="clear" w:color="auto" w:fill="D9D9D9" w:themeFill="background1" w:themeFillShade="D9"/>
            <w:vAlign w:val="center"/>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302319">
              <w:rPr>
                <w:rFonts w:ascii="Arial" w:hAnsi="Arial" w:cs="Arial"/>
                <w:b/>
                <w:sz w:val="18"/>
                <w:szCs w:val="18"/>
                <w:lang w:val="es-ES"/>
              </w:rPr>
              <w:t>BID</w:t>
            </w:r>
          </w:p>
        </w:tc>
        <w:tc>
          <w:tcPr>
            <w:tcW w:w="1260" w:type="dxa"/>
            <w:shd w:val="clear" w:color="auto" w:fill="D9D9D9" w:themeFill="background1" w:themeFillShade="D9"/>
            <w:vAlign w:val="center"/>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302319">
              <w:rPr>
                <w:rFonts w:ascii="Arial" w:hAnsi="Arial" w:cs="Arial"/>
                <w:b/>
                <w:sz w:val="18"/>
                <w:szCs w:val="18"/>
                <w:lang w:val="es-ES"/>
              </w:rPr>
              <w:t>Contraparte</w:t>
            </w:r>
          </w:p>
        </w:tc>
        <w:tc>
          <w:tcPr>
            <w:tcW w:w="1260" w:type="dxa"/>
            <w:vMerge/>
            <w:shd w:val="clear" w:color="auto" w:fill="A6A6A6" w:themeFill="background1" w:themeFillShade="A6"/>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highlight w:val="yellow"/>
                <w:lang w:val="es-ES"/>
              </w:rPr>
            </w:pPr>
          </w:p>
        </w:tc>
      </w:tr>
      <w:tr w:rsidR="00070B9D" w:rsidRPr="00302319" w:rsidTr="00302319">
        <w:tc>
          <w:tcPr>
            <w:cnfStyle w:val="001000000000" w:firstRow="0" w:lastRow="0" w:firstColumn="1" w:lastColumn="0" w:oddVBand="0" w:evenVBand="0" w:oddHBand="0" w:evenHBand="0" w:firstRowFirstColumn="0" w:firstRowLastColumn="0" w:lastRowFirstColumn="0" w:lastRowLastColumn="0"/>
            <w:tcW w:w="1682" w:type="dxa"/>
          </w:tcPr>
          <w:p w:rsidR="00070B9D" w:rsidRPr="00302319" w:rsidRDefault="00070B9D" w:rsidP="00302319">
            <w:pPr>
              <w:pStyle w:val="ListParagraph"/>
              <w:tabs>
                <w:tab w:val="left" w:pos="0"/>
              </w:tabs>
              <w:spacing w:after="0" w:line="240" w:lineRule="auto"/>
              <w:ind w:left="0"/>
              <w:contextualSpacing w:val="0"/>
              <w:rPr>
                <w:rFonts w:ascii="Arial" w:hAnsi="Arial" w:cs="Arial"/>
                <w:b w:val="0"/>
                <w:sz w:val="18"/>
                <w:szCs w:val="18"/>
                <w:lang w:val="es-ES"/>
              </w:rPr>
            </w:pPr>
            <w:r w:rsidRPr="00302319">
              <w:rPr>
                <w:rFonts w:ascii="Arial" w:hAnsi="Arial" w:cs="Arial"/>
                <w:sz w:val="18"/>
                <w:szCs w:val="18"/>
                <w:lang w:val="es-ES"/>
              </w:rPr>
              <w:t>Componente 1</w:t>
            </w:r>
          </w:p>
        </w:tc>
        <w:tc>
          <w:tcPr>
            <w:tcW w:w="5310" w:type="dxa"/>
          </w:tcPr>
          <w:p w:rsidR="00070B9D" w:rsidRPr="00302319" w:rsidRDefault="00070B9D" w:rsidP="0030231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302319">
              <w:rPr>
                <w:rFonts w:ascii="Arial" w:hAnsi="Arial" w:cs="Arial"/>
                <w:color w:val="000000"/>
                <w:sz w:val="18"/>
                <w:szCs w:val="18"/>
                <w:lang w:val="es-ES_tradnl"/>
              </w:rPr>
              <w:t>Consultor individual para apoyar al gobierno en la revisión del Reglamento establecido en la Ley APP, el cual en particular se enfocará en la revisión del reglamento en los siguientes aspectos: principios generales, dirección y administración del sistema de asociación público-privada, derechos y obligaciones del participante privado, acciones previas al régimen de licitación, régimen de licitación, régimen de iniciativa privada para licitaciones, suscripción, contenido, ejecución y fiscalización del contrato de APP, resolución de controversias, y aspectos claves para la gobernanza de las APPs, entre otros</w:t>
            </w:r>
          </w:p>
        </w:tc>
        <w:tc>
          <w:tcPr>
            <w:tcW w:w="1170" w:type="dxa"/>
          </w:tcPr>
          <w:p w:rsidR="00070B9D" w:rsidRPr="00302319" w:rsidRDefault="00070B9D" w:rsidP="0030231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302319">
              <w:rPr>
                <w:rFonts w:ascii="Arial" w:hAnsi="Arial" w:cs="Arial"/>
                <w:sz w:val="18"/>
                <w:szCs w:val="18"/>
              </w:rPr>
              <w:t>50.000,00</w:t>
            </w:r>
          </w:p>
        </w:tc>
        <w:tc>
          <w:tcPr>
            <w:tcW w:w="135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302319">
              <w:rPr>
                <w:rFonts w:ascii="Arial" w:hAnsi="Arial" w:cs="Arial"/>
                <w:b/>
                <w:color w:val="000000"/>
                <w:sz w:val="18"/>
                <w:szCs w:val="18"/>
                <w:lang w:val="es-ES_tradnl"/>
              </w:rPr>
              <w:t>SCC</w:t>
            </w:r>
          </w:p>
        </w:tc>
        <w:tc>
          <w:tcPr>
            <w:tcW w:w="90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302319">
              <w:rPr>
                <w:rFonts w:ascii="Arial" w:hAnsi="Arial" w:cs="Arial"/>
                <w:sz w:val="18"/>
                <w:szCs w:val="18"/>
              </w:rPr>
              <w:t>100</w:t>
            </w:r>
          </w:p>
        </w:tc>
        <w:tc>
          <w:tcPr>
            <w:tcW w:w="126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
              </w:rPr>
            </w:pPr>
            <w:r w:rsidRPr="00302319">
              <w:rPr>
                <w:rFonts w:ascii="Arial" w:hAnsi="Arial" w:cs="Arial"/>
                <w:sz w:val="18"/>
                <w:szCs w:val="18"/>
              </w:rPr>
              <w:t>n/a</w:t>
            </w:r>
          </w:p>
        </w:tc>
        <w:tc>
          <w:tcPr>
            <w:tcW w:w="126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highlight w:val="yellow"/>
                <w:lang w:val="es-ES"/>
              </w:rPr>
            </w:pPr>
          </w:p>
        </w:tc>
      </w:tr>
      <w:tr w:rsidR="00070B9D" w:rsidRPr="00302319" w:rsidTr="00302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2" w:type="dxa"/>
          </w:tcPr>
          <w:p w:rsidR="00070B9D" w:rsidRPr="00302319" w:rsidRDefault="00070B9D" w:rsidP="00302319">
            <w:pPr>
              <w:pStyle w:val="ListParagraph"/>
              <w:tabs>
                <w:tab w:val="left" w:pos="0"/>
              </w:tabs>
              <w:spacing w:after="0" w:line="240" w:lineRule="auto"/>
              <w:ind w:left="0"/>
              <w:contextualSpacing w:val="0"/>
              <w:rPr>
                <w:rFonts w:ascii="Arial" w:hAnsi="Arial" w:cs="Arial"/>
                <w:sz w:val="18"/>
                <w:szCs w:val="18"/>
                <w:lang w:val="es-ES"/>
              </w:rPr>
            </w:pPr>
            <w:r w:rsidRPr="00302319">
              <w:rPr>
                <w:rFonts w:ascii="Arial" w:hAnsi="Arial" w:cs="Arial"/>
                <w:sz w:val="18"/>
                <w:szCs w:val="18"/>
                <w:lang w:val="es-ES"/>
              </w:rPr>
              <w:t>Componente 2</w:t>
            </w:r>
          </w:p>
        </w:tc>
        <w:tc>
          <w:tcPr>
            <w:tcW w:w="5310" w:type="dxa"/>
          </w:tcPr>
          <w:p w:rsidR="00070B9D" w:rsidRPr="00302319" w:rsidRDefault="004F25F4" w:rsidP="0030231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Pr>
                <w:rFonts w:ascii="Arial" w:hAnsi="Arial" w:cs="Arial"/>
                <w:color w:val="000000"/>
                <w:sz w:val="18"/>
                <w:szCs w:val="18"/>
                <w:lang w:val="es-ES"/>
              </w:rPr>
              <w:t>F</w:t>
            </w:r>
            <w:r w:rsidR="00070B9D" w:rsidRPr="00302319">
              <w:rPr>
                <w:rFonts w:ascii="Arial" w:hAnsi="Arial" w:cs="Arial"/>
                <w:color w:val="000000"/>
                <w:sz w:val="18"/>
                <w:szCs w:val="18"/>
                <w:lang w:val="es-ES_tradnl"/>
              </w:rPr>
              <w:t>irma de consultoría para apoyar y revisar estudios de pre-factibilidad financiera, técnica, económica; estudios ambientales; ii) estructuración financiera; preparación de pliegos de licitación y contractos; iii) realización de market sounding con potenciales inversores.</w:t>
            </w:r>
          </w:p>
        </w:tc>
        <w:tc>
          <w:tcPr>
            <w:tcW w:w="1170" w:type="dxa"/>
          </w:tcPr>
          <w:p w:rsidR="00070B9D" w:rsidRPr="00302319" w:rsidRDefault="00070B9D" w:rsidP="00302319">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02319">
              <w:rPr>
                <w:rFonts w:ascii="Arial" w:hAnsi="Arial" w:cs="Arial"/>
                <w:sz w:val="18"/>
                <w:szCs w:val="18"/>
                <w:lang w:val="es-ES_tradnl"/>
              </w:rPr>
              <w:t>250.00,00</w:t>
            </w:r>
          </w:p>
        </w:tc>
        <w:tc>
          <w:tcPr>
            <w:tcW w:w="1350" w:type="dxa"/>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02319">
              <w:rPr>
                <w:rFonts w:ascii="Arial" w:hAnsi="Arial" w:cs="Arial"/>
                <w:b/>
                <w:color w:val="000000"/>
                <w:sz w:val="18"/>
                <w:szCs w:val="18"/>
                <w:lang w:val="es-ES_tradnl"/>
              </w:rPr>
              <w:t>SBCC</w:t>
            </w:r>
          </w:p>
        </w:tc>
        <w:tc>
          <w:tcPr>
            <w:tcW w:w="900" w:type="dxa"/>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02319">
              <w:rPr>
                <w:rFonts w:ascii="Arial" w:hAnsi="Arial" w:cs="Arial"/>
                <w:sz w:val="18"/>
                <w:szCs w:val="18"/>
                <w:lang w:val="es-ES_tradnl"/>
              </w:rPr>
              <w:t>100</w:t>
            </w:r>
          </w:p>
        </w:tc>
        <w:tc>
          <w:tcPr>
            <w:tcW w:w="1260" w:type="dxa"/>
          </w:tcPr>
          <w:p w:rsidR="00070B9D" w:rsidRPr="00302319" w:rsidRDefault="00070B9D"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02319">
              <w:rPr>
                <w:rFonts w:ascii="Arial" w:hAnsi="Arial" w:cs="Arial"/>
                <w:sz w:val="18"/>
                <w:szCs w:val="18"/>
                <w:lang w:val="es-ES_tradnl"/>
              </w:rPr>
              <w:t>n/a</w:t>
            </w:r>
          </w:p>
        </w:tc>
        <w:tc>
          <w:tcPr>
            <w:tcW w:w="1260" w:type="dxa"/>
          </w:tcPr>
          <w:p w:rsidR="00070B9D" w:rsidRPr="00302319" w:rsidRDefault="00070B9D" w:rsidP="0030231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
              </w:rPr>
            </w:pPr>
          </w:p>
        </w:tc>
      </w:tr>
      <w:tr w:rsidR="00070B9D" w:rsidRPr="00302319" w:rsidTr="001737CA">
        <w:trPr>
          <w:trHeight w:val="1987"/>
        </w:trPr>
        <w:tc>
          <w:tcPr>
            <w:cnfStyle w:val="001000000000" w:firstRow="0" w:lastRow="0" w:firstColumn="1" w:lastColumn="0" w:oddVBand="0" w:evenVBand="0" w:oddHBand="0" w:evenHBand="0" w:firstRowFirstColumn="0" w:firstRowLastColumn="0" w:lastRowFirstColumn="0" w:lastRowLastColumn="0"/>
            <w:tcW w:w="1682" w:type="dxa"/>
          </w:tcPr>
          <w:p w:rsidR="00070B9D" w:rsidRPr="00302319" w:rsidRDefault="00070B9D" w:rsidP="00302319">
            <w:pPr>
              <w:pStyle w:val="ListParagraph"/>
              <w:tabs>
                <w:tab w:val="left" w:pos="0"/>
              </w:tabs>
              <w:spacing w:after="0" w:line="240" w:lineRule="auto"/>
              <w:ind w:left="0"/>
              <w:contextualSpacing w:val="0"/>
              <w:rPr>
                <w:rFonts w:ascii="Arial" w:hAnsi="Arial" w:cs="Arial"/>
                <w:sz w:val="18"/>
                <w:szCs w:val="18"/>
                <w:lang w:val="es-ES"/>
              </w:rPr>
            </w:pPr>
            <w:r w:rsidRPr="00302319">
              <w:rPr>
                <w:rFonts w:ascii="Arial" w:hAnsi="Arial" w:cs="Arial"/>
                <w:sz w:val="18"/>
                <w:szCs w:val="18"/>
                <w:lang w:val="es-ES"/>
              </w:rPr>
              <w:lastRenderedPageBreak/>
              <w:t>Componente 3</w:t>
            </w:r>
          </w:p>
        </w:tc>
        <w:tc>
          <w:tcPr>
            <w:tcW w:w="5310" w:type="dxa"/>
          </w:tcPr>
          <w:p w:rsidR="00070B9D" w:rsidRPr="00302319" w:rsidRDefault="004F25F4" w:rsidP="0030231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Pr>
                <w:rFonts w:ascii="Arial" w:hAnsi="Arial" w:cs="Arial"/>
                <w:color w:val="000000"/>
                <w:sz w:val="18"/>
                <w:szCs w:val="18"/>
                <w:lang w:val="es-ES"/>
              </w:rPr>
              <w:t>Firma de consultoría</w:t>
            </w:r>
            <w:r w:rsidR="00070B9D" w:rsidRPr="00302319">
              <w:rPr>
                <w:rFonts w:ascii="Arial" w:hAnsi="Arial" w:cs="Arial"/>
                <w:color w:val="000000"/>
                <w:sz w:val="18"/>
                <w:szCs w:val="18"/>
                <w:lang w:val="es-ES_tradnl"/>
              </w:rPr>
              <w:t xml:space="preserve"> para apoyar la asistencia institucional de la autoridad a cargo de implementar el Sistema Nacional de Asociación Público-Privada, a través del financiamiento de actividades operativas y de logística asociadas a la implementación de los componentes 1 y 2 de esta cooperación. De otra parte, financiará el análisis de los aspectos claves para fortalecer el marco institucional de las APPs en Nicaragua teniendo en cuenta que la participación privada puede generar ganancias en productividad y puede ser clave en el desarrollo de infraestructura</w:t>
            </w:r>
          </w:p>
        </w:tc>
        <w:tc>
          <w:tcPr>
            <w:tcW w:w="1170" w:type="dxa"/>
          </w:tcPr>
          <w:p w:rsidR="00070B9D" w:rsidRPr="00302319" w:rsidRDefault="00070B9D" w:rsidP="0030231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02319">
              <w:rPr>
                <w:rFonts w:ascii="Arial" w:hAnsi="Arial" w:cs="Arial"/>
                <w:sz w:val="18"/>
                <w:szCs w:val="18"/>
                <w:lang w:val="es-ES_tradnl"/>
              </w:rPr>
              <w:t>30.000,00</w:t>
            </w:r>
          </w:p>
        </w:tc>
        <w:tc>
          <w:tcPr>
            <w:tcW w:w="135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8"/>
                <w:szCs w:val="18"/>
                <w:lang w:val="es-ES_tradnl"/>
              </w:rPr>
            </w:pPr>
            <w:r w:rsidRPr="00302319">
              <w:rPr>
                <w:rFonts w:ascii="Arial" w:hAnsi="Arial" w:cs="Arial"/>
                <w:sz w:val="18"/>
                <w:szCs w:val="18"/>
              </w:rPr>
              <w:t>S</w:t>
            </w:r>
            <w:r w:rsidR="004F25F4">
              <w:rPr>
                <w:rFonts w:ascii="Arial" w:hAnsi="Arial" w:cs="Arial"/>
                <w:sz w:val="18"/>
                <w:szCs w:val="18"/>
              </w:rPr>
              <w:t>B</w:t>
            </w:r>
            <w:r w:rsidRPr="00302319">
              <w:rPr>
                <w:rFonts w:ascii="Arial" w:hAnsi="Arial" w:cs="Arial"/>
                <w:sz w:val="18"/>
                <w:szCs w:val="18"/>
              </w:rPr>
              <w:t>CC</w:t>
            </w:r>
          </w:p>
        </w:tc>
        <w:tc>
          <w:tcPr>
            <w:tcW w:w="90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02319">
              <w:rPr>
                <w:rFonts w:ascii="Arial" w:hAnsi="Arial" w:cs="Arial"/>
                <w:sz w:val="18"/>
                <w:szCs w:val="18"/>
              </w:rPr>
              <w:t>100</w:t>
            </w:r>
          </w:p>
        </w:tc>
        <w:tc>
          <w:tcPr>
            <w:tcW w:w="1260" w:type="dxa"/>
          </w:tcPr>
          <w:p w:rsidR="00070B9D" w:rsidRPr="00302319" w:rsidRDefault="00070B9D"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02319">
              <w:rPr>
                <w:rFonts w:ascii="Arial" w:hAnsi="Arial" w:cs="Arial"/>
                <w:sz w:val="18"/>
                <w:szCs w:val="18"/>
              </w:rPr>
              <w:t>n/a</w:t>
            </w:r>
          </w:p>
        </w:tc>
        <w:tc>
          <w:tcPr>
            <w:tcW w:w="1260" w:type="dxa"/>
          </w:tcPr>
          <w:p w:rsidR="00070B9D" w:rsidRPr="00302319" w:rsidRDefault="00070B9D" w:rsidP="0030231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
              </w:rPr>
            </w:pPr>
          </w:p>
        </w:tc>
      </w:tr>
      <w:tr w:rsidR="001737CA" w:rsidRPr="001737CA" w:rsidTr="00302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2" w:type="dxa"/>
          </w:tcPr>
          <w:p w:rsidR="001737CA" w:rsidRPr="001737CA" w:rsidRDefault="001737CA" w:rsidP="00302319">
            <w:pPr>
              <w:pStyle w:val="ListParagraph"/>
              <w:tabs>
                <w:tab w:val="left" w:pos="0"/>
              </w:tabs>
              <w:spacing w:after="0" w:line="240" w:lineRule="auto"/>
              <w:ind w:left="0"/>
              <w:contextualSpacing w:val="0"/>
              <w:rPr>
                <w:rFonts w:ascii="Arial" w:hAnsi="Arial" w:cs="Arial"/>
                <w:color w:val="FF0000"/>
                <w:sz w:val="18"/>
                <w:szCs w:val="18"/>
                <w:lang w:val="es-ES"/>
              </w:rPr>
            </w:pPr>
          </w:p>
        </w:tc>
        <w:tc>
          <w:tcPr>
            <w:tcW w:w="5310" w:type="dxa"/>
          </w:tcPr>
          <w:p w:rsidR="001737CA" w:rsidRPr="00395802" w:rsidRDefault="001737CA" w:rsidP="0030231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395802">
              <w:rPr>
                <w:rFonts w:ascii="Arial" w:hAnsi="Arial" w:cs="Arial"/>
                <w:sz w:val="18"/>
                <w:szCs w:val="18"/>
                <w:lang w:val="es-ES"/>
              </w:rPr>
              <w:t>Consultor individual para la evaluación final de la CT</w:t>
            </w:r>
          </w:p>
        </w:tc>
        <w:tc>
          <w:tcPr>
            <w:tcW w:w="1170" w:type="dxa"/>
          </w:tcPr>
          <w:p w:rsidR="001737CA" w:rsidRPr="00395802" w:rsidRDefault="001737CA" w:rsidP="001737CA">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10.000,00</w:t>
            </w:r>
          </w:p>
        </w:tc>
        <w:tc>
          <w:tcPr>
            <w:tcW w:w="1350" w:type="dxa"/>
          </w:tcPr>
          <w:p w:rsidR="001737CA" w:rsidRPr="00395802" w:rsidRDefault="001737CA"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SCC</w:t>
            </w:r>
          </w:p>
        </w:tc>
        <w:tc>
          <w:tcPr>
            <w:tcW w:w="900" w:type="dxa"/>
          </w:tcPr>
          <w:p w:rsidR="001737CA" w:rsidRPr="00395802" w:rsidRDefault="001737CA"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100</w:t>
            </w:r>
          </w:p>
        </w:tc>
        <w:tc>
          <w:tcPr>
            <w:tcW w:w="1260" w:type="dxa"/>
          </w:tcPr>
          <w:p w:rsidR="001737CA" w:rsidRPr="00395802" w:rsidRDefault="001737CA" w:rsidP="0030231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n/a</w:t>
            </w:r>
          </w:p>
        </w:tc>
        <w:tc>
          <w:tcPr>
            <w:tcW w:w="1260" w:type="dxa"/>
          </w:tcPr>
          <w:p w:rsidR="001737CA" w:rsidRPr="00395802" w:rsidRDefault="001737CA" w:rsidP="0030231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1737CA" w:rsidRPr="001737CA" w:rsidTr="00302319">
        <w:tc>
          <w:tcPr>
            <w:cnfStyle w:val="001000000000" w:firstRow="0" w:lastRow="0" w:firstColumn="1" w:lastColumn="0" w:oddVBand="0" w:evenVBand="0" w:oddHBand="0" w:evenHBand="0" w:firstRowFirstColumn="0" w:firstRowLastColumn="0" w:lastRowFirstColumn="0" w:lastRowLastColumn="0"/>
            <w:tcW w:w="1682" w:type="dxa"/>
          </w:tcPr>
          <w:p w:rsidR="001737CA" w:rsidRPr="001737CA" w:rsidRDefault="001737CA" w:rsidP="00302319">
            <w:pPr>
              <w:pStyle w:val="ListParagraph"/>
              <w:tabs>
                <w:tab w:val="left" w:pos="0"/>
              </w:tabs>
              <w:spacing w:after="0" w:line="240" w:lineRule="auto"/>
              <w:ind w:left="0"/>
              <w:contextualSpacing w:val="0"/>
              <w:rPr>
                <w:rFonts w:ascii="Arial" w:hAnsi="Arial" w:cs="Arial"/>
                <w:color w:val="FF0000"/>
                <w:sz w:val="18"/>
                <w:szCs w:val="18"/>
                <w:lang w:val="es-ES"/>
              </w:rPr>
            </w:pPr>
          </w:p>
        </w:tc>
        <w:tc>
          <w:tcPr>
            <w:tcW w:w="5310" w:type="dxa"/>
          </w:tcPr>
          <w:p w:rsidR="001737CA" w:rsidRPr="00395802" w:rsidRDefault="001737CA" w:rsidP="0030231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395802">
              <w:rPr>
                <w:rFonts w:ascii="Arial" w:hAnsi="Arial" w:cs="Arial"/>
                <w:sz w:val="18"/>
                <w:szCs w:val="18"/>
                <w:lang w:val="es-ES"/>
              </w:rPr>
              <w:t>Firma Consultora para la Auditoría Financiera de la CT</w:t>
            </w:r>
          </w:p>
        </w:tc>
        <w:tc>
          <w:tcPr>
            <w:tcW w:w="1170" w:type="dxa"/>
          </w:tcPr>
          <w:p w:rsidR="001737CA" w:rsidRPr="00395802" w:rsidRDefault="001737CA" w:rsidP="0030231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10.000,00</w:t>
            </w:r>
          </w:p>
        </w:tc>
        <w:tc>
          <w:tcPr>
            <w:tcW w:w="1350" w:type="dxa"/>
          </w:tcPr>
          <w:p w:rsidR="001737CA" w:rsidRPr="00395802" w:rsidRDefault="001737CA" w:rsidP="00D431C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SCC</w:t>
            </w:r>
          </w:p>
        </w:tc>
        <w:tc>
          <w:tcPr>
            <w:tcW w:w="900" w:type="dxa"/>
          </w:tcPr>
          <w:p w:rsidR="001737CA" w:rsidRPr="00395802" w:rsidRDefault="001737CA" w:rsidP="00D431C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100</w:t>
            </w:r>
          </w:p>
        </w:tc>
        <w:tc>
          <w:tcPr>
            <w:tcW w:w="1260" w:type="dxa"/>
          </w:tcPr>
          <w:p w:rsidR="001737CA" w:rsidRPr="00395802" w:rsidRDefault="001737CA" w:rsidP="00D431C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n/a</w:t>
            </w:r>
          </w:p>
        </w:tc>
        <w:tc>
          <w:tcPr>
            <w:tcW w:w="1260" w:type="dxa"/>
          </w:tcPr>
          <w:p w:rsidR="001737CA" w:rsidRPr="00395802" w:rsidRDefault="001737CA" w:rsidP="00302319">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tc>
      </w:tr>
      <w:tr w:rsidR="001737CA" w:rsidRPr="001737CA" w:rsidTr="003023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2" w:type="dxa"/>
          </w:tcPr>
          <w:p w:rsidR="001737CA" w:rsidRPr="001737CA" w:rsidRDefault="001737CA" w:rsidP="00302319">
            <w:pPr>
              <w:pStyle w:val="ListParagraph"/>
              <w:tabs>
                <w:tab w:val="left" w:pos="0"/>
              </w:tabs>
              <w:spacing w:after="0" w:line="240" w:lineRule="auto"/>
              <w:ind w:left="0"/>
              <w:contextualSpacing w:val="0"/>
              <w:rPr>
                <w:rFonts w:ascii="Arial" w:hAnsi="Arial" w:cs="Arial"/>
                <w:color w:val="FF0000"/>
                <w:sz w:val="18"/>
                <w:szCs w:val="18"/>
                <w:lang w:val="es-ES"/>
              </w:rPr>
            </w:pPr>
          </w:p>
        </w:tc>
        <w:tc>
          <w:tcPr>
            <w:tcW w:w="5310" w:type="dxa"/>
          </w:tcPr>
          <w:p w:rsidR="001737CA" w:rsidRPr="00395802" w:rsidRDefault="001737CA" w:rsidP="0030231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395802">
              <w:rPr>
                <w:rFonts w:ascii="Arial" w:hAnsi="Arial" w:cs="Arial"/>
                <w:sz w:val="18"/>
                <w:szCs w:val="18"/>
                <w:lang w:val="es-ES"/>
              </w:rPr>
              <w:t>Consultoría individual para la supervisión de la CT</w:t>
            </w:r>
          </w:p>
        </w:tc>
        <w:tc>
          <w:tcPr>
            <w:tcW w:w="1170" w:type="dxa"/>
          </w:tcPr>
          <w:p w:rsidR="001737CA" w:rsidRPr="00395802" w:rsidRDefault="001737CA" w:rsidP="00302319">
            <w:pPr>
              <w:spacing w:after="0" w:line="240"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12.250,00</w:t>
            </w:r>
          </w:p>
        </w:tc>
        <w:tc>
          <w:tcPr>
            <w:tcW w:w="1350" w:type="dxa"/>
          </w:tcPr>
          <w:p w:rsidR="001737CA" w:rsidRPr="00395802" w:rsidRDefault="001737CA" w:rsidP="00D431C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SBCC</w:t>
            </w:r>
          </w:p>
        </w:tc>
        <w:tc>
          <w:tcPr>
            <w:tcW w:w="900" w:type="dxa"/>
          </w:tcPr>
          <w:p w:rsidR="001737CA" w:rsidRPr="00395802" w:rsidRDefault="001737CA" w:rsidP="00D431C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100</w:t>
            </w:r>
          </w:p>
        </w:tc>
        <w:tc>
          <w:tcPr>
            <w:tcW w:w="1260" w:type="dxa"/>
          </w:tcPr>
          <w:p w:rsidR="001737CA" w:rsidRPr="00395802" w:rsidRDefault="001737CA" w:rsidP="00D431C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395802">
              <w:rPr>
                <w:rFonts w:ascii="Arial" w:hAnsi="Arial" w:cs="Arial"/>
                <w:sz w:val="18"/>
                <w:szCs w:val="18"/>
                <w:lang w:val="es-ES_tradnl"/>
              </w:rPr>
              <w:t>n/a</w:t>
            </w:r>
          </w:p>
        </w:tc>
        <w:tc>
          <w:tcPr>
            <w:tcW w:w="1260" w:type="dxa"/>
          </w:tcPr>
          <w:p w:rsidR="001737CA" w:rsidRPr="00395802" w:rsidRDefault="001737CA" w:rsidP="0030231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1737CA" w:rsidRPr="00302319" w:rsidTr="00302319">
        <w:trPr>
          <w:trHeight w:val="241"/>
        </w:trPr>
        <w:tc>
          <w:tcPr>
            <w:cnfStyle w:val="001000000000" w:firstRow="0" w:lastRow="0" w:firstColumn="1" w:lastColumn="0" w:oddVBand="0" w:evenVBand="0" w:oddHBand="0" w:evenHBand="0" w:firstRowFirstColumn="0" w:firstRowLastColumn="0" w:lastRowFirstColumn="0" w:lastRowLastColumn="0"/>
            <w:tcW w:w="6992" w:type="dxa"/>
            <w:gridSpan w:val="2"/>
            <w:shd w:val="clear" w:color="auto" w:fill="D9D9D9" w:themeFill="background1" w:themeFillShade="D9"/>
          </w:tcPr>
          <w:p w:rsidR="001737CA" w:rsidRPr="00302319" w:rsidRDefault="001737CA" w:rsidP="00302319">
            <w:pPr>
              <w:spacing w:after="0" w:line="240" w:lineRule="auto"/>
              <w:rPr>
                <w:rFonts w:ascii="Arial" w:hAnsi="Arial" w:cs="Arial"/>
                <w:sz w:val="18"/>
                <w:szCs w:val="18"/>
                <w:lang w:val="es-ES"/>
              </w:rPr>
            </w:pPr>
            <w:r w:rsidRPr="00302319">
              <w:rPr>
                <w:rFonts w:ascii="Arial" w:hAnsi="Arial" w:cs="Arial"/>
                <w:sz w:val="18"/>
                <w:szCs w:val="18"/>
                <w:lang w:val="es-ES"/>
              </w:rPr>
              <w:t>Total</w:t>
            </w:r>
          </w:p>
        </w:tc>
        <w:tc>
          <w:tcPr>
            <w:tcW w:w="1170" w:type="dxa"/>
            <w:shd w:val="clear" w:color="auto" w:fill="D9D9D9" w:themeFill="background1" w:themeFillShade="D9"/>
          </w:tcPr>
          <w:p w:rsidR="001737CA" w:rsidRPr="00302319" w:rsidRDefault="001737CA" w:rsidP="00302319">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302319">
              <w:rPr>
                <w:rFonts w:ascii="Arial" w:hAnsi="Arial" w:cs="Arial"/>
                <w:b/>
                <w:sz w:val="18"/>
                <w:szCs w:val="18"/>
                <w:lang w:val="es-ES"/>
              </w:rPr>
              <w:t>362.250</w:t>
            </w:r>
          </w:p>
        </w:tc>
        <w:tc>
          <w:tcPr>
            <w:tcW w:w="1350" w:type="dxa"/>
            <w:shd w:val="clear" w:color="auto" w:fill="D9D9D9" w:themeFill="background1" w:themeFillShade="D9"/>
          </w:tcPr>
          <w:p w:rsidR="001737CA" w:rsidRPr="00302319" w:rsidRDefault="001737CA"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tc>
        <w:tc>
          <w:tcPr>
            <w:tcW w:w="900" w:type="dxa"/>
            <w:shd w:val="clear" w:color="auto" w:fill="D9D9D9" w:themeFill="background1" w:themeFillShade="D9"/>
          </w:tcPr>
          <w:p w:rsidR="001737CA" w:rsidRPr="00302319" w:rsidRDefault="001737CA"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tc>
        <w:tc>
          <w:tcPr>
            <w:tcW w:w="1260" w:type="dxa"/>
            <w:shd w:val="clear" w:color="auto" w:fill="D9D9D9" w:themeFill="background1" w:themeFillShade="D9"/>
          </w:tcPr>
          <w:p w:rsidR="001737CA" w:rsidRPr="00302319" w:rsidRDefault="001737CA"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tc>
        <w:tc>
          <w:tcPr>
            <w:tcW w:w="1260" w:type="dxa"/>
            <w:shd w:val="clear" w:color="auto" w:fill="D9D9D9" w:themeFill="background1" w:themeFillShade="D9"/>
          </w:tcPr>
          <w:p w:rsidR="001737CA" w:rsidRPr="00302319" w:rsidRDefault="001737CA" w:rsidP="0030231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tc>
      </w:tr>
    </w:tbl>
    <w:p w:rsidR="00614634" w:rsidRPr="00302319" w:rsidRDefault="00614634" w:rsidP="00302319">
      <w:pPr>
        <w:spacing w:after="0" w:line="240" w:lineRule="auto"/>
        <w:rPr>
          <w:rFonts w:ascii="Arial" w:hAnsi="Arial" w:cs="Arial"/>
        </w:rPr>
      </w:pPr>
    </w:p>
    <w:sectPr w:rsidR="00614634" w:rsidRPr="00302319" w:rsidSect="00070B9D">
      <w:headerReference w:type="default" r:id="rId6"/>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6B9" w:rsidRDefault="009026B9" w:rsidP="00070B9D">
      <w:pPr>
        <w:spacing w:after="0" w:line="240" w:lineRule="auto"/>
      </w:pPr>
      <w:r>
        <w:separator/>
      </w:r>
    </w:p>
  </w:endnote>
  <w:endnote w:type="continuationSeparator" w:id="0">
    <w:p w:rsidR="009026B9" w:rsidRDefault="009026B9" w:rsidP="0007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6B9" w:rsidRDefault="009026B9" w:rsidP="00070B9D">
      <w:pPr>
        <w:spacing w:after="0" w:line="240" w:lineRule="auto"/>
      </w:pPr>
      <w:r>
        <w:separator/>
      </w:r>
    </w:p>
  </w:footnote>
  <w:footnote w:type="continuationSeparator" w:id="0">
    <w:p w:rsidR="009026B9" w:rsidRDefault="009026B9" w:rsidP="00070B9D">
      <w:pPr>
        <w:spacing w:after="0" w:line="240" w:lineRule="auto"/>
      </w:pPr>
      <w:r>
        <w:continuationSeparator/>
      </w:r>
    </w:p>
  </w:footnote>
  <w:footnote w:id="1">
    <w:p w:rsidR="00070B9D" w:rsidRPr="00791095" w:rsidRDefault="00070B9D" w:rsidP="00070B9D">
      <w:pPr>
        <w:pStyle w:val="FootnoteText"/>
        <w:ind w:left="180" w:hanging="180"/>
        <w:jc w:val="both"/>
        <w:rPr>
          <w:rFonts w:ascii="Arial" w:hAnsi="Arial" w:cs="Arial"/>
          <w:sz w:val="18"/>
          <w:szCs w:val="18"/>
          <w:lang w:val="es-ES_tradnl"/>
        </w:rPr>
      </w:pPr>
      <w:r w:rsidRPr="00791095">
        <w:rPr>
          <w:rStyle w:val="FootnoteReference"/>
          <w:rFonts w:ascii="Arial" w:hAnsi="Arial" w:cs="Arial"/>
          <w:sz w:val="18"/>
          <w:szCs w:val="18"/>
        </w:rPr>
        <w:footnoteRef/>
      </w:r>
      <w:r w:rsidRPr="00791095">
        <w:rPr>
          <w:rFonts w:ascii="Arial" w:hAnsi="Arial" w:cs="Arial"/>
          <w:sz w:val="18"/>
          <w:szCs w:val="18"/>
          <w:lang w:val="es-ES_tradnl"/>
        </w:rPr>
        <w:t xml:space="preserve"> </w:t>
      </w:r>
      <w:r>
        <w:rPr>
          <w:rFonts w:ascii="Arial" w:hAnsi="Arial" w:cs="Arial"/>
          <w:sz w:val="18"/>
          <w:szCs w:val="18"/>
          <w:lang w:val="es-ES_tradnl"/>
        </w:rPr>
        <w:tab/>
      </w:r>
      <w:r w:rsidRPr="00791095">
        <w:rPr>
          <w:rFonts w:ascii="Arial" w:hAnsi="Arial" w:cs="Arial"/>
          <w:sz w:val="18"/>
          <w:szCs w:val="18"/>
          <w:lang w:val="es-ES_tradnl"/>
        </w:rPr>
        <w:t xml:space="preserve">Se recomienda el agrupamiento de adquisiciones de naturaleza similar tales como equipos informáticos, mobiliario, publicaciones. pasajes, etc. Si </w:t>
      </w:r>
      <w:r w:rsidR="00302319" w:rsidRPr="00791095">
        <w:rPr>
          <w:rFonts w:ascii="Arial" w:hAnsi="Arial" w:cs="Arial"/>
          <w:sz w:val="18"/>
          <w:szCs w:val="18"/>
          <w:lang w:val="es-ES_tradnl"/>
        </w:rPr>
        <w:t>hubiese</w:t>
      </w:r>
      <w:r w:rsidRPr="00791095">
        <w:rPr>
          <w:rFonts w:ascii="Arial" w:hAnsi="Arial" w:cs="Arial"/>
          <w:sz w:val="18"/>
          <w:szCs w:val="18"/>
          <w:lang w:val="es-ES_tradnl"/>
        </w:rPr>
        <w:t xml:space="preserve"> grupos de contratos individuales similares que van a ser ejecutados en distintos períodos, éstos pueden incluirse agrupados bajo un solo rubro con una explicación en la columna de comentarios indicando el valor promedio individual y el período dura</w:t>
      </w:r>
      <w:r>
        <w:rPr>
          <w:rFonts w:ascii="Arial" w:hAnsi="Arial" w:cs="Arial"/>
          <w:sz w:val="18"/>
          <w:szCs w:val="18"/>
          <w:lang w:val="es-ES_tradnl"/>
        </w:rPr>
        <w:t>nte el cual serían ejecutados.</w:t>
      </w:r>
    </w:p>
  </w:footnote>
  <w:footnote w:id="2">
    <w:p w:rsidR="00070B9D" w:rsidRPr="00791095" w:rsidRDefault="00070B9D" w:rsidP="00070B9D">
      <w:pPr>
        <w:pStyle w:val="FootnoteText"/>
        <w:ind w:left="180" w:hanging="180"/>
        <w:jc w:val="both"/>
        <w:rPr>
          <w:rFonts w:ascii="Arial" w:hAnsi="Arial" w:cs="Arial"/>
          <w:sz w:val="18"/>
          <w:szCs w:val="18"/>
          <w:lang w:val="es-ES_tradnl"/>
        </w:rPr>
      </w:pPr>
      <w:r w:rsidRPr="00791095">
        <w:rPr>
          <w:rStyle w:val="FootnoteReference"/>
          <w:rFonts w:ascii="Arial" w:hAnsi="Arial" w:cs="Arial"/>
          <w:sz w:val="18"/>
          <w:szCs w:val="18"/>
        </w:rPr>
        <w:footnoteRef/>
      </w:r>
      <w:r w:rsidRPr="00791095">
        <w:rPr>
          <w:rFonts w:ascii="Arial" w:hAnsi="Arial" w:cs="Arial"/>
          <w:sz w:val="18"/>
          <w:szCs w:val="18"/>
          <w:lang w:val="es-ES_tradnl"/>
        </w:rPr>
        <w:tab/>
        <w:t xml:space="preserve">Firmas Consultoras: </w:t>
      </w:r>
      <w:r w:rsidRPr="00791095">
        <w:rPr>
          <w:rFonts w:ascii="Arial" w:hAnsi="Arial" w:cs="Arial"/>
          <w:b/>
          <w:sz w:val="18"/>
          <w:szCs w:val="18"/>
          <w:lang w:val="es-ES_tradnl"/>
        </w:rPr>
        <w:t>SBCC:</w:t>
      </w:r>
      <w:r w:rsidRPr="00791095">
        <w:rPr>
          <w:rFonts w:ascii="Arial" w:hAnsi="Arial" w:cs="Arial"/>
          <w:sz w:val="18"/>
          <w:szCs w:val="18"/>
          <w:lang w:val="es-ES_tradnl"/>
        </w:rPr>
        <w:t xml:space="preserve"> Selección Basada en la Calidad y el Costo; </w:t>
      </w:r>
      <w:r w:rsidRPr="00791095">
        <w:rPr>
          <w:rFonts w:ascii="Arial" w:hAnsi="Arial" w:cs="Arial"/>
          <w:b/>
          <w:sz w:val="18"/>
          <w:szCs w:val="18"/>
          <w:lang w:val="es-ES_tradnl"/>
        </w:rPr>
        <w:t>SBC</w:t>
      </w:r>
      <w:r w:rsidRPr="00791095">
        <w:rPr>
          <w:rFonts w:ascii="Arial" w:hAnsi="Arial" w:cs="Arial"/>
          <w:sz w:val="18"/>
          <w:szCs w:val="18"/>
          <w:lang w:val="es-ES_tradnl"/>
        </w:rPr>
        <w:t xml:space="preserve">: Selección Basada en la Calidad; </w:t>
      </w:r>
      <w:r w:rsidRPr="00791095">
        <w:rPr>
          <w:rFonts w:ascii="Arial" w:hAnsi="Arial" w:cs="Arial"/>
          <w:b/>
          <w:sz w:val="18"/>
          <w:szCs w:val="18"/>
          <w:lang w:val="es-ES_tradnl"/>
        </w:rPr>
        <w:t>SBPF:</w:t>
      </w:r>
      <w:r w:rsidRPr="00791095">
        <w:rPr>
          <w:rFonts w:ascii="Arial" w:hAnsi="Arial" w:cs="Arial"/>
          <w:sz w:val="18"/>
          <w:szCs w:val="18"/>
          <w:lang w:val="es-ES_tradnl"/>
        </w:rPr>
        <w:t xml:space="preserve"> Selección Basada en Presupuesto Fijo;</w:t>
      </w:r>
      <w:r w:rsidRPr="00791095">
        <w:rPr>
          <w:rFonts w:ascii="Arial" w:hAnsi="Arial" w:cs="Arial"/>
          <w:b/>
          <w:sz w:val="18"/>
          <w:szCs w:val="18"/>
          <w:lang w:val="es-ES_tradnl"/>
        </w:rPr>
        <w:t xml:space="preserve"> SBMC</w:t>
      </w:r>
      <w:r w:rsidRPr="00791095">
        <w:rPr>
          <w:rFonts w:ascii="Arial" w:hAnsi="Arial" w:cs="Arial"/>
          <w:sz w:val="18"/>
          <w:szCs w:val="18"/>
          <w:lang w:val="es-ES_tradnl"/>
        </w:rPr>
        <w:t xml:space="preserve">: Selección Basada en el Menor Costo; </w:t>
      </w:r>
      <w:r w:rsidRPr="00791095">
        <w:rPr>
          <w:rFonts w:ascii="Arial" w:hAnsi="Arial" w:cs="Arial"/>
          <w:b/>
          <w:sz w:val="18"/>
          <w:szCs w:val="18"/>
          <w:lang w:val="es-ES_tradnl"/>
        </w:rPr>
        <w:t>SCC</w:t>
      </w:r>
      <w:r w:rsidRPr="00791095">
        <w:rPr>
          <w:rFonts w:ascii="Arial" w:hAnsi="Arial" w:cs="Arial"/>
          <w:sz w:val="18"/>
          <w:szCs w:val="18"/>
          <w:lang w:val="es-ES_tradnl"/>
        </w:rPr>
        <w:t xml:space="preserve">: Selección Basada en las Calificaciones de los Consultores; </w:t>
      </w:r>
      <w:r w:rsidRPr="00791095">
        <w:rPr>
          <w:rFonts w:ascii="Arial" w:hAnsi="Arial" w:cs="Arial"/>
          <w:b/>
          <w:sz w:val="18"/>
          <w:szCs w:val="18"/>
          <w:lang w:val="es-ES_tradnl"/>
        </w:rPr>
        <w:t>SD</w:t>
      </w:r>
      <w:r w:rsidRPr="00791095">
        <w:rPr>
          <w:rFonts w:ascii="Arial" w:hAnsi="Arial" w:cs="Arial"/>
          <w:sz w:val="18"/>
          <w:szCs w:val="18"/>
          <w:lang w:val="es-ES_tradnl"/>
        </w:rPr>
        <w:t>: Selección Directa. Consultores Individuales:</w:t>
      </w:r>
      <w:r w:rsidRPr="00791095">
        <w:rPr>
          <w:rFonts w:ascii="Arial" w:hAnsi="Arial" w:cs="Arial"/>
          <w:b/>
          <w:sz w:val="18"/>
          <w:szCs w:val="18"/>
          <w:lang w:val="es-ES_tradnl"/>
        </w:rPr>
        <w:t xml:space="preserve"> CCIN</w:t>
      </w:r>
      <w:r w:rsidRPr="00791095">
        <w:rPr>
          <w:rFonts w:ascii="Arial" w:hAnsi="Arial" w:cs="Arial"/>
          <w:sz w:val="18"/>
          <w:szCs w:val="18"/>
          <w:lang w:val="es-ES_tradnl"/>
        </w:rPr>
        <w:t xml:space="preserve">: Selección basada en la Comparación de Calificaciones Consultor Individual Nacional; </w:t>
      </w:r>
      <w:r w:rsidRPr="00791095">
        <w:rPr>
          <w:rFonts w:ascii="Arial" w:hAnsi="Arial" w:cs="Arial"/>
          <w:b/>
          <w:sz w:val="18"/>
          <w:szCs w:val="18"/>
          <w:lang w:val="es-ES_tradnl"/>
        </w:rPr>
        <w:t>CCII:</w:t>
      </w:r>
      <w:r w:rsidRPr="00791095">
        <w:rPr>
          <w:rFonts w:ascii="Arial" w:hAnsi="Arial" w:cs="Arial"/>
          <w:sz w:val="18"/>
          <w:szCs w:val="18"/>
          <w:lang w:val="es-ES_tradnl"/>
        </w:rPr>
        <w:t xml:space="preserve"> Selección basada en la Comparación de Calificaciones Consultor Individual Internacional.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318336367"/>
      <w:docPartObj>
        <w:docPartGallery w:val="Page Numbers (Top of Page)"/>
        <w:docPartUnique/>
      </w:docPartObj>
    </w:sdtPr>
    <w:sdtEndPr/>
    <w:sdtContent>
      <w:p w:rsidR="00302319" w:rsidRPr="00302319" w:rsidRDefault="00302319" w:rsidP="00302319">
        <w:pPr>
          <w:pStyle w:val="Header"/>
          <w:jc w:val="right"/>
          <w:rPr>
            <w:rFonts w:ascii="Arial" w:hAnsi="Arial" w:cs="Arial"/>
            <w:sz w:val="20"/>
            <w:szCs w:val="20"/>
          </w:rPr>
        </w:pPr>
        <w:r w:rsidRPr="00302319">
          <w:rPr>
            <w:rFonts w:ascii="Arial" w:hAnsi="Arial" w:cs="Arial"/>
            <w:sz w:val="20"/>
            <w:szCs w:val="20"/>
          </w:rPr>
          <w:t>Anexo III – NI-T1204</w:t>
        </w:r>
      </w:p>
      <w:p w:rsidR="00302319" w:rsidRPr="00302319" w:rsidRDefault="00302319">
        <w:pPr>
          <w:pStyle w:val="Header"/>
          <w:jc w:val="right"/>
          <w:rPr>
            <w:rFonts w:ascii="Arial" w:hAnsi="Arial" w:cs="Arial"/>
            <w:sz w:val="20"/>
            <w:szCs w:val="20"/>
          </w:rPr>
        </w:pPr>
        <w:r w:rsidRPr="00302319">
          <w:rPr>
            <w:rFonts w:ascii="Arial" w:hAnsi="Arial" w:cs="Arial"/>
            <w:sz w:val="20"/>
            <w:szCs w:val="20"/>
          </w:rPr>
          <w:t xml:space="preserve">Página </w:t>
        </w:r>
        <w:r w:rsidRPr="00302319">
          <w:rPr>
            <w:rFonts w:ascii="Arial" w:hAnsi="Arial" w:cs="Arial"/>
            <w:b/>
            <w:bCs/>
            <w:sz w:val="20"/>
            <w:szCs w:val="20"/>
          </w:rPr>
          <w:fldChar w:fldCharType="begin"/>
        </w:r>
        <w:r w:rsidRPr="00302319">
          <w:rPr>
            <w:rFonts w:ascii="Arial" w:hAnsi="Arial" w:cs="Arial"/>
            <w:b/>
            <w:bCs/>
            <w:sz w:val="20"/>
            <w:szCs w:val="20"/>
          </w:rPr>
          <w:instrText xml:space="preserve"> PAGE </w:instrText>
        </w:r>
        <w:r w:rsidRPr="00302319">
          <w:rPr>
            <w:rFonts w:ascii="Arial" w:hAnsi="Arial" w:cs="Arial"/>
            <w:b/>
            <w:bCs/>
            <w:sz w:val="20"/>
            <w:szCs w:val="20"/>
          </w:rPr>
          <w:fldChar w:fldCharType="separate"/>
        </w:r>
        <w:r w:rsidR="00080ED6">
          <w:rPr>
            <w:rFonts w:ascii="Arial" w:hAnsi="Arial" w:cs="Arial"/>
            <w:b/>
            <w:bCs/>
            <w:noProof/>
            <w:sz w:val="20"/>
            <w:szCs w:val="20"/>
          </w:rPr>
          <w:t>2</w:t>
        </w:r>
        <w:r w:rsidRPr="00302319">
          <w:rPr>
            <w:rFonts w:ascii="Arial" w:hAnsi="Arial" w:cs="Arial"/>
            <w:b/>
            <w:bCs/>
            <w:sz w:val="20"/>
            <w:szCs w:val="20"/>
          </w:rPr>
          <w:fldChar w:fldCharType="end"/>
        </w:r>
        <w:r w:rsidRPr="00302319">
          <w:rPr>
            <w:rFonts w:ascii="Arial" w:hAnsi="Arial" w:cs="Arial"/>
            <w:sz w:val="20"/>
            <w:szCs w:val="20"/>
          </w:rPr>
          <w:t xml:space="preserve"> de </w:t>
        </w:r>
        <w:r w:rsidRPr="00302319">
          <w:rPr>
            <w:rFonts w:ascii="Arial" w:hAnsi="Arial" w:cs="Arial"/>
            <w:b/>
            <w:bCs/>
            <w:sz w:val="20"/>
            <w:szCs w:val="20"/>
          </w:rPr>
          <w:fldChar w:fldCharType="begin"/>
        </w:r>
        <w:r w:rsidRPr="00302319">
          <w:rPr>
            <w:rFonts w:ascii="Arial" w:hAnsi="Arial" w:cs="Arial"/>
            <w:b/>
            <w:bCs/>
            <w:sz w:val="20"/>
            <w:szCs w:val="20"/>
          </w:rPr>
          <w:instrText xml:space="preserve"> NUMPAGES  </w:instrText>
        </w:r>
        <w:r w:rsidRPr="00302319">
          <w:rPr>
            <w:rFonts w:ascii="Arial" w:hAnsi="Arial" w:cs="Arial"/>
            <w:b/>
            <w:bCs/>
            <w:sz w:val="20"/>
            <w:szCs w:val="20"/>
          </w:rPr>
          <w:fldChar w:fldCharType="separate"/>
        </w:r>
        <w:r w:rsidR="00080ED6">
          <w:rPr>
            <w:rFonts w:ascii="Arial" w:hAnsi="Arial" w:cs="Arial"/>
            <w:b/>
            <w:bCs/>
            <w:noProof/>
            <w:sz w:val="20"/>
            <w:szCs w:val="20"/>
          </w:rPr>
          <w:t>2</w:t>
        </w:r>
        <w:r w:rsidRPr="00302319">
          <w:rPr>
            <w:rFonts w:ascii="Arial" w:hAnsi="Arial" w:cs="Arial"/>
            <w:b/>
            <w:bCs/>
            <w:sz w:val="20"/>
            <w:szCs w:val="20"/>
          </w:rPr>
          <w:fldChar w:fldCharType="end"/>
        </w:r>
      </w:p>
    </w:sdtContent>
  </w:sdt>
  <w:p w:rsidR="00070B9D" w:rsidRPr="00302319" w:rsidRDefault="00070B9D" w:rsidP="00070B9D">
    <w:pPr>
      <w:pStyle w:val="Header"/>
      <w:rPr>
        <w:rFonts w:ascii="Arial" w:hAnsi="Arial" w:cs="Arial"/>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B9D"/>
    <w:rsid w:val="00070B9D"/>
    <w:rsid w:val="00080ED6"/>
    <w:rsid w:val="001737CA"/>
    <w:rsid w:val="00302319"/>
    <w:rsid w:val="00395802"/>
    <w:rsid w:val="00455DCC"/>
    <w:rsid w:val="004F25F4"/>
    <w:rsid w:val="00614634"/>
    <w:rsid w:val="007357AD"/>
    <w:rsid w:val="009026B9"/>
    <w:rsid w:val="00963EAE"/>
    <w:rsid w:val="00AC7401"/>
    <w:rsid w:val="00B117E7"/>
    <w:rsid w:val="00F0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B2B80-792D-4DF8-AAC4-13EAD06DE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0B9D"/>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0B9D"/>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070B9D"/>
  </w:style>
  <w:style w:type="paragraph" w:styleId="Footer">
    <w:name w:val="footer"/>
    <w:basedOn w:val="Normal"/>
    <w:link w:val="FooterChar"/>
    <w:uiPriority w:val="99"/>
    <w:unhideWhenUsed/>
    <w:rsid w:val="00070B9D"/>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070B9D"/>
  </w:style>
  <w:style w:type="paragraph" w:styleId="ListParagraph">
    <w:name w:val="List Paragraph"/>
    <w:aliases w:val="Source,References,List Paragraph (numbered (a)),Título 2.,Fluvial1"/>
    <w:basedOn w:val="Normal"/>
    <w:link w:val="ListParagraphChar"/>
    <w:uiPriority w:val="34"/>
    <w:qFormat/>
    <w:rsid w:val="00070B9D"/>
    <w:pPr>
      <w:ind w:left="720"/>
      <w:contextualSpacing/>
    </w:pPr>
  </w:style>
  <w:style w:type="table" w:styleId="TableGrid">
    <w:name w:val="Table Grid"/>
    <w:basedOn w:val="TableNormal"/>
    <w:uiPriority w:val="59"/>
    <w:rsid w:val="00070B9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ource Char,References Char,List Paragraph (numbered (a)) Char,Título 2. Char,Fluvial1 Char"/>
    <w:basedOn w:val="DefaultParagraphFont"/>
    <w:link w:val="ListParagraph"/>
    <w:uiPriority w:val="34"/>
    <w:rsid w:val="00070B9D"/>
    <w:rPr>
      <w:rFonts w:eastAsiaTheme="minorEastAsia"/>
    </w:rPr>
  </w:style>
  <w:style w:type="paragraph" w:styleId="FootnoteText">
    <w:name w:val="footnote text"/>
    <w:aliases w:val="fn,footnote text,FOOTNOTES,single space,Footnote Text Char Char,footnote,Texto nota pie IIRSA,Texto de rodapé,nota_rodapé,nota de rodapé,texto de nota al pie,Texto nota pie Car Car Car Car Car Car Car Car,foottextfra,F,Footnote Text1 Char"/>
    <w:link w:val="FootnoteTextChar"/>
    <w:uiPriority w:val="99"/>
    <w:qFormat/>
    <w:rsid w:val="00070B9D"/>
    <w:pPr>
      <w:pBdr>
        <w:top w:val="nil"/>
        <w:left w:val="nil"/>
        <w:bottom w:val="nil"/>
        <w:right w:val="nil"/>
        <w:between w:val="nil"/>
        <w:bar w:val="nil"/>
      </w:pBdr>
      <w:spacing w:after="0" w:line="240" w:lineRule="auto"/>
    </w:pPr>
    <w:rPr>
      <w:rFonts w:ascii="Calibri" w:eastAsia="Calibri" w:hAnsi="Calibri" w:cs="Calibri"/>
      <w:color w:val="000000"/>
      <w:sz w:val="20"/>
      <w:szCs w:val="20"/>
      <w:u w:color="000000"/>
      <w:bdr w:val="nil"/>
    </w:rPr>
  </w:style>
  <w:style w:type="character" w:customStyle="1" w:styleId="FootnoteTextChar">
    <w:name w:val="Footnote Text Char"/>
    <w:aliases w:val="fn Char,footnote text Char,FOOTNOTES Char,single space Char,Footnote Text Char Char Char,footnote Char,Texto nota pie IIRSA Char,Texto de rodapé Char,nota_rodapé Char,nota de rodapé Char,texto de nota al pie Char,foottextfra Char"/>
    <w:basedOn w:val="DefaultParagraphFont"/>
    <w:link w:val="FootnoteText"/>
    <w:uiPriority w:val="99"/>
    <w:rsid w:val="00070B9D"/>
    <w:rPr>
      <w:rFonts w:ascii="Calibri" w:eastAsia="Calibri" w:hAnsi="Calibri" w:cs="Calibri"/>
      <w:color w:val="000000"/>
      <w:sz w:val="20"/>
      <w:szCs w:val="20"/>
      <w:u w:color="000000"/>
      <w:bdr w:val="nil"/>
    </w:rPr>
  </w:style>
  <w:style w:type="character" w:styleId="FootnoteReference">
    <w:name w:val="footnote reference"/>
    <w:aliases w:val="Ref,de nota al pie,Error-Fußnotenzeichen5,Error-Fußnotenzeichen6,Error-Fußnotenzeichen3,FC,ftref,16 Point,Superscript 6 Point,(Ref. de nota al pie),titulo 2,Texto nota al pie,referencia nota al pie,Footnote Reference Number,BVI fnr"/>
    <w:basedOn w:val="DefaultParagraphFont"/>
    <w:uiPriority w:val="99"/>
    <w:unhideWhenUsed/>
    <w:qFormat/>
    <w:rsid w:val="00070B9D"/>
    <w:rPr>
      <w:vertAlign w:val="superscript"/>
    </w:rPr>
  </w:style>
  <w:style w:type="table" w:styleId="LightList">
    <w:name w:val="Light List"/>
    <w:basedOn w:val="TableNormal"/>
    <w:uiPriority w:val="61"/>
    <w:rsid w:val="00070B9D"/>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Cantu, Daniel Enrique</dc:creator>
  <cp:keywords/>
  <dc:description/>
  <cp:lastModifiedBy>Lopez Gonzalez, Maria Celeste</cp:lastModifiedBy>
  <cp:revision>2</cp:revision>
  <dcterms:created xsi:type="dcterms:W3CDTF">2017-05-17T14:13:00Z</dcterms:created>
  <dcterms:modified xsi:type="dcterms:W3CDTF">2017-05-17T14:13:00Z</dcterms:modified>
</cp:coreProperties>
</file>