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8D9" w:rsidRDefault="00643957">
      <w:pPr>
        <w:spacing w:before="200" w:after="200"/>
        <w:jc w:val="center"/>
      </w:pPr>
      <w:r>
        <w:rPr>
          <w:rFonts w:ascii="Arial" w:hAnsi="Arial" w:cs="Arial"/>
          <w:b/>
        </w:rPr>
        <w:t>TC ABSTRACT</w:t>
      </w:r>
    </w:p>
    <w:p w:rsidR="00BE58D9" w:rsidRDefault="00643957">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70"/>
        <w:gridCol w:w="5172"/>
      </w:tblGrid>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rsidR="00BE58D9" w:rsidRDefault="00643957">
            <w:pPr>
              <w:spacing w:before="40" w:after="40"/>
            </w:pPr>
            <w:r>
              <w:rPr>
                <w:rFonts w:ascii="Arial" w:hAnsi="Arial" w:cs="Arial"/>
                <w:sz w:val="18"/>
                <w:szCs w:val="18"/>
              </w:rPr>
              <w:t>REGIONAL/Regional</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rsidR="00BE58D9" w:rsidRDefault="00643957" w:rsidP="00262829">
            <w:pPr>
              <w:spacing w:before="40" w:after="40"/>
              <w:jc w:val="both"/>
            </w:pPr>
            <w:r>
              <w:rPr>
                <w:rFonts w:ascii="Arial" w:hAnsi="Arial" w:cs="Arial"/>
                <w:sz w:val="18"/>
                <w:szCs w:val="18"/>
              </w:rPr>
              <w:t xml:space="preserve">Increasing police innovation and effectiveness in Latin America and </w:t>
            </w:r>
            <w:r>
              <w:rPr>
                <w:rFonts w:ascii="Arial" w:hAnsi="Arial" w:cs="Arial"/>
                <w:sz w:val="18"/>
                <w:szCs w:val="18"/>
              </w:rPr>
              <w:t>the Caribbean</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rsidR="00BE58D9" w:rsidRDefault="00643957">
            <w:pPr>
              <w:spacing w:before="40" w:after="40"/>
            </w:pPr>
            <w:r>
              <w:rPr>
                <w:rFonts w:ascii="Arial" w:hAnsi="Arial" w:cs="Arial"/>
                <w:sz w:val="18"/>
                <w:szCs w:val="18"/>
              </w:rPr>
              <w:t>RG-T3239</w:t>
            </w:r>
          </w:p>
        </w:tc>
      </w:tr>
      <w:tr w:rsidR="00BE58D9" w:rsidRPr="0026282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rsidR="00BE58D9" w:rsidRPr="00262829" w:rsidRDefault="00262829" w:rsidP="00262829">
            <w:pPr>
              <w:spacing w:before="40" w:after="40"/>
              <w:jc w:val="both"/>
              <w:rPr>
                <w:lang w:val="es-ES_tradnl"/>
              </w:rPr>
            </w:pPr>
            <w:r w:rsidRPr="00262829">
              <w:rPr>
                <w:rFonts w:ascii="Arial" w:hAnsi="Arial" w:cs="Arial"/>
                <w:sz w:val="18"/>
                <w:szCs w:val="18"/>
                <w:lang w:val="es-ES_tradnl"/>
              </w:rPr>
              <w:t xml:space="preserve">Alvarado, Nathalie Tatiana </w:t>
            </w:r>
            <w:r w:rsidR="00643957" w:rsidRPr="00262829">
              <w:rPr>
                <w:rFonts w:ascii="Arial" w:hAnsi="Arial" w:cs="Arial"/>
                <w:sz w:val="18"/>
                <w:szCs w:val="18"/>
                <w:lang w:val="es-ES_tradnl"/>
              </w:rPr>
              <w:t xml:space="preserve">(IFD/ICS) </w:t>
            </w:r>
            <w:proofErr w:type="spellStart"/>
            <w:r w:rsidR="00643957" w:rsidRPr="00262829">
              <w:rPr>
                <w:rFonts w:ascii="Arial" w:hAnsi="Arial" w:cs="Arial"/>
                <w:sz w:val="18"/>
                <w:szCs w:val="18"/>
                <w:lang w:val="es-ES_tradnl"/>
              </w:rPr>
              <w:t>Team</w:t>
            </w:r>
            <w:proofErr w:type="spellEnd"/>
            <w:r w:rsidR="00643957" w:rsidRPr="00262829">
              <w:rPr>
                <w:rFonts w:ascii="Arial" w:hAnsi="Arial" w:cs="Arial"/>
                <w:sz w:val="18"/>
                <w:szCs w:val="18"/>
                <w:lang w:val="es-ES_tradnl"/>
              </w:rPr>
              <w:t xml:space="preserve"> Leader; </w:t>
            </w:r>
            <w:r w:rsidRPr="00262829">
              <w:rPr>
                <w:rFonts w:ascii="Arial" w:hAnsi="Arial" w:cs="Arial"/>
                <w:sz w:val="18"/>
                <w:szCs w:val="18"/>
                <w:lang w:val="es-ES_tradnl"/>
              </w:rPr>
              <w:t>Villa Mar, Karelia</w:t>
            </w:r>
            <w:r>
              <w:rPr>
                <w:rFonts w:ascii="Arial" w:hAnsi="Arial" w:cs="Arial"/>
                <w:sz w:val="18"/>
                <w:szCs w:val="18"/>
                <w:lang w:val="es-ES_tradnl"/>
              </w:rPr>
              <w:t xml:space="preserve">; </w:t>
            </w:r>
            <w:r w:rsidRPr="00262829">
              <w:rPr>
                <w:rFonts w:ascii="Arial" w:hAnsi="Arial" w:cs="Arial"/>
                <w:sz w:val="18"/>
                <w:szCs w:val="18"/>
                <w:lang w:val="es-ES_tradnl"/>
              </w:rPr>
              <w:t xml:space="preserve">Restrepo </w:t>
            </w:r>
            <w:proofErr w:type="spellStart"/>
            <w:r w:rsidRPr="00262829">
              <w:rPr>
                <w:rFonts w:ascii="Arial" w:hAnsi="Arial" w:cs="Arial"/>
                <w:sz w:val="18"/>
                <w:szCs w:val="18"/>
                <w:lang w:val="es-ES_tradnl"/>
              </w:rPr>
              <w:t>Restrepo</w:t>
            </w:r>
            <w:proofErr w:type="spellEnd"/>
            <w:r w:rsidRPr="00262829">
              <w:rPr>
                <w:rFonts w:ascii="Arial" w:hAnsi="Arial" w:cs="Arial"/>
                <w:sz w:val="18"/>
                <w:szCs w:val="18"/>
                <w:lang w:val="es-ES_tradnl"/>
              </w:rPr>
              <w:t>, Andres De Jesus; Rivera Arteaga, Cesar Augusto; Sojo Lara, Gloriana; Garcia Mejia, Mauricio</w:t>
            </w:r>
            <w:r>
              <w:rPr>
                <w:rFonts w:ascii="Arial" w:hAnsi="Arial" w:cs="Arial"/>
                <w:sz w:val="18"/>
                <w:szCs w:val="18"/>
                <w:lang w:val="es-ES_tradnl"/>
              </w:rPr>
              <w:t xml:space="preserve">; </w:t>
            </w:r>
            <w:r w:rsidRPr="00262829">
              <w:rPr>
                <w:rFonts w:ascii="Arial" w:hAnsi="Arial" w:cs="Arial"/>
                <w:sz w:val="18"/>
                <w:szCs w:val="18"/>
                <w:lang w:val="es-ES_tradnl"/>
              </w:rPr>
              <w:t xml:space="preserve">Catano Guzman, Mariana; Alvarez Ruiz, Lucciana; Serrano Berthet, Rodrigo </w:t>
            </w:r>
            <w:r w:rsidR="00643957" w:rsidRPr="00262829">
              <w:rPr>
                <w:rFonts w:ascii="Arial" w:hAnsi="Arial" w:cs="Arial"/>
                <w:sz w:val="18"/>
                <w:szCs w:val="18"/>
                <w:lang w:val="es-ES_tradnl"/>
              </w:rPr>
              <w:t xml:space="preserve">(IFD/ICS); </w:t>
            </w:r>
            <w:r w:rsidRPr="00262829">
              <w:rPr>
                <w:rFonts w:ascii="Arial" w:hAnsi="Arial" w:cs="Arial"/>
                <w:sz w:val="18"/>
                <w:szCs w:val="18"/>
                <w:lang w:val="es-ES_tradnl"/>
              </w:rPr>
              <w:t xml:space="preserve">Verissimo Da Silva, Carolina; Azevedo, Andrea Pereira </w:t>
            </w:r>
            <w:r w:rsidR="00643957" w:rsidRPr="00262829">
              <w:rPr>
                <w:rFonts w:ascii="Arial" w:hAnsi="Arial" w:cs="Arial"/>
                <w:sz w:val="18"/>
                <w:szCs w:val="18"/>
                <w:lang w:val="es-ES_tradnl"/>
              </w:rPr>
              <w:t>(LEG/SGO)</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rsidR="00BE58D9" w:rsidRDefault="00643957">
            <w:pPr>
              <w:spacing w:before="40" w:after="40"/>
            </w:pPr>
            <w:r>
              <w:rPr>
                <w:rFonts w:ascii="Arial" w:hAnsi="Arial" w:cs="Arial"/>
                <w:sz w:val="18"/>
                <w:szCs w:val="18"/>
              </w:rPr>
              <w:t>Research and Dissemination</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rsidR="00BE58D9" w:rsidRDefault="00643957">
            <w:pPr>
              <w:spacing w:before="40" w:after="40"/>
            </w:pPr>
            <w:r>
              <w:rPr>
                <w:rFonts w:ascii="Arial" w:hAnsi="Arial" w:cs="Arial"/>
                <w:sz w:val="18"/>
                <w:szCs w:val="18"/>
              </w:rPr>
              <w:t>N/A</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rsidR="00BE58D9" w:rsidRDefault="00643957">
            <w:pPr>
              <w:spacing w:before="40" w:after="40"/>
            </w:pPr>
            <w:r>
              <w:rPr>
                <w:rFonts w:ascii="Arial" w:hAnsi="Arial" w:cs="Arial"/>
                <w:sz w:val="18"/>
                <w:szCs w:val="18"/>
              </w:rPr>
              <w:t>29 Apr 2018</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rsidR="00BE58D9" w:rsidRDefault="00643957">
            <w:pPr>
              <w:spacing w:before="40" w:after="40"/>
            </w:pPr>
            <w:r>
              <w:rPr>
                <w:rFonts w:ascii="Arial" w:hAnsi="Arial" w:cs="Arial"/>
                <w:sz w:val="18"/>
                <w:szCs w:val="18"/>
              </w:rPr>
              <w:t>The 26 IDB beneficiary countries</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rsidR="00BE58D9" w:rsidRDefault="00643957">
            <w:pPr>
              <w:spacing w:before="40" w:after="40"/>
            </w:pPr>
            <w:r>
              <w:rPr>
                <w:rFonts w:ascii="Arial" w:hAnsi="Arial" w:cs="Arial"/>
                <w:sz w:val="18"/>
                <w:szCs w:val="18"/>
              </w:rPr>
              <w:t>INTER-AMERICAN DEVELOPMENT BANK</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rsidR="00BE58D9" w:rsidRDefault="00643957">
            <w:pPr>
              <w:bidi/>
              <w:spacing w:before="40" w:after="40"/>
            </w:pPr>
            <w:r>
              <w:rPr>
                <w:rFonts w:ascii="Arial" w:hAnsi="Arial" w:cs="Arial"/>
                <w:sz w:val="18"/>
                <w:szCs w:val="18"/>
              </w:rPr>
              <w:t>$ 300,000.00</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Local counterpart </w:t>
            </w:r>
            <w:r>
              <w:rPr>
                <w:rFonts w:ascii="Arial" w:hAnsi="Arial" w:cs="Arial"/>
                <w:sz w:val="18"/>
                <w:szCs w:val="18"/>
              </w:rPr>
              <w:t>funding:</w:t>
            </w:r>
          </w:p>
        </w:tc>
        <w:tc>
          <w:tcPr>
            <w:tcW w:w="6750" w:type="dxa"/>
          </w:tcPr>
          <w:p w:rsidR="00BE58D9" w:rsidRDefault="00643957">
            <w:pPr>
              <w:bidi/>
              <w:spacing w:before="40" w:after="40"/>
            </w:pPr>
            <w:r>
              <w:rPr>
                <w:rFonts w:ascii="Arial" w:hAnsi="Arial" w:cs="Arial"/>
                <w:sz w:val="18"/>
                <w:szCs w:val="18"/>
              </w:rPr>
              <w:t>$ 0.00</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rsidR="00BE58D9" w:rsidRDefault="00643957">
            <w:pPr>
              <w:bidi/>
              <w:spacing w:before="40" w:after="40"/>
            </w:pPr>
            <w:r>
              <w:rPr>
                <w:rFonts w:ascii="Arial" w:hAnsi="Arial" w:cs="Arial"/>
                <w:sz w:val="18"/>
                <w:szCs w:val="18"/>
              </w:rPr>
              <w:t>24 months</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rsidR="00BE58D9" w:rsidRDefault="00643957">
            <w:pPr>
              <w:spacing w:before="40" w:after="40"/>
            </w:pPr>
            <w:r>
              <w:rPr>
                <w:rFonts w:ascii="Arial" w:hAnsi="Arial" w:cs="Arial"/>
                <w:sz w:val="18"/>
                <w:szCs w:val="18"/>
              </w:rPr>
              <w:t>Individuals; Firms</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rsidR="00BE58D9" w:rsidRDefault="00643957">
            <w:pPr>
              <w:spacing w:before="40" w:after="40"/>
            </w:pPr>
            <w:r>
              <w:rPr>
                <w:rFonts w:ascii="Arial" w:hAnsi="Arial" w:cs="Arial"/>
                <w:sz w:val="18"/>
                <w:szCs w:val="18"/>
              </w:rPr>
              <w:t>Innovation in Citizen Services Division</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rsidR="00BE58D9" w:rsidRDefault="00643957">
            <w:pPr>
              <w:spacing w:before="40" w:after="40"/>
            </w:pPr>
            <w:r>
              <w:rPr>
                <w:rFonts w:ascii="Arial" w:hAnsi="Arial" w:cs="Arial"/>
                <w:sz w:val="18"/>
                <w:szCs w:val="18"/>
              </w:rPr>
              <w:t>Institutions for Development</w:t>
            </w:r>
          </w:p>
        </w:tc>
      </w:tr>
      <w:tr w:rsidR="00BE58D9">
        <w:trPr>
          <w:jc w:val="center"/>
        </w:trPr>
        <w:tc>
          <w:tcPr>
            <w:tcW w:w="5250" w:type="dxa"/>
          </w:tcPr>
          <w:p w:rsidR="00BE58D9" w:rsidRDefault="00643957">
            <w:pPr>
              <w:spacing w:before="40" w:after="40"/>
            </w:pPr>
            <w:r>
              <w:rPr>
                <w:rFonts w:ascii="Arial" w:hAnsi="Arial" w:cs="Arial"/>
                <w:sz w:val="18"/>
                <w:szCs w:val="18"/>
              </w:rPr>
              <w:t>▪</w:t>
            </w:r>
            <w:r>
              <w:rPr>
                <w:rFonts w:ascii="Arial" w:hAnsi="Arial" w:cs="Arial"/>
                <w:sz w:val="18"/>
                <w:szCs w:val="18"/>
              </w:rPr>
              <w:t xml:space="preserve"> TC included in Country </w:t>
            </w:r>
            <w:r>
              <w:rPr>
                <w:rFonts w:ascii="Arial" w:hAnsi="Arial" w:cs="Arial"/>
                <w:sz w:val="18"/>
                <w:szCs w:val="18"/>
              </w:rPr>
              <w:t>Strategy (y/n):</w:t>
            </w:r>
            <w:r>
              <w:rPr>
                <w:rFonts w:ascii="Arial" w:hAnsi="Arial" w:cs="Arial"/>
                <w:sz w:val="18"/>
                <w:szCs w:val="18"/>
              </w:rPr>
              <w:br/>
            </w:r>
            <w:r>
              <w:rPr>
                <w:rFonts w:ascii="Arial" w:hAnsi="Arial" w:cs="Arial"/>
                <w:sz w:val="18"/>
                <w:szCs w:val="18"/>
              </w:rPr>
              <w:br/>
              <w:t>▪ TC included in CPD (y/n):</w:t>
            </w:r>
          </w:p>
        </w:tc>
        <w:tc>
          <w:tcPr>
            <w:tcW w:w="6750" w:type="dxa"/>
          </w:tcPr>
          <w:p w:rsidR="00BE58D9" w:rsidRDefault="00643957">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BE58D9">
        <w:trPr>
          <w:jc w:val="center"/>
        </w:trPr>
        <w:tc>
          <w:tcPr>
            <w:tcW w:w="5250" w:type="dxa"/>
          </w:tcPr>
          <w:p w:rsidR="00BE58D9" w:rsidRDefault="00643957">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rsidR="00BE58D9" w:rsidRDefault="00643957">
            <w:pPr>
              <w:spacing w:before="40" w:after="40"/>
            </w:pPr>
            <w:r>
              <w:rPr>
                <w:rFonts w:ascii="Arial" w:hAnsi="Arial" w:cs="Arial"/>
                <w:sz w:val="18"/>
                <w:szCs w:val="18"/>
              </w:rPr>
              <w:t>Institutional capacity and rule of law</w:t>
            </w:r>
          </w:p>
        </w:tc>
      </w:tr>
    </w:tbl>
    <w:p w:rsidR="00BE58D9" w:rsidRDefault="00643957">
      <w:pPr>
        <w:spacing w:before="120" w:after="120"/>
        <w:ind w:left="579" w:hanging="579"/>
      </w:pPr>
      <w:r>
        <w:rPr>
          <w:rFonts w:ascii="Arial" w:hAnsi="Arial" w:cs="Arial"/>
          <w:b/>
        </w:rPr>
        <w:t>II.</w:t>
      </w:r>
      <w:r>
        <w:rPr>
          <w:rFonts w:ascii="Arial" w:hAnsi="Arial" w:cs="Arial"/>
          <w:b/>
        </w:rPr>
        <w:tab/>
        <w:t>Objective and Justification</w:t>
      </w:r>
    </w:p>
    <w:p w:rsidR="00262829" w:rsidRDefault="00643957" w:rsidP="00262829">
      <w:pPr>
        <w:spacing w:before="120" w:after="120"/>
        <w:ind w:left="579" w:hanging="579"/>
        <w:jc w:val="both"/>
        <w:rPr>
          <w:rFonts w:ascii="Arial" w:hAnsi="Arial" w:cs="Arial"/>
        </w:rPr>
      </w:pPr>
      <w:r>
        <w:rPr>
          <w:rFonts w:ascii="Arial" w:hAnsi="Arial" w:cs="Arial"/>
        </w:rPr>
        <w:t>2.1</w:t>
      </w:r>
      <w:r>
        <w:rPr>
          <w:rFonts w:ascii="Arial" w:hAnsi="Arial" w:cs="Arial"/>
        </w:rPr>
        <w:tab/>
      </w:r>
      <w:r>
        <w:rPr>
          <w:rFonts w:ascii="Arial" w:hAnsi="Arial" w:cs="Arial"/>
        </w:rPr>
        <w:t>The main aim of this TC is to support institutional effectiveness and capacity building among police in LAC by producing a practical guide on the success of different policing reforms and strategies. This “go-to-reference” guide will be unique as it will b</w:t>
      </w:r>
      <w:r>
        <w:rPr>
          <w:rFonts w:ascii="Arial" w:hAnsi="Arial" w:cs="Arial"/>
        </w:rPr>
        <w:t>e the first one to build cross-country comparable data and systematic evidence in the region. As such, it will serve as practical tool, to distill and translate common lessons from the highest quality evidence, for police agencies in the region, many of wh</w:t>
      </w:r>
      <w:r>
        <w:rPr>
          <w:rFonts w:ascii="Arial" w:hAnsi="Arial" w:cs="Arial"/>
        </w:rPr>
        <w:t>ich have demanded advice on how best to implement reforms.</w:t>
      </w:r>
    </w:p>
    <w:p w:rsidR="00BE58D9" w:rsidRPr="00262829" w:rsidRDefault="00262829" w:rsidP="00262829">
      <w:pPr>
        <w:spacing w:before="120" w:after="120"/>
        <w:ind w:left="579" w:hanging="579"/>
        <w:jc w:val="both"/>
        <w:rPr>
          <w:rFonts w:ascii="Arial" w:hAnsi="Arial" w:cs="Arial"/>
        </w:rPr>
      </w:pPr>
      <w:r>
        <w:rPr>
          <w:rFonts w:ascii="Arial" w:hAnsi="Arial" w:cs="Arial"/>
        </w:rPr>
        <w:t>2.</w:t>
      </w:r>
      <w:r>
        <w:rPr>
          <w:rFonts w:ascii="Arial" w:hAnsi="Arial" w:cs="Arial"/>
        </w:rPr>
        <w:t>2</w:t>
      </w:r>
      <w:r>
        <w:rPr>
          <w:rFonts w:ascii="Arial" w:hAnsi="Arial" w:cs="Arial"/>
        </w:rPr>
        <w:tab/>
      </w:r>
      <w:r w:rsidR="00643957">
        <w:rPr>
          <w:rFonts w:ascii="Arial" w:hAnsi="Arial" w:cs="Arial"/>
        </w:rPr>
        <w:t>To achieve this goal, the intermediate objectives are to: i) objectively define the quality of police forces in the region: officer profile, how officers are trained, recruited and paid; ii) cha</w:t>
      </w:r>
      <w:r w:rsidR="00643957">
        <w:rPr>
          <w:rFonts w:ascii="Arial" w:hAnsi="Arial" w:cs="Arial"/>
        </w:rPr>
        <w:t>racterize a coherent typology of various police reforms that have taken place in the region and trace any evidence of impact</w:t>
      </w:r>
      <w:r w:rsidR="00643957">
        <w:rPr>
          <w:rFonts w:ascii="Arial" w:hAnsi="Arial" w:cs="Arial"/>
        </w:rPr>
        <w:t xml:space="preserve">; iii) consolidate the regional evidence-base on what policing strategies have proven effective to reduce crime and increase trust </w:t>
      </w:r>
      <w:r w:rsidR="00643957">
        <w:rPr>
          <w:rFonts w:ascii="Arial" w:hAnsi="Arial" w:cs="Arial"/>
        </w:rPr>
        <w:t>in the police; and iv) develop a foundation for future work in areas of persistent knowledge gaps which are of great interest to police in the region (i.e. use of technology and digital solutions, criminal investigation, police oversight and accountability</w:t>
      </w:r>
      <w:r w:rsidR="00643957">
        <w:rPr>
          <w:rFonts w:ascii="Arial" w:hAnsi="Arial" w:cs="Arial"/>
        </w:rPr>
        <w:t xml:space="preserve"> mechanisms).</w:t>
      </w:r>
    </w:p>
    <w:p w:rsidR="00262829" w:rsidRDefault="00643957">
      <w:pPr>
        <w:spacing w:before="120" w:after="120"/>
        <w:ind w:left="579" w:hanging="579"/>
        <w:jc w:val="both"/>
        <w:rPr>
          <w:rFonts w:ascii="Arial" w:hAnsi="Arial" w:cs="Arial"/>
        </w:rPr>
      </w:pPr>
      <w:r>
        <w:rPr>
          <w:rFonts w:ascii="Arial" w:hAnsi="Arial" w:cs="Arial"/>
        </w:rPr>
        <w:t>2.</w:t>
      </w:r>
      <w:r w:rsidR="00262829">
        <w:rPr>
          <w:rFonts w:ascii="Arial" w:hAnsi="Arial" w:cs="Arial"/>
        </w:rPr>
        <w:t>3</w:t>
      </w:r>
      <w:r>
        <w:rPr>
          <w:rFonts w:ascii="Arial" w:hAnsi="Arial" w:cs="Arial"/>
        </w:rPr>
        <w:tab/>
        <w:t>Latin American and Caribbean (LAC) is the most violent region in the world:</w:t>
      </w:r>
      <w:r w:rsidR="00262829">
        <w:rPr>
          <w:rFonts w:ascii="Arial" w:hAnsi="Arial" w:cs="Arial"/>
        </w:rPr>
        <w:t xml:space="preserve"> </w:t>
      </w:r>
      <w:r>
        <w:rPr>
          <w:rFonts w:ascii="Arial" w:hAnsi="Arial" w:cs="Arial"/>
        </w:rPr>
        <w:t>the conservative estimate of the cost of crime to the region is 3.5 percent of GDP annually. By international comparison, LAC countries are spending a higher shar</w:t>
      </w:r>
      <w:r>
        <w:rPr>
          <w:rFonts w:ascii="Arial" w:hAnsi="Arial" w:cs="Arial"/>
        </w:rPr>
        <w:t xml:space="preserve">e of their national budgets on security than </w:t>
      </w:r>
      <w:r w:rsidR="00262829">
        <w:rPr>
          <w:rFonts w:ascii="Arial" w:hAnsi="Arial" w:cs="Arial"/>
        </w:rPr>
        <w:t>developed</w:t>
      </w:r>
      <w:r>
        <w:rPr>
          <w:rFonts w:ascii="Arial" w:hAnsi="Arial" w:cs="Arial"/>
        </w:rPr>
        <w:t xml:space="preserve"> countries (two or three times higher</w:t>
      </w:r>
      <w:r w:rsidR="00262829">
        <w:rPr>
          <w:rFonts w:ascii="Arial" w:hAnsi="Arial" w:cs="Arial"/>
        </w:rPr>
        <w:t>),</w:t>
      </w:r>
      <w:r>
        <w:rPr>
          <w:rFonts w:ascii="Arial" w:hAnsi="Arial" w:cs="Arial"/>
        </w:rPr>
        <w:t xml:space="preserve"> the </w:t>
      </w:r>
      <w:r>
        <w:rPr>
          <w:rFonts w:ascii="Arial" w:hAnsi="Arial" w:cs="Arial"/>
        </w:rPr>
        <w:lastRenderedPageBreak/>
        <w:t xml:space="preserve">efficiency of expenditure is questionable. While spending on education and health for example appears positively correlated with improved outcomes in those </w:t>
      </w:r>
      <w:r>
        <w:rPr>
          <w:rFonts w:ascii="Arial" w:hAnsi="Arial" w:cs="Arial"/>
        </w:rPr>
        <w:t xml:space="preserve">sectors, spending on citizen security has not necessarily been associated with improved security and lower crime rates. </w:t>
      </w:r>
    </w:p>
    <w:p w:rsidR="00BE58D9" w:rsidRDefault="00262829">
      <w:pPr>
        <w:spacing w:before="120" w:after="120"/>
        <w:ind w:left="579" w:hanging="579"/>
        <w:jc w:val="both"/>
      </w:pPr>
      <w:r>
        <w:rPr>
          <w:rFonts w:ascii="Arial" w:hAnsi="Arial" w:cs="Arial"/>
        </w:rPr>
        <w:t>2.3</w:t>
      </w:r>
      <w:r>
        <w:rPr>
          <w:rFonts w:ascii="Arial" w:hAnsi="Arial" w:cs="Arial"/>
        </w:rPr>
        <w:tab/>
      </w:r>
      <w:r w:rsidR="00643957">
        <w:rPr>
          <w:rFonts w:ascii="Arial" w:hAnsi="Arial" w:cs="Arial"/>
        </w:rPr>
        <w:t xml:space="preserve">Governments in LAC have responded to high crime predominantly by increasing </w:t>
      </w:r>
      <w:r>
        <w:rPr>
          <w:rFonts w:ascii="Arial" w:hAnsi="Arial" w:cs="Arial"/>
        </w:rPr>
        <w:t>spending on</w:t>
      </w:r>
      <w:r w:rsidR="00643957">
        <w:rPr>
          <w:rFonts w:ascii="Arial" w:hAnsi="Arial" w:cs="Arial"/>
        </w:rPr>
        <w:t xml:space="preserve"> large police forces. However, LAC does not see</w:t>
      </w:r>
      <w:r w:rsidR="00643957">
        <w:rPr>
          <w:rFonts w:ascii="Arial" w:hAnsi="Arial" w:cs="Arial"/>
        </w:rPr>
        <w:t xml:space="preserve">m to have a problem in terms of numbers of police officers, as much as it does with police productivity (low clearance rates, low conviction rates, low trust in the police and high crime rates in the region). Law enforcement in the region is still plagued </w:t>
      </w:r>
      <w:r w:rsidR="00643957">
        <w:rPr>
          <w:rFonts w:ascii="Arial" w:hAnsi="Arial" w:cs="Arial"/>
        </w:rPr>
        <w:t>by deficiencies in personnel selection and training processes, the absence of a career path for officers, insufficient financial and technological resources, and precarious working conditions and pay.  This is compounded by the lack of effective accountabi</w:t>
      </w:r>
      <w:r w:rsidR="00643957">
        <w:rPr>
          <w:rFonts w:ascii="Arial" w:hAnsi="Arial" w:cs="Arial"/>
        </w:rPr>
        <w:t xml:space="preserve">lity and transparency </w:t>
      </w:r>
      <w:r>
        <w:rPr>
          <w:rFonts w:ascii="Arial" w:hAnsi="Arial" w:cs="Arial"/>
        </w:rPr>
        <w:t>mechanisms,</w:t>
      </w:r>
      <w:r w:rsidR="00643957">
        <w:rPr>
          <w:rFonts w:ascii="Arial" w:hAnsi="Arial" w:cs="Arial"/>
        </w:rPr>
        <w:t xml:space="preserve"> and the lack of evaluation tools. Many countries have undergone, or are implementing, a variety of costly police </w:t>
      </w:r>
      <w:r>
        <w:rPr>
          <w:rFonts w:ascii="Arial" w:hAnsi="Arial" w:cs="Arial"/>
        </w:rPr>
        <w:t>reforms.</w:t>
      </w:r>
      <w:r w:rsidR="00643957">
        <w:rPr>
          <w:rFonts w:ascii="Arial" w:hAnsi="Arial" w:cs="Arial"/>
        </w:rPr>
        <w:t xml:space="preserve"> The extent and success of these are still not well understood.  Additionally, many law enforcement</w:t>
      </w:r>
      <w:r w:rsidR="00643957">
        <w:rPr>
          <w:rFonts w:ascii="Arial" w:hAnsi="Arial" w:cs="Arial"/>
        </w:rPr>
        <w:t xml:space="preserve"> agencies have or are interested in implementing policing strategies found to be effective in developed countries - such as hot spot and problem-oriented policing – yet they are often unsure of exactly which strategies are most appropriate for their unique</w:t>
      </w:r>
      <w:r w:rsidR="00643957">
        <w:rPr>
          <w:rFonts w:ascii="Arial" w:hAnsi="Arial" w:cs="Arial"/>
        </w:rPr>
        <w:t xml:space="preserve"> contexts. Finally, new technologies can significantly enhance crime-analysis, monitoring, prevention, detection and response. However, while technology acquisition is a high-priority topic for many police forces, it is unlikely to lead significant gains i</w:t>
      </w:r>
      <w:r w:rsidR="00643957">
        <w:rPr>
          <w:rFonts w:ascii="Arial" w:hAnsi="Arial" w:cs="Arial"/>
        </w:rPr>
        <w:t>f the agency’s approach to policing more generally does not involve evidence-based policing.</w:t>
      </w:r>
    </w:p>
    <w:p w:rsidR="00BE58D9" w:rsidRDefault="00643957">
      <w:pPr>
        <w:spacing w:before="120" w:after="120"/>
        <w:ind w:left="579" w:hanging="579"/>
        <w:jc w:val="both"/>
      </w:pPr>
      <w:r>
        <w:rPr>
          <w:rFonts w:ascii="Arial" w:hAnsi="Arial" w:cs="Arial"/>
        </w:rPr>
        <w:t>2.3</w:t>
      </w:r>
      <w:r>
        <w:rPr>
          <w:rFonts w:ascii="Arial" w:hAnsi="Arial" w:cs="Arial"/>
        </w:rPr>
        <w:tab/>
        <w:t>The problem: Ministries of Security and law enforcement leaders in the region are ill prepared to make decisions about how improve institutional police effecti</w:t>
      </w:r>
      <w:r>
        <w:rPr>
          <w:rFonts w:ascii="Arial" w:hAnsi="Arial" w:cs="Arial"/>
        </w:rPr>
        <w:t>veness. While policing is a cornerstone of citizen security, it remains one of the least understood in LAC. The difficulty here is two-fold: First, that police history in the region is incoherent, its lessons hard to read. Second, while research on what po</w:t>
      </w:r>
      <w:r>
        <w:rPr>
          <w:rFonts w:ascii="Arial" w:hAnsi="Arial" w:cs="Arial"/>
        </w:rPr>
        <w:t xml:space="preserve">licing strategies work has flourished in developed countries over the last 30 years, in LAC it is still in </w:t>
      </w:r>
      <w:r w:rsidR="00262829">
        <w:rPr>
          <w:rFonts w:ascii="Arial" w:hAnsi="Arial" w:cs="Arial"/>
        </w:rPr>
        <w:t>its</w:t>
      </w:r>
      <w:r>
        <w:rPr>
          <w:rFonts w:ascii="Arial" w:hAnsi="Arial" w:cs="Arial"/>
        </w:rPr>
        <w:t xml:space="preserve"> infancy. For this reason, policy makers in the region often turn to the US and Europe for answers despite the extensive differences in police cu</w:t>
      </w:r>
      <w:r>
        <w:rPr>
          <w:rFonts w:ascii="Arial" w:hAnsi="Arial" w:cs="Arial"/>
        </w:rPr>
        <w:t>lture, organizational structures and crime contexts</w:t>
      </w:r>
    </w:p>
    <w:p w:rsidR="00BE58D9" w:rsidRDefault="00643957">
      <w:pPr>
        <w:spacing w:before="120" w:after="120"/>
        <w:ind w:left="579" w:hanging="579"/>
      </w:pPr>
      <w:r>
        <w:rPr>
          <w:rFonts w:ascii="Arial" w:hAnsi="Arial" w:cs="Arial"/>
          <w:b/>
        </w:rPr>
        <w:t>III.</w:t>
      </w:r>
      <w:r>
        <w:rPr>
          <w:rFonts w:ascii="Arial" w:hAnsi="Arial" w:cs="Arial"/>
          <w:b/>
        </w:rPr>
        <w:tab/>
        <w:t>Description of Activities and Outputs</w:t>
      </w:r>
    </w:p>
    <w:p w:rsidR="00BE58D9" w:rsidRDefault="00643957">
      <w:pPr>
        <w:spacing w:before="120" w:after="120"/>
        <w:ind w:left="579" w:hanging="579"/>
        <w:jc w:val="both"/>
      </w:pPr>
      <w:r>
        <w:rPr>
          <w:rFonts w:ascii="Arial" w:hAnsi="Arial" w:cs="Arial"/>
        </w:rPr>
        <w:t>3.1</w:t>
      </w:r>
      <w:r>
        <w:rPr>
          <w:rFonts w:ascii="Arial" w:hAnsi="Arial" w:cs="Arial"/>
        </w:rPr>
        <w:tab/>
      </w:r>
      <w:r w:rsidRPr="00262829">
        <w:rPr>
          <w:rFonts w:ascii="Arial" w:hAnsi="Arial" w:cs="Arial"/>
          <w:b/>
        </w:rPr>
        <w:t>Component 1: Reference guide design and validation</w:t>
      </w:r>
      <w:r>
        <w:rPr>
          <w:rFonts w:ascii="Arial" w:hAnsi="Arial" w:cs="Arial"/>
        </w:rPr>
        <w:t>. The expected result of this component is to design a reference guide with policing experts and practition</w:t>
      </w:r>
      <w:r>
        <w:rPr>
          <w:rFonts w:ascii="Arial" w:hAnsi="Arial" w:cs="Arial"/>
        </w:rPr>
        <w:t>ers. For the tool to be useful, recognized and based in sound research, it is essential that a wide range of institutions, including academics and practitioners, be involved a priori. These institutions will be engaged to provide specific input on the stud</w:t>
      </w:r>
      <w:r>
        <w:rPr>
          <w:rFonts w:ascii="Arial" w:hAnsi="Arial" w:cs="Arial"/>
        </w:rPr>
        <w:t>y design, validate and support data collection efforts and review results. A team (IDB team plus selected experts for specific topics) will oversee the design, monitoring and analysis of all the data collected in Component 2. Guided by this expert alliance</w:t>
      </w:r>
      <w:r>
        <w:rPr>
          <w:rFonts w:ascii="Arial" w:hAnsi="Arial" w:cs="Arial"/>
        </w:rPr>
        <w:t>, the research team will develop methodological frameworks, literature reviews and data collection protocols for the various aspects of the study. Analysis and report writing will be completed after the execution of Component 2 and, as a result, enable dia</w:t>
      </w:r>
      <w:r>
        <w:rPr>
          <w:rFonts w:ascii="Arial" w:hAnsi="Arial" w:cs="Arial"/>
        </w:rPr>
        <w:t>logue with member countries on effective policing reforms and strategies.</w:t>
      </w:r>
    </w:p>
    <w:p w:rsidR="00BE58D9" w:rsidRDefault="00643957">
      <w:pPr>
        <w:spacing w:before="120" w:after="120"/>
        <w:ind w:left="579" w:hanging="579"/>
        <w:jc w:val="both"/>
      </w:pPr>
      <w:r>
        <w:rPr>
          <w:rFonts w:ascii="Arial" w:hAnsi="Arial" w:cs="Arial"/>
        </w:rPr>
        <w:t>3.2</w:t>
      </w:r>
      <w:r>
        <w:rPr>
          <w:rFonts w:ascii="Arial" w:hAnsi="Arial" w:cs="Arial"/>
        </w:rPr>
        <w:tab/>
      </w:r>
      <w:r w:rsidRPr="00262829">
        <w:rPr>
          <w:rFonts w:ascii="Arial" w:hAnsi="Arial" w:cs="Arial"/>
          <w:b/>
        </w:rPr>
        <w:t>Component 2: Systematic review of the evidence and analysis of data from the region.</w:t>
      </w:r>
      <w:r>
        <w:rPr>
          <w:rFonts w:ascii="Arial" w:hAnsi="Arial" w:cs="Arial"/>
        </w:rPr>
        <w:t xml:space="preserve"> The expected result of this component is to have collected and analyzed necessary data and ev</w:t>
      </w:r>
      <w:r>
        <w:rPr>
          <w:rFonts w:ascii="Arial" w:hAnsi="Arial" w:cs="Arial"/>
        </w:rPr>
        <w:t>idence for the tool. To ensure that the Reference Tool is rooted in sound evidence and analysis of data, this component will consist of: i) Application of a questionnaire to gather data on key institutional indicators about the various dimensions that affe</w:t>
      </w:r>
      <w:r>
        <w:rPr>
          <w:rFonts w:ascii="Arial" w:hAnsi="Arial" w:cs="Arial"/>
        </w:rPr>
        <w:t xml:space="preserve">ct the quality of police organizations. ii) A synthesis of the literature and 3-5 case studies about police reforms implemented and any evidence of impact.  </w:t>
      </w:r>
      <w:r>
        <w:rPr>
          <w:rFonts w:ascii="Arial" w:hAnsi="Arial" w:cs="Arial"/>
        </w:rPr>
        <w:t xml:space="preserve">iii) A systematic review of evidence in LAC (from Bank supported initiatives </w:t>
      </w:r>
      <w:r>
        <w:rPr>
          <w:rFonts w:ascii="Arial" w:hAnsi="Arial" w:cs="Arial"/>
        </w:rPr>
        <w:lastRenderedPageBreak/>
        <w:t>and others) on what p</w:t>
      </w:r>
      <w:r>
        <w:rPr>
          <w:rFonts w:ascii="Arial" w:hAnsi="Arial" w:cs="Arial"/>
        </w:rPr>
        <w:t>olicing tactics (i.e. hot spot policing, community policing, problem-oriented policing, etc.) have had positive impact on reducing crime and increasing trust.  iv) Finally, it will include international literature review on topics where evidence is scare i</w:t>
      </w:r>
      <w:r>
        <w:rPr>
          <w:rFonts w:ascii="Arial" w:hAnsi="Arial" w:cs="Arial"/>
        </w:rPr>
        <w:t>n LAC – such as use of new technology and digital records systems, police oversight and cooperation with prosecutors for investigation. For example, while the adoption of new policing technologies is relatively incipient in the region, in countries with mo</w:t>
      </w:r>
      <w:r>
        <w:rPr>
          <w:rFonts w:ascii="Arial" w:hAnsi="Arial" w:cs="Arial"/>
        </w:rPr>
        <w:t>re experience there are valuable lessons learned about which technologies have worked, for which types of outcomes and under what necessary conditions. This information can be valuable for ongoing work developing and evaluating pilots in the region.</w:t>
      </w:r>
    </w:p>
    <w:p w:rsidR="00BE58D9" w:rsidRDefault="00643957">
      <w:pPr>
        <w:spacing w:before="120" w:after="120"/>
        <w:ind w:left="579" w:hanging="579"/>
        <w:jc w:val="both"/>
      </w:pPr>
      <w:r>
        <w:rPr>
          <w:rFonts w:ascii="Arial" w:hAnsi="Arial" w:cs="Arial"/>
        </w:rPr>
        <w:t>3.3</w:t>
      </w:r>
      <w:r>
        <w:rPr>
          <w:rFonts w:ascii="Arial" w:hAnsi="Arial" w:cs="Arial"/>
        </w:rPr>
        <w:tab/>
      </w:r>
      <w:r w:rsidRPr="00262829">
        <w:rPr>
          <w:rFonts w:ascii="Arial" w:hAnsi="Arial" w:cs="Arial"/>
          <w:b/>
        </w:rPr>
        <w:t>Co</w:t>
      </w:r>
      <w:r w:rsidRPr="00262829">
        <w:rPr>
          <w:rFonts w:ascii="Arial" w:hAnsi="Arial" w:cs="Arial"/>
          <w:b/>
        </w:rPr>
        <w:t>mponent 3: Dissemination and Capacity Building.</w:t>
      </w:r>
      <w:r>
        <w:rPr>
          <w:rFonts w:ascii="Arial" w:hAnsi="Arial" w:cs="Arial"/>
        </w:rPr>
        <w:t xml:space="preserve"> This component will strategically disseminate knowledge to key actors in the region to ensure that the product enables capacity building in governments, particularly in police institutions. The team plans to </w:t>
      </w:r>
      <w:r>
        <w:rPr>
          <w:rFonts w:ascii="Arial" w:hAnsi="Arial" w:cs="Arial"/>
        </w:rPr>
        <w:t>organize a series of events and meetings to disseminate the product to different audiences in the various sub-regions and design future pilot interventions. Specifically, this TC will fund the product´s initial launch in a side-event during IDB´s Citizen S</w:t>
      </w:r>
      <w:r>
        <w:rPr>
          <w:rFonts w:ascii="Arial" w:hAnsi="Arial" w:cs="Arial"/>
        </w:rPr>
        <w:t>ecurity Week 2019, Latin America and the Caribbean´s annual flagship event on crime and violence. Doing so will leverage other efforts and resources involved in bringing high-level government officials, practitioners and experts from around the world to Ci</w:t>
      </w:r>
      <w:r>
        <w:rPr>
          <w:rFonts w:ascii="Arial" w:hAnsi="Arial" w:cs="Arial"/>
        </w:rPr>
        <w:t>tizen Security Week. Finally, the contents of the practical guide will also be included in an online MOOC developed by the IDB for the training of policy makers and practitioners in citizen security.</w:t>
      </w:r>
    </w:p>
    <w:p w:rsidR="00BE58D9" w:rsidRDefault="00643957">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I: </w:t>
      </w:r>
      <w:r>
        <w:rPr>
          <w:rFonts w:ascii="Arial" w:hAnsi="Arial" w:cs="Arial"/>
          <w:b/>
        </w:rPr>
        <w:t xml:space="preserve"> Reference guide design and</w:t>
      </w:r>
      <w:r>
        <w:rPr>
          <w:rFonts w:ascii="Arial" w:hAnsi="Arial" w:cs="Arial"/>
          <w:b/>
        </w:rPr>
        <w:t xml:space="preserve"> validation. </w:t>
      </w:r>
      <w:r>
        <w:rPr>
          <w:rFonts w:ascii="Arial" w:hAnsi="Arial" w:cs="Arial"/>
        </w:rPr>
        <w:t xml:space="preserve">The expected result of this component is to design a reference guide with policing experts and practitioners. </w:t>
      </w:r>
    </w:p>
    <w:p w:rsidR="00BE58D9" w:rsidRDefault="00643957">
      <w:pPr>
        <w:spacing w:before="120" w:after="120"/>
        <w:ind w:left="579" w:hanging="579"/>
        <w:jc w:val="both"/>
      </w:pPr>
      <w:r>
        <w:rPr>
          <w:rFonts w:ascii="Arial" w:hAnsi="Arial" w:cs="Arial"/>
        </w:rPr>
        <w:t>3.5</w:t>
      </w:r>
      <w:r>
        <w:rPr>
          <w:rFonts w:ascii="Arial" w:hAnsi="Arial" w:cs="Arial"/>
        </w:rPr>
        <w:tab/>
      </w:r>
      <w:r>
        <w:rPr>
          <w:rFonts w:ascii="Arial" w:hAnsi="Arial" w:cs="Arial"/>
          <w:b/>
        </w:rPr>
        <w:t xml:space="preserve">Component II: </w:t>
      </w:r>
      <w:r>
        <w:rPr>
          <w:rFonts w:ascii="Arial" w:hAnsi="Arial" w:cs="Arial"/>
          <w:b/>
        </w:rPr>
        <w:t xml:space="preserve">Systematic review of the evidence and analysis of data from the region. </w:t>
      </w:r>
      <w:r>
        <w:rPr>
          <w:rFonts w:ascii="Arial" w:hAnsi="Arial" w:cs="Arial"/>
        </w:rPr>
        <w:t>The expected result of this c</w:t>
      </w:r>
      <w:r>
        <w:rPr>
          <w:rFonts w:ascii="Arial" w:hAnsi="Arial" w:cs="Arial"/>
        </w:rPr>
        <w:t xml:space="preserve">omponent is to have collected and analyzed necessary data and evidence for the tool. </w:t>
      </w:r>
    </w:p>
    <w:p w:rsidR="00BE58D9" w:rsidRDefault="00643957">
      <w:pPr>
        <w:spacing w:before="120" w:after="120"/>
        <w:ind w:left="579" w:hanging="579"/>
        <w:jc w:val="both"/>
      </w:pPr>
      <w:r>
        <w:rPr>
          <w:rFonts w:ascii="Arial" w:hAnsi="Arial" w:cs="Arial"/>
        </w:rPr>
        <w:t>3.6</w:t>
      </w:r>
      <w:r>
        <w:rPr>
          <w:rFonts w:ascii="Arial" w:hAnsi="Arial" w:cs="Arial"/>
        </w:rPr>
        <w:tab/>
      </w:r>
      <w:r>
        <w:rPr>
          <w:rFonts w:ascii="Arial" w:hAnsi="Arial" w:cs="Arial"/>
          <w:b/>
        </w:rPr>
        <w:t xml:space="preserve">Component III: </w:t>
      </w:r>
      <w:r>
        <w:rPr>
          <w:rFonts w:ascii="Arial" w:hAnsi="Arial" w:cs="Arial"/>
          <w:b/>
        </w:rPr>
        <w:t xml:space="preserve">Dissemination and Capacity Building. </w:t>
      </w:r>
      <w:r>
        <w:rPr>
          <w:rFonts w:ascii="Arial" w:hAnsi="Arial" w:cs="Arial"/>
        </w:rPr>
        <w:t xml:space="preserve">The expected result of this component is to strategically disseminate knowledge to key actors in the </w:t>
      </w:r>
      <w:r>
        <w:rPr>
          <w:rFonts w:ascii="Arial" w:hAnsi="Arial" w:cs="Arial"/>
        </w:rPr>
        <w:t xml:space="preserve">region to ensure that the product enables capacity building in governments, particularly in police institutions. </w:t>
      </w:r>
    </w:p>
    <w:p w:rsidR="00BE58D9" w:rsidRDefault="00643957">
      <w:pPr>
        <w:spacing w:before="120" w:after="120"/>
        <w:ind w:left="579" w:hanging="579"/>
      </w:pPr>
      <w:r>
        <w:rPr>
          <w:rFonts w:ascii="Arial" w:hAnsi="Arial" w:cs="Arial"/>
          <w:b/>
        </w:rPr>
        <w:t>IV.</w:t>
      </w:r>
      <w:r>
        <w:rPr>
          <w:rFonts w:ascii="Arial" w:hAnsi="Arial" w:cs="Arial"/>
          <w:b/>
        </w:rPr>
        <w:tab/>
        <w:t>Budget</w:t>
      </w:r>
    </w:p>
    <w:p w:rsidR="00BE58D9" w:rsidRDefault="00643957">
      <w:pPr>
        <w:spacing w:before="240" w:after="120"/>
        <w:jc w:val="center"/>
      </w:pPr>
      <w:bookmarkStart w:id="0" w:name="_GoBack"/>
      <w:bookmarkEnd w:id="0"/>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BE58D9">
        <w:tc>
          <w:tcPr>
            <w:tcW w:w="2310" w:type="dxa"/>
            <w:vAlign w:val="center"/>
          </w:tcPr>
          <w:p w:rsidR="00BE58D9" w:rsidRDefault="00643957">
            <w:pPr>
              <w:spacing w:before="40" w:after="40"/>
              <w:jc w:val="center"/>
            </w:pPr>
            <w:r>
              <w:rPr>
                <w:rFonts w:ascii="Arial" w:hAnsi="Arial" w:cs="Arial"/>
                <w:b/>
                <w:sz w:val="18"/>
                <w:szCs w:val="18"/>
              </w:rPr>
              <w:t>Activity/Component</w:t>
            </w:r>
          </w:p>
        </w:tc>
        <w:tc>
          <w:tcPr>
            <w:tcW w:w="2310" w:type="dxa"/>
          </w:tcPr>
          <w:p w:rsidR="00BE58D9" w:rsidRDefault="00643957">
            <w:pPr>
              <w:spacing w:before="40" w:after="40"/>
              <w:jc w:val="center"/>
            </w:pPr>
            <w:r>
              <w:rPr>
                <w:rFonts w:ascii="Arial" w:hAnsi="Arial" w:cs="Arial"/>
                <w:b/>
                <w:sz w:val="18"/>
                <w:szCs w:val="18"/>
              </w:rPr>
              <w:t>IDB/Fund Funding</w:t>
            </w:r>
          </w:p>
        </w:tc>
        <w:tc>
          <w:tcPr>
            <w:tcW w:w="2310" w:type="dxa"/>
          </w:tcPr>
          <w:p w:rsidR="00BE58D9" w:rsidRDefault="00643957">
            <w:pPr>
              <w:spacing w:before="40" w:after="40"/>
              <w:jc w:val="center"/>
            </w:pPr>
            <w:r>
              <w:rPr>
                <w:rFonts w:ascii="Arial" w:hAnsi="Arial" w:cs="Arial"/>
                <w:b/>
                <w:sz w:val="18"/>
                <w:szCs w:val="18"/>
              </w:rPr>
              <w:t>Counterpart Funding</w:t>
            </w:r>
          </w:p>
        </w:tc>
        <w:tc>
          <w:tcPr>
            <w:tcW w:w="2310" w:type="dxa"/>
          </w:tcPr>
          <w:p w:rsidR="00BE58D9" w:rsidRDefault="00643957">
            <w:pPr>
              <w:spacing w:before="40" w:after="40"/>
              <w:jc w:val="center"/>
            </w:pPr>
            <w:r>
              <w:rPr>
                <w:rFonts w:ascii="Arial" w:hAnsi="Arial" w:cs="Arial"/>
                <w:b/>
                <w:sz w:val="18"/>
                <w:szCs w:val="18"/>
              </w:rPr>
              <w:t>Total Funding</w:t>
            </w:r>
          </w:p>
        </w:tc>
      </w:tr>
      <w:tr w:rsidR="00BE58D9">
        <w:tc>
          <w:tcPr>
            <w:tcW w:w="2310" w:type="dxa"/>
            <w:vAlign w:val="center"/>
          </w:tcPr>
          <w:p w:rsidR="00BE58D9" w:rsidRDefault="00643957">
            <w:pPr>
              <w:spacing w:before="40" w:after="40"/>
            </w:pPr>
            <w:r>
              <w:rPr>
                <w:rFonts w:ascii="Arial" w:hAnsi="Arial" w:cs="Arial"/>
                <w:sz w:val="18"/>
                <w:szCs w:val="18"/>
              </w:rPr>
              <w:t xml:space="preserve">Component 1: Reference guide design and </w:t>
            </w:r>
            <w:r>
              <w:rPr>
                <w:rFonts w:ascii="Arial" w:hAnsi="Arial" w:cs="Arial"/>
                <w:sz w:val="18"/>
                <w:szCs w:val="18"/>
              </w:rPr>
              <w:t>validation</w:t>
            </w:r>
          </w:p>
        </w:tc>
        <w:tc>
          <w:tcPr>
            <w:tcW w:w="2310" w:type="dxa"/>
            <w:vAlign w:val="center"/>
          </w:tcPr>
          <w:p w:rsidR="00BE58D9" w:rsidRDefault="00643957">
            <w:pPr>
              <w:spacing w:before="40" w:after="40"/>
              <w:jc w:val="right"/>
            </w:pPr>
            <w:r>
              <w:rPr>
                <w:rFonts w:ascii="Arial" w:hAnsi="Arial" w:cs="Arial"/>
                <w:sz w:val="18"/>
                <w:szCs w:val="18"/>
              </w:rPr>
              <w:t>$ 160,000.00</w:t>
            </w:r>
          </w:p>
        </w:tc>
        <w:tc>
          <w:tcPr>
            <w:tcW w:w="2310" w:type="dxa"/>
            <w:vAlign w:val="center"/>
          </w:tcPr>
          <w:p w:rsidR="00BE58D9" w:rsidRDefault="00643957">
            <w:pPr>
              <w:spacing w:before="40" w:after="40"/>
              <w:jc w:val="right"/>
            </w:pPr>
            <w:r>
              <w:rPr>
                <w:rFonts w:ascii="Arial" w:hAnsi="Arial" w:cs="Arial"/>
                <w:sz w:val="18"/>
                <w:szCs w:val="18"/>
              </w:rPr>
              <w:t>$ 0.00</w:t>
            </w:r>
          </w:p>
        </w:tc>
        <w:tc>
          <w:tcPr>
            <w:tcW w:w="2310" w:type="dxa"/>
            <w:vAlign w:val="center"/>
          </w:tcPr>
          <w:p w:rsidR="00BE58D9" w:rsidRDefault="00643957">
            <w:pPr>
              <w:spacing w:before="40" w:after="40"/>
              <w:jc w:val="right"/>
            </w:pPr>
            <w:r>
              <w:rPr>
                <w:rFonts w:ascii="Arial" w:hAnsi="Arial" w:cs="Arial"/>
                <w:sz w:val="18"/>
                <w:szCs w:val="18"/>
              </w:rPr>
              <w:t>$ 160,000.00</w:t>
            </w:r>
          </w:p>
        </w:tc>
      </w:tr>
      <w:tr w:rsidR="00BE58D9">
        <w:tc>
          <w:tcPr>
            <w:tcW w:w="2310" w:type="dxa"/>
            <w:vAlign w:val="center"/>
          </w:tcPr>
          <w:p w:rsidR="00BE58D9" w:rsidRDefault="00643957">
            <w:pPr>
              <w:spacing w:before="40" w:after="40"/>
            </w:pPr>
            <w:r>
              <w:rPr>
                <w:rFonts w:ascii="Arial" w:hAnsi="Arial" w:cs="Arial"/>
                <w:sz w:val="18"/>
                <w:szCs w:val="18"/>
              </w:rPr>
              <w:t>Component 2: Systematic review of the evidence and analysis of data from the region</w:t>
            </w:r>
          </w:p>
        </w:tc>
        <w:tc>
          <w:tcPr>
            <w:tcW w:w="2310" w:type="dxa"/>
            <w:vAlign w:val="center"/>
          </w:tcPr>
          <w:p w:rsidR="00BE58D9" w:rsidRDefault="00643957">
            <w:pPr>
              <w:spacing w:before="40" w:after="40"/>
              <w:jc w:val="right"/>
            </w:pPr>
            <w:r>
              <w:rPr>
                <w:rFonts w:ascii="Arial" w:hAnsi="Arial" w:cs="Arial"/>
                <w:sz w:val="18"/>
                <w:szCs w:val="18"/>
              </w:rPr>
              <w:t>$ 110,000.00</w:t>
            </w:r>
          </w:p>
        </w:tc>
        <w:tc>
          <w:tcPr>
            <w:tcW w:w="2310" w:type="dxa"/>
            <w:vAlign w:val="center"/>
          </w:tcPr>
          <w:p w:rsidR="00BE58D9" w:rsidRDefault="00643957">
            <w:pPr>
              <w:spacing w:before="40" w:after="40"/>
              <w:jc w:val="right"/>
            </w:pPr>
            <w:r>
              <w:rPr>
                <w:rFonts w:ascii="Arial" w:hAnsi="Arial" w:cs="Arial"/>
                <w:sz w:val="18"/>
                <w:szCs w:val="18"/>
              </w:rPr>
              <w:t>$ 0.00</w:t>
            </w:r>
          </w:p>
        </w:tc>
        <w:tc>
          <w:tcPr>
            <w:tcW w:w="2310" w:type="dxa"/>
            <w:vAlign w:val="center"/>
          </w:tcPr>
          <w:p w:rsidR="00BE58D9" w:rsidRDefault="00643957">
            <w:pPr>
              <w:spacing w:before="40" w:after="40"/>
              <w:jc w:val="right"/>
            </w:pPr>
            <w:r>
              <w:rPr>
                <w:rFonts w:ascii="Arial" w:hAnsi="Arial" w:cs="Arial"/>
                <w:sz w:val="18"/>
                <w:szCs w:val="18"/>
              </w:rPr>
              <w:t>$ 110,000.00</w:t>
            </w:r>
          </w:p>
        </w:tc>
      </w:tr>
      <w:tr w:rsidR="00BE58D9">
        <w:tc>
          <w:tcPr>
            <w:tcW w:w="2310" w:type="dxa"/>
            <w:vAlign w:val="center"/>
          </w:tcPr>
          <w:p w:rsidR="00BE58D9" w:rsidRDefault="00643957">
            <w:pPr>
              <w:spacing w:before="40" w:after="40"/>
            </w:pPr>
            <w:r>
              <w:rPr>
                <w:rFonts w:ascii="Arial" w:hAnsi="Arial" w:cs="Arial"/>
                <w:sz w:val="18"/>
                <w:szCs w:val="18"/>
              </w:rPr>
              <w:t>Component 3: Dissemination and Capacity Building</w:t>
            </w:r>
          </w:p>
        </w:tc>
        <w:tc>
          <w:tcPr>
            <w:tcW w:w="2310" w:type="dxa"/>
            <w:vAlign w:val="center"/>
          </w:tcPr>
          <w:p w:rsidR="00BE58D9" w:rsidRDefault="00643957">
            <w:pPr>
              <w:spacing w:before="40" w:after="40"/>
              <w:jc w:val="right"/>
            </w:pPr>
            <w:r>
              <w:rPr>
                <w:rFonts w:ascii="Arial" w:hAnsi="Arial" w:cs="Arial"/>
                <w:sz w:val="18"/>
                <w:szCs w:val="18"/>
              </w:rPr>
              <w:t>$ 30,000.00</w:t>
            </w:r>
          </w:p>
        </w:tc>
        <w:tc>
          <w:tcPr>
            <w:tcW w:w="2310" w:type="dxa"/>
            <w:vAlign w:val="center"/>
          </w:tcPr>
          <w:p w:rsidR="00BE58D9" w:rsidRDefault="00643957">
            <w:pPr>
              <w:spacing w:before="40" w:after="40"/>
              <w:jc w:val="right"/>
            </w:pPr>
            <w:r>
              <w:rPr>
                <w:rFonts w:ascii="Arial" w:hAnsi="Arial" w:cs="Arial"/>
                <w:sz w:val="18"/>
                <w:szCs w:val="18"/>
              </w:rPr>
              <w:t>$ 0.00</w:t>
            </w:r>
          </w:p>
        </w:tc>
        <w:tc>
          <w:tcPr>
            <w:tcW w:w="2310" w:type="dxa"/>
            <w:vAlign w:val="center"/>
          </w:tcPr>
          <w:p w:rsidR="00BE58D9" w:rsidRDefault="00643957">
            <w:pPr>
              <w:spacing w:before="40" w:after="40"/>
              <w:jc w:val="right"/>
            </w:pPr>
            <w:r>
              <w:rPr>
                <w:rFonts w:ascii="Arial" w:hAnsi="Arial" w:cs="Arial"/>
                <w:sz w:val="18"/>
                <w:szCs w:val="18"/>
              </w:rPr>
              <w:t>$ 30,000.00</w:t>
            </w:r>
          </w:p>
        </w:tc>
      </w:tr>
    </w:tbl>
    <w:p w:rsidR="00BE58D9" w:rsidRDefault="00643957">
      <w:pPr>
        <w:spacing w:before="120" w:after="120"/>
        <w:ind w:left="579" w:hanging="579"/>
      </w:pPr>
      <w:r>
        <w:rPr>
          <w:rFonts w:ascii="Arial" w:hAnsi="Arial" w:cs="Arial"/>
          <w:b/>
        </w:rPr>
        <w:t>V.</w:t>
      </w:r>
      <w:r>
        <w:rPr>
          <w:rFonts w:ascii="Arial" w:hAnsi="Arial" w:cs="Arial"/>
          <w:b/>
        </w:rPr>
        <w:tab/>
        <w:t>Executing</w:t>
      </w:r>
      <w:r>
        <w:rPr>
          <w:rFonts w:ascii="Arial" w:hAnsi="Arial" w:cs="Arial"/>
          <w:b/>
        </w:rPr>
        <w:t xml:space="preserve"> Agency and Execution Structure</w:t>
      </w:r>
    </w:p>
    <w:p w:rsidR="00BE58D9" w:rsidRDefault="00643957">
      <w:pPr>
        <w:spacing w:before="200" w:after="200"/>
        <w:ind w:left="579" w:hanging="579"/>
        <w:jc w:val="both"/>
      </w:pPr>
      <w:r>
        <w:rPr>
          <w:rFonts w:ascii="Arial" w:hAnsi="Arial" w:cs="Arial"/>
        </w:rPr>
        <w:t>5.1</w:t>
      </w:r>
      <w:r>
        <w:rPr>
          <w:rFonts w:ascii="Arial" w:hAnsi="Arial" w:cs="Arial"/>
        </w:rPr>
        <w:tab/>
        <w:t>As this TC will generate knowledge and dissemination products originated by the Bank, the operation will be implemented by IFD/ICS.</w:t>
      </w:r>
    </w:p>
    <w:p w:rsidR="00BE58D9" w:rsidRPr="00262829" w:rsidRDefault="00643957" w:rsidP="00262829">
      <w:pPr>
        <w:spacing w:before="200" w:after="200"/>
        <w:ind w:left="579" w:hanging="579"/>
        <w:jc w:val="both"/>
        <w:rPr>
          <w:rFonts w:ascii="Arial" w:hAnsi="Arial" w:cs="Arial"/>
        </w:rPr>
      </w:pPr>
      <w:r>
        <w:rPr>
          <w:rFonts w:ascii="Arial" w:hAnsi="Arial" w:cs="Arial"/>
        </w:rPr>
        <w:t>5.2</w:t>
      </w:r>
      <w:r>
        <w:rPr>
          <w:rFonts w:ascii="Arial" w:hAnsi="Arial" w:cs="Arial"/>
        </w:rPr>
        <w:tab/>
        <w:t xml:space="preserve">In accordance with Annex 10 of the Operational Guidelines for Technical Cooperation </w:t>
      </w:r>
      <w:r>
        <w:rPr>
          <w:rFonts w:ascii="Arial" w:hAnsi="Arial" w:cs="Arial"/>
        </w:rPr>
        <w:t xml:space="preserve">Products (document GN-2629-1), the Bank may be the executing agency of a TC in "research and dissemination" to generate rigorous evidence in a critical area of </w:t>
      </w:r>
      <w:r>
        <w:rPr>
          <w:rFonts w:ascii="Arial" w:hAnsi="Arial" w:cs="Arial"/>
        </w:rPr>
        <w:lastRenderedPageBreak/>
        <w:t xml:space="preserve">intervention for which requires further research. IFD/ICS has </w:t>
      </w:r>
      <w:proofErr w:type="gramStart"/>
      <w:r>
        <w:rPr>
          <w:rFonts w:ascii="Arial" w:hAnsi="Arial" w:cs="Arial"/>
        </w:rPr>
        <w:t>particular technical</w:t>
      </w:r>
      <w:proofErr w:type="gramEnd"/>
      <w:r>
        <w:rPr>
          <w:rFonts w:ascii="Arial" w:hAnsi="Arial" w:cs="Arial"/>
        </w:rPr>
        <w:t xml:space="preserve"> expertise in </w:t>
      </w:r>
      <w:r>
        <w:rPr>
          <w:rFonts w:ascii="Arial" w:hAnsi="Arial" w:cs="Arial"/>
        </w:rPr>
        <w:t>citizen security issues and can ensure that other LAC countries can benefit from the findings of this TC</w:t>
      </w:r>
      <w:r w:rsidR="00262829">
        <w:rPr>
          <w:rFonts w:ascii="Arial" w:hAnsi="Arial" w:cs="Arial"/>
        </w:rPr>
        <w:t xml:space="preserve">. </w:t>
      </w:r>
      <w:r>
        <w:rPr>
          <w:rFonts w:ascii="Arial" w:hAnsi="Arial" w:cs="Arial"/>
        </w:rPr>
        <w:t>All procurement of services will be carried out in accordance with the applicable Bank policies and procedures.</w:t>
      </w:r>
    </w:p>
    <w:p w:rsidR="00BE58D9" w:rsidRDefault="00643957">
      <w:pPr>
        <w:spacing w:before="120" w:after="120"/>
        <w:ind w:left="579" w:hanging="579"/>
      </w:pPr>
      <w:r>
        <w:rPr>
          <w:rFonts w:ascii="Arial" w:hAnsi="Arial" w:cs="Arial"/>
          <w:b/>
        </w:rPr>
        <w:t>VI.</w:t>
      </w:r>
      <w:r>
        <w:rPr>
          <w:rFonts w:ascii="Arial" w:hAnsi="Arial" w:cs="Arial"/>
          <w:b/>
        </w:rPr>
        <w:tab/>
        <w:t>Project Risks and Issues</w:t>
      </w:r>
    </w:p>
    <w:p w:rsidR="00BE58D9" w:rsidRPr="00262829" w:rsidRDefault="00643957" w:rsidP="00262829">
      <w:pPr>
        <w:spacing w:before="200" w:after="200"/>
        <w:ind w:left="579" w:hanging="579"/>
        <w:jc w:val="both"/>
        <w:rPr>
          <w:rFonts w:ascii="Arial" w:hAnsi="Arial" w:cs="Arial"/>
        </w:rPr>
      </w:pPr>
      <w:r>
        <w:rPr>
          <w:rFonts w:ascii="Arial" w:hAnsi="Arial" w:cs="Arial"/>
        </w:rPr>
        <w:t>6.1</w:t>
      </w:r>
      <w:r>
        <w:rPr>
          <w:rFonts w:ascii="Arial" w:hAnsi="Arial" w:cs="Arial"/>
        </w:rPr>
        <w:tab/>
        <w:t xml:space="preserve">The </w:t>
      </w:r>
      <w:r>
        <w:rPr>
          <w:rFonts w:ascii="Arial" w:hAnsi="Arial" w:cs="Arial"/>
        </w:rPr>
        <w:t xml:space="preserve">main risk of this project is that it is not possible to collect all data required given that the data may not be publicly available and the sensitivity of the issue in some countries. For this reason, the team of this TC will rely upon contacts within the </w:t>
      </w:r>
      <w:r>
        <w:rPr>
          <w:rFonts w:ascii="Arial" w:hAnsi="Arial" w:cs="Arial"/>
        </w:rPr>
        <w:t>police in countries with existing citizen security loans and already established contacts with some countries where similar data has been collected under RG-T2579 an</w:t>
      </w:r>
      <w:r w:rsidR="00262829">
        <w:rPr>
          <w:rFonts w:ascii="Arial" w:hAnsi="Arial" w:cs="Arial"/>
        </w:rPr>
        <w:t>d</w:t>
      </w:r>
      <w:r>
        <w:rPr>
          <w:rFonts w:ascii="Arial" w:hAnsi="Arial" w:cs="Arial"/>
        </w:rPr>
        <w:t xml:space="preserve"> </w:t>
      </w:r>
      <w:r w:rsidR="00262829">
        <w:rPr>
          <w:rFonts w:ascii="Arial" w:hAnsi="Arial" w:cs="Arial"/>
        </w:rPr>
        <w:t xml:space="preserve"> </w:t>
      </w:r>
      <w:r w:rsidR="00262829">
        <w:rPr>
          <w:rFonts w:ascii="Arial" w:hAnsi="Arial" w:cs="Arial"/>
        </w:rPr>
        <w:br/>
      </w:r>
      <w:r>
        <w:rPr>
          <w:rFonts w:ascii="Arial" w:hAnsi="Arial" w:cs="Arial"/>
        </w:rPr>
        <w:t>RG-T2743.</w:t>
      </w:r>
    </w:p>
    <w:p w:rsidR="00BE58D9" w:rsidRDefault="00643957">
      <w:pPr>
        <w:spacing w:before="120" w:after="120"/>
        <w:ind w:left="579" w:hanging="579"/>
      </w:pPr>
      <w:r>
        <w:rPr>
          <w:rFonts w:ascii="Arial" w:hAnsi="Arial" w:cs="Arial"/>
          <w:b/>
        </w:rPr>
        <w:t>VII.</w:t>
      </w:r>
      <w:r>
        <w:rPr>
          <w:rFonts w:ascii="Arial" w:hAnsi="Arial" w:cs="Arial"/>
          <w:b/>
        </w:rPr>
        <w:tab/>
        <w:t>Environmental and Social Classification</w:t>
      </w:r>
    </w:p>
    <w:p w:rsidR="00BE58D9" w:rsidRDefault="00643957">
      <w:pPr>
        <w:spacing w:before="240" w:after="120"/>
        <w:ind w:left="579" w:hanging="579"/>
        <w:jc w:val="both"/>
      </w:pPr>
      <w:r>
        <w:rPr>
          <w:rFonts w:ascii="Arial" w:hAnsi="Arial" w:cs="Arial"/>
        </w:rPr>
        <w:t>7.1</w:t>
      </w:r>
      <w:r>
        <w:rPr>
          <w:rFonts w:ascii="Arial" w:hAnsi="Arial" w:cs="Arial"/>
        </w:rPr>
        <w:tab/>
        <w:t>The ESG classification for thi</w:t>
      </w:r>
      <w:r>
        <w:rPr>
          <w:rFonts w:ascii="Arial" w:hAnsi="Arial" w:cs="Arial"/>
        </w:rPr>
        <w:t>s operation is "undefined".</w:t>
      </w:r>
    </w:p>
    <w:sectPr w:rsidR="00BE58D9" w:rsidSect="00FC302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957" w:rsidRDefault="00643957">
      <w:r>
        <w:separator/>
      </w:r>
    </w:p>
  </w:endnote>
  <w:endnote w:type="continuationSeparator" w:id="0">
    <w:p w:rsidR="00643957" w:rsidRDefault="0064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6439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643957"/>
  <w:p w:rsidR="00BE58D9" w:rsidRDefault="00643957">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6439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957" w:rsidRDefault="00643957">
      <w:r>
        <w:separator/>
      </w:r>
    </w:p>
  </w:footnote>
  <w:footnote w:type="continuationSeparator" w:id="0">
    <w:p w:rsidR="00643957" w:rsidRDefault="00643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915A3"/>
    <w:rsid w:val="00217F62"/>
    <w:rsid w:val="00262829"/>
    <w:rsid w:val="00643957"/>
    <w:rsid w:val="00A906D8"/>
    <w:rsid w:val="00AB5A74"/>
    <w:rsid w:val="00BE58D9"/>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40B0"/>
  <w15:docId w15:val="{7AA5D263-CFC2-495A-9D7B-C1A83D61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694D80D47FAD408E577DC126608E6A" ma:contentTypeVersion="970" ma:contentTypeDescription="A content type to manage public (operations) IDB documents" ma:contentTypeScope="" ma:versionID="f2be88f1a929b0b2b33f2f8ae740bcfd">
  <xsd:schema xmlns:xsd="http://www.w3.org/2001/XMLSchema" xmlns:xs="http://www.w3.org/2001/XMLSchema" xmlns:p="http://schemas.microsoft.com/office/2006/metadata/properties" xmlns:ns2="cdc7663a-08f0-4737-9e8c-148ce897a09c" targetNamespace="http://schemas.microsoft.com/office/2006/metadata/properties" ma:root="true" ma:fieldsID="13b5f5b502f22edb4b962e4fa79a5de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3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44</Value>
      <Value>414</Value>
      <Value>1</Value>
      <Value>56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R0002878063</Record_x0020_Number>
    <_dlc_DocId xmlns="cdc7663a-08f0-4737-9e8c-148ce897a09c">EZSHARE-1739867731-13</_dlc_DocId>
    <_dlc_DocIdUrl xmlns="cdc7663a-08f0-4737-9e8c-148ce897a09c">
      <Url>https://idbg.sharepoint.com/teams/EZ-RG-TCP/RG-T3239/_layouts/15/DocIdRedir.aspx?ID=EZSHARE-1739867731-13</Url>
      <Description>EZSHARE-1739867731-13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C4E7ADF-6516-489F-BE55-585253EAFBA5}">
  <ds:schemaRefs>
    <ds:schemaRef ds:uri="http://schemas.openxmlformats.org/officeDocument/2006/bibliography"/>
  </ds:schemaRefs>
</ds:datastoreItem>
</file>

<file path=customXml/itemProps2.xml><?xml version="1.0" encoding="utf-8"?>
<ds:datastoreItem xmlns:ds="http://schemas.openxmlformats.org/officeDocument/2006/customXml" ds:itemID="{0C6238A3-7182-4811-9ABA-09188697A534}"/>
</file>

<file path=customXml/itemProps3.xml><?xml version="1.0" encoding="utf-8"?>
<ds:datastoreItem xmlns:ds="http://schemas.openxmlformats.org/officeDocument/2006/customXml" ds:itemID="{26595110-D384-4883-B2A8-680CB3A8BA04}"/>
</file>

<file path=customXml/itemProps4.xml><?xml version="1.0" encoding="utf-8"?>
<ds:datastoreItem xmlns:ds="http://schemas.openxmlformats.org/officeDocument/2006/customXml" ds:itemID="{E02F4C9A-4EFA-4C57-A645-765DFB2BCAFF}"/>
</file>

<file path=customXml/itemProps5.xml><?xml version="1.0" encoding="utf-8"?>
<ds:datastoreItem xmlns:ds="http://schemas.openxmlformats.org/officeDocument/2006/customXml" ds:itemID="{41C9ACE1-33AF-4FA1-BB1A-E7BE16AC0FC9}"/>
</file>

<file path=customXml/itemProps6.xml><?xml version="1.0" encoding="utf-8"?>
<ds:datastoreItem xmlns:ds="http://schemas.openxmlformats.org/officeDocument/2006/customXml" ds:itemID="{CC2FDF95-3C92-4307-8069-E504806B6D19}"/>
</file>

<file path=customXml/itemProps7.xml><?xml version="1.0" encoding="utf-8"?>
<ds:datastoreItem xmlns:ds="http://schemas.openxmlformats.org/officeDocument/2006/customXml" ds:itemID="{14C0C2A7-5212-45AB-A6F1-E571236A97A3}"/>
</file>

<file path=docProps/app.xml><?xml version="1.0" encoding="utf-8"?>
<Properties xmlns="http://schemas.openxmlformats.org/officeDocument/2006/extended-properties" xmlns:vt="http://schemas.openxmlformats.org/officeDocument/2006/docPropsVTypes">
  <Template>Normal</Template>
  <TotalTime>1</TotalTime>
  <Pages>4</Pages>
  <Words>1731</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Catano Guzman, Mariana</cp:lastModifiedBy>
  <cp:revision>2</cp:revision>
  <dcterms:created xsi:type="dcterms:W3CDTF">2018-10-04T15:34:00Z</dcterms:created>
  <dcterms:modified xsi:type="dcterms:W3CDTF">2018-10-04T15:34:00Z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414;#MODERNIZATION ＆ ADMINIST OFJUSTICE|8f414175-31d2-470b-971f-627feb27bbc3</vt:lpwstr>
  </property>
  <property fmtid="{D5CDD505-2E9C-101B-9397-08002B2CF9AE}" pid="7" name="Fund IDB">
    <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0a7e69ac-008a-4feb-b5be-e586029bbe05</vt:lpwstr>
  </property>
  <property fmtid="{D5CDD505-2E9C-101B-9397-08002B2CF9AE}" pid="12" name="ContentTypeId">
    <vt:lpwstr>0x0101001A458A224826124E8B45B1D613300CFC000D694D80D47FAD408E577DC126608E6A</vt:lpwstr>
  </property>
</Properties>
</file>