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E9BB" w14:textId="05FBE3D8" w:rsidR="003C4237" w:rsidRPr="00662580" w:rsidRDefault="00662580">
      <w:pPr>
        <w:spacing w:before="200" w:after="200"/>
        <w:jc w:val="center"/>
        <w:rPr>
          <w:lang w:val="es-CO"/>
        </w:rPr>
      </w:pPr>
      <w:r w:rsidRPr="00662580">
        <w:rPr>
          <w:rFonts w:ascii="Arial" w:hAnsi="Arial" w:cs="Arial"/>
          <w:b/>
          <w:lang w:val="es-CO"/>
        </w:rPr>
        <w:t>Síntesis de Cooperación Técnica</w:t>
      </w:r>
    </w:p>
    <w:p w14:paraId="36439376" w14:textId="402BA9FF" w:rsidR="003C4237" w:rsidRPr="00662580" w:rsidRDefault="00182CF5">
      <w:pPr>
        <w:spacing w:before="120" w:after="120"/>
        <w:ind w:left="579" w:hanging="579"/>
        <w:rPr>
          <w:lang w:val="es-CO"/>
        </w:rPr>
      </w:pPr>
      <w:r w:rsidRPr="00662580">
        <w:rPr>
          <w:rFonts w:ascii="Arial" w:hAnsi="Arial" w:cs="Arial"/>
          <w:b/>
          <w:lang w:val="es-CO"/>
        </w:rPr>
        <w:t>I.</w:t>
      </w:r>
      <w:r w:rsidRPr="00662580">
        <w:rPr>
          <w:rFonts w:ascii="Arial" w:hAnsi="Arial" w:cs="Arial"/>
          <w:b/>
          <w:lang w:val="es-CO"/>
        </w:rPr>
        <w:tab/>
      </w:r>
      <w:r w:rsidR="00662580" w:rsidRPr="00662580">
        <w:rPr>
          <w:rFonts w:ascii="Arial" w:hAnsi="Arial" w:cs="Arial"/>
          <w:b/>
          <w:lang w:val="es-CO"/>
        </w:rPr>
        <w:t>Informació</w:t>
      </w:r>
      <w:r w:rsidR="00662580">
        <w:rPr>
          <w:rFonts w:ascii="Arial" w:hAnsi="Arial" w:cs="Arial"/>
          <w:b/>
          <w:lang w:val="es-CO"/>
        </w:rPr>
        <w:t>n Básica del Proyecto</w:t>
      </w:r>
    </w:p>
    <w:tbl>
      <w:tblPr>
        <w:tblStyle w:val="TableGrid"/>
        <w:tblW w:w="7471" w:type="dxa"/>
        <w:tblInd w:w="831" w:type="dxa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2693"/>
        <w:gridCol w:w="4778"/>
      </w:tblGrid>
      <w:tr w:rsidR="003C4237" w14:paraId="511F5519" w14:textId="77777777" w:rsidTr="00662580">
        <w:tc>
          <w:tcPr>
            <w:tcW w:w="2693" w:type="dxa"/>
          </w:tcPr>
          <w:p w14:paraId="597CD854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4778" w:type="dxa"/>
          </w:tcPr>
          <w:p w14:paraId="2583ECC7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COLOMBIA/CAN - Andean Group</w:t>
            </w:r>
          </w:p>
        </w:tc>
      </w:tr>
      <w:tr w:rsidR="003C4237" w14:paraId="1B7340C4" w14:textId="77777777" w:rsidTr="00662580">
        <w:tc>
          <w:tcPr>
            <w:tcW w:w="2693" w:type="dxa"/>
          </w:tcPr>
          <w:p w14:paraId="3A1092DF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4778" w:type="dxa"/>
          </w:tcPr>
          <w:p w14:paraId="28DF5958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Governance and Financing for Climate Action in Colombia</w:t>
            </w:r>
          </w:p>
        </w:tc>
      </w:tr>
      <w:tr w:rsidR="003C4237" w14:paraId="2F932C56" w14:textId="77777777" w:rsidTr="00662580">
        <w:tc>
          <w:tcPr>
            <w:tcW w:w="2693" w:type="dxa"/>
          </w:tcPr>
          <w:p w14:paraId="2F8850BB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Number:</w:t>
            </w:r>
          </w:p>
        </w:tc>
        <w:tc>
          <w:tcPr>
            <w:tcW w:w="4778" w:type="dxa"/>
          </w:tcPr>
          <w:p w14:paraId="1B8DF23F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CO-T1633</w:t>
            </w:r>
          </w:p>
        </w:tc>
      </w:tr>
      <w:tr w:rsidR="003C4237" w14:paraId="01297C87" w14:textId="77777777" w:rsidTr="00662580">
        <w:tc>
          <w:tcPr>
            <w:tcW w:w="2693" w:type="dxa"/>
          </w:tcPr>
          <w:p w14:paraId="3C18A3BA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Leader/Members:</w:t>
            </w:r>
          </w:p>
        </w:tc>
        <w:tc>
          <w:tcPr>
            <w:tcW w:w="4778" w:type="dxa"/>
          </w:tcPr>
          <w:p w14:paraId="184DF129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SANDOVAL PEDROZA, JOSE MANUEL (CSD/CCS) Team Leader; </w:t>
            </w:r>
            <w:r>
              <w:rPr>
                <w:rFonts w:ascii="Arial" w:hAnsi="Arial" w:cs="Arial"/>
                <w:sz w:val="18"/>
                <w:szCs w:val="18"/>
              </w:rPr>
              <w:t>SALAZAR ECHAVARRIA, CARLOS ALBERTO (CSD/RND) Alternate Team Leader; GOMEZ, JUAN CARLOS (CSD/CCS); RASTELETTI, ALEJANDRO GABRIEL (IFD/FMM); JIMENEZ VARGAS, MARIA MARGARITA (CSD/RND); JIMENEZ DE ARECHAGA, MARIA DEL PILAR (LEG/SGO); CARDENAS GARCIA, CLAUDIA M</w:t>
            </w:r>
            <w:r>
              <w:rPr>
                <w:rFonts w:ascii="Arial" w:hAnsi="Arial" w:cs="Arial"/>
                <w:sz w:val="18"/>
                <w:szCs w:val="18"/>
              </w:rPr>
              <w:t>YLENNA (VPC/FMP); ESCOBAR MORA, VIVIANA ANDREA (CSD/RND); CRAUSAZ SARZOSA, ERNESTO PATRICIO (VPC/FMP); PALACIOS CABEZAS, WENDY YULIETH (VPC/FMP); POVEDA CARDENAS, NELSON ORLANDO (VPC/FMP); BLANDIN ANDINO, LOURDES GABRIELA (SCL/GDI); DELGADO, C. RAUL (CSD/C</w:t>
            </w:r>
            <w:r>
              <w:rPr>
                <w:rFonts w:ascii="Arial" w:hAnsi="Arial" w:cs="Arial"/>
                <w:sz w:val="18"/>
                <w:szCs w:val="18"/>
              </w:rPr>
              <w:t>CS)</w:t>
            </w:r>
          </w:p>
        </w:tc>
      </w:tr>
      <w:tr w:rsidR="003C4237" w14:paraId="2F98489D" w14:textId="77777777" w:rsidTr="00662580">
        <w:tc>
          <w:tcPr>
            <w:tcW w:w="2693" w:type="dxa"/>
          </w:tcPr>
          <w:p w14:paraId="2F9AF739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Taxonomy:</w:t>
            </w:r>
          </w:p>
        </w:tc>
        <w:tc>
          <w:tcPr>
            <w:tcW w:w="4778" w:type="dxa"/>
          </w:tcPr>
          <w:p w14:paraId="670B17AD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Operational Support</w:t>
            </w:r>
          </w:p>
        </w:tc>
      </w:tr>
      <w:tr w:rsidR="003C4237" w14:paraId="4B075A52" w14:textId="77777777" w:rsidTr="00662580">
        <w:tc>
          <w:tcPr>
            <w:tcW w:w="2693" w:type="dxa"/>
          </w:tcPr>
          <w:p w14:paraId="00267B77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4778" w:type="dxa"/>
          </w:tcPr>
          <w:p w14:paraId="5F5B4232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Sustainable Growth and Resilient Program - CO-L1264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3C4237" w14:paraId="4B1BCF22" w14:textId="77777777" w:rsidTr="00662580">
        <w:tc>
          <w:tcPr>
            <w:tcW w:w="2693" w:type="dxa"/>
          </w:tcPr>
          <w:p w14:paraId="7420E210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4778" w:type="dxa"/>
          </w:tcPr>
          <w:p w14:paraId="2C8D7DB2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16 Mar 2021</w:t>
            </w:r>
          </w:p>
        </w:tc>
      </w:tr>
      <w:tr w:rsidR="003C4237" w14:paraId="03615987" w14:textId="77777777" w:rsidTr="00662580">
        <w:tc>
          <w:tcPr>
            <w:tcW w:w="2693" w:type="dxa"/>
          </w:tcPr>
          <w:p w14:paraId="04E63168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4778" w:type="dxa"/>
          </w:tcPr>
          <w:p w14:paraId="0E022565" w14:textId="52FAFADE" w:rsidR="003C4237" w:rsidRDefault="00662580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República</w:t>
            </w:r>
            <w:r w:rsidR="00182CF5">
              <w:rPr>
                <w:rFonts w:ascii="Arial" w:hAnsi="Arial" w:cs="Arial"/>
                <w:sz w:val="18"/>
                <w:szCs w:val="18"/>
              </w:rPr>
              <w:t xml:space="preserve"> de Colombia</w:t>
            </w:r>
          </w:p>
        </w:tc>
      </w:tr>
      <w:tr w:rsidR="003C4237" w14:paraId="3B26F91E" w14:textId="77777777" w:rsidTr="00662580">
        <w:tc>
          <w:tcPr>
            <w:tcW w:w="2693" w:type="dxa"/>
          </w:tcPr>
          <w:p w14:paraId="48B44E9C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4778" w:type="dxa"/>
          </w:tcPr>
          <w:p w14:paraId="483883D9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3C4237" w14:paraId="1258D14A" w14:textId="77777777" w:rsidTr="00662580">
        <w:tc>
          <w:tcPr>
            <w:tcW w:w="2693" w:type="dxa"/>
          </w:tcPr>
          <w:p w14:paraId="612FD335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4778" w:type="dxa"/>
          </w:tcPr>
          <w:p w14:paraId="02C673E5" w14:textId="77777777" w:rsidR="003C4237" w:rsidRDefault="00182CF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US$400,000.00</w:t>
            </w:r>
          </w:p>
        </w:tc>
      </w:tr>
      <w:tr w:rsidR="003C4237" w14:paraId="6DC5C584" w14:textId="77777777" w:rsidTr="00662580">
        <w:tc>
          <w:tcPr>
            <w:tcW w:w="2693" w:type="dxa"/>
          </w:tcPr>
          <w:p w14:paraId="7461C718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4778" w:type="dxa"/>
          </w:tcPr>
          <w:p w14:paraId="661FD1F0" w14:textId="77777777" w:rsidR="003C4237" w:rsidRDefault="00182CF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3C4237" w14:paraId="35197DC1" w14:textId="77777777" w:rsidTr="00662580">
        <w:tc>
          <w:tcPr>
            <w:tcW w:w="2693" w:type="dxa"/>
          </w:tcPr>
          <w:p w14:paraId="57375748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4778" w:type="dxa"/>
          </w:tcPr>
          <w:p w14:paraId="011C4897" w14:textId="77777777" w:rsidR="003C4237" w:rsidRDefault="00182CF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24 months</w:t>
            </w:r>
          </w:p>
        </w:tc>
      </w:tr>
      <w:tr w:rsidR="003C4237" w14:paraId="7F414142" w14:textId="77777777" w:rsidTr="00662580">
        <w:tc>
          <w:tcPr>
            <w:tcW w:w="2693" w:type="dxa"/>
          </w:tcPr>
          <w:p w14:paraId="2DFA3819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4778" w:type="dxa"/>
          </w:tcPr>
          <w:p w14:paraId="7346D409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Individuals; Firms</w:t>
            </w:r>
          </w:p>
        </w:tc>
      </w:tr>
      <w:tr w:rsidR="003C4237" w14:paraId="25E62155" w14:textId="77777777" w:rsidTr="00662580">
        <w:tc>
          <w:tcPr>
            <w:tcW w:w="2693" w:type="dxa"/>
          </w:tcPr>
          <w:p w14:paraId="05717D70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4778" w:type="dxa"/>
          </w:tcPr>
          <w:p w14:paraId="6DE5D9EC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CSD/CCS - Climate Change</w:t>
            </w:r>
          </w:p>
        </w:tc>
      </w:tr>
      <w:tr w:rsidR="003C4237" w14:paraId="203A1AA4" w14:textId="77777777" w:rsidTr="00662580">
        <w:tc>
          <w:tcPr>
            <w:tcW w:w="2693" w:type="dxa"/>
          </w:tcPr>
          <w:p w14:paraId="08997141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</w:t>
            </w:r>
            <w:r>
              <w:rPr>
                <w:rFonts w:ascii="Arial" w:hAnsi="Arial" w:cs="Arial"/>
                <w:sz w:val="18"/>
                <w:szCs w:val="18"/>
              </w:rPr>
              <w:t>Disbursement Responsibility:</w:t>
            </w:r>
          </w:p>
        </w:tc>
        <w:tc>
          <w:tcPr>
            <w:tcW w:w="4778" w:type="dxa"/>
          </w:tcPr>
          <w:p w14:paraId="019A8702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CAN/CCO - Country Office Colombia</w:t>
            </w:r>
          </w:p>
        </w:tc>
      </w:tr>
      <w:tr w:rsidR="003C4237" w14:paraId="250DD9A6" w14:textId="77777777" w:rsidTr="00662580">
        <w:tc>
          <w:tcPr>
            <w:tcW w:w="2693" w:type="dxa"/>
          </w:tcPr>
          <w:p w14:paraId="701CC0EB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4778" w:type="dxa"/>
          </w:tcPr>
          <w:p w14:paraId="1A21FDAF" w14:textId="77777777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3C4237" w14:paraId="05B29B97" w14:textId="77777777" w:rsidTr="00662580">
        <w:tc>
          <w:tcPr>
            <w:tcW w:w="2693" w:type="dxa"/>
          </w:tcPr>
          <w:p w14:paraId="1F637C30" w14:textId="77777777" w:rsidR="003C4237" w:rsidRDefault="00182CF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4778" w:type="dxa"/>
          </w:tcPr>
          <w:p w14:paraId="46A010D5" w14:textId="4B7EB6E0" w:rsidR="003C4237" w:rsidRDefault="00182CF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Productivity and </w:t>
            </w:r>
            <w:r w:rsidR="00662580">
              <w:rPr>
                <w:rFonts w:ascii="Arial" w:hAnsi="Arial" w:cs="Arial"/>
                <w:sz w:val="18"/>
                <w:szCs w:val="18"/>
              </w:rPr>
              <w:t>innovation;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Institutional capacity and rule of law; Environmental sustainability</w:t>
            </w:r>
          </w:p>
        </w:tc>
      </w:tr>
    </w:tbl>
    <w:p w14:paraId="57912BC8" w14:textId="73311DAC" w:rsidR="003C4237" w:rsidRDefault="00182CF5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</w:r>
      <w:r w:rsidR="00662580">
        <w:rPr>
          <w:rFonts w:ascii="Arial" w:hAnsi="Arial" w:cs="Arial"/>
          <w:b/>
        </w:rPr>
        <w:t>Objetivos y Justificación</w:t>
      </w:r>
    </w:p>
    <w:p w14:paraId="774970E5" w14:textId="77777777" w:rsidR="003C4237" w:rsidRDefault="00182CF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 xml:space="preserve">The objective of this Technical Cooperation is to support the Government of Colombia in the development of policies and regulations </w:t>
      </w:r>
      <w:r>
        <w:rPr>
          <w:rFonts w:ascii="Arial" w:hAnsi="Arial" w:cs="Arial"/>
        </w:rPr>
        <w:t xml:space="preserve">regarding governance, planning and financing of climate action, in line with the new NDC under the Paris agreement and E2050. The specific objectives are: (i) to develop or update national policies and strategies on governance and climate finance, in line </w:t>
      </w:r>
      <w:r>
        <w:rPr>
          <w:rFonts w:ascii="Arial" w:hAnsi="Arial" w:cs="Arial"/>
        </w:rPr>
        <w:t>with the priorities of Policy Based Program CO-L1264; (ii) strengthen technical and legal capacities of national entities such as the Ministry of Finance and Public Credit, the Ministry of Environment and the National Planning Department (DNP), to carry ou</w:t>
      </w:r>
      <w:r>
        <w:rPr>
          <w:rFonts w:ascii="Arial" w:hAnsi="Arial" w:cs="Arial"/>
        </w:rPr>
        <w:t>t prioritized policy and regulatory reforms.</w:t>
      </w:r>
    </w:p>
    <w:p w14:paraId="577CE7D8" w14:textId="77777777" w:rsidR="003C4237" w:rsidRPr="00662580" w:rsidRDefault="00182CF5">
      <w:pPr>
        <w:spacing w:before="120" w:after="12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lastRenderedPageBreak/>
        <w:t>2.2</w:t>
      </w:r>
      <w:r w:rsidRPr="00662580">
        <w:rPr>
          <w:rFonts w:ascii="Arial" w:hAnsi="Arial" w:cs="Arial"/>
          <w:lang w:val="es-CO"/>
        </w:rPr>
        <w:tab/>
        <w:t>Apoyar al país en la continuidad de la agenda climática cobra más relevancia que nunca a la luz de la actualización de la meta país de la NDC, sin embargo, esta agenda enfrenta retos de gobernanza y financia</w:t>
      </w:r>
      <w:r w:rsidRPr="00662580">
        <w:rPr>
          <w:rFonts w:ascii="Arial" w:hAnsi="Arial" w:cs="Arial"/>
          <w:lang w:val="es-CO"/>
        </w:rPr>
        <w:t>ción que deben permanecer en la agenda de la política de reactivación económica del país. Existen avances en el desarrollo de instrumentos de planeación, reporte y verificación que incluyan gestión integral del cambio climático, no obstante, estos no han s</w:t>
      </w:r>
      <w:r w:rsidRPr="00662580">
        <w:rPr>
          <w:rFonts w:ascii="Arial" w:hAnsi="Arial" w:cs="Arial"/>
          <w:lang w:val="es-CO"/>
        </w:rPr>
        <w:t xml:space="preserve">ido adoptados por todos los sectores ni a todos los niveles generando dispersiones y rezagos en los esfuerzos de la acción climática y más importante aún una visión incompleta para la implementación efectiva de las políticas. En materia de financiación se </w:t>
      </w:r>
      <w:r w:rsidRPr="00662580">
        <w:rPr>
          <w:rFonts w:ascii="Arial" w:hAnsi="Arial" w:cs="Arial"/>
          <w:lang w:val="es-CO"/>
        </w:rPr>
        <w:t>calcula una brecha anual de recursos para medidas de mitigación y adaptación de US$860  millones, lo que implica la necesidad de impulsar mecanismos innovadores de movilización de recursos que permitan implementar proyectos a gran escala con potenciales be</w:t>
      </w:r>
      <w:r w:rsidRPr="00662580">
        <w:rPr>
          <w:rFonts w:ascii="Arial" w:hAnsi="Arial" w:cs="Arial"/>
          <w:lang w:val="es-CO"/>
        </w:rPr>
        <w:t xml:space="preserve">neficios en materia de empleabilidad, productividad y competitividad para el país. </w:t>
      </w:r>
      <w:r w:rsidRPr="00662580">
        <w:rPr>
          <w:rFonts w:ascii="Arial" w:hAnsi="Arial" w:cs="Arial"/>
          <w:lang w:val="es-CO"/>
        </w:rPr>
        <w:br/>
        <w:t>Para ello, se requiere el desarrollo de políticas, estrategias, instrumentos y normas que compatibilicen los diferentes objetivos y que permitan la recuperación y el crecim</w:t>
      </w:r>
      <w:r w:rsidRPr="00662580">
        <w:rPr>
          <w:rFonts w:ascii="Arial" w:hAnsi="Arial" w:cs="Arial"/>
          <w:lang w:val="es-CO"/>
        </w:rPr>
        <w:t>iento sostenible y resiliente del país en el contexto post-COVID-19. La priorización de acciones bajo la agenda de cambio climático y que se alineen con la necesidad del país de aportar a la reactivación con oportunidades económicas compatibles con el medi</w:t>
      </w:r>
      <w:r w:rsidRPr="00662580">
        <w:rPr>
          <w:rFonts w:ascii="Arial" w:hAnsi="Arial" w:cs="Arial"/>
          <w:lang w:val="es-CO"/>
        </w:rPr>
        <w:t>o ambiente y fuentes de financiamiento para negocios verdes bajos en carbono, representa una oportunidad para dar un paso más en la agenda del cambio climático y la reactivación económica sostenible.</w:t>
      </w:r>
    </w:p>
    <w:p w14:paraId="6DD71D9C" w14:textId="1C8D18AB" w:rsidR="003C4237" w:rsidRPr="00662580" w:rsidRDefault="00182CF5">
      <w:pPr>
        <w:spacing w:before="120" w:after="120"/>
        <w:ind w:left="579" w:hanging="579"/>
        <w:rPr>
          <w:lang w:val="es-CO"/>
        </w:rPr>
      </w:pPr>
      <w:r w:rsidRPr="00662580">
        <w:rPr>
          <w:rFonts w:ascii="Arial" w:hAnsi="Arial" w:cs="Arial"/>
          <w:b/>
          <w:lang w:val="es-CO"/>
        </w:rPr>
        <w:t>III.</w:t>
      </w:r>
      <w:r w:rsidRPr="00662580">
        <w:rPr>
          <w:rFonts w:ascii="Arial" w:hAnsi="Arial" w:cs="Arial"/>
          <w:b/>
          <w:lang w:val="es-CO"/>
        </w:rPr>
        <w:tab/>
      </w:r>
      <w:r w:rsidR="00662580" w:rsidRPr="00662580">
        <w:rPr>
          <w:rFonts w:ascii="Arial" w:hAnsi="Arial" w:cs="Arial"/>
          <w:b/>
          <w:lang w:val="es-CO"/>
        </w:rPr>
        <w:t xml:space="preserve">Descripción de </w:t>
      </w:r>
      <w:r w:rsidR="00662580">
        <w:rPr>
          <w:rFonts w:ascii="Arial" w:hAnsi="Arial" w:cs="Arial"/>
          <w:b/>
          <w:lang w:val="es-CO"/>
        </w:rPr>
        <w:t>Actividades y Resultados</w:t>
      </w:r>
    </w:p>
    <w:p w14:paraId="7097E932" w14:textId="68EFBCC7" w:rsidR="003C4237" w:rsidRPr="00662580" w:rsidRDefault="00182CF5">
      <w:pPr>
        <w:spacing w:before="120" w:after="12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t>3.1</w:t>
      </w:r>
      <w:r w:rsidRPr="00662580">
        <w:rPr>
          <w:rFonts w:ascii="Arial" w:hAnsi="Arial" w:cs="Arial"/>
          <w:lang w:val="es-CO"/>
        </w:rPr>
        <w:tab/>
      </w:r>
      <w:r w:rsidRPr="00662580">
        <w:rPr>
          <w:rFonts w:ascii="Arial" w:hAnsi="Arial" w:cs="Arial"/>
          <w:b/>
          <w:lang w:val="es-CO"/>
        </w:rPr>
        <w:t>Component</w:t>
      </w:r>
      <w:r w:rsidR="00662580">
        <w:rPr>
          <w:rFonts w:ascii="Arial" w:hAnsi="Arial" w:cs="Arial"/>
          <w:b/>
          <w:lang w:val="es-CO"/>
        </w:rPr>
        <w:t>e 1.</w:t>
      </w:r>
      <w:r w:rsidRPr="00662580">
        <w:rPr>
          <w:rFonts w:ascii="Arial" w:hAnsi="Arial" w:cs="Arial"/>
          <w:b/>
          <w:lang w:val="es-CO"/>
        </w:rPr>
        <w:t xml:space="preserve"> Gobernanza y fortalecimiento de capacidades para el financiamiento climático. </w:t>
      </w:r>
      <w:r w:rsidRPr="00662580">
        <w:rPr>
          <w:rFonts w:ascii="Arial" w:hAnsi="Arial" w:cs="Arial"/>
          <w:lang w:val="es-CO"/>
        </w:rPr>
        <w:t xml:space="preserve">En particular, se apoyará en la preparación del plan de gestión integral de cambio climático de Hacienda y en la implementación de algunas de sus líneas de trabajo, y en la </w:t>
      </w:r>
      <w:r w:rsidRPr="00662580">
        <w:rPr>
          <w:rFonts w:ascii="Arial" w:hAnsi="Arial" w:cs="Arial"/>
          <w:lang w:val="es-CO"/>
        </w:rPr>
        <w:t>actualización y desarrollo de la Estrategia Nacional de Financiamiento Climático que lidera el DNP</w:t>
      </w:r>
    </w:p>
    <w:p w14:paraId="0EDA295D" w14:textId="273CCDF8" w:rsidR="003C4237" w:rsidRPr="00662580" w:rsidRDefault="00182CF5">
      <w:pPr>
        <w:spacing w:before="120" w:after="12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t>3.2</w:t>
      </w:r>
      <w:r w:rsidRPr="00662580">
        <w:rPr>
          <w:rFonts w:ascii="Arial" w:hAnsi="Arial" w:cs="Arial"/>
          <w:lang w:val="es-CO"/>
        </w:rPr>
        <w:tab/>
      </w:r>
      <w:r w:rsidRPr="00662580">
        <w:rPr>
          <w:rFonts w:ascii="Arial" w:hAnsi="Arial" w:cs="Arial"/>
          <w:b/>
          <w:lang w:val="es-CO"/>
        </w:rPr>
        <w:t>Component</w:t>
      </w:r>
      <w:r w:rsidR="00662580">
        <w:rPr>
          <w:rFonts w:ascii="Arial" w:hAnsi="Arial" w:cs="Arial"/>
          <w:b/>
          <w:lang w:val="es-CO"/>
        </w:rPr>
        <w:t>e 2.</w:t>
      </w:r>
      <w:r w:rsidRPr="00662580">
        <w:rPr>
          <w:rFonts w:ascii="Arial" w:hAnsi="Arial" w:cs="Arial"/>
          <w:b/>
          <w:lang w:val="es-CO"/>
        </w:rPr>
        <w:t xml:space="preserve"> Instrumentos económicos para la gestión del cambio climático. </w:t>
      </w:r>
      <w:r w:rsidRPr="00662580">
        <w:rPr>
          <w:rFonts w:ascii="Arial" w:hAnsi="Arial" w:cs="Arial"/>
          <w:lang w:val="es-CO"/>
        </w:rPr>
        <w:t xml:space="preserve">Bajo este módulo se buscará el desarrollo de instrumentos técnicos y </w:t>
      </w:r>
      <w:r w:rsidRPr="00662580">
        <w:rPr>
          <w:rFonts w:ascii="Arial" w:hAnsi="Arial" w:cs="Arial"/>
          <w:lang w:val="es-CO"/>
        </w:rPr>
        <w:t>normativos para la dinamización de mercados de carbono en Colombia y otros mecanismos de precios al carbono, incluyendo el programa de cupos transable, según las prioridades del gobierno de Colombia</w:t>
      </w:r>
    </w:p>
    <w:p w14:paraId="6271948C" w14:textId="325BAB1F" w:rsidR="003C4237" w:rsidRPr="00662580" w:rsidRDefault="00182CF5">
      <w:pPr>
        <w:spacing w:before="120" w:after="12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t>3.3</w:t>
      </w:r>
      <w:r w:rsidRPr="00662580">
        <w:rPr>
          <w:rFonts w:ascii="Arial" w:hAnsi="Arial" w:cs="Arial"/>
          <w:lang w:val="es-CO"/>
        </w:rPr>
        <w:tab/>
      </w:r>
      <w:r w:rsidRPr="00662580">
        <w:rPr>
          <w:rFonts w:ascii="Arial" w:hAnsi="Arial" w:cs="Arial"/>
          <w:b/>
          <w:lang w:val="es-CO"/>
        </w:rPr>
        <w:t>Componen</w:t>
      </w:r>
      <w:r w:rsidR="00662580">
        <w:rPr>
          <w:rFonts w:ascii="Arial" w:hAnsi="Arial" w:cs="Arial"/>
          <w:b/>
          <w:lang w:val="es-CO"/>
        </w:rPr>
        <w:t>te 3.</w:t>
      </w:r>
      <w:r w:rsidRPr="00662580">
        <w:rPr>
          <w:rFonts w:ascii="Arial" w:hAnsi="Arial" w:cs="Arial"/>
          <w:b/>
          <w:lang w:val="es-CO"/>
        </w:rPr>
        <w:t xml:space="preserve"> Talleres y publicaciones. </w:t>
      </w:r>
      <w:r w:rsidRPr="00662580">
        <w:rPr>
          <w:rFonts w:ascii="Arial" w:hAnsi="Arial" w:cs="Arial"/>
          <w:lang w:val="es-CO"/>
        </w:rPr>
        <w:t>Este compone</w:t>
      </w:r>
      <w:r w:rsidRPr="00662580">
        <w:rPr>
          <w:rFonts w:ascii="Arial" w:hAnsi="Arial" w:cs="Arial"/>
          <w:lang w:val="es-CO"/>
        </w:rPr>
        <w:t xml:space="preserve">nte apoyará transversalmente en el desarrollo de actividades de consulta, concertación y difusión, relacionados con los componentes 1 y 2, por parte de MHCP, MADS y DNP. </w:t>
      </w:r>
    </w:p>
    <w:p w14:paraId="3A5CAECE" w14:textId="492DEFC9" w:rsidR="003C4237" w:rsidRDefault="00182CF5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r w:rsidR="00662580">
        <w:rPr>
          <w:rFonts w:ascii="Arial" w:hAnsi="Arial" w:cs="Arial"/>
          <w:b/>
        </w:rPr>
        <w:t>Presupuesto</w:t>
      </w:r>
    </w:p>
    <w:p w14:paraId="10AAD68D" w14:textId="41E30CA8" w:rsidR="003C4237" w:rsidRDefault="00662580" w:rsidP="00662580">
      <w:pPr>
        <w:spacing w:before="240" w:after="120"/>
        <w:ind w:left="630"/>
        <w:jc w:val="center"/>
      </w:pPr>
      <w:r>
        <w:rPr>
          <w:rFonts w:ascii="Arial" w:hAnsi="Arial" w:cs="Arial"/>
          <w:b/>
          <w:sz w:val="18"/>
          <w:szCs w:val="18"/>
        </w:rPr>
        <w:t>Presupuesto Indicativo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4629"/>
        <w:gridCol w:w="1494"/>
        <w:gridCol w:w="1435"/>
      </w:tblGrid>
      <w:tr w:rsidR="00662580" w14:paraId="68D7CF4A" w14:textId="77777777" w:rsidTr="00662580">
        <w:tc>
          <w:tcPr>
            <w:tcW w:w="4770" w:type="dxa"/>
            <w:vAlign w:val="center"/>
          </w:tcPr>
          <w:p w14:paraId="04F59E2B" w14:textId="4CC0B131" w:rsidR="00662580" w:rsidRDefault="00662580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Actividad/Componente</w:t>
            </w:r>
          </w:p>
        </w:tc>
        <w:tc>
          <w:tcPr>
            <w:tcW w:w="1530" w:type="dxa"/>
          </w:tcPr>
          <w:p w14:paraId="5DC17AE9" w14:textId="034A4D5B" w:rsidR="00662580" w:rsidRDefault="00662580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Fondos IDB</w:t>
            </w:r>
          </w:p>
        </w:tc>
        <w:tc>
          <w:tcPr>
            <w:tcW w:w="1468" w:type="dxa"/>
          </w:tcPr>
          <w:p w14:paraId="0FB9E01F" w14:textId="5F4ADCC6" w:rsidR="00662580" w:rsidRDefault="00662580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</w:tr>
      <w:tr w:rsidR="00662580" w14:paraId="066F72D2" w14:textId="77777777" w:rsidTr="00662580">
        <w:tc>
          <w:tcPr>
            <w:tcW w:w="4770" w:type="dxa"/>
            <w:vAlign w:val="center"/>
          </w:tcPr>
          <w:p w14:paraId="3A383568" w14:textId="1D2E43E7" w:rsidR="00662580" w:rsidRPr="00662580" w:rsidRDefault="00662580">
            <w:pPr>
              <w:spacing w:before="40" w:after="40"/>
              <w:rPr>
                <w:lang w:val="es-CO"/>
              </w:rPr>
            </w:pPr>
            <w:r w:rsidRPr="00662580">
              <w:rPr>
                <w:rFonts w:ascii="Arial" w:hAnsi="Arial" w:cs="Arial"/>
                <w:sz w:val="18"/>
                <w:szCs w:val="18"/>
                <w:lang w:val="es-CO"/>
              </w:rPr>
              <w:t>Gobernanza y fortalecimiento de capacidades para el financiamiento climático</w:t>
            </w:r>
          </w:p>
        </w:tc>
        <w:tc>
          <w:tcPr>
            <w:tcW w:w="1530" w:type="dxa"/>
            <w:vAlign w:val="center"/>
          </w:tcPr>
          <w:p w14:paraId="1965A35C" w14:textId="082471B5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220,000</w:t>
            </w:r>
          </w:p>
        </w:tc>
        <w:tc>
          <w:tcPr>
            <w:tcW w:w="1468" w:type="dxa"/>
            <w:vAlign w:val="center"/>
          </w:tcPr>
          <w:p w14:paraId="7D036610" w14:textId="31629707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220,000</w:t>
            </w:r>
          </w:p>
        </w:tc>
      </w:tr>
      <w:tr w:rsidR="00662580" w14:paraId="673EC95A" w14:textId="77777777" w:rsidTr="00662580">
        <w:tc>
          <w:tcPr>
            <w:tcW w:w="4770" w:type="dxa"/>
            <w:vAlign w:val="center"/>
          </w:tcPr>
          <w:p w14:paraId="7C949144" w14:textId="77777777" w:rsidR="00662580" w:rsidRPr="00662580" w:rsidRDefault="00662580">
            <w:pPr>
              <w:spacing w:before="40" w:after="40"/>
              <w:rPr>
                <w:lang w:val="es-CO"/>
              </w:rPr>
            </w:pPr>
            <w:r w:rsidRPr="00662580">
              <w:rPr>
                <w:rFonts w:ascii="Arial" w:hAnsi="Arial" w:cs="Arial"/>
                <w:sz w:val="18"/>
                <w:szCs w:val="18"/>
                <w:lang w:val="es-CO"/>
              </w:rPr>
              <w:t>Instrumentos económicos para la gestión del cambio climático</w:t>
            </w:r>
          </w:p>
        </w:tc>
        <w:tc>
          <w:tcPr>
            <w:tcW w:w="1530" w:type="dxa"/>
            <w:vAlign w:val="center"/>
          </w:tcPr>
          <w:p w14:paraId="6A95D9A2" w14:textId="75365DEE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150,000</w:t>
            </w:r>
          </w:p>
        </w:tc>
        <w:tc>
          <w:tcPr>
            <w:tcW w:w="1468" w:type="dxa"/>
            <w:vAlign w:val="center"/>
          </w:tcPr>
          <w:p w14:paraId="34C43C01" w14:textId="579DB58C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150,000</w:t>
            </w:r>
          </w:p>
        </w:tc>
      </w:tr>
      <w:tr w:rsidR="00662580" w14:paraId="3EE5AC97" w14:textId="77777777" w:rsidTr="00662580">
        <w:tc>
          <w:tcPr>
            <w:tcW w:w="4770" w:type="dxa"/>
            <w:vAlign w:val="center"/>
          </w:tcPr>
          <w:p w14:paraId="6EBF7D79" w14:textId="77777777" w:rsidR="00662580" w:rsidRDefault="00662580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Talleres y publicaciones</w:t>
            </w:r>
          </w:p>
        </w:tc>
        <w:tc>
          <w:tcPr>
            <w:tcW w:w="1530" w:type="dxa"/>
            <w:vAlign w:val="center"/>
          </w:tcPr>
          <w:p w14:paraId="433D8DDB" w14:textId="5308A3DC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1468" w:type="dxa"/>
            <w:vAlign w:val="center"/>
          </w:tcPr>
          <w:p w14:paraId="3364D900" w14:textId="4147BCF1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</w:tr>
      <w:tr w:rsidR="00662580" w14:paraId="358ADEDB" w14:textId="77777777" w:rsidTr="00662580">
        <w:tc>
          <w:tcPr>
            <w:tcW w:w="4770" w:type="dxa"/>
            <w:vAlign w:val="center"/>
          </w:tcPr>
          <w:p w14:paraId="0C1B03A9" w14:textId="77777777" w:rsidR="00662580" w:rsidRDefault="00662580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530" w:type="dxa"/>
            <w:vAlign w:val="center"/>
          </w:tcPr>
          <w:p w14:paraId="036825F7" w14:textId="418B2B83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400,000</w:t>
            </w:r>
          </w:p>
        </w:tc>
        <w:tc>
          <w:tcPr>
            <w:tcW w:w="1468" w:type="dxa"/>
            <w:vAlign w:val="center"/>
          </w:tcPr>
          <w:p w14:paraId="0AB75029" w14:textId="17CFFEBC" w:rsidR="00662580" w:rsidRDefault="00662580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400,000</w:t>
            </w:r>
          </w:p>
        </w:tc>
      </w:tr>
    </w:tbl>
    <w:p w14:paraId="52E9025B" w14:textId="77777777" w:rsidR="00A02C46" w:rsidRDefault="00A02C46" w:rsidP="00A02C46">
      <w:pPr>
        <w:spacing w:before="120" w:after="120"/>
        <w:ind w:left="579" w:hanging="579"/>
        <w:rPr>
          <w:rFonts w:ascii="Arial" w:hAnsi="Arial" w:cs="Arial"/>
          <w:b/>
          <w:lang w:val="es-CO"/>
        </w:rPr>
      </w:pPr>
    </w:p>
    <w:p w14:paraId="2B94469C" w14:textId="696E98CE" w:rsidR="003C4237" w:rsidRPr="00A02C46" w:rsidRDefault="00182CF5" w:rsidP="00A02C46">
      <w:pPr>
        <w:spacing w:before="120" w:after="120"/>
        <w:ind w:left="579" w:hanging="579"/>
        <w:rPr>
          <w:rFonts w:ascii="Arial" w:hAnsi="Arial" w:cs="Arial"/>
          <w:b/>
          <w:lang w:val="es-CO"/>
        </w:rPr>
      </w:pPr>
      <w:r w:rsidRPr="00662580">
        <w:rPr>
          <w:rFonts w:ascii="Arial" w:hAnsi="Arial" w:cs="Arial"/>
          <w:b/>
          <w:lang w:val="es-CO"/>
        </w:rPr>
        <w:lastRenderedPageBreak/>
        <w:t>V.</w:t>
      </w:r>
      <w:r w:rsidRPr="00662580">
        <w:rPr>
          <w:rFonts w:ascii="Arial" w:hAnsi="Arial" w:cs="Arial"/>
          <w:b/>
          <w:lang w:val="es-CO"/>
        </w:rPr>
        <w:tab/>
      </w:r>
      <w:r w:rsidR="00662580" w:rsidRPr="00662580">
        <w:rPr>
          <w:rFonts w:ascii="Arial" w:hAnsi="Arial" w:cs="Arial"/>
          <w:b/>
          <w:lang w:val="es-CO"/>
        </w:rPr>
        <w:t>Agencia Ejecutora y E</w:t>
      </w:r>
      <w:r w:rsidR="00662580">
        <w:rPr>
          <w:rFonts w:ascii="Arial" w:hAnsi="Arial" w:cs="Arial"/>
          <w:b/>
          <w:lang w:val="es-CO"/>
        </w:rPr>
        <w:t>structura de Ejecución</w:t>
      </w:r>
    </w:p>
    <w:p w14:paraId="72659A59" w14:textId="06ECC8C3" w:rsidR="003C4237" w:rsidRPr="00662580" w:rsidRDefault="00182CF5">
      <w:pPr>
        <w:spacing w:before="200" w:after="20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t>5.1</w:t>
      </w:r>
      <w:r w:rsidRPr="00662580">
        <w:rPr>
          <w:rFonts w:ascii="Arial" w:hAnsi="Arial" w:cs="Arial"/>
          <w:lang w:val="es-CO"/>
        </w:rPr>
        <w:tab/>
        <w:t xml:space="preserve">El BID, a través de la CSD/CCS, </w:t>
      </w:r>
      <w:r w:rsidR="00A02C46" w:rsidRPr="00662580">
        <w:rPr>
          <w:rFonts w:ascii="Arial" w:hAnsi="Arial" w:cs="Arial"/>
          <w:lang w:val="es-CO"/>
        </w:rPr>
        <w:t>actuará</w:t>
      </w:r>
      <w:r w:rsidRPr="00662580">
        <w:rPr>
          <w:rFonts w:ascii="Arial" w:hAnsi="Arial" w:cs="Arial"/>
          <w:lang w:val="es-CO"/>
        </w:rPr>
        <w:t xml:space="preserve"> como la agencia ejecutora de la CT y asumirá la </w:t>
      </w:r>
      <w:r w:rsidRPr="00662580">
        <w:rPr>
          <w:rFonts w:ascii="Arial" w:hAnsi="Arial" w:cs="Arial"/>
          <w:lang w:val="es-CO"/>
        </w:rPr>
        <w:t>responsabilidad de su supervisión, desembolsos y adquisiciones. Además, CSD/CCS se coordinará con otros departamentos participantes del Grupo BID y actuará como enlace con otras iniciativas clave y partes interesadas involucradas en actividades de adaptaci</w:t>
      </w:r>
      <w:r w:rsidRPr="00662580">
        <w:rPr>
          <w:rFonts w:ascii="Arial" w:hAnsi="Arial" w:cs="Arial"/>
          <w:lang w:val="es-CO"/>
        </w:rPr>
        <w:t>ón y resiliencia climática (especialmente RND, HUD e INE).</w:t>
      </w:r>
      <w:r w:rsidR="00662580">
        <w:rPr>
          <w:rFonts w:ascii="Arial" w:hAnsi="Arial" w:cs="Arial"/>
          <w:lang w:val="es-CO"/>
        </w:rPr>
        <w:t xml:space="preserve"> </w:t>
      </w:r>
      <w:r w:rsidRPr="00662580">
        <w:rPr>
          <w:rFonts w:ascii="Arial" w:hAnsi="Arial" w:cs="Arial"/>
          <w:lang w:val="es-CO"/>
        </w:rPr>
        <w:t>En cuanto a las adquisiciones, el Banco contratará consultores individuales, empresas consultoras y servicios de consultoría de conformidad con las políticas y procedimientos de adquisiciones vigen</w:t>
      </w:r>
      <w:r w:rsidRPr="00662580">
        <w:rPr>
          <w:rFonts w:ascii="Arial" w:hAnsi="Arial" w:cs="Arial"/>
          <w:lang w:val="es-CO"/>
        </w:rPr>
        <w:t>tes del Banco.</w:t>
      </w:r>
    </w:p>
    <w:p w14:paraId="3EDF33B4" w14:textId="5F1FF11C" w:rsidR="003C4237" w:rsidRPr="00662580" w:rsidRDefault="00182CF5">
      <w:pPr>
        <w:spacing w:before="200" w:after="200"/>
        <w:ind w:left="579" w:hanging="579"/>
        <w:jc w:val="both"/>
        <w:rPr>
          <w:lang w:val="es-CO"/>
        </w:rPr>
      </w:pPr>
      <w:r w:rsidRPr="00662580">
        <w:rPr>
          <w:rFonts w:ascii="Arial" w:hAnsi="Arial" w:cs="Arial"/>
          <w:lang w:val="es-CO"/>
        </w:rPr>
        <w:t>5.2</w:t>
      </w:r>
      <w:r w:rsidRPr="00662580">
        <w:rPr>
          <w:rFonts w:ascii="Arial" w:hAnsi="Arial" w:cs="Arial"/>
          <w:lang w:val="es-CO"/>
        </w:rPr>
        <w:tab/>
        <w:t xml:space="preserve">Dado que la CT requiere una coordinación central, y que el BID posee el conocimiento necesario para brindar </w:t>
      </w:r>
      <w:r w:rsidR="00A02C46" w:rsidRPr="00662580">
        <w:rPr>
          <w:rFonts w:ascii="Arial" w:hAnsi="Arial" w:cs="Arial"/>
          <w:lang w:val="es-CO"/>
        </w:rPr>
        <w:t>asesoría</w:t>
      </w:r>
      <w:r w:rsidRPr="00662580">
        <w:rPr>
          <w:rFonts w:ascii="Arial" w:hAnsi="Arial" w:cs="Arial"/>
          <w:lang w:val="es-CO"/>
        </w:rPr>
        <w:t xml:space="preserve"> a los beneficiarios, el Gobierno de Colombia ha solicitado que el Banco </w:t>
      </w:r>
      <w:r w:rsidR="00A02C46" w:rsidRPr="00662580">
        <w:rPr>
          <w:rFonts w:ascii="Arial" w:hAnsi="Arial" w:cs="Arial"/>
          <w:lang w:val="es-CO"/>
        </w:rPr>
        <w:t>actúe</w:t>
      </w:r>
      <w:r w:rsidRPr="00662580">
        <w:rPr>
          <w:rFonts w:ascii="Arial" w:hAnsi="Arial" w:cs="Arial"/>
          <w:lang w:val="es-CO"/>
        </w:rPr>
        <w:t xml:space="preserve"> como ejecutor de la </w:t>
      </w:r>
      <w:r w:rsidR="00A02C46" w:rsidRPr="00662580">
        <w:rPr>
          <w:rFonts w:ascii="Arial" w:hAnsi="Arial" w:cs="Arial"/>
          <w:lang w:val="es-CO"/>
        </w:rPr>
        <w:t>operación</w:t>
      </w:r>
      <w:r w:rsidRPr="00662580">
        <w:rPr>
          <w:rFonts w:ascii="Arial" w:hAnsi="Arial" w:cs="Arial"/>
          <w:lang w:val="es-CO"/>
        </w:rPr>
        <w:t>.</w:t>
      </w:r>
    </w:p>
    <w:p w14:paraId="13CF6579" w14:textId="6B80E9D6" w:rsidR="003C4237" w:rsidRPr="00662580" w:rsidRDefault="00182CF5">
      <w:pPr>
        <w:spacing w:before="120" w:after="120"/>
        <w:ind w:left="579" w:hanging="579"/>
        <w:rPr>
          <w:lang w:val="es-CO"/>
        </w:rPr>
      </w:pPr>
      <w:r w:rsidRPr="00662580">
        <w:rPr>
          <w:rFonts w:ascii="Arial" w:hAnsi="Arial" w:cs="Arial"/>
          <w:b/>
          <w:lang w:val="es-CO"/>
        </w:rPr>
        <w:t>VI.</w:t>
      </w:r>
      <w:r w:rsidRPr="00662580">
        <w:rPr>
          <w:rFonts w:ascii="Arial" w:hAnsi="Arial" w:cs="Arial"/>
          <w:b/>
          <w:lang w:val="es-CO"/>
        </w:rPr>
        <w:tab/>
      </w:r>
      <w:r w:rsidR="00662580">
        <w:rPr>
          <w:rFonts w:ascii="Arial" w:hAnsi="Arial" w:cs="Arial"/>
          <w:b/>
          <w:lang w:val="es-CO"/>
        </w:rPr>
        <w:t>Riesgos Importantes</w:t>
      </w:r>
    </w:p>
    <w:p w14:paraId="167487B6" w14:textId="2E3CDF0D" w:rsidR="003C4237" w:rsidRPr="00662580" w:rsidRDefault="00182CF5" w:rsidP="00662580">
      <w:pPr>
        <w:spacing w:before="200" w:after="200"/>
        <w:ind w:left="579" w:hanging="579"/>
        <w:jc w:val="both"/>
        <w:rPr>
          <w:rFonts w:ascii="Arial" w:hAnsi="Arial" w:cs="Arial"/>
          <w:lang w:val="es-CO"/>
        </w:rPr>
      </w:pPr>
      <w:r w:rsidRPr="00662580">
        <w:rPr>
          <w:rFonts w:ascii="Arial" w:hAnsi="Arial" w:cs="Arial"/>
          <w:lang w:val="es-CO"/>
        </w:rPr>
        <w:t>6.1</w:t>
      </w:r>
      <w:r w:rsidRPr="00662580">
        <w:rPr>
          <w:rFonts w:ascii="Arial" w:hAnsi="Arial" w:cs="Arial"/>
          <w:lang w:val="es-CO"/>
        </w:rPr>
        <w:tab/>
        <w:t xml:space="preserve">Desafíos en la disponibilidad y capacidad de contrapartes del gobierno para proveer retroalimentación en el desarrollo de los diferentes productos, para asegurar relevancia al contexto y necesidades del país. Para mitigar este riesgo </w:t>
      </w:r>
      <w:r w:rsidRPr="00662580">
        <w:rPr>
          <w:rFonts w:ascii="Arial" w:hAnsi="Arial" w:cs="Arial"/>
          <w:lang w:val="es-CO"/>
        </w:rPr>
        <w:t>se diseñarán y acordarán con las partes del gobierno relevantes un cronograma de trabajo que tenga en cuenta los tiempos de mayor demanda de trabajo dentro del gobierno y que facilite la coordinación para el desarrollo efectivo de las diferentes actividade</w:t>
      </w:r>
      <w:r w:rsidRPr="00662580">
        <w:rPr>
          <w:rFonts w:ascii="Arial" w:hAnsi="Arial" w:cs="Arial"/>
          <w:lang w:val="es-CO"/>
        </w:rPr>
        <w:t>s.</w:t>
      </w:r>
      <w:r w:rsidR="00662580">
        <w:rPr>
          <w:rFonts w:ascii="Arial" w:hAnsi="Arial" w:cs="Arial"/>
          <w:lang w:val="es-CO"/>
        </w:rPr>
        <w:t xml:space="preserve"> </w:t>
      </w:r>
      <w:r w:rsidRPr="00662580">
        <w:rPr>
          <w:rFonts w:ascii="Arial" w:hAnsi="Arial" w:cs="Arial"/>
          <w:lang w:val="es-CO"/>
        </w:rPr>
        <w:t xml:space="preserve">Se estima como un riesgo moderado para la implementación de la CT, las demoras y/o no ejecución de las actividades de los componentes debido a las restricciones para realizar reuniones, movilidad y entre otras medidas tomadas desde marzo de 2020 por el </w:t>
      </w:r>
      <w:r w:rsidRPr="00662580">
        <w:rPr>
          <w:rFonts w:ascii="Arial" w:hAnsi="Arial" w:cs="Arial"/>
          <w:lang w:val="es-CO"/>
        </w:rPr>
        <w:t>gobierno nacional y los gobiernos locales para contrarrestar la pandemia del COVID-19. Para mitigar este riesgo se ha propuesto que todas las consultas, talleres y reuniones se desarrollen virtualmente y coordinando las agendas de los actores locales y nac</w:t>
      </w:r>
      <w:r w:rsidRPr="00662580">
        <w:rPr>
          <w:rFonts w:ascii="Arial" w:hAnsi="Arial" w:cs="Arial"/>
          <w:lang w:val="es-CO"/>
        </w:rPr>
        <w:t>ionales a través del MADS.</w:t>
      </w:r>
    </w:p>
    <w:p w14:paraId="0F86FFCD" w14:textId="094D51D1" w:rsidR="003C4237" w:rsidRPr="00662580" w:rsidRDefault="00182CF5">
      <w:pPr>
        <w:spacing w:before="120" w:after="120"/>
        <w:ind w:left="579" w:hanging="579"/>
        <w:rPr>
          <w:lang w:val="es-CO"/>
        </w:rPr>
      </w:pPr>
      <w:r w:rsidRPr="00662580">
        <w:rPr>
          <w:rFonts w:ascii="Arial" w:hAnsi="Arial" w:cs="Arial"/>
          <w:b/>
          <w:lang w:val="es-CO"/>
        </w:rPr>
        <w:t>VII.</w:t>
      </w:r>
      <w:r w:rsidRPr="00662580">
        <w:rPr>
          <w:rFonts w:ascii="Arial" w:hAnsi="Arial" w:cs="Arial"/>
          <w:b/>
          <w:lang w:val="es-CO"/>
        </w:rPr>
        <w:tab/>
      </w:r>
      <w:r w:rsidR="00662580" w:rsidRPr="00662580">
        <w:rPr>
          <w:rFonts w:ascii="Arial" w:hAnsi="Arial" w:cs="Arial"/>
          <w:b/>
          <w:lang w:val="es-CO"/>
        </w:rPr>
        <w:t>Clasificación Ambiental y S</w:t>
      </w:r>
      <w:r w:rsidR="00662580">
        <w:rPr>
          <w:rFonts w:ascii="Arial" w:hAnsi="Arial" w:cs="Arial"/>
          <w:b/>
          <w:lang w:val="es-CO"/>
        </w:rPr>
        <w:t>ocial</w:t>
      </w:r>
    </w:p>
    <w:p w14:paraId="4910152B" w14:textId="77777777" w:rsidR="003C4237" w:rsidRDefault="00182CF5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>The ESG classification for this operation is "C".</w:t>
      </w:r>
    </w:p>
    <w:sectPr w:rsidR="003C4237" w:rsidSect="00662580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6F9E9" w14:textId="77777777" w:rsidR="00182CF5" w:rsidRDefault="00182CF5">
      <w:r>
        <w:separator/>
      </w:r>
    </w:p>
  </w:endnote>
  <w:endnote w:type="continuationSeparator" w:id="0">
    <w:p w14:paraId="2C9FA3AB" w14:textId="77777777" w:rsidR="00182CF5" w:rsidRDefault="0018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3139" w14:textId="77777777" w:rsidR="003C4237" w:rsidRDefault="00182CF5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662580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D088" w14:textId="77777777" w:rsidR="00182CF5" w:rsidRDefault="00182CF5">
      <w:r>
        <w:separator/>
      </w:r>
    </w:p>
  </w:footnote>
  <w:footnote w:type="continuationSeparator" w:id="0">
    <w:p w14:paraId="2A304E4A" w14:textId="77777777" w:rsidR="00182CF5" w:rsidRDefault="00182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82CF5"/>
    <w:rsid w:val="001915A3"/>
    <w:rsid w:val="00217F62"/>
    <w:rsid w:val="003C4237"/>
    <w:rsid w:val="004C58F3"/>
    <w:rsid w:val="00662580"/>
    <w:rsid w:val="00A02C46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721DC"/>
  <w15:docId w15:val="{9A8F4E8B-9639-4725-BD42-C3A7EFDF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18E4129ABD8654E8E6889D0356984F4" ma:contentTypeVersion="10790" ma:contentTypeDescription="The base project type from which other project content types inherit their information." ma:contentTypeScope="" ma:versionID="c989824c6bd7c35540af340d3bd6d49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9592cda65f6949658c0593359fb52f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E5D82047E0B4342B43C583AB4F9C689" ma:contentTypeVersion="0" ma:contentTypeDescription="A content type to manage public (operations) IDB documents" ma:contentTypeScope="" ma:versionID="9ecb8c6f6283c491f22515b5f74e9fd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244c8b8d8d25a6f2aa0cf40c16159b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CSD/CCS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ATN/OC-18643-CO</Approval_x0020_Number>
    <Phase xmlns="cdc7663a-08f0-4737-9e8c-148ce897a09c">PHASE_IMPLEMENTATION</Phase>
    <Document_x0020_Author xmlns="cdc7663a-08f0-4737-9e8c-148ce897a09c">Gomez Juan Carlos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FINANCING</TermName>
          <TermId xmlns="http://schemas.microsoft.com/office/infopath/2007/PartnerControls">0721090b-7598-4438-912e-9210b5215a71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Related_x0020_SisCor_x0020_Number xmlns="cdc7663a-08f0-4737-9e8c-148ce897a09c" xsi:nil="true"/>
    <TaxCatchAll xmlns="cdc7663a-08f0-4737-9e8c-148ce897a09c">
      <Value>140</Value>
      <Value>46</Value>
      <Value>32</Value>
      <Value>120</Value>
      <Value>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CO-T1633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Extracted_x0020_Keywords xmlns="cdc7663a-08f0-4737-9e8c-148ce897a09c" xsi:nil="true"/>
    <_dlc_DocId xmlns="cdc7663a-08f0-4737-9e8c-148ce897a09c">EZSHARE-1747183493-23</_dlc_DocId>
    <_dlc_DocIdUrl xmlns="cdc7663a-08f0-4737-9e8c-148ce897a09c">
      <Url>https://idbg.sharepoint.com/teams/EZ-CO-TCP/CO-T1633/_layouts/15/DocIdRedir.aspx?ID=EZSHARE-1747183493-23</Url>
      <Description>EZSHARE-1747183493-23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66F11B2D-715D-4959-9C41-D876ABC3EEFD}"/>
</file>

<file path=customXml/itemProps2.xml><?xml version="1.0" encoding="utf-8"?>
<ds:datastoreItem xmlns:ds="http://schemas.openxmlformats.org/officeDocument/2006/customXml" ds:itemID="{E5E2E61C-E75C-4BDB-B2DF-13F9057800CC}"/>
</file>

<file path=customXml/itemProps3.xml><?xml version="1.0" encoding="utf-8"?>
<ds:datastoreItem xmlns:ds="http://schemas.openxmlformats.org/officeDocument/2006/customXml" ds:itemID="{79D50F5A-A041-4541-8026-216F10ACB0F9}"/>
</file>

<file path=customXml/itemProps4.xml><?xml version="1.0" encoding="utf-8"?>
<ds:datastoreItem xmlns:ds="http://schemas.openxmlformats.org/officeDocument/2006/customXml" ds:itemID="{E05C50D3-6F78-4483-B792-BAD094731886}"/>
</file>

<file path=customXml/itemProps5.xml><?xml version="1.0" encoding="utf-8"?>
<ds:datastoreItem xmlns:ds="http://schemas.openxmlformats.org/officeDocument/2006/customXml" ds:itemID="{7AC51A63-3CF6-4C31-B122-552A1C6833AE}"/>
</file>

<file path=customXml/itemProps6.xml><?xml version="1.0" encoding="utf-8"?>
<ds:datastoreItem xmlns:ds="http://schemas.openxmlformats.org/officeDocument/2006/customXml" ds:itemID="{80AE9858-BBF0-43B2-8D78-854F86A104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Juan Carlos</dc:creator>
  <cp:keywords/>
  <cp:lastModifiedBy>Gomez, Juan Carlos</cp:lastModifiedBy>
  <cp:revision>2</cp:revision>
  <dcterms:created xsi:type="dcterms:W3CDTF">2021-12-10T21:09:00Z</dcterms:created>
  <dcterms:modified xsi:type="dcterms:W3CDTF">2021-12-10T21:09:00Z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32;#Colombia|c7d386d6-75f3-4fc0-bde8-e021ccd68f5c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140;#CLIMATE CHANGE FINANCING|0721090b-7598-4438-912e-9210b5215a71</vt:lpwstr>
  </property>
  <property fmtid="{D5CDD505-2E9C-101B-9397-08002B2CF9AE}" pid="13" name="Fund IDB">
    <vt:lpwstr>120;#SUS|a52fbbab-6bb9-4f53-9a43-d35ec8453bb2</vt:lpwstr>
  </property>
  <property fmtid="{D5CDD505-2E9C-101B-9397-08002B2CF9AE}" pid="14" name="Sector IDB">
    <vt:lpwstr>46;#ENVIRONMENT AND NATURAL DISASTERS|261e2b33-090b-4ab0-8e06-3aa3e7f32d57</vt:lpwstr>
  </property>
  <property fmtid="{D5CDD505-2E9C-101B-9397-08002B2CF9AE}" pid="15" name="_dlc_DocIdItemGuid">
    <vt:lpwstr>49af45ab-080c-4ccf-a68e-96238b9c317e</vt:lpwstr>
  </property>
  <property fmtid="{D5CDD505-2E9C-101B-9397-08002B2CF9AE}" pid="16" name="Disclosure Activity">
    <vt:lpwstr>TC Abstract</vt:lpwstr>
  </property>
  <property fmtid="{D5CDD505-2E9C-101B-9397-08002B2CF9AE}" pid="18" name="ContentTypeId">
    <vt:lpwstr>0x0101001A458A224826124E8B45B1D613300CFC009E5D82047E0B4342B43C583AB4F9C689</vt:lpwstr>
  </property>
  <property fmtid="{D5CDD505-2E9C-101B-9397-08002B2CF9AE}" pid="19" name="Series Operations IDB">
    <vt:lpwstr/>
  </property>
</Properties>
</file>