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39"/>
        <w:tblW w:w="12885" w:type="dxa"/>
        <w:tblLayout w:type="fixed"/>
        <w:tblCellMar>
          <w:left w:w="0" w:type="dxa"/>
          <w:right w:w="0" w:type="dxa"/>
        </w:tblCellMar>
        <w:tblLook w:val="0000" w:firstRow="0" w:lastRow="0" w:firstColumn="0" w:lastColumn="0" w:noHBand="0" w:noVBand="0"/>
      </w:tblPr>
      <w:tblGrid>
        <w:gridCol w:w="3307"/>
        <w:gridCol w:w="1388"/>
        <w:gridCol w:w="1350"/>
        <w:gridCol w:w="1440"/>
        <w:gridCol w:w="5400"/>
      </w:tblGrid>
      <w:tr w:rsidR="006D551A" w:rsidRPr="00E929DC" w:rsidTr="00915536">
        <w:trPr>
          <w:trHeight w:val="615"/>
        </w:trPr>
        <w:tc>
          <w:tcPr>
            <w:tcW w:w="12885" w:type="dxa"/>
            <w:gridSpan w:val="5"/>
            <w:tcBorders>
              <w:top w:val="nil"/>
              <w:left w:val="nil"/>
              <w:bottom w:val="single" w:sz="4" w:space="0" w:color="auto"/>
              <w:right w:val="nil"/>
            </w:tcBorders>
            <w:tcMar>
              <w:top w:w="15" w:type="dxa"/>
              <w:left w:w="15" w:type="dxa"/>
              <w:bottom w:w="0" w:type="dxa"/>
              <w:right w:w="15" w:type="dxa"/>
            </w:tcMar>
            <w:vAlign w:val="center"/>
          </w:tcPr>
          <w:p w:rsidR="006D551A" w:rsidRPr="00114D99" w:rsidRDefault="00114D99" w:rsidP="00114D99">
            <w:pPr>
              <w:widowControl/>
              <w:tabs>
                <w:tab w:val="left" w:pos="90"/>
              </w:tabs>
              <w:adjustRightInd/>
              <w:spacing w:line="240" w:lineRule="auto"/>
              <w:jc w:val="center"/>
              <w:textAlignment w:val="auto"/>
              <w:rPr>
                <w:rFonts w:eastAsia="Times New Roman" w:cs="Arial"/>
                <w:b/>
                <w:bCs/>
                <w:smallCaps/>
                <w:color w:val="auto"/>
                <w:sz w:val="28"/>
                <w:szCs w:val="28"/>
              </w:rPr>
            </w:pPr>
            <w:bookmarkStart w:id="0" w:name="_GoBack"/>
            <w:bookmarkEnd w:id="0"/>
            <w:r w:rsidRPr="00114D99">
              <w:rPr>
                <w:b/>
                <w:smallCaps/>
                <w:color w:val="auto"/>
                <w:sz w:val="28"/>
                <w:szCs w:val="28"/>
              </w:rPr>
              <w:t>Matriz de Resultados</w:t>
            </w:r>
          </w:p>
        </w:tc>
      </w:tr>
      <w:tr w:rsidR="006D551A" w:rsidRPr="00EF7BA5" w:rsidTr="00915536">
        <w:trPr>
          <w:trHeight w:val="276"/>
        </w:trPr>
        <w:tc>
          <w:tcPr>
            <w:tcW w:w="3307" w:type="dxa"/>
            <w:vMerge w:val="restart"/>
            <w:tcBorders>
              <w:top w:val="nil"/>
              <w:left w:val="single" w:sz="4" w:space="0" w:color="auto"/>
              <w:bottom w:val="single" w:sz="4" w:space="0" w:color="000000"/>
              <w:right w:val="single" w:sz="4" w:space="0" w:color="auto"/>
            </w:tcBorders>
            <w:noWrap/>
            <w:tcMar>
              <w:top w:w="15" w:type="dxa"/>
              <w:left w:w="15" w:type="dxa"/>
              <w:bottom w:w="0" w:type="dxa"/>
              <w:right w:w="15" w:type="dxa"/>
            </w:tcMar>
            <w:vAlign w:val="center"/>
          </w:tcPr>
          <w:p w:rsidR="006D551A" w:rsidRPr="00E929DC" w:rsidRDefault="006D551A" w:rsidP="006D551A">
            <w:pPr>
              <w:widowControl/>
              <w:adjustRightInd/>
              <w:spacing w:line="240" w:lineRule="auto"/>
              <w:ind w:right="165"/>
              <w:jc w:val="center"/>
              <w:textAlignment w:val="auto"/>
              <w:rPr>
                <w:rFonts w:eastAsia="Times New Roman" w:cs="Arial"/>
                <w:b/>
                <w:bCs/>
                <w:color w:val="auto"/>
                <w:sz w:val="22"/>
                <w:lang w:val="es-ES"/>
              </w:rPr>
            </w:pPr>
            <w:r w:rsidRPr="00E929DC">
              <w:rPr>
                <w:rFonts w:eastAsia="Times New Roman" w:cs="Arial"/>
                <w:b/>
                <w:bCs/>
                <w:color w:val="auto"/>
                <w:sz w:val="22"/>
                <w:lang w:val="es-ES"/>
              </w:rPr>
              <w:t>Objetivo del Proyecto</w:t>
            </w:r>
          </w:p>
        </w:tc>
        <w:tc>
          <w:tcPr>
            <w:tcW w:w="9578" w:type="dxa"/>
            <w:gridSpan w:val="4"/>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vAlign w:val="center"/>
          </w:tcPr>
          <w:p w:rsidR="006D551A" w:rsidRPr="007370FC" w:rsidRDefault="001C1D35" w:rsidP="00A435EA">
            <w:pPr>
              <w:spacing w:line="240" w:lineRule="auto"/>
              <w:rPr>
                <w:rFonts w:eastAsia="Calibri"/>
                <w:color w:val="auto"/>
                <w:lang w:val="es-ES"/>
              </w:rPr>
            </w:pPr>
            <w:r w:rsidRPr="001C1D35">
              <w:rPr>
                <w:lang w:val="es-ES"/>
              </w:rPr>
              <w:t xml:space="preserve">Fortalecer y modernizar el marco normativo, institucional y de política pública para la gestión integral del riesgo de desastres. </w:t>
            </w:r>
          </w:p>
        </w:tc>
      </w:tr>
      <w:tr w:rsidR="006D551A" w:rsidRPr="00EF7BA5" w:rsidTr="00915536">
        <w:trPr>
          <w:trHeight w:val="276"/>
        </w:trPr>
        <w:tc>
          <w:tcPr>
            <w:tcW w:w="3307" w:type="dxa"/>
            <w:vMerge/>
            <w:tcBorders>
              <w:top w:val="nil"/>
              <w:left w:val="single" w:sz="4" w:space="0" w:color="auto"/>
              <w:bottom w:val="single" w:sz="4" w:space="0" w:color="000000"/>
              <w:right w:val="single" w:sz="4" w:space="0" w:color="auto"/>
            </w:tcBorders>
            <w:vAlign w:val="center"/>
          </w:tcPr>
          <w:p w:rsidR="006D551A" w:rsidRPr="00E929DC" w:rsidRDefault="006D551A" w:rsidP="006D551A">
            <w:pPr>
              <w:widowControl/>
              <w:adjustRightInd/>
              <w:spacing w:line="240" w:lineRule="auto"/>
              <w:ind w:right="165"/>
              <w:jc w:val="left"/>
              <w:textAlignment w:val="auto"/>
              <w:rPr>
                <w:rFonts w:eastAsia="Arial Unicode MS"/>
                <w:b/>
                <w:color w:val="auto"/>
                <w:sz w:val="22"/>
                <w:lang w:val="es-ES"/>
              </w:rPr>
            </w:pPr>
          </w:p>
        </w:tc>
        <w:tc>
          <w:tcPr>
            <w:tcW w:w="9578" w:type="dxa"/>
            <w:gridSpan w:val="4"/>
            <w:vMerge/>
            <w:tcBorders>
              <w:top w:val="single" w:sz="4" w:space="0" w:color="auto"/>
              <w:left w:val="single" w:sz="4" w:space="0" w:color="auto"/>
              <w:bottom w:val="single" w:sz="4" w:space="0" w:color="000000"/>
              <w:right w:val="single" w:sz="4" w:space="0" w:color="000000"/>
            </w:tcBorders>
            <w:vAlign w:val="center"/>
          </w:tcPr>
          <w:p w:rsidR="006D551A" w:rsidRPr="00E929DC" w:rsidRDefault="006D551A" w:rsidP="006D551A">
            <w:pPr>
              <w:widowControl/>
              <w:adjustRightInd/>
              <w:spacing w:line="240" w:lineRule="auto"/>
              <w:jc w:val="left"/>
              <w:textAlignment w:val="auto"/>
              <w:rPr>
                <w:rFonts w:eastAsia="Arial Unicode MS"/>
                <w:i/>
                <w:color w:val="auto"/>
                <w:sz w:val="22"/>
                <w:lang w:val="es-ES"/>
              </w:rPr>
            </w:pPr>
          </w:p>
        </w:tc>
      </w:tr>
      <w:tr w:rsidR="006D551A" w:rsidRPr="00EF7BA5" w:rsidTr="00915536">
        <w:trPr>
          <w:trHeight w:val="139"/>
        </w:trPr>
        <w:tc>
          <w:tcPr>
            <w:tcW w:w="12885" w:type="dxa"/>
            <w:gridSpan w:val="5"/>
            <w:tcBorders>
              <w:top w:val="single" w:sz="4" w:space="0" w:color="auto"/>
              <w:left w:val="nil"/>
              <w:bottom w:val="single" w:sz="4" w:space="0" w:color="auto"/>
              <w:right w:val="nil"/>
            </w:tcBorders>
            <w:noWrap/>
            <w:tcMar>
              <w:top w:w="15" w:type="dxa"/>
              <w:left w:w="15" w:type="dxa"/>
              <w:bottom w:w="0" w:type="dxa"/>
              <w:right w:w="15" w:type="dxa"/>
            </w:tcMar>
            <w:vAlign w:val="center"/>
          </w:tcPr>
          <w:p w:rsidR="006D551A" w:rsidRPr="00E929DC" w:rsidRDefault="006D551A" w:rsidP="006D551A">
            <w:pPr>
              <w:widowControl/>
              <w:adjustRightInd/>
              <w:spacing w:line="240" w:lineRule="auto"/>
              <w:ind w:right="165"/>
              <w:jc w:val="center"/>
              <w:textAlignment w:val="auto"/>
              <w:rPr>
                <w:rFonts w:eastAsia="Arial Unicode MS"/>
                <w:b/>
                <w:color w:val="auto"/>
                <w:sz w:val="22"/>
                <w:lang w:val="es-ES"/>
              </w:rPr>
            </w:pPr>
            <w:r w:rsidRPr="00E929DC">
              <w:rPr>
                <w:rFonts w:eastAsia="Times New Roman"/>
                <w:b/>
                <w:color w:val="auto"/>
                <w:sz w:val="22"/>
                <w:lang w:val="es-ES"/>
              </w:rPr>
              <w:t> </w:t>
            </w:r>
          </w:p>
        </w:tc>
      </w:tr>
      <w:tr w:rsidR="006D551A" w:rsidRPr="00E929DC" w:rsidTr="00183D42">
        <w:trPr>
          <w:trHeight w:val="255"/>
        </w:trPr>
        <w:tc>
          <w:tcPr>
            <w:tcW w:w="4695" w:type="dxa"/>
            <w:gridSpan w:val="2"/>
            <w:tcBorders>
              <w:top w:val="single" w:sz="4" w:space="0" w:color="auto"/>
              <w:left w:val="single" w:sz="4" w:space="0" w:color="auto"/>
              <w:bottom w:val="single" w:sz="4" w:space="0" w:color="auto"/>
              <w:right w:val="nil"/>
            </w:tcBorders>
            <w:shd w:val="clear" w:color="auto" w:fill="8DB3E2" w:themeFill="text2" w:themeFillTint="66"/>
            <w:noWrap/>
            <w:tcMar>
              <w:top w:w="15" w:type="dxa"/>
              <w:left w:w="15" w:type="dxa"/>
              <w:bottom w:w="0" w:type="dxa"/>
              <w:right w:w="15" w:type="dxa"/>
            </w:tcMar>
            <w:vAlign w:val="bottom"/>
          </w:tcPr>
          <w:p w:rsidR="006D551A" w:rsidRPr="006510A9" w:rsidRDefault="006D551A" w:rsidP="006D551A">
            <w:pPr>
              <w:widowControl/>
              <w:adjustRightInd/>
              <w:spacing w:line="240" w:lineRule="auto"/>
              <w:ind w:right="165"/>
              <w:jc w:val="center"/>
              <w:textAlignment w:val="auto"/>
              <w:rPr>
                <w:rFonts w:eastAsia="Arial Unicode MS"/>
                <w:b/>
                <w:color w:val="auto"/>
                <w:sz w:val="22"/>
                <w:lang w:val="es-ES"/>
              </w:rPr>
            </w:pPr>
            <w:r w:rsidRPr="006510A9">
              <w:rPr>
                <w:rFonts w:eastAsia="Times New Roman"/>
                <w:b/>
                <w:color w:val="auto"/>
                <w:sz w:val="22"/>
                <w:lang w:val="es-ES"/>
              </w:rPr>
              <w:t>Fin/Indicadores</w:t>
            </w:r>
          </w:p>
        </w:tc>
        <w:tc>
          <w:tcPr>
            <w:tcW w:w="1350" w:type="dxa"/>
            <w:tcBorders>
              <w:top w:val="single" w:sz="4" w:space="0" w:color="auto"/>
              <w:left w:val="single" w:sz="4" w:space="0" w:color="auto"/>
              <w:bottom w:val="single" w:sz="4" w:space="0" w:color="auto"/>
              <w:right w:val="nil"/>
            </w:tcBorders>
            <w:shd w:val="clear" w:color="auto" w:fill="8DB3E2" w:themeFill="text2" w:themeFillTint="66"/>
            <w:noWrap/>
            <w:tcMar>
              <w:top w:w="15" w:type="dxa"/>
              <w:left w:w="15" w:type="dxa"/>
              <w:bottom w:w="0" w:type="dxa"/>
              <w:right w:w="15" w:type="dxa"/>
            </w:tcMar>
            <w:vAlign w:val="bottom"/>
          </w:tcPr>
          <w:p w:rsidR="00BB534A" w:rsidRPr="006510A9" w:rsidRDefault="00915536" w:rsidP="00BB534A">
            <w:pPr>
              <w:widowControl/>
              <w:adjustRightInd/>
              <w:spacing w:line="240" w:lineRule="auto"/>
              <w:ind w:right="165"/>
              <w:jc w:val="center"/>
              <w:textAlignment w:val="auto"/>
              <w:rPr>
                <w:rFonts w:eastAsia="Times New Roman"/>
                <w:b/>
                <w:color w:val="auto"/>
                <w:sz w:val="22"/>
                <w:lang w:val="es-ES"/>
              </w:rPr>
            </w:pPr>
            <w:r>
              <w:rPr>
                <w:rFonts w:eastAsia="Times New Roman"/>
                <w:b/>
                <w:color w:val="auto"/>
                <w:sz w:val="22"/>
                <w:lang w:val="es-ES"/>
              </w:rPr>
              <w:t xml:space="preserve">Línea Base </w:t>
            </w:r>
            <w:r w:rsidR="00BB534A">
              <w:rPr>
                <w:rFonts w:eastAsia="Times New Roman"/>
                <w:b/>
                <w:color w:val="auto"/>
                <w:sz w:val="22"/>
                <w:lang w:val="es-ES"/>
              </w:rPr>
              <w:t>(2008)</w:t>
            </w:r>
          </w:p>
        </w:tc>
        <w:tc>
          <w:tcPr>
            <w:tcW w:w="144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6D551A" w:rsidRPr="006510A9" w:rsidRDefault="00CE3BA4" w:rsidP="006D551A">
            <w:pPr>
              <w:widowControl/>
              <w:adjustRightInd/>
              <w:spacing w:line="240" w:lineRule="auto"/>
              <w:ind w:right="165"/>
              <w:jc w:val="center"/>
              <w:textAlignment w:val="auto"/>
              <w:rPr>
                <w:rFonts w:eastAsia="Times New Roman"/>
                <w:b/>
                <w:color w:val="auto"/>
                <w:sz w:val="22"/>
                <w:lang w:val="es-ES"/>
              </w:rPr>
            </w:pPr>
            <w:r>
              <w:rPr>
                <w:rFonts w:eastAsia="Times New Roman"/>
                <w:b/>
                <w:color w:val="auto"/>
                <w:sz w:val="22"/>
                <w:lang w:val="es-ES"/>
              </w:rPr>
              <w:t>Meta Final (2014</w:t>
            </w:r>
            <w:r w:rsidR="006D551A" w:rsidRPr="006510A9">
              <w:rPr>
                <w:rFonts w:eastAsia="Times New Roman"/>
                <w:b/>
                <w:color w:val="auto"/>
                <w:sz w:val="22"/>
                <w:lang w:val="es-ES"/>
              </w:rPr>
              <w:t>)</w:t>
            </w:r>
          </w:p>
        </w:tc>
        <w:tc>
          <w:tcPr>
            <w:tcW w:w="5400" w:type="dxa"/>
            <w:tcBorders>
              <w:top w:val="single" w:sz="4" w:space="0" w:color="auto"/>
              <w:left w:val="single" w:sz="4" w:space="0" w:color="auto"/>
              <w:bottom w:val="single" w:sz="4" w:space="0" w:color="auto"/>
              <w:right w:val="single" w:sz="4" w:space="0" w:color="000000"/>
            </w:tcBorders>
            <w:shd w:val="clear" w:color="auto" w:fill="8DB3E2" w:themeFill="text2" w:themeFillTint="66"/>
            <w:noWrap/>
            <w:tcMar>
              <w:top w:w="15" w:type="dxa"/>
              <w:left w:w="15" w:type="dxa"/>
              <w:bottom w:w="0" w:type="dxa"/>
              <w:right w:w="15" w:type="dxa"/>
            </w:tcMar>
            <w:vAlign w:val="bottom"/>
          </w:tcPr>
          <w:p w:rsidR="006D551A" w:rsidRPr="006510A9" w:rsidRDefault="006D551A" w:rsidP="006D551A">
            <w:pPr>
              <w:widowControl/>
              <w:adjustRightInd/>
              <w:spacing w:line="240" w:lineRule="auto"/>
              <w:ind w:right="165"/>
              <w:jc w:val="center"/>
              <w:textAlignment w:val="auto"/>
              <w:rPr>
                <w:rFonts w:eastAsia="Times New Roman"/>
                <w:b/>
                <w:color w:val="auto"/>
                <w:sz w:val="22"/>
                <w:lang w:val="es-ES"/>
              </w:rPr>
            </w:pPr>
            <w:r w:rsidRPr="006510A9">
              <w:rPr>
                <w:rFonts w:eastAsia="Times New Roman"/>
                <w:b/>
                <w:color w:val="auto"/>
                <w:sz w:val="22"/>
                <w:lang w:val="es-ES"/>
              </w:rPr>
              <w:t>Comentarios/Supuestos</w:t>
            </w:r>
          </w:p>
        </w:tc>
      </w:tr>
      <w:tr w:rsidR="00CE7D82" w:rsidRPr="00EF7BA5" w:rsidTr="00183D42">
        <w:trPr>
          <w:trHeight w:val="2683"/>
        </w:trPr>
        <w:tc>
          <w:tcPr>
            <w:tcW w:w="469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E7D82" w:rsidRPr="00E929DC" w:rsidRDefault="00CE7D82" w:rsidP="00A435EA">
            <w:pPr>
              <w:widowControl/>
              <w:adjustRightInd/>
              <w:spacing w:before="120" w:after="120" w:line="240" w:lineRule="auto"/>
              <w:ind w:right="165"/>
              <w:jc w:val="left"/>
              <w:textAlignment w:val="auto"/>
              <w:rPr>
                <w:rFonts w:eastAsia="Times New Roman"/>
                <w:b/>
                <w:i/>
                <w:color w:val="auto"/>
                <w:sz w:val="22"/>
                <w:lang w:val="es-ES"/>
              </w:rPr>
            </w:pPr>
            <w:r>
              <w:rPr>
                <w:rFonts w:eastAsia="Times New Roman"/>
                <w:b/>
                <w:color w:val="auto"/>
                <w:sz w:val="22"/>
                <w:lang w:val="es-ES"/>
              </w:rPr>
              <w:t>Mejorar el desempeño de la gestión de riesgo a nivel nacional.</w:t>
            </w:r>
          </w:p>
          <w:p w:rsidR="00CE7D82" w:rsidRDefault="00CE7D82" w:rsidP="00915536">
            <w:pPr>
              <w:widowControl/>
              <w:adjustRightInd/>
              <w:spacing w:before="120" w:after="120" w:line="240" w:lineRule="auto"/>
              <w:ind w:right="165"/>
              <w:jc w:val="left"/>
              <w:textAlignment w:val="auto"/>
              <w:rPr>
                <w:rFonts w:eastAsia="Times New Roman"/>
                <w:color w:val="auto"/>
                <w:sz w:val="22"/>
                <w:lang w:val="es-ES"/>
              </w:rPr>
            </w:pPr>
            <w:r>
              <w:rPr>
                <w:rFonts w:eastAsia="Times New Roman"/>
                <w:i/>
                <w:color w:val="auto"/>
                <w:sz w:val="22"/>
                <w:lang w:val="es-ES"/>
              </w:rPr>
              <w:t xml:space="preserve">Indicador: </w:t>
            </w:r>
            <w:r w:rsidRPr="00915536">
              <w:rPr>
                <w:rFonts w:eastAsia="Times New Roman"/>
                <w:color w:val="auto"/>
                <w:sz w:val="22"/>
                <w:lang w:val="es-ES"/>
              </w:rPr>
              <w:t>Índice de Gestión de Riesgos</w:t>
            </w:r>
            <w:r>
              <w:rPr>
                <w:rFonts w:eastAsia="Times New Roman"/>
                <w:color w:val="auto"/>
                <w:sz w:val="22"/>
                <w:lang w:val="es-ES"/>
              </w:rPr>
              <w:t xml:space="preserve"> (</w:t>
            </w:r>
            <w:r w:rsidRPr="00504714">
              <w:rPr>
                <w:rFonts w:eastAsia="Times New Roman"/>
                <w:i/>
                <w:color w:val="auto"/>
                <w:sz w:val="22"/>
                <w:lang w:val="es-ES"/>
              </w:rPr>
              <w:t>IGR</w:t>
            </w:r>
            <w:r>
              <w:rPr>
                <w:rFonts w:eastAsia="Times New Roman"/>
                <w:color w:val="auto"/>
                <w:sz w:val="22"/>
                <w:lang w:val="es-ES"/>
              </w:rPr>
              <w:t>)</w:t>
            </w:r>
          </w:p>
          <w:p w:rsidR="00CE7D82" w:rsidRPr="00E929DC" w:rsidRDefault="00CE7D82" w:rsidP="00CF63F8">
            <w:pPr>
              <w:spacing w:before="120" w:after="120" w:line="240" w:lineRule="auto"/>
              <w:ind w:right="165"/>
              <w:jc w:val="left"/>
              <w:rPr>
                <w:rFonts w:eastAsia="Times New Roman"/>
                <w:b/>
                <w:i/>
                <w:color w:val="auto"/>
                <w:sz w:val="22"/>
                <w:lang w:val="es-ES"/>
              </w:rPr>
            </w:pPr>
            <m:oMathPara>
              <m:oMath>
                <m:r>
                  <w:rPr>
                    <w:rFonts w:ascii="Cambria Math" w:eastAsia="Times New Roman" w:hAnsi="Cambria Math"/>
                    <w:color w:val="auto"/>
                    <w:sz w:val="22"/>
                    <w:lang w:val="es-ES"/>
                  </w:rPr>
                  <m:t>IGR=</m:t>
                </m:r>
                <m:d>
                  <m:dPr>
                    <m:begChr m:val="["/>
                    <m:endChr m:val="]"/>
                    <m:ctrlPr>
                      <w:rPr>
                        <w:rFonts w:ascii="Cambria Math" w:eastAsia="Times New Roman" w:hAnsi="Cambria Math"/>
                        <w:i/>
                        <w:color w:val="auto"/>
                        <w:sz w:val="22"/>
                        <w:lang w:val="es-ES"/>
                      </w:rPr>
                    </m:ctrlPr>
                  </m:dPr>
                  <m:e>
                    <m:sSub>
                      <m:sSubPr>
                        <m:ctrlPr>
                          <w:rPr>
                            <w:rFonts w:ascii="Cambria Math" w:eastAsia="Times New Roman" w:hAnsi="Cambria Math"/>
                            <w:i/>
                            <w:color w:val="auto"/>
                            <w:sz w:val="22"/>
                            <w:lang w:val="es-ES"/>
                          </w:rPr>
                        </m:ctrlPr>
                      </m:sSubPr>
                      <m:e>
                        <m:r>
                          <w:rPr>
                            <w:rFonts w:ascii="Cambria Math" w:eastAsia="Times New Roman" w:hAnsi="Cambria Math"/>
                            <w:color w:val="auto"/>
                            <w:sz w:val="22"/>
                            <w:lang w:val="es-ES"/>
                          </w:rPr>
                          <m:t>IGR</m:t>
                        </m:r>
                      </m:e>
                      <m:sub>
                        <m:r>
                          <w:rPr>
                            <w:rFonts w:ascii="Cambria Math" w:eastAsia="Times New Roman" w:hAnsi="Cambria Math"/>
                            <w:color w:val="auto"/>
                            <w:sz w:val="22"/>
                            <w:lang w:val="es-ES"/>
                          </w:rPr>
                          <m:t>IR</m:t>
                        </m:r>
                      </m:sub>
                    </m:sSub>
                    <m:r>
                      <w:rPr>
                        <w:rFonts w:ascii="Cambria Math" w:eastAsia="Times New Roman" w:hAnsi="Cambria Math"/>
                        <w:color w:val="auto"/>
                        <w:sz w:val="22"/>
                        <w:lang w:val="es-ES"/>
                      </w:rPr>
                      <m:t>+</m:t>
                    </m:r>
                    <m:sSub>
                      <m:sSubPr>
                        <m:ctrlPr>
                          <w:rPr>
                            <w:rFonts w:ascii="Cambria Math" w:eastAsia="Times New Roman" w:hAnsi="Cambria Math"/>
                            <w:i/>
                            <w:color w:val="auto"/>
                            <w:sz w:val="22"/>
                            <w:lang w:val="es-ES"/>
                          </w:rPr>
                        </m:ctrlPr>
                      </m:sSubPr>
                      <m:e>
                        <m:r>
                          <w:rPr>
                            <w:rFonts w:ascii="Cambria Math" w:eastAsia="Times New Roman" w:hAnsi="Cambria Math"/>
                            <w:color w:val="auto"/>
                            <w:sz w:val="22"/>
                            <w:lang w:val="es-ES"/>
                          </w:rPr>
                          <m:t>IGR</m:t>
                        </m:r>
                      </m:e>
                      <m:sub>
                        <m:r>
                          <w:rPr>
                            <w:rFonts w:ascii="Cambria Math" w:eastAsia="Times New Roman" w:hAnsi="Cambria Math"/>
                            <w:color w:val="auto"/>
                            <w:sz w:val="22"/>
                            <w:lang w:val="es-ES"/>
                          </w:rPr>
                          <m:t>RR</m:t>
                        </m:r>
                      </m:sub>
                    </m:sSub>
                    <m:r>
                      <w:rPr>
                        <w:rFonts w:ascii="Cambria Math" w:eastAsia="Times New Roman" w:hAnsi="Cambria Math"/>
                        <w:color w:val="auto"/>
                        <w:sz w:val="22"/>
                        <w:lang w:val="es-ES"/>
                      </w:rPr>
                      <m:t>+</m:t>
                    </m:r>
                    <m:sSub>
                      <m:sSubPr>
                        <m:ctrlPr>
                          <w:rPr>
                            <w:rFonts w:ascii="Cambria Math" w:eastAsia="Times New Roman" w:hAnsi="Cambria Math"/>
                            <w:i/>
                            <w:color w:val="auto"/>
                            <w:sz w:val="22"/>
                            <w:lang w:val="es-ES"/>
                          </w:rPr>
                        </m:ctrlPr>
                      </m:sSubPr>
                      <m:e>
                        <m:r>
                          <w:rPr>
                            <w:rFonts w:ascii="Cambria Math" w:eastAsia="Times New Roman" w:hAnsi="Cambria Math"/>
                            <w:color w:val="auto"/>
                            <w:sz w:val="22"/>
                            <w:lang w:val="es-ES"/>
                          </w:rPr>
                          <m:t>IGR</m:t>
                        </m:r>
                      </m:e>
                      <m:sub>
                        <m:r>
                          <w:rPr>
                            <w:rFonts w:ascii="Cambria Math" w:eastAsia="Times New Roman" w:hAnsi="Cambria Math"/>
                            <w:color w:val="auto"/>
                            <w:sz w:val="22"/>
                            <w:lang w:val="es-ES"/>
                          </w:rPr>
                          <m:t>MD</m:t>
                        </m:r>
                      </m:sub>
                    </m:sSub>
                    <m:r>
                      <w:rPr>
                        <w:rFonts w:ascii="Cambria Math" w:eastAsia="Times New Roman" w:hAnsi="Cambria Math"/>
                        <w:color w:val="auto"/>
                        <w:sz w:val="22"/>
                        <w:lang w:val="es-ES"/>
                      </w:rPr>
                      <m:t>+</m:t>
                    </m:r>
                    <m:sSub>
                      <m:sSubPr>
                        <m:ctrlPr>
                          <w:rPr>
                            <w:rFonts w:ascii="Cambria Math" w:eastAsia="Times New Roman" w:hAnsi="Cambria Math"/>
                            <w:i/>
                            <w:color w:val="auto"/>
                            <w:sz w:val="22"/>
                            <w:lang w:val="es-ES"/>
                          </w:rPr>
                        </m:ctrlPr>
                      </m:sSubPr>
                      <m:e>
                        <m:r>
                          <w:rPr>
                            <w:rFonts w:ascii="Cambria Math" w:eastAsia="Times New Roman" w:hAnsi="Cambria Math"/>
                            <w:color w:val="auto"/>
                            <w:sz w:val="22"/>
                            <w:lang w:val="es-ES"/>
                          </w:rPr>
                          <m:t>IGR</m:t>
                        </m:r>
                      </m:e>
                      <m:sub>
                        <m:r>
                          <w:rPr>
                            <w:rFonts w:ascii="Cambria Math" w:eastAsia="Times New Roman" w:hAnsi="Cambria Math"/>
                            <w:color w:val="auto"/>
                            <w:sz w:val="22"/>
                            <w:lang w:val="es-ES"/>
                          </w:rPr>
                          <m:t>PF</m:t>
                        </m:r>
                      </m:sub>
                    </m:sSub>
                  </m:e>
                </m:d>
                <m:r>
                  <w:rPr>
                    <w:rFonts w:ascii="Cambria Math" w:eastAsia="Times New Roman" w:hAnsi="Cambria Math"/>
                    <w:color w:val="auto"/>
                    <w:sz w:val="22"/>
                    <w:lang w:val="es-ES"/>
                  </w:rPr>
                  <m:t>/4</m:t>
                </m:r>
              </m:oMath>
            </m:oMathPara>
          </w:p>
        </w:tc>
        <w:tc>
          <w:tcPr>
            <w:tcW w:w="13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7D82" w:rsidRPr="00E929DC" w:rsidRDefault="00632C2F" w:rsidP="001B01FF">
            <w:pPr>
              <w:spacing w:before="120" w:after="120" w:line="240" w:lineRule="auto"/>
              <w:ind w:right="186"/>
              <w:jc w:val="center"/>
              <w:rPr>
                <w:rFonts w:eastAsia="Times New Roman"/>
                <w:color w:val="auto"/>
                <w:sz w:val="22"/>
                <w:lang w:val="es-ES"/>
              </w:rPr>
            </w:pPr>
            <w:r>
              <w:rPr>
                <w:rFonts w:eastAsia="Times New Roman"/>
                <w:color w:val="auto"/>
                <w:sz w:val="22"/>
                <w:lang w:val="es-ES"/>
              </w:rPr>
              <w:t>28.42</w:t>
            </w:r>
          </w:p>
        </w:tc>
        <w:tc>
          <w:tcPr>
            <w:tcW w:w="1440" w:type="dxa"/>
            <w:tcBorders>
              <w:top w:val="single" w:sz="4" w:space="0" w:color="auto"/>
              <w:left w:val="single" w:sz="4" w:space="0" w:color="auto"/>
              <w:bottom w:val="single" w:sz="4" w:space="0" w:color="auto"/>
              <w:right w:val="single" w:sz="4" w:space="0" w:color="auto"/>
            </w:tcBorders>
            <w:vAlign w:val="center"/>
          </w:tcPr>
          <w:p w:rsidR="00CE7D82" w:rsidRPr="00E929DC" w:rsidRDefault="00D24C3F" w:rsidP="00D24C3F">
            <w:pPr>
              <w:spacing w:before="120" w:after="120" w:line="240" w:lineRule="auto"/>
              <w:ind w:right="172"/>
              <w:jc w:val="center"/>
              <w:rPr>
                <w:rFonts w:eastAsia="Times New Roman"/>
                <w:color w:val="auto"/>
                <w:sz w:val="22"/>
                <w:lang w:val="es-ES"/>
              </w:rPr>
            </w:pPr>
            <w:r>
              <w:rPr>
                <w:rFonts w:eastAsia="Times New Roman"/>
                <w:color w:val="auto"/>
                <w:sz w:val="22"/>
                <w:lang w:val="es-ES"/>
              </w:rPr>
              <w:t>38.69</w:t>
            </w:r>
          </w:p>
        </w:tc>
        <w:tc>
          <w:tcPr>
            <w:tcW w:w="54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E7D82" w:rsidRPr="00233025" w:rsidRDefault="00CE7D82" w:rsidP="00650607">
            <w:pPr>
              <w:widowControl/>
              <w:adjustRightInd/>
              <w:spacing w:before="120" w:after="120" w:line="240" w:lineRule="auto"/>
              <w:textAlignment w:val="auto"/>
              <w:rPr>
                <w:rFonts w:eastAsia="Arial Unicode MS"/>
                <w:color w:val="auto"/>
                <w:sz w:val="20"/>
                <w:szCs w:val="20"/>
                <w:lang w:val="es-ES"/>
              </w:rPr>
            </w:pPr>
            <w:r w:rsidRPr="00233025">
              <w:rPr>
                <w:rFonts w:eastAsia="Arial Unicode MS"/>
                <w:b/>
                <w:i/>
                <w:color w:val="auto"/>
                <w:sz w:val="20"/>
                <w:szCs w:val="20"/>
                <w:lang w:val="es-ES"/>
              </w:rPr>
              <w:t xml:space="preserve">Observaciones: </w:t>
            </w:r>
            <w:r w:rsidRPr="00233025">
              <w:rPr>
                <w:rFonts w:eastAsia="Arial Unicode MS"/>
                <w:color w:val="auto"/>
                <w:sz w:val="20"/>
                <w:szCs w:val="20"/>
                <w:lang w:val="es-ES"/>
              </w:rPr>
              <w:t xml:space="preserve">El </w:t>
            </w:r>
            <w:r w:rsidRPr="00233025">
              <w:rPr>
                <w:rFonts w:eastAsia="Arial Unicode MS"/>
                <w:i/>
                <w:color w:val="auto"/>
                <w:sz w:val="20"/>
                <w:szCs w:val="20"/>
                <w:lang w:val="es-ES"/>
              </w:rPr>
              <w:t>IGR</w:t>
            </w:r>
            <w:r w:rsidRPr="00233025">
              <w:rPr>
                <w:rFonts w:eastAsia="Arial Unicode MS"/>
                <w:color w:val="auto"/>
                <w:sz w:val="20"/>
                <w:szCs w:val="20"/>
                <w:lang w:val="es-ES"/>
              </w:rPr>
              <w:t xml:space="preserve"> mide el desempeño de la gestión del riesgo de un país. Está compuesto por cuatro subíndices que incluyen el índice  de identificación de riesgo (</w:t>
            </w:r>
            <m:oMath>
              <m:sSub>
                <m:sSubPr>
                  <m:ctrlPr>
                    <w:rPr>
                      <w:rFonts w:ascii="Cambria Math" w:eastAsia="Times New Roman" w:hAnsi="Cambria Math"/>
                      <w:i/>
                      <w:color w:val="auto"/>
                      <w:sz w:val="20"/>
                      <w:szCs w:val="20"/>
                      <w:lang w:val="es-ES"/>
                    </w:rPr>
                  </m:ctrlPr>
                </m:sSubPr>
                <m:e>
                  <m:r>
                    <w:rPr>
                      <w:rFonts w:ascii="Cambria Math" w:eastAsia="Times New Roman" w:hAnsi="Cambria Math"/>
                      <w:color w:val="auto"/>
                      <w:sz w:val="20"/>
                      <w:szCs w:val="20"/>
                      <w:lang w:val="es-ES"/>
                    </w:rPr>
                    <m:t>IGR</m:t>
                  </m:r>
                </m:e>
                <m:sub>
                  <m:r>
                    <w:rPr>
                      <w:rFonts w:ascii="Cambria Math" w:eastAsia="Times New Roman" w:hAnsi="Cambria Math"/>
                      <w:color w:val="auto"/>
                      <w:sz w:val="20"/>
                      <w:szCs w:val="20"/>
                      <w:lang w:val="es-ES"/>
                    </w:rPr>
                    <m:t>IR</m:t>
                  </m:r>
                </m:sub>
              </m:sSub>
            </m:oMath>
            <w:r w:rsidRPr="00233025">
              <w:rPr>
                <w:rFonts w:eastAsia="Arial Unicode MS"/>
                <w:color w:val="auto"/>
                <w:sz w:val="20"/>
                <w:szCs w:val="20"/>
                <w:lang w:val="es-ES"/>
              </w:rPr>
              <w:t>),  el índice de reducción de riesgo (</w:t>
            </w:r>
            <m:oMath>
              <m:sSub>
                <m:sSubPr>
                  <m:ctrlPr>
                    <w:rPr>
                      <w:rFonts w:ascii="Cambria Math" w:eastAsia="Times New Roman" w:hAnsi="Cambria Math"/>
                      <w:i/>
                      <w:color w:val="auto"/>
                      <w:sz w:val="20"/>
                      <w:szCs w:val="20"/>
                      <w:lang w:val="es-ES"/>
                    </w:rPr>
                  </m:ctrlPr>
                </m:sSubPr>
                <m:e>
                  <m:r>
                    <w:rPr>
                      <w:rFonts w:ascii="Cambria Math" w:eastAsia="Times New Roman" w:hAnsi="Cambria Math"/>
                      <w:color w:val="auto"/>
                      <w:sz w:val="20"/>
                      <w:szCs w:val="20"/>
                      <w:lang w:val="es-ES"/>
                    </w:rPr>
                    <m:t>IGR</m:t>
                  </m:r>
                </m:e>
                <m:sub>
                  <m:r>
                    <w:rPr>
                      <w:rFonts w:ascii="Cambria Math" w:eastAsia="Times New Roman" w:hAnsi="Cambria Math"/>
                      <w:color w:val="auto"/>
                      <w:sz w:val="20"/>
                      <w:szCs w:val="20"/>
                      <w:lang w:val="es-ES"/>
                    </w:rPr>
                    <m:t>RR</m:t>
                  </m:r>
                </m:sub>
              </m:sSub>
              <m:r>
                <w:rPr>
                  <w:rFonts w:ascii="Cambria Math" w:eastAsia="Times New Roman" w:hAnsi="Cambria Math"/>
                  <w:color w:val="auto"/>
                  <w:sz w:val="20"/>
                  <w:szCs w:val="20"/>
                  <w:lang w:val="es-ES"/>
                </w:rPr>
                <m:t>)</m:t>
              </m:r>
            </m:oMath>
            <w:r w:rsidRPr="00233025">
              <w:rPr>
                <w:rFonts w:eastAsia="Arial Unicode MS"/>
                <w:color w:val="auto"/>
                <w:sz w:val="20"/>
                <w:szCs w:val="20"/>
                <w:lang w:val="es-ES"/>
              </w:rPr>
              <w:t>, el índice de manejo de desastres (</w:t>
            </w:r>
            <m:oMath>
              <m:sSub>
                <m:sSubPr>
                  <m:ctrlPr>
                    <w:rPr>
                      <w:rFonts w:ascii="Cambria Math" w:eastAsia="Times New Roman" w:hAnsi="Cambria Math"/>
                      <w:i/>
                      <w:color w:val="auto"/>
                      <w:sz w:val="20"/>
                      <w:szCs w:val="20"/>
                      <w:lang w:val="es-ES"/>
                    </w:rPr>
                  </m:ctrlPr>
                </m:sSubPr>
                <m:e>
                  <m:r>
                    <w:rPr>
                      <w:rFonts w:ascii="Cambria Math" w:eastAsia="Times New Roman" w:hAnsi="Cambria Math"/>
                      <w:color w:val="auto"/>
                      <w:sz w:val="20"/>
                      <w:szCs w:val="20"/>
                      <w:lang w:val="es-ES"/>
                    </w:rPr>
                    <m:t>IGR</m:t>
                  </m:r>
                </m:e>
                <m:sub>
                  <m:r>
                    <w:rPr>
                      <w:rFonts w:ascii="Cambria Math" w:eastAsia="Times New Roman" w:hAnsi="Cambria Math"/>
                      <w:color w:val="auto"/>
                      <w:sz w:val="20"/>
                      <w:szCs w:val="20"/>
                      <w:lang w:val="es-ES"/>
                    </w:rPr>
                    <m:t>MD</m:t>
                  </m:r>
                </m:sub>
              </m:sSub>
            </m:oMath>
            <w:r w:rsidRPr="00233025">
              <w:rPr>
                <w:rFonts w:eastAsia="Arial Unicode MS"/>
                <w:color w:val="auto"/>
                <w:sz w:val="20"/>
                <w:szCs w:val="20"/>
                <w:lang w:val="es-ES"/>
              </w:rPr>
              <w:t>) y el índice de gobernabilidad y protección financiera (</w:t>
            </w:r>
            <m:oMath>
              <m:sSub>
                <m:sSubPr>
                  <m:ctrlPr>
                    <w:rPr>
                      <w:rFonts w:ascii="Cambria Math" w:eastAsia="Times New Roman" w:hAnsi="Cambria Math"/>
                      <w:i/>
                      <w:color w:val="auto"/>
                      <w:sz w:val="20"/>
                      <w:szCs w:val="20"/>
                      <w:lang w:val="es-ES"/>
                    </w:rPr>
                  </m:ctrlPr>
                </m:sSubPr>
                <m:e>
                  <m:r>
                    <w:rPr>
                      <w:rFonts w:ascii="Cambria Math" w:eastAsia="Times New Roman" w:hAnsi="Cambria Math"/>
                      <w:color w:val="auto"/>
                      <w:sz w:val="20"/>
                      <w:szCs w:val="20"/>
                      <w:lang w:val="es-ES"/>
                    </w:rPr>
                    <m:t>IGR</m:t>
                  </m:r>
                </m:e>
                <m:sub>
                  <m:r>
                    <w:rPr>
                      <w:rFonts w:ascii="Cambria Math" w:eastAsia="Times New Roman" w:hAnsi="Cambria Math"/>
                      <w:color w:val="auto"/>
                      <w:sz w:val="20"/>
                      <w:szCs w:val="20"/>
                      <w:lang w:val="es-ES"/>
                    </w:rPr>
                    <m:t>PF</m:t>
                  </m:r>
                </m:sub>
              </m:sSub>
            </m:oMath>
            <w:r w:rsidRPr="00233025">
              <w:rPr>
                <w:rFonts w:eastAsia="Arial Unicode MS"/>
                <w:color w:val="auto"/>
                <w:sz w:val="20"/>
                <w:szCs w:val="20"/>
                <w:lang w:val="es-ES"/>
              </w:rPr>
              <w:t xml:space="preserve">). </w:t>
            </w:r>
          </w:p>
          <w:p w:rsidR="00CE7D82" w:rsidRPr="00CE3BA4" w:rsidRDefault="00CE7D82" w:rsidP="00650607">
            <w:pPr>
              <w:widowControl/>
              <w:adjustRightInd/>
              <w:spacing w:before="120" w:after="120" w:line="240" w:lineRule="auto"/>
              <w:textAlignment w:val="auto"/>
              <w:rPr>
                <w:rFonts w:eastAsia="Arial Unicode MS"/>
                <w:color w:val="auto"/>
                <w:sz w:val="22"/>
                <w:lang w:val="es-ES"/>
              </w:rPr>
            </w:pPr>
            <w:r w:rsidRPr="00233025">
              <w:rPr>
                <w:rFonts w:eastAsia="Arial Unicode MS"/>
                <w:color w:val="auto"/>
                <w:sz w:val="20"/>
                <w:szCs w:val="20"/>
                <w:lang w:val="es-ES"/>
              </w:rPr>
              <w:t xml:space="preserve">El </w:t>
            </w:r>
            <w:r w:rsidRPr="00233025">
              <w:rPr>
                <w:rFonts w:eastAsia="Arial Unicode MS"/>
                <w:i/>
                <w:color w:val="auto"/>
                <w:sz w:val="20"/>
                <w:szCs w:val="20"/>
                <w:lang w:val="es-ES"/>
              </w:rPr>
              <w:t>IGR</w:t>
            </w:r>
            <w:r w:rsidRPr="00233025">
              <w:rPr>
                <w:rFonts w:eastAsia="Arial Unicode MS"/>
                <w:color w:val="auto"/>
                <w:sz w:val="20"/>
                <w:szCs w:val="20"/>
                <w:lang w:val="es-ES"/>
              </w:rPr>
              <w:t xml:space="preserve"> utilizado como línea de base es el valor</w:t>
            </w:r>
            <w:r>
              <w:rPr>
                <w:rFonts w:eastAsia="Arial Unicode MS"/>
                <w:color w:val="auto"/>
                <w:sz w:val="20"/>
                <w:szCs w:val="20"/>
                <w:lang w:val="es-ES"/>
              </w:rPr>
              <w:t xml:space="preserve"> del indicador</w:t>
            </w:r>
            <w:r w:rsidRPr="00233025">
              <w:rPr>
                <w:rFonts w:eastAsia="Arial Unicode MS"/>
                <w:color w:val="auto"/>
                <w:sz w:val="20"/>
                <w:szCs w:val="20"/>
                <w:lang w:val="es-ES"/>
              </w:rPr>
              <w:t xml:space="preserve"> actualizado para el año de 2008. El valor de meta utilizado se refiere a una proyección del IGR calculado en base al supuesto de cumpli</w:t>
            </w:r>
            <w:r>
              <w:rPr>
                <w:rFonts w:eastAsia="Arial Unicode MS"/>
                <w:color w:val="auto"/>
                <w:sz w:val="20"/>
                <w:szCs w:val="20"/>
                <w:lang w:val="es-ES"/>
              </w:rPr>
              <w:t>miento de todos los compromisos y</w:t>
            </w:r>
            <w:r w:rsidR="00F36E62">
              <w:rPr>
                <w:rFonts w:eastAsia="Arial Unicode MS"/>
                <w:color w:val="auto"/>
                <w:sz w:val="20"/>
                <w:szCs w:val="20"/>
                <w:lang w:val="es-ES"/>
              </w:rPr>
              <w:t xml:space="preserve"> los indicadores de esta matriz y manteniendo los otros indicadores constantes. </w:t>
            </w:r>
          </w:p>
        </w:tc>
      </w:tr>
      <w:tr w:rsidR="00D80E15" w:rsidRPr="00EF7BA5" w:rsidTr="00183D42">
        <w:trPr>
          <w:trHeight w:val="3460"/>
        </w:trPr>
        <w:tc>
          <w:tcPr>
            <w:tcW w:w="4695" w:type="dxa"/>
            <w:gridSpan w:val="2"/>
            <w:tcBorders>
              <w:top w:val="single" w:sz="4" w:space="0" w:color="auto"/>
              <w:left w:val="single" w:sz="4" w:space="0" w:color="auto"/>
              <w:right w:val="single" w:sz="4" w:space="0" w:color="auto"/>
            </w:tcBorders>
            <w:noWrap/>
            <w:tcMar>
              <w:top w:w="15" w:type="dxa"/>
              <w:left w:w="15" w:type="dxa"/>
              <w:bottom w:w="0" w:type="dxa"/>
              <w:right w:w="15" w:type="dxa"/>
            </w:tcMar>
            <w:vAlign w:val="center"/>
          </w:tcPr>
          <w:p w:rsidR="00D80E15" w:rsidRPr="002C0207" w:rsidRDefault="00D80E15" w:rsidP="00D80E15">
            <w:pPr>
              <w:widowControl/>
              <w:adjustRightInd/>
              <w:spacing w:before="120" w:after="120" w:line="240" w:lineRule="auto"/>
              <w:ind w:right="165"/>
              <w:jc w:val="left"/>
              <w:textAlignment w:val="auto"/>
              <w:rPr>
                <w:rFonts w:eastAsia="Times New Roman"/>
                <w:b/>
                <w:color w:val="auto"/>
                <w:sz w:val="22"/>
                <w:szCs w:val="22"/>
                <w:lang w:val="es-ES"/>
              </w:rPr>
            </w:pPr>
            <w:r>
              <w:rPr>
                <w:b/>
                <w:sz w:val="22"/>
                <w:szCs w:val="22"/>
                <w:lang w:val="es-ES"/>
              </w:rPr>
              <w:t>Mejorar las condiciones de Gobernabilidad para la GRD</w:t>
            </w:r>
          </w:p>
          <w:p w:rsidR="00D80E15" w:rsidRPr="00233025" w:rsidRDefault="00D80E15" w:rsidP="00D80E15">
            <w:pPr>
              <w:widowControl/>
              <w:adjustRightInd/>
              <w:spacing w:before="120" w:after="120" w:line="240" w:lineRule="auto"/>
              <w:ind w:right="165"/>
              <w:jc w:val="left"/>
              <w:textAlignment w:val="auto"/>
              <w:rPr>
                <w:rFonts w:eastAsia="Times New Roman"/>
                <w:color w:val="auto"/>
                <w:sz w:val="22"/>
                <w:lang w:val="es-ES"/>
              </w:rPr>
            </w:pPr>
            <w:r w:rsidRPr="006C54C0">
              <w:rPr>
                <w:rFonts w:eastAsia="Times New Roman"/>
                <w:i/>
                <w:color w:val="auto"/>
                <w:sz w:val="22"/>
                <w:lang w:val="es-ES"/>
              </w:rPr>
              <w:t>Indicador:</w:t>
            </w:r>
            <w:r w:rsidRPr="00233025">
              <w:rPr>
                <w:rFonts w:eastAsia="Times New Roman"/>
                <w:color w:val="auto"/>
                <w:sz w:val="22"/>
                <w:lang w:val="es-ES"/>
              </w:rPr>
              <w:t xml:space="preserve"> </w:t>
            </w:r>
            <w:r>
              <w:rPr>
                <w:rFonts w:eastAsia="Times New Roman"/>
                <w:color w:val="auto"/>
                <w:sz w:val="22"/>
                <w:lang w:val="es-ES"/>
              </w:rPr>
              <w:t>Índice de Gobernabilidad y Políticas Públicas para la Gestión de Riesgos (iGOPP)</w:t>
            </w:r>
          </w:p>
          <w:p w:rsidR="00D80E15" w:rsidRPr="002C0207" w:rsidRDefault="00D80E15" w:rsidP="00D80E15">
            <w:pPr>
              <w:spacing w:before="120" w:after="120" w:line="240" w:lineRule="auto"/>
              <w:ind w:right="165"/>
              <w:jc w:val="left"/>
              <w:rPr>
                <w:rFonts w:eastAsia="Times New Roman"/>
                <w:b/>
                <w:color w:val="auto"/>
                <w:sz w:val="22"/>
                <w:szCs w:val="22"/>
                <w:lang w:val="es-ES"/>
              </w:rPr>
            </w:pPr>
          </w:p>
        </w:tc>
        <w:tc>
          <w:tcPr>
            <w:tcW w:w="1350" w:type="dxa"/>
            <w:tcBorders>
              <w:top w:val="single" w:sz="4" w:space="0" w:color="auto"/>
              <w:left w:val="nil"/>
              <w:right w:val="single" w:sz="4" w:space="0" w:color="auto"/>
            </w:tcBorders>
            <w:noWrap/>
            <w:tcMar>
              <w:top w:w="15" w:type="dxa"/>
              <w:left w:w="15" w:type="dxa"/>
              <w:bottom w:w="0" w:type="dxa"/>
              <w:right w:w="15" w:type="dxa"/>
            </w:tcMar>
            <w:vAlign w:val="center"/>
          </w:tcPr>
          <w:p w:rsidR="00D80E15" w:rsidRPr="00E929DC" w:rsidRDefault="00BF344C" w:rsidP="00D80E15">
            <w:pPr>
              <w:spacing w:before="120" w:after="120" w:line="240" w:lineRule="auto"/>
              <w:ind w:right="186"/>
              <w:jc w:val="center"/>
              <w:rPr>
                <w:rFonts w:eastAsia="Times New Roman"/>
                <w:color w:val="auto"/>
                <w:sz w:val="22"/>
                <w:lang w:val="es-ES"/>
              </w:rPr>
            </w:pPr>
            <w:r>
              <w:rPr>
                <w:rFonts w:eastAsia="Times New Roman"/>
                <w:color w:val="auto"/>
                <w:sz w:val="22"/>
                <w:lang w:val="es-ES"/>
              </w:rPr>
              <w:t>31.12%</w:t>
            </w:r>
          </w:p>
        </w:tc>
        <w:tc>
          <w:tcPr>
            <w:tcW w:w="1440" w:type="dxa"/>
            <w:tcBorders>
              <w:top w:val="single" w:sz="4" w:space="0" w:color="auto"/>
              <w:left w:val="single" w:sz="4" w:space="0" w:color="auto"/>
              <w:right w:val="single" w:sz="4" w:space="0" w:color="auto"/>
            </w:tcBorders>
            <w:vAlign w:val="center"/>
          </w:tcPr>
          <w:p w:rsidR="00D80E15" w:rsidRPr="00E929DC" w:rsidRDefault="00BF344C" w:rsidP="00D80E15">
            <w:pPr>
              <w:spacing w:before="120" w:after="120" w:line="240" w:lineRule="auto"/>
              <w:ind w:right="172"/>
              <w:jc w:val="center"/>
              <w:rPr>
                <w:rFonts w:eastAsia="Times New Roman"/>
                <w:color w:val="auto"/>
                <w:sz w:val="22"/>
                <w:lang w:val="es-ES"/>
              </w:rPr>
            </w:pPr>
            <w:r>
              <w:rPr>
                <w:rFonts w:eastAsia="Times New Roman"/>
                <w:color w:val="auto"/>
                <w:sz w:val="22"/>
                <w:lang w:val="es-ES"/>
              </w:rPr>
              <w:t>51.87%</w:t>
            </w:r>
          </w:p>
        </w:tc>
        <w:tc>
          <w:tcPr>
            <w:tcW w:w="5400" w:type="dxa"/>
            <w:tcBorders>
              <w:top w:val="single" w:sz="4" w:space="0" w:color="auto"/>
              <w:left w:val="single" w:sz="4" w:space="0" w:color="auto"/>
              <w:right w:val="single" w:sz="4" w:space="0" w:color="auto"/>
            </w:tcBorders>
            <w:noWrap/>
            <w:tcMar>
              <w:top w:w="15" w:type="dxa"/>
              <w:left w:w="15" w:type="dxa"/>
              <w:bottom w:w="0" w:type="dxa"/>
              <w:right w:w="15" w:type="dxa"/>
            </w:tcMar>
            <w:vAlign w:val="center"/>
          </w:tcPr>
          <w:p w:rsidR="00D80E15" w:rsidRDefault="00D80E15" w:rsidP="00D80E15">
            <w:pPr>
              <w:pStyle w:val="NoSpacing"/>
              <w:rPr>
                <w:bCs/>
                <w:sz w:val="20"/>
                <w:szCs w:val="20"/>
                <w:lang w:val="es-ES"/>
              </w:rPr>
            </w:pPr>
            <w:r w:rsidRPr="00CE7D82">
              <w:rPr>
                <w:b/>
                <w:i/>
                <w:sz w:val="20"/>
                <w:szCs w:val="20"/>
                <w:lang w:val="es-ES_tradnl"/>
              </w:rPr>
              <w:t>Observaciones:</w:t>
            </w:r>
            <w:r>
              <w:rPr>
                <w:sz w:val="20"/>
                <w:szCs w:val="20"/>
                <w:lang w:val="es-ES_tradnl"/>
              </w:rPr>
              <w:t xml:space="preserve"> </w:t>
            </w:r>
            <w:r w:rsidRPr="00CE7D82">
              <w:rPr>
                <w:sz w:val="20"/>
                <w:szCs w:val="20"/>
                <w:lang w:val="es-ES_tradnl"/>
              </w:rPr>
              <w:t>El Índice de Gobernabilidad y Políticas Públicas (IGOPP) ha sido diseñado para evaluar</w:t>
            </w:r>
            <w:r>
              <w:rPr>
                <w:sz w:val="20"/>
                <w:szCs w:val="20"/>
                <w:lang w:val="es-ES_tradnl"/>
              </w:rPr>
              <w:t xml:space="preserve"> la gobernabilidad de un país</w:t>
            </w:r>
            <w:r w:rsidRPr="00CE7D82">
              <w:rPr>
                <w:sz w:val="20"/>
                <w:szCs w:val="20"/>
                <w:lang w:val="es-ES_tradnl"/>
              </w:rPr>
              <w:t xml:space="preserve"> en gestión del riesgo de desastres (GRD)</w:t>
            </w:r>
            <w:r>
              <w:rPr>
                <w:sz w:val="20"/>
                <w:szCs w:val="20"/>
                <w:lang w:val="es-ES_tradnl"/>
              </w:rPr>
              <w:t xml:space="preserve"> a través de</w:t>
            </w:r>
            <w:r w:rsidRPr="00CE7D82">
              <w:rPr>
                <w:sz w:val="20"/>
                <w:szCs w:val="20"/>
                <w:lang w:val="es-ES_tradnl"/>
              </w:rPr>
              <w:t xml:space="preserve"> la existencia formal de un número </w:t>
            </w:r>
            <w:r>
              <w:rPr>
                <w:sz w:val="20"/>
                <w:szCs w:val="20"/>
                <w:lang w:val="es-ES_tradnl"/>
              </w:rPr>
              <w:t xml:space="preserve">de </w:t>
            </w:r>
            <w:r w:rsidRPr="00CE7D82">
              <w:rPr>
                <w:sz w:val="20"/>
                <w:szCs w:val="20"/>
                <w:lang w:val="es-ES_tradnl"/>
              </w:rPr>
              <w:t>condiciones legales, institucionales y presupuestarias que se consideran fundamentales para</w:t>
            </w:r>
            <w:r>
              <w:rPr>
                <w:sz w:val="20"/>
                <w:szCs w:val="20"/>
                <w:lang w:val="es-ES_tradnl"/>
              </w:rPr>
              <w:t xml:space="preserve"> la implementación de</w:t>
            </w:r>
            <w:r w:rsidRPr="00CE7D82">
              <w:rPr>
                <w:sz w:val="20"/>
                <w:szCs w:val="20"/>
                <w:lang w:val="es-ES_tradnl"/>
              </w:rPr>
              <w:t xml:space="preserve"> los procesos de la gestión del riesgo de desastres</w:t>
            </w:r>
            <w:r>
              <w:rPr>
                <w:sz w:val="20"/>
                <w:szCs w:val="20"/>
                <w:lang w:val="es-ES_tradnl"/>
              </w:rPr>
              <w:t xml:space="preserve"> en un país</w:t>
            </w:r>
            <w:r w:rsidRPr="00CE7D82">
              <w:rPr>
                <w:sz w:val="20"/>
                <w:szCs w:val="20"/>
                <w:lang w:val="es-ES_tradnl"/>
              </w:rPr>
              <w:t>. Para la medición de dicho indicador se requiere el cumplimiento de un número predeterm</w:t>
            </w:r>
            <w:r>
              <w:rPr>
                <w:sz w:val="20"/>
                <w:szCs w:val="20"/>
                <w:lang w:val="es-ES_tradnl"/>
              </w:rPr>
              <w:t>inado de requisitos que al ser verificados</w:t>
            </w:r>
            <w:r w:rsidRPr="00CE7D82">
              <w:rPr>
                <w:sz w:val="20"/>
                <w:szCs w:val="20"/>
                <w:lang w:val="es-ES_tradnl"/>
              </w:rPr>
              <w:t xml:space="preserve"> otorgan un puntaje en seis dimensiones que componen el indicador: (i) Marco General de la GRD (MG); (ii) Identificación del Riesgo (IR); </w:t>
            </w:r>
            <w:r>
              <w:rPr>
                <w:sz w:val="20"/>
                <w:szCs w:val="20"/>
                <w:lang w:val="es-ES_tradnl"/>
              </w:rPr>
              <w:t xml:space="preserve">(iii) </w:t>
            </w:r>
            <w:r w:rsidRPr="00CE7D82">
              <w:rPr>
                <w:sz w:val="20"/>
                <w:szCs w:val="20"/>
                <w:lang w:val="es-ES_tradnl"/>
              </w:rPr>
              <w:t xml:space="preserve">Reducción del Riesgo (RR); </w:t>
            </w:r>
            <w:r>
              <w:rPr>
                <w:sz w:val="20"/>
                <w:szCs w:val="20"/>
                <w:lang w:val="es-ES_tradnl"/>
              </w:rPr>
              <w:t xml:space="preserve">(iv) </w:t>
            </w:r>
            <w:r w:rsidRPr="00CE7D82">
              <w:rPr>
                <w:sz w:val="20"/>
                <w:szCs w:val="20"/>
                <w:lang w:val="es-ES_tradnl"/>
              </w:rPr>
              <w:t xml:space="preserve">Preparativos de Respuesta (PR); </w:t>
            </w:r>
            <w:r>
              <w:rPr>
                <w:sz w:val="20"/>
                <w:szCs w:val="20"/>
                <w:lang w:val="es-ES_tradnl"/>
              </w:rPr>
              <w:t xml:space="preserve">(v) </w:t>
            </w:r>
            <w:r w:rsidRPr="00CE7D82">
              <w:rPr>
                <w:sz w:val="20"/>
                <w:szCs w:val="20"/>
                <w:lang w:val="es-ES_tradnl"/>
              </w:rPr>
              <w:t xml:space="preserve">Planificación de la Recuperación post-desastre (RC); </w:t>
            </w:r>
            <w:r w:rsidR="00C11B54">
              <w:rPr>
                <w:sz w:val="20"/>
                <w:szCs w:val="20"/>
                <w:lang w:val="es-ES_tradnl"/>
              </w:rPr>
              <w:t xml:space="preserve">y </w:t>
            </w:r>
            <w:r w:rsidRPr="00CE7D82">
              <w:rPr>
                <w:sz w:val="20"/>
                <w:szCs w:val="20"/>
                <w:lang w:val="es-ES_tradnl"/>
              </w:rPr>
              <w:t>(vi) Protección Financiera (PF)</w:t>
            </w:r>
            <w:r w:rsidR="00841EA5">
              <w:rPr>
                <w:sz w:val="20"/>
                <w:szCs w:val="20"/>
                <w:lang w:val="es-ES_tradnl"/>
              </w:rPr>
              <w:t>.</w:t>
            </w:r>
            <w:r w:rsidR="00357991">
              <w:rPr>
                <w:sz w:val="20"/>
                <w:szCs w:val="20"/>
                <w:lang w:val="es-ES_tradnl"/>
              </w:rPr>
              <w:t xml:space="preserve"> </w:t>
            </w:r>
            <w:r w:rsidR="00357991">
              <w:rPr>
                <w:bCs/>
                <w:sz w:val="20"/>
                <w:szCs w:val="20"/>
                <w:lang w:val="es-ES"/>
              </w:rPr>
              <w:t xml:space="preserve"> El porcentaje corresponde al número de indicadores que se han cumplido para todos los procesos de la gestión de riesgos</w:t>
            </w:r>
          </w:p>
          <w:p w:rsidR="00357991" w:rsidRPr="00CE7D82" w:rsidRDefault="00357991" w:rsidP="00D80E15">
            <w:pPr>
              <w:pStyle w:val="NoSpacing"/>
              <w:rPr>
                <w:lang w:val="es-ES_tradnl"/>
              </w:rPr>
            </w:pPr>
          </w:p>
        </w:tc>
      </w:tr>
      <w:tr w:rsidR="006C54C0" w:rsidRPr="00EF7BA5" w:rsidTr="00183D42">
        <w:trPr>
          <w:trHeight w:val="255"/>
        </w:trPr>
        <w:tc>
          <w:tcPr>
            <w:tcW w:w="469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C54C0" w:rsidRPr="001246AC" w:rsidRDefault="006C54C0" w:rsidP="00650607">
            <w:pPr>
              <w:widowControl/>
              <w:adjustRightInd/>
              <w:spacing w:before="120" w:after="120" w:line="240" w:lineRule="auto"/>
              <w:ind w:right="165"/>
              <w:jc w:val="left"/>
              <w:textAlignment w:val="auto"/>
              <w:rPr>
                <w:rFonts w:eastAsia="Times New Roman"/>
                <w:b/>
                <w:color w:val="auto"/>
                <w:sz w:val="22"/>
                <w:lang w:val="es-ES"/>
              </w:rPr>
            </w:pPr>
            <w:r w:rsidRPr="001246AC">
              <w:rPr>
                <w:rFonts w:eastAsia="Times New Roman"/>
                <w:b/>
                <w:color w:val="auto"/>
                <w:sz w:val="22"/>
                <w:lang w:val="es-ES"/>
              </w:rPr>
              <w:lastRenderedPageBreak/>
              <w:t xml:space="preserve">Disminuir </w:t>
            </w:r>
            <w:r>
              <w:rPr>
                <w:rFonts w:eastAsia="Times New Roman"/>
                <w:b/>
                <w:color w:val="auto"/>
                <w:sz w:val="22"/>
                <w:lang w:val="es-ES"/>
              </w:rPr>
              <w:t xml:space="preserve">la brecha de financiamiento para la </w:t>
            </w:r>
            <w:r>
              <w:rPr>
                <w:b/>
                <w:lang w:val="es-ES_tradnl"/>
              </w:rPr>
              <w:t xml:space="preserve">atención a la </w:t>
            </w:r>
            <w:r w:rsidRPr="001246AC">
              <w:rPr>
                <w:b/>
                <w:lang w:val="es-ES_tradnl"/>
              </w:rPr>
              <w:t>emergencia, rehabilitación y reconstrucción ante la ocurrencia de desastres</w:t>
            </w:r>
          </w:p>
        </w:tc>
        <w:tc>
          <w:tcPr>
            <w:tcW w:w="13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6C54C0" w:rsidRDefault="006C54C0" w:rsidP="00915536">
            <w:pPr>
              <w:widowControl/>
              <w:adjustRightInd/>
              <w:spacing w:before="120" w:after="120" w:line="240" w:lineRule="auto"/>
              <w:ind w:right="186"/>
              <w:jc w:val="center"/>
              <w:textAlignment w:val="auto"/>
              <w:rPr>
                <w:rFonts w:eastAsia="Times New Roman"/>
                <w:color w:val="auto"/>
                <w:sz w:val="22"/>
                <w:lang w:val="es-ES"/>
              </w:rPr>
            </w:pPr>
          </w:p>
        </w:tc>
        <w:tc>
          <w:tcPr>
            <w:tcW w:w="1440" w:type="dxa"/>
            <w:tcBorders>
              <w:top w:val="single" w:sz="4" w:space="0" w:color="auto"/>
              <w:left w:val="single" w:sz="4" w:space="0" w:color="auto"/>
              <w:bottom w:val="single" w:sz="4" w:space="0" w:color="auto"/>
              <w:right w:val="single" w:sz="4" w:space="0" w:color="auto"/>
            </w:tcBorders>
            <w:vAlign w:val="center"/>
          </w:tcPr>
          <w:p w:rsidR="006C54C0" w:rsidRPr="00B70E64" w:rsidRDefault="006C54C0" w:rsidP="00915536">
            <w:pPr>
              <w:widowControl/>
              <w:adjustRightInd/>
              <w:spacing w:before="120" w:after="120" w:line="240" w:lineRule="auto"/>
              <w:ind w:right="172"/>
              <w:jc w:val="center"/>
              <w:textAlignment w:val="auto"/>
              <w:rPr>
                <w:rFonts w:eastAsia="Times New Roman"/>
                <w:color w:val="auto"/>
                <w:sz w:val="22"/>
                <w:highlight w:val="yellow"/>
                <w:lang w:val="es-ES"/>
              </w:rPr>
            </w:pPr>
          </w:p>
        </w:tc>
        <w:tc>
          <w:tcPr>
            <w:tcW w:w="5400" w:type="dxa"/>
            <w:vMerge w:val="restart"/>
            <w:tcBorders>
              <w:top w:val="single" w:sz="4" w:space="0" w:color="auto"/>
              <w:left w:val="single" w:sz="4" w:space="0" w:color="auto"/>
              <w:right w:val="single" w:sz="4" w:space="0" w:color="auto"/>
            </w:tcBorders>
            <w:noWrap/>
            <w:tcMar>
              <w:top w:w="15" w:type="dxa"/>
              <w:left w:w="15" w:type="dxa"/>
              <w:bottom w:w="0" w:type="dxa"/>
              <w:right w:w="15" w:type="dxa"/>
            </w:tcMar>
            <w:vAlign w:val="center"/>
          </w:tcPr>
          <w:p w:rsidR="006C54C0" w:rsidRPr="006C54C0" w:rsidRDefault="006C54C0" w:rsidP="00965E87">
            <w:pPr>
              <w:widowControl/>
              <w:adjustRightInd/>
              <w:spacing w:before="120" w:after="120" w:line="240" w:lineRule="auto"/>
              <w:ind w:right="14"/>
              <w:textAlignment w:val="auto"/>
              <w:rPr>
                <w:rFonts w:eastAsia="Times New Roman" w:cs="Arial"/>
                <w:color w:val="auto"/>
                <w:sz w:val="20"/>
                <w:szCs w:val="20"/>
                <w:highlight w:val="yellow"/>
                <w:lang w:val="es-ES"/>
              </w:rPr>
            </w:pPr>
            <w:r w:rsidRPr="006C54C0">
              <w:rPr>
                <w:rFonts w:eastAsia="Times New Roman" w:cs="Arial"/>
                <w:b/>
                <w:i/>
                <w:color w:val="auto"/>
                <w:sz w:val="20"/>
                <w:szCs w:val="20"/>
                <w:lang w:val="es-ES"/>
              </w:rPr>
              <w:t xml:space="preserve">Observaciones: </w:t>
            </w:r>
            <w:r>
              <w:rPr>
                <w:rFonts w:eastAsia="Times New Roman" w:cs="Arial"/>
                <w:color w:val="auto"/>
                <w:sz w:val="20"/>
                <w:szCs w:val="20"/>
                <w:lang w:val="es-ES"/>
              </w:rPr>
              <w:t>Los valores de línea de base y meta para este indicador</w:t>
            </w:r>
            <w:r w:rsidRPr="006C54C0">
              <w:rPr>
                <w:rFonts w:eastAsia="Times New Roman" w:cs="Arial"/>
                <w:color w:val="auto"/>
                <w:sz w:val="20"/>
                <w:szCs w:val="20"/>
                <w:lang w:val="es-ES"/>
              </w:rPr>
              <w:t xml:space="preserve"> salen del documento de evaluación económica donde se simula el financiamiento de los procesos de atención a la emergencia, rehabilitación y reconstrucción ante la ocurrencia de desastres de diferentes magnitudes (a. Probabilidad de ocurrencia del</w:t>
            </w:r>
            <w:r>
              <w:rPr>
                <w:rFonts w:eastAsia="Times New Roman" w:cs="Arial"/>
                <w:color w:val="auto"/>
                <w:sz w:val="20"/>
                <w:szCs w:val="20"/>
                <w:lang w:val="es-ES"/>
              </w:rPr>
              <w:t xml:space="preserve"> </w:t>
            </w:r>
            <w:r w:rsidRPr="006C54C0">
              <w:rPr>
                <w:rFonts w:eastAsia="Times New Roman" w:cs="Arial"/>
                <w:color w:val="auto"/>
                <w:sz w:val="20"/>
                <w:szCs w:val="20"/>
                <w:lang w:val="es-ES"/>
              </w:rPr>
              <w:t>18%;</w:t>
            </w:r>
            <w:r w:rsidRPr="006C54C0">
              <w:rPr>
                <w:rFonts w:eastAsia="Times New Roman" w:cs="Arial"/>
                <w:b/>
                <w:i/>
                <w:color w:val="auto"/>
                <w:sz w:val="20"/>
                <w:szCs w:val="20"/>
                <w:lang w:val="es-ES"/>
              </w:rPr>
              <w:t xml:space="preserve"> </w:t>
            </w:r>
            <w:r w:rsidRPr="006C54C0">
              <w:rPr>
                <w:rFonts w:eastAsia="Times New Roman" w:cs="Arial"/>
                <w:color w:val="auto"/>
                <w:sz w:val="20"/>
                <w:szCs w:val="20"/>
                <w:lang w:val="es-ES"/>
              </w:rPr>
              <w:t>b. Pro</w:t>
            </w:r>
            <w:r>
              <w:rPr>
                <w:rFonts w:eastAsia="Times New Roman" w:cs="Arial"/>
                <w:color w:val="auto"/>
                <w:sz w:val="20"/>
                <w:szCs w:val="20"/>
                <w:lang w:val="es-ES"/>
              </w:rPr>
              <w:t>babilidad de ocurrencia del 10%</w:t>
            </w:r>
            <w:r w:rsidRPr="006C54C0">
              <w:rPr>
                <w:rFonts w:eastAsia="Times New Roman" w:cs="Arial"/>
                <w:color w:val="auto"/>
                <w:sz w:val="20"/>
                <w:szCs w:val="20"/>
                <w:lang w:val="es-ES"/>
              </w:rPr>
              <w:t>; y c. Probabilidad de ocurrencia del 2% en los próximos 10 años)</w:t>
            </w:r>
            <w:r>
              <w:rPr>
                <w:rFonts w:eastAsia="Times New Roman" w:cs="Arial"/>
                <w:color w:val="auto"/>
                <w:sz w:val="20"/>
                <w:szCs w:val="20"/>
                <w:lang w:val="es-ES"/>
              </w:rPr>
              <w:t xml:space="preserve"> en una situación sin PBP y con PBP, asumiendo como daños totales la pérdida m</w:t>
            </w:r>
            <w:r w:rsidR="00965E87">
              <w:rPr>
                <w:rFonts w:eastAsia="Times New Roman" w:cs="Arial"/>
                <w:color w:val="auto"/>
                <w:sz w:val="20"/>
                <w:szCs w:val="20"/>
                <w:lang w:val="es-ES"/>
              </w:rPr>
              <w:t xml:space="preserve">áxima probable y que el GdP mantiene el tope de deuda </w:t>
            </w:r>
            <w:r w:rsidR="00965E87" w:rsidRPr="00965E87">
              <w:rPr>
                <w:rFonts w:eastAsia="Times New Roman" w:cs="Arial"/>
                <w:color w:val="auto"/>
                <w:sz w:val="20"/>
                <w:szCs w:val="20"/>
                <w:lang w:val="es-ES"/>
              </w:rPr>
              <w:t xml:space="preserve"> estipulado en el artículo 4 la Ley N° 27245, Ley de Responsabilidad y Transparencia Fiscal.</w:t>
            </w:r>
          </w:p>
        </w:tc>
      </w:tr>
      <w:tr w:rsidR="006C54C0" w:rsidRPr="00D64280" w:rsidTr="00183D42">
        <w:trPr>
          <w:trHeight w:val="255"/>
        </w:trPr>
        <w:tc>
          <w:tcPr>
            <w:tcW w:w="469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C54C0" w:rsidRPr="004601C3" w:rsidRDefault="006C54C0" w:rsidP="006C54C0">
            <w:pPr>
              <w:widowControl/>
              <w:adjustRightInd/>
              <w:spacing w:before="120" w:after="120" w:line="240" w:lineRule="auto"/>
              <w:ind w:right="165"/>
              <w:jc w:val="left"/>
              <w:textAlignment w:val="auto"/>
              <w:rPr>
                <w:rFonts w:eastAsia="Times New Roman"/>
                <w:color w:val="auto"/>
                <w:sz w:val="22"/>
                <w:lang w:val="es-ES"/>
              </w:rPr>
            </w:pPr>
            <w:r w:rsidRPr="006C54C0">
              <w:rPr>
                <w:rFonts w:eastAsia="Times New Roman"/>
                <w:i/>
                <w:color w:val="auto"/>
                <w:sz w:val="22"/>
                <w:lang w:val="es-ES"/>
              </w:rPr>
              <w:t>Indicador:</w:t>
            </w:r>
            <w:r>
              <w:rPr>
                <w:rFonts w:eastAsia="Times New Roman"/>
                <w:color w:val="auto"/>
                <w:sz w:val="22"/>
                <w:lang w:val="es-ES"/>
              </w:rPr>
              <w:t xml:space="preserve"> Brecha de daños no cubiertos  ante diferentes escenarios de desastre.</w:t>
            </w:r>
          </w:p>
        </w:tc>
        <w:tc>
          <w:tcPr>
            <w:tcW w:w="13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6C54C0" w:rsidRDefault="006C54C0" w:rsidP="00183D42">
            <w:pPr>
              <w:spacing w:before="120" w:after="120"/>
              <w:ind w:right="186"/>
              <w:rPr>
                <w:rFonts w:eastAsia="Times New Roman"/>
                <w:sz w:val="22"/>
                <w:lang w:val="es-ES"/>
              </w:rPr>
            </w:pPr>
            <w:r>
              <w:rPr>
                <w:rFonts w:eastAsia="Times New Roman"/>
                <w:sz w:val="22"/>
                <w:lang w:val="es-ES"/>
              </w:rPr>
              <w:t>a.62%</w:t>
            </w:r>
          </w:p>
          <w:p w:rsidR="006C54C0" w:rsidRDefault="006C54C0" w:rsidP="00183D42">
            <w:pPr>
              <w:spacing w:before="120" w:after="120"/>
              <w:ind w:right="186"/>
              <w:rPr>
                <w:rFonts w:eastAsia="Times New Roman"/>
                <w:sz w:val="22"/>
                <w:lang w:val="es-ES"/>
              </w:rPr>
            </w:pPr>
            <w:r>
              <w:rPr>
                <w:rFonts w:eastAsia="Times New Roman"/>
                <w:sz w:val="22"/>
                <w:lang w:val="es-ES"/>
              </w:rPr>
              <w:t>b.88%</w:t>
            </w:r>
          </w:p>
          <w:p w:rsidR="006C54C0" w:rsidRPr="00183D42" w:rsidRDefault="006C54C0" w:rsidP="00183D42">
            <w:pPr>
              <w:spacing w:before="120" w:after="120"/>
              <w:ind w:right="186"/>
              <w:rPr>
                <w:rFonts w:eastAsia="Times New Roman"/>
                <w:sz w:val="22"/>
                <w:lang w:val="es-ES"/>
              </w:rPr>
            </w:pPr>
            <w:r>
              <w:rPr>
                <w:rFonts w:eastAsia="Times New Roman"/>
                <w:sz w:val="22"/>
                <w:lang w:val="es-ES"/>
              </w:rPr>
              <w:t>c.91%</w:t>
            </w:r>
          </w:p>
        </w:tc>
        <w:tc>
          <w:tcPr>
            <w:tcW w:w="1440" w:type="dxa"/>
            <w:tcBorders>
              <w:top w:val="single" w:sz="4" w:space="0" w:color="auto"/>
              <w:left w:val="single" w:sz="4" w:space="0" w:color="auto"/>
              <w:bottom w:val="single" w:sz="4" w:space="0" w:color="auto"/>
              <w:right w:val="single" w:sz="4" w:space="0" w:color="auto"/>
            </w:tcBorders>
            <w:vAlign w:val="center"/>
          </w:tcPr>
          <w:p w:rsidR="006C54C0" w:rsidRPr="00650E96" w:rsidRDefault="006C54C0" w:rsidP="00650E96">
            <w:pPr>
              <w:widowControl/>
              <w:adjustRightInd/>
              <w:spacing w:before="120" w:after="120" w:line="240" w:lineRule="auto"/>
              <w:ind w:right="172"/>
              <w:jc w:val="left"/>
              <w:textAlignment w:val="auto"/>
              <w:rPr>
                <w:rFonts w:eastAsia="Times New Roman"/>
                <w:color w:val="auto"/>
                <w:sz w:val="22"/>
                <w:lang w:val="es-ES"/>
              </w:rPr>
            </w:pPr>
            <w:r w:rsidRPr="00650E96">
              <w:rPr>
                <w:rFonts w:eastAsia="Times New Roman"/>
                <w:color w:val="auto"/>
                <w:sz w:val="22"/>
                <w:lang w:val="es-ES"/>
              </w:rPr>
              <w:t>a.0%</w:t>
            </w:r>
          </w:p>
          <w:p w:rsidR="006C54C0" w:rsidRPr="00650E96" w:rsidRDefault="006C54C0" w:rsidP="00650E96">
            <w:pPr>
              <w:widowControl/>
              <w:adjustRightInd/>
              <w:spacing w:before="120" w:after="120" w:line="240" w:lineRule="auto"/>
              <w:ind w:right="172"/>
              <w:jc w:val="left"/>
              <w:textAlignment w:val="auto"/>
              <w:rPr>
                <w:rFonts w:eastAsia="Times New Roman"/>
                <w:color w:val="auto"/>
                <w:sz w:val="22"/>
                <w:lang w:val="es-ES"/>
              </w:rPr>
            </w:pPr>
            <w:r w:rsidRPr="00650E96">
              <w:rPr>
                <w:rFonts w:eastAsia="Times New Roman"/>
                <w:color w:val="auto"/>
                <w:sz w:val="22"/>
                <w:lang w:val="es-ES"/>
              </w:rPr>
              <w:t>b.64%</w:t>
            </w:r>
          </w:p>
          <w:p w:rsidR="006C54C0" w:rsidRPr="00B70E64" w:rsidRDefault="006C54C0" w:rsidP="00650E96">
            <w:pPr>
              <w:widowControl/>
              <w:adjustRightInd/>
              <w:spacing w:before="120" w:after="120" w:line="240" w:lineRule="auto"/>
              <w:ind w:right="172"/>
              <w:jc w:val="left"/>
              <w:textAlignment w:val="auto"/>
              <w:rPr>
                <w:rFonts w:eastAsia="Times New Roman"/>
                <w:color w:val="auto"/>
                <w:sz w:val="22"/>
                <w:highlight w:val="yellow"/>
                <w:lang w:val="es-ES"/>
              </w:rPr>
            </w:pPr>
            <w:r w:rsidRPr="00650E96">
              <w:rPr>
                <w:rFonts w:eastAsia="Times New Roman"/>
                <w:color w:val="auto"/>
                <w:sz w:val="22"/>
                <w:lang w:val="es-ES"/>
              </w:rPr>
              <w:t>c.73%</w:t>
            </w:r>
          </w:p>
        </w:tc>
        <w:tc>
          <w:tcPr>
            <w:tcW w:w="5400"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center"/>
          </w:tcPr>
          <w:p w:rsidR="006C54C0" w:rsidRPr="00E929DC" w:rsidRDefault="006C54C0" w:rsidP="00832148">
            <w:pPr>
              <w:widowControl/>
              <w:adjustRightInd/>
              <w:spacing w:before="120" w:after="120" w:line="240" w:lineRule="auto"/>
              <w:ind w:right="14"/>
              <w:jc w:val="left"/>
              <w:textAlignment w:val="auto"/>
              <w:rPr>
                <w:rFonts w:eastAsia="Times New Roman" w:cs="Arial"/>
                <w:b/>
                <w:i/>
                <w:color w:val="auto"/>
                <w:sz w:val="22"/>
                <w:lang w:val="es-ES"/>
              </w:rPr>
            </w:pPr>
          </w:p>
        </w:tc>
      </w:tr>
    </w:tbl>
    <w:p w:rsidR="005B4B72" w:rsidRDefault="005B4B72" w:rsidP="008E5A5E">
      <w:pPr>
        <w:rPr>
          <w:lang w:val="es-ES"/>
        </w:rPr>
      </w:pPr>
    </w:p>
    <w:tbl>
      <w:tblPr>
        <w:tblW w:w="13181" w:type="dxa"/>
        <w:jc w:val="center"/>
        <w:tblLayout w:type="fixed"/>
        <w:tblCellMar>
          <w:left w:w="0" w:type="dxa"/>
          <w:right w:w="0" w:type="dxa"/>
        </w:tblCellMar>
        <w:tblLook w:val="0000" w:firstRow="0" w:lastRow="0" w:firstColumn="0" w:lastColumn="0" w:noHBand="0" w:noVBand="0"/>
      </w:tblPr>
      <w:tblGrid>
        <w:gridCol w:w="4133"/>
        <w:gridCol w:w="810"/>
        <w:gridCol w:w="794"/>
        <w:gridCol w:w="871"/>
        <w:gridCol w:w="810"/>
        <w:gridCol w:w="900"/>
        <w:gridCol w:w="810"/>
        <w:gridCol w:w="900"/>
        <w:gridCol w:w="3153"/>
      </w:tblGrid>
      <w:tr w:rsidR="00CE7D82" w:rsidRPr="00CE3BA4" w:rsidTr="00CF63F8">
        <w:trPr>
          <w:trHeight w:val="380"/>
          <w:tblHeader/>
          <w:jc w:val="center"/>
        </w:trPr>
        <w:tc>
          <w:tcPr>
            <w:tcW w:w="13181" w:type="dxa"/>
            <w:gridSpan w:val="9"/>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CE7D82" w:rsidRPr="00E929DC" w:rsidRDefault="00CE7D82" w:rsidP="00CE7D82">
            <w:pPr>
              <w:widowControl/>
              <w:adjustRightInd/>
              <w:spacing w:line="240" w:lineRule="auto"/>
              <w:ind w:right="165"/>
              <w:jc w:val="left"/>
              <w:textAlignment w:val="auto"/>
              <w:rPr>
                <w:rFonts w:eastAsia="Times New Roman"/>
                <w:b/>
                <w:color w:val="auto"/>
                <w:sz w:val="22"/>
                <w:lang w:val="es-ES"/>
              </w:rPr>
            </w:pPr>
            <w:r>
              <w:rPr>
                <w:rFonts w:eastAsia="Times New Roman"/>
                <w:b/>
                <w:color w:val="auto"/>
                <w:sz w:val="22"/>
                <w:lang w:val="es-ES"/>
              </w:rPr>
              <w:t>Componente I: Estabilidad Macroeconómica</w:t>
            </w:r>
          </w:p>
        </w:tc>
      </w:tr>
      <w:tr w:rsidR="00CE7D82" w:rsidRPr="00E929DC" w:rsidTr="00CF63F8">
        <w:trPr>
          <w:trHeight w:val="270"/>
          <w:tblHeader/>
          <w:jc w:val="center"/>
        </w:trPr>
        <w:tc>
          <w:tcPr>
            <w:tcW w:w="4133"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CE7D82" w:rsidRPr="00E929DC" w:rsidRDefault="00CE7D82" w:rsidP="00CF63F8">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br w:type="page"/>
              <w:t xml:space="preserve">Componente </w:t>
            </w:r>
            <w:r>
              <w:rPr>
                <w:rFonts w:eastAsia="Times New Roman"/>
                <w:b/>
                <w:color w:val="auto"/>
                <w:sz w:val="22"/>
                <w:lang w:val="es-ES"/>
              </w:rPr>
              <w:t>3</w:t>
            </w:r>
          </w:p>
        </w:tc>
        <w:tc>
          <w:tcPr>
            <w:tcW w:w="810"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CE7D82" w:rsidRPr="00E929DC" w:rsidRDefault="00CE7D82" w:rsidP="00CF63F8">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 xml:space="preserve">Base </w:t>
            </w:r>
            <w:r>
              <w:rPr>
                <w:rFonts w:eastAsia="Times New Roman"/>
                <w:b/>
                <w:color w:val="auto"/>
                <w:sz w:val="18"/>
                <w:lang w:val="es-ES"/>
              </w:rPr>
              <w:t>(2008</w:t>
            </w:r>
            <w:r w:rsidRPr="00E929DC">
              <w:rPr>
                <w:rFonts w:eastAsia="Times New Roman"/>
                <w:b/>
                <w:color w:val="auto"/>
                <w:sz w:val="18"/>
                <w:lang w:val="es-ES"/>
              </w:rPr>
              <w:t>)</w:t>
            </w:r>
          </w:p>
        </w:tc>
        <w:tc>
          <w:tcPr>
            <w:tcW w:w="794"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CE7D82" w:rsidRPr="00E929DC" w:rsidRDefault="00CE7D82" w:rsidP="00CF63F8">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1</w:t>
            </w:r>
          </w:p>
        </w:tc>
        <w:tc>
          <w:tcPr>
            <w:tcW w:w="871"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CE7D82" w:rsidRPr="00E929DC" w:rsidRDefault="00CE7D82" w:rsidP="00CF63F8">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2</w:t>
            </w:r>
          </w:p>
        </w:tc>
        <w:tc>
          <w:tcPr>
            <w:tcW w:w="810"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CE7D82" w:rsidRPr="00E929DC" w:rsidRDefault="00CE7D82" w:rsidP="00CF63F8">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3</w:t>
            </w:r>
          </w:p>
        </w:tc>
        <w:tc>
          <w:tcPr>
            <w:tcW w:w="900"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CE7D82" w:rsidRPr="00E929DC" w:rsidRDefault="00CE7D82" w:rsidP="00CF63F8">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4</w:t>
            </w:r>
          </w:p>
        </w:tc>
        <w:tc>
          <w:tcPr>
            <w:tcW w:w="810" w:type="dxa"/>
            <w:tcBorders>
              <w:top w:val="single" w:sz="4" w:space="0" w:color="auto"/>
              <w:left w:val="nil"/>
              <w:bottom w:val="single" w:sz="4" w:space="0" w:color="auto"/>
              <w:right w:val="single" w:sz="4" w:space="0" w:color="auto"/>
            </w:tcBorders>
            <w:shd w:val="clear" w:color="auto" w:fill="8DB3E2" w:themeFill="text2" w:themeFillTint="66"/>
            <w:vAlign w:val="center"/>
          </w:tcPr>
          <w:p w:rsidR="00CE7D82" w:rsidRPr="00E929DC" w:rsidRDefault="00CE7D82" w:rsidP="00CF63F8">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5</w:t>
            </w:r>
          </w:p>
        </w:tc>
        <w:tc>
          <w:tcPr>
            <w:tcW w:w="90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CE7D82" w:rsidRDefault="00CE7D82" w:rsidP="00CF63F8">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Meta</w:t>
            </w:r>
          </w:p>
          <w:p w:rsidR="00CE7D82" w:rsidRPr="00E929DC" w:rsidRDefault="00CE7D82" w:rsidP="00CF63F8">
            <w:pPr>
              <w:widowControl/>
              <w:adjustRightInd/>
              <w:spacing w:line="240" w:lineRule="auto"/>
              <w:ind w:right="165"/>
              <w:jc w:val="center"/>
              <w:textAlignment w:val="auto"/>
              <w:rPr>
                <w:rFonts w:eastAsia="Times New Roman"/>
                <w:b/>
                <w:color w:val="auto"/>
                <w:sz w:val="22"/>
                <w:lang w:val="es-ES"/>
              </w:rPr>
            </w:pPr>
            <w:r>
              <w:rPr>
                <w:rFonts w:eastAsia="Times New Roman"/>
                <w:b/>
                <w:color w:val="auto"/>
                <w:sz w:val="22"/>
                <w:lang w:val="es-ES"/>
              </w:rPr>
              <w:t>(2014)</w:t>
            </w:r>
          </w:p>
        </w:tc>
        <w:tc>
          <w:tcPr>
            <w:tcW w:w="3153"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CE7D82" w:rsidRPr="00E929DC" w:rsidRDefault="00CE7D82" w:rsidP="00CF63F8">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Verificación/Supuestos</w:t>
            </w:r>
          </w:p>
        </w:tc>
      </w:tr>
      <w:tr w:rsidR="00CE7D82" w:rsidRPr="00E929DC" w:rsidTr="00CF63F8">
        <w:trPr>
          <w:trHeight w:val="270"/>
          <w:jc w:val="center"/>
        </w:trPr>
        <w:tc>
          <w:tcPr>
            <w:tcW w:w="13181" w:type="dxa"/>
            <w:gridSpan w:val="9"/>
            <w:tcBorders>
              <w:top w:val="single" w:sz="4" w:space="0" w:color="auto"/>
              <w:left w:val="single" w:sz="4" w:space="0" w:color="auto"/>
              <w:bottom w:val="single" w:sz="4" w:space="0" w:color="auto"/>
              <w:right w:val="single" w:sz="4" w:space="0" w:color="auto"/>
            </w:tcBorders>
            <w:shd w:val="clear" w:color="auto" w:fill="CCCCCC"/>
            <w:noWrap/>
            <w:tcMar>
              <w:top w:w="15" w:type="dxa"/>
              <w:left w:w="15" w:type="dxa"/>
              <w:bottom w:w="0" w:type="dxa"/>
              <w:right w:w="15" w:type="dxa"/>
            </w:tcMar>
            <w:vAlign w:val="bottom"/>
          </w:tcPr>
          <w:p w:rsidR="00CE7D82" w:rsidRPr="00E929DC" w:rsidRDefault="00CE7D82" w:rsidP="00CF63F8">
            <w:pPr>
              <w:widowControl/>
              <w:adjustRightInd/>
              <w:spacing w:line="240" w:lineRule="auto"/>
              <w:ind w:right="165"/>
              <w:jc w:val="left"/>
              <w:textAlignment w:val="auto"/>
              <w:rPr>
                <w:rFonts w:eastAsia="Arial Unicode MS"/>
                <w:b/>
                <w:color w:val="auto"/>
                <w:sz w:val="22"/>
                <w:lang w:val="es-ES"/>
              </w:rPr>
            </w:pPr>
            <w:r>
              <w:rPr>
                <w:rFonts w:eastAsia="Arial Unicode MS"/>
                <w:b/>
                <w:color w:val="auto"/>
                <w:sz w:val="22"/>
                <w:lang w:val="es-ES"/>
              </w:rPr>
              <w:t>Resultados</w:t>
            </w:r>
          </w:p>
        </w:tc>
      </w:tr>
      <w:tr w:rsidR="00CE7D82" w:rsidRPr="009350AA" w:rsidTr="00CE7D82">
        <w:trPr>
          <w:trHeight w:val="270"/>
          <w:jc w:val="center"/>
        </w:trPr>
        <w:tc>
          <w:tcPr>
            <w:tcW w:w="41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CE7D82" w:rsidRPr="00CE7D82" w:rsidRDefault="00CE7D82" w:rsidP="00CF63F8">
            <w:pPr>
              <w:widowControl/>
              <w:adjustRightInd/>
              <w:spacing w:before="120" w:after="120" w:line="240" w:lineRule="auto"/>
              <w:ind w:right="9"/>
              <w:jc w:val="left"/>
              <w:textAlignment w:val="auto"/>
              <w:rPr>
                <w:rFonts w:eastAsia="Times New Roman"/>
                <w:color w:val="auto"/>
                <w:sz w:val="22"/>
                <w:lang w:val="es-ES"/>
              </w:rPr>
            </w:pPr>
            <w:r w:rsidRPr="00CE7D82">
              <w:rPr>
                <w:rFonts w:eastAsia="Times New Roman"/>
                <w:color w:val="auto"/>
                <w:sz w:val="22"/>
                <w:lang w:val="es-ES"/>
              </w:rPr>
              <w:t>Mantener un marco macroeconómico estable.</w:t>
            </w: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CE7D82" w:rsidRPr="00E438FF" w:rsidRDefault="00CE7D82" w:rsidP="00CF63F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No Aplica</w:t>
            </w:r>
          </w:p>
        </w:tc>
        <w:tc>
          <w:tcPr>
            <w:tcW w:w="79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CE7D82" w:rsidRPr="00E438FF" w:rsidRDefault="00CE7D82" w:rsidP="00CF63F8">
            <w:pPr>
              <w:widowControl/>
              <w:adjustRightInd/>
              <w:spacing w:before="120" w:after="120" w:line="240" w:lineRule="auto"/>
              <w:jc w:val="center"/>
              <w:textAlignment w:val="auto"/>
              <w:rPr>
                <w:rFonts w:eastAsia="Times New Roman"/>
                <w:color w:val="auto"/>
                <w:sz w:val="22"/>
                <w:lang w:val="es-ES"/>
              </w:rPr>
            </w:pPr>
          </w:p>
        </w:tc>
        <w:tc>
          <w:tcPr>
            <w:tcW w:w="8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CE7D82" w:rsidRPr="00E438FF" w:rsidRDefault="00CE7D82" w:rsidP="00CF63F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CE7D82" w:rsidRPr="00E438FF" w:rsidRDefault="00CE7D82" w:rsidP="00CF63F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CE7D82" w:rsidRPr="00E438FF" w:rsidRDefault="00CE7D82" w:rsidP="00CF63F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vAlign w:val="center"/>
          </w:tcPr>
          <w:p w:rsidR="00CE7D82" w:rsidRPr="00E438FF" w:rsidRDefault="00CE7D82" w:rsidP="00CF63F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7D82" w:rsidRPr="00E438FF" w:rsidRDefault="00CE7D82" w:rsidP="00CF63F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No Aplica</w:t>
            </w:r>
          </w:p>
        </w:tc>
        <w:tc>
          <w:tcPr>
            <w:tcW w:w="3153"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CE7D82" w:rsidRPr="00CE7D82" w:rsidRDefault="00CE7D82" w:rsidP="00CE7D82">
            <w:pPr>
              <w:widowControl/>
              <w:adjustRightInd/>
              <w:spacing w:before="120" w:after="120" w:line="240" w:lineRule="auto"/>
              <w:ind w:right="144"/>
              <w:jc w:val="left"/>
              <w:textAlignment w:val="auto"/>
              <w:rPr>
                <w:rFonts w:eastAsia="Times New Roman"/>
                <w:color w:val="FF0000"/>
                <w:sz w:val="22"/>
                <w:lang w:val="es-ES"/>
              </w:rPr>
            </w:pPr>
            <w:r w:rsidRPr="00542226">
              <w:rPr>
                <w:rFonts w:eastAsia="Times New Roman"/>
                <w:color w:val="auto"/>
                <w:sz w:val="22"/>
                <w:lang w:val="es-ES"/>
              </w:rPr>
              <w:t>No Aplica</w:t>
            </w:r>
          </w:p>
        </w:tc>
      </w:tr>
    </w:tbl>
    <w:p w:rsidR="00CE7D82" w:rsidRDefault="00CE7D82" w:rsidP="008E5A5E">
      <w:pPr>
        <w:rPr>
          <w:lang w:val="es-ES"/>
        </w:rPr>
      </w:pPr>
    </w:p>
    <w:p w:rsidR="003252C6" w:rsidRDefault="003252C6" w:rsidP="008E5A5E">
      <w:pPr>
        <w:rPr>
          <w:lang w:val="es-ES"/>
        </w:rPr>
      </w:pPr>
    </w:p>
    <w:p w:rsidR="003252C6" w:rsidRDefault="003252C6" w:rsidP="008E5A5E">
      <w:pPr>
        <w:rPr>
          <w:lang w:val="es-ES"/>
        </w:rPr>
      </w:pPr>
    </w:p>
    <w:p w:rsidR="003252C6" w:rsidRDefault="003252C6" w:rsidP="008E5A5E">
      <w:pPr>
        <w:rPr>
          <w:lang w:val="es-ES"/>
        </w:rPr>
      </w:pPr>
    </w:p>
    <w:p w:rsidR="003252C6" w:rsidRDefault="003252C6" w:rsidP="008E5A5E">
      <w:pPr>
        <w:rPr>
          <w:lang w:val="es-ES"/>
        </w:rPr>
      </w:pPr>
    </w:p>
    <w:p w:rsidR="003252C6" w:rsidRDefault="003252C6" w:rsidP="008E5A5E">
      <w:pPr>
        <w:rPr>
          <w:lang w:val="es-ES"/>
        </w:rPr>
      </w:pPr>
    </w:p>
    <w:p w:rsidR="003252C6" w:rsidRDefault="003252C6" w:rsidP="008E5A5E">
      <w:pPr>
        <w:rPr>
          <w:lang w:val="es-ES"/>
        </w:rPr>
      </w:pPr>
    </w:p>
    <w:p w:rsidR="003252C6" w:rsidRDefault="003252C6" w:rsidP="008E5A5E">
      <w:pPr>
        <w:rPr>
          <w:lang w:val="es-ES"/>
        </w:rPr>
      </w:pPr>
    </w:p>
    <w:p w:rsidR="003252C6" w:rsidRDefault="003252C6" w:rsidP="008E5A5E">
      <w:pPr>
        <w:rPr>
          <w:lang w:val="es-ES"/>
        </w:rPr>
      </w:pPr>
    </w:p>
    <w:p w:rsidR="003252C6" w:rsidRDefault="003252C6" w:rsidP="008E5A5E">
      <w:pPr>
        <w:rPr>
          <w:lang w:val="es-ES"/>
        </w:rPr>
      </w:pPr>
    </w:p>
    <w:p w:rsidR="003252C6" w:rsidRPr="00E929DC" w:rsidRDefault="003252C6" w:rsidP="008E5A5E">
      <w:pPr>
        <w:rPr>
          <w:lang w:val="es-ES"/>
        </w:rPr>
      </w:pPr>
    </w:p>
    <w:tbl>
      <w:tblPr>
        <w:tblW w:w="13348" w:type="dxa"/>
        <w:jc w:val="center"/>
        <w:tblLayout w:type="fixed"/>
        <w:tblCellMar>
          <w:left w:w="0" w:type="dxa"/>
          <w:right w:w="0" w:type="dxa"/>
        </w:tblCellMar>
        <w:tblLook w:val="0000" w:firstRow="0" w:lastRow="0" w:firstColumn="0" w:lastColumn="0" w:noHBand="0" w:noVBand="0"/>
      </w:tblPr>
      <w:tblGrid>
        <w:gridCol w:w="3755"/>
        <w:gridCol w:w="881"/>
        <w:gridCol w:w="881"/>
        <w:gridCol w:w="763"/>
        <w:gridCol w:w="906"/>
        <w:gridCol w:w="816"/>
        <w:gridCol w:w="816"/>
        <w:gridCol w:w="893"/>
        <w:gridCol w:w="3637"/>
      </w:tblGrid>
      <w:tr w:rsidR="0092466F" w:rsidRPr="00EF7BA5" w:rsidTr="00E801FC">
        <w:trPr>
          <w:trHeight w:val="137"/>
          <w:tblHeader/>
          <w:jc w:val="center"/>
        </w:trPr>
        <w:tc>
          <w:tcPr>
            <w:tcW w:w="13348" w:type="dxa"/>
            <w:gridSpan w:val="9"/>
            <w:tcBorders>
              <w:top w:val="single" w:sz="4" w:space="0" w:color="auto"/>
              <w:left w:val="single" w:sz="4" w:space="0" w:color="auto"/>
              <w:bottom w:val="single" w:sz="4" w:space="0" w:color="auto"/>
              <w:right w:val="single" w:sz="4" w:space="0" w:color="000000"/>
            </w:tcBorders>
            <w:shd w:val="clear" w:color="auto" w:fill="FFFFFF" w:themeFill="background1"/>
            <w:noWrap/>
            <w:tcMar>
              <w:top w:w="15" w:type="dxa"/>
              <w:left w:w="15" w:type="dxa"/>
              <w:bottom w:w="0" w:type="dxa"/>
              <w:right w:w="15" w:type="dxa"/>
            </w:tcMar>
            <w:vAlign w:val="center"/>
          </w:tcPr>
          <w:p w:rsidR="0092466F" w:rsidRPr="00E929DC" w:rsidRDefault="0092466F" w:rsidP="002F7B1B">
            <w:pPr>
              <w:widowControl/>
              <w:adjustRightInd/>
              <w:spacing w:line="240" w:lineRule="auto"/>
              <w:ind w:right="165"/>
              <w:jc w:val="left"/>
              <w:textAlignment w:val="auto"/>
              <w:rPr>
                <w:rFonts w:eastAsia="Times New Roman"/>
                <w:b/>
                <w:color w:val="auto"/>
                <w:sz w:val="22"/>
                <w:lang w:val="es-ES"/>
              </w:rPr>
            </w:pPr>
            <w:r>
              <w:rPr>
                <w:rFonts w:eastAsia="Times New Roman"/>
                <w:b/>
                <w:color w:val="auto"/>
                <w:sz w:val="22"/>
                <w:lang w:val="es-ES"/>
              </w:rPr>
              <w:t>Componente I</w:t>
            </w:r>
            <w:r w:rsidR="009350AA">
              <w:rPr>
                <w:rFonts w:eastAsia="Times New Roman"/>
                <w:b/>
                <w:color w:val="auto"/>
                <w:sz w:val="22"/>
                <w:lang w:val="es-ES"/>
              </w:rPr>
              <w:t>I</w:t>
            </w:r>
            <w:r>
              <w:rPr>
                <w:rFonts w:eastAsia="Times New Roman"/>
                <w:b/>
                <w:color w:val="auto"/>
                <w:sz w:val="22"/>
                <w:lang w:val="es-ES"/>
              </w:rPr>
              <w:t xml:space="preserve">: Gobernabilidad </w:t>
            </w:r>
            <w:r w:rsidR="00CE3BA4">
              <w:rPr>
                <w:rFonts w:eastAsia="Times New Roman"/>
                <w:b/>
                <w:color w:val="auto"/>
                <w:sz w:val="22"/>
                <w:lang w:val="es-ES"/>
              </w:rPr>
              <w:t>y</w:t>
            </w:r>
            <w:r w:rsidR="009350AA">
              <w:rPr>
                <w:rFonts w:eastAsia="Times New Roman"/>
                <w:b/>
                <w:color w:val="auto"/>
                <w:sz w:val="22"/>
                <w:lang w:val="es-ES"/>
              </w:rPr>
              <w:t xml:space="preserve"> Desarrollo del Marco </w:t>
            </w:r>
            <w:r w:rsidR="002F7B1B">
              <w:rPr>
                <w:rFonts w:eastAsia="Times New Roman"/>
                <w:b/>
                <w:color w:val="auto"/>
                <w:sz w:val="22"/>
                <w:lang w:val="es-ES"/>
              </w:rPr>
              <w:t>Legal</w:t>
            </w:r>
          </w:p>
        </w:tc>
      </w:tr>
      <w:tr w:rsidR="00E801FC" w:rsidRPr="00E929DC" w:rsidTr="00E801FC">
        <w:trPr>
          <w:trHeight w:val="137"/>
          <w:tblHeader/>
          <w:jc w:val="center"/>
        </w:trPr>
        <w:tc>
          <w:tcPr>
            <w:tcW w:w="3755"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551239" w:rsidP="00D34B15">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br w:type="page"/>
              <w:t xml:space="preserve">Componente </w:t>
            </w:r>
            <w:r w:rsidR="009350AA">
              <w:rPr>
                <w:rFonts w:eastAsia="Times New Roman"/>
                <w:b/>
                <w:color w:val="auto"/>
                <w:sz w:val="22"/>
                <w:lang w:val="es-ES"/>
              </w:rPr>
              <w:t>2</w:t>
            </w:r>
          </w:p>
        </w:tc>
        <w:tc>
          <w:tcPr>
            <w:tcW w:w="881"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BB534A" w:rsidP="00D34B15">
            <w:pPr>
              <w:widowControl/>
              <w:adjustRightInd/>
              <w:spacing w:line="240" w:lineRule="auto"/>
              <w:ind w:right="165"/>
              <w:jc w:val="center"/>
              <w:textAlignment w:val="auto"/>
              <w:rPr>
                <w:rFonts w:eastAsia="Times New Roman"/>
                <w:b/>
                <w:color w:val="auto"/>
                <w:sz w:val="22"/>
                <w:lang w:val="es-ES"/>
              </w:rPr>
            </w:pPr>
            <w:r>
              <w:rPr>
                <w:rFonts w:eastAsia="Times New Roman"/>
                <w:b/>
                <w:color w:val="auto"/>
                <w:sz w:val="22"/>
                <w:lang w:val="es-ES"/>
              </w:rPr>
              <w:t>Base (2008</w:t>
            </w:r>
            <w:r w:rsidR="00551239" w:rsidRPr="00E929DC">
              <w:rPr>
                <w:rFonts w:eastAsia="Times New Roman"/>
                <w:b/>
                <w:color w:val="auto"/>
                <w:sz w:val="22"/>
                <w:lang w:val="es-ES"/>
              </w:rPr>
              <w:t>)</w:t>
            </w:r>
          </w:p>
        </w:tc>
        <w:tc>
          <w:tcPr>
            <w:tcW w:w="881"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551239" w:rsidP="00D34B15">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1</w:t>
            </w:r>
          </w:p>
        </w:tc>
        <w:tc>
          <w:tcPr>
            <w:tcW w:w="763"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551239" w:rsidP="00D34B15">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2</w:t>
            </w:r>
          </w:p>
        </w:tc>
        <w:tc>
          <w:tcPr>
            <w:tcW w:w="906"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551239" w:rsidP="00D34B15">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3</w:t>
            </w:r>
          </w:p>
        </w:tc>
        <w:tc>
          <w:tcPr>
            <w:tcW w:w="816"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551239" w:rsidP="00D34B15">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4</w:t>
            </w:r>
          </w:p>
        </w:tc>
        <w:tc>
          <w:tcPr>
            <w:tcW w:w="816" w:type="dxa"/>
            <w:tcBorders>
              <w:top w:val="single" w:sz="4" w:space="0" w:color="auto"/>
              <w:left w:val="nil"/>
              <w:bottom w:val="single" w:sz="4" w:space="0" w:color="auto"/>
              <w:right w:val="single" w:sz="4" w:space="0" w:color="auto"/>
            </w:tcBorders>
            <w:shd w:val="clear" w:color="auto" w:fill="8DB3E2" w:themeFill="text2" w:themeFillTint="66"/>
            <w:vAlign w:val="center"/>
          </w:tcPr>
          <w:p w:rsidR="00551239" w:rsidRPr="00E929DC" w:rsidRDefault="00551239" w:rsidP="00D34B15">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5</w:t>
            </w:r>
          </w:p>
        </w:tc>
        <w:tc>
          <w:tcPr>
            <w:tcW w:w="89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551239" w:rsidRDefault="00551239" w:rsidP="00D34B15">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Meta</w:t>
            </w:r>
          </w:p>
          <w:p w:rsidR="00BB534A" w:rsidRPr="00E929DC" w:rsidRDefault="00CE3BA4" w:rsidP="00D34B15">
            <w:pPr>
              <w:widowControl/>
              <w:adjustRightInd/>
              <w:spacing w:line="240" w:lineRule="auto"/>
              <w:ind w:right="165"/>
              <w:jc w:val="center"/>
              <w:textAlignment w:val="auto"/>
              <w:rPr>
                <w:rFonts w:eastAsia="Times New Roman"/>
                <w:b/>
                <w:color w:val="auto"/>
                <w:sz w:val="22"/>
                <w:lang w:val="es-ES"/>
              </w:rPr>
            </w:pPr>
            <w:r>
              <w:rPr>
                <w:rFonts w:eastAsia="Times New Roman"/>
                <w:b/>
                <w:color w:val="auto"/>
                <w:sz w:val="22"/>
                <w:lang w:val="es-ES"/>
              </w:rPr>
              <w:t>(2014</w:t>
            </w:r>
            <w:r w:rsidR="00BB534A">
              <w:rPr>
                <w:rFonts w:eastAsia="Times New Roman"/>
                <w:b/>
                <w:color w:val="auto"/>
                <w:sz w:val="22"/>
                <w:lang w:val="es-ES"/>
              </w:rPr>
              <w:t>)</w:t>
            </w:r>
          </w:p>
        </w:tc>
        <w:tc>
          <w:tcPr>
            <w:tcW w:w="3637" w:type="dxa"/>
            <w:tcBorders>
              <w:top w:val="single" w:sz="4" w:space="0" w:color="auto"/>
              <w:left w:val="single" w:sz="4" w:space="0" w:color="auto"/>
              <w:bottom w:val="single" w:sz="4" w:space="0" w:color="auto"/>
              <w:right w:val="single" w:sz="4" w:space="0" w:color="000000"/>
            </w:tcBorders>
            <w:shd w:val="clear" w:color="auto" w:fill="8DB3E2" w:themeFill="text2" w:themeFillTint="66"/>
            <w:noWrap/>
            <w:tcMar>
              <w:top w:w="15" w:type="dxa"/>
              <w:left w:w="15" w:type="dxa"/>
              <w:bottom w:w="0" w:type="dxa"/>
              <w:right w:w="15" w:type="dxa"/>
            </w:tcMar>
            <w:vAlign w:val="center"/>
          </w:tcPr>
          <w:p w:rsidR="00551239" w:rsidRPr="00E929DC" w:rsidRDefault="00551239" w:rsidP="00D34B15">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Verificación/Supuestos</w:t>
            </w:r>
          </w:p>
        </w:tc>
      </w:tr>
      <w:tr w:rsidR="00C83863" w:rsidRPr="00E929DC" w:rsidTr="00E801FC">
        <w:trPr>
          <w:trHeight w:val="137"/>
          <w:jc w:val="center"/>
        </w:trPr>
        <w:tc>
          <w:tcPr>
            <w:tcW w:w="13348" w:type="dxa"/>
            <w:gridSpan w:val="9"/>
            <w:tcBorders>
              <w:top w:val="single" w:sz="4" w:space="0" w:color="auto"/>
              <w:left w:val="single" w:sz="4" w:space="0" w:color="auto"/>
              <w:bottom w:val="single" w:sz="4" w:space="0" w:color="auto"/>
              <w:right w:val="single" w:sz="4" w:space="0" w:color="auto"/>
            </w:tcBorders>
            <w:shd w:val="clear" w:color="auto" w:fill="CCCCCC"/>
            <w:noWrap/>
            <w:tcMar>
              <w:top w:w="15" w:type="dxa"/>
              <w:left w:w="15" w:type="dxa"/>
              <w:bottom w:w="0" w:type="dxa"/>
              <w:right w:w="15" w:type="dxa"/>
            </w:tcMar>
            <w:vAlign w:val="bottom"/>
          </w:tcPr>
          <w:p w:rsidR="00C83863" w:rsidRPr="00E929DC" w:rsidRDefault="007973A7" w:rsidP="002A4A08">
            <w:pPr>
              <w:widowControl/>
              <w:adjustRightInd/>
              <w:spacing w:line="240" w:lineRule="auto"/>
              <w:ind w:right="165"/>
              <w:jc w:val="left"/>
              <w:textAlignment w:val="auto"/>
              <w:rPr>
                <w:rFonts w:eastAsia="Arial Unicode MS"/>
                <w:color w:val="auto"/>
                <w:sz w:val="22"/>
                <w:lang w:val="es-ES"/>
              </w:rPr>
            </w:pPr>
            <w:r>
              <w:rPr>
                <w:rFonts w:eastAsia="Arial Unicode MS"/>
                <w:b/>
                <w:color w:val="auto"/>
                <w:sz w:val="22"/>
                <w:lang w:val="es-ES"/>
              </w:rPr>
              <w:t>Resultados</w:t>
            </w:r>
          </w:p>
        </w:tc>
      </w:tr>
      <w:tr w:rsidR="00BB534A" w:rsidRPr="00EF7BA5" w:rsidTr="00E801FC">
        <w:trPr>
          <w:trHeight w:val="1289"/>
          <w:jc w:val="center"/>
        </w:trPr>
        <w:tc>
          <w:tcPr>
            <w:tcW w:w="3755" w:type="dxa"/>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tcPr>
          <w:p w:rsidR="00277988" w:rsidRDefault="002C0207" w:rsidP="00277988">
            <w:pPr>
              <w:pStyle w:val="Default"/>
              <w:rPr>
                <w:b/>
                <w:bCs/>
                <w:sz w:val="22"/>
                <w:szCs w:val="22"/>
                <w:lang w:val="es-ES"/>
              </w:rPr>
            </w:pPr>
            <w:r>
              <w:rPr>
                <w:b/>
                <w:bCs/>
                <w:sz w:val="22"/>
                <w:szCs w:val="22"/>
                <w:lang w:val="es-ES"/>
              </w:rPr>
              <w:t xml:space="preserve">Resultado: </w:t>
            </w:r>
            <w:r w:rsidR="00277988" w:rsidRPr="00277988">
              <w:rPr>
                <w:b/>
                <w:bCs/>
                <w:sz w:val="22"/>
                <w:szCs w:val="22"/>
                <w:lang w:val="es-ES"/>
              </w:rPr>
              <w:t xml:space="preserve">Gobernabilidad para la gestión de riesgos incrementada </w:t>
            </w:r>
          </w:p>
          <w:p w:rsidR="00277988" w:rsidRPr="00277988" w:rsidRDefault="00277988" w:rsidP="00277988">
            <w:pPr>
              <w:pStyle w:val="Default"/>
              <w:rPr>
                <w:sz w:val="22"/>
                <w:szCs w:val="22"/>
                <w:lang w:val="es-ES"/>
              </w:rPr>
            </w:pPr>
          </w:p>
          <w:p w:rsidR="00BB534A" w:rsidRDefault="00277988" w:rsidP="00000FB4">
            <w:pPr>
              <w:pStyle w:val="Default"/>
              <w:rPr>
                <w:sz w:val="22"/>
                <w:szCs w:val="22"/>
                <w:lang w:val="es-ES"/>
              </w:rPr>
            </w:pPr>
            <w:r w:rsidRPr="009A24BA">
              <w:rPr>
                <w:bCs/>
                <w:i/>
                <w:sz w:val="22"/>
                <w:szCs w:val="22"/>
                <w:lang w:val="es-ES"/>
              </w:rPr>
              <w:t>Indicador</w:t>
            </w:r>
            <w:r w:rsidR="002C0207" w:rsidRPr="009A24BA">
              <w:rPr>
                <w:bCs/>
                <w:i/>
                <w:sz w:val="22"/>
                <w:szCs w:val="22"/>
                <w:lang w:val="es-ES"/>
              </w:rPr>
              <w:t xml:space="preserve"> IGR</w:t>
            </w:r>
            <w:r w:rsidRPr="009A24BA">
              <w:rPr>
                <w:bCs/>
                <w:i/>
                <w:sz w:val="22"/>
                <w:szCs w:val="22"/>
                <w:lang w:val="es-ES"/>
              </w:rPr>
              <w:t>:</w:t>
            </w:r>
            <w:r w:rsidRPr="00277988">
              <w:rPr>
                <w:b/>
                <w:bCs/>
                <w:sz w:val="22"/>
                <w:szCs w:val="22"/>
                <w:lang w:val="es-ES"/>
              </w:rPr>
              <w:t xml:space="preserve"> </w:t>
            </w:r>
            <w:r w:rsidR="003806CB" w:rsidRPr="003806CB">
              <w:rPr>
                <w:bCs/>
                <w:sz w:val="22"/>
                <w:szCs w:val="22"/>
                <w:lang w:val="es-ES"/>
              </w:rPr>
              <w:t xml:space="preserve">PF1 </w:t>
            </w:r>
            <w:r w:rsidR="00C20F7B">
              <w:rPr>
                <w:bCs/>
                <w:sz w:val="22"/>
                <w:szCs w:val="22"/>
                <w:lang w:val="es-ES"/>
              </w:rPr>
              <w:t>y PF3 son</w:t>
            </w:r>
            <w:r w:rsidR="003806CB" w:rsidRPr="003806CB">
              <w:rPr>
                <w:bCs/>
                <w:sz w:val="22"/>
                <w:szCs w:val="22"/>
                <w:lang w:val="es-ES"/>
              </w:rPr>
              <w:t xml:space="preserve"> subíndice</w:t>
            </w:r>
            <w:r w:rsidR="00C20F7B">
              <w:rPr>
                <w:bCs/>
                <w:sz w:val="22"/>
                <w:szCs w:val="22"/>
                <w:lang w:val="es-ES"/>
              </w:rPr>
              <w:t>s</w:t>
            </w:r>
            <w:r w:rsidR="003806CB" w:rsidRPr="003806CB">
              <w:rPr>
                <w:bCs/>
                <w:sz w:val="22"/>
                <w:szCs w:val="22"/>
                <w:lang w:val="es-ES"/>
              </w:rPr>
              <w:t xml:space="preserve"> del indicador de</w:t>
            </w:r>
            <w:r w:rsidR="003806CB">
              <w:rPr>
                <w:b/>
                <w:bCs/>
                <w:sz w:val="22"/>
                <w:szCs w:val="22"/>
                <w:lang w:val="es-ES"/>
              </w:rPr>
              <w:t xml:space="preserve"> </w:t>
            </w:r>
            <w:r w:rsidRPr="00277988">
              <w:rPr>
                <w:sz w:val="22"/>
                <w:szCs w:val="22"/>
                <w:lang w:val="es-ES"/>
              </w:rPr>
              <w:t xml:space="preserve"> Gobernabilidad y Protección Financiera (IGR</w:t>
            </w:r>
            <w:r w:rsidRPr="00277988">
              <w:rPr>
                <w:sz w:val="14"/>
                <w:szCs w:val="14"/>
                <w:lang w:val="es-ES"/>
              </w:rPr>
              <w:t>PF</w:t>
            </w:r>
            <w:r w:rsidRPr="00277988">
              <w:rPr>
                <w:sz w:val="22"/>
                <w:szCs w:val="22"/>
                <w:lang w:val="es-ES"/>
              </w:rPr>
              <w:t xml:space="preserve">) </w:t>
            </w:r>
            <w:r w:rsidR="003806CB">
              <w:rPr>
                <w:sz w:val="22"/>
                <w:szCs w:val="22"/>
                <w:lang w:val="es-ES"/>
              </w:rPr>
              <w:t xml:space="preserve">del IGR </w:t>
            </w:r>
          </w:p>
          <w:p w:rsidR="00FC73CC" w:rsidRPr="00000FB4" w:rsidRDefault="00FC73CC" w:rsidP="00000FB4">
            <w:pPr>
              <w:pStyle w:val="Default"/>
              <w:rPr>
                <w:sz w:val="22"/>
                <w:szCs w:val="22"/>
                <w:lang w:val="es-ES"/>
              </w:rPr>
            </w:pPr>
          </w:p>
          <w:p w:rsidR="00FC73CC" w:rsidRPr="00CC122E" w:rsidRDefault="00EF7BA5" w:rsidP="00000FB4">
            <w:pPr>
              <w:widowControl/>
              <w:adjustRightInd/>
              <w:spacing w:before="120" w:after="120" w:line="240" w:lineRule="auto"/>
              <w:ind w:right="9"/>
              <w:jc w:val="left"/>
              <w:textAlignment w:val="auto"/>
              <w:rPr>
                <w:rFonts w:eastAsia="Arial Unicode MS"/>
                <w:color w:val="auto"/>
                <w:sz w:val="22"/>
                <w:lang w:val="es-ES"/>
              </w:rPr>
            </w:pPr>
            <m:oMathPara>
              <m:oMath>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IGR</m:t>
                    </m:r>
                  </m:e>
                  <m:sub>
                    <m:r>
                      <w:rPr>
                        <w:rFonts w:ascii="Cambria Math" w:eastAsia="Arial Unicode MS" w:hAnsi="Cambria Math"/>
                        <w:color w:val="auto"/>
                        <w:sz w:val="22"/>
                        <w:lang w:val="es-ES"/>
                      </w:rPr>
                      <m:t>PF</m:t>
                    </m:r>
                  </m:sub>
                </m:sSub>
                <m:r>
                  <w:rPr>
                    <w:rFonts w:ascii="Cambria Math" w:eastAsia="Arial Unicode MS" w:hAnsi="Cambria Math"/>
                    <w:color w:val="auto"/>
                    <w:sz w:val="22"/>
                    <w:lang w:val="es-ES"/>
                  </w:rPr>
                  <m:t>=</m:t>
                </m:r>
                <m:f>
                  <m:fPr>
                    <m:ctrlPr>
                      <w:rPr>
                        <w:rFonts w:ascii="Cambria Math" w:eastAsia="Arial Unicode MS" w:hAnsi="Cambria Math"/>
                        <w:i/>
                        <w:color w:val="auto"/>
                        <w:sz w:val="22"/>
                        <w:lang w:val="es-ES"/>
                      </w:rPr>
                    </m:ctrlPr>
                  </m:fPr>
                  <m:num>
                    <m:nary>
                      <m:naryPr>
                        <m:chr m:val="∑"/>
                        <m:limLoc m:val="undOvr"/>
                        <m:ctrlPr>
                          <w:rPr>
                            <w:rFonts w:ascii="Cambria Math" w:eastAsia="Arial Unicode MS" w:hAnsi="Cambria Math"/>
                            <w:i/>
                            <w:color w:val="auto"/>
                            <w:sz w:val="22"/>
                            <w:lang w:val="es-ES"/>
                          </w:rPr>
                        </m:ctrlPr>
                      </m:naryPr>
                      <m:sub>
                        <m:r>
                          <w:rPr>
                            <w:rFonts w:ascii="Cambria Math" w:eastAsia="Arial Unicode MS" w:hAnsi="Cambria Math"/>
                            <w:color w:val="auto"/>
                            <w:sz w:val="22"/>
                            <w:lang w:val="es-ES"/>
                          </w:rPr>
                          <m:t>i=1</m:t>
                        </m:r>
                      </m:sub>
                      <m:sup>
                        <m:r>
                          <w:rPr>
                            <w:rFonts w:ascii="Cambria Math" w:eastAsia="Arial Unicode MS" w:hAnsi="Cambria Math"/>
                            <w:color w:val="auto"/>
                            <w:sz w:val="22"/>
                            <w:lang w:val="es-ES"/>
                          </w:rPr>
                          <m:t>N</m:t>
                        </m:r>
                      </m:sup>
                      <m:e>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W</m:t>
                            </m:r>
                          </m:e>
                          <m:sub>
                            <m:r>
                              <w:rPr>
                                <w:rFonts w:ascii="Cambria Math" w:eastAsia="Arial Unicode MS" w:hAnsi="Cambria Math"/>
                                <w:color w:val="auto"/>
                                <w:sz w:val="22"/>
                                <w:lang w:val="es-ES"/>
                              </w:rPr>
                              <m:t xml:space="preserve">i </m:t>
                            </m:r>
                          </m:sub>
                        </m:sSub>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PF</m:t>
                            </m:r>
                          </m:e>
                          <m:sub>
                            <m:r>
                              <w:rPr>
                                <w:rFonts w:ascii="Cambria Math" w:eastAsia="Arial Unicode MS" w:hAnsi="Cambria Math"/>
                                <w:color w:val="auto"/>
                                <w:sz w:val="22"/>
                                <w:lang w:val="es-ES"/>
                              </w:rPr>
                              <m:t>ic</m:t>
                            </m:r>
                          </m:sub>
                        </m:sSub>
                      </m:e>
                    </m:nary>
                  </m:num>
                  <m:den>
                    <m:nary>
                      <m:naryPr>
                        <m:chr m:val="∑"/>
                        <m:limLoc m:val="undOvr"/>
                        <m:ctrlPr>
                          <w:rPr>
                            <w:rFonts w:ascii="Cambria Math" w:eastAsia="Arial Unicode MS" w:hAnsi="Cambria Math"/>
                            <w:i/>
                            <w:color w:val="auto"/>
                            <w:sz w:val="22"/>
                            <w:lang w:val="es-ES"/>
                          </w:rPr>
                        </m:ctrlPr>
                      </m:naryPr>
                      <m:sub>
                        <m:r>
                          <w:rPr>
                            <w:rFonts w:ascii="Cambria Math" w:eastAsia="Arial Unicode MS" w:hAnsi="Cambria Math"/>
                            <w:color w:val="auto"/>
                            <w:sz w:val="22"/>
                            <w:lang w:val="es-ES"/>
                          </w:rPr>
                          <m:t>i=1</m:t>
                        </m:r>
                      </m:sub>
                      <m:sup>
                        <m:r>
                          <w:rPr>
                            <w:rFonts w:ascii="Cambria Math" w:eastAsia="Arial Unicode MS" w:hAnsi="Cambria Math"/>
                            <w:color w:val="auto"/>
                            <w:sz w:val="22"/>
                            <w:lang w:val="es-ES"/>
                          </w:rPr>
                          <m:t>N</m:t>
                        </m:r>
                      </m:sup>
                      <m:e>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W</m:t>
                            </m:r>
                          </m:e>
                          <m:sub>
                            <m:r>
                              <w:rPr>
                                <w:rFonts w:ascii="Cambria Math" w:eastAsia="Arial Unicode MS" w:hAnsi="Cambria Math"/>
                                <w:color w:val="auto"/>
                                <w:sz w:val="22"/>
                                <w:lang w:val="es-ES"/>
                              </w:rPr>
                              <m:t>i</m:t>
                            </m:r>
                          </m:sub>
                        </m:sSub>
                      </m:e>
                    </m:nary>
                  </m:den>
                </m:f>
              </m:oMath>
            </m:oMathPara>
          </w:p>
          <w:p w:rsidR="00CC122E" w:rsidRDefault="00CC122E" w:rsidP="00000FB4">
            <w:pPr>
              <w:widowControl/>
              <w:adjustRightInd/>
              <w:spacing w:before="120" w:after="120" w:line="240" w:lineRule="auto"/>
              <w:ind w:right="9"/>
              <w:jc w:val="left"/>
              <w:textAlignment w:val="auto"/>
              <w:rPr>
                <w:rFonts w:eastAsia="Arial Unicode MS"/>
                <w:color w:val="auto"/>
                <w:sz w:val="22"/>
                <w:lang w:val="es-ES"/>
              </w:rPr>
            </w:pPr>
          </w:p>
          <w:p w:rsidR="00000FB4" w:rsidRDefault="000B1DE1" w:rsidP="00000FB4">
            <w:pPr>
              <w:widowControl/>
              <w:adjustRightInd/>
              <w:spacing w:before="120" w:after="120" w:line="240" w:lineRule="auto"/>
              <w:ind w:right="9"/>
              <w:jc w:val="left"/>
              <w:textAlignment w:val="auto"/>
              <w:rPr>
                <w:rFonts w:eastAsia="Arial Unicode MS"/>
                <w:color w:val="auto"/>
                <w:sz w:val="22"/>
                <w:lang w:val="es-ES"/>
              </w:rPr>
            </w:pPr>
            <w:r>
              <w:rPr>
                <w:rFonts w:eastAsia="Arial Unicode MS"/>
                <w:color w:val="auto"/>
                <w:sz w:val="22"/>
                <w:lang w:val="es-ES"/>
              </w:rPr>
              <w:t xml:space="preserve">PF1: </w:t>
            </w:r>
            <w:r w:rsidRPr="00000FB4">
              <w:rPr>
                <w:rFonts w:eastAsia="Arial Unicode MS"/>
                <w:color w:val="auto"/>
                <w:sz w:val="22"/>
                <w:lang w:val="es-ES"/>
              </w:rPr>
              <w:t>Sistemas interinstitucionales</w:t>
            </w:r>
            <w:r>
              <w:rPr>
                <w:rFonts w:eastAsia="Arial Unicode MS"/>
                <w:color w:val="auto"/>
                <w:sz w:val="22"/>
                <w:lang w:val="es-ES"/>
              </w:rPr>
              <w:t xml:space="preserve"> de gestión de riesgo activos a nivel local en varias ciudades; trabajo interministerial</w:t>
            </w:r>
            <w:r w:rsidR="00000FB4">
              <w:rPr>
                <w:rFonts w:eastAsia="Arial Unicode MS"/>
                <w:color w:val="auto"/>
                <w:sz w:val="22"/>
                <w:lang w:val="es-ES"/>
              </w:rPr>
              <w:t xml:space="preserve"> a nivel nacional para diseño de políticas públicas sobre reducción de vulnerabilidad (nivel 3)</w:t>
            </w:r>
          </w:p>
          <w:p w:rsidR="000B1DE1" w:rsidRPr="003F4ECF" w:rsidRDefault="000B1DE1" w:rsidP="003F4ECF">
            <w:pPr>
              <w:widowControl/>
              <w:autoSpaceDE w:val="0"/>
              <w:autoSpaceDN w:val="0"/>
              <w:spacing w:line="240" w:lineRule="auto"/>
              <w:jc w:val="left"/>
              <w:textAlignment w:val="auto"/>
              <w:rPr>
                <w:rFonts w:eastAsia="Calibri"/>
                <w:color w:val="auto"/>
                <w:sz w:val="22"/>
                <w:szCs w:val="22"/>
                <w:lang w:val="es-ES_tradnl"/>
              </w:rPr>
            </w:pPr>
            <w:r w:rsidRPr="003F4ECF">
              <w:rPr>
                <w:rFonts w:eastAsia="Arial Unicode MS"/>
                <w:color w:val="auto"/>
                <w:sz w:val="22"/>
                <w:szCs w:val="22"/>
                <w:lang w:val="es-ES"/>
              </w:rPr>
              <w:t>PF3:</w:t>
            </w:r>
            <w:r w:rsidR="00000FB4" w:rsidRPr="003F4ECF">
              <w:rPr>
                <w:rFonts w:eastAsia="Arial Unicode MS"/>
                <w:color w:val="auto"/>
                <w:sz w:val="22"/>
                <w:szCs w:val="22"/>
                <w:lang w:val="es-ES"/>
              </w:rPr>
              <w:t xml:space="preserve"> </w:t>
            </w:r>
            <w:r w:rsidR="003F4ECF" w:rsidRPr="003F4ECF">
              <w:rPr>
                <w:rFonts w:eastAsia="Calibri"/>
                <w:color w:val="auto"/>
                <w:sz w:val="22"/>
                <w:szCs w:val="22"/>
                <w:lang w:val="es-ES_tradnl"/>
              </w:rPr>
              <w:t>Progresiva asignación de partidas del gasto discrecional tanto de la ciudad como en las l</w:t>
            </w:r>
            <w:r w:rsidR="003F4ECF">
              <w:rPr>
                <w:rFonts w:eastAsia="Calibri"/>
                <w:color w:val="auto"/>
                <w:sz w:val="22"/>
                <w:szCs w:val="22"/>
                <w:lang w:val="es-ES_tradnl"/>
              </w:rPr>
              <w:t xml:space="preserve">ocalidades para la reducción de </w:t>
            </w:r>
            <w:r w:rsidR="003F4ECF" w:rsidRPr="003F4ECF">
              <w:rPr>
                <w:rFonts w:eastAsia="Calibri"/>
                <w:color w:val="auto"/>
                <w:sz w:val="22"/>
                <w:szCs w:val="22"/>
                <w:lang w:val="es-ES_tradnl"/>
              </w:rPr>
              <w:t>la vulnerabilidad; creación de incentivos y tasas de p</w:t>
            </w:r>
            <w:r w:rsidR="003F4ECF">
              <w:rPr>
                <w:rFonts w:eastAsia="Calibri"/>
                <w:color w:val="auto"/>
                <w:sz w:val="22"/>
                <w:szCs w:val="22"/>
                <w:lang w:val="es-ES_tradnl"/>
              </w:rPr>
              <w:t>rotección y seguridad ambiental (nivel 4)</w:t>
            </w:r>
          </w:p>
          <w:p w:rsidR="002C0207" w:rsidRPr="00BA2086" w:rsidRDefault="002C0207" w:rsidP="00000FB4">
            <w:pPr>
              <w:widowControl/>
              <w:adjustRightInd/>
              <w:spacing w:before="120" w:after="120" w:line="240" w:lineRule="auto"/>
              <w:ind w:right="9"/>
              <w:jc w:val="left"/>
              <w:textAlignment w:val="auto"/>
              <w:rPr>
                <w:rFonts w:eastAsia="Arial Unicode MS"/>
                <w:color w:val="auto"/>
                <w:sz w:val="22"/>
                <w:lang w:val="es-ES"/>
              </w:rPr>
            </w:pPr>
          </w:p>
        </w:tc>
        <w:tc>
          <w:tcPr>
            <w:tcW w:w="881"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0B1DE1" w:rsidRDefault="000B1DE1" w:rsidP="002A4A08">
            <w:pPr>
              <w:widowControl/>
              <w:adjustRightInd/>
              <w:spacing w:before="120" w:after="120" w:line="240" w:lineRule="auto"/>
              <w:jc w:val="center"/>
              <w:textAlignment w:val="auto"/>
              <w:rPr>
                <w:rFonts w:eastAsia="Times New Roman"/>
                <w:color w:val="auto"/>
                <w:sz w:val="22"/>
                <w:lang w:val="es-ES"/>
              </w:rPr>
            </w:pPr>
          </w:p>
          <w:p w:rsidR="000B1DE1" w:rsidRDefault="000B1DE1" w:rsidP="002A4A08">
            <w:pPr>
              <w:widowControl/>
              <w:adjustRightInd/>
              <w:spacing w:before="120" w:after="120" w:line="240" w:lineRule="auto"/>
              <w:jc w:val="center"/>
              <w:textAlignment w:val="auto"/>
              <w:rPr>
                <w:rFonts w:eastAsia="Times New Roman"/>
                <w:color w:val="auto"/>
                <w:sz w:val="22"/>
                <w:lang w:val="es-ES"/>
              </w:rPr>
            </w:pPr>
          </w:p>
          <w:p w:rsidR="00000FB4" w:rsidRDefault="00000FB4" w:rsidP="0031621B">
            <w:pPr>
              <w:widowControl/>
              <w:adjustRightInd/>
              <w:spacing w:before="120" w:after="120" w:line="240" w:lineRule="auto"/>
              <w:textAlignment w:val="auto"/>
              <w:rPr>
                <w:rFonts w:eastAsia="Times New Roman"/>
                <w:color w:val="auto"/>
                <w:sz w:val="22"/>
                <w:lang w:val="es-ES"/>
              </w:rPr>
            </w:pPr>
          </w:p>
          <w:p w:rsidR="0031621B" w:rsidRDefault="0031621B" w:rsidP="0031621B">
            <w:pPr>
              <w:widowControl/>
              <w:adjustRightInd/>
              <w:spacing w:before="120" w:after="120" w:line="240" w:lineRule="auto"/>
              <w:textAlignment w:val="auto"/>
              <w:rPr>
                <w:rFonts w:eastAsia="Times New Roman"/>
                <w:color w:val="auto"/>
                <w:sz w:val="22"/>
                <w:lang w:val="es-ES"/>
              </w:rPr>
            </w:pPr>
          </w:p>
          <w:p w:rsidR="00CD7325" w:rsidRDefault="00CE3BA4" w:rsidP="00CE3BA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r w:rsidR="00A76F58">
              <w:rPr>
                <w:rFonts w:eastAsia="Times New Roman"/>
                <w:color w:val="auto"/>
                <w:sz w:val="22"/>
                <w:lang w:val="es-ES"/>
              </w:rPr>
              <w:t xml:space="preserve">7.30 </w:t>
            </w:r>
          </w:p>
          <w:p w:rsidR="00CD7325" w:rsidRDefault="00CD7325" w:rsidP="0031621B">
            <w:pPr>
              <w:widowControl/>
              <w:adjustRightInd/>
              <w:spacing w:before="120" w:after="120" w:line="240" w:lineRule="auto"/>
              <w:textAlignment w:val="auto"/>
              <w:rPr>
                <w:rFonts w:eastAsia="Times New Roman"/>
                <w:color w:val="auto"/>
                <w:sz w:val="22"/>
                <w:lang w:val="es-ES"/>
              </w:rPr>
            </w:pPr>
          </w:p>
          <w:p w:rsidR="00000FB4" w:rsidRDefault="00000FB4" w:rsidP="00000FB4">
            <w:pPr>
              <w:widowControl/>
              <w:adjustRightInd/>
              <w:spacing w:before="120" w:after="120" w:line="240" w:lineRule="auto"/>
              <w:textAlignment w:val="auto"/>
              <w:rPr>
                <w:rFonts w:eastAsia="Times New Roman"/>
                <w:color w:val="auto"/>
                <w:sz w:val="22"/>
                <w:lang w:val="es-ES"/>
              </w:rPr>
            </w:pPr>
          </w:p>
          <w:p w:rsidR="0031621B" w:rsidRDefault="0031621B" w:rsidP="00000FB4">
            <w:pPr>
              <w:widowControl/>
              <w:adjustRightInd/>
              <w:spacing w:before="120" w:after="120" w:line="240" w:lineRule="auto"/>
              <w:textAlignment w:val="auto"/>
              <w:rPr>
                <w:rFonts w:eastAsia="Times New Roman"/>
                <w:color w:val="auto"/>
                <w:sz w:val="22"/>
                <w:lang w:val="es-ES"/>
              </w:rPr>
            </w:pPr>
          </w:p>
          <w:p w:rsidR="00CE3BA4" w:rsidRDefault="00CE3BA4" w:rsidP="00000FB4">
            <w:pPr>
              <w:widowControl/>
              <w:adjustRightInd/>
              <w:spacing w:before="120" w:after="120" w:line="240" w:lineRule="auto"/>
              <w:textAlignment w:val="auto"/>
              <w:rPr>
                <w:rFonts w:eastAsia="Times New Roman"/>
                <w:color w:val="auto"/>
                <w:sz w:val="22"/>
                <w:lang w:val="es-ES"/>
              </w:rPr>
            </w:pPr>
          </w:p>
          <w:p w:rsidR="00BB534A" w:rsidRDefault="00CE3BA4"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000FB4" w:rsidRDefault="00000FB4" w:rsidP="002A4A08">
            <w:pPr>
              <w:widowControl/>
              <w:adjustRightInd/>
              <w:spacing w:before="120" w:after="120" w:line="240" w:lineRule="auto"/>
              <w:jc w:val="center"/>
              <w:textAlignment w:val="auto"/>
              <w:rPr>
                <w:rFonts w:eastAsia="Times New Roman"/>
                <w:color w:val="auto"/>
                <w:sz w:val="22"/>
                <w:lang w:val="es-ES"/>
              </w:rPr>
            </w:pPr>
          </w:p>
          <w:p w:rsidR="00000FB4" w:rsidRDefault="00000FB4" w:rsidP="002A4A08">
            <w:pPr>
              <w:widowControl/>
              <w:adjustRightInd/>
              <w:spacing w:before="120" w:after="120" w:line="240" w:lineRule="auto"/>
              <w:jc w:val="center"/>
              <w:textAlignment w:val="auto"/>
              <w:rPr>
                <w:rFonts w:eastAsia="Times New Roman"/>
                <w:color w:val="auto"/>
                <w:sz w:val="22"/>
                <w:lang w:val="es-ES"/>
              </w:rPr>
            </w:pPr>
          </w:p>
          <w:p w:rsidR="00000FB4" w:rsidRDefault="00000FB4" w:rsidP="002A4A08">
            <w:pPr>
              <w:widowControl/>
              <w:adjustRightInd/>
              <w:spacing w:before="120" w:after="120" w:line="240" w:lineRule="auto"/>
              <w:jc w:val="center"/>
              <w:textAlignment w:val="auto"/>
              <w:rPr>
                <w:rFonts w:eastAsia="Times New Roman"/>
                <w:color w:val="auto"/>
                <w:sz w:val="22"/>
                <w:lang w:val="es-ES"/>
              </w:rPr>
            </w:pPr>
          </w:p>
          <w:p w:rsidR="0031621B" w:rsidRDefault="0031621B" w:rsidP="00802240">
            <w:pPr>
              <w:widowControl/>
              <w:adjustRightInd/>
              <w:spacing w:before="120" w:after="120" w:line="240" w:lineRule="auto"/>
              <w:textAlignment w:val="auto"/>
              <w:rPr>
                <w:rFonts w:eastAsia="Times New Roman"/>
                <w:color w:val="auto"/>
                <w:sz w:val="22"/>
                <w:lang w:val="es-ES"/>
              </w:rPr>
            </w:pPr>
          </w:p>
          <w:p w:rsidR="000B1DE1" w:rsidRPr="00E438FF" w:rsidRDefault="00CE3BA4"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3</w:t>
            </w:r>
          </w:p>
        </w:tc>
        <w:tc>
          <w:tcPr>
            <w:tcW w:w="881"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BB534A" w:rsidRPr="00E438FF" w:rsidRDefault="00BB534A" w:rsidP="002A4A08">
            <w:pPr>
              <w:widowControl/>
              <w:adjustRightInd/>
              <w:spacing w:before="120" w:after="120" w:line="240" w:lineRule="auto"/>
              <w:jc w:val="center"/>
              <w:textAlignment w:val="auto"/>
              <w:rPr>
                <w:rFonts w:eastAsia="Times New Roman"/>
                <w:color w:val="auto"/>
                <w:sz w:val="22"/>
                <w:lang w:val="es-ES"/>
              </w:rPr>
            </w:pPr>
          </w:p>
        </w:tc>
        <w:tc>
          <w:tcPr>
            <w:tcW w:w="763"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BB534A" w:rsidRPr="00E438FF" w:rsidRDefault="00BB534A" w:rsidP="002A4A08">
            <w:pPr>
              <w:widowControl/>
              <w:adjustRightInd/>
              <w:spacing w:before="120" w:after="120" w:line="240" w:lineRule="auto"/>
              <w:jc w:val="center"/>
              <w:textAlignment w:val="auto"/>
              <w:rPr>
                <w:rFonts w:eastAsia="Times New Roman"/>
                <w:color w:val="auto"/>
                <w:sz w:val="22"/>
                <w:lang w:val="es-ES"/>
              </w:rPr>
            </w:pPr>
          </w:p>
        </w:tc>
        <w:tc>
          <w:tcPr>
            <w:tcW w:w="906"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BB534A" w:rsidRPr="00E438FF" w:rsidRDefault="00BB534A" w:rsidP="002A4A08">
            <w:pPr>
              <w:widowControl/>
              <w:adjustRightInd/>
              <w:spacing w:before="120" w:after="120" w:line="240" w:lineRule="auto"/>
              <w:jc w:val="center"/>
              <w:textAlignment w:val="auto"/>
              <w:rPr>
                <w:rFonts w:eastAsia="Times New Roman"/>
                <w:color w:val="auto"/>
                <w:sz w:val="22"/>
                <w:lang w:val="es-ES"/>
              </w:rPr>
            </w:pPr>
          </w:p>
        </w:tc>
        <w:tc>
          <w:tcPr>
            <w:tcW w:w="816"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BB534A" w:rsidRPr="00E438FF" w:rsidRDefault="00BB534A" w:rsidP="002A4A08">
            <w:pPr>
              <w:widowControl/>
              <w:adjustRightInd/>
              <w:spacing w:before="120" w:after="120" w:line="240" w:lineRule="auto"/>
              <w:jc w:val="center"/>
              <w:textAlignment w:val="auto"/>
              <w:rPr>
                <w:rFonts w:eastAsia="Times New Roman"/>
                <w:color w:val="auto"/>
                <w:sz w:val="22"/>
                <w:lang w:val="es-ES"/>
              </w:rPr>
            </w:pPr>
          </w:p>
        </w:tc>
        <w:tc>
          <w:tcPr>
            <w:tcW w:w="816" w:type="dxa"/>
            <w:tcBorders>
              <w:top w:val="single" w:sz="4" w:space="0" w:color="auto"/>
              <w:left w:val="nil"/>
              <w:right w:val="single" w:sz="4" w:space="0" w:color="auto"/>
            </w:tcBorders>
            <w:shd w:val="clear" w:color="auto" w:fill="auto"/>
            <w:vAlign w:val="center"/>
          </w:tcPr>
          <w:p w:rsidR="00BB534A" w:rsidRPr="00E438FF" w:rsidRDefault="00BB534A" w:rsidP="002A4A08">
            <w:pPr>
              <w:widowControl/>
              <w:adjustRightInd/>
              <w:spacing w:before="120" w:after="120" w:line="240" w:lineRule="auto"/>
              <w:jc w:val="center"/>
              <w:textAlignment w:val="auto"/>
              <w:rPr>
                <w:rFonts w:eastAsia="Times New Roman"/>
                <w:color w:val="auto"/>
                <w:sz w:val="22"/>
                <w:lang w:val="es-ES"/>
              </w:rPr>
            </w:pPr>
          </w:p>
        </w:tc>
        <w:tc>
          <w:tcPr>
            <w:tcW w:w="893" w:type="dxa"/>
            <w:tcBorders>
              <w:top w:val="single" w:sz="4" w:space="0" w:color="auto"/>
              <w:left w:val="single" w:sz="4" w:space="0" w:color="auto"/>
              <w:right w:val="single" w:sz="4" w:space="0" w:color="auto"/>
            </w:tcBorders>
            <w:shd w:val="clear" w:color="auto" w:fill="auto"/>
            <w:vAlign w:val="center"/>
          </w:tcPr>
          <w:p w:rsidR="000B1DE1" w:rsidRDefault="000B1DE1" w:rsidP="002A4A08">
            <w:pPr>
              <w:widowControl/>
              <w:adjustRightInd/>
              <w:spacing w:before="120" w:after="120" w:line="240" w:lineRule="auto"/>
              <w:jc w:val="center"/>
              <w:textAlignment w:val="auto"/>
              <w:rPr>
                <w:rFonts w:eastAsia="Times New Roman"/>
                <w:color w:val="auto"/>
                <w:sz w:val="22"/>
                <w:lang w:val="es-ES"/>
              </w:rPr>
            </w:pPr>
          </w:p>
          <w:p w:rsidR="000B1DE1" w:rsidRDefault="000B1DE1" w:rsidP="002A4A08">
            <w:pPr>
              <w:widowControl/>
              <w:adjustRightInd/>
              <w:spacing w:before="120" w:after="120" w:line="240" w:lineRule="auto"/>
              <w:jc w:val="center"/>
              <w:textAlignment w:val="auto"/>
              <w:rPr>
                <w:rFonts w:eastAsia="Times New Roman"/>
                <w:color w:val="auto"/>
                <w:sz w:val="22"/>
                <w:lang w:val="es-ES"/>
              </w:rPr>
            </w:pPr>
          </w:p>
          <w:p w:rsidR="00CD7325" w:rsidRDefault="00CD7325" w:rsidP="002A4A08">
            <w:pPr>
              <w:widowControl/>
              <w:adjustRightInd/>
              <w:spacing w:before="120" w:after="120" w:line="240" w:lineRule="auto"/>
              <w:jc w:val="center"/>
              <w:textAlignment w:val="auto"/>
              <w:rPr>
                <w:rFonts w:eastAsia="Times New Roman"/>
                <w:color w:val="auto"/>
                <w:sz w:val="22"/>
                <w:lang w:val="es-ES"/>
              </w:rPr>
            </w:pPr>
          </w:p>
          <w:p w:rsidR="004A2BB8" w:rsidRDefault="004A2BB8" w:rsidP="002A4A08">
            <w:pPr>
              <w:widowControl/>
              <w:adjustRightInd/>
              <w:spacing w:before="120" w:after="120" w:line="240" w:lineRule="auto"/>
              <w:jc w:val="center"/>
              <w:textAlignment w:val="auto"/>
              <w:rPr>
                <w:rFonts w:eastAsia="Times New Roman"/>
                <w:color w:val="auto"/>
                <w:sz w:val="22"/>
                <w:lang w:val="es-ES"/>
              </w:rPr>
            </w:pPr>
          </w:p>
          <w:p w:rsidR="00EF007F" w:rsidRDefault="00802240" w:rsidP="00802240">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36.40</w:t>
            </w:r>
          </w:p>
          <w:p w:rsidR="00000FB4" w:rsidRDefault="00000FB4" w:rsidP="00FC73CC">
            <w:pPr>
              <w:widowControl/>
              <w:adjustRightInd/>
              <w:spacing w:before="120" w:after="120" w:line="240" w:lineRule="auto"/>
              <w:textAlignment w:val="auto"/>
              <w:rPr>
                <w:rFonts w:eastAsia="Times New Roman"/>
                <w:color w:val="auto"/>
                <w:sz w:val="22"/>
                <w:lang w:val="es-ES"/>
              </w:rPr>
            </w:pPr>
          </w:p>
          <w:p w:rsidR="00000FB4" w:rsidRDefault="00000FB4" w:rsidP="00000FB4">
            <w:pPr>
              <w:widowControl/>
              <w:adjustRightInd/>
              <w:spacing w:before="120" w:after="120" w:line="240" w:lineRule="auto"/>
              <w:textAlignment w:val="auto"/>
              <w:rPr>
                <w:rFonts w:eastAsia="Times New Roman"/>
                <w:color w:val="auto"/>
                <w:sz w:val="22"/>
                <w:lang w:val="es-ES"/>
              </w:rPr>
            </w:pPr>
          </w:p>
          <w:p w:rsidR="00802240" w:rsidRDefault="00802240" w:rsidP="00000FB4">
            <w:pPr>
              <w:widowControl/>
              <w:adjustRightInd/>
              <w:spacing w:before="120" w:after="120" w:line="240" w:lineRule="auto"/>
              <w:textAlignment w:val="auto"/>
              <w:rPr>
                <w:rFonts w:eastAsia="Times New Roman"/>
                <w:color w:val="auto"/>
                <w:sz w:val="22"/>
                <w:lang w:val="es-ES"/>
              </w:rPr>
            </w:pPr>
          </w:p>
          <w:p w:rsidR="00FC73CC" w:rsidRDefault="00FC73CC" w:rsidP="00000FB4">
            <w:pPr>
              <w:widowControl/>
              <w:adjustRightInd/>
              <w:spacing w:before="120" w:after="120" w:line="240" w:lineRule="auto"/>
              <w:textAlignment w:val="auto"/>
              <w:rPr>
                <w:rFonts w:eastAsia="Times New Roman"/>
                <w:color w:val="auto"/>
                <w:sz w:val="22"/>
                <w:lang w:val="es-ES"/>
              </w:rPr>
            </w:pPr>
          </w:p>
          <w:p w:rsidR="00FC73CC" w:rsidRDefault="00FC73CC" w:rsidP="00FC73CC">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3</w:t>
            </w:r>
          </w:p>
          <w:p w:rsidR="00FC73CC" w:rsidRDefault="00FC73CC" w:rsidP="00000FB4">
            <w:pPr>
              <w:widowControl/>
              <w:adjustRightInd/>
              <w:spacing w:before="120" w:after="120" w:line="240" w:lineRule="auto"/>
              <w:jc w:val="center"/>
              <w:textAlignment w:val="auto"/>
              <w:rPr>
                <w:rFonts w:eastAsia="Times New Roman"/>
                <w:color w:val="auto"/>
                <w:sz w:val="22"/>
                <w:lang w:val="es-ES"/>
              </w:rPr>
            </w:pPr>
          </w:p>
          <w:p w:rsidR="00000FB4" w:rsidRDefault="00000FB4" w:rsidP="002A4A08">
            <w:pPr>
              <w:widowControl/>
              <w:adjustRightInd/>
              <w:spacing w:before="120" w:after="120" w:line="240" w:lineRule="auto"/>
              <w:jc w:val="center"/>
              <w:textAlignment w:val="auto"/>
              <w:rPr>
                <w:rFonts w:eastAsia="Times New Roman"/>
                <w:color w:val="auto"/>
                <w:sz w:val="22"/>
                <w:lang w:val="es-ES"/>
              </w:rPr>
            </w:pPr>
          </w:p>
          <w:p w:rsidR="00000FB4" w:rsidRDefault="00000FB4" w:rsidP="00000FB4">
            <w:pPr>
              <w:widowControl/>
              <w:adjustRightInd/>
              <w:spacing w:before="120" w:after="120" w:line="240" w:lineRule="auto"/>
              <w:textAlignment w:val="auto"/>
              <w:rPr>
                <w:rFonts w:eastAsia="Times New Roman"/>
                <w:color w:val="auto"/>
                <w:sz w:val="22"/>
                <w:lang w:val="es-ES"/>
              </w:rPr>
            </w:pPr>
          </w:p>
          <w:p w:rsidR="00FC73CC" w:rsidRDefault="00FC73CC" w:rsidP="00000FB4">
            <w:pPr>
              <w:widowControl/>
              <w:adjustRightInd/>
              <w:spacing w:before="120" w:after="120" w:line="240" w:lineRule="auto"/>
              <w:textAlignment w:val="auto"/>
              <w:rPr>
                <w:rFonts w:eastAsia="Times New Roman"/>
                <w:color w:val="auto"/>
                <w:sz w:val="22"/>
                <w:lang w:val="es-ES"/>
              </w:rPr>
            </w:pPr>
          </w:p>
          <w:p w:rsidR="00000FB4" w:rsidRDefault="00000FB4" w:rsidP="002A4A08">
            <w:pPr>
              <w:widowControl/>
              <w:adjustRightInd/>
              <w:spacing w:before="120" w:after="120" w:line="240" w:lineRule="auto"/>
              <w:jc w:val="center"/>
              <w:textAlignment w:val="auto"/>
              <w:rPr>
                <w:rFonts w:eastAsia="Times New Roman"/>
                <w:color w:val="auto"/>
                <w:sz w:val="22"/>
                <w:lang w:val="es-ES"/>
              </w:rPr>
            </w:pPr>
          </w:p>
          <w:p w:rsidR="000B1DE1" w:rsidRPr="00E438FF" w:rsidRDefault="00A05901" w:rsidP="002A4A08">
            <w:pPr>
              <w:widowControl/>
              <w:adjustRightInd/>
              <w:spacing w:before="120" w:after="120" w:line="240" w:lineRule="auto"/>
              <w:jc w:val="center"/>
              <w:textAlignment w:val="auto"/>
              <w:rPr>
                <w:rFonts w:eastAsia="Times New Roman"/>
                <w:color w:val="auto"/>
                <w:sz w:val="22"/>
                <w:lang w:val="es-ES"/>
              </w:rPr>
            </w:pPr>
            <w:r w:rsidRPr="00BF344C">
              <w:rPr>
                <w:rFonts w:eastAsia="Times New Roman"/>
                <w:color w:val="auto"/>
                <w:sz w:val="22"/>
                <w:lang w:val="es-ES"/>
              </w:rPr>
              <w:t>4</w:t>
            </w:r>
          </w:p>
        </w:tc>
        <w:tc>
          <w:tcPr>
            <w:tcW w:w="3637" w:type="dxa"/>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vAlign w:val="center"/>
          </w:tcPr>
          <w:p w:rsidR="00BB534A" w:rsidRPr="00000FB4" w:rsidRDefault="00BB534A" w:rsidP="00C563BC">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b/>
                <w:i/>
                <w:color w:val="auto"/>
                <w:sz w:val="20"/>
                <w:szCs w:val="20"/>
                <w:lang w:val="es-ES"/>
              </w:rPr>
              <w:t xml:space="preserve">Observaciones: </w:t>
            </w:r>
            <w:r w:rsidRPr="00000FB4">
              <w:rPr>
                <w:rFonts w:eastAsia="Arial Unicode MS"/>
                <w:color w:val="auto"/>
                <w:sz w:val="20"/>
                <w:szCs w:val="20"/>
                <w:lang w:val="es-ES"/>
              </w:rPr>
              <w:t xml:space="preserve">El </w:t>
            </w:r>
            <m:oMath>
              <m:sSub>
                <m:sSubPr>
                  <m:ctrlPr>
                    <w:rPr>
                      <w:rFonts w:ascii="Cambria Math" w:eastAsia="Times New Roman" w:hAnsi="Cambria Math"/>
                      <w:i/>
                      <w:color w:val="auto"/>
                      <w:sz w:val="20"/>
                      <w:szCs w:val="20"/>
                      <w:lang w:val="es-ES"/>
                    </w:rPr>
                  </m:ctrlPr>
                </m:sSubPr>
                <m:e>
                  <m:r>
                    <w:rPr>
                      <w:rFonts w:ascii="Cambria Math" w:eastAsia="Times New Roman" w:hAnsi="Cambria Math"/>
                      <w:color w:val="auto"/>
                      <w:sz w:val="20"/>
                      <w:szCs w:val="20"/>
                      <w:lang w:val="es-ES"/>
                    </w:rPr>
                    <m:t>IGR</m:t>
                  </m:r>
                </m:e>
                <m:sub>
                  <m:r>
                    <w:rPr>
                      <w:rFonts w:ascii="Cambria Math" w:eastAsia="Times New Roman" w:hAnsi="Cambria Math"/>
                      <w:color w:val="auto"/>
                      <w:sz w:val="20"/>
                      <w:szCs w:val="20"/>
                      <w:lang w:val="es-ES"/>
                    </w:rPr>
                    <m:t>PF</m:t>
                  </m:r>
                </m:sub>
              </m:sSub>
            </m:oMath>
            <w:r w:rsidRPr="00000FB4">
              <w:rPr>
                <w:rFonts w:eastAsia="Arial Unicode MS"/>
                <w:color w:val="auto"/>
                <w:sz w:val="20"/>
                <w:szCs w:val="20"/>
                <w:lang w:val="es-ES"/>
              </w:rPr>
              <w:t xml:space="preserve"> es un componente del </w:t>
            </w:r>
            <w:r w:rsidRPr="00000FB4">
              <w:rPr>
                <w:rFonts w:eastAsia="Arial Unicode MS"/>
                <w:i/>
                <w:color w:val="auto"/>
                <w:sz w:val="20"/>
                <w:szCs w:val="20"/>
                <w:lang w:val="es-ES"/>
              </w:rPr>
              <w:t>IGR</w:t>
            </w:r>
            <w:r w:rsidRPr="00000FB4">
              <w:rPr>
                <w:rFonts w:eastAsia="Arial Unicode MS"/>
                <w:color w:val="auto"/>
                <w:sz w:val="20"/>
                <w:szCs w:val="20"/>
                <w:lang w:val="es-ES"/>
              </w:rPr>
              <w:t>. Este índice está compuesto por seis aspectos</w:t>
            </w:r>
            <w:r w:rsidR="00277988" w:rsidRPr="00000FB4">
              <w:rPr>
                <w:rFonts w:eastAsia="Arial Unicode MS"/>
                <w:color w:val="auto"/>
                <w:sz w:val="20"/>
                <w:szCs w:val="20"/>
                <w:lang w:val="es-ES"/>
              </w:rPr>
              <w:t xml:space="preserve"> (</w:t>
            </w:r>
            <w:r w:rsidR="00277988" w:rsidRPr="00000FB4">
              <w:rPr>
                <w:rFonts w:eastAsia="Arial Unicode MS"/>
                <w:i/>
                <w:color w:val="auto"/>
                <w:sz w:val="20"/>
                <w:szCs w:val="20"/>
                <w:lang w:val="es-ES"/>
              </w:rPr>
              <w:t>I</w:t>
            </w:r>
            <w:r w:rsidR="00277988" w:rsidRPr="00000FB4">
              <w:rPr>
                <w:rFonts w:eastAsia="Arial Unicode MS"/>
                <w:color w:val="auto"/>
                <w:sz w:val="20"/>
                <w:szCs w:val="20"/>
                <w:lang w:val="es-ES"/>
              </w:rPr>
              <w:t>) y cada aspecto tiene un peso asociado de acuerdo a su importancia (</w:t>
            </w:r>
            <w:r w:rsidR="00277988" w:rsidRPr="00000FB4">
              <w:rPr>
                <w:rFonts w:eastAsia="Arial Unicode MS"/>
                <w:i/>
                <w:color w:val="auto"/>
                <w:sz w:val="20"/>
                <w:szCs w:val="20"/>
                <w:lang w:val="es-ES"/>
              </w:rPr>
              <w:t>w</w:t>
            </w:r>
            <w:r w:rsidR="00277988" w:rsidRPr="00000FB4">
              <w:rPr>
                <w:rFonts w:eastAsia="Arial Unicode MS"/>
                <w:color w:val="auto"/>
                <w:sz w:val="20"/>
                <w:szCs w:val="20"/>
                <w:lang w:val="es-ES"/>
              </w:rPr>
              <w:t>)</w:t>
            </w:r>
            <w:r w:rsidRPr="00000FB4">
              <w:rPr>
                <w:rFonts w:eastAsia="Arial Unicode MS"/>
                <w:color w:val="auto"/>
                <w:sz w:val="20"/>
                <w:szCs w:val="20"/>
                <w:lang w:val="es-ES"/>
              </w:rPr>
              <w:t>:</w:t>
            </w:r>
          </w:p>
          <w:p w:rsidR="00BB534A" w:rsidRPr="00000FB4" w:rsidRDefault="00BB534A" w:rsidP="00C563BC">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1. Organización interinstitucional, multisectorial y descentralizada</w:t>
            </w:r>
            <w:r w:rsidR="00B70E64" w:rsidRPr="00000FB4">
              <w:rPr>
                <w:rFonts w:eastAsia="Arial Unicode MS"/>
                <w:color w:val="auto"/>
                <w:sz w:val="20"/>
                <w:szCs w:val="20"/>
                <w:lang w:val="es-ES"/>
              </w:rPr>
              <w:t xml:space="preserve"> (PF1)</w:t>
            </w:r>
          </w:p>
          <w:p w:rsidR="00BB534A" w:rsidRPr="00000FB4" w:rsidRDefault="00BB534A" w:rsidP="00C563BC">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2. Fondos de reservas para el fortalecimiento institucional</w:t>
            </w:r>
            <w:r w:rsidR="00B70E64" w:rsidRPr="00000FB4">
              <w:rPr>
                <w:rFonts w:eastAsia="Arial Unicode MS"/>
                <w:color w:val="auto"/>
                <w:sz w:val="20"/>
                <w:szCs w:val="20"/>
                <w:lang w:val="es-ES"/>
              </w:rPr>
              <w:t xml:space="preserve"> (PF2)</w:t>
            </w:r>
          </w:p>
          <w:p w:rsidR="00BB534A" w:rsidRPr="00000FB4" w:rsidRDefault="00BB534A" w:rsidP="00C563BC">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3. Localización y movilización de recursos de presupuesto</w:t>
            </w:r>
            <w:r w:rsidR="00B70E64" w:rsidRPr="00000FB4">
              <w:rPr>
                <w:rFonts w:eastAsia="Arial Unicode MS"/>
                <w:color w:val="auto"/>
                <w:sz w:val="20"/>
                <w:szCs w:val="20"/>
                <w:lang w:val="es-ES"/>
              </w:rPr>
              <w:t xml:space="preserve"> (PF3)</w:t>
            </w:r>
          </w:p>
          <w:p w:rsidR="00BB534A" w:rsidRPr="00000FB4" w:rsidRDefault="00BB534A" w:rsidP="00C563BC">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4. Implementación de redes y fondos de seguridad.</w:t>
            </w:r>
            <w:r w:rsidR="00B70E64" w:rsidRPr="00000FB4">
              <w:rPr>
                <w:rFonts w:eastAsia="Arial Unicode MS"/>
                <w:color w:val="auto"/>
                <w:sz w:val="20"/>
                <w:szCs w:val="20"/>
                <w:lang w:val="es-ES"/>
              </w:rPr>
              <w:t>(PF4)</w:t>
            </w:r>
          </w:p>
          <w:p w:rsidR="00BB534A" w:rsidRPr="00000FB4" w:rsidRDefault="00BB534A" w:rsidP="00C563BC">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5. Seguros y estrategias de transferenci</w:t>
            </w:r>
            <w:r w:rsidR="00B70E64" w:rsidRPr="00000FB4">
              <w:rPr>
                <w:rFonts w:eastAsia="Arial Unicode MS"/>
                <w:color w:val="auto"/>
                <w:sz w:val="20"/>
                <w:szCs w:val="20"/>
                <w:lang w:val="es-ES"/>
              </w:rPr>
              <w:t>a de perdidas activos públicos (PF5)</w:t>
            </w:r>
          </w:p>
          <w:p w:rsidR="00BB534A" w:rsidRPr="00000FB4" w:rsidRDefault="00BB534A" w:rsidP="00E02B53">
            <w:pPr>
              <w:widowControl/>
              <w:pBdr>
                <w:bottom w:val="single" w:sz="4" w:space="1" w:color="auto"/>
              </w:pBdr>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6. Cobertura de seguros y reaseguros d</w:t>
            </w:r>
            <w:r w:rsidR="00B70E64" w:rsidRPr="00000FB4">
              <w:rPr>
                <w:rFonts w:eastAsia="Arial Unicode MS"/>
                <w:color w:val="auto"/>
                <w:sz w:val="20"/>
                <w:szCs w:val="20"/>
                <w:lang w:val="es-ES"/>
              </w:rPr>
              <w:t>e vivienda y del sector privado (PF6)</w:t>
            </w:r>
          </w:p>
          <w:p w:rsidR="00BB534A" w:rsidRPr="002C0207" w:rsidRDefault="00E02B53" w:rsidP="006C6D09">
            <w:pPr>
              <w:widowControl/>
              <w:adjustRightInd/>
              <w:spacing w:before="120" w:after="120" w:line="240" w:lineRule="auto"/>
              <w:ind w:right="144"/>
              <w:jc w:val="left"/>
              <w:textAlignment w:val="auto"/>
              <w:rPr>
                <w:rFonts w:eastAsia="Times New Roman" w:cs="Arial"/>
                <w:color w:val="auto"/>
                <w:sz w:val="20"/>
                <w:szCs w:val="20"/>
                <w:lang w:val="es-ES"/>
              </w:rPr>
            </w:pPr>
            <w:r w:rsidRPr="00000FB4">
              <w:rPr>
                <w:rFonts w:eastAsia="Arial Unicode MS"/>
                <w:color w:val="auto"/>
                <w:sz w:val="20"/>
                <w:szCs w:val="20"/>
                <w:lang w:val="es-ES"/>
              </w:rPr>
              <w:t>Este componente apunta a incrementar el nivel de</w:t>
            </w:r>
            <w:r w:rsidR="00CE3BA4">
              <w:rPr>
                <w:rFonts w:eastAsia="Arial Unicode MS"/>
                <w:color w:val="auto"/>
                <w:sz w:val="20"/>
                <w:szCs w:val="20"/>
                <w:lang w:val="es-ES"/>
              </w:rPr>
              <w:t>l</w:t>
            </w:r>
            <w:r w:rsidR="00000FB4" w:rsidRPr="00000FB4">
              <w:rPr>
                <w:rFonts w:eastAsia="Arial Unicode MS"/>
                <w:color w:val="auto"/>
                <w:sz w:val="20"/>
                <w:szCs w:val="20"/>
                <w:lang w:val="es-ES"/>
              </w:rPr>
              <w:t xml:space="preserve"> </w:t>
            </w:r>
            <w:r w:rsidRPr="00000FB4">
              <w:rPr>
                <w:rFonts w:eastAsia="Arial Unicode MS"/>
                <w:color w:val="auto"/>
                <w:sz w:val="20"/>
                <w:szCs w:val="20"/>
                <w:lang w:val="es-ES"/>
              </w:rPr>
              <w:t>subíndice</w:t>
            </w:r>
            <w:r w:rsidR="00000FB4" w:rsidRPr="00000FB4">
              <w:rPr>
                <w:rFonts w:eastAsia="Arial Unicode MS"/>
                <w:color w:val="auto"/>
                <w:sz w:val="20"/>
                <w:szCs w:val="20"/>
                <w:lang w:val="es-ES"/>
              </w:rPr>
              <w:t>s</w:t>
            </w:r>
            <w:r w:rsidRPr="00000FB4">
              <w:rPr>
                <w:rFonts w:eastAsia="Arial Unicode MS"/>
                <w:color w:val="auto"/>
                <w:sz w:val="20"/>
                <w:szCs w:val="20"/>
                <w:lang w:val="es-ES"/>
              </w:rPr>
              <w:t xml:space="preserve"> PF1</w:t>
            </w:r>
            <w:r w:rsidR="00000FB4" w:rsidRPr="00000FB4">
              <w:rPr>
                <w:rFonts w:eastAsia="Arial Unicode MS"/>
                <w:color w:val="auto"/>
                <w:sz w:val="20"/>
                <w:szCs w:val="20"/>
                <w:lang w:val="es-ES"/>
              </w:rPr>
              <w:t xml:space="preserve"> </w:t>
            </w:r>
            <w:r w:rsidR="00CE3BA4">
              <w:rPr>
                <w:rFonts w:eastAsia="Arial Unicode MS"/>
                <w:color w:val="auto"/>
                <w:sz w:val="20"/>
                <w:szCs w:val="20"/>
                <w:lang w:val="es-ES"/>
              </w:rPr>
              <w:t xml:space="preserve">de nivel 1 a nivel 3 </w:t>
            </w:r>
            <w:r w:rsidR="00000FB4" w:rsidRPr="00000FB4">
              <w:rPr>
                <w:rFonts w:eastAsia="Arial Unicode MS"/>
                <w:color w:val="auto"/>
                <w:sz w:val="20"/>
                <w:szCs w:val="20"/>
                <w:lang w:val="es-ES"/>
              </w:rPr>
              <w:t>y</w:t>
            </w:r>
            <w:r w:rsidR="00CE3BA4">
              <w:rPr>
                <w:rFonts w:eastAsia="Arial Unicode MS"/>
                <w:color w:val="auto"/>
                <w:sz w:val="20"/>
                <w:szCs w:val="20"/>
                <w:lang w:val="es-ES"/>
              </w:rPr>
              <w:t xml:space="preserve"> del subíndice</w:t>
            </w:r>
            <w:r w:rsidR="00000FB4" w:rsidRPr="00000FB4">
              <w:rPr>
                <w:rFonts w:eastAsia="Arial Unicode MS"/>
                <w:color w:val="auto"/>
                <w:sz w:val="20"/>
                <w:szCs w:val="20"/>
                <w:lang w:val="es-ES"/>
              </w:rPr>
              <w:t xml:space="preserve"> PF3 </w:t>
            </w:r>
            <w:r w:rsidR="006C6D09">
              <w:rPr>
                <w:rFonts w:eastAsia="Arial Unicode MS"/>
                <w:color w:val="auto"/>
                <w:sz w:val="20"/>
                <w:szCs w:val="20"/>
                <w:lang w:val="es-ES"/>
              </w:rPr>
              <w:t xml:space="preserve">de nivel 3 a nivel 4 </w:t>
            </w:r>
            <w:r w:rsidR="00000FB4" w:rsidRPr="00000FB4">
              <w:rPr>
                <w:rFonts w:eastAsia="Arial Unicode MS"/>
                <w:color w:val="auto"/>
                <w:sz w:val="20"/>
                <w:szCs w:val="20"/>
                <w:lang w:val="es-ES"/>
              </w:rPr>
              <w:t xml:space="preserve">del </w:t>
            </w:r>
            <m:oMath>
              <m:sSub>
                <m:sSubPr>
                  <m:ctrlPr>
                    <w:rPr>
                      <w:rFonts w:ascii="Cambria Math" w:eastAsia="Arial Unicode MS" w:hAnsi="Cambria Math"/>
                      <w:i/>
                      <w:color w:val="auto"/>
                      <w:sz w:val="20"/>
                      <w:szCs w:val="20"/>
                      <w:lang w:val="es-ES"/>
                    </w:rPr>
                  </m:ctrlPr>
                </m:sSubPr>
                <m:e>
                  <m:r>
                    <w:rPr>
                      <w:rFonts w:ascii="Cambria Math" w:eastAsia="Arial Unicode MS" w:hAnsi="Cambria Math"/>
                      <w:color w:val="auto"/>
                      <w:sz w:val="20"/>
                      <w:szCs w:val="20"/>
                      <w:lang w:val="es-ES"/>
                    </w:rPr>
                    <m:t>IGR</m:t>
                  </m:r>
                </m:e>
                <m:sub>
                  <m:r>
                    <w:rPr>
                      <w:rFonts w:ascii="Cambria Math" w:eastAsia="Arial Unicode MS" w:hAnsi="Cambria Math"/>
                      <w:color w:val="auto"/>
                      <w:sz w:val="20"/>
                      <w:szCs w:val="20"/>
                      <w:lang w:val="es-ES"/>
                    </w:rPr>
                    <m:t>PF</m:t>
                  </m:r>
                </m:sub>
              </m:sSub>
            </m:oMath>
            <w:r w:rsidRPr="00000FB4">
              <w:rPr>
                <w:rFonts w:eastAsia="Arial Unicode MS"/>
                <w:color w:val="auto"/>
                <w:sz w:val="20"/>
                <w:szCs w:val="20"/>
                <w:lang w:val="es-ES"/>
              </w:rPr>
              <w:t>.</w:t>
            </w:r>
            <w:r w:rsidR="00CE3BA4">
              <w:rPr>
                <w:rFonts w:eastAsia="Arial Unicode MS"/>
                <w:color w:val="auto"/>
                <w:sz w:val="20"/>
                <w:szCs w:val="20"/>
                <w:lang w:val="es-ES"/>
              </w:rPr>
              <w:t xml:space="preserve"> El nivel 1 implica nivel bajo </w:t>
            </w:r>
            <w:r w:rsidR="000B1DE1" w:rsidRPr="00000FB4">
              <w:rPr>
                <w:rFonts w:eastAsia="Arial Unicode MS"/>
                <w:color w:val="auto"/>
                <w:sz w:val="20"/>
                <w:szCs w:val="20"/>
                <w:lang w:val="es-ES"/>
              </w:rPr>
              <w:t>y el nive</w:t>
            </w:r>
            <w:r w:rsidR="003F4ECF">
              <w:rPr>
                <w:rFonts w:eastAsia="Arial Unicode MS"/>
                <w:color w:val="auto"/>
                <w:sz w:val="20"/>
                <w:szCs w:val="20"/>
                <w:lang w:val="es-ES"/>
              </w:rPr>
              <w:t>l 4</w:t>
            </w:r>
            <w:r w:rsidR="002C0207">
              <w:rPr>
                <w:rFonts w:eastAsia="Arial Unicode MS"/>
                <w:color w:val="auto"/>
                <w:sz w:val="20"/>
                <w:szCs w:val="20"/>
                <w:lang w:val="es-ES"/>
              </w:rPr>
              <w:t xml:space="preserve"> implica un nivel </w:t>
            </w:r>
            <w:r w:rsidR="003F4ECF">
              <w:rPr>
                <w:rFonts w:eastAsia="Arial Unicode MS"/>
                <w:color w:val="auto"/>
                <w:sz w:val="20"/>
                <w:szCs w:val="20"/>
                <w:lang w:val="es-ES"/>
              </w:rPr>
              <w:t>sobresaliente.</w:t>
            </w:r>
          </w:p>
        </w:tc>
      </w:tr>
      <w:tr w:rsidR="00127892" w:rsidRPr="00EF7BA5" w:rsidTr="00E801FC">
        <w:trPr>
          <w:trHeight w:val="1289"/>
          <w:jc w:val="center"/>
        </w:trPr>
        <w:tc>
          <w:tcPr>
            <w:tcW w:w="3755" w:type="dxa"/>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tcPr>
          <w:p w:rsidR="00127892" w:rsidRPr="00DD76D4" w:rsidRDefault="00DD76D4" w:rsidP="00277988">
            <w:pPr>
              <w:pStyle w:val="Default"/>
              <w:rPr>
                <w:bCs/>
                <w:sz w:val="22"/>
                <w:szCs w:val="22"/>
                <w:lang w:val="es-ES"/>
              </w:rPr>
            </w:pPr>
            <w:r w:rsidRPr="00DD76D4">
              <w:rPr>
                <w:bCs/>
                <w:i/>
                <w:sz w:val="22"/>
                <w:szCs w:val="22"/>
                <w:lang w:val="es-ES"/>
              </w:rPr>
              <w:lastRenderedPageBreak/>
              <w:t xml:space="preserve">Indicador </w:t>
            </w:r>
            <w:r w:rsidR="00127892" w:rsidRPr="00DD76D4">
              <w:rPr>
                <w:bCs/>
                <w:i/>
                <w:sz w:val="22"/>
                <w:szCs w:val="22"/>
                <w:lang w:val="es-ES"/>
              </w:rPr>
              <w:t>iGOPP</w:t>
            </w:r>
            <w:r w:rsidRPr="00DD76D4">
              <w:rPr>
                <w:bCs/>
                <w:i/>
                <w:sz w:val="22"/>
                <w:szCs w:val="22"/>
                <w:lang w:val="es-ES"/>
              </w:rPr>
              <w:t>:</w:t>
            </w:r>
            <w:r w:rsidRPr="00DD76D4">
              <w:rPr>
                <w:bCs/>
                <w:sz w:val="22"/>
                <w:szCs w:val="22"/>
                <w:lang w:val="es-ES"/>
              </w:rPr>
              <w:t xml:space="preserve"> </w:t>
            </w:r>
            <w:r w:rsidR="00127892" w:rsidRPr="00DD76D4">
              <w:rPr>
                <w:bCs/>
                <w:sz w:val="22"/>
                <w:szCs w:val="22"/>
                <w:lang w:val="es-ES"/>
              </w:rPr>
              <w:t xml:space="preserve"> </w:t>
            </w:r>
            <m:oMath>
              <m:sSub>
                <m:sSubPr>
                  <m:ctrlPr>
                    <w:rPr>
                      <w:rFonts w:ascii="Cambria Math" w:hAnsi="Cambria Math"/>
                      <w:bCs/>
                      <w:i/>
                      <w:sz w:val="22"/>
                      <w:szCs w:val="22"/>
                      <w:lang w:val="es-ES"/>
                    </w:rPr>
                  </m:ctrlPr>
                </m:sSubPr>
                <m:e>
                  <m:r>
                    <w:rPr>
                      <w:rFonts w:ascii="Cambria Math" w:hAnsi="Cambria Math"/>
                      <w:sz w:val="22"/>
                      <w:szCs w:val="22"/>
                      <w:lang w:val="es-ES"/>
                    </w:rPr>
                    <m:t>MG</m:t>
                  </m:r>
                </m:e>
                <m:sub>
                  <m:r>
                    <w:rPr>
                      <w:rFonts w:ascii="Cambria Math" w:hAnsi="Cambria Math"/>
                      <w:sz w:val="22"/>
                      <w:szCs w:val="22"/>
                      <w:lang w:val="es-ES"/>
                    </w:rPr>
                    <m:t>iGOPP</m:t>
                  </m:r>
                </m:sub>
              </m:sSub>
            </m:oMath>
            <w:r w:rsidRPr="00DD76D4">
              <w:rPr>
                <w:bCs/>
                <w:sz w:val="22"/>
                <w:szCs w:val="22"/>
                <w:lang w:val="es-ES"/>
              </w:rPr>
              <w:t xml:space="preserve"> (Marco General)  es un subíndice del iGOPP</w:t>
            </w:r>
            <w:r w:rsidR="00BF344C">
              <w:rPr>
                <w:bCs/>
                <w:sz w:val="22"/>
                <w:szCs w:val="22"/>
                <w:lang w:val="es-ES"/>
              </w:rPr>
              <w:t xml:space="preserve"> (Porcentaje)</w:t>
            </w:r>
          </w:p>
        </w:tc>
        <w:tc>
          <w:tcPr>
            <w:tcW w:w="881"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DD76D4" w:rsidRDefault="00BF344C"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40%</w:t>
            </w: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tc>
        <w:tc>
          <w:tcPr>
            <w:tcW w:w="881"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127892" w:rsidRPr="00E438FF" w:rsidRDefault="00127892" w:rsidP="002A4A08">
            <w:pPr>
              <w:widowControl/>
              <w:adjustRightInd/>
              <w:spacing w:before="120" w:after="120" w:line="240" w:lineRule="auto"/>
              <w:jc w:val="center"/>
              <w:textAlignment w:val="auto"/>
              <w:rPr>
                <w:rFonts w:eastAsia="Times New Roman"/>
                <w:color w:val="auto"/>
                <w:sz w:val="22"/>
                <w:lang w:val="es-ES"/>
              </w:rPr>
            </w:pPr>
          </w:p>
        </w:tc>
        <w:tc>
          <w:tcPr>
            <w:tcW w:w="763"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127892" w:rsidRPr="00E438FF" w:rsidRDefault="00127892" w:rsidP="002A4A08">
            <w:pPr>
              <w:widowControl/>
              <w:adjustRightInd/>
              <w:spacing w:before="120" w:after="120" w:line="240" w:lineRule="auto"/>
              <w:jc w:val="center"/>
              <w:textAlignment w:val="auto"/>
              <w:rPr>
                <w:rFonts w:eastAsia="Times New Roman"/>
                <w:color w:val="auto"/>
                <w:sz w:val="22"/>
                <w:lang w:val="es-ES"/>
              </w:rPr>
            </w:pPr>
          </w:p>
        </w:tc>
        <w:tc>
          <w:tcPr>
            <w:tcW w:w="906"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127892" w:rsidRPr="00E438FF" w:rsidRDefault="00127892" w:rsidP="002A4A08">
            <w:pPr>
              <w:widowControl/>
              <w:adjustRightInd/>
              <w:spacing w:before="120" w:after="120" w:line="240" w:lineRule="auto"/>
              <w:jc w:val="center"/>
              <w:textAlignment w:val="auto"/>
              <w:rPr>
                <w:rFonts w:eastAsia="Times New Roman"/>
                <w:color w:val="auto"/>
                <w:sz w:val="22"/>
                <w:lang w:val="es-ES"/>
              </w:rPr>
            </w:pPr>
          </w:p>
        </w:tc>
        <w:tc>
          <w:tcPr>
            <w:tcW w:w="816"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127892" w:rsidRPr="00E438FF" w:rsidRDefault="00127892" w:rsidP="002A4A08">
            <w:pPr>
              <w:widowControl/>
              <w:adjustRightInd/>
              <w:spacing w:before="120" w:after="120" w:line="240" w:lineRule="auto"/>
              <w:jc w:val="center"/>
              <w:textAlignment w:val="auto"/>
              <w:rPr>
                <w:rFonts w:eastAsia="Times New Roman"/>
                <w:color w:val="auto"/>
                <w:sz w:val="22"/>
                <w:lang w:val="es-ES"/>
              </w:rPr>
            </w:pPr>
          </w:p>
        </w:tc>
        <w:tc>
          <w:tcPr>
            <w:tcW w:w="816" w:type="dxa"/>
            <w:tcBorders>
              <w:top w:val="single" w:sz="4" w:space="0" w:color="auto"/>
              <w:left w:val="nil"/>
              <w:right w:val="single" w:sz="4" w:space="0" w:color="auto"/>
            </w:tcBorders>
            <w:shd w:val="clear" w:color="auto" w:fill="auto"/>
            <w:vAlign w:val="center"/>
          </w:tcPr>
          <w:p w:rsidR="00127892" w:rsidRPr="00E438FF" w:rsidRDefault="00127892" w:rsidP="002A4A08">
            <w:pPr>
              <w:widowControl/>
              <w:adjustRightInd/>
              <w:spacing w:before="120" w:after="120" w:line="240" w:lineRule="auto"/>
              <w:jc w:val="center"/>
              <w:textAlignment w:val="auto"/>
              <w:rPr>
                <w:rFonts w:eastAsia="Times New Roman"/>
                <w:color w:val="auto"/>
                <w:sz w:val="22"/>
                <w:lang w:val="es-ES"/>
              </w:rPr>
            </w:pPr>
          </w:p>
        </w:tc>
        <w:tc>
          <w:tcPr>
            <w:tcW w:w="893" w:type="dxa"/>
            <w:tcBorders>
              <w:top w:val="single" w:sz="4" w:space="0" w:color="auto"/>
              <w:left w:val="single" w:sz="4" w:space="0" w:color="auto"/>
              <w:right w:val="single" w:sz="4" w:space="0" w:color="auto"/>
            </w:tcBorders>
            <w:shd w:val="clear" w:color="auto" w:fill="auto"/>
            <w:vAlign w:val="center"/>
          </w:tcPr>
          <w:p w:rsidR="00DD76D4" w:rsidRDefault="00BF344C"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67%</w:t>
            </w: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p w:rsidR="00DD76D4" w:rsidRDefault="00DD76D4" w:rsidP="002A4A08">
            <w:pPr>
              <w:widowControl/>
              <w:adjustRightInd/>
              <w:spacing w:before="120" w:after="120" w:line="240" w:lineRule="auto"/>
              <w:jc w:val="center"/>
              <w:textAlignment w:val="auto"/>
              <w:rPr>
                <w:rFonts w:eastAsia="Times New Roman"/>
                <w:color w:val="auto"/>
                <w:sz w:val="22"/>
                <w:lang w:val="es-ES"/>
              </w:rPr>
            </w:pPr>
          </w:p>
        </w:tc>
        <w:tc>
          <w:tcPr>
            <w:tcW w:w="3637" w:type="dxa"/>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000FB4" w:rsidRDefault="00DD76D4" w:rsidP="00C563BC">
            <w:pPr>
              <w:widowControl/>
              <w:adjustRightInd/>
              <w:spacing w:before="120" w:after="120" w:line="240" w:lineRule="auto"/>
              <w:ind w:right="144"/>
              <w:jc w:val="left"/>
              <w:textAlignment w:val="auto"/>
              <w:rPr>
                <w:rFonts w:eastAsia="Arial Unicode MS"/>
                <w:b/>
                <w:i/>
                <w:color w:val="auto"/>
                <w:sz w:val="20"/>
                <w:szCs w:val="20"/>
                <w:lang w:val="es-ES"/>
              </w:rPr>
            </w:pPr>
            <w:r w:rsidRPr="002C0207">
              <w:rPr>
                <w:b/>
                <w:i/>
                <w:sz w:val="20"/>
                <w:szCs w:val="20"/>
                <w:lang w:val="es-ES_tradnl"/>
              </w:rPr>
              <w:t>Observaciones:</w:t>
            </w:r>
            <w:r>
              <w:rPr>
                <w:sz w:val="20"/>
                <w:szCs w:val="20"/>
                <w:lang w:val="es-ES_tradnl"/>
              </w:rPr>
              <w:t xml:space="preserve"> </w:t>
            </w:r>
            <m:oMath>
              <m:sSub>
                <m:sSubPr>
                  <m:ctrlPr>
                    <w:rPr>
                      <w:rFonts w:ascii="Cambria Math" w:eastAsia="Times New Roman" w:hAnsi="Cambria Math"/>
                      <w:i/>
                      <w:color w:val="auto"/>
                      <w:sz w:val="22"/>
                      <w:lang w:val="es-ES"/>
                    </w:rPr>
                  </m:ctrlPr>
                </m:sSubPr>
                <m:e>
                  <m:r>
                    <w:rPr>
                      <w:rFonts w:ascii="Cambria Math" w:eastAsia="Times New Roman" w:hAnsi="Cambria Math"/>
                      <w:color w:val="auto"/>
                      <w:sz w:val="22"/>
                      <w:lang w:val="es-ES"/>
                    </w:rPr>
                    <m:t>MG</m:t>
                  </m:r>
                </m:e>
                <m:sub>
                  <m:r>
                    <w:rPr>
                      <w:rFonts w:ascii="Cambria Math" w:eastAsia="Times New Roman" w:hAnsi="Cambria Math"/>
                      <w:color w:val="auto"/>
                      <w:sz w:val="22"/>
                      <w:lang w:val="es-ES"/>
                    </w:rPr>
                    <m:t>iGOPP</m:t>
                  </m:r>
                </m:sub>
              </m:sSub>
            </m:oMath>
            <w:r w:rsidR="00BD0F5D">
              <w:rPr>
                <w:sz w:val="20"/>
                <w:szCs w:val="20"/>
                <w:lang w:val="es-ES"/>
              </w:rPr>
              <w:t xml:space="preserve"> </w:t>
            </w:r>
            <w:r w:rsidR="00BD0F5D">
              <w:rPr>
                <w:sz w:val="20"/>
                <w:szCs w:val="20"/>
                <w:lang w:val="es-ES_tradnl"/>
              </w:rPr>
              <w:t>(Marco General de la GRD)</w:t>
            </w:r>
            <w:r>
              <w:rPr>
                <w:sz w:val="20"/>
                <w:szCs w:val="20"/>
                <w:lang w:val="es-ES_tradnl"/>
              </w:rPr>
              <w:t xml:space="preserve"> del iGOPP mide</w:t>
            </w:r>
            <w:r w:rsidRPr="002C0207">
              <w:rPr>
                <w:sz w:val="20"/>
                <w:szCs w:val="20"/>
                <w:lang w:val="es-ES_tradnl"/>
              </w:rPr>
              <w:t xml:space="preserve"> </w:t>
            </w:r>
            <w:r>
              <w:rPr>
                <w:rFonts w:eastAsia="Arial Unicode MS"/>
                <w:color w:val="auto"/>
                <w:sz w:val="20"/>
                <w:szCs w:val="20"/>
                <w:lang w:val="es-ES_tradnl"/>
              </w:rPr>
              <w:t xml:space="preserve">a través de un checklist, </w:t>
            </w:r>
            <w:r w:rsidRPr="002C0207">
              <w:rPr>
                <w:sz w:val="20"/>
                <w:szCs w:val="20"/>
                <w:lang w:val="es-ES_tradnl"/>
              </w:rPr>
              <w:t>la existencia de una base normativa adecuada para la organización y coordinación de la GRD en cada país, la cual incluye la normativa básica territorial y sectorial que garantice su viabilidad, y que disponga los recursos para la implementación de los procesos de la GRD, y que establezca mecanismos de monitoreo, evaluación y seguimiento de los mismos.</w:t>
            </w:r>
            <w:r w:rsidR="00BF344C">
              <w:rPr>
                <w:sz w:val="20"/>
                <w:szCs w:val="20"/>
                <w:lang w:val="es-ES_tradnl"/>
              </w:rPr>
              <w:t xml:space="preserve"> El porcentaje hace referencia al </w:t>
            </w:r>
            <w:r w:rsidR="00357991">
              <w:rPr>
                <w:sz w:val="20"/>
                <w:szCs w:val="20"/>
                <w:lang w:val="es-ES_tradnl"/>
              </w:rPr>
              <w:t>número de indicadores cumplidos para este proceso.</w:t>
            </w:r>
          </w:p>
        </w:tc>
      </w:tr>
      <w:tr w:rsidR="00E801FC" w:rsidRPr="00E929DC" w:rsidTr="00E801FC">
        <w:trPr>
          <w:trHeight w:val="137"/>
          <w:jc w:val="center"/>
        </w:trPr>
        <w:tc>
          <w:tcPr>
            <w:tcW w:w="13348" w:type="dxa"/>
            <w:gridSpan w:val="9"/>
            <w:tcBorders>
              <w:top w:val="single" w:sz="4" w:space="0" w:color="auto"/>
              <w:left w:val="single" w:sz="4" w:space="0" w:color="auto"/>
              <w:bottom w:val="single" w:sz="4" w:space="0" w:color="auto"/>
              <w:right w:val="single" w:sz="4" w:space="0" w:color="auto"/>
            </w:tcBorders>
            <w:shd w:val="clear" w:color="auto" w:fill="CCCCCC"/>
            <w:noWrap/>
            <w:tcMar>
              <w:top w:w="15" w:type="dxa"/>
              <w:left w:w="15" w:type="dxa"/>
              <w:bottom w:w="0" w:type="dxa"/>
              <w:right w:w="15" w:type="dxa"/>
            </w:tcMar>
            <w:vAlign w:val="bottom"/>
          </w:tcPr>
          <w:p w:rsidR="00E801FC" w:rsidRPr="00E929DC" w:rsidRDefault="00E801FC" w:rsidP="00E801FC">
            <w:pPr>
              <w:widowControl/>
              <w:adjustRightInd/>
              <w:spacing w:line="240" w:lineRule="auto"/>
              <w:ind w:right="165"/>
              <w:jc w:val="left"/>
              <w:textAlignment w:val="auto"/>
              <w:rPr>
                <w:rFonts w:eastAsia="Arial Unicode MS"/>
                <w:color w:val="auto"/>
                <w:sz w:val="22"/>
                <w:lang w:val="es-ES"/>
              </w:rPr>
            </w:pPr>
            <w:r>
              <w:rPr>
                <w:rFonts w:eastAsia="Arial Unicode MS"/>
                <w:b/>
                <w:color w:val="auto"/>
                <w:sz w:val="22"/>
                <w:lang w:val="es-ES"/>
              </w:rPr>
              <w:t>Productos</w:t>
            </w:r>
          </w:p>
        </w:tc>
      </w:tr>
      <w:tr w:rsidR="00E801FC" w:rsidRPr="00EF7BA5" w:rsidTr="00E801FC">
        <w:trPr>
          <w:trHeight w:val="1289"/>
          <w:jc w:val="center"/>
        </w:trPr>
        <w:tc>
          <w:tcPr>
            <w:tcW w:w="3755" w:type="dxa"/>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tcPr>
          <w:p w:rsidR="00E801FC" w:rsidRDefault="00E801FC" w:rsidP="00E801FC">
            <w:pPr>
              <w:widowControl/>
              <w:adjustRightInd/>
              <w:spacing w:line="240" w:lineRule="auto"/>
              <w:jc w:val="left"/>
              <w:textAlignment w:val="auto"/>
              <w:rPr>
                <w:rFonts w:eastAsia="Times New Roman"/>
                <w:sz w:val="20"/>
                <w:szCs w:val="20"/>
                <w:lang w:val="es-ES_tradnl" w:eastAsia="es-ES"/>
              </w:rPr>
            </w:pPr>
            <w:r w:rsidRPr="00E801FC">
              <w:rPr>
                <w:rFonts w:eastAsia="Times New Roman"/>
                <w:sz w:val="20"/>
                <w:szCs w:val="20"/>
                <w:lang w:val="es-ES_tradnl" w:eastAsia="es-ES"/>
              </w:rPr>
              <w:t xml:space="preserve">Difusión y promoción de la Ley que crea el Sistema Nacional de Gestión del  Riesgo de Desastres (SINAGERD) y su reglamento en todos los niveles de gobierno. </w:t>
            </w:r>
          </w:p>
          <w:p w:rsidR="00E801FC" w:rsidRDefault="00E801FC" w:rsidP="00E801FC">
            <w:pPr>
              <w:widowControl/>
              <w:adjustRightInd/>
              <w:spacing w:line="240" w:lineRule="auto"/>
              <w:jc w:val="left"/>
              <w:textAlignment w:val="auto"/>
              <w:rPr>
                <w:rFonts w:eastAsia="Times New Roman"/>
                <w:sz w:val="20"/>
                <w:szCs w:val="20"/>
                <w:lang w:val="es-ES_tradnl" w:eastAsia="es-ES"/>
              </w:rPr>
            </w:pPr>
          </w:p>
          <w:p w:rsidR="00E801FC" w:rsidRPr="00E801FC" w:rsidRDefault="00E801FC" w:rsidP="00E801FC">
            <w:pPr>
              <w:widowControl/>
              <w:adjustRightInd/>
              <w:spacing w:line="240" w:lineRule="auto"/>
              <w:jc w:val="left"/>
              <w:textAlignment w:val="auto"/>
              <w:rPr>
                <w:rFonts w:eastAsia="Times New Roman"/>
                <w:sz w:val="20"/>
                <w:szCs w:val="20"/>
                <w:lang w:val="es-ES_tradnl" w:eastAsia="es-ES"/>
              </w:rPr>
            </w:pPr>
            <w:r>
              <w:rPr>
                <w:rFonts w:eastAsia="Times New Roman"/>
                <w:sz w:val="20"/>
                <w:szCs w:val="20"/>
                <w:lang w:val="es-ES_tradnl" w:eastAsia="es-ES"/>
              </w:rPr>
              <w:t>Indicador: Ley</w:t>
            </w:r>
            <w:r w:rsidR="00612874">
              <w:rPr>
                <w:rFonts w:eastAsia="Times New Roman"/>
                <w:sz w:val="20"/>
                <w:szCs w:val="20"/>
                <w:lang w:val="es-ES_tradnl" w:eastAsia="es-ES"/>
              </w:rPr>
              <w:t xml:space="preserve"> </w:t>
            </w:r>
            <w:r>
              <w:rPr>
                <w:rFonts w:eastAsia="Times New Roman"/>
                <w:sz w:val="20"/>
                <w:szCs w:val="20"/>
                <w:lang w:val="es-ES_tradnl" w:eastAsia="es-ES"/>
              </w:rPr>
              <w:t>(#)</w:t>
            </w:r>
          </w:p>
          <w:p w:rsidR="00E801FC" w:rsidRPr="00E801FC" w:rsidRDefault="00E801FC" w:rsidP="00277988">
            <w:pPr>
              <w:pStyle w:val="Default"/>
              <w:rPr>
                <w:bCs/>
                <w:i/>
                <w:sz w:val="22"/>
                <w:szCs w:val="22"/>
                <w:lang w:val="es-ES_tradnl"/>
              </w:rPr>
            </w:pPr>
          </w:p>
        </w:tc>
        <w:tc>
          <w:tcPr>
            <w:tcW w:w="881"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612874" w:rsidRDefault="00612874" w:rsidP="002A4A08">
            <w:pPr>
              <w:widowControl/>
              <w:adjustRightInd/>
              <w:spacing w:before="120" w:after="120" w:line="240" w:lineRule="auto"/>
              <w:jc w:val="center"/>
              <w:textAlignment w:val="auto"/>
              <w:rPr>
                <w:rFonts w:eastAsia="Times New Roman"/>
                <w:color w:val="auto"/>
                <w:sz w:val="22"/>
                <w:lang w:val="es-ES"/>
              </w:rPr>
            </w:pPr>
          </w:p>
          <w:p w:rsidR="00E801FC" w:rsidRDefault="00E801FC"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tc>
        <w:tc>
          <w:tcPr>
            <w:tcW w:w="881"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763"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906"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816"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816" w:type="dxa"/>
            <w:tcBorders>
              <w:top w:val="single" w:sz="4" w:space="0" w:color="auto"/>
              <w:left w:val="nil"/>
              <w:right w:val="single" w:sz="4" w:space="0" w:color="auto"/>
            </w:tcBorders>
            <w:shd w:val="clear" w:color="auto" w:fill="auto"/>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893" w:type="dxa"/>
            <w:tcBorders>
              <w:top w:val="single" w:sz="4" w:space="0" w:color="auto"/>
              <w:left w:val="single" w:sz="4" w:space="0" w:color="auto"/>
              <w:right w:val="single" w:sz="4" w:space="0" w:color="auto"/>
            </w:tcBorders>
            <w:shd w:val="clear" w:color="auto" w:fill="auto"/>
            <w:vAlign w:val="center"/>
          </w:tcPr>
          <w:p w:rsidR="00612874" w:rsidRDefault="00612874" w:rsidP="002A4A08">
            <w:pPr>
              <w:widowControl/>
              <w:adjustRightInd/>
              <w:spacing w:before="120" w:after="120" w:line="240" w:lineRule="auto"/>
              <w:jc w:val="center"/>
              <w:textAlignment w:val="auto"/>
              <w:rPr>
                <w:rFonts w:eastAsia="Times New Roman"/>
                <w:color w:val="auto"/>
                <w:sz w:val="22"/>
                <w:lang w:val="es-ES"/>
              </w:rPr>
            </w:pPr>
          </w:p>
          <w:p w:rsidR="00E801FC" w:rsidRDefault="00E801FC"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tc>
        <w:tc>
          <w:tcPr>
            <w:tcW w:w="3637" w:type="dxa"/>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vAlign w:val="center"/>
          </w:tcPr>
          <w:p w:rsidR="00E801FC" w:rsidRPr="002C0207" w:rsidRDefault="00612874" w:rsidP="00C563BC">
            <w:pPr>
              <w:widowControl/>
              <w:adjustRightInd/>
              <w:spacing w:before="120" w:after="120" w:line="240" w:lineRule="auto"/>
              <w:ind w:right="144"/>
              <w:jc w:val="left"/>
              <w:textAlignment w:val="auto"/>
              <w:rPr>
                <w:b/>
                <w:i/>
                <w:sz w:val="20"/>
                <w:szCs w:val="20"/>
                <w:lang w:val="es-ES_tradnl"/>
              </w:rPr>
            </w:pPr>
            <w:r>
              <w:rPr>
                <w:rFonts w:eastAsia="Arial Unicode MS"/>
                <w:b/>
                <w:i/>
                <w:color w:val="auto"/>
                <w:sz w:val="20"/>
                <w:szCs w:val="20"/>
                <w:lang w:val="es-ES"/>
              </w:rPr>
              <w:t xml:space="preserve">Medio de verificación: </w:t>
            </w:r>
            <w:r w:rsidRPr="00612874">
              <w:rPr>
                <w:rFonts w:eastAsia="Arial Unicode MS"/>
                <w:color w:val="auto"/>
                <w:sz w:val="20"/>
                <w:szCs w:val="20"/>
                <w:lang w:val="es-ES"/>
              </w:rPr>
              <w:t>Matriz de verificables</w:t>
            </w:r>
          </w:p>
        </w:tc>
      </w:tr>
      <w:tr w:rsidR="00E801FC" w:rsidRPr="00E801FC" w:rsidTr="00E801FC">
        <w:trPr>
          <w:trHeight w:val="1289"/>
          <w:jc w:val="center"/>
        </w:trPr>
        <w:tc>
          <w:tcPr>
            <w:tcW w:w="3755"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E801FC" w:rsidRDefault="00E801FC" w:rsidP="00E801FC">
            <w:pPr>
              <w:widowControl/>
              <w:adjustRightInd/>
              <w:spacing w:line="240" w:lineRule="auto"/>
              <w:jc w:val="left"/>
              <w:textAlignment w:val="auto"/>
              <w:rPr>
                <w:sz w:val="20"/>
                <w:szCs w:val="20"/>
                <w:lang w:val="es-ES_tradnl"/>
              </w:rPr>
            </w:pPr>
            <w:r w:rsidRPr="00E801FC">
              <w:rPr>
                <w:sz w:val="20"/>
                <w:szCs w:val="20"/>
                <w:lang w:val="es-ES_tradnl"/>
              </w:rPr>
              <w:t>Formulación y aprobación de los instrumentos de política del SINAGERD, incluyendo el Plan Nacional de GRD.</w:t>
            </w:r>
          </w:p>
          <w:p w:rsidR="00E801FC" w:rsidRDefault="00E801FC" w:rsidP="00E801FC">
            <w:pPr>
              <w:widowControl/>
              <w:adjustRightInd/>
              <w:spacing w:line="240" w:lineRule="auto"/>
              <w:jc w:val="left"/>
              <w:textAlignment w:val="auto"/>
              <w:rPr>
                <w:sz w:val="20"/>
                <w:szCs w:val="20"/>
                <w:lang w:val="es-ES_tradnl"/>
              </w:rPr>
            </w:pPr>
          </w:p>
          <w:p w:rsidR="00E801FC" w:rsidRPr="00E801FC" w:rsidRDefault="00E801FC" w:rsidP="00E801FC">
            <w:pPr>
              <w:widowControl/>
              <w:adjustRightInd/>
              <w:spacing w:line="240" w:lineRule="auto"/>
              <w:jc w:val="left"/>
              <w:textAlignment w:val="auto"/>
              <w:rPr>
                <w:rFonts w:eastAsia="Times New Roman"/>
                <w:sz w:val="20"/>
                <w:szCs w:val="20"/>
                <w:lang w:val="es-ES_tradnl" w:eastAsia="es-ES"/>
              </w:rPr>
            </w:pPr>
            <w:r>
              <w:rPr>
                <w:sz w:val="20"/>
                <w:szCs w:val="20"/>
                <w:lang w:val="es-ES_tradnl"/>
              </w:rPr>
              <w:t xml:space="preserve">Indicador: </w:t>
            </w:r>
            <w:r w:rsidR="00880359">
              <w:rPr>
                <w:sz w:val="20"/>
                <w:szCs w:val="20"/>
                <w:lang w:val="es-ES_tradnl"/>
              </w:rPr>
              <w:t xml:space="preserve">Decreto supremo que aprueba el </w:t>
            </w:r>
            <w:r>
              <w:rPr>
                <w:sz w:val="20"/>
                <w:szCs w:val="20"/>
                <w:lang w:val="es-ES_tradnl"/>
              </w:rPr>
              <w:t>Plan Nacional de GRD (#)</w:t>
            </w:r>
          </w:p>
        </w:tc>
        <w:tc>
          <w:tcPr>
            <w:tcW w:w="881"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801FC" w:rsidRDefault="00E801FC" w:rsidP="002A4A08">
            <w:pPr>
              <w:widowControl/>
              <w:adjustRightInd/>
              <w:spacing w:before="120" w:after="120" w:line="240" w:lineRule="auto"/>
              <w:jc w:val="center"/>
              <w:textAlignment w:val="auto"/>
              <w:rPr>
                <w:rFonts w:eastAsia="Times New Roman"/>
                <w:color w:val="auto"/>
                <w:sz w:val="22"/>
                <w:lang w:val="es-ES"/>
              </w:rPr>
            </w:pPr>
          </w:p>
          <w:p w:rsidR="00E801FC" w:rsidRDefault="00E801FC" w:rsidP="002A4A08">
            <w:pPr>
              <w:widowControl/>
              <w:adjustRightInd/>
              <w:spacing w:before="120" w:after="120" w:line="240" w:lineRule="auto"/>
              <w:jc w:val="center"/>
              <w:textAlignment w:val="auto"/>
              <w:rPr>
                <w:rFonts w:eastAsia="Times New Roman"/>
                <w:color w:val="auto"/>
                <w:sz w:val="22"/>
                <w:lang w:val="es-ES"/>
              </w:rPr>
            </w:pPr>
          </w:p>
          <w:p w:rsidR="00E801FC" w:rsidRDefault="00E801FC"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tc>
        <w:tc>
          <w:tcPr>
            <w:tcW w:w="881"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763"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906"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816"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816" w:type="dxa"/>
            <w:tcBorders>
              <w:left w:val="nil"/>
              <w:bottom w:val="single" w:sz="4" w:space="0" w:color="auto"/>
              <w:right w:val="single" w:sz="4" w:space="0" w:color="auto"/>
            </w:tcBorders>
            <w:shd w:val="clear" w:color="auto" w:fill="auto"/>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893" w:type="dxa"/>
            <w:tcBorders>
              <w:left w:val="single" w:sz="4" w:space="0" w:color="auto"/>
              <w:bottom w:val="single" w:sz="4" w:space="0" w:color="auto"/>
              <w:right w:val="single" w:sz="4" w:space="0" w:color="auto"/>
            </w:tcBorders>
            <w:shd w:val="clear" w:color="auto" w:fill="auto"/>
            <w:vAlign w:val="center"/>
          </w:tcPr>
          <w:p w:rsidR="00E801FC" w:rsidRDefault="00E801FC" w:rsidP="002A4A08">
            <w:pPr>
              <w:widowControl/>
              <w:adjustRightInd/>
              <w:spacing w:before="120" w:after="120" w:line="240" w:lineRule="auto"/>
              <w:jc w:val="center"/>
              <w:textAlignment w:val="auto"/>
              <w:rPr>
                <w:rFonts w:eastAsia="Times New Roman"/>
                <w:color w:val="auto"/>
                <w:sz w:val="22"/>
                <w:lang w:val="es-ES"/>
              </w:rPr>
            </w:pPr>
          </w:p>
          <w:p w:rsidR="00E801FC" w:rsidRDefault="00E801FC" w:rsidP="002A4A08">
            <w:pPr>
              <w:widowControl/>
              <w:adjustRightInd/>
              <w:spacing w:before="120" w:after="120" w:line="240" w:lineRule="auto"/>
              <w:jc w:val="center"/>
              <w:textAlignment w:val="auto"/>
              <w:rPr>
                <w:rFonts w:eastAsia="Times New Roman"/>
                <w:color w:val="auto"/>
                <w:sz w:val="22"/>
                <w:lang w:val="es-ES"/>
              </w:rPr>
            </w:pPr>
          </w:p>
          <w:p w:rsidR="00E801FC" w:rsidRDefault="00E801FC"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tc>
        <w:tc>
          <w:tcPr>
            <w:tcW w:w="3637"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801FC" w:rsidRPr="002C0207" w:rsidRDefault="00E801FC" w:rsidP="00C563BC">
            <w:pPr>
              <w:widowControl/>
              <w:adjustRightInd/>
              <w:spacing w:before="120" w:after="120" w:line="240" w:lineRule="auto"/>
              <w:ind w:right="144"/>
              <w:jc w:val="left"/>
              <w:textAlignment w:val="auto"/>
              <w:rPr>
                <w:b/>
                <w:i/>
                <w:sz w:val="20"/>
                <w:szCs w:val="20"/>
                <w:lang w:val="es-ES_tradnl"/>
              </w:rPr>
            </w:pPr>
          </w:p>
        </w:tc>
      </w:tr>
      <w:tr w:rsidR="00E801FC" w:rsidRPr="00E801FC" w:rsidTr="00E801FC">
        <w:trPr>
          <w:trHeight w:val="1289"/>
          <w:jc w:val="center"/>
        </w:trPr>
        <w:tc>
          <w:tcPr>
            <w:tcW w:w="3755" w:type="dxa"/>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tcPr>
          <w:p w:rsidR="00E801FC" w:rsidRPr="00D827E4" w:rsidRDefault="00E801FC" w:rsidP="00E801FC">
            <w:pPr>
              <w:widowControl/>
              <w:adjustRightInd/>
              <w:spacing w:line="240" w:lineRule="auto"/>
              <w:jc w:val="left"/>
              <w:textAlignment w:val="auto"/>
              <w:rPr>
                <w:sz w:val="20"/>
                <w:szCs w:val="20"/>
                <w:lang w:val="es-ES_tradnl"/>
              </w:rPr>
            </w:pPr>
            <w:r w:rsidRPr="00D827E4">
              <w:rPr>
                <w:sz w:val="20"/>
                <w:szCs w:val="20"/>
                <w:lang w:val="es-ES_tradnl"/>
              </w:rPr>
              <w:lastRenderedPageBreak/>
              <w:t>Aprobación de la actualización del Reglamento de Organización y Funciones de PCM para la inclusión de las funciones de rectoría del SINAGERD.</w:t>
            </w:r>
          </w:p>
          <w:p w:rsidR="00E801FC" w:rsidRPr="00D827E4" w:rsidRDefault="00E801FC" w:rsidP="00E801FC">
            <w:pPr>
              <w:ind w:left="416" w:hanging="416"/>
              <w:rPr>
                <w:i/>
                <w:color w:val="auto"/>
                <w:sz w:val="20"/>
                <w:szCs w:val="20"/>
                <w:lang w:val="es-ES_tradnl"/>
              </w:rPr>
            </w:pPr>
            <w:r w:rsidRPr="00D827E4">
              <w:rPr>
                <w:i/>
                <w:color w:val="auto"/>
                <w:sz w:val="20"/>
                <w:szCs w:val="20"/>
                <w:lang w:val="es-ES_tradnl"/>
              </w:rPr>
              <w:t xml:space="preserve">Indicador: </w:t>
            </w:r>
            <w:r w:rsidRPr="00D827E4">
              <w:rPr>
                <w:color w:val="auto"/>
                <w:sz w:val="20"/>
                <w:szCs w:val="20"/>
                <w:lang w:val="es-ES_tradnl"/>
              </w:rPr>
              <w:t>Reglamento aprobado (#)</w:t>
            </w:r>
          </w:p>
          <w:p w:rsidR="00E801FC" w:rsidRPr="00D827E4" w:rsidRDefault="00E801FC" w:rsidP="00E801FC">
            <w:pPr>
              <w:ind w:left="416" w:hanging="416"/>
              <w:rPr>
                <w:color w:val="365F91"/>
                <w:sz w:val="20"/>
                <w:szCs w:val="20"/>
                <w:lang w:val="es-ES_tradnl"/>
              </w:rPr>
            </w:pPr>
          </w:p>
          <w:p w:rsidR="00E801FC" w:rsidRPr="00D827E4" w:rsidRDefault="00E801FC" w:rsidP="00E801FC">
            <w:pPr>
              <w:widowControl/>
              <w:adjustRightInd/>
              <w:spacing w:line="240" w:lineRule="auto"/>
              <w:jc w:val="left"/>
              <w:textAlignment w:val="auto"/>
              <w:rPr>
                <w:sz w:val="20"/>
                <w:szCs w:val="20"/>
                <w:lang w:val="es-ES_tradnl"/>
              </w:rPr>
            </w:pPr>
            <w:r w:rsidRPr="00D827E4">
              <w:rPr>
                <w:sz w:val="20"/>
                <w:szCs w:val="20"/>
                <w:lang w:val="es-ES_tradnl"/>
              </w:rPr>
              <w:t>Creación de la secretaría de GRD en la PCM en cumplimiento de la Ley y el Reglamento del SINAGERD</w:t>
            </w:r>
          </w:p>
          <w:p w:rsidR="00E801FC" w:rsidRPr="00D827E4" w:rsidRDefault="00E801FC" w:rsidP="00E801FC">
            <w:pPr>
              <w:widowControl/>
              <w:adjustRightInd/>
              <w:spacing w:line="240" w:lineRule="auto"/>
              <w:jc w:val="left"/>
              <w:textAlignment w:val="auto"/>
              <w:rPr>
                <w:sz w:val="20"/>
                <w:szCs w:val="20"/>
                <w:lang w:val="es-ES_tradnl"/>
              </w:rPr>
            </w:pPr>
          </w:p>
          <w:p w:rsidR="00E801FC" w:rsidRPr="00D827E4" w:rsidRDefault="00E801FC" w:rsidP="00E801FC">
            <w:pPr>
              <w:widowControl/>
              <w:adjustRightInd/>
              <w:spacing w:line="240" w:lineRule="auto"/>
              <w:jc w:val="left"/>
              <w:textAlignment w:val="auto"/>
              <w:rPr>
                <w:sz w:val="20"/>
                <w:szCs w:val="20"/>
                <w:lang w:val="es-ES_tradnl"/>
              </w:rPr>
            </w:pPr>
            <w:r w:rsidRPr="00D827E4">
              <w:rPr>
                <w:i/>
                <w:sz w:val="20"/>
                <w:szCs w:val="20"/>
                <w:lang w:val="es-ES_tradnl"/>
              </w:rPr>
              <w:t>Indicador:</w:t>
            </w:r>
            <w:r w:rsidRPr="00D827E4">
              <w:rPr>
                <w:sz w:val="20"/>
                <w:szCs w:val="20"/>
                <w:lang w:val="es-ES_tradnl"/>
              </w:rPr>
              <w:t xml:space="preserve"> Secretaría de GRD creada (#)</w:t>
            </w:r>
          </w:p>
          <w:p w:rsidR="00E801FC" w:rsidRPr="00D827E4" w:rsidRDefault="00E801FC" w:rsidP="00E801FC">
            <w:pPr>
              <w:pStyle w:val="ListParagraph"/>
              <w:ind w:left="416" w:hanging="416"/>
              <w:rPr>
                <w:sz w:val="20"/>
                <w:szCs w:val="20"/>
                <w:lang w:val="es-ES_tradnl"/>
              </w:rPr>
            </w:pPr>
          </w:p>
          <w:p w:rsidR="00E801FC" w:rsidRPr="00D827E4" w:rsidRDefault="00E801FC" w:rsidP="00E801FC">
            <w:pPr>
              <w:widowControl/>
              <w:adjustRightInd/>
              <w:spacing w:line="240" w:lineRule="auto"/>
              <w:jc w:val="left"/>
              <w:textAlignment w:val="auto"/>
              <w:rPr>
                <w:color w:val="FF0000"/>
                <w:sz w:val="20"/>
                <w:szCs w:val="20"/>
                <w:lang w:val="es-ES_tradnl"/>
              </w:rPr>
            </w:pPr>
            <w:r w:rsidRPr="00D827E4">
              <w:rPr>
                <w:sz w:val="20"/>
                <w:szCs w:val="20"/>
                <w:lang w:val="es-ES_tradnl"/>
              </w:rPr>
              <w:t>Aprobación del Reglamento de Organización y Funciones del CENEPRED</w:t>
            </w:r>
            <w:r w:rsidRPr="00D827E4">
              <w:rPr>
                <w:color w:val="FF0000"/>
                <w:sz w:val="20"/>
                <w:szCs w:val="20"/>
                <w:lang w:val="es-ES_tradnl"/>
              </w:rPr>
              <w:t>.</w:t>
            </w:r>
          </w:p>
          <w:p w:rsidR="00E801FC" w:rsidRPr="00D827E4" w:rsidRDefault="00E801FC" w:rsidP="00E801FC">
            <w:pPr>
              <w:widowControl/>
              <w:adjustRightInd/>
              <w:spacing w:line="240" w:lineRule="auto"/>
              <w:jc w:val="left"/>
              <w:textAlignment w:val="auto"/>
              <w:rPr>
                <w:color w:val="FF0000"/>
                <w:sz w:val="20"/>
                <w:szCs w:val="20"/>
                <w:lang w:val="es-ES_tradnl"/>
              </w:rPr>
            </w:pPr>
          </w:p>
          <w:p w:rsidR="00E801FC" w:rsidRPr="00D827E4" w:rsidRDefault="00E801FC" w:rsidP="00E801FC">
            <w:pPr>
              <w:widowControl/>
              <w:adjustRightInd/>
              <w:spacing w:line="240" w:lineRule="auto"/>
              <w:jc w:val="left"/>
              <w:textAlignment w:val="auto"/>
              <w:rPr>
                <w:color w:val="auto"/>
                <w:sz w:val="20"/>
                <w:szCs w:val="20"/>
                <w:lang w:val="es-ES_tradnl"/>
              </w:rPr>
            </w:pPr>
            <w:r w:rsidRPr="00D827E4">
              <w:rPr>
                <w:i/>
                <w:color w:val="auto"/>
                <w:sz w:val="20"/>
                <w:szCs w:val="20"/>
                <w:lang w:val="es-ES_tradnl"/>
              </w:rPr>
              <w:t>Indicador:</w:t>
            </w:r>
            <w:r w:rsidRPr="00D827E4">
              <w:rPr>
                <w:color w:val="auto"/>
                <w:sz w:val="20"/>
                <w:szCs w:val="20"/>
                <w:lang w:val="es-ES_tradnl"/>
              </w:rPr>
              <w:t xml:space="preserve"> Reglamento aprobado (#)</w:t>
            </w:r>
          </w:p>
          <w:p w:rsidR="00E801FC" w:rsidRPr="00D827E4" w:rsidRDefault="00E801FC" w:rsidP="00E801FC">
            <w:pPr>
              <w:pStyle w:val="ListParagraph"/>
              <w:ind w:left="416" w:hanging="416"/>
              <w:rPr>
                <w:sz w:val="20"/>
                <w:szCs w:val="20"/>
                <w:lang w:val="es-ES_tradnl"/>
              </w:rPr>
            </w:pPr>
          </w:p>
          <w:p w:rsidR="00E801FC" w:rsidRPr="00D827E4" w:rsidRDefault="00E801FC" w:rsidP="00E801FC">
            <w:pPr>
              <w:widowControl/>
              <w:adjustRightInd/>
              <w:spacing w:line="240" w:lineRule="auto"/>
              <w:jc w:val="left"/>
              <w:textAlignment w:val="auto"/>
              <w:rPr>
                <w:color w:val="365F91"/>
                <w:sz w:val="20"/>
                <w:szCs w:val="20"/>
                <w:lang w:val="es-ES_tradnl"/>
              </w:rPr>
            </w:pPr>
            <w:r w:rsidRPr="00D827E4">
              <w:rPr>
                <w:sz w:val="20"/>
                <w:szCs w:val="20"/>
                <w:lang w:val="es-ES_tradnl"/>
              </w:rPr>
              <w:t>Aprobación de un Plan Estratégico del CENEPRED, que incluya entre otros aspectos,  una identificación rápida de procesos e instrumentos existentes (o en desarrollo) en materia de gestión prospectiva y correctiva en el país</w:t>
            </w:r>
          </w:p>
          <w:p w:rsidR="00E801FC" w:rsidRPr="00D827E4" w:rsidRDefault="00E801FC" w:rsidP="00E801FC">
            <w:pPr>
              <w:pStyle w:val="ListParagraph"/>
              <w:ind w:left="416" w:hanging="416"/>
              <w:rPr>
                <w:sz w:val="20"/>
                <w:szCs w:val="20"/>
                <w:lang w:val="es-ES_tradnl"/>
              </w:rPr>
            </w:pPr>
          </w:p>
          <w:p w:rsidR="00E801FC" w:rsidRPr="00D827E4" w:rsidRDefault="00E801FC" w:rsidP="00E801FC">
            <w:pPr>
              <w:pStyle w:val="ListParagraph"/>
              <w:ind w:left="416" w:hanging="416"/>
              <w:rPr>
                <w:sz w:val="20"/>
                <w:szCs w:val="20"/>
                <w:lang w:val="es-ES_tradnl"/>
              </w:rPr>
            </w:pPr>
            <w:r w:rsidRPr="00D827E4">
              <w:rPr>
                <w:i/>
                <w:sz w:val="20"/>
                <w:szCs w:val="20"/>
                <w:lang w:val="es-ES_tradnl"/>
              </w:rPr>
              <w:t>Indicador:</w:t>
            </w:r>
            <w:r w:rsidRPr="00D827E4">
              <w:rPr>
                <w:sz w:val="20"/>
                <w:szCs w:val="20"/>
                <w:lang w:val="es-ES_tradnl"/>
              </w:rPr>
              <w:t xml:space="preserve"> Plan estratégico aprobado (#) </w:t>
            </w:r>
          </w:p>
          <w:p w:rsidR="00E801FC" w:rsidRPr="00D827E4" w:rsidRDefault="00E801FC" w:rsidP="00E801FC">
            <w:pPr>
              <w:pStyle w:val="ListParagraph"/>
              <w:ind w:left="416" w:hanging="416"/>
              <w:rPr>
                <w:sz w:val="20"/>
                <w:szCs w:val="20"/>
                <w:lang w:val="es-ES_tradnl"/>
              </w:rPr>
            </w:pPr>
          </w:p>
          <w:p w:rsidR="00E801FC" w:rsidRPr="00D827E4" w:rsidRDefault="00E801FC" w:rsidP="00E801FC">
            <w:pPr>
              <w:widowControl/>
              <w:adjustRightInd/>
              <w:spacing w:line="240" w:lineRule="auto"/>
              <w:jc w:val="left"/>
              <w:textAlignment w:val="auto"/>
              <w:rPr>
                <w:color w:val="365F91"/>
                <w:sz w:val="20"/>
                <w:szCs w:val="20"/>
                <w:lang w:val="es-ES_tradnl"/>
              </w:rPr>
            </w:pPr>
            <w:r w:rsidRPr="00D827E4">
              <w:rPr>
                <w:sz w:val="20"/>
                <w:szCs w:val="20"/>
                <w:lang w:val="es-ES_tradnl"/>
              </w:rPr>
              <w:t>Formulación y aprobación del nuevo ROF del INDECI, en función de la Ley y el Reglamento.</w:t>
            </w:r>
          </w:p>
          <w:p w:rsidR="00E801FC" w:rsidRPr="00D827E4" w:rsidRDefault="00E801FC" w:rsidP="00E801FC">
            <w:pPr>
              <w:widowControl/>
              <w:adjustRightInd/>
              <w:spacing w:line="240" w:lineRule="auto"/>
              <w:jc w:val="left"/>
              <w:textAlignment w:val="auto"/>
              <w:rPr>
                <w:sz w:val="20"/>
                <w:szCs w:val="20"/>
                <w:lang w:val="es-ES_tradnl"/>
              </w:rPr>
            </w:pPr>
          </w:p>
          <w:p w:rsidR="00E801FC" w:rsidRPr="00D827E4" w:rsidRDefault="00E801FC" w:rsidP="00880359">
            <w:pPr>
              <w:widowControl/>
              <w:adjustRightInd/>
              <w:spacing w:line="240" w:lineRule="auto"/>
              <w:jc w:val="left"/>
              <w:textAlignment w:val="auto"/>
              <w:rPr>
                <w:sz w:val="20"/>
                <w:szCs w:val="20"/>
                <w:lang w:val="es-ES_tradnl"/>
              </w:rPr>
            </w:pPr>
            <w:r w:rsidRPr="00D827E4">
              <w:rPr>
                <w:sz w:val="20"/>
                <w:szCs w:val="20"/>
                <w:lang w:val="es-ES_tradnl"/>
              </w:rPr>
              <w:t xml:space="preserve">Indicador: </w:t>
            </w:r>
            <w:r w:rsidR="00880359">
              <w:rPr>
                <w:sz w:val="20"/>
                <w:szCs w:val="20"/>
                <w:lang w:val="es-ES_tradnl"/>
              </w:rPr>
              <w:t xml:space="preserve">Decreto supremo que aprueba el </w:t>
            </w:r>
            <w:r w:rsidRPr="00D827E4">
              <w:rPr>
                <w:sz w:val="20"/>
                <w:szCs w:val="20"/>
                <w:lang w:val="es-ES_tradnl"/>
              </w:rPr>
              <w:t xml:space="preserve">ROF </w:t>
            </w:r>
            <w:r w:rsidR="00880359">
              <w:rPr>
                <w:sz w:val="20"/>
                <w:szCs w:val="20"/>
                <w:lang w:val="es-ES_tradnl"/>
              </w:rPr>
              <w:t>del INDECI</w:t>
            </w:r>
            <w:r w:rsidRPr="00D827E4">
              <w:rPr>
                <w:sz w:val="20"/>
                <w:szCs w:val="20"/>
                <w:lang w:val="es-ES_tradnl"/>
              </w:rPr>
              <w:t xml:space="preserve"> (#)</w:t>
            </w:r>
          </w:p>
        </w:tc>
        <w:tc>
          <w:tcPr>
            <w:tcW w:w="881"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1963FF" w:rsidRDefault="001963FF" w:rsidP="00647463">
            <w:pPr>
              <w:widowControl/>
              <w:adjustRightInd/>
              <w:spacing w:before="120" w:after="120" w:line="240" w:lineRule="auto"/>
              <w:jc w:val="center"/>
              <w:textAlignment w:val="auto"/>
              <w:rPr>
                <w:rFonts w:eastAsia="Times New Roman"/>
                <w:color w:val="auto"/>
                <w:sz w:val="22"/>
                <w:lang w:val="es-ES"/>
              </w:rPr>
            </w:pPr>
          </w:p>
          <w:p w:rsidR="001963FF" w:rsidRDefault="001963FF" w:rsidP="00647463">
            <w:pPr>
              <w:widowControl/>
              <w:adjustRightInd/>
              <w:spacing w:before="120" w:after="120" w:line="240" w:lineRule="auto"/>
              <w:jc w:val="center"/>
              <w:textAlignment w:val="auto"/>
              <w:rPr>
                <w:rFonts w:eastAsia="Times New Roman"/>
                <w:color w:val="auto"/>
                <w:sz w:val="22"/>
                <w:lang w:val="es-ES"/>
              </w:rPr>
            </w:pPr>
          </w:p>
          <w:p w:rsidR="00E801FC" w:rsidRDefault="00E801FC" w:rsidP="00647463">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E801FC" w:rsidRDefault="00E801FC" w:rsidP="00647463">
            <w:pPr>
              <w:widowControl/>
              <w:adjustRightInd/>
              <w:spacing w:before="120" w:after="120" w:line="240" w:lineRule="auto"/>
              <w:jc w:val="center"/>
              <w:textAlignment w:val="auto"/>
              <w:rPr>
                <w:rFonts w:eastAsia="Times New Roman"/>
                <w:color w:val="auto"/>
                <w:sz w:val="22"/>
                <w:lang w:val="es-ES"/>
              </w:rPr>
            </w:pPr>
          </w:p>
          <w:p w:rsidR="00E801FC" w:rsidRDefault="00E801FC" w:rsidP="00647463">
            <w:pPr>
              <w:widowControl/>
              <w:adjustRightInd/>
              <w:spacing w:before="120" w:after="120" w:line="240" w:lineRule="auto"/>
              <w:jc w:val="center"/>
              <w:textAlignment w:val="auto"/>
              <w:rPr>
                <w:rFonts w:eastAsia="Times New Roman"/>
                <w:color w:val="auto"/>
                <w:sz w:val="22"/>
                <w:lang w:val="es-ES"/>
              </w:rPr>
            </w:pPr>
          </w:p>
          <w:p w:rsidR="00E801FC" w:rsidRDefault="00E801FC" w:rsidP="00647463">
            <w:pPr>
              <w:widowControl/>
              <w:adjustRightInd/>
              <w:spacing w:before="120" w:after="120" w:line="240" w:lineRule="auto"/>
              <w:jc w:val="center"/>
              <w:textAlignment w:val="auto"/>
              <w:rPr>
                <w:rFonts w:eastAsia="Times New Roman"/>
                <w:color w:val="auto"/>
                <w:sz w:val="22"/>
                <w:lang w:val="es-ES"/>
              </w:rPr>
            </w:pPr>
          </w:p>
          <w:p w:rsidR="00E801FC" w:rsidRDefault="00E801FC" w:rsidP="00647463">
            <w:pPr>
              <w:widowControl/>
              <w:adjustRightInd/>
              <w:spacing w:before="120" w:after="120" w:line="240" w:lineRule="auto"/>
              <w:jc w:val="center"/>
              <w:textAlignment w:val="auto"/>
              <w:rPr>
                <w:rFonts w:eastAsia="Times New Roman"/>
                <w:color w:val="auto"/>
                <w:sz w:val="22"/>
                <w:lang w:val="es-ES"/>
              </w:rPr>
            </w:pPr>
          </w:p>
          <w:p w:rsidR="00E801FC" w:rsidRDefault="00E801FC" w:rsidP="00647463">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E801FC" w:rsidRDefault="00E801FC"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textAlignment w:val="auto"/>
              <w:rPr>
                <w:rFonts w:eastAsia="Times New Roman"/>
                <w:color w:val="auto"/>
                <w:sz w:val="22"/>
                <w:lang w:val="es-ES"/>
              </w:rPr>
            </w:pPr>
          </w:p>
          <w:p w:rsidR="00E801FC" w:rsidRDefault="00E801FC" w:rsidP="00647463">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E801FC" w:rsidRDefault="00E801FC"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E801FC" w:rsidRDefault="00647463" w:rsidP="00647463">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E801FC" w:rsidRDefault="00E801FC"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E801FC" w:rsidRDefault="00647463" w:rsidP="00647463">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tc>
        <w:tc>
          <w:tcPr>
            <w:tcW w:w="881"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763"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906"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816"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816" w:type="dxa"/>
            <w:tcBorders>
              <w:top w:val="single" w:sz="4" w:space="0" w:color="auto"/>
              <w:left w:val="nil"/>
              <w:right w:val="single" w:sz="4" w:space="0" w:color="auto"/>
            </w:tcBorders>
            <w:shd w:val="clear" w:color="auto" w:fill="auto"/>
            <w:vAlign w:val="center"/>
          </w:tcPr>
          <w:p w:rsidR="00E801FC" w:rsidRPr="00E438FF" w:rsidRDefault="00E801FC" w:rsidP="002A4A08">
            <w:pPr>
              <w:widowControl/>
              <w:adjustRightInd/>
              <w:spacing w:before="120" w:after="120" w:line="240" w:lineRule="auto"/>
              <w:jc w:val="center"/>
              <w:textAlignment w:val="auto"/>
              <w:rPr>
                <w:rFonts w:eastAsia="Times New Roman"/>
                <w:color w:val="auto"/>
                <w:sz w:val="22"/>
                <w:lang w:val="es-ES"/>
              </w:rPr>
            </w:pPr>
          </w:p>
        </w:tc>
        <w:tc>
          <w:tcPr>
            <w:tcW w:w="893" w:type="dxa"/>
            <w:tcBorders>
              <w:top w:val="single" w:sz="4" w:space="0" w:color="auto"/>
              <w:left w:val="single" w:sz="4" w:space="0" w:color="auto"/>
              <w:right w:val="single" w:sz="4" w:space="0" w:color="auto"/>
            </w:tcBorders>
            <w:shd w:val="clear" w:color="auto" w:fill="auto"/>
            <w:vAlign w:val="center"/>
          </w:tcPr>
          <w:p w:rsidR="001963FF" w:rsidRDefault="001963FF" w:rsidP="00647463">
            <w:pPr>
              <w:widowControl/>
              <w:adjustRightInd/>
              <w:spacing w:before="120" w:after="120" w:line="240" w:lineRule="auto"/>
              <w:jc w:val="center"/>
              <w:textAlignment w:val="auto"/>
              <w:rPr>
                <w:rFonts w:eastAsia="Times New Roman"/>
                <w:color w:val="auto"/>
                <w:sz w:val="22"/>
                <w:lang w:val="es-ES"/>
              </w:rPr>
            </w:pPr>
          </w:p>
          <w:p w:rsidR="001963FF" w:rsidRDefault="001963FF" w:rsidP="00647463">
            <w:pPr>
              <w:widowControl/>
              <w:adjustRightInd/>
              <w:spacing w:before="120" w:after="120" w:line="240" w:lineRule="auto"/>
              <w:jc w:val="center"/>
              <w:textAlignment w:val="auto"/>
              <w:rPr>
                <w:rFonts w:eastAsia="Times New Roman"/>
                <w:color w:val="auto"/>
                <w:sz w:val="22"/>
                <w:lang w:val="es-ES"/>
              </w:rPr>
            </w:pPr>
          </w:p>
          <w:p w:rsidR="00E801FC" w:rsidRDefault="00647463" w:rsidP="00647463">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647463" w:rsidRDefault="00647463" w:rsidP="001963FF">
            <w:pPr>
              <w:widowControl/>
              <w:adjustRightInd/>
              <w:spacing w:before="120" w:after="120" w:line="240" w:lineRule="auto"/>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p>
          <w:p w:rsidR="00647463" w:rsidRDefault="00647463" w:rsidP="00647463">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tc>
        <w:tc>
          <w:tcPr>
            <w:tcW w:w="3637" w:type="dxa"/>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vAlign w:val="center"/>
          </w:tcPr>
          <w:p w:rsidR="00E801FC" w:rsidRPr="002C0207" w:rsidRDefault="00E801FC" w:rsidP="00C563BC">
            <w:pPr>
              <w:widowControl/>
              <w:adjustRightInd/>
              <w:spacing w:before="120" w:after="120" w:line="240" w:lineRule="auto"/>
              <w:ind w:right="144"/>
              <w:jc w:val="left"/>
              <w:textAlignment w:val="auto"/>
              <w:rPr>
                <w:b/>
                <w:i/>
                <w:sz w:val="20"/>
                <w:szCs w:val="20"/>
                <w:lang w:val="es-ES_tradnl"/>
              </w:rPr>
            </w:pPr>
          </w:p>
        </w:tc>
      </w:tr>
      <w:tr w:rsidR="002C0207" w:rsidRPr="00E801FC" w:rsidTr="00E801FC">
        <w:trPr>
          <w:trHeight w:val="32"/>
          <w:jc w:val="center"/>
        </w:trPr>
        <w:tc>
          <w:tcPr>
            <w:tcW w:w="3755" w:type="dxa"/>
            <w:tcBorders>
              <w:left w:val="single" w:sz="4" w:space="0" w:color="auto"/>
              <w:bottom w:val="outset" w:sz="6" w:space="0" w:color="auto"/>
              <w:right w:val="single" w:sz="4" w:space="0" w:color="auto"/>
            </w:tcBorders>
            <w:shd w:val="clear" w:color="auto" w:fill="auto"/>
            <w:noWrap/>
            <w:tcMar>
              <w:top w:w="15" w:type="dxa"/>
              <w:left w:w="15" w:type="dxa"/>
              <w:bottom w:w="0" w:type="dxa"/>
              <w:right w:w="15" w:type="dxa"/>
            </w:tcMar>
          </w:tcPr>
          <w:p w:rsidR="00E801FC" w:rsidRPr="00D827E4" w:rsidRDefault="00E801FC" w:rsidP="00E801FC">
            <w:pPr>
              <w:widowControl/>
              <w:adjustRightInd/>
              <w:spacing w:line="240" w:lineRule="auto"/>
              <w:jc w:val="left"/>
              <w:textAlignment w:val="auto"/>
              <w:rPr>
                <w:sz w:val="20"/>
                <w:szCs w:val="20"/>
                <w:lang w:val="es-ES_tradnl"/>
              </w:rPr>
            </w:pPr>
            <w:r w:rsidRPr="00D827E4">
              <w:rPr>
                <w:sz w:val="20"/>
                <w:szCs w:val="20"/>
                <w:lang w:val="es-ES_tradnl"/>
              </w:rPr>
              <w:lastRenderedPageBreak/>
              <w:t>Elaboración de los modelos operativos y estructura de costos del programa presupuestal y diseño de indicadores a nivel de producto, con la participación de los sectores involucrados.</w:t>
            </w:r>
          </w:p>
          <w:p w:rsidR="00E801FC" w:rsidRPr="00D827E4" w:rsidRDefault="00E801FC" w:rsidP="00E801FC">
            <w:pPr>
              <w:widowControl/>
              <w:adjustRightInd/>
              <w:spacing w:line="240" w:lineRule="auto"/>
              <w:jc w:val="left"/>
              <w:textAlignment w:val="auto"/>
              <w:rPr>
                <w:sz w:val="20"/>
                <w:szCs w:val="20"/>
                <w:lang w:val="es-ES_tradnl"/>
              </w:rPr>
            </w:pPr>
          </w:p>
          <w:p w:rsidR="00E801FC" w:rsidRPr="00D827E4" w:rsidRDefault="00E801FC" w:rsidP="00E801FC">
            <w:pPr>
              <w:widowControl/>
              <w:adjustRightInd/>
              <w:spacing w:line="240" w:lineRule="auto"/>
              <w:jc w:val="left"/>
              <w:textAlignment w:val="auto"/>
              <w:rPr>
                <w:sz w:val="20"/>
                <w:szCs w:val="20"/>
                <w:lang w:val="es-ES_tradnl"/>
              </w:rPr>
            </w:pPr>
            <w:r w:rsidRPr="00D827E4">
              <w:rPr>
                <w:i/>
                <w:sz w:val="20"/>
                <w:szCs w:val="20"/>
                <w:lang w:val="es-ES_tradnl"/>
              </w:rPr>
              <w:t>Indicador:</w:t>
            </w:r>
            <w:r w:rsidR="00D827E4" w:rsidRPr="00D827E4">
              <w:rPr>
                <w:sz w:val="20"/>
                <w:szCs w:val="20"/>
                <w:lang w:val="es-ES_tradnl"/>
              </w:rPr>
              <w:t xml:space="preserve"> Informe con modelos operativos y estructura de costos presupuestal</w:t>
            </w:r>
          </w:p>
          <w:p w:rsidR="00E801FC" w:rsidRPr="00D827E4" w:rsidRDefault="00E801FC" w:rsidP="00E801FC">
            <w:pPr>
              <w:ind w:left="416" w:hanging="416"/>
              <w:rPr>
                <w:sz w:val="20"/>
                <w:szCs w:val="20"/>
                <w:lang w:val="es-ES_tradnl"/>
              </w:rPr>
            </w:pPr>
          </w:p>
          <w:p w:rsidR="00E801FC" w:rsidRPr="00D827E4" w:rsidRDefault="00E801FC" w:rsidP="00E801FC">
            <w:pPr>
              <w:widowControl/>
              <w:adjustRightInd/>
              <w:spacing w:line="240" w:lineRule="auto"/>
              <w:jc w:val="left"/>
              <w:textAlignment w:val="auto"/>
              <w:rPr>
                <w:sz w:val="20"/>
                <w:szCs w:val="20"/>
                <w:lang w:val="es-ES_tradnl"/>
              </w:rPr>
            </w:pPr>
            <w:r w:rsidRPr="00D827E4">
              <w:rPr>
                <w:sz w:val="20"/>
                <w:szCs w:val="20"/>
                <w:lang w:val="es-ES_tradnl"/>
              </w:rPr>
              <w:t>Definición de indicadores de desempeño para el Programa Presupuestal</w:t>
            </w:r>
            <w:r w:rsidRPr="00D827E4">
              <w:rPr>
                <w:i/>
                <w:sz w:val="20"/>
                <w:szCs w:val="20"/>
                <w:lang w:val="es-ES_tradnl"/>
              </w:rPr>
              <w:t xml:space="preserve"> “Reducción de la Vulnerabilidad y Atención de Emergencias por Desastres”</w:t>
            </w:r>
            <w:r w:rsidRPr="00D827E4">
              <w:rPr>
                <w:sz w:val="20"/>
                <w:szCs w:val="20"/>
                <w:lang w:val="es-ES_tradnl"/>
              </w:rPr>
              <w:t>.</w:t>
            </w:r>
          </w:p>
          <w:p w:rsidR="00E801FC" w:rsidRPr="00D827E4" w:rsidRDefault="00E801FC" w:rsidP="00E801FC">
            <w:pPr>
              <w:ind w:left="416" w:hanging="416"/>
              <w:rPr>
                <w:sz w:val="20"/>
                <w:szCs w:val="20"/>
                <w:lang w:val="es-ES_tradnl"/>
              </w:rPr>
            </w:pPr>
          </w:p>
          <w:p w:rsidR="00E801FC" w:rsidRPr="00D827E4" w:rsidRDefault="00E801FC" w:rsidP="00D827E4">
            <w:pPr>
              <w:pStyle w:val="NoSpacing"/>
              <w:jc w:val="left"/>
              <w:rPr>
                <w:sz w:val="20"/>
                <w:szCs w:val="20"/>
                <w:lang w:val="es-ES_tradnl"/>
              </w:rPr>
            </w:pPr>
            <w:r w:rsidRPr="00D827E4">
              <w:rPr>
                <w:i/>
                <w:sz w:val="20"/>
                <w:szCs w:val="20"/>
                <w:lang w:val="es-ES_tradnl"/>
              </w:rPr>
              <w:t>Indicador:</w:t>
            </w:r>
            <w:r w:rsidRPr="00D827E4">
              <w:rPr>
                <w:sz w:val="20"/>
                <w:szCs w:val="20"/>
                <w:lang w:val="es-ES_tradnl"/>
              </w:rPr>
              <w:t xml:space="preserve"> </w:t>
            </w:r>
            <w:r w:rsidR="00D827E4" w:rsidRPr="002F7B1B">
              <w:rPr>
                <w:sz w:val="20"/>
                <w:szCs w:val="20"/>
                <w:lang w:val="es-ES" w:eastAsia="es-ES"/>
              </w:rPr>
              <w:t>Documento de indicadores de desempeño para el Programa Presupuestal 068</w:t>
            </w:r>
          </w:p>
          <w:p w:rsidR="00E801FC" w:rsidRPr="00D827E4" w:rsidRDefault="00E801FC" w:rsidP="00E801FC">
            <w:pPr>
              <w:ind w:left="416" w:hanging="416"/>
              <w:rPr>
                <w:sz w:val="20"/>
                <w:szCs w:val="20"/>
                <w:lang w:val="es-ES_tradnl"/>
              </w:rPr>
            </w:pPr>
          </w:p>
          <w:p w:rsidR="00E801FC" w:rsidRPr="00D827E4" w:rsidRDefault="00E801FC" w:rsidP="00E801FC">
            <w:pPr>
              <w:widowControl/>
              <w:adjustRightInd/>
              <w:spacing w:line="240" w:lineRule="auto"/>
              <w:jc w:val="left"/>
              <w:textAlignment w:val="auto"/>
              <w:rPr>
                <w:sz w:val="20"/>
                <w:szCs w:val="20"/>
                <w:lang w:val="es-ES_tradnl"/>
              </w:rPr>
            </w:pPr>
            <w:r w:rsidRPr="00D827E4">
              <w:rPr>
                <w:sz w:val="20"/>
                <w:szCs w:val="20"/>
                <w:lang w:val="es-ES_tradnl"/>
              </w:rPr>
              <w:t>Asignación de recursos en el presupuesto nacional para la ejecución del programa presupuestal por resultados, específico para la gestión integral del riesgo de desastres, en intervenciones priorizadas a nivel de sectores y regiones seleccionadas para el año 2013.</w:t>
            </w:r>
          </w:p>
          <w:p w:rsidR="00E801FC" w:rsidRPr="00D827E4" w:rsidRDefault="00E801FC" w:rsidP="00E801FC">
            <w:pPr>
              <w:widowControl/>
              <w:adjustRightInd/>
              <w:spacing w:line="240" w:lineRule="auto"/>
              <w:jc w:val="left"/>
              <w:textAlignment w:val="auto"/>
              <w:rPr>
                <w:sz w:val="20"/>
                <w:szCs w:val="20"/>
                <w:lang w:val="es-ES_tradnl"/>
              </w:rPr>
            </w:pPr>
          </w:p>
          <w:p w:rsidR="00E801FC" w:rsidRPr="00D827E4" w:rsidRDefault="00E801FC" w:rsidP="00E801FC">
            <w:pPr>
              <w:widowControl/>
              <w:adjustRightInd/>
              <w:spacing w:line="240" w:lineRule="auto"/>
              <w:jc w:val="left"/>
              <w:textAlignment w:val="auto"/>
              <w:rPr>
                <w:i/>
                <w:sz w:val="20"/>
                <w:szCs w:val="20"/>
                <w:lang w:val="es-ES_tradnl"/>
              </w:rPr>
            </w:pPr>
            <w:r w:rsidRPr="00D827E4">
              <w:rPr>
                <w:i/>
                <w:sz w:val="20"/>
                <w:szCs w:val="20"/>
                <w:lang w:val="es-ES_tradnl"/>
              </w:rPr>
              <w:t xml:space="preserve">Indicador : </w:t>
            </w:r>
            <w:r w:rsidR="00D827E4" w:rsidRPr="00D827E4">
              <w:rPr>
                <w:rFonts w:eastAsia="Times New Roman"/>
                <w:sz w:val="20"/>
                <w:szCs w:val="20"/>
                <w:lang w:val="es-ES_tradnl" w:eastAsia="es-ES"/>
              </w:rPr>
              <w:t>Informe de la DGPP sobre “evolución de las asignaciones presupuestales del Programa 068 para los años 2011 – 2013</w:t>
            </w:r>
          </w:p>
          <w:p w:rsidR="00E801FC" w:rsidRPr="00D827E4" w:rsidRDefault="00E801FC" w:rsidP="00E801FC">
            <w:pPr>
              <w:widowControl/>
              <w:adjustRightInd/>
              <w:spacing w:line="240" w:lineRule="auto"/>
              <w:jc w:val="left"/>
              <w:textAlignment w:val="auto"/>
              <w:rPr>
                <w:sz w:val="20"/>
                <w:szCs w:val="20"/>
                <w:lang w:val="es-ES_tradnl"/>
              </w:rPr>
            </w:pPr>
          </w:p>
          <w:p w:rsidR="002C0207" w:rsidRPr="00D827E4" w:rsidRDefault="002C0207" w:rsidP="00277988">
            <w:pPr>
              <w:pStyle w:val="Default"/>
              <w:rPr>
                <w:b/>
                <w:bCs/>
                <w:sz w:val="22"/>
                <w:szCs w:val="22"/>
                <w:lang w:val="es-ES_tradnl"/>
              </w:rPr>
            </w:pPr>
          </w:p>
        </w:tc>
        <w:tc>
          <w:tcPr>
            <w:tcW w:w="881" w:type="dxa"/>
            <w:tcBorders>
              <w:left w:val="nil"/>
              <w:bottom w:val="outset" w:sz="6" w:space="0" w:color="auto"/>
              <w:right w:val="single" w:sz="4" w:space="0" w:color="auto"/>
            </w:tcBorders>
            <w:shd w:val="clear" w:color="auto" w:fill="auto"/>
            <w:noWrap/>
            <w:tcMar>
              <w:top w:w="15" w:type="dxa"/>
              <w:left w:w="15" w:type="dxa"/>
              <w:bottom w:w="0" w:type="dxa"/>
              <w:right w:w="15" w:type="dxa"/>
            </w:tcMar>
            <w:vAlign w:val="center"/>
          </w:tcPr>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tc>
        <w:tc>
          <w:tcPr>
            <w:tcW w:w="881" w:type="dxa"/>
            <w:tcBorders>
              <w:left w:val="nil"/>
              <w:bottom w:val="outset" w:sz="6" w:space="0" w:color="auto"/>
              <w:right w:val="single" w:sz="4" w:space="0" w:color="auto"/>
            </w:tcBorders>
            <w:shd w:val="clear" w:color="auto" w:fill="auto"/>
            <w:noWrap/>
            <w:tcMar>
              <w:top w:w="15" w:type="dxa"/>
              <w:left w:w="15" w:type="dxa"/>
              <w:bottom w:w="0" w:type="dxa"/>
              <w:right w:w="15" w:type="dxa"/>
            </w:tcMar>
            <w:vAlign w:val="center"/>
          </w:tcPr>
          <w:p w:rsidR="002C0207" w:rsidRPr="00E438FF" w:rsidRDefault="002C0207" w:rsidP="001963FF">
            <w:pPr>
              <w:widowControl/>
              <w:adjustRightInd/>
              <w:spacing w:before="120" w:after="120" w:line="240" w:lineRule="auto"/>
              <w:jc w:val="center"/>
              <w:textAlignment w:val="auto"/>
              <w:rPr>
                <w:rFonts w:eastAsia="Times New Roman"/>
                <w:color w:val="auto"/>
                <w:sz w:val="22"/>
                <w:lang w:val="es-ES"/>
              </w:rPr>
            </w:pPr>
          </w:p>
        </w:tc>
        <w:tc>
          <w:tcPr>
            <w:tcW w:w="763" w:type="dxa"/>
            <w:tcBorders>
              <w:left w:val="nil"/>
              <w:bottom w:val="outset" w:sz="6" w:space="0" w:color="auto"/>
              <w:right w:val="single" w:sz="4" w:space="0" w:color="auto"/>
            </w:tcBorders>
            <w:shd w:val="clear" w:color="auto" w:fill="auto"/>
            <w:noWrap/>
            <w:tcMar>
              <w:top w:w="15" w:type="dxa"/>
              <w:left w:w="15" w:type="dxa"/>
              <w:bottom w:w="0" w:type="dxa"/>
              <w:right w:w="15" w:type="dxa"/>
            </w:tcMar>
            <w:vAlign w:val="center"/>
          </w:tcPr>
          <w:p w:rsidR="002C0207" w:rsidRPr="00E438FF" w:rsidRDefault="002C0207" w:rsidP="001963FF">
            <w:pPr>
              <w:widowControl/>
              <w:adjustRightInd/>
              <w:spacing w:before="120" w:after="120" w:line="240" w:lineRule="auto"/>
              <w:jc w:val="center"/>
              <w:textAlignment w:val="auto"/>
              <w:rPr>
                <w:rFonts w:eastAsia="Times New Roman"/>
                <w:color w:val="auto"/>
                <w:sz w:val="22"/>
                <w:lang w:val="es-ES"/>
              </w:rPr>
            </w:pPr>
          </w:p>
        </w:tc>
        <w:tc>
          <w:tcPr>
            <w:tcW w:w="906" w:type="dxa"/>
            <w:tcBorders>
              <w:left w:val="nil"/>
              <w:bottom w:val="outset" w:sz="6" w:space="0" w:color="auto"/>
              <w:right w:val="single" w:sz="4" w:space="0" w:color="auto"/>
            </w:tcBorders>
            <w:shd w:val="clear" w:color="auto" w:fill="auto"/>
            <w:noWrap/>
            <w:tcMar>
              <w:top w:w="15" w:type="dxa"/>
              <w:left w:w="15" w:type="dxa"/>
              <w:bottom w:w="0" w:type="dxa"/>
              <w:right w:w="15" w:type="dxa"/>
            </w:tcMar>
            <w:vAlign w:val="center"/>
          </w:tcPr>
          <w:p w:rsidR="002C0207" w:rsidRPr="00E438FF" w:rsidRDefault="002C0207" w:rsidP="001963FF">
            <w:pPr>
              <w:widowControl/>
              <w:adjustRightInd/>
              <w:spacing w:before="120" w:after="120" w:line="240" w:lineRule="auto"/>
              <w:jc w:val="center"/>
              <w:textAlignment w:val="auto"/>
              <w:rPr>
                <w:rFonts w:eastAsia="Times New Roman"/>
                <w:color w:val="auto"/>
                <w:sz w:val="22"/>
                <w:lang w:val="es-ES"/>
              </w:rPr>
            </w:pPr>
          </w:p>
        </w:tc>
        <w:tc>
          <w:tcPr>
            <w:tcW w:w="816" w:type="dxa"/>
            <w:tcBorders>
              <w:left w:val="nil"/>
              <w:bottom w:val="outset" w:sz="6" w:space="0" w:color="auto"/>
              <w:right w:val="single" w:sz="4" w:space="0" w:color="auto"/>
            </w:tcBorders>
            <w:shd w:val="clear" w:color="auto" w:fill="auto"/>
            <w:noWrap/>
            <w:tcMar>
              <w:top w:w="15" w:type="dxa"/>
              <w:left w:w="15" w:type="dxa"/>
              <w:bottom w:w="0" w:type="dxa"/>
              <w:right w:w="15" w:type="dxa"/>
            </w:tcMar>
            <w:vAlign w:val="center"/>
          </w:tcPr>
          <w:p w:rsidR="002C0207" w:rsidRPr="00E438FF" w:rsidRDefault="002C0207" w:rsidP="001963FF">
            <w:pPr>
              <w:widowControl/>
              <w:adjustRightInd/>
              <w:spacing w:before="120" w:after="120" w:line="240" w:lineRule="auto"/>
              <w:jc w:val="center"/>
              <w:textAlignment w:val="auto"/>
              <w:rPr>
                <w:rFonts w:eastAsia="Times New Roman"/>
                <w:color w:val="auto"/>
                <w:sz w:val="22"/>
                <w:lang w:val="es-ES"/>
              </w:rPr>
            </w:pPr>
          </w:p>
        </w:tc>
        <w:tc>
          <w:tcPr>
            <w:tcW w:w="816" w:type="dxa"/>
            <w:tcBorders>
              <w:left w:val="nil"/>
              <w:bottom w:val="outset" w:sz="6" w:space="0" w:color="auto"/>
              <w:right w:val="single" w:sz="4" w:space="0" w:color="auto"/>
            </w:tcBorders>
            <w:shd w:val="clear" w:color="auto" w:fill="auto"/>
            <w:vAlign w:val="center"/>
          </w:tcPr>
          <w:p w:rsidR="002C0207" w:rsidRPr="00E438FF" w:rsidRDefault="002C0207" w:rsidP="001963FF">
            <w:pPr>
              <w:widowControl/>
              <w:adjustRightInd/>
              <w:spacing w:before="120" w:after="120" w:line="240" w:lineRule="auto"/>
              <w:jc w:val="center"/>
              <w:textAlignment w:val="auto"/>
              <w:rPr>
                <w:rFonts w:eastAsia="Times New Roman"/>
                <w:color w:val="auto"/>
                <w:sz w:val="22"/>
                <w:lang w:val="es-ES"/>
              </w:rPr>
            </w:pPr>
          </w:p>
        </w:tc>
        <w:tc>
          <w:tcPr>
            <w:tcW w:w="893" w:type="dxa"/>
            <w:tcBorders>
              <w:left w:val="single" w:sz="4" w:space="0" w:color="auto"/>
              <w:bottom w:val="outset" w:sz="6" w:space="0" w:color="auto"/>
              <w:right w:val="single" w:sz="4" w:space="0" w:color="auto"/>
            </w:tcBorders>
            <w:shd w:val="clear" w:color="auto" w:fill="auto"/>
            <w:vAlign w:val="center"/>
          </w:tcPr>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1963FF" w:rsidRDefault="001963FF" w:rsidP="001963FF">
            <w:pPr>
              <w:widowControl/>
              <w:adjustRightInd/>
              <w:spacing w:before="120" w:after="120" w:line="240" w:lineRule="auto"/>
              <w:jc w:val="center"/>
              <w:textAlignment w:val="auto"/>
              <w:rPr>
                <w:rFonts w:eastAsia="Times New Roman"/>
                <w:color w:val="auto"/>
                <w:sz w:val="22"/>
                <w:lang w:val="es-ES"/>
              </w:rPr>
            </w:pPr>
          </w:p>
          <w:p w:rsidR="001963FF" w:rsidRDefault="001963FF"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textAlignment w:val="auto"/>
              <w:rPr>
                <w:rFonts w:eastAsia="Times New Roman"/>
                <w:color w:val="auto"/>
                <w:sz w:val="22"/>
                <w:lang w:val="es-ES"/>
              </w:rPr>
            </w:pPr>
          </w:p>
          <w:p w:rsidR="001963FF" w:rsidRDefault="001963FF" w:rsidP="001963FF">
            <w:pPr>
              <w:widowControl/>
              <w:adjustRightInd/>
              <w:spacing w:before="120" w:after="120" w:line="240" w:lineRule="auto"/>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p>
          <w:p w:rsidR="00647463" w:rsidRDefault="00647463" w:rsidP="001963FF">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1963FF" w:rsidRDefault="001963FF" w:rsidP="001963FF">
            <w:pPr>
              <w:widowControl/>
              <w:adjustRightInd/>
              <w:spacing w:before="120" w:after="120" w:line="240" w:lineRule="auto"/>
              <w:jc w:val="center"/>
              <w:textAlignment w:val="auto"/>
              <w:rPr>
                <w:rFonts w:eastAsia="Times New Roman"/>
                <w:color w:val="auto"/>
                <w:sz w:val="22"/>
                <w:lang w:val="es-ES"/>
              </w:rPr>
            </w:pPr>
          </w:p>
        </w:tc>
        <w:tc>
          <w:tcPr>
            <w:tcW w:w="3637"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C0207" w:rsidRPr="002C0207" w:rsidRDefault="002C0207" w:rsidP="00CE7D82">
            <w:pPr>
              <w:widowControl/>
              <w:adjustRightInd/>
              <w:spacing w:before="120" w:after="120" w:line="240" w:lineRule="auto"/>
              <w:ind w:right="144"/>
              <w:jc w:val="left"/>
              <w:textAlignment w:val="auto"/>
              <w:rPr>
                <w:rFonts w:eastAsia="Arial Unicode MS"/>
                <w:b/>
                <w:i/>
                <w:color w:val="auto"/>
                <w:sz w:val="20"/>
                <w:szCs w:val="20"/>
                <w:lang w:val="es-ES_tradnl"/>
              </w:rPr>
            </w:pPr>
          </w:p>
        </w:tc>
      </w:tr>
    </w:tbl>
    <w:p w:rsidR="00CE7D82" w:rsidRDefault="00CE7D82" w:rsidP="008E5A5E">
      <w:pPr>
        <w:widowControl/>
        <w:adjustRightInd/>
        <w:spacing w:line="240" w:lineRule="auto"/>
        <w:jc w:val="left"/>
        <w:textAlignment w:val="auto"/>
        <w:rPr>
          <w:rFonts w:eastAsia="Times New Roman"/>
          <w:color w:val="auto"/>
          <w:sz w:val="22"/>
          <w:lang w:val="es-ES"/>
        </w:rPr>
      </w:pPr>
    </w:p>
    <w:tbl>
      <w:tblPr>
        <w:tblW w:w="13318" w:type="dxa"/>
        <w:jc w:val="center"/>
        <w:tblLayout w:type="fixed"/>
        <w:tblCellMar>
          <w:left w:w="0" w:type="dxa"/>
          <w:right w:w="0" w:type="dxa"/>
        </w:tblCellMar>
        <w:tblLook w:val="0000" w:firstRow="0" w:lastRow="0" w:firstColumn="0" w:lastColumn="0" w:noHBand="0" w:noVBand="0"/>
      </w:tblPr>
      <w:tblGrid>
        <w:gridCol w:w="4133"/>
        <w:gridCol w:w="810"/>
        <w:gridCol w:w="794"/>
        <w:gridCol w:w="871"/>
        <w:gridCol w:w="810"/>
        <w:gridCol w:w="900"/>
        <w:gridCol w:w="810"/>
        <w:gridCol w:w="900"/>
        <w:gridCol w:w="3290"/>
      </w:tblGrid>
      <w:tr w:rsidR="0092466F" w:rsidRPr="00EF7BA5" w:rsidTr="00BF344C">
        <w:trPr>
          <w:trHeight w:val="380"/>
          <w:tblHeader/>
          <w:jc w:val="center"/>
        </w:trPr>
        <w:tc>
          <w:tcPr>
            <w:tcW w:w="13318" w:type="dxa"/>
            <w:gridSpan w:val="9"/>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92466F" w:rsidRPr="00E929DC" w:rsidRDefault="0092466F" w:rsidP="00277988">
            <w:pPr>
              <w:widowControl/>
              <w:adjustRightInd/>
              <w:spacing w:line="240" w:lineRule="auto"/>
              <w:ind w:right="165"/>
              <w:jc w:val="left"/>
              <w:textAlignment w:val="auto"/>
              <w:rPr>
                <w:rFonts w:eastAsia="Times New Roman"/>
                <w:b/>
                <w:color w:val="auto"/>
                <w:sz w:val="22"/>
                <w:lang w:val="es-ES"/>
              </w:rPr>
            </w:pPr>
            <w:r>
              <w:rPr>
                <w:rFonts w:eastAsia="Times New Roman"/>
                <w:b/>
                <w:color w:val="auto"/>
                <w:sz w:val="22"/>
                <w:lang w:val="es-ES"/>
              </w:rPr>
              <w:lastRenderedPageBreak/>
              <w:t>Componente I</w:t>
            </w:r>
            <w:r w:rsidR="009350AA">
              <w:rPr>
                <w:rFonts w:eastAsia="Times New Roman"/>
                <w:b/>
                <w:color w:val="auto"/>
                <w:sz w:val="22"/>
                <w:lang w:val="es-ES"/>
              </w:rPr>
              <w:t>I</w:t>
            </w:r>
            <w:r>
              <w:rPr>
                <w:rFonts w:eastAsia="Times New Roman"/>
                <w:b/>
                <w:color w:val="auto"/>
                <w:sz w:val="22"/>
                <w:lang w:val="es-ES"/>
              </w:rPr>
              <w:t xml:space="preserve">I: </w:t>
            </w:r>
            <w:r w:rsidR="00277988">
              <w:rPr>
                <w:rFonts w:eastAsia="Times New Roman"/>
                <w:b/>
                <w:color w:val="auto"/>
                <w:sz w:val="22"/>
                <w:lang w:val="es-ES"/>
              </w:rPr>
              <w:t>Desarrollo de Instrumentos y de Capacidades de Gestión Sectorial y Territorial</w:t>
            </w:r>
          </w:p>
        </w:tc>
      </w:tr>
      <w:tr w:rsidR="00BA0906" w:rsidRPr="00E929DC" w:rsidTr="00BF344C">
        <w:trPr>
          <w:trHeight w:val="270"/>
          <w:tblHeader/>
          <w:jc w:val="center"/>
        </w:trPr>
        <w:tc>
          <w:tcPr>
            <w:tcW w:w="4133"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551239" w:rsidP="008E5A5E">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br w:type="page"/>
              <w:t xml:space="preserve">Componente </w:t>
            </w:r>
            <w:r w:rsidR="009350AA">
              <w:rPr>
                <w:rFonts w:eastAsia="Times New Roman"/>
                <w:b/>
                <w:color w:val="auto"/>
                <w:sz w:val="22"/>
                <w:lang w:val="es-ES"/>
              </w:rPr>
              <w:t>3</w:t>
            </w:r>
          </w:p>
        </w:tc>
        <w:tc>
          <w:tcPr>
            <w:tcW w:w="810"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551239" w:rsidP="008E5A5E">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 xml:space="preserve">Base </w:t>
            </w:r>
            <w:r w:rsidR="00CC122E">
              <w:rPr>
                <w:rFonts w:eastAsia="Times New Roman"/>
                <w:b/>
                <w:color w:val="auto"/>
                <w:sz w:val="18"/>
                <w:lang w:val="es-ES"/>
              </w:rPr>
              <w:t>(2008</w:t>
            </w:r>
            <w:r w:rsidRPr="00E929DC">
              <w:rPr>
                <w:rFonts w:eastAsia="Times New Roman"/>
                <w:b/>
                <w:color w:val="auto"/>
                <w:sz w:val="18"/>
                <w:lang w:val="es-ES"/>
              </w:rPr>
              <w:t>)</w:t>
            </w:r>
          </w:p>
        </w:tc>
        <w:tc>
          <w:tcPr>
            <w:tcW w:w="794"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551239" w:rsidP="006E5331">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1</w:t>
            </w:r>
          </w:p>
        </w:tc>
        <w:tc>
          <w:tcPr>
            <w:tcW w:w="871"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551239" w:rsidP="006E5331">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2</w:t>
            </w:r>
          </w:p>
        </w:tc>
        <w:tc>
          <w:tcPr>
            <w:tcW w:w="810"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551239" w:rsidP="006E5331">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3</w:t>
            </w:r>
          </w:p>
        </w:tc>
        <w:tc>
          <w:tcPr>
            <w:tcW w:w="900" w:type="dxa"/>
            <w:tcBorders>
              <w:top w:val="single" w:sz="4" w:space="0" w:color="auto"/>
              <w:left w:val="nil"/>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551239" w:rsidP="006E5331">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4</w:t>
            </w:r>
          </w:p>
        </w:tc>
        <w:tc>
          <w:tcPr>
            <w:tcW w:w="810" w:type="dxa"/>
            <w:tcBorders>
              <w:top w:val="single" w:sz="4" w:space="0" w:color="auto"/>
              <w:left w:val="nil"/>
              <w:bottom w:val="single" w:sz="4" w:space="0" w:color="auto"/>
              <w:right w:val="single" w:sz="4" w:space="0" w:color="auto"/>
            </w:tcBorders>
            <w:shd w:val="clear" w:color="auto" w:fill="8DB3E2" w:themeFill="text2" w:themeFillTint="66"/>
            <w:vAlign w:val="center"/>
          </w:tcPr>
          <w:p w:rsidR="00551239" w:rsidRPr="00E929DC" w:rsidRDefault="00551239" w:rsidP="006E5331">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Año 5</w:t>
            </w:r>
          </w:p>
        </w:tc>
        <w:tc>
          <w:tcPr>
            <w:tcW w:w="90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4B116E" w:rsidRDefault="004B116E" w:rsidP="004B116E">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Meta</w:t>
            </w:r>
          </w:p>
          <w:p w:rsidR="00551239" w:rsidRPr="00E929DC" w:rsidRDefault="00CC122E" w:rsidP="004B116E">
            <w:pPr>
              <w:widowControl/>
              <w:adjustRightInd/>
              <w:spacing w:line="240" w:lineRule="auto"/>
              <w:ind w:right="165"/>
              <w:jc w:val="center"/>
              <w:textAlignment w:val="auto"/>
              <w:rPr>
                <w:rFonts w:eastAsia="Times New Roman"/>
                <w:b/>
                <w:color w:val="auto"/>
                <w:sz w:val="22"/>
                <w:lang w:val="es-ES"/>
              </w:rPr>
            </w:pPr>
            <w:r>
              <w:rPr>
                <w:rFonts w:eastAsia="Times New Roman"/>
                <w:b/>
                <w:color w:val="auto"/>
                <w:sz w:val="22"/>
                <w:lang w:val="es-ES"/>
              </w:rPr>
              <w:t>(2014</w:t>
            </w:r>
            <w:r w:rsidR="004B116E">
              <w:rPr>
                <w:rFonts w:eastAsia="Times New Roman"/>
                <w:b/>
                <w:color w:val="auto"/>
                <w:sz w:val="22"/>
                <w:lang w:val="es-ES"/>
              </w:rPr>
              <w:t>)</w:t>
            </w:r>
          </w:p>
        </w:tc>
        <w:tc>
          <w:tcPr>
            <w:tcW w:w="3290"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center"/>
          </w:tcPr>
          <w:p w:rsidR="00551239" w:rsidRPr="00E929DC" w:rsidRDefault="00551239" w:rsidP="006E5331">
            <w:pPr>
              <w:widowControl/>
              <w:adjustRightInd/>
              <w:spacing w:line="240" w:lineRule="auto"/>
              <w:ind w:right="165"/>
              <w:jc w:val="center"/>
              <w:textAlignment w:val="auto"/>
              <w:rPr>
                <w:rFonts w:eastAsia="Times New Roman"/>
                <w:b/>
                <w:color w:val="auto"/>
                <w:sz w:val="22"/>
                <w:lang w:val="es-ES"/>
              </w:rPr>
            </w:pPr>
            <w:r w:rsidRPr="00E929DC">
              <w:rPr>
                <w:rFonts w:eastAsia="Times New Roman"/>
                <w:b/>
                <w:color w:val="auto"/>
                <w:sz w:val="22"/>
                <w:lang w:val="es-ES"/>
              </w:rPr>
              <w:t>Verificación/Supuestos</w:t>
            </w:r>
          </w:p>
        </w:tc>
      </w:tr>
      <w:tr w:rsidR="00C83863" w:rsidRPr="00E929DC" w:rsidTr="00BF344C">
        <w:trPr>
          <w:trHeight w:val="270"/>
          <w:jc w:val="center"/>
        </w:trPr>
        <w:tc>
          <w:tcPr>
            <w:tcW w:w="13318" w:type="dxa"/>
            <w:gridSpan w:val="9"/>
            <w:tcBorders>
              <w:top w:val="single" w:sz="4" w:space="0" w:color="auto"/>
              <w:left w:val="single" w:sz="4" w:space="0" w:color="auto"/>
              <w:bottom w:val="single" w:sz="4" w:space="0" w:color="auto"/>
              <w:right w:val="single" w:sz="4" w:space="0" w:color="auto"/>
            </w:tcBorders>
            <w:shd w:val="clear" w:color="auto" w:fill="CCCCCC"/>
            <w:noWrap/>
            <w:tcMar>
              <w:top w:w="15" w:type="dxa"/>
              <w:left w:w="15" w:type="dxa"/>
              <w:bottom w:w="0" w:type="dxa"/>
              <w:right w:w="15" w:type="dxa"/>
            </w:tcMar>
            <w:vAlign w:val="bottom"/>
          </w:tcPr>
          <w:p w:rsidR="00C83863" w:rsidRPr="00E929DC" w:rsidRDefault="00F21BBC" w:rsidP="002A4A08">
            <w:pPr>
              <w:widowControl/>
              <w:adjustRightInd/>
              <w:spacing w:line="240" w:lineRule="auto"/>
              <w:ind w:right="165"/>
              <w:jc w:val="left"/>
              <w:textAlignment w:val="auto"/>
              <w:rPr>
                <w:rFonts w:eastAsia="Arial Unicode MS"/>
                <w:b/>
                <w:color w:val="auto"/>
                <w:sz w:val="22"/>
                <w:lang w:val="es-ES"/>
              </w:rPr>
            </w:pPr>
            <w:r>
              <w:rPr>
                <w:rFonts w:eastAsia="Arial Unicode MS"/>
                <w:b/>
                <w:color w:val="auto"/>
                <w:sz w:val="22"/>
                <w:lang w:val="es-ES"/>
              </w:rPr>
              <w:t>Resultados</w:t>
            </w:r>
          </w:p>
        </w:tc>
      </w:tr>
      <w:tr w:rsidR="000F14BB" w:rsidRPr="00EF7BA5" w:rsidTr="00BF344C">
        <w:trPr>
          <w:trHeight w:val="270"/>
          <w:jc w:val="center"/>
        </w:trPr>
        <w:tc>
          <w:tcPr>
            <w:tcW w:w="41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280CF3" w:rsidRPr="00645A05" w:rsidRDefault="009B7D91" w:rsidP="00C94EB9">
            <w:pPr>
              <w:widowControl/>
              <w:adjustRightInd/>
              <w:spacing w:before="120" w:after="120" w:line="240" w:lineRule="auto"/>
              <w:ind w:right="9"/>
              <w:jc w:val="left"/>
              <w:textAlignment w:val="auto"/>
              <w:rPr>
                <w:rFonts w:eastAsia="Times New Roman"/>
                <w:b/>
                <w:color w:val="auto"/>
                <w:sz w:val="22"/>
                <w:lang w:val="es-ES"/>
              </w:rPr>
            </w:pPr>
            <w:r>
              <w:rPr>
                <w:rFonts w:eastAsia="Times New Roman"/>
                <w:b/>
                <w:color w:val="auto"/>
                <w:sz w:val="22"/>
                <w:lang w:val="es-ES"/>
              </w:rPr>
              <w:t xml:space="preserve">Resultado 1: </w:t>
            </w:r>
            <w:r w:rsidR="00280CF3" w:rsidRPr="00645A05">
              <w:rPr>
                <w:rFonts w:eastAsia="Times New Roman"/>
                <w:b/>
                <w:color w:val="auto"/>
                <w:sz w:val="22"/>
                <w:lang w:val="es-ES"/>
              </w:rPr>
              <w:t>Mejora en la identificación de riesgo colectivo.</w:t>
            </w:r>
          </w:p>
          <w:p w:rsidR="00C20F7B" w:rsidRDefault="00280CF3" w:rsidP="00280CF3">
            <w:pPr>
              <w:widowControl/>
              <w:adjustRightInd/>
              <w:spacing w:before="120" w:after="120" w:line="240" w:lineRule="auto"/>
              <w:ind w:right="9"/>
              <w:jc w:val="left"/>
              <w:textAlignment w:val="auto"/>
              <w:rPr>
                <w:rFonts w:eastAsia="Times New Roman"/>
                <w:i/>
                <w:color w:val="auto"/>
                <w:sz w:val="22"/>
                <w:lang w:val="es-ES"/>
              </w:rPr>
            </w:pPr>
            <w:r w:rsidRPr="009A24BA">
              <w:rPr>
                <w:rFonts w:eastAsia="Times New Roman"/>
                <w:i/>
                <w:color w:val="auto"/>
                <w:sz w:val="22"/>
                <w:lang w:val="es-ES"/>
              </w:rPr>
              <w:t>Indicador</w:t>
            </w:r>
            <w:r w:rsidR="009A24BA" w:rsidRPr="009A24BA">
              <w:rPr>
                <w:rFonts w:eastAsia="Times New Roman"/>
                <w:i/>
                <w:color w:val="auto"/>
                <w:sz w:val="22"/>
                <w:lang w:val="es-ES"/>
              </w:rPr>
              <w:t>es del IGR</w:t>
            </w:r>
            <w:r w:rsidRPr="009A24BA">
              <w:rPr>
                <w:rFonts w:eastAsia="Times New Roman"/>
                <w:i/>
                <w:color w:val="auto"/>
                <w:sz w:val="22"/>
                <w:lang w:val="es-ES"/>
              </w:rPr>
              <w:t>:</w:t>
            </w:r>
            <w:r w:rsidR="00645A05">
              <w:rPr>
                <w:rFonts w:eastAsia="Times New Roman"/>
                <w:i/>
                <w:color w:val="auto"/>
                <w:sz w:val="22"/>
                <w:lang w:val="es-ES"/>
              </w:rPr>
              <w:t xml:space="preserve"> </w:t>
            </w:r>
            <w:r w:rsidR="00C20F7B" w:rsidRPr="00C20F7B">
              <w:rPr>
                <w:rFonts w:eastAsia="Times New Roman"/>
                <w:color w:val="auto"/>
                <w:sz w:val="22"/>
                <w:lang w:val="es-ES"/>
              </w:rPr>
              <w:t>IR2</w:t>
            </w:r>
            <w:r w:rsidR="00C20F7B">
              <w:rPr>
                <w:rFonts w:eastAsia="Times New Roman"/>
                <w:i/>
                <w:color w:val="auto"/>
                <w:sz w:val="22"/>
                <w:lang w:val="es-ES"/>
              </w:rPr>
              <w:t>,</w:t>
            </w:r>
            <w:r w:rsidR="00C20F7B" w:rsidRPr="00C20F7B">
              <w:rPr>
                <w:rFonts w:eastAsia="Times New Roman"/>
                <w:color w:val="auto"/>
                <w:sz w:val="22"/>
                <w:lang w:val="es-ES"/>
              </w:rPr>
              <w:t>IR3</w:t>
            </w:r>
            <w:r w:rsidR="00C20F7B">
              <w:rPr>
                <w:rFonts w:eastAsia="Times New Roman"/>
                <w:color w:val="auto"/>
                <w:sz w:val="22"/>
                <w:lang w:val="es-ES"/>
              </w:rPr>
              <w:t xml:space="preserve"> y IR4</w:t>
            </w:r>
            <w:r w:rsidR="00C20F7B">
              <w:rPr>
                <w:rFonts w:eastAsia="Times New Roman"/>
                <w:i/>
                <w:color w:val="auto"/>
                <w:sz w:val="22"/>
                <w:lang w:val="es-ES"/>
              </w:rPr>
              <w:t xml:space="preserve"> </w:t>
            </w:r>
            <w:r w:rsidR="00C20F7B">
              <w:rPr>
                <w:rFonts w:eastAsia="Times New Roman"/>
                <w:color w:val="auto"/>
                <w:sz w:val="22"/>
                <w:lang w:val="es-ES"/>
              </w:rPr>
              <w:t>son</w:t>
            </w:r>
            <w:r w:rsidR="00645A05" w:rsidRPr="00645A05">
              <w:rPr>
                <w:rFonts w:eastAsia="Times New Roman"/>
                <w:color w:val="auto"/>
                <w:sz w:val="22"/>
                <w:lang w:val="es-ES"/>
              </w:rPr>
              <w:t xml:space="preserve"> </w:t>
            </w:r>
            <w:r w:rsidR="00C20F7B" w:rsidRPr="003806CB">
              <w:rPr>
                <w:bCs/>
                <w:sz w:val="22"/>
                <w:szCs w:val="22"/>
                <w:lang w:val="es-ES"/>
              </w:rPr>
              <w:t>subíndice</w:t>
            </w:r>
            <w:r w:rsidR="00C20F7B">
              <w:rPr>
                <w:bCs/>
                <w:sz w:val="22"/>
                <w:szCs w:val="22"/>
                <w:lang w:val="es-ES"/>
              </w:rPr>
              <w:t>s</w:t>
            </w:r>
            <w:r w:rsidR="00C20F7B" w:rsidRPr="003806CB">
              <w:rPr>
                <w:bCs/>
                <w:sz w:val="22"/>
                <w:szCs w:val="22"/>
                <w:lang w:val="es-ES"/>
              </w:rPr>
              <w:t xml:space="preserve"> del indicador </w:t>
            </w:r>
            <w:r w:rsidR="00645A05" w:rsidRPr="00645A05">
              <w:rPr>
                <w:rFonts w:eastAsia="Times New Roman"/>
                <w:color w:val="auto"/>
                <w:sz w:val="22"/>
                <w:lang w:val="es-ES"/>
              </w:rPr>
              <w:t>de identificación del riesgo colectivo para medición del IGR:</w:t>
            </w:r>
            <w:r w:rsidRPr="00280CF3">
              <w:rPr>
                <w:rFonts w:eastAsia="Times New Roman"/>
                <w:i/>
                <w:color w:val="auto"/>
                <w:sz w:val="22"/>
                <w:lang w:val="es-ES"/>
              </w:rPr>
              <w:t xml:space="preserve">  </w:t>
            </w:r>
            <m:oMath>
              <m:sSub>
                <m:sSubPr>
                  <m:ctrlPr>
                    <w:rPr>
                      <w:rFonts w:ascii="Cambria Math" w:eastAsia="Times New Roman" w:hAnsi="Cambria Math"/>
                      <w:i/>
                      <w:color w:val="auto"/>
                      <w:sz w:val="22"/>
                      <w:lang w:val="es-ES"/>
                    </w:rPr>
                  </m:ctrlPr>
                </m:sSubPr>
                <m:e>
                  <m:r>
                    <w:rPr>
                      <w:rFonts w:ascii="Cambria Math" w:eastAsia="Times New Roman" w:hAnsi="Cambria Math"/>
                      <w:color w:val="auto"/>
                      <w:sz w:val="22"/>
                      <w:lang w:val="es-ES"/>
                    </w:rPr>
                    <m:t>IGR</m:t>
                  </m:r>
                </m:e>
                <m:sub>
                  <m:r>
                    <w:rPr>
                      <w:rFonts w:ascii="Cambria Math" w:eastAsia="Times New Roman" w:hAnsi="Cambria Math"/>
                      <w:color w:val="auto"/>
                      <w:sz w:val="22"/>
                      <w:lang w:val="es-ES"/>
                    </w:rPr>
                    <m:t>IR</m:t>
                  </m:r>
                </m:sub>
              </m:sSub>
            </m:oMath>
            <w:r w:rsidR="00C20F7B">
              <w:rPr>
                <w:rFonts w:eastAsia="Times New Roman"/>
                <w:i/>
                <w:color w:val="auto"/>
                <w:sz w:val="22"/>
                <w:lang w:val="es-ES"/>
              </w:rPr>
              <w:t>.</w:t>
            </w:r>
          </w:p>
          <w:p w:rsidR="00C20F7B" w:rsidRDefault="00C20F7B" w:rsidP="00280CF3">
            <w:pPr>
              <w:widowControl/>
              <w:adjustRightInd/>
              <w:spacing w:before="120" w:after="120" w:line="240" w:lineRule="auto"/>
              <w:ind w:right="9"/>
              <w:jc w:val="left"/>
              <w:textAlignment w:val="auto"/>
              <w:rPr>
                <w:rFonts w:eastAsia="Times New Roman"/>
                <w:i/>
                <w:color w:val="auto"/>
                <w:sz w:val="22"/>
                <w:lang w:val="es-ES"/>
              </w:rPr>
            </w:pPr>
          </w:p>
          <w:p w:rsidR="00277988" w:rsidRDefault="00EF7BA5" w:rsidP="00280CF3">
            <w:pPr>
              <w:widowControl/>
              <w:adjustRightInd/>
              <w:spacing w:before="120" w:after="120" w:line="240" w:lineRule="auto"/>
              <w:ind w:right="9"/>
              <w:jc w:val="left"/>
              <w:textAlignment w:val="auto"/>
              <w:rPr>
                <w:rFonts w:eastAsia="Times New Roman"/>
                <w:i/>
                <w:color w:val="auto"/>
                <w:sz w:val="22"/>
                <w:lang w:val="es-ES"/>
              </w:rPr>
            </w:pPr>
            <m:oMathPara>
              <m:oMath>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IGR</m:t>
                    </m:r>
                  </m:e>
                  <m:sub>
                    <m:r>
                      <w:rPr>
                        <w:rFonts w:ascii="Cambria Math" w:eastAsia="Arial Unicode MS" w:hAnsi="Cambria Math"/>
                        <w:color w:val="auto"/>
                        <w:sz w:val="22"/>
                        <w:lang w:val="es-ES"/>
                      </w:rPr>
                      <m:t>IR</m:t>
                    </m:r>
                  </m:sub>
                </m:sSub>
                <m:r>
                  <w:rPr>
                    <w:rFonts w:ascii="Cambria Math" w:eastAsia="Arial Unicode MS" w:hAnsi="Cambria Math"/>
                    <w:color w:val="auto"/>
                    <w:sz w:val="22"/>
                    <w:lang w:val="es-ES"/>
                  </w:rPr>
                  <m:t>=</m:t>
                </m:r>
                <m:f>
                  <m:fPr>
                    <m:ctrlPr>
                      <w:rPr>
                        <w:rFonts w:ascii="Cambria Math" w:eastAsia="Arial Unicode MS" w:hAnsi="Cambria Math"/>
                        <w:i/>
                        <w:color w:val="auto"/>
                        <w:sz w:val="22"/>
                        <w:lang w:val="es-ES"/>
                      </w:rPr>
                    </m:ctrlPr>
                  </m:fPr>
                  <m:num>
                    <m:nary>
                      <m:naryPr>
                        <m:chr m:val="∑"/>
                        <m:limLoc m:val="undOvr"/>
                        <m:ctrlPr>
                          <w:rPr>
                            <w:rFonts w:ascii="Cambria Math" w:eastAsia="Arial Unicode MS" w:hAnsi="Cambria Math"/>
                            <w:i/>
                            <w:color w:val="auto"/>
                            <w:sz w:val="22"/>
                            <w:lang w:val="es-ES"/>
                          </w:rPr>
                        </m:ctrlPr>
                      </m:naryPr>
                      <m:sub>
                        <m:r>
                          <w:rPr>
                            <w:rFonts w:ascii="Cambria Math" w:eastAsia="Arial Unicode MS" w:hAnsi="Cambria Math"/>
                            <w:color w:val="auto"/>
                            <w:sz w:val="22"/>
                            <w:lang w:val="es-ES"/>
                          </w:rPr>
                          <m:t>i=1</m:t>
                        </m:r>
                      </m:sub>
                      <m:sup>
                        <m:r>
                          <w:rPr>
                            <w:rFonts w:ascii="Cambria Math" w:eastAsia="Arial Unicode MS" w:hAnsi="Cambria Math"/>
                            <w:color w:val="auto"/>
                            <w:sz w:val="22"/>
                            <w:lang w:val="es-ES"/>
                          </w:rPr>
                          <m:t>N</m:t>
                        </m:r>
                      </m:sup>
                      <m:e>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W</m:t>
                            </m:r>
                          </m:e>
                          <m:sub>
                            <m:r>
                              <w:rPr>
                                <w:rFonts w:ascii="Cambria Math" w:eastAsia="Arial Unicode MS" w:hAnsi="Cambria Math"/>
                                <w:color w:val="auto"/>
                                <w:sz w:val="22"/>
                                <w:lang w:val="es-ES"/>
                              </w:rPr>
                              <m:t xml:space="preserve">i </m:t>
                            </m:r>
                          </m:sub>
                        </m:sSub>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IR</m:t>
                            </m:r>
                          </m:e>
                          <m:sub>
                            <m:r>
                              <w:rPr>
                                <w:rFonts w:ascii="Cambria Math" w:eastAsia="Arial Unicode MS" w:hAnsi="Cambria Math"/>
                                <w:color w:val="auto"/>
                                <w:sz w:val="22"/>
                                <w:lang w:val="es-ES"/>
                              </w:rPr>
                              <m:t>ic</m:t>
                            </m:r>
                          </m:sub>
                        </m:sSub>
                      </m:e>
                    </m:nary>
                  </m:num>
                  <m:den>
                    <m:nary>
                      <m:naryPr>
                        <m:chr m:val="∑"/>
                        <m:limLoc m:val="undOvr"/>
                        <m:ctrlPr>
                          <w:rPr>
                            <w:rFonts w:ascii="Cambria Math" w:eastAsia="Arial Unicode MS" w:hAnsi="Cambria Math"/>
                            <w:i/>
                            <w:color w:val="auto"/>
                            <w:sz w:val="22"/>
                            <w:lang w:val="es-ES"/>
                          </w:rPr>
                        </m:ctrlPr>
                      </m:naryPr>
                      <m:sub>
                        <m:r>
                          <w:rPr>
                            <w:rFonts w:ascii="Cambria Math" w:eastAsia="Arial Unicode MS" w:hAnsi="Cambria Math"/>
                            <w:color w:val="auto"/>
                            <w:sz w:val="22"/>
                            <w:lang w:val="es-ES"/>
                          </w:rPr>
                          <m:t>i=1</m:t>
                        </m:r>
                      </m:sub>
                      <m:sup>
                        <m:r>
                          <w:rPr>
                            <w:rFonts w:ascii="Cambria Math" w:eastAsia="Arial Unicode MS" w:hAnsi="Cambria Math"/>
                            <w:color w:val="auto"/>
                            <w:sz w:val="22"/>
                            <w:lang w:val="es-ES"/>
                          </w:rPr>
                          <m:t>N</m:t>
                        </m:r>
                      </m:sup>
                      <m:e>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W</m:t>
                            </m:r>
                          </m:e>
                          <m:sub>
                            <m:r>
                              <w:rPr>
                                <w:rFonts w:ascii="Cambria Math" w:eastAsia="Arial Unicode MS" w:hAnsi="Cambria Math"/>
                                <w:color w:val="auto"/>
                                <w:sz w:val="22"/>
                                <w:lang w:val="es-ES"/>
                              </w:rPr>
                              <m:t>i</m:t>
                            </m:r>
                          </m:sub>
                        </m:sSub>
                      </m:e>
                    </m:nary>
                  </m:den>
                </m:f>
              </m:oMath>
            </m:oMathPara>
          </w:p>
          <w:p w:rsidR="00C20F7B" w:rsidRDefault="00C20F7B" w:rsidP="00280CF3">
            <w:pPr>
              <w:widowControl/>
              <w:adjustRightInd/>
              <w:spacing w:before="120" w:after="120" w:line="240" w:lineRule="auto"/>
              <w:ind w:right="9"/>
              <w:jc w:val="left"/>
              <w:textAlignment w:val="auto"/>
              <w:rPr>
                <w:rFonts w:eastAsia="Times New Roman"/>
                <w:i/>
                <w:color w:val="auto"/>
                <w:sz w:val="22"/>
                <w:lang w:val="es-ES"/>
              </w:rPr>
            </w:pPr>
          </w:p>
          <w:p w:rsidR="00C20F7B" w:rsidRDefault="00C20F7B" w:rsidP="000629AE">
            <w:pPr>
              <w:widowControl/>
              <w:adjustRightInd/>
              <w:spacing w:before="120" w:after="120" w:line="240" w:lineRule="auto"/>
              <w:ind w:right="9"/>
              <w:textAlignment w:val="auto"/>
              <w:rPr>
                <w:rFonts w:eastAsia="Times New Roman"/>
                <w:color w:val="auto"/>
                <w:sz w:val="22"/>
                <w:lang w:val="es-ES"/>
              </w:rPr>
            </w:pPr>
            <w:r w:rsidRPr="00C20F7B">
              <w:rPr>
                <w:rFonts w:eastAsia="Times New Roman"/>
                <w:color w:val="auto"/>
                <w:sz w:val="22"/>
                <w:lang w:val="es-ES"/>
              </w:rPr>
              <w:t>IR2</w:t>
            </w:r>
            <w:r>
              <w:rPr>
                <w:rFonts w:eastAsia="Times New Roman"/>
                <w:color w:val="auto"/>
                <w:sz w:val="22"/>
                <w:lang w:val="es-ES"/>
              </w:rPr>
              <w:t>:</w:t>
            </w:r>
            <w:r w:rsidR="000629AE">
              <w:rPr>
                <w:rFonts w:eastAsia="Times New Roman"/>
                <w:color w:val="auto"/>
                <w:sz w:val="22"/>
                <w:lang w:val="es-ES"/>
              </w:rPr>
              <w:t>Algunas redes con tecnología avanzada a nivel nacional o de zonas puntuales; pronósticos mejorados y protocolos de información establecidos para las principales amenazas (nivel 3)</w:t>
            </w:r>
          </w:p>
          <w:p w:rsidR="00C20F7B" w:rsidRDefault="00C20F7B" w:rsidP="00280CF3">
            <w:pPr>
              <w:widowControl/>
              <w:adjustRightInd/>
              <w:spacing w:before="120" w:after="120" w:line="240" w:lineRule="auto"/>
              <w:ind w:right="9"/>
              <w:jc w:val="left"/>
              <w:textAlignment w:val="auto"/>
              <w:rPr>
                <w:rFonts w:eastAsia="Times New Roman"/>
                <w:color w:val="auto"/>
                <w:sz w:val="22"/>
                <w:lang w:val="es-ES"/>
              </w:rPr>
            </w:pPr>
            <w:r>
              <w:rPr>
                <w:rFonts w:eastAsia="Times New Roman"/>
                <w:color w:val="auto"/>
                <w:sz w:val="22"/>
                <w:lang w:val="es-ES"/>
              </w:rPr>
              <w:t>IR3:</w:t>
            </w:r>
            <w:r w:rsidR="002C7D7A">
              <w:rPr>
                <w:rFonts w:eastAsia="Times New Roman"/>
                <w:color w:val="auto"/>
                <w:sz w:val="22"/>
                <w:lang w:val="es-ES"/>
              </w:rPr>
              <w:t xml:space="preserve"> </w:t>
            </w:r>
            <w:r w:rsidR="000629AE">
              <w:rPr>
                <w:rFonts w:eastAsia="Times New Roman"/>
                <w:color w:val="auto"/>
                <w:sz w:val="22"/>
                <w:lang w:val="es-ES"/>
              </w:rPr>
              <w:t>Algunos mapas de amenaza, basados en técnicas probabilísticas, para el nivel nacional y para algunas regiones; uso generalizado de SIG para el mapeo de las principales amenazas (nivel 3)</w:t>
            </w:r>
          </w:p>
          <w:p w:rsidR="009A24BA" w:rsidRPr="00C20F7B" w:rsidRDefault="00C20F7B" w:rsidP="00280CF3">
            <w:pPr>
              <w:widowControl/>
              <w:adjustRightInd/>
              <w:spacing w:before="120" w:after="120" w:line="240" w:lineRule="auto"/>
              <w:ind w:right="9"/>
              <w:jc w:val="left"/>
              <w:textAlignment w:val="auto"/>
              <w:rPr>
                <w:rFonts w:eastAsia="Times New Roman"/>
                <w:color w:val="auto"/>
                <w:sz w:val="22"/>
                <w:lang w:val="es-ES"/>
              </w:rPr>
            </w:pPr>
            <w:r>
              <w:rPr>
                <w:rFonts w:eastAsia="Times New Roman"/>
                <w:color w:val="auto"/>
                <w:sz w:val="22"/>
                <w:lang w:val="es-ES"/>
              </w:rPr>
              <w:t>IR4:</w:t>
            </w:r>
            <w:r w:rsidR="002C7D7A">
              <w:rPr>
                <w:rFonts w:eastAsia="Times New Roman"/>
                <w:color w:val="auto"/>
                <w:sz w:val="22"/>
                <w:lang w:val="es-ES"/>
              </w:rPr>
              <w:t xml:space="preserve"> Evaluación de escenarios de daños y pérdidas potenciales ante algunos fenómenos peligrosos en las principales ciudades; análisis de la vulnerabilidad física de algunos edificios </w:t>
            </w:r>
            <w:r w:rsidR="002C7D7A">
              <w:rPr>
                <w:rFonts w:eastAsia="Times New Roman"/>
                <w:color w:val="auto"/>
                <w:sz w:val="22"/>
                <w:lang w:val="es-ES"/>
              </w:rPr>
              <w:lastRenderedPageBreak/>
              <w:t xml:space="preserve">esenciales </w:t>
            </w:r>
            <w:r w:rsidR="00FC73CC">
              <w:rPr>
                <w:rFonts w:eastAsia="Times New Roman"/>
                <w:color w:val="auto"/>
                <w:sz w:val="22"/>
                <w:lang w:val="es-ES"/>
              </w:rPr>
              <w:t>(nivel 3)</w:t>
            </w: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C7D7A" w:rsidRDefault="002C7D7A" w:rsidP="002C7D7A">
            <w:pPr>
              <w:widowControl/>
              <w:adjustRightInd/>
              <w:spacing w:before="120" w:after="120" w:line="240" w:lineRule="auto"/>
              <w:textAlignment w:val="auto"/>
              <w:rPr>
                <w:rFonts w:eastAsia="Times New Roman"/>
                <w:color w:val="auto"/>
                <w:sz w:val="22"/>
                <w:lang w:val="es-ES"/>
              </w:rPr>
            </w:pPr>
          </w:p>
          <w:p w:rsidR="002C7D7A" w:rsidRDefault="002C7D7A" w:rsidP="002C7D7A">
            <w:pPr>
              <w:widowControl/>
              <w:adjustRightInd/>
              <w:spacing w:before="120" w:after="120" w:line="240" w:lineRule="auto"/>
              <w:textAlignment w:val="auto"/>
              <w:rPr>
                <w:rFonts w:eastAsia="Times New Roman"/>
                <w:color w:val="auto"/>
                <w:sz w:val="22"/>
                <w:lang w:val="es-ES"/>
              </w:rPr>
            </w:pPr>
          </w:p>
          <w:p w:rsidR="002C7D7A" w:rsidRDefault="002C7D7A" w:rsidP="002C7D7A">
            <w:pPr>
              <w:widowControl/>
              <w:adjustRightInd/>
              <w:spacing w:before="120" w:after="120" w:line="240" w:lineRule="auto"/>
              <w:textAlignment w:val="auto"/>
              <w:rPr>
                <w:rFonts w:eastAsia="Times New Roman"/>
                <w:color w:val="auto"/>
                <w:sz w:val="22"/>
                <w:lang w:val="es-ES"/>
              </w:rPr>
            </w:pPr>
          </w:p>
          <w:p w:rsidR="002C7D7A" w:rsidRDefault="002C7D7A" w:rsidP="002C7D7A">
            <w:pPr>
              <w:widowControl/>
              <w:adjustRightInd/>
              <w:spacing w:before="120" w:after="120" w:line="240" w:lineRule="auto"/>
              <w:textAlignment w:val="auto"/>
              <w:rPr>
                <w:rFonts w:eastAsia="Times New Roman"/>
                <w:color w:val="auto"/>
                <w:sz w:val="22"/>
                <w:lang w:val="es-ES"/>
              </w:rPr>
            </w:pPr>
          </w:p>
          <w:p w:rsidR="002C7D7A" w:rsidRDefault="002C7D7A" w:rsidP="002C7D7A">
            <w:pPr>
              <w:widowControl/>
              <w:adjustRightInd/>
              <w:spacing w:before="120" w:after="120" w:line="240" w:lineRule="auto"/>
              <w:textAlignment w:val="auto"/>
              <w:rPr>
                <w:rFonts w:eastAsia="Times New Roman"/>
                <w:color w:val="auto"/>
                <w:sz w:val="22"/>
                <w:lang w:val="es-ES"/>
              </w:rPr>
            </w:pPr>
          </w:p>
          <w:p w:rsidR="002C7D7A" w:rsidRDefault="000629AE" w:rsidP="00C20F7B">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17.21</w:t>
            </w:r>
          </w:p>
          <w:p w:rsidR="002C7D7A" w:rsidRDefault="002C7D7A" w:rsidP="00C20F7B">
            <w:pPr>
              <w:widowControl/>
              <w:adjustRightInd/>
              <w:spacing w:before="120" w:after="120" w:line="240" w:lineRule="auto"/>
              <w:jc w:val="center"/>
              <w:textAlignment w:val="auto"/>
              <w:rPr>
                <w:rFonts w:eastAsia="Times New Roman"/>
                <w:color w:val="auto"/>
                <w:sz w:val="22"/>
                <w:lang w:val="es-ES"/>
              </w:rPr>
            </w:pPr>
          </w:p>
          <w:p w:rsidR="002C7D7A" w:rsidRDefault="002C7D7A" w:rsidP="00C20F7B">
            <w:pPr>
              <w:widowControl/>
              <w:adjustRightInd/>
              <w:spacing w:before="120" w:after="120" w:line="240" w:lineRule="auto"/>
              <w:jc w:val="center"/>
              <w:textAlignment w:val="auto"/>
              <w:rPr>
                <w:rFonts w:eastAsia="Times New Roman"/>
                <w:color w:val="auto"/>
                <w:sz w:val="22"/>
                <w:lang w:val="es-ES"/>
              </w:rPr>
            </w:pPr>
          </w:p>
          <w:p w:rsidR="000629AE" w:rsidRDefault="000629AE" w:rsidP="00C20F7B">
            <w:pPr>
              <w:widowControl/>
              <w:adjustRightInd/>
              <w:spacing w:before="120" w:after="120" w:line="240" w:lineRule="auto"/>
              <w:jc w:val="center"/>
              <w:textAlignment w:val="auto"/>
              <w:rPr>
                <w:rFonts w:eastAsia="Times New Roman"/>
                <w:color w:val="auto"/>
                <w:sz w:val="22"/>
                <w:lang w:val="es-ES"/>
              </w:rPr>
            </w:pPr>
          </w:p>
          <w:p w:rsidR="002C7D7A" w:rsidRDefault="000629AE" w:rsidP="002C7D7A">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p>
          <w:p w:rsidR="002C7D7A" w:rsidRDefault="002C7D7A" w:rsidP="00C20F7B">
            <w:pPr>
              <w:widowControl/>
              <w:adjustRightInd/>
              <w:spacing w:before="120" w:after="120" w:line="240" w:lineRule="auto"/>
              <w:jc w:val="center"/>
              <w:textAlignment w:val="auto"/>
              <w:rPr>
                <w:rFonts w:eastAsia="Times New Roman"/>
                <w:color w:val="auto"/>
                <w:sz w:val="22"/>
                <w:lang w:val="es-ES"/>
              </w:rPr>
            </w:pPr>
          </w:p>
          <w:p w:rsidR="002C7D7A" w:rsidRDefault="002C7D7A" w:rsidP="00C20F7B">
            <w:pPr>
              <w:widowControl/>
              <w:adjustRightInd/>
              <w:spacing w:before="120" w:after="120" w:line="240" w:lineRule="auto"/>
              <w:jc w:val="center"/>
              <w:textAlignment w:val="auto"/>
              <w:rPr>
                <w:rFonts w:eastAsia="Times New Roman"/>
                <w:color w:val="auto"/>
                <w:sz w:val="22"/>
                <w:lang w:val="es-ES"/>
              </w:rPr>
            </w:pPr>
          </w:p>
          <w:p w:rsidR="002C7D7A" w:rsidRDefault="002C7D7A" w:rsidP="00C20F7B">
            <w:pPr>
              <w:widowControl/>
              <w:adjustRightInd/>
              <w:spacing w:before="120" w:after="120" w:line="240" w:lineRule="auto"/>
              <w:jc w:val="center"/>
              <w:textAlignment w:val="auto"/>
              <w:rPr>
                <w:rFonts w:eastAsia="Times New Roman"/>
                <w:color w:val="auto"/>
                <w:sz w:val="22"/>
                <w:lang w:val="es-ES"/>
              </w:rPr>
            </w:pPr>
          </w:p>
          <w:p w:rsidR="00C20F7B" w:rsidRDefault="000629AE"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p>
          <w:p w:rsidR="002C7D7A" w:rsidRDefault="002C7D7A" w:rsidP="002A4A08">
            <w:pPr>
              <w:widowControl/>
              <w:adjustRightInd/>
              <w:spacing w:before="120" w:after="120" w:line="240" w:lineRule="auto"/>
              <w:jc w:val="center"/>
              <w:textAlignment w:val="auto"/>
              <w:rPr>
                <w:rFonts w:eastAsia="Times New Roman"/>
                <w:color w:val="auto"/>
                <w:sz w:val="22"/>
                <w:lang w:val="es-ES"/>
              </w:rPr>
            </w:pPr>
          </w:p>
          <w:p w:rsidR="002C7D7A" w:rsidRDefault="002C7D7A" w:rsidP="002A4A08">
            <w:pPr>
              <w:widowControl/>
              <w:adjustRightInd/>
              <w:spacing w:before="120" w:after="120" w:line="240" w:lineRule="auto"/>
              <w:jc w:val="center"/>
              <w:textAlignment w:val="auto"/>
              <w:rPr>
                <w:rFonts w:eastAsia="Times New Roman"/>
                <w:color w:val="auto"/>
                <w:sz w:val="22"/>
                <w:lang w:val="es-ES"/>
              </w:rPr>
            </w:pPr>
          </w:p>
          <w:p w:rsidR="002C7D7A" w:rsidRDefault="002C7D7A" w:rsidP="002A4A08">
            <w:pPr>
              <w:widowControl/>
              <w:adjustRightInd/>
              <w:spacing w:before="120" w:after="120" w:line="240" w:lineRule="auto"/>
              <w:jc w:val="center"/>
              <w:textAlignment w:val="auto"/>
              <w:rPr>
                <w:rFonts w:eastAsia="Times New Roman"/>
                <w:color w:val="auto"/>
                <w:sz w:val="22"/>
                <w:lang w:val="es-ES"/>
              </w:rPr>
            </w:pPr>
          </w:p>
          <w:p w:rsidR="00C20F7B" w:rsidRPr="00E929DC" w:rsidRDefault="00C20F7B"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p>
        </w:tc>
        <w:tc>
          <w:tcPr>
            <w:tcW w:w="79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F14BB" w:rsidRPr="00E929DC" w:rsidRDefault="000F14BB" w:rsidP="002A4A08">
            <w:pPr>
              <w:widowControl/>
              <w:adjustRightInd/>
              <w:spacing w:before="120" w:after="120" w:line="240" w:lineRule="auto"/>
              <w:jc w:val="center"/>
              <w:textAlignment w:val="auto"/>
              <w:rPr>
                <w:rFonts w:eastAsia="Times New Roman"/>
                <w:color w:val="auto"/>
                <w:sz w:val="22"/>
                <w:lang w:val="es-ES"/>
              </w:rPr>
            </w:pPr>
          </w:p>
        </w:tc>
        <w:tc>
          <w:tcPr>
            <w:tcW w:w="8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F14BB" w:rsidRPr="00E929DC" w:rsidRDefault="000F14BB"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F14BB" w:rsidRPr="00E929DC" w:rsidRDefault="000F14BB"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F14BB" w:rsidRPr="00E929DC" w:rsidRDefault="000F14BB"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vAlign w:val="center"/>
          </w:tcPr>
          <w:p w:rsidR="000F14BB" w:rsidRPr="00E929DC" w:rsidRDefault="000F14BB"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20F7B" w:rsidRDefault="00C20F7B" w:rsidP="002A4A08">
            <w:pPr>
              <w:widowControl/>
              <w:adjustRightInd/>
              <w:spacing w:before="120" w:after="120" w:line="240" w:lineRule="auto"/>
              <w:jc w:val="center"/>
              <w:textAlignment w:val="auto"/>
              <w:rPr>
                <w:rFonts w:eastAsia="Times New Roman"/>
                <w:color w:val="auto"/>
                <w:sz w:val="22"/>
                <w:lang w:val="es-ES"/>
              </w:rPr>
            </w:pPr>
          </w:p>
          <w:p w:rsidR="00C20F7B" w:rsidRDefault="00C20F7B" w:rsidP="002A4A08">
            <w:pPr>
              <w:widowControl/>
              <w:adjustRightInd/>
              <w:spacing w:before="120" w:after="120" w:line="240" w:lineRule="auto"/>
              <w:jc w:val="center"/>
              <w:textAlignment w:val="auto"/>
              <w:rPr>
                <w:rFonts w:eastAsia="Times New Roman"/>
                <w:color w:val="auto"/>
                <w:sz w:val="22"/>
                <w:lang w:val="es-ES"/>
              </w:rPr>
            </w:pPr>
          </w:p>
          <w:p w:rsidR="00FC73CC" w:rsidRDefault="00FC73CC" w:rsidP="002A4A08">
            <w:pPr>
              <w:widowControl/>
              <w:adjustRightInd/>
              <w:spacing w:before="120" w:after="120" w:line="240" w:lineRule="auto"/>
              <w:jc w:val="center"/>
              <w:textAlignment w:val="auto"/>
              <w:rPr>
                <w:rFonts w:eastAsia="Times New Roman"/>
                <w:color w:val="auto"/>
                <w:sz w:val="22"/>
                <w:lang w:val="es-ES"/>
              </w:rPr>
            </w:pPr>
          </w:p>
          <w:p w:rsidR="00FC73CC" w:rsidRDefault="00FC73CC" w:rsidP="002A4A08">
            <w:pPr>
              <w:widowControl/>
              <w:adjustRightInd/>
              <w:spacing w:before="120" w:after="120" w:line="240" w:lineRule="auto"/>
              <w:jc w:val="center"/>
              <w:textAlignment w:val="auto"/>
              <w:rPr>
                <w:rFonts w:eastAsia="Times New Roman"/>
                <w:color w:val="auto"/>
                <w:sz w:val="22"/>
                <w:lang w:val="es-ES"/>
              </w:rPr>
            </w:pPr>
          </w:p>
          <w:p w:rsidR="00C20F7B" w:rsidRDefault="00C20F7B" w:rsidP="00C20F7B">
            <w:pPr>
              <w:widowControl/>
              <w:adjustRightInd/>
              <w:spacing w:before="120" w:after="120" w:line="240" w:lineRule="auto"/>
              <w:textAlignment w:val="auto"/>
              <w:rPr>
                <w:rFonts w:eastAsia="Times New Roman"/>
                <w:color w:val="auto"/>
                <w:sz w:val="22"/>
                <w:lang w:val="es-ES"/>
              </w:rPr>
            </w:pPr>
          </w:p>
          <w:p w:rsidR="00A76F58" w:rsidRPr="00D549D1" w:rsidRDefault="00A76F58" w:rsidP="00EF007F">
            <w:pPr>
              <w:widowControl/>
              <w:adjustRightInd/>
              <w:spacing w:before="120" w:after="120" w:line="240" w:lineRule="auto"/>
              <w:jc w:val="center"/>
              <w:textAlignment w:val="auto"/>
              <w:rPr>
                <w:rFonts w:eastAsia="Times New Roman"/>
                <w:color w:val="auto"/>
                <w:sz w:val="22"/>
                <w:lang w:val="es-ES"/>
              </w:rPr>
            </w:pPr>
            <w:r w:rsidRPr="00D549D1">
              <w:rPr>
                <w:rFonts w:eastAsia="Times New Roman"/>
                <w:color w:val="auto"/>
                <w:sz w:val="22"/>
                <w:lang w:val="es-ES"/>
              </w:rPr>
              <w:t>34.9</w:t>
            </w:r>
            <w:r w:rsidR="00802240">
              <w:rPr>
                <w:rFonts w:eastAsia="Times New Roman"/>
                <w:color w:val="auto"/>
                <w:sz w:val="22"/>
                <w:lang w:val="es-ES"/>
              </w:rPr>
              <w:t>8</w:t>
            </w:r>
          </w:p>
          <w:p w:rsidR="00FC73CC" w:rsidRDefault="00FC73CC" w:rsidP="00FC73CC">
            <w:pPr>
              <w:widowControl/>
              <w:adjustRightInd/>
              <w:spacing w:before="120" w:after="120" w:line="240" w:lineRule="auto"/>
              <w:textAlignment w:val="auto"/>
              <w:rPr>
                <w:rFonts w:eastAsia="Times New Roman"/>
                <w:color w:val="auto"/>
                <w:sz w:val="22"/>
                <w:lang w:val="es-ES"/>
              </w:rPr>
            </w:pPr>
          </w:p>
          <w:p w:rsidR="00FC73CC" w:rsidRDefault="00FC73CC" w:rsidP="00FC73CC">
            <w:pPr>
              <w:widowControl/>
              <w:adjustRightInd/>
              <w:spacing w:before="120" w:after="120" w:line="240" w:lineRule="auto"/>
              <w:textAlignment w:val="auto"/>
              <w:rPr>
                <w:rFonts w:eastAsia="Times New Roman"/>
                <w:color w:val="auto"/>
                <w:sz w:val="22"/>
                <w:lang w:val="es-ES"/>
              </w:rPr>
            </w:pPr>
          </w:p>
          <w:p w:rsidR="001B01FF" w:rsidRDefault="001B01FF" w:rsidP="00FC73CC">
            <w:pPr>
              <w:widowControl/>
              <w:adjustRightInd/>
              <w:spacing w:before="120" w:after="120" w:line="240" w:lineRule="auto"/>
              <w:textAlignment w:val="auto"/>
              <w:rPr>
                <w:rFonts w:eastAsia="Times New Roman"/>
                <w:color w:val="auto"/>
                <w:sz w:val="22"/>
                <w:lang w:val="es-ES"/>
              </w:rPr>
            </w:pPr>
          </w:p>
          <w:p w:rsidR="000F14BB" w:rsidRDefault="000629AE"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3</w:t>
            </w:r>
          </w:p>
          <w:p w:rsidR="002C7D7A" w:rsidRDefault="002C7D7A" w:rsidP="002A4A08">
            <w:pPr>
              <w:widowControl/>
              <w:adjustRightInd/>
              <w:spacing w:before="120" w:after="120" w:line="240" w:lineRule="auto"/>
              <w:jc w:val="center"/>
              <w:textAlignment w:val="auto"/>
              <w:rPr>
                <w:rFonts w:eastAsia="Times New Roman"/>
                <w:color w:val="auto"/>
                <w:sz w:val="22"/>
                <w:lang w:val="es-ES"/>
              </w:rPr>
            </w:pPr>
          </w:p>
          <w:p w:rsidR="002C7D7A" w:rsidRDefault="002C7D7A" w:rsidP="002A4A08">
            <w:pPr>
              <w:widowControl/>
              <w:adjustRightInd/>
              <w:spacing w:before="120" w:after="120" w:line="240" w:lineRule="auto"/>
              <w:jc w:val="center"/>
              <w:textAlignment w:val="auto"/>
              <w:rPr>
                <w:rFonts w:eastAsia="Times New Roman"/>
                <w:color w:val="auto"/>
                <w:sz w:val="22"/>
                <w:lang w:val="es-ES"/>
              </w:rPr>
            </w:pPr>
          </w:p>
          <w:p w:rsidR="002C7D7A" w:rsidRDefault="002C7D7A" w:rsidP="002A4A08">
            <w:pPr>
              <w:widowControl/>
              <w:adjustRightInd/>
              <w:spacing w:before="120" w:after="120" w:line="240" w:lineRule="auto"/>
              <w:jc w:val="center"/>
              <w:textAlignment w:val="auto"/>
              <w:rPr>
                <w:rFonts w:eastAsia="Times New Roman"/>
                <w:color w:val="auto"/>
                <w:sz w:val="22"/>
                <w:lang w:val="es-ES"/>
              </w:rPr>
            </w:pPr>
          </w:p>
          <w:p w:rsidR="00C20F7B" w:rsidRDefault="000629AE"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3</w:t>
            </w:r>
          </w:p>
          <w:p w:rsidR="002C7D7A" w:rsidRDefault="002C7D7A" w:rsidP="002A4A08">
            <w:pPr>
              <w:widowControl/>
              <w:adjustRightInd/>
              <w:spacing w:before="120" w:after="120" w:line="240" w:lineRule="auto"/>
              <w:jc w:val="center"/>
              <w:textAlignment w:val="auto"/>
              <w:rPr>
                <w:rFonts w:eastAsia="Times New Roman"/>
                <w:color w:val="auto"/>
                <w:sz w:val="22"/>
                <w:lang w:val="es-ES"/>
              </w:rPr>
            </w:pPr>
          </w:p>
          <w:p w:rsidR="002C7D7A" w:rsidRDefault="002C7D7A" w:rsidP="002C7D7A">
            <w:pPr>
              <w:widowControl/>
              <w:adjustRightInd/>
              <w:spacing w:before="120" w:after="120" w:line="240" w:lineRule="auto"/>
              <w:textAlignment w:val="auto"/>
              <w:rPr>
                <w:rFonts w:eastAsia="Times New Roman"/>
                <w:color w:val="auto"/>
                <w:sz w:val="22"/>
                <w:lang w:val="es-ES"/>
              </w:rPr>
            </w:pPr>
          </w:p>
          <w:p w:rsidR="002C7D7A" w:rsidRDefault="002C7D7A" w:rsidP="002A4A08">
            <w:pPr>
              <w:widowControl/>
              <w:adjustRightInd/>
              <w:spacing w:before="120" w:after="120" w:line="240" w:lineRule="auto"/>
              <w:jc w:val="center"/>
              <w:textAlignment w:val="auto"/>
              <w:rPr>
                <w:rFonts w:eastAsia="Times New Roman"/>
                <w:color w:val="auto"/>
                <w:sz w:val="22"/>
                <w:lang w:val="es-ES"/>
              </w:rPr>
            </w:pPr>
          </w:p>
          <w:p w:rsidR="00C20F7B" w:rsidRPr="00E929DC" w:rsidRDefault="00C20F7B"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3</w:t>
            </w:r>
          </w:p>
        </w:tc>
        <w:tc>
          <w:tcPr>
            <w:tcW w:w="3290"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37C5A" w:rsidRPr="004E4C5C" w:rsidRDefault="00645A05" w:rsidP="00D37C5A">
            <w:pPr>
              <w:widowControl/>
              <w:adjustRightInd/>
              <w:spacing w:before="120" w:after="120" w:line="240" w:lineRule="auto"/>
              <w:ind w:right="144"/>
              <w:jc w:val="left"/>
              <w:textAlignment w:val="auto"/>
              <w:rPr>
                <w:rFonts w:eastAsia="Arial Unicode MS"/>
                <w:color w:val="auto"/>
                <w:sz w:val="20"/>
                <w:szCs w:val="20"/>
                <w:lang w:val="es-ES"/>
              </w:rPr>
            </w:pPr>
            <w:r w:rsidRPr="004E4C5C">
              <w:rPr>
                <w:rFonts w:eastAsia="Times New Roman"/>
                <w:b/>
                <w:i/>
                <w:color w:val="auto"/>
                <w:sz w:val="20"/>
                <w:szCs w:val="20"/>
                <w:lang w:val="es-ES"/>
              </w:rPr>
              <w:t>Observaciones:</w:t>
            </w:r>
            <w:r w:rsidRPr="004E4C5C">
              <w:rPr>
                <w:rFonts w:eastAsia="Times New Roman"/>
                <w:color w:val="auto"/>
                <w:sz w:val="20"/>
                <w:szCs w:val="20"/>
                <w:lang w:val="es-ES"/>
              </w:rPr>
              <w:t xml:space="preserve"> El</w:t>
            </w:r>
            <w:r w:rsidRPr="004E4C5C">
              <w:rPr>
                <w:rFonts w:eastAsia="Times New Roman"/>
                <w:color w:val="FF0000"/>
                <w:sz w:val="20"/>
                <w:szCs w:val="20"/>
                <w:lang w:val="es-ES"/>
              </w:rPr>
              <w:t xml:space="preserve"> </w:t>
            </w:r>
            <m:oMath>
              <m:sSub>
                <m:sSubPr>
                  <m:ctrlPr>
                    <w:rPr>
                      <w:rFonts w:ascii="Cambria Math" w:eastAsia="Times New Roman" w:hAnsi="Cambria Math"/>
                      <w:i/>
                      <w:color w:val="auto"/>
                      <w:sz w:val="20"/>
                      <w:szCs w:val="20"/>
                      <w:lang w:val="es-ES"/>
                    </w:rPr>
                  </m:ctrlPr>
                </m:sSubPr>
                <m:e>
                  <m:r>
                    <w:rPr>
                      <w:rFonts w:ascii="Cambria Math" w:eastAsia="Times New Roman" w:hAnsi="Cambria Math"/>
                      <w:color w:val="auto"/>
                      <w:sz w:val="20"/>
                      <w:szCs w:val="20"/>
                      <w:lang w:val="es-ES"/>
                    </w:rPr>
                    <m:t>IGR</m:t>
                  </m:r>
                </m:e>
                <m:sub>
                  <m:r>
                    <w:rPr>
                      <w:rFonts w:ascii="Cambria Math" w:eastAsia="Times New Roman" w:hAnsi="Cambria Math"/>
                      <w:color w:val="auto"/>
                      <w:sz w:val="20"/>
                      <w:szCs w:val="20"/>
                      <w:lang w:val="es-ES"/>
                    </w:rPr>
                    <m:t>IR</m:t>
                  </m:r>
                </m:sub>
              </m:sSub>
            </m:oMath>
            <w:r w:rsidRPr="004E4C5C">
              <w:rPr>
                <w:rFonts w:eastAsia="Times New Roman"/>
                <w:color w:val="auto"/>
                <w:sz w:val="20"/>
                <w:szCs w:val="20"/>
                <w:lang w:val="es-ES"/>
              </w:rPr>
              <w:t xml:space="preserve"> es un componente del  </w:t>
            </w:r>
            <w:r w:rsidRPr="004E4C5C">
              <w:rPr>
                <w:rFonts w:eastAsia="Times New Roman"/>
                <w:i/>
                <w:color w:val="auto"/>
                <w:sz w:val="20"/>
                <w:szCs w:val="20"/>
                <w:lang w:val="es-ES"/>
              </w:rPr>
              <w:t>IGR</w:t>
            </w:r>
            <w:r w:rsidRPr="004E4C5C">
              <w:rPr>
                <w:rFonts w:eastAsia="Times New Roman"/>
                <w:color w:val="auto"/>
                <w:sz w:val="20"/>
                <w:szCs w:val="20"/>
                <w:lang w:val="es-ES"/>
              </w:rPr>
              <w:t xml:space="preserve">. </w:t>
            </w:r>
            <w:r w:rsidR="00D37C5A" w:rsidRPr="004E4C5C">
              <w:rPr>
                <w:rFonts w:eastAsia="Arial Unicode MS"/>
                <w:color w:val="auto"/>
                <w:sz w:val="20"/>
                <w:szCs w:val="20"/>
                <w:lang w:val="es-ES"/>
              </w:rPr>
              <w:t>Este índice está compuesto por seis aspectos (</w:t>
            </w:r>
            <w:r w:rsidR="00D37C5A" w:rsidRPr="004E4C5C">
              <w:rPr>
                <w:rFonts w:eastAsia="Arial Unicode MS"/>
                <w:i/>
                <w:color w:val="auto"/>
                <w:sz w:val="20"/>
                <w:szCs w:val="20"/>
                <w:lang w:val="es-ES"/>
              </w:rPr>
              <w:t>I</w:t>
            </w:r>
            <w:r w:rsidR="00D37C5A" w:rsidRPr="004E4C5C">
              <w:rPr>
                <w:rFonts w:eastAsia="Arial Unicode MS"/>
                <w:color w:val="auto"/>
                <w:sz w:val="20"/>
                <w:szCs w:val="20"/>
                <w:lang w:val="es-ES"/>
              </w:rPr>
              <w:t>) y cada aspecto tiene un peso asociado de acuerdo a su importancia (</w:t>
            </w:r>
            <w:r w:rsidR="00D37C5A" w:rsidRPr="004E4C5C">
              <w:rPr>
                <w:rFonts w:eastAsia="Arial Unicode MS"/>
                <w:i/>
                <w:color w:val="auto"/>
                <w:sz w:val="20"/>
                <w:szCs w:val="20"/>
                <w:lang w:val="es-ES"/>
              </w:rPr>
              <w:t>w</w:t>
            </w:r>
            <w:r w:rsidR="00D37C5A" w:rsidRPr="004E4C5C">
              <w:rPr>
                <w:rFonts w:eastAsia="Arial Unicode MS"/>
                <w:color w:val="auto"/>
                <w:sz w:val="20"/>
                <w:szCs w:val="20"/>
                <w:lang w:val="es-ES"/>
              </w:rPr>
              <w:t>):</w:t>
            </w:r>
          </w:p>
          <w:p w:rsidR="00645A05" w:rsidRPr="004E4C5C" w:rsidRDefault="00645A05" w:rsidP="00645A05">
            <w:pPr>
              <w:widowControl/>
              <w:adjustRightInd/>
              <w:spacing w:before="120" w:after="120" w:line="240" w:lineRule="auto"/>
              <w:ind w:right="144"/>
              <w:jc w:val="left"/>
              <w:textAlignment w:val="auto"/>
              <w:rPr>
                <w:rFonts w:eastAsia="Times New Roman"/>
                <w:color w:val="auto"/>
                <w:sz w:val="20"/>
                <w:szCs w:val="20"/>
                <w:lang w:val="es-ES"/>
              </w:rPr>
            </w:pPr>
            <w:r w:rsidRPr="004E4C5C">
              <w:rPr>
                <w:rFonts w:eastAsia="Times New Roman"/>
                <w:color w:val="auto"/>
                <w:sz w:val="20"/>
                <w:szCs w:val="20"/>
                <w:lang w:val="es-ES"/>
              </w:rPr>
              <w:t>1.Inventariosistematico de desastres y perdidas</w:t>
            </w:r>
            <w:r w:rsidR="00C20F7B" w:rsidRPr="004E4C5C">
              <w:rPr>
                <w:rFonts w:eastAsia="Times New Roman"/>
                <w:color w:val="auto"/>
                <w:sz w:val="20"/>
                <w:szCs w:val="20"/>
                <w:lang w:val="es-ES"/>
              </w:rPr>
              <w:t xml:space="preserve"> (IR1)</w:t>
            </w:r>
          </w:p>
          <w:p w:rsidR="00645A05" w:rsidRPr="004E4C5C" w:rsidRDefault="00645A05" w:rsidP="00645A05">
            <w:pPr>
              <w:widowControl/>
              <w:adjustRightInd/>
              <w:spacing w:before="120" w:after="120" w:line="240" w:lineRule="auto"/>
              <w:ind w:right="144"/>
              <w:jc w:val="left"/>
              <w:textAlignment w:val="auto"/>
              <w:rPr>
                <w:rFonts w:eastAsia="Times New Roman"/>
                <w:color w:val="auto"/>
                <w:sz w:val="20"/>
                <w:szCs w:val="20"/>
                <w:lang w:val="es-ES"/>
              </w:rPr>
            </w:pPr>
            <w:r w:rsidRPr="004E4C5C">
              <w:rPr>
                <w:rFonts w:eastAsia="Times New Roman"/>
                <w:color w:val="auto"/>
                <w:sz w:val="20"/>
                <w:szCs w:val="20"/>
                <w:lang w:val="es-ES"/>
              </w:rPr>
              <w:t>2. Monitoreo de amenazas y pronostico</w:t>
            </w:r>
            <w:r w:rsidR="00C20F7B" w:rsidRPr="004E4C5C">
              <w:rPr>
                <w:rFonts w:eastAsia="Times New Roman"/>
                <w:color w:val="auto"/>
                <w:sz w:val="20"/>
                <w:szCs w:val="20"/>
                <w:lang w:val="es-ES"/>
              </w:rPr>
              <w:t xml:space="preserve"> (IR2)</w:t>
            </w:r>
          </w:p>
          <w:p w:rsidR="00645A05" w:rsidRPr="004E4C5C" w:rsidRDefault="00645A05" w:rsidP="00645A05">
            <w:pPr>
              <w:widowControl/>
              <w:adjustRightInd/>
              <w:spacing w:before="120" w:after="120" w:line="240" w:lineRule="auto"/>
              <w:ind w:right="144"/>
              <w:jc w:val="left"/>
              <w:textAlignment w:val="auto"/>
              <w:rPr>
                <w:rFonts w:eastAsia="Times New Roman"/>
                <w:color w:val="auto"/>
                <w:sz w:val="20"/>
                <w:szCs w:val="20"/>
                <w:lang w:val="es-ES"/>
              </w:rPr>
            </w:pPr>
            <w:r w:rsidRPr="004E4C5C">
              <w:rPr>
                <w:rFonts w:eastAsia="Times New Roman"/>
                <w:color w:val="auto"/>
                <w:sz w:val="20"/>
                <w:szCs w:val="20"/>
                <w:lang w:val="es-ES"/>
              </w:rPr>
              <w:t>3. Evaluación de amenazas y su representación en mapas</w:t>
            </w:r>
          </w:p>
          <w:p w:rsidR="00645A05" w:rsidRPr="004E4C5C" w:rsidRDefault="00645A05" w:rsidP="00645A05">
            <w:pPr>
              <w:widowControl/>
              <w:adjustRightInd/>
              <w:spacing w:before="120" w:after="120" w:line="240" w:lineRule="auto"/>
              <w:ind w:right="144"/>
              <w:jc w:val="left"/>
              <w:textAlignment w:val="auto"/>
              <w:rPr>
                <w:rFonts w:eastAsia="Times New Roman"/>
                <w:color w:val="auto"/>
                <w:sz w:val="20"/>
                <w:szCs w:val="20"/>
                <w:lang w:val="es-ES"/>
              </w:rPr>
            </w:pPr>
            <w:r w:rsidRPr="004E4C5C">
              <w:rPr>
                <w:rFonts w:eastAsia="Times New Roman"/>
                <w:color w:val="auto"/>
                <w:sz w:val="20"/>
                <w:szCs w:val="20"/>
                <w:lang w:val="es-ES"/>
              </w:rPr>
              <w:t>4.Evaluación de vulnerabilidad y riesgo</w:t>
            </w:r>
          </w:p>
          <w:p w:rsidR="00645A05" w:rsidRPr="004E4C5C" w:rsidRDefault="00645A05" w:rsidP="00645A05">
            <w:pPr>
              <w:widowControl/>
              <w:adjustRightInd/>
              <w:spacing w:before="120" w:after="120" w:line="240" w:lineRule="auto"/>
              <w:ind w:right="144"/>
              <w:jc w:val="left"/>
              <w:textAlignment w:val="auto"/>
              <w:rPr>
                <w:rFonts w:eastAsia="Times New Roman"/>
                <w:color w:val="auto"/>
                <w:sz w:val="20"/>
                <w:szCs w:val="20"/>
                <w:lang w:val="es-ES"/>
              </w:rPr>
            </w:pPr>
            <w:r w:rsidRPr="004E4C5C">
              <w:rPr>
                <w:rFonts w:eastAsia="Times New Roman"/>
                <w:color w:val="auto"/>
                <w:sz w:val="20"/>
                <w:szCs w:val="20"/>
                <w:lang w:val="es-ES"/>
              </w:rPr>
              <w:t>5. Información pública y participación comunitaria</w:t>
            </w:r>
          </w:p>
          <w:p w:rsidR="004E4C5C" w:rsidRPr="004E4C5C" w:rsidRDefault="00645A05" w:rsidP="00645A05">
            <w:pPr>
              <w:widowControl/>
              <w:adjustRightInd/>
              <w:spacing w:before="120" w:after="120" w:line="240" w:lineRule="auto"/>
              <w:ind w:right="144"/>
              <w:jc w:val="left"/>
              <w:textAlignment w:val="auto"/>
              <w:rPr>
                <w:rFonts w:eastAsia="Times New Roman"/>
                <w:color w:val="auto"/>
                <w:sz w:val="20"/>
                <w:szCs w:val="20"/>
                <w:lang w:val="es-ES"/>
              </w:rPr>
            </w:pPr>
            <w:r w:rsidRPr="004E4C5C">
              <w:rPr>
                <w:rFonts w:eastAsia="Times New Roman"/>
                <w:color w:val="auto"/>
                <w:sz w:val="20"/>
                <w:szCs w:val="20"/>
                <w:lang w:val="es-ES"/>
              </w:rPr>
              <w:t>6. Capacitación y educación en gestión de riesgos.</w:t>
            </w:r>
          </w:p>
          <w:p w:rsidR="004E4C5C" w:rsidRPr="004E4C5C" w:rsidRDefault="004E4C5C" w:rsidP="002F171B">
            <w:pPr>
              <w:widowControl/>
              <w:pBdr>
                <w:top w:val="single" w:sz="4" w:space="1" w:color="auto"/>
              </w:pBdr>
              <w:adjustRightInd/>
              <w:spacing w:before="120" w:after="120" w:line="240" w:lineRule="auto"/>
              <w:ind w:right="144"/>
              <w:jc w:val="left"/>
              <w:textAlignment w:val="auto"/>
              <w:rPr>
                <w:rFonts w:eastAsia="Times New Roman" w:cs="Arial"/>
                <w:color w:val="auto"/>
                <w:sz w:val="20"/>
                <w:szCs w:val="20"/>
                <w:lang w:val="es-ES"/>
              </w:rPr>
            </w:pPr>
            <w:r w:rsidRPr="004E4C5C">
              <w:rPr>
                <w:rFonts w:eastAsia="Arial Unicode MS"/>
                <w:color w:val="auto"/>
                <w:sz w:val="20"/>
                <w:szCs w:val="20"/>
                <w:lang w:val="es-ES"/>
              </w:rPr>
              <w:t xml:space="preserve">Este componente apunta a incrementar el nivel de los subíndices </w:t>
            </w:r>
            <w:r w:rsidR="000629AE">
              <w:rPr>
                <w:rFonts w:eastAsia="Arial Unicode MS"/>
                <w:color w:val="auto"/>
                <w:sz w:val="20"/>
                <w:szCs w:val="20"/>
                <w:lang w:val="es-ES"/>
              </w:rPr>
              <w:t>IR2, IR3 e</w:t>
            </w:r>
            <w:r>
              <w:rPr>
                <w:rFonts w:eastAsia="Arial Unicode MS"/>
                <w:color w:val="auto"/>
                <w:sz w:val="20"/>
                <w:szCs w:val="20"/>
                <w:lang w:val="es-ES"/>
              </w:rPr>
              <w:t xml:space="preserve"> IR4</w:t>
            </w:r>
            <w:r w:rsidRPr="004E4C5C">
              <w:rPr>
                <w:rFonts w:eastAsia="Arial Unicode MS"/>
                <w:color w:val="auto"/>
                <w:sz w:val="20"/>
                <w:szCs w:val="20"/>
                <w:lang w:val="es-ES"/>
              </w:rPr>
              <w:t xml:space="preserve"> del </w:t>
            </w:r>
            <m:oMath>
              <m:sSub>
                <m:sSubPr>
                  <m:ctrlPr>
                    <w:rPr>
                      <w:rFonts w:ascii="Cambria Math" w:eastAsia="Arial Unicode MS" w:hAnsi="Cambria Math"/>
                      <w:i/>
                      <w:color w:val="auto"/>
                      <w:sz w:val="20"/>
                      <w:szCs w:val="20"/>
                      <w:lang w:val="es-ES"/>
                    </w:rPr>
                  </m:ctrlPr>
                </m:sSubPr>
                <m:e>
                  <m:r>
                    <w:rPr>
                      <w:rFonts w:ascii="Cambria Math" w:eastAsia="Arial Unicode MS" w:hAnsi="Cambria Math"/>
                      <w:color w:val="auto"/>
                      <w:sz w:val="20"/>
                      <w:szCs w:val="20"/>
                      <w:lang w:val="es-ES"/>
                    </w:rPr>
                    <m:t>IGR</m:t>
                  </m:r>
                </m:e>
                <m:sub>
                  <m:r>
                    <w:rPr>
                      <w:rFonts w:ascii="Cambria Math" w:eastAsia="Arial Unicode MS" w:hAnsi="Cambria Math"/>
                      <w:color w:val="auto"/>
                      <w:sz w:val="20"/>
                      <w:szCs w:val="20"/>
                      <w:lang w:val="es-ES"/>
                    </w:rPr>
                    <m:t>IR</m:t>
                  </m:r>
                </m:sub>
              </m:sSub>
            </m:oMath>
            <w:r w:rsidR="006C6D09">
              <w:rPr>
                <w:rFonts w:eastAsia="Arial Unicode MS"/>
                <w:color w:val="auto"/>
                <w:sz w:val="20"/>
                <w:szCs w:val="20"/>
                <w:lang w:val="es-ES"/>
              </w:rPr>
              <w:t>de nivel 2 a nivel 3</w:t>
            </w:r>
            <w:r w:rsidRPr="004E4C5C">
              <w:rPr>
                <w:rFonts w:eastAsia="Arial Unicode MS"/>
                <w:color w:val="auto"/>
                <w:sz w:val="20"/>
                <w:szCs w:val="20"/>
                <w:lang w:val="es-ES"/>
              </w:rPr>
              <w:t>. El ni</w:t>
            </w:r>
            <w:r w:rsidR="000629AE">
              <w:rPr>
                <w:rFonts w:eastAsia="Arial Unicode MS"/>
                <w:color w:val="auto"/>
                <w:sz w:val="20"/>
                <w:szCs w:val="20"/>
                <w:lang w:val="es-ES"/>
              </w:rPr>
              <w:t>vel 2 implica nivel incipiente y</w:t>
            </w:r>
            <w:r>
              <w:rPr>
                <w:rFonts w:eastAsia="Arial Unicode MS"/>
                <w:color w:val="auto"/>
                <w:sz w:val="20"/>
                <w:szCs w:val="20"/>
                <w:lang w:val="es-ES"/>
              </w:rPr>
              <w:t xml:space="preserve"> </w:t>
            </w:r>
            <w:r w:rsidRPr="004E4C5C">
              <w:rPr>
                <w:rFonts w:eastAsia="Arial Unicode MS"/>
                <w:color w:val="auto"/>
                <w:sz w:val="20"/>
                <w:szCs w:val="20"/>
                <w:lang w:val="es-ES"/>
              </w:rPr>
              <w:t>el nive</w:t>
            </w:r>
            <w:r>
              <w:rPr>
                <w:rFonts w:eastAsia="Arial Unicode MS"/>
                <w:color w:val="auto"/>
                <w:sz w:val="20"/>
                <w:szCs w:val="20"/>
                <w:lang w:val="es-ES"/>
              </w:rPr>
              <w:t>l 3 implica un nivel apreciable.</w:t>
            </w:r>
          </w:p>
          <w:p w:rsidR="004E4C5C" w:rsidRPr="00CB54ED" w:rsidRDefault="004E4C5C" w:rsidP="00645A05">
            <w:pPr>
              <w:widowControl/>
              <w:adjustRightInd/>
              <w:spacing w:before="120" w:after="120" w:line="240" w:lineRule="auto"/>
              <w:ind w:right="144"/>
              <w:jc w:val="left"/>
              <w:textAlignment w:val="auto"/>
              <w:rPr>
                <w:rFonts w:eastAsia="Times New Roman"/>
                <w:color w:val="FF0000"/>
                <w:sz w:val="22"/>
                <w:lang w:val="es-ES"/>
              </w:rPr>
            </w:pPr>
          </w:p>
        </w:tc>
      </w:tr>
      <w:tr w:rsidR="00127892" w:rsidRPr="00EF7BA5" w:rsidTr="00BF344C">
        <w:trPr>
          <w:trHeight w:val="270"/>
          <w:jc w:val="center"/>
        </w:trPr>
        <w:tc>
          <w:tcPr>
            <w:tcW w:w="41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127892" w:rsidRDefault="00DD76D4" w:rsidP="00CF63F8">
            <w:pPr>
              <w:widowControl/>
              <w:adjustRightInd/>
              <w:spacing w:before="120" w:after="120" w:line="240" w:lineRule="auto"/>
              <w:ind w:right="9"/>
              <w:jc w:val="left"/>
              <w:textAlignment w:val="auto"/>
              <w:rPr>
                <w:rFonts w:eastAsia="Times New Roman"/>
                <w:b/>
                <w:color w:val="auto"/>
                <w:sz w:val="22"/>
                <w:lang w:val="es-ES"/>
              </w:rPr>
            </w:pPr>
            <w:r w:rsidRPr="00DD76D4">
              <w:rPr>
                <w:bCs/>
                <w:i/>
                <w:sz w:val="22"/>
                <w:szCs w:val="22"/>
                <w:lang w:val="es-ES"/>
              </w:rPr>
              <w:lastRenderedPageBreak/>
              <w:t>Indicador iGOPP:</w:t>
            </w:r>
            <w:r w:rsidRPr="00DD76D4">
              <w:rPr>
                <w:bCs/>
                <w:sz w:val="22"/>
                <w:szCs w:val="22"/>
                <w:lang w:val="es-ES"/>
              </w:rPr>
              <w:t xml:space="preserve">  </w:t>
            </w:r>
            <m:oMath>
              <m:sSub>
                <m:sSubPr>
                  <m:ctrlPr>
                    <w:rPr>
                      <w:rFonts w:ascii="Cambria Math" w:eastAsia="Calibri" w:hAnsi="Cambria Math"/>
                      <w:bCs/>
                      <w:i/>
                      <w:sz w:val="22"/>
                      <w:szCs w:val="22"/>
                      <w:lang w:val="es-ES"/>
                    </w:rPr>
                  </m:ctrlPr>
                </m:sSubPr>
                <m:e>
                  <m:r>
                    <w:rPr>
                      <w:rFonts w:ascii="Cambria Math" w:hAnsi="Cambria Math"/>
                      <w:sz w:val="22"/>
                      <w:szCs w:val="22"/>
                      <w:lang w:val="es-ES"/>
                    </w:rPr>
                    <m:t>IR</m:t>
                  </m:r>
                </m:e>
                <m:sub>
                  <m:r>
                    <w:rPr>
                      <w:rFonts w:ascii="Cambria Math" w:hAnsi="Cambria Math"/>
                      <w:sz w:val="22"/>
                      <w:szCs w:val="22"/>
                      <w:lang w:val="es-ES"/>
                    </w:rPr>
                    <m:t>iGOPP</m:t>
                  </m:r>
                </m:sub>
              </m:sSub>
            </m:oMath>
            <w:r w:rsidRPr="00DD76D4">
              <w:rPr>
                <w:bCs/>
                <w:sz w:val="22"/>
                <w:szCs w:val="22"/>
                <w:lang w:val="es-ES"/>
              </w:rPr>
              <w:t xml:space="preserve"> (</w:t>
            </w:r>
            <w:r w:rsidR="00CF63F8">
              <w:rPr>
                <w:bCs/>
                <w:sz w:val="22"/>
                <w:szCs w:val="22"/>
                <w:lang w:val="es-ES"/>
              </w:rPr>
              <w:t xml:space="preserve">Identificación de Riesgos) </w:t>
            </w:r>
            <w:r w:rsidRPr="00DD76D4">
              <w:rPr>
                <w:bCs/>
                <w:sz w:val="22"/>
                <w:szCs w:val="22"/>
                <w:lang w:val="es-ES"/>
              </w:rPr>
              <w:t>es un subíndice del iGOPP</w:t>
            </w:r>
            <w:r w:rsidR="00BF344C">
              <w:rPr>
                <w:rFonts w:eastAsia="Times New Roman"/>
                <w:b/>
                <w:color w:val="auto"/>
                <w:sz w:val="22"/>
                <w:lang w:val="es-ES"/>
              </w:rPr>
              <w:t xml:space="preserve"> </w:t>
            </w:r>
            <w:r w:rsidR="00BF344C" w:rsidRPr="00BF344C">
              <w:rPr>
                <w:rFonts w:eastAsia="Times New Roman"/>
                <w:color w:val="auto"/>
                <w:sz w:val="22"/>
                <w:lang w:val="es-ES"/>
              </w:rPr>
              <w:t>(Porcentaje)</w:t>
            </w: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Default="00BF344C" w:rsidP="00CF63F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20%</w:t>
            </w:r>
          </w:p>
        </w:tc>
        <w:tc>
          <w:tcPr>
            <w:tcW w:w="79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E929DC" w:rsidRDefault="00127892" w:rsidP="002A4A08">
            <w:pPr>
              <w:widowControl/>
              <w:adjustRightInd/>
              <w:spacing w:before="120" w:after="120" w:line="240" w:lineRule="auto"/>
              <w:jc w:val="center"/>
              <w:textAlignment w:val="auto"/>
              <w:rPr>
                <w:rFonts w:eastAsia="Times New Roman"/>
                <w:color w:val="auto"/>
                <w:sz w:val="22"/>
                <w:lang w:val="es-ES"/>
              </w:rPr>
            </w:pPr>
          </w:p>
        </w:tc>
        <w:tc>
          <w:tcPr>
            <w:tcW w:w="8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E929DC" w:rsidRDefault="00127892"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E929DC" w:rsidRDefault="00127892"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E929DC" w:rsidRDefault="00127892"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vAlign w:val="center"/>
          </w:tcPr>
          <w:p w:rsidR="00127892" w:rsidRPr="00E929DC" w:rsidRDefault="00127892"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27892" w:rsidRDefault="00BF344C"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48%</w:t>
            </w:r>
          </w:p>
        </w:tc>
        <w:tc>
          <w:tcPr>
            <w:tcW w:w="3290"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4E4C5C" w:rsidRDefault="00CF63F8" w:rsidP="00D37C5A">
            <w:pPr>
              <w:widowControl/>
              <w:adjustRightInd/>
              <w:spacing w:before="120" w:after="120" w:line="240" w:lineRule="auto"/>
              <w:ind w:right="144"/>
              <w:jc w:val="left"/>
              <w:textAlignment w:val="auto"/>
              <w:rPr>
                <w:rFonts w:eastAsia="Times New Roman"/>
                <w:b/>
                <w:i/>
                <w:color w:val="auto"/>
                <w:sz w:val="20"/>
                <w:szCs w:val="20"/>
                <w:lang w:val="es-ES"/>
              </w:rPr>
            </w:pPr>
            <w:r w:rsidRPr="006C59C0">
              <w:rPr>
                <w:rFonts w:eastAsia="Times New Roman"/>
                <w:b/>
                <w:i/>
                <w:color w:val="auto"/>
                <w:sz w:val="20"/>
                <w:szCs w:val="20"/>
                <w:lang w:val="es-ES"/>
              </w:rPr>
              <w:t>Observaciones:</w:t>
            </w:r>
            <w:r>
              <w:rPr>
                <w:rFonts w:eastAsia="Times New Roman"/>
                <w:color w:val="auto"/>
                <w:sz w:val="20"/>
                <w:szCs w:val="20"/>
                <w:lang w:val="es-ES"/>
              </w:rPr>
              <w:t xml:space="preserve"> El</w:t>
            </w:r>
            <w:r>
              <w:rPr>
                <w:rFonts w:eastAsia="Times New Roman"/>
                <w:i/>
                <w:color w:val="auto"/>
                <w:sz w:val="22"/>
                <w:lang w:val="es-ES"/>
              </w:rPr>
              <w:t xml:space="preserve"> </w:t>
            </w:r>
            <m:oMath>
              <m:sSub>
                <m:sSubPr>
                  <m:ctrlPr>
                    <w:rPr>
                      <w:rFonts w:ascii="Cambria Math" w:eastAsia="Times New Roman" w:hAnsi="Cambria Math"/>
                      <w:i/>
                      <w:color w:val="auto"/>
                      <w:sz w:val="22"/>
                      <w:lang w:val="es-ES"/>
                    </w:rPr>
                  </m:ctrlPr>
                </m:sSubPr>
                <m:e>
                  <m:r>
                    <w:rPr>
                      <w:rFonts w:ascii="Cambria Math" w:eastAsia="Times New Roman" w:hAnsi="Cambria Math"/>
                      <w:color w:val="auto"/>
                      <w:sz w:val="22"/>
                      <w:lang w:val="es-ES"/>
                    </w:rPr>
                    <m:t>IR</m:t>
                  </m:r>
                </m:e>
                <m:sub>
                  <m:r>
                    <w:rPr>
                      <w:rFonts w:ascii="Cambria Math" w:eastAsia="Times New Roman" w:hAnsi="Cambria Math"/>
                      <w:color w:val="auto"/>
                      <w:sz w:val="22"/>
                      <w:lang w:val="es-ES"/>
                    </w:rPr>
                    <m:t>iGOPP</m:t>
                  </m:r>
                </m:sub>
              </m:sSub>
            </m:oMath>
            <w:r>
              <w:rPr>
                <w:rFonts w:eastAsia="Times New Roman"/>
                <w:color w:val="auto"/>
                <w:sz w:val="20"/>
                <w:szCs w:val="20"/>
                <w:lang w:val="es-ES"/>
              </w:rPr>
              <w:t xml:space="preserve"> (Identificación y conocimiento del Riesgo) del iGOPP mide </w:t>
            </w:r>
            <w:r>
              <w:rPr>
                <w:rFonts w:eastAsia="Arial Unicode MS"/>
                <w:color w:val="auto"/>
                <w:sz w:val="20"/>
                <w:szCs w:val="20"/>
                <w:lang w:val="es-ES_tradnl"/>
              </w:rPr>
              <w:t xml:space="preserve">a través de un checklist, el </w:t>
            </w:r>
            <w:r w:rsidRPr="009A24BA">
              <w:rPr>
                <w:rFonts w:eastAsia="Times New Roman"/>
                <w:color w:val="auto"/>
                <w:sz w:val="20"/>
                <w:szCs w:val="20"/>
                <w:lang w:val="es-ES"/>
              </w:rPr>
              <w:t>desarrollo continuo de análisis de riesgos, herramienta que permite la identificación y evaluación de los probables daños y pérdidas ocasionadas por eventos naturales o condiciones sociales, económicas y geográficas.</w:t>
            </w:r>
            <w:r w:rsidR="00BF344C">
              <w:rPr>
                <w:sz w:val="20"/>
                <w:szCs w:val="20"/>
                <w:lang w:val="es-ES_tradnl"/>
              </w:rPr>
              <w:t xml:space="preserve"> </w:t>
            </w:r>
            <w:r w:rsidR="00357991">
              <w:rPr>
                <w:sz w:val="20"/>
                <w:szCs w:val="20"/>
                <w:lang w:val="es-ES_tradnl"/>
              </w:rPr>
              <w:t>El porcentaje hace referencia al número de indicadores cumplidos para este proceso.</w:t>
            </w:r>
          </w:p>
        </w:tc>
      </w:tr>
      <w:tr w:rsidR="00647463" w:rsidRPr="00E929DC" w:rsidTr="00E674B4">
        <w:trPr>
          <w:trHeight w:val="270"/>
          <w:jc w:val="center"/>
        </w:trPr>
        <w:tc>
          <w:tcPr>
            <w:tcW w:w="13318" w:type="dxa"/>
            <w:gridSpan w:val="9"/>
            <w:tcBorders>
              <w:top w:val="single" w:sz="4" w:space="0" w:color="auto"/>
              <w:left w:val="single" w:sz="4" w:space="0" w:color="auto"/>
              <w:bottom w:val="single" w:sz="4" w:space="0" w:color="auto"/>
              <w:right w:val="single" w:sz="4" w:space="0" w:color="auto"/>
            </w:tcBorders>
            <w:shd w:val="clear" w:color="auto" w:fill="CCCCCC"/>
            <w:noWrap/>
            <w:tcMar>
              <w:top w:w="15" w:type="dxa"/>
              <w:left w:w="15" w:type="dxa"/>
              <w:bottom w:w="0" w:type="dxa"/>
              <w:right w:w="15" w:type="dxa"/>
            </w:tcMar>
            <w:vAlign w:val="bottom"/>
          </w:tcPr>
          <w:p w:rsidR="00647463" w:rsidRPr="00E929DC" w:rsidRDefault="00647463" w:rsidP="00647463">
            <w:pPr>
              <w:widowControl/>
              <w:adjustRightInd/>
              <w:spacing w:line="240" w:lineRule="auto"/>
              <w:ind w:right="165"/>
              <w:jc w:val="left"/>
              <w:textAlignment w:val="auto"/>
              <w:rPr>
                <w:rFonts w:eastAsia="Arial Unicode MS"/>
                <w:b/>
                <w:color w:val="auto"/>
                <w:sz w:val="22"/>
                <w:lang w:val="es-ES"/>
              </w:rPr>
            </w:pPr>
            <w:r>
              <w:rPr>
                <w:rFonts w:eastAsia="Arial Unicode MS"/>
                <w:b/>
                <w:color w:val="auto"/>
                <w:sz w:val="22"/>
                <w:lang w:val="es-ES"/>
              </w:rPr>
              <w:t>Productos</w:t>
            </w:r>
          </w:p>
        </w:tc>
      </w:tr>
      <w:tr w:rsidR="00647463" w:rsidRPr="00EF7BA5" w:rsidTr="00BF344C">
        <w:trPr>
          <w:trHeight w:val="270"/>
          <w:jc w:val="center"/>
        </w:trPr>
        <w:tc>
          <w:tcPr>
            <w:tcW w:w="41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647463" w:rsidRDefault="00647463" w:rsidP="00647463">
            <w:pPr>
              <w:widowControl/>
              <w:adjustRightInd/>
              <w:spacing w:line="240" w:lineRule="auto"/>
              <w:jc w:val="left"/>
              <w:textAlignment w:val="auto"/>
              <w:rPr>
                <w:sz w:val="20"/>
                <w:szCs w:val="20"/>
                <w:lang w:val="es-ES_tradnl"/>
              </w:rPr>
            </w:pPr>
            <w:r w:rsidRPr="00647463">
              <w:rPr>
                <w:sz w:val="20"/>
                <w:szCs w:val="20"/>
                <w:lang w:val="es-ES_tradnl"/>
              </w:rPr>
              <w:t>Aprobación de la norma para la estandarización, uso e intercambio  de información espacial y de registros administrativos sobre identificación y análisis de riesgos de desastres</w:t>
            </w:r>
            <w:r w:rsidRPr="00647463">
              <w:rPr>
                <w:color w:val="FF0000"/>
                <w:sz w:val="20"/>
                <w:szCs w:val="20"/>
                <w:lang w:val="es-ES_tradnl"/>
              </w:rPr>
              <w:t>.</w:t>
            </w:r>
          </w:p>
          <w:p w:rsidR="00647463" w:rsidRDefault="00647463" w:rsidP="00647463">
            <w:pPr>
              <w:widowControl/>
              <w:adjustRightInd/>
              <w:spacing w:line="240" w:lineRule="auto"/>
              <w:jc w:val="left"/>
              <w:textAlignment w:val="auto"/>
              <w:rPr>
                <w:sz w:val="20"/>
                <w:szCs w:val="20"/>
                <w:lang w:val="es-ES_tradnl"/>
              </w:rPr>
            </w:pPr>
          </w:p>
          <w:p w:rsidR="00647463" w:rsidRDefault="00647463" w:rsidP="00647463">
            <w:pPr>
              <w:widowControl/>
              <w:adjustRightInd/>
              <w:spacing w:line="240" w:lineRule="auto"/>
              <w:jc w:val="left"/>
              <w:textAlignment w:val="auto"/>
              <w:rPr>
                <w:i/>
                <w:sz w:val="20"/>
                <w:szCs w:val="20"/>
                <w:lang w:val="es-ES_tradnl"/>
              </w:rPr>
            </w:pPr>
            <w:r w:rsidRPr="00E801FC">
              <w:rPr>
                <w:i/>
                <w:sz w:val="20"/>
                <w:szCs w:val="20"/>
                <w:lang w:val="es-ES_tradnl"/>
              </w:rPr>
              <w:t>Indicador:</w:t>
            </w:r>
            <w:r w:rsidR="00792994">
              <w:rPr>
                <w:i/>
                <w:sz w:val="20"/>
                <w:szCs w:val="20"/>
                <w:lang w:val="es-ES_tradnl"/>
              </w:rPr>
              <w:t xml:space="preserve"> </w:t>
            </w:r>
            <w:r w:rsidR="00D827E4">
              <w:rPr>
                <w:sz w:val="20"/>
                <w:szCs w:val="20"/>
                <w:lang w:val="es-ES_tradnl"/>
              </w:rPr>
              <w:t>Decreto Supremo</w:t>
            </w:r>
            <w:r w:rsidR="00792994">
              <w:rPr>
                <w:sz w:val="20"/>
                <w:szCs w:val="20"/>
                <w:lang w:val="es-ES_tradnl"/>
              </w:rPr>
              <w:t xml:space="preserve"> (#)</w:t>
            </w:r>
          </w:p>
          <w:p w:rsidR="00647463" w:rsidRPr="00647463" w:rsidRDefault="00647463" w:rsidP="00647463">
            <w:pPr>
              <w:widowControl/>
              <w:adjustRightInd/>
              <w:spacing w:line="240" w:lineRule="auto"/>
              <w:jc w:val="left"/>
              <w:textAlignment w:val="auto"/>
              <w:rPr>
                <w:sz w:val="20"/>
                <w:szCs w:val="20"/>
                <w:lang w:val="es-ES_tradnl"/>
              </w:rPr>
            </w:pPr>
          </w:p>
          <w:p w:rsidR="00647463" w:rsidRDefault="00647463" w:rsidP="00647463">
            <w:pPr>
              <w:widowControl/>
              <w:adjustRightInd/>
              <w:spacing w:line="240" w:lineRule="auto"/>
              <w:jc w:val="left"/>
              <w:textAlignment w:val="auto"/>
              <w:rPr>
                <w:sz w:val="20"/>
                <w:szCs w:val="20"/>
                <w:lang w:val="es-ES_tradnl"/>
              </w:rPr>
            </w:pPr>
            <w:r w:rsidRPr="00647463">
              <w:rPr>
                <w:sz w:val="20"/>
                <w:szCs w:val="20"/>
                <w:lang w:val="es-ES_tradnl"/>
              </w:rPr>
              <w:t xml:space="preserve">Adecuación del reglamento de </w:t>
            </w:r>
            <w:r w:rsidR="00880359">
              <w:rPr>
                <w:sz w:val="20"/>
                <w:szCs w:val="20"/>
                <w:lang w:val="es-ES_tradnl"/>
              </w:rPr>
              <w:t xml:space="preserve">organización </w:t>
            </w:r>
            <w:r w:rsidRPr="00647463">
              <w:rPr>
                <w:sz w:val="20"/>
                <w:szCs w:val="20"/>
                <w:lang w:val="es-ES_tradnl"/>
              </w:rPr>
              <w:t xml:space="preserve"> y funciones de la PCM para desarrollar el Sistema Nacional de Información para la Gestión del Riesgo de Desastres en cumplimiento de la Ley del SINAGERD.</w:t>
            </w:r>
          </w:p>
          <w:p w:rsidR="00D827E4" w:rsidRPr="00647463" w:rsidRDefault="00D827E4" w:rsidP="00647463">
            <w:pPr>
              <w:widowControl/>
              <w:adjustRightInd/>
              <w:spacing w:line="240" w:lineRule="auto"/>
              <w:jc w:val="left"/>
              <w:textAlignment w:val="auto"/>
              <w:rPr>
                <w:sz w:val="20"/>
                <w:szCs w:val="20"/>
                <w:lang w:val="es-ES_tradnl"/>
              </w:rPr>
            </w:pPr>
          </w:p>
          <w:p w:rsidR="00647463" w:rsidRPr="00D827E4" w:rsidRDefault="00647463" w:rsidP="00D827E4">
            <w:pPr>
              <w:pStyle w:val="NoSpacing"/>
              <w:rPr>
                <w:i/>
                <w:sz w:val="20"/>
                <w:szCs w:val="20"/>
                <w:lang w:val="es-ES_tradnl"/>
              </w:rPr>
            </w:pPr>
            <w:r w:rsidRPr="00D827E4">
              <w:rPr>
                <w:i/>
                <w:sz w:val="20"/>
                <w:szCs w:val="20"/>
                <w:lang w:val="es-ES_tradnl"/>
              </w:rPr>
              <w:t>Indicador:</w:t>
            </w:r>
            <w:r w:rsidR="00792994" w:rsidRPr="00D827E4">
              <w:rPr>
                <w:i/>
                <w:sz w:val="20"/>
                <w:szCs w:val="20"/>
                <w:lang w:val="es-ES_tradnl"/>
              </w:rPr>
              <w:t xml:space="preserve"> </w:t>
            </w:r>
            <w:r w:rsidR="00D827E4" w:rsidRPr="00D827E4">
              <w:rPr>
                <w:sz w:val="20"/>
                <w:szCs w:val="20"/>
                <w:lang w:val="es-ES" w:eastAsia="es-ES"/>
              </w:rPr>
              <w:t xml:space="preserve">Decreto Supremo aprobando el reglamento </w:t>
            </w:r>
            <w:r w:rsidR="00792994" w:rsidRPr="00D827E4">
              <w:rPr>
                <w:sz w:val="20"/>
                <w:szCs w:val="20"/>
                <w:lang w:val="es-ES"/>
              </w:rPr>
              <w:t>(#)</w:t>
            </w:r>
          </w:p>
          <w:p w:rsidR="00647463" w:rsidRPr="00647463" w:rsidRDefault="00647463" w:rsidP="00647463">
            <w:pPr>
              <w:rPr>
                <w:sz w:val="20"/>
                <w:szCs w:val="20"/>
                <w:lang w:val="es-ES_tradnl"/>
              </w:rPr>
            </w:pPr>
          </w:p>
          <w:p w:rsidR="00647463" w:rsidRDefault="00647463" w:rsidP="00647463">
            <w:pPr>
              <w:widowControl/>
              <w:adjustRightInd/>
              <w:spacing w:line="240" w:lineRule="auto"/>
              <w:textAlignment w:val="auto"/>
              <w:rPr>
                <w:sz w:val="20"/>
                <w:szCs w:val="20"/>
                <w:lang w:val="es-ES_tradnl"/>
              </w:rPr>
            </w:pPr>
            <w:r w:rsidRPr="00647463">
              <w:rPr>
                <w:sz w:val="20"/>
                <w:szCs w:val="20"/>
                <w:lang w:val="es-ES_tradnl"/>
              </w:rPr>
              <w:lastRenderedPageBreak/>
              <w:t>Incorporar como un objetivo específico del Plan Nacional para la Gestión del Riesgo de Desastres, el desarrollo del Sistema Nacional de Información para la Gestión del Riesgo de Desastres en cumplimiento de la Ley del SINAGERD.</w:t>
            </w:r>
          </w:p>
          <w:p w:rsidR="00647463" w:rsidRDefault="00647463" w:rsidP="00647463">
            <w:pPr>
              <w:widowControl/>
              <w:adjustRightInd/>
              <w:spacing w:line="240" w:lineRule="auto"/>
              <w:textAlignment w:val="auto"/>
              <w:rPr>
                <w:sz w:val="20"/>
                <w:szCs w:val="20"/>
                <w:lang w:val="es-ES_tradnl"/>
              </w:rPr>
            </w:pPr>
          </w:p>
          <w:p w:rsidR="00647463" w:rsidRPr="00EF7BA5" w:rsidRDefault="00647463" w:rsidP="00647463">
            <w:pPr>
              <w:widowControl/>
              <w:adjustRightInd/>
              <w:spacing w:line="240" w:lineRule="auto"/>
              <w:textAlignment w:val="auto"/>
              <w:rPr>
                <w:i/>
                <w:sz w:val="20"/>
                <w:szCs w:val="20"/>
                <w:lang w:val="es-ES_tradnl"/>
              </w:rPr>
            </w:pPr>
            <w:r w:rsidRPr="00E801FC">
              <w:rPr>
                <w:i/>
                <w:sz w:val="20"/>
                <w:szCs w:val="20"/>
                <w:lang w:val="es-ES_tradnl"/>
              </w:rPr>
              <w:t>Indicador:</w:t>
            </w:r>
            <w:r w:rsidR="00880359">
              <w:rPr>
                <w:i/>
                <w:sz w:val="20"/>
                <w:szCs w:val="20"/>
                <w:lang w:val="es-ES_tradnl"/>
              </w:rPr>
              <w:t xml:space="preserve"> </w:t>
            </w:r>
            <w:r w:rsidR="00880359" w:rsidRPr="00EF7BA5">
              <w:rPr>
                <w:sz w:val="20"/>
                <w:szCs w:val="20"/>
                <w:lang w:val="es-ES_tradnl"/>
              </w:rPr>
              <w:t>Decreto supremo que aprueba el</w:t>
            </w:r>
            <w:r w:rsidR="00792994">
              <w:rPr>
                <w:sz w:val="20"/>
                <w:szCs w:val="20"/>
                <w:lang w:val="es-ES_tradnl"/>
              </w:rPr>
              <w:t xml:space="preserve">Plan Nacional </w:t>
            </w:r>
            <w:r w:rsidR="00880359">
              <w:rPr>
                <w:sz w:val="20"/>
                <w:szCs w:val="20"/>
                <w:lang w:val="es-ES_tradnl"/>
              </w:rPr>
              <w:t xml:space="preserve"> de </w:t>
            </w:r>
            <w:r w:rsidR="00792994">
              <w:rPr>
                <w:sz w:val="20"/>
                <w:szCs w:val="20"/>
                <w:lang w:val="es-ES_tradnl"/>
              </w:rPr>
              <w:t>GRD con objetivo incluído (#)</w:t>
            </w:r>
          </w:p>
          <w:p w:rsidR="00647463" w:rsidRPr="00647463" w:rsidRDefault="00647463" w:rsidP="00647463">
            <w:pPr>
              <w:pStyle w:val="ListParagraph"/>
              <w:rPr>
                <w:sz w:val="20"/>
                <w:szCs w:val="20"/>
                <w:lang w:val="es-ES_tradnl"/>
              </w:rPr>
            </w:pPr>
          </w:p>
          <w:p w:rsidR="00647463" w:rsidRDefault="00647463" w:rsidP="00647463">
            <w:pPr>
              <w:widowControl/>
              <w:adjustRightInd/>
              <w:spacing w:line="240" w:lineRule="auto"/>
              <w:textAlignment w:val="auto"/>
              <w:rPr>
                <w:sz w:val="20"/>
                <w:szCs w:val="20"/>
                <w:lang w:val="es-ES_tradnl"/>
              </w:rPr>
            </w:pPr>
            <w:r w:rsidRPr="00647463">
              <w:rPr>
                <w:sz w:val="20"/>
                <w:szCs w:val="20"/>
                <w:lang w:val="es-ES_tradnl"/>
              </w:rPr>
              <w:t>Creación e Implementación de un Sistema Nacional de Información para la Gestión del Riesgo de Desastres con énfasis en los procesos de estimación, prevención y reducción de riesgos y reconstrucción.</w:t>
            </w:r>
          </w:p>
          <w:p w:rsidR="00792994" w:rsidRDefault="00792994" w:rsidP="00647463">
            <w:pPr>
              <w:widowControl/>
              <w:adjustRightInd/>
              <w:spacing w:line="240" w:lineRule="auto"/>
              <w:textAlignment w:val="auto"/>
              <w:rPr>
                <w:sz w:val="20"/>
                <w:szCs w:val="20"/>
                <w:lang w:val="es-ES_tradnl"/>
              </w:rPr>
            </w:pPr>
          </w:p>
          <w:p w:rsidR="00792994" w:rsidRDefault="00792994" w:rsidP="00647463">
            <w:pPr>
              <w:widowControl/>
              <w:adjustRightInd/>
              <w:spacing w:line="240" w:lineRule="auto"/>
              <w:textAlignment w:val="auto"/>
              <w:rPr>
                <w:sz w:val="20"/>
                <w:szCs w:val="20"/>
                <w:lang w:val="es-ES_tradnl"/>
              </w:rPr>
            </w:pPr>
            <w:r w:rsidRPr="00792994">
              <w:rPr>
                <w:i/>
                <w:sz w:val="20"/>
                <w:szCs w:val="20"/>
                <w:lang w:val="es-ES_tradnl"/>
              </w:rPr>
              <w:t>Indicador:</w:t>
            </w:r>
            <w:r>
              <w:rPr>
                <w:sz w:val="20"/>
                <w:szCs w:val="20"/>
                <w:lang w:val="es-ES_tradnl"/>
              </w:rPr>
              <w:t xml:space="preserve"> </w:t>
            </w:r>
            <w:r w:rsidR="00D827E4" w:rsidRPr="00D827E4">
              <w:rPr>
                <w:sz w:val="20"/>
                <w:szCs w:val="20"/>
                <w:lang w:val="es-ES_tradnl"/>
              </w:rPr>
              <w:t xml:space="preserve">Sistema de Información para la Gestión del Riesgo de Desastres (SIGRID), accesible a través de la página Web del CENEPRED: </w:t>
            </w:r>
            <w:hyperlink r:id="rId9" w:history="1">
              <w:r w:rsidR="00D827E4" w:rsidRPr="00D827E4">
                <w:rPr>
                  <w:rStyle w:val="Hyperlink"/>
                  <w:color w:val="auto"/>
                  <w:sz w:val="20"/>
                  <w:szCs w:val="20"/>
                  <w:lang w:val="es-ES_tradnl"/>
                </w:rPr>
                <w:t>http://sigrid.cenepred.gob.pe/sigrid/</w:t>
              </w:r>
            </w:hyperlink>
          </w:p>
          <w:p w:rsidR="00647463" w:rsidRDefault="00647463" w:rsidP="00647463">
            <w:pPr>
              <w:widowControl/>
              <w:adjustRightInd/>
              <w:spacing w:line="240" w:lineRule="auto"/>
              <w:textAlignment w:val="auto"/>
              <w:rPr>
                <w:sz w:val="20"/>
                <w:szCs w:val="20"/>
                <w:lang w:val="es-ES_tradnl"/>
              </w:rPr>
            </w:pPr>
          </w:p>
          <w:p w:rsidR="00647463" w:rsidRDefault="00647463" w:rsidP="00647463">
            <w:pPr>
              <w:widowControl/>
              <w:adjustRightInd/>
              <w:spacing w:line="240" w:lineRule="auto"/>
              <w:jc w:val="left"/>
              <w:textAlignment w:val="auto"/>
              <w:rPr>
                <w:sz w:val="20"/>
                <w:szCs w:val="20"/>
                <w:lang w:val="es-ES_tradnl"/>
              </w:rPr>
            </w:pPr>
            <w:r w:rsidRPr="00647463">
              <w:rPr>
                <w:sz w:val="20"/>
                <w:szCs w:val="20"/>
                <w:lang w:val="es-ES_tradnl"/>
              </w:rPr>
              <w:t>Aprobación y divulgación del protocolo para la vigilancia y monitoreo meteorológico, agro-meteorológico e hidrológico que incluye la regulación de procedimientos de instalación y operación de estaciones e instrumental hidrometeorológico.</w:t>
            </w:r>
          </w:p>
          <w:p w:rsidR="00D827E4" w:rsidRPr="00647463" w:rsidRDefault="00D827E4" w:rsidP="00647463">
            <w:pPr>
              <w:widowControl/>
              <w:adjustRightInd/>
              <w:spacing w:line="240" w:lineRule="auto"/>
              <w:jc w:val="left"/>
              <w:textAlignment w:val="auto"/>
              <w:rPr>
                <w:color w:val="17365D"/>
                <w:sz w:val="20"/>
                <w:szCs w:val="20"/>
                <w:lang w:val="es-ES_tradnl"/>
              </w:rPr>
            </w:pPr>
          </w:p>
          <w:p w:rsidR="00647463" w:rsidRPr="00D827E4" w:rsidRDefault="00792994" w:rsidP="00D827E4">
            <w:pPr>
              <w:pStyle w:val="NoSpacing"/>
              <w:jc w:val="left"/>
              <w:rPr>
                <w:sz w:val="20"/>
                <w:szCs w:val="20"/>
                <w:lang w:val="es-ES_tradnl"/>
              </w:rPr>
            </w:pPr>
            <w:r w:rsidRPr="00D827E4">
              <w:rPr>
                <w:i/>
                <w:sz w:val="20"/>
                <w:szCs w:val="20"/>
                <w:lang w:val="es-ES_tradnl"/>
              </w:rPr>
              <w:t>Indicador:</w:t>
            </w:r>
            <w:r w:rsidRPr="00D827E4">
              <w:rPr>
                <w:sz w:val="20"/>
                <w:szCs w:val="20"/>
                <w:lang w:val="es-ES_tradnl"/>
              </w:rPr>
              <w:t xml:space="preserve"> Protocolo aprobado </w:t>
            </w:r>
            <w:r w:rsidR="00D827E4" w:rsidRPr="00D827E4">
              <w:rPr>
                <w:sz w:val="20"/>
                <w:szCs w:val="20"/>
                <w:lang w:val="es-ES_tradnl"/>
              </w:rPr>
              <w:t xml:space="preserve">por resolución presidencial </w:t>
            </w:r>
            <w:r w:rsidRPr="00D827E4">
              <w:rPr>
                <w:sz w:val="20"/>
                <w:szCs w:val="20"/>
                <w:lang w:val="es-ES_tradnl"/>
              </w:rPr>
              <w:t>(#)</w:t>
            </w:r>
          </w:p>
          <w:p w:rsidR="00792994" w:rsidRPr="00647463" w:rsidRDefault="00792994" w:rsidP="00647463">
            <w:pPr>
              <w:ind w:left="468" w:hanging="425"/>
              <w:rPr>
                <w:sz w:val="20"/>
                <w:szCs w:val="20"/>
                <w:lang w:val="es-ES_tradnl"/>
              </w:rPr>
            </w:pPr>
          </w:p>
          <w:p w:rsidR="00647463" w:rsidRPr="00647463" w:rsidRDefault="00647463" w:rsidP="00647463">
            <w:pPr>
              <w:widowControl/>
              <w:adjustRightInd/>
              <w:spacing w:line="240" w:lineRule="auto"/>
              <w:jc w:val="left"/>
              <w:textAlignment w:val="auto"/>
              <w:rPr>
                <w:sz w:val="20"/>
                <w:szCs w:val="20"/>
                <w:lang w:val="es-ES_tradnl"/>
              </w:rPr>
            </w:pPr>
            <w:r w:rsidRPr="00647463">
              <w:rPr>
                <w:sz w:val="20"/>
                <w:szCs w:val="20"/>
                <w:lang w:val="es-ES_tradnl"/>
              </w:rPr>
              <w:t xml:space="preserve">Ampliación de la cobertura de estaciones hidrometeorológicas del sistema de información </w:t>
            </w:r>
            <w:r w:rsidRPr="00647463">
              <w:rPr>
                <w:sz w:val="20"/>
                <w:szCs w:val="20"/>
                <w:lang w:val="es-ES_tradnl"/>
              </w:rPr>
              <w:lastRenderedPageBreak/>
              <w:t>climática</w:t>
            </w:r>
          </w:p>
          <w:p w:rsidR="00647463" w:rsidRDefault="00647463" w:rsidP="00647463">
            <w:pPr>
              <w:widowControl/>
              <w:adjustRightInd/>
              <w:spacing w:line="240" w:lineRule="auto"/>
              <w:textAlignment w:val="auto"/>
              <w:rPr>
                <w:sz w:val="20"/>
                <w:szCs w:val="20"/>
                <w:lang w:val="es-ES_tradnl"/>
              </w:rPr>
            </w:pPr>
          </w:p>
          <w:p w:rsidR="00792994" w:rsidRPr="00E47AF2" w:rsidRDefault="00792994" w:rsidP="00647463">
            <w:pPr>
              <w:widowControl/>
              <w:adjustRightInd/>
              <w:spacing w:line="240" w:lineRule="auto"/>
              <w:textAlignment w:val="auto"/>
              <w:rPr>
                <w:sz w:val="20"/>
                <w:szCs w:val="20"/>
                <w:lang w:val="es-ES_tradnl"/>
              </w:rPr>
            </w:pPr>
            <w:r w:rsidRPr="00792994">
              <w:rPr>
                <w:i/>
                <w:sz w:val="20"/>
                <w:szCs w:val="20"/>
                <w:lang w:val="es-ES_tradnl"/>
              </w:rPr>
              <w:t>Indicador:</w:t>
            </w:r>
            <w:r>
              <w:rPr>
                <w:sz w:val="20"/>
                <w:szCs w:val="20"/>
                <w:lang w:val="es-ES_tradnl"/>
              </w:rPr>
              <w:t xml:space="preserve"> </w:t>
            </w:r>
            <w:r w:rsidR="00E47AF2" w:rsidRPr="00E47AF2">
              <w:rPr>
                <w:rFonts w:eastAsia="Times New Roman"/>
                <w:sz w:val="20"/>
                <w:szCs w:val="20"/>
                <w:lang w:val="es-ES_tradnl" w:eastAsia="es-ES"/>
              </w:rPr>
              <w:t>Convenio</w:t>
            </w:r>
            <w:r w:rsidR="00A935DE">
              <w:rPr>
                <w:rFonts w:eastAsia="Times New Roman"/>
                <w:sz w:val="20"/>
                <w:szCs w:val="20"/>
                <w:lang w:val="es-ES_tradnl" w:eastAsia="es-ES"/>
              </w:rPr>
              <w:t xml:space="preserve"> específico interinstitucional </w:t>
            </w:r>
            <w:r w:rsidR="00E47AF2" w:rsidRPr="00E47AF2">
              <w:rPr>
                <w:rFonts w:eastAsia="Times New Roman"/>
                <w:sz w:val="20"/>
                <w:szCs w:val="20"/>
                <w:lang w:val="es-ES_tradnl" w:eastAsia="es-ES"/>
              </w:rPr>
              <w:t xml:space="preserve"> firmado con la A</w:t>
            </w:r>
            <w:r w:rsidR="00E47AF2">
              <w:rPr>
                <w:rFonts w:eastAsia="Times New Roman"/>
                <w:sz w:val="20"/>
                <w:szCs w:val="20"/>
                <w:lang w:val="es-ES_tradnl" w:eastAsia="es-ES"/>
              </w:rPr>
              <w:t>utoridad Nacional del Agua- ANA (#)</w:t>
            </w:r>
          </w:p>
          <w:p w:rsidR="00792994" w:rsidRPr="00647463" w:rsidRDefault="00792994" w:rsidP="00647463">
            <w:pPr>
              <w:widowControl/>
              <w:adjustRightInd/>
              <w:spacing w:line="240" w:lineRule="auto"/>
              <w:textAlignment w:val="auto"/>
              <w:rPr>
                <w:sz w:val="20"/>
                <w:szCs w:val="20"/>
                <w:lang w:val="es-ES_tradnl"/>
              </w:rPr>
            </w:pPr>
          </w:p>
          <w:p w:rsidR="00647463" w:rsidRPr="00647463" w:rsidRDefault="00647463" w:rsidP="00647463">
            <w:pPr>
              <w:widowControl/>
              <w:adjustRightInd/>
              <w:spacing w:line="240" w:lineRule="auto"/>
              <w:jc w:val="left"/>
              <w:textAlignment w:val="auto"/>
              <w:rPr>
                <w:sz w:val="20"/>
                <w:szCs w:val="18"/>
                <w:lang w:val="es-ES_tradnl"/>
              </w:rPr>
            </w:pPr>
            <w:r w:rsidRPr="00647463">
              <w:rPr>
                <w:sz w:val="20"/>
                <w:szCs w:val="18"/>
                <w:lang w:val="es-ES_tradnl"/>
              </w:rPr>
              <w:t>Creación de un observatorio vulcanológico en el Sur del Perú.</w:t>
            </w:r>
          </w:p>
          <w:p w:rsidR="00647463" w:rsidRDefault="00792994" w:rsidP="00647463">
            <w:pPr>
              <w:ind w:left="468" w:hanging="425"/>
              <w:rPr>
                <w:sz w:val="20"/>
                <w:szCs w:val="18"/>
                <w:lang w:val="es-ES_tradnl"/>
              </w:rPr>
            </w:pPr>
            <w:r w:rsidRPr="00792994">
              <w:rPr>
                <w:i/>
                <w:sz w:val="20"/>
                <w:szCs w:val="18"/>
                <w:lang w:val="es-ES_tradnl"/>
              </w:rPr>
              <w:t>Indicador:</w:t>
            </w:r>
            <w:r>
              <w:rPr>
                <w:sz w:val="20"/>
                <w:szCs w:val="18"/>
                <w:lang w:val="es-ES_tradnl"/>
              </w:rPr>
              <w:t xml:space="preserve"> Observatorio creado (#)</w:t>
            </w:r>
          </w:p>
          <w:p w:rsidR="00E47AF2" w:rsidRPr="00647463" w:rsidRDefault="00E47AF2" w:rsidP="00647463">
            <w:pPr>
              <w:ind w:left="468" w:hanging="425"/>
              <w:rPr>
                <w:sz w:val="20"/>
                <w:szCs w:val="18"/>
                <w:lang w:val="es-ES_tradnl"/>
              </w:rPr>
            </w:pPr>
          </w:p>
          <w:p w:rsidR="00647463" w:rsidRDefault="00647463" w:rsidP="00647463">
            <w:pPr>
              <w:widowControl/>
              <w:adjustRightInd/>
              <w:spacing w:line="240" w:lineRule="auto"/>
              <w:jc w:val="left"/>
              <w:textAlignment w:val="auto"/>
              <w:rPr>
                <w:sz w:val="20"/>
                <w:szCs w:val="18"/>
                <w:lang w:val="es-ES_tradnl"/>
              </w:rPr>
            </w:pPr>
            <w:r w:rsidRPr="00647463">
              <w:rPr>
                <w:sz w:val="20"/>
                <w:szCs w:val="18"/>
                <w:lang w:val="es-ES_tradnl"/>
              </w:rPr>
              <w:t>Elaboración de estudios definitivos y presentación al SNIP del proyecto para el mejoramiento y la ampliación de la cobertura de los sistemas de monitoreo volcánico del país.</w:t>
            </w:r>
          </w:p>
          <w:p w:rsidR="00792994" w:rsidRDefault="00792994" w:rsidP="00647463">
            <w:pPr>
              <w:widowControl/>
              <w:adjustRightInd/>
              <w:spacing w:line="240" w:lineRule="auto"/>
              <w:jc w:val="left"/>
              <w:textAlignment w:val="auto"/>
              <w:rPr>
                <w:sz w:val="20"/>
                <w:szCs w:val="18"/>
                <w:lang w:val="es-ES_tradnl"/>
              </w:rPr>
            </w:pPr>
          </w:p>
          <w:p w:rsidR="00792994" w:rsidRPr="00E47AF2" w:rsidRDefault="00792994" w:rsidP="00647463">
            <w:pPr>
              <w:widowControl/>
              <w:adjustRightInd/>
              <w:spacing w:line="240" w:lineRule="auto"/>
              <w:jc w:val="left"/>
              <w:textAlignment w:val="auto"/>
              <w:rPr>
                <w:sz w:val="20"/>
                <w:szCs w:val="18"/>
                <w:lang w:val="es-ES_tradnl"/>
              </w:rPr>
            </w:pPr>
            <w:r w:rsidRPr="00E47AF2">
              <w:rPr>
                <w:i/>
                <w:sz w:val="20"/>
                <w:szCs w:val="18"/>
                <w:lang w:val="es-ES_tradnl"/>
              </w:rPr>
              <w:t>Indicador:</w:t>
            </w:r>
            <w:r>
              <w:rPr>
                <w:sz w:val="20"/>
                <w:szCs w:val="18"/>
                <w:lang w:val="es-ES_tradnl"/>
              </w:rPr>
              <w:t xml:space="preserve"> </w:t>
            </w:r>
            <w:r w:rsidR="00A935DE">
              <w:rPr>
                <w:sz w:val="20"/>
                <w:szCs w:val="20"/>
                <w:lang w:val="es-ES_tradnl"/>
              </w:rPr>
              <w:t xml:space="preserve">Comunicación </w:t>
            </w:r>
            <w:r w:rsidR="00E47AF2" w:rsidRPr="00E47AF2">
              <w:rPr>
                <w:sz w:val="20"/>
                <w:szCs w:val="20"/>
                <w:lang w:val="es-ES_tradnl"/>
              </w:rPr>
              <w:t xml:space="preserve"> del IGP que envía </w:t>
            </w:r>
            <w:r w:rsidR="00A935DE">
              <w:rPr>
                <w:sz w:val="20"/>
                <w:szCs w:val="20"/>
                <w:lang w:val="es-ES_tradnl"/>
              </w:rPr>
              <w:t>a la OPI de la PCM</w:t>
            </w:r>
            <w:r w:rsidR="00E47AF2" w:rsidRPr="00E47AF2">
              <w:rPr>
                <w:sz w:val="20"/>
                <w:szCs w:val="20"/>
                <w:lang w:val="es-ES_tradnl"/>
              </w:rPr>
              <w:t xml:space="preserve">, el expediente técnico para </w:t>
            </w:r>
            <w:r w:rsidR="00A935DE">
              <w:rPr>
                <w:sz w:val="20"/>
                <w:szCs w:val="20"/>
                <w:lang w:val="es-ES_tradnl"/>
              </w:rPr>
              <w:t>el mejoramiento y ampliación del sistema de alerta ante riesgo v</w:t>
            </w:r>
            <w:r w:rsidR="00E47AF2" w:rsidRPr="00E47AF2">
              <w:rPr>
                <w:sz w:val="20"/>
                <w:szCs w:val="20"/>
                <w:lang w:val="es-ES_tradnl"/>
              </w:rPr>
              <w:t>ulcanológico</w:t>
            </w:r>
          </w:p>
          <w:p w:rsidR="00647463" w:rsidRPr="00647463" w:rsidRDefault="00647463" w:rsidP="00647463">
            <w:pPr>
              <w:pStyle w:val="ListParagraph"/>
              <w:ind w:left="468" w:hanging="425"/>
              <w:rPr>
                <w:color w:val="000000"/>
                <w:sz w:val="20"/>
                <w:szCs w:val="18"/>
                <w:lang w:val="es-ES_tradnl"/>
              </w:rPr>
            </w:pPr>
          </w:p>
          <w:p w:rsidR="00647463" w:rsidRDefault="00647463" w:rsidP="00647463">
            <w:pPr>
              <w:widowControl/>
              <w:adjustRightInd/>
              <w:spacing w:line="240" w:lineRule="auto"/>
              <w:textAlignment w:val="auto"/>
              <w:rPr>
                <w:color w:val="FF0000"/>
                <w:sz w:val="20"/>
                <w:szCs w:val="18"/>
                <w:lang w:val="es-ES_tradnl"/>
              </w:rPr>
            </w:pPr>
            <w:r w:rsidRPr="00647463">
              <w:rPr>
                <w:sz w:val="20"/>
                <w:szCs w:val="18"/>
                <w:lang w:val="es-ES_tradnl"/>
              </w:rPr>
              <w:t>Desarrollo de actividades conjuntas entre INGEMMET e IGP en materia de estudios, proyectos e investigación relacionados con la implementación del observatorio vulcanológico del Sur del Perú.</w:t>
            </w:r>
            <w:r w:rsidRPr="00647463">
              <w:rPr>
                <w:color w:val="FF0000"/>
                <w:sz w:val="20"/>
                <w:szCs w:val="18"/>
                <w:lang w:val="es-ES_tradnl"/>
              </w:rPr>
              <w:t xml:space="preserve"> </w:t>
            </w:r>
          </w:p>
          <w:p w:rsidR="00792994" w:rsidRDefault="00792994" w:rsidP="00647463">
            <w:pPr>
              <w:widowControl/>
              <w:adjustRightInd/>
              <w:spacing w:line="240" w:lineRule="auto"/>
              <w:textAlignment w:val="auto"/>
              <w:rPr>
                <w:color w:val="FF0000"/>
                <w:sz w:val="20"/>
                <w:szCs w:val="18"/>
                <w:lang w:val="es-ES_tradnl"/>
              </w:rPr>
            </w:pPr>
          </w:p>
          <w:p w:rsidR="00792994" w:rsidRPr="00E47AF2" w:rsidRDefault="00792994" w:rsidP="00647463">
            <w:pPr>
              <w:widowControl/>
              <w:adjustRightInd/>
              <w:spacing w:line="240" w:lineRule="auto"/>
              <w:textAlignment w:val="auto"/>
              <w:rPr>
                <w:sz w:val="20"/>
                <w:szCs w:val="20"/>
                <w:lang w:val="es-ES_tradnl"/>
              </w:rPr>
            </w:pPr>
            <w:r w:rsidRPr="00E47AF2">
              <w:rPr>
                <w:i/>
                <w:color w:val="auto"/>
                <w:sz w:val="20"/>
                <w:szCs w:val="18"/>
                <w:lang w:val="es-ES_tradnl"/>
              </w:rPr>
              <w:t>Indicador:</w:t>
            </w:r>
            <w:r w:rsidR="00E47AF2" w:rsidRPr="00E47AF2">
              <w:rPr>
                <w:color w:val="auto"/>
                <w:sz w:val="20"/>
                <w:szCs w:val="20"/>
                <w:lang w:val="es-ES_tradnl"/>
              </w:rPr>
              <w:t xml:space="preserve"> </w:t>
            </w:r>
            <w:r w:rsidR="00E47AF2" w:rsidRPr="00E47AF2">
              <w:rPr>
                <w:sz w:val="20"/>
                <w:szCs w:val="20"/>
                <w:lang w:val="es-ES_tradnl"/>
              </w:rPr>
              <w:t>Convenio marco interinstitucional firmado entre el INGEMMET y el IGP</w:t>
            </w:r>
          </w:p>
          <w:p w:rsidR="00647463" w:rsidRDefault="00647463" w:rsidP="00647463">
            <w:pPr>
              <w:widowControl/>
              <w:adjustRightInd/>
              <w:spacing w:line="240" w:lineRule="auto"/>
              <w:jc w:val="left"/>
              <w:textAlignment w:val="auto"/>
              <w:rPr>
                <w:sz w:val="20"/>
                <w:szCs w:val="20"/>
                <w:lang w:val="es-ES_tradnl"/>
              </w:rPr>
            </w:pPr>
          </w:p>
          <w:p w:rsidR="00647463" w:rsidRPr="00647463" w:rsidRDefault="00647463" w:rsidP="00647463">
            <w:pPr>
              <w:widowControl/>
              <w:adjustRightInd/>
              <w:spacing w:line="240" w:lineRule="auto"/>
              <w:jc w:val="left"/>
              <w:textAlignment w:val="auto"/>
              <w:rPr>
                <w:sz w:val="20"/>
                <w:szCs w:val="20"/>
                <w:lang w:val="es-ES_tradnl"/>
              </w:rPr>
            </w:pPr>
            <w:r w:rsidRPr="00647463">
              <w:rPr>
                <w:sz w:val="20"/>
                <w:szCs w:val="20"/>
                <w:lang w:val="es-ES_tradnl"/>
              </w:rPr>
              <w:t xml:space="preserve">Evaluación de los procesos principales de gestión interna del IMARPE (fortalezas, debilidades) y del ENFEN e identificación de opciones para mejorar </w:t>
            </w:r>
            <w:r w:rsidRPr="00647463">
              <w:rPr>
                <w:sz w:val="20"/>
                <w:szCs w:val="20"/>
                <w:lang w:val="es-ES_tradnl"/>
              </w:rPr>
              <w:lastRenderedPageBreak/>
              <w:t>el desempeño de la entidad en el monitoreo del fenómeno El Niño / La Niña y variabilidad climática interanual y estacional; en coordinación con CENEPRED.</w:t>
            </w:r>
          </w:p>
          <w:p w:rsidR="00647463" w:rsidRDefault="00792994" w:rsidP="00647463">
            <w:pPr>
              <w:ind w:left="468" w:hanging="425"/>
              <w:rPr>
                <w:sz w:val="20"/>
                <w:szCs w:val="20"/>
                <w:lang w:val="es-ES_tradnl"/>
              </w:rPr>
            </w:pPr>
            <w:r w:rsidRPr="00E47AF2">
              <w:rPr>
                <w:i/>
                <w:sz w:val="20"/>
                <w:szCs w:val="20"/>
                <w:lang w:val="es-ES_tradnl"/>
              </w:rPr>
              <w:t>Indicador:</w:t>
            </w:r>
            <w:r>
              <w:rPr>
                <w:sz w:val="20"/>
                <w:szCs w:val="20"/>
                <w:lang w:val="es-ES_tradnl"/>
              </w:rPr>
              <w:t xml:space="preserve"> Evaluación realizada (#) </w:t>
            </w:r>
          </w:p>
          <w:p w:rsidR="00792994" w:rsidRPr="00647463" w:rsidRDefault="00792994" w:rsidP="00647463">
            <w:pPr>
              <w:ind w:left="468" w:hanging="425"/>
              <w:rPr>
                <w:sz w:val="20"/>
                <w:szCs w:val="20"/>
                <w:lang w:val="es-ES_tradnl"/>
              </w:rPr>
            </w:pPr>
          </w:p>
          <w:p w:rsidR="00647463" w:rsidRDefault="00647463" w:rsidP="00647463">
            <w:pPr>
              <w:widowControl/>
              <w:adjustRightInd/>
              <w:spacing w:line="240" w:lineRule="auto"/>
              <w:jc w:val="left"/>
              <w:textAlignment w:val="auto"/>
              <w:rPr>
                <w:sz w:val="20"/>
                <w:szCs w:val="20"/>
                <w:lang w:val="es-ES_tradnl"/>
              </w:rPr>
            </w:pPr>
            <w:r w:rsidRPr="00647463">
              <w:rPr>
                <w:sz w:val="20"/>
                <w:szCs w:val="20"/>
                <w:lang w:val="es-ES_tradnl"/>
              </w:rPr>
              <w:t>Diseño de los procesos, rutinas y/o protocolos necesarios para el análisis y evaluación de la presencia del fenómeno El Niño / La Niña</w:t>
            </w:r>
            <w:r w:rsidRPr="00647463">
              <w:rPr>
                <w:lang w:val="es-ES_tradnl"/>
              </w:rPr>
              <w:t xml:space="preserve"> </w:t>
            </w:r>
            <w:r w:rsidRPr="00647463">
              <w:rPr>
                <w:sz w:val="20"/>
                <w:szCs w:val="20"/>
                <w:lang w:val="es-ES_tradnl"/>
              </w:rPr>
              <w:t>y variabilidad climática interanual y estacional como parte del Sistema de Información Científica – IMARSIS.</w:t>
            </w:r>
          </w:p>
          <w:p w:rsidR="00792994" w:rsidRDefault="00792994" w:rsidP="00647463">
            <w:pPr>
              <w:widowControl/>
              <w:adjustRightInd/>
              <w:spacing w:line="240" w:lineRule="auto"/>
              <w:jc w:val="left"/>
              <w:textAlignment w:val="auto"/>
              <w:rPr>
                <w:sz w:val="20"/>
                <w:szCs w:val="20"/>
                <w:lang w:val="es-ES_tradnl"/>
              </w:rPr>
            </w:pPr>
          </w:p>
          <w:p w:rsidR="00792994" w:rsidRDefault="00792994" w:rsidP="00647463">
            <w:pPr>
              <w:widowControl/>
              <w:adjustRightInd/>
              <w:spacing w:line="240" w:lineRule="auto"/>
              <w:jc w:val="left"/>
              <w:textAlignment w:val="auto"/>
              <w:rPr>
                <w:sz w:val="20"/>
                <w:szCs w:val="20"/>
                <w:lang w:val="es-ES_tradnl"/>
              </w:rPr>
            </w:pPr>
            <w:r w:rsidRPr="00E47AF2">
              <w:rPr>
                <w:i/>
                <w:sz w:val="20"/>
                <w:szCs w:val="20"/>
                <w:lang w:val="es-ES_tradnl"/>
              </w:rPr>
              <w:t>Indicador:</w:t>
            </w:r>
            <w:r>
              <w:rPr>
                <w:sz w:val="20"/>
                <w:szCs w:val="20"/>
                <w:lang w:val="es-ES_tradnl"/>
              </w:rPr>
              <w:t xml:space="preserve"> Documento </w:t>
            </w:r>
            <w:r w:rsidR="00E47AF2">
              <w:rPr>
                <w:sz w:val="20"/>
                <w:szCs w:val="20"/>
                <w:lang w:val="es-ES_tradnl"/>
              </w:rPr>
              <w:t>aprobado</w:t>
            </w:r>
            <w:r>
              <w:rPr>
                <w:sz w:val="20"/>
                <w:szCs w:val="20"/>
                <w:lang w:val="es-ES_tradnl"/>
              </w:rPr>
              <w:t>(#)</w:t>
            </w:r>
          </w:p>
          <w:p w:rsidR="00647463" w:rsidRDefault="00647463" w:rsidP="00647463">
            <w:pPr>
              <w:widowControl/>
              <w:adjustRightInd/>
              <w:spacing w:line="240" w:lineRule="auto"/>
              <w:jc w:val="left"/>
              <w:textAlignment w:val="auto"/>
              <w:rPr>
                <w:sz w:val="20"/>
                <w:szCs w:val="20"/>
                <w:lang w:val="es-ES_tradnl"/>
              </w:rPr>
            </w:pPr>
          </w:p>
          <w:p w:rsidR="00647463" w:rsidRDefault="00647463" w:rsidP="00647463">
            <w:pPr>
              <w:widowControl/>
              <w:adjustRightInd/>
              <w:spacing w:line="240" w:lineRule="auto"/>
              <w:jc w:val="left"/>
              <w:textAlignment w:val="auto"/>
              <w:rPr>
                <w:sz w:val="20"/>
                <w:szCs w:val="20"/>
                <w:lang w:val="es-ES_tradnl"/>
              </w:rPr>
            </w:pPr>
            <w:r w:rsidRPr="00647463">
              <w:rPr>
                <w:sz w:val="20"/>
                <w:szCs w:val="20"/>
                <w:lang w:val="es-ES_tradnl"/>
              </w:rPr>
              <w:t>Actualización de estudio de microzonificación sísmica para Lima Metropolitana</w:t>
            </w:r>
          </w:p>
          <w:p w:rsidR="00E47AF2" w:rsidRPr="00647463" w:rsidRDefault="00E47AF2" w:rsidP="00647463">
            <w:pPr>
              <w:widowControl/>
              <w:adjustRightInd/>
              <w:spacing w:line="240" w:lineRule="auto"/>
              <w:jc w:val="left"/>
              <w:textAlignment w:val="auto"/>
              <w:rPr>
                <w:sz w:val="20"/>
                <w:szCs w:val="20"/>
                <w:lang w:val="es-ES_tradnl"/>
              </w:rPr>
            </w:pPr>
          </w:p>
          <w:p w:rsidR="00647463" w:rsidRPr="00E47AF2" w:rsidRDefault="00792994" w:rsidP="00E47AF2">
            <w:pPr>
              <w:pStyle w:val="NoSpacing"/>
              <w:jc w:val="left"/>
              <w:rPr>
                <w:sz w:val="20"/>
                <w:szCs w:val="20"/>
                <w:lang w:val="es-ES_tradnl"/>
              </w:rPr>
            </w:pPr>
            <w:r w:rsidRPr="00E47AF2">
              <w:rPr>
                <w:i/>
                <w:sz w:val="20"/>
                <w:szCs w:val="20"/>
                <w:lang w:val="es-ES_tradnl"/>
              </w:rPr>
              <w:t>Indicador:</w:t>
            </w:r>
            <w:r w:rsidRPr="00E47AF2">
              <w:rPr>
                <w:sz w:val="20"/>
                <w:szCs w:val="20"/>
                <w:lang w:val="es-ES_tradnl"/>
              </w:rPr>
              <w:t xml:space="preserve"> </w:t>
            </w:r>
            <w:r w:rsidR="00A935DE">
              <w:rPr>
                <w:sz w:val="20"/>
                <w:szCs w:val="20"/>
                <w:lang w:val="es-ES_tradnl"/>
              </w:rPr>
              <w:t xml:space="preserve">Mapa de </w:t>
            </w:r>
            <w:r w:rsidR="00E47AF2" w:rsidRPr="00E47AF2">
              <w:rPr>
                <w:sz w:val="20"/>
                <w:szCs w:val="20"/>
                <w:lang w:val="es-ES_tradnl"/>
              </w:rPr>
              <w:t xml:space="preserve">microzonificación </w:t>
            </w:r>
            <w:r w:rsidRPr="00E47AF2">
              <w:rPr>
                <w:sz w:val="20"/>
                <w:szCs w:val="20"/>
                <w:lang w:val="es-ES_tradnl"/>
              </w:rPr>
              <w:t>(#)</w:t>
            </w:r>
          </w:p>
          <w:p w:rsidR="00792994" w:rsidRPr="00647463" w:rsidRDefault="00792994" w:rsidP="00647463">
            <w:pPr>
              <w:ind w:left="468" w:hanging="468"/>
              <w:rPr>
                <w:sz w:val="20"/>
                <w:szCs w:val="20"/>
                <w:lang w:val="es-ES_tradnl"/>
              </w:rPr>
            </w:pPr>
          </w:p>
          <w:p w:rsidR="00647463" w:rsidRPr="00647463" w:rsidRDefault="00647463" w:rsidP="00647463">
            <w:pPr>
              <w:widowControl/>
              <w:adjustRightInd/>
              <w:spacing w:line="240" w:lineRule="auto"/>
              <w:jc w:val="left"/>
              <w:textAlignment w:val="auto"/>
              <w:rPr>
                <w:sz w:val="20"/>
                <w:szCs w:val="20"/>
                <w:lang w:val="es-ES_tradnl"/>
              </w:rPr>
            </w:pPr>
            <w:r w:rsidRPr="00647463">
              <w:rPr>
                <w:sz w:val="20"/>
                <w:szCs w:val="20"/>
                <w:lang w:val="es-ES_tradnl"/>
              </w:rPr>
              <w:t>Generación de escenarios de riesgo e indicadores que sirvan de insumo al sector vivienda, construcción y saneamiento, poniéndolo a disposición de los Gobiernos Locales para la elaboración de Planes de Acondicionamiento Territorial y Desarrollo Urbano y al CENEPRED para la elaboración de los lineamientos correspondientes.</w:t>
            </w:r>
          </w:p>
          <w:p w:rsidR="00647463" w:rsidRDefault="00647463" w:rsidP="00647463">
            <w:pPr>
              <w:widowControl/>
              <w:adjustRightInd/>
              <w:spacing w:line="240" w:lineRule="auto"/>
              <w:jc w:val="left"/>
              <w:textAlignment w:val="auto"/>
              <w:rPr>
                <w:sz w:val="20"/>
                <w:szCs w:val="20"/>
                <w:lang w:val="es-ES_tradnl"/>
              </w:rPr>
            </w:pPr>
          </w:p>
          <w:p w:rsidR="00647463" w:rsidRPr="00FE6922" w:rsidRDefault="00E47AF2" w:rsidP="00FE6922">
            <w:pPr>
              <w:widowControl/>
              <w:adjustRightInd/>
              <w:spacing w:line="240" w:lineRule="auto"/>
              <w:jc w:val="left"/>
              <w:textAlignment w:val="auto"/>
              <w:rPr>
                <w:sz w:val="20"/>
                <w:szCs w:val="20"/>
                <w:lang w:val="es-ES_tradnl"/>
              </w:rPr>
            </w:pPr>
            <w:r w:rsidRPr="00E47AF2">
              <w:rPr>
                <w:i/>
                <w:sz w:val="20"/>
                <w:szCs w:val="20"/>
                <w:lang w:val="es-ES_tradnl"/>
              </w:rPr>
              <w:t>Indicador:</w:t>
            </w:r>
            <w:r w:rsidRPr="00E47AF2">
              <w:rPr>
                <w:sz w:val="20"/>
                <w:szCs w:val="20"/>
                <w:lang w:val="es-ES_tradnl"/>
              </w:rPr>
              <w:t xml:space="preserve"> </w:t>
            </w:r>
            <w:r w:rsidRPr="00414F16">
              <w:rPr>
                <w:rFonts w:eastAsia="Times New Roman"/>
                <w:sz w:val="20"/>
                <w:szCs w:val="20"/>
                <w:lang w:eastAsia="es-ES"/>
              </w:rPr>
              <w:t>I</w:t>
            </w:r>
            <w:r>
              <w:rPr>
                <w:rFonts w:eastAsia="Times New Roman"/>
                <w:sz w:val="20"/>
                <w:szCs w:val="20"/>
                <w:lang w:eastAsia="es-ES"/>
              </w:rPr>
              <w:t xml:space="preserve">nforme </w:t>
            </w:r>
            <w:r w:rsidRPr="00414F16">
              <w:rPr>
                <w:rFonts w:eastAsia="Times New Roman"/>
                <w:sz w:val="20"/>
                <w:szCs w:val="20"/>
                <w:lang w:eastAsia="es-ES"/>
              </w:rPr>
              <w:t xml:space="preserve">de los estudios de escenarios </w:t>
            </w:r>
            <w:r w:rsidRPr="00414F16">
              <w:rPr>
                <w:sz w:val="20"/>
                <w:szCs w:val="20"/>
              </w:rPr>
              <w:t>de riesgo e indicadores</w:t>
            </w:r>
            <w:r>
              <w:rPr>
                <w:sz w:val="20"/>
                <w:szCs w:val="20"/>
              </w:rPr>
              <w:t xml:space="preserve"> (#)</w:t>
            </w: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647463" w:rsidRDefault="00792994" w:rsidP="00CF63F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E47AF2" w:rsidRDefault="00E47AF2"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E47AF2" w:rsidRDefault="00E47AF2" w:rsidP="00CF63F8">
            <w:pPr>
              <w:widowControl/>
              <w:adjustRightInd/>
              <w:spacing w:before="120" w:after="120" w:line="240" w:lineRule="auto"/>
              <w:jc w:val="center"/>
              <w:textAlignment w:val="auto"/>
              <w:rPr>
                <w:rFonts w:eastAsia="Times New Roman"/>
                <w:color w:val="auto"/>
                <w:sz w:val="22"/>
                <w:lang w:val="es-ES"/>
              </w:rPr>
            </w:pPr>
          </w:p>
          <w:p w:rsidR="00E47AF2" w:rsidRDefault="00E47AF2"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792994" w:rsidRDefault="00792994" w:rsidP="00CF63F8">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E47AF2">
            <w:pPr>
              <w:widowControl/>
              <w:adjustRightInd/>
              <w:spacing w:before="120" w:after="120" w:line="240" w:lineRule="auto"/>
              <w:textAlignment w:val="auto"/>
              <w:rPr>
                <w:rFonts w:eastAsia="Times New Roman"/>
                <w:color w:val="auto"/>
                <w:sz w:val="22"/>
                <w:lang w:val="es-ES"/>
              </w:rPr>
            </w:pPr>
          </w:p>
          <w:p w:rsidR="00E47AF2" w:rsidRDefault="00E47AF2" w:rsidP="00E47AF2">
            <w:pPr>
              <w:widowControl/>
              <w:adjustRightInd/>
              <w:spacing w:before="120" w:after="120" w:line="240" w:lineRule="auto"/>
              <w:textAlignment w:val="auto"/>
              <w:rPr>
                <w:rFonts w:eastAsia="Times New Roman"/>
                <w:color w:val="auto"/>
                <w:sz w:val="22"/>
                <w:lang w:val="es-ES"/>
              </w:rPr>
            </w:pPr>
          </w:p>
          <w:p w:rsidR="00E47AF2" w:rsidRDefault="00E47AF2" w:rsidP="00E47AF2">
            <w:pPr>
              <w:widowControl/>
              <w:adjustRightInd/>
              <w:spacing w:before="120" w:after="120" w:line="240" w:lineRule="auto"/>
              <w:textAlignment w:val="auto"/>
              <w:rPr>
                <w:rFonts w:eastAsia="Times New Roman"/>
                <w:color w:val="auto"/>
                <w:sz w:val="22"/>
                <w:lang w:val="es-ES"/>
              </w:rPr>
            </w:pPr>
          </w:p>
          <w:p w:rsidR="00E47AF2" w:rsidRDefault="00E47AF2" w:rsidP="00E47AF2">
            <w:pPr>
              <w:widowControl/>
              <w:adjustRightInd/>
              <w:spacing w:before="120" w:after="120" w:line="240" w:lineRule="auto"/>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E47AF2" w:rsidRDefault="00E47AF2" w:rsidP="00E47AF2">
            <w:pPr>
              <w:widowControl/>
              <w:adjustRightInd/>
              <w:spacing w:before="120" w:after="120" w:line="240" w:lineRule="auto"/>
              <w:textAlignment w:val="auto"/>
              <w:rPr>
                <w:rFonts w:eastAsia="Times New Roman"/>
                <w:color w:val="auto"/>
                <w:sz w:val="22"/>
                <w:lang w:val="es-ES"/>
              </w:rPr>
            </w:pPr>
          </w:p>
          <w:p w:rsidR="00E47AF2" w:rsidRDefault="00E47AF2" w:rsidP="00E47AF2">
            <w:pPr>
              <w:widowControl/>
              <w:adjustRightInd/>
              <w:spacing w:before="120" w:after="120" w:line="240" w:lineRule="auto"/>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92994" w:rsidRDefault="00792994" w:rsidP="00E47AF2">
            <w:pPr>
              <w:widowControl/>
              <w:adjustRightInd/>
              <w:spacing w:before="120" w:after="120" w:line="240" w:lineRule="auto"/>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FE6922" w:rsidP="00FE6922">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tc>
        <w:tc>
          <w:tcPr>
            <w:tcW w:w="79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647463" w:rsidRPr="00E929DC" w:rsidRDefault="00647463" w:rsidP="002A4A08">
            <w:pPr>
              <w:widowControl/>
              <w:adjustRightInd/>
              <w:spacing w:before="120" w:after="120" w:line="240" w:lineRule="auto"/>
              <w:jc w:val="center"/>
              <w:textAlignment w:val="auto"/>
              <w:rPr>
                <w:rFonts w:eastAsia="Times New Roman"/>
                <w:color w:val="auto"/>
                <w:sz w:val="22"/>
                <w:lang w:val="es-ES"/>
              </w:rPr>
            </w:pPr>
          </w:p>
        </w:tc>
        <w:tc>
          <w:tcPr>
            <w:tcW w:w="8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647463" w:rsidRPr="00E929DC" w:rsidRDefault="00647463"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647463" w:rsidRPr="00E929DC" w:rsidRDefault="00647463"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647463" w:rsidRPr="00E929DC" w:rsidRDefault="00647463"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vAlign w:val="center"/>
          </w:tcPr>
          <w:p w:rsidR="00647463" w:rsidRPr="00E929DC" w:rsidRDefault="00647463"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E47AF2">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E47AF2">
            <w:pPr>
              <w:widowControl/>
              <w:adjustRightInd/>
              <w:spacing w:before="120" w:after="120" w:line="240" w:lineRule="auto"/>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792994" w:rsidRDefault="00792994"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E47AF2">
            <w:pPr>
              <w:widowControl/>
              <w:adjustRightInd/>
              <w:spacing w:before="120" w:after="120" w:line="240" w:lineRule="auto"/>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792994">
            <w:pPr>
              <w:widowControl/>
              <w:adjustRightInd/>
              <w:spacing w:before="120" w:after="120" w:line="240" w:lineRule="auto"/>
              <w:jc w:val="center"/>
              <w:textAlignment w:val="auto"/>
              <w:rPr>
                <w:rFonts w:eastAsia="Times New Roman"/>
                <w:color w:val="auto"/>
                <w:sz w:val="22"/>
                <w:lang w:val="es-ES"/>
              </w:rPr>
            </w:pPr>
          </w:p>
          <w:p w:rsidR="00E47AF2" w:rsidRDefault="00E47AF2" w:rsidP="00FE6922">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tc>
        <w:tc>
          <w:tcPr>
            <w:tcW w:w="3290"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647463" w:rsidRDefault="00612874" w:rsidP="00D37C5A">
            <w:pPr>
              <w:widowControl/>
              <w:adjustRightInd/>
              <w:spacing w:before="120" w:after="120" w:line="240" w:lineRule="auto"/>
              <w:ind w:right="144"/>
              <w:jc w:val="left"/>
              <w:textAlignment w:val="auto"/>
              <w:rPr>
                <w:rFonts w:eastAsia="Arial Unicode MS"/>
                <w:color w:val="auto"/>
                <w:sz w:val="20"/>
                <w:szCs w:val="20"/>
                <w:lang w:val="es-ES"/>
              </w:rPr>
            </w:pPr>
            <w:r>
              <w:rPr>
                <w:rFonts w:eastAsia="Arial Unicode MS"/>
                <w:b/>
                <w:i/>
                <w:color w:val="auto"/>
                <w:sz w:val="20"/>
                <w:szCs w:val="20"/>
                <w:lang w:val="es-ES"/>
              </w:rPr>
              <w:lastRenderedPageBreak/>
              <w:t xml:space="preserve">Medio de verificación: </w:t>
            </w:r>
            <w:r w:rsidRPr="00612874">
              <w:rPr>
                <w:rFonts w:eastAsia="Arial Unicode MS"/>
                <w:color w:val="auto"/>
                <w:sz w:val="20"/>
                <w:szCs w:val="20"/>
                <w:lang w:val="es-ES"/>
              </w:rPr>
              <w:t>Matriz de verificables</w:t>
            </w:r>
          </w:p>
          <w:p w:rsidR="00612874" w:rsidRDefault="00612874" w:rsidP="00D37C5A">
            <w:pPr>
              <w:widowControl/>
              <w:adjustRightInd/>
              <w:spacing w:before="120" w:after="120" w:line="240" w:lineRule="auto"/>
              <w:ind w:right="144"/>
              <w:jc w:val="left"/>
              <w:textAlignment w:val="auto"/>
              <w:rPr>
                <w:rFonts w:eastAsia="Arial Unicode MS"/>
                <w:color w:val="auto"/>
                <w:sz w:val="20"/>
                <w:szCs w:val="20"/>
                <w:lang w:val="es-ES"/>
              </w:rPr>
            </w:pPr>
          </w:p>
          <w:p w:rsidR="00612874" w:rsidRDefault="00612874" w:rsidP="00D37C5A">
            <w:pPr>
              <w:widowControl/>
              <w:adjustRightInd/>
              <w:spacing w:before="120" w:after="120" w:line="240" w:lineRule="auto"/>
              <w:ind w:right="144"/>
              <w:jc w:val="left"/>
              <w:textAlignment w:val="auto"/>
              <w:rPr>
                <w:rFonts w:eastAsia="Arial Unicode MS"/>
                <w:color w:val="auto"/>
                <w:sz w:val="20"/>
                <w:szCs w:val="20"/>
                <w:lang w:val="es-ES"/>
              </w:rPr>
            </w:pPr>
          </w:p>
          <w:p w:rsidR="00612874" w:rsidRDefault="00612874" w:rsidP="00D37C5A">
            <w:pPr>
              <w:widowControl/>
              <w:adjustRightInd/>
              <w:spacing w:before="120" w:after="120" w:line="240" w:lineRule="auto"/>
              <w:ind w:right="144"/>
              <w:jc w:val="left"/>
              <w:textAlignment w:val="auto"/>
              <w:rPr>
                <w:rFonts w:eastAsia="Arial Unicode MS"/>
                <w:color w:val="auto"/>
                <w:sz w:val="20"/>
                <w:szCs w:val="20"/>
                <w:lang w:val="es-ES"/>
              </w:rPr>
            </w:pPr>
          </w:p>
          <w:p w:rsidR="00612874" w:rsidRDefault="00612874" w:rsidP="00D37C5A">
            <w:pPr>
              <w:widowControl/>
              <w:adjustRightInd/>
              <w:spacing w:before="120" w:after="120" w:line="240" w:lineRule="auto"/>
              <w:ind w:right="144"/>
              <w:jc w:val="left"/>
              <w:textAlignment w:val="auto"/>
              <w:rPr>
                <w:rFonts w:eastAsia="Arial Unicode MS"/>
                <w:color w:val="auto"/>
                <w:sz w:val="20"/>
                <w:szCs w:val="20"/>
                <w:lang w:val="es-ES"/>
              </w:rPr>
            </w:pPr>
          </w:p>
          <w:p w:rsidR="00612874" w:rsidRDefault="00612874" w:rsidP="00D37C5A">
            <w:pPr>
              <w:widowControl/>
              <w:adjustRightInd/>
              <w:spacing w:before="120" w:after="120" w:line="240" w:lineRule="auto"/>
              <w:ind w:right="144"/>
              <w:jc w:val="left"/>
              <w:textAlignment w:val="auto"/>
              <w:rPr>
                <w:rFonts w:eastAsia="Arial Unicode MS"/>
                <w:color w:val="auto"/>
                <w:sz w:val="20"/>
                <w:szCs w:val="20"/>
                <w:lang w:val="es-ES"/>
              </w:rPr>
            </w:pPr>
          </w:p>
          <w:p w:rsidR="00612874" w:rsidRDefault="00612874" w:rsidP="00D37C5A">
            <w:pPr>
              <w:widowControl/>
              <w:adjustRightInd/>
              <w:spacing w:before="120" w:after="120" w:line="240" w:lineRule="auto"/>
              <w:ind w:right="144"/>
              <w:jc w:val="left"/>
              <w:textAlignment w:val="auto"/>
              <w:rPr>
                <w:rFonts w:eastAsia="Arial Unicode MS"/>
                <w:color w:val="auto"/>
                <w:sz w:val="20"/>
                <w:szCs w:val="20"/>
                <w:lang w:val="es-ES"/>
              </w:rPr>
            </w:pPr>
          </w:p>
          <w:p w:rsidR="00612874" w:rsidRDefault="00612874" w:rsidP="00D37C5A">
            <w:pPr>
              <w:widowControl/>
              <w:adjustRightInd/>
              <w:spacing w:before="120" w:after="120" w:line="240" w:lineRule="auto"/>
              <w:ind w:right="144"/>
              <w:jc w:val="left"/>
              <w:textAlignment w:val="auto"/>
              <w:rPr>
                <w:rFonts w:eastAsia="Arial Unicode MS"/>
                <w:color w:val="auto"/>
                <w:sz w:val="20"/>
                <w:szCs w:val="20"/>
                <w:lang w:val="es-ES"/>
              </w:rPr>
            </w:pPr>
          </w:p>
          <w:p w:rsidR="00612874" w:rsidRDefault="00612874" w:rsidP="00D37C5A">
            <w:pPr>
              <w:widowControl/>
              <w:adjustRightInd/>
              <w:spacing w:before="120" w:after="120" w:line="240" w:lineRule="auto"/>
              <w:ind w:right="144"/>
              <w:jc w:val="left"/>
              <w:textAlignment w:val="auto"/>
              <w:rPr>
                <w:rFonts w:eastAsia="Arial Unicode MS"/>
                <w:color w:val="auto"/>
                <w:sz w:val="20"/>
                <w:szCs w:val="20"/>
                <w:lang w:val="es-ES"/>
              </w:rPr>
            </w:pPr>
          </w:p>
          <w:p w:rsidR="00612874" w:rsidRPr="006C59C0" w:rsidRDefault="00612874" w:rsidP="00D37C5A">
            <w:pPr>
              <w:widowControl/>
              <w:adjustRightInd/>
              <w:spacing w:before="120" w:after="120" w:line="240" w:lineRule="auto"/>
              <w:ind w:right="144"/>
              <w:jc w:val="left"/>
              <w:textAlignment w:val="auto"/>
              <w:rPr>
                <w:rFonts w:eastAsia="Times New Roman"/>
                <w:b/>
                <w:i/>
                <w:color w:val="auto"/>
                <w:sz w:val="20"/>
                <w:szCs w:val="20"/>
                <w:lang w:val="es-ES"/>
              </w:rPr>
            </w:pPr>
          </w:p>
        </w:tc>
      </w:tr>
      <w:tr w:rsidR="007C7818" w:rsidRPr="00EF7BA5" w:rsidTr="00BF344C">
        <w:trPr>
          <w:trHeight w:val="270"/>
          <w:jc w:val="center"/>
        </w:trPr>
        <w:tc>
          <w:tcPr>
            <w:tcW w:w="41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4D5774" w:rsidRPr="009B7D91" w:rsidRDefault="009B7D91" w:rsidP="007C7818">
            <w:pPr>
              <w:widowControl/>
              <w:adjustRightInd/>
              <w:spacing w:before="120" w:after="120" w:line="240" w:lineRule="auto"/>
              <w:ind w:right="9"/>
              <w:jc w:val="left"/>
              <w:textAlignment w:val="auto"/>
              <w:rPr>
                <w:rFonts w:eastAsia="Times New Roman"/>
                <w:b/>
                <w:color w:val="auto"/>
                <w:sz w:val="22"/>
                <w:lang w:val="es-ES"/>
              </w:rPr>
            </w:pPr>
            <w:r>
              <w:rPr>
                <w:rFonts w:eastAsia="Times New Roman"/>
                <w:b/>
                <w:color w:val="auto"/>
                <w:sz w:val="22"/>
                <w:lang w:val="es-ES"/>
              </w:rPr>
              <w:lastRenderedPageBreak/>
              <w:t xml:space="preserve">Resultado 2: </w:t>
            </w:r>
            <w:r w:rsidR="007C7818">
              <w:rPr>
                <w:rFonts w:eastAsia="Times New Roman"/>
                <w:b/>
                <w:color w:val="auto"/>
                <w:sz w:val="22"/>
                <w:lang w:val="es-ES"/>
              </w:rPr>
              <w:t>Nivel de riesgo de desastres reducido</w:t>
            </w:r>
          </w:p>
          <w:p w:rsidR="00976A9E" w:rsidRDefault="007C7818" w:rsidP="007C7818">
            <w:pPr>
              <w:widowControl/>
              <w:adjustRightInd/>
              <w:spacing w:before="120" w:after="120" w:line="240" w:lineRule="auto"/>
              <w:ind w:right="9"/>
              <w:jc w:val="left"/>
              <w:textAlignment w:val="auto"/>
              <w:rPr>
                <w:rFonts w:eastAsia="Times New Roman"/>
                <w:i/>
                <w:color w:val="auto"/>
                <w:sz w:val="22"/>
                <w:lang w:val="es-ES"/>
              </w:rPr>
            </w:pPr>
            <w:r w:rsidRPr="00280CF3">
              <w:rPr>
                <w:rFonts w:eastAsia="Times New Roman"/>
                <w:i/>
                <w:color w:val="auto"/>
                <w:sz w:val="22"/>
                <w:lang w:val="es-ES"/>
              </w:rPr>
              <w:t>Indicador</w:t>
            </w:r>
            <w:r w:rsidR="009A24BA">
              <w:rPr>
                <w:rFonts w:eastAsia="Times New Roman"/>
                <w:i/>
                <w:color w:val="auto"/>
                <w:sz w:val="22"/>
                <w:lang w:val="es-ES"/>
              </w:rPr>
              <w:t xml:space="preserve"> del IGR</w:t>
            </w:r>
            <w:r w:rsidRPr="00280CF3">
              <w:rPr>
                <w:rFonts w:eastAsia="Times New Roman"/>
                <w:i/>
                <w:color w:val="auto"/>
                <w:sz w:val="22"/>
                <w:lang w:val="es-ES"/>
              </w:rPr>
              <w:t>:</w:t>
            </w:r>
            <w:r>
              <w:rPr>
                <w:rFonts w:eastAsia="Times New Roman"/>
                <w:i/>
                <w:color w:val="auto"/>
                <w:sz w:val="22"/>
                <w:lang w:val="es-ES"/>
              </w:rPr>
              <w:t xml:space="preserve"> </w:t>
            </w:r>
            <w:r w:rsidR="00C20F7B" w:rsidRPr="00C20F7B">
              <w:rPr>
                <w:rFonts w:eastAsia="Times New Roman"/>
                <w:color w:val="auto"/>
                <w:sz w:val="22"/>
                <w:lang w:val="es-ES"/>
              </w:rPr>
              <w:t xml:space="preserve">RR1, RR2 </w:t>
            </w:r>
            <w:r w:rsidR="009B7D91">
              <w:rPr>
                <w:rFonts w:eastAsia="Times New Roman"/>
                <w:color w:val="auto"/>
                <w:sz w:val="22"/>
                <w:lang w:val="es-ES"/>
              </w:rPr>
              <w:t xml:space="preserve">y RR4 </w:t>
            </w:r>
            <w:r w:rsidR="00C20F7B">
              <w:rPr>
                <w:rFonts w:eastAsia="Times New Roman"/>
                <w:color w:val="auto"/>
                <w:sz w:val="22"/>
                <w:lang w:val="es-ES"/>
              </w:rPr>
              <w:t>son</w:t>
            </w:r>
            <w:r w:rsidR="00C20F7B" w:rsidRPr="00645A05">
              <w:rPr>
                <w:rFonts w:eastAsia="Times New Roman"/>
                <w:color w:val="auto"/>
                <w:sz w:val="22"/>
                <w:lang w:val="es-ES"/>
              </w:rPr>
              <w:t xml:space="preserve"> </w:t>
            </w:r>
            <w:r w:rsidR="00C20F7B" w:rsidRPr="003806CB">
              <w:rPr>
                <w:bCs/>
                <w:sz w:val="22"/>
                <w:szCs w:val="22"/>
                <w:lang w:val="es-ES"/>
              </w:rPr>
              <w:t>subíndice</w:t>
            </w:r>
            <w:r w:rsidR="00C20F7B">
              <w:rPr>
                <w:bCs/>
                <w:sz w:val="22"/>
                <w:szCs w:val="22"/>
                <w:lang w:val="es-ES"/>
              </w:rPr>
              <w:t>s</w:t>
            </w:r>
            <w:r w:rsidR="00C20F7B" w:rsidRPr="003806CB">
              <w:rPr>
                <w:bCs/>
                <w:sz w:val="22"/>
                <w:szCs w:val="22"/>
                <w:lang w:val="es-ES"/>
              </w:rPr>
              <w:t xml:space="preserve"> del indicador </w:t>
            </w:r>
            <w:r w:rsidR="009B7D91">
              <w:rPr>
                <w:rFonts w:eastAsia="Times New Roman"/>
                <w:color w:val="auto"/>
                <w:sz w:val="22"/>
                <w:lang w:val="es-ES"/>
              </w:rPr>
              <w:t xml:space="preserve">de reducción </w:t>
            </w:r>
            <w:r w:rsidRPr="00645A05">
              <w:rPr>
                <w:rFonts w:eastAsia="Times New Roman"/>
                <w:color w:val="auto"/>
                <w:sz w:val="22"/>
                <w:lang w:val="es-ES"/>
              </w:rPr>
              <w:t>del riesgo colectivo para medición del IGR:</w:t>
            </w:r>
            <w:r w:rsidRPr="00280CF3">
              <w:rPr>
                <w:rFonts w:eastAsia="Times New Roman"/>
                <w:i/>
                <w:color w:val="auto"/>
                <w:sz w:val="22"/>
                <w:lang w:val="es-ES"/>
              </w:rPr>
              <w:t xml:space="preserve">  </w:t>
            </w:r>
            <m:oMath>
              <m:sSub>
                <m:sSubPr>
                  <m:ctrlPr>
                    <w:rPr>
                      <w:rFonts w:ascii="Cambria Math" w:eastAsia="Times New Roman" w:hAnsi="Cambria Math"/>
                      <w:i/>
                      <w:color w:val="auto"/>
                      <w:sz w:val="22"/>
                      <w:lang w:val="es-ES"/>
                    </w:rPr>
                  </m:ctrlPr>
                </m:sSubPr>
                <m:e>
                  <m:r>
                    <w:rPr>
                      <w:rFonts w:ascii="Cambria Math" w:eastAsia="Times New Roman" w:hAnsi="Cambria Math"/>
                      <w:color w:val="auto"/>
                      <w:sz w:val="22"/>
                      <w:lang w:val="es-ES"/>
                    </w:rPr>
                    <m:t>IGR</m:t>
                  </m:r>
                </m:e>
                <m:sub>
                  <m:r>
                    <w:rPr>
                      <w:rFonts w:ascii="Cambria Math" w:eastAsia="Times New Roman" w:hAnsi="Cambria Math"/>
                      <w:color w:val="auto"/>
                      <w:sz w:val="22"/>
                      <w:lang w:val="es-ES"/>
                    </w:rPr>
                    <m:t>RR</m:t>
                  </m:r>
                </m:sub>
              </m:sSub>
            </m:oMath>
            <w:r>
              <w:rPr>
                <w:rFonts w:eastAsia="Times New Roman"/>
                <w:i/>
                <w:color w:val="auto"/>
                <w:sz w:val="22"/>
                <w:lang w:val="es-ES"/>
              </w:rPr>
              <w:t xml:space="preserve"> </w:t>
            </w:r>
          </w:p>
          <w:p w:rsidR="004D5774" w:rsidRDefault="004D5774" w:rsidP="007C7818">
            <w:pPr>
              <w:widowControl/>
              <w:adjustRightInd/>
              <w:spacing w:before="120" w:after="120" w:line="240" w:lineRule="auto"/>
              <w:ind w:right="9"/>
              <w:jc w:val="left"/>
              <w:textAlignment w:val="auto"/>
              <w:rPr>
                <w:rFonts w:eastAsia="Times New Roman"/>
                <w:i/>
                <w:color w:val="auto"/>
                <w:sz w:val="22"/>
                <w:lang w:val="es-ES"/>
              </w:rPr>
            </w:pPr>
          </w:p>
          <w:p w:rsidR="007C7818" w:rsidRDefault="00EF7BA5" w:rsidP="007C7818">
            <w:pPr>
              <w:widowControl/>
              <w:adjustRightInd/>
              <w:spacing w:before="120" w:after="120" w:line="240" w:lineRule="auto"/>
              <w:ind w:right="9"/>
              <w:jc w:val="left"/>
              <w:textAlignment w:val="auto"/>
              <w:rPr>
                <w:rFonts w:eastAsia="Times New Roman"/>
                <w:color w:val="auto"/>
                <w:sz w:val="22"/>
                <w:lang w:val="es-ES"/>
              </w:rPr>
            </w:pPr>
            <m:oMathPara>
              <m:oMath>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IGR</m:t>
                    </m:r>
                  </m:e>
                  <m:sub>
                    <m:r>
                      <w:rPr>
                        <w:rFonts w:ascii="Cambria Math" w:eastAsia="Arial Unicode MS" w:hAnsi="Cambria Math"/>
                        <w:color w:val="auto"/>
                        <w:sz w:val="22"/>
                        <w:lang w:val="es-ES"/>
                      </w:rPr>
                      <m:t>RR</m:t>
                    </m:r>
                  </m:sub>
                </m:sSub>
                <m:r>
                  <w:rPr>
                    <w:rFonts w:ascii="Cambria Math" w:eastAsia="Arial Unicode MS" w:hAnsi="Cambria Math"/>
                    <w:color w:val="auto"/>
                    <w:sz w:val="22"/>
                    <w:lang w:val="es-ES"/>
                  </w:rPr>
                  <m:t>=</m:t>
                </m:r>
                <m:f>
                  <m:fPr>
                    <m:ctrlPr>
                      <w:rPr>
                        <w:rFonts w:ascii="Cambria Math" w:eastAsia="Arial Unicode MS" w:hAnsi="Cambria Math"/>
                        <w:i/>
                        <w:color w:val="auto"/>
                        <w:sz w:val="22"/>
                        <w:lang w:val="es-ES"/>
                      </w:rPr>
                    </m:ctrlPr>
                  </m:fPr>
                  <m:num>
                    <m:nary>
                      <m:naryPr>
                        <m:chr m:val="∑"/>
                        <m:limLoc m:val="undOvr"/>
                        <m:ctrlPr>
                          <w:rPr>
                            <w:rFonts w:ascii="Cambria Math" w:eastAsia="Arial Unicode MS" w:hAnsi="Cambria Math"/>
                            <w:i/>
                            <w:color w:val="auto"/>
                            <w:sz w:val="22"/>
                            <w:lang w:val="es-ES"/>
                          </w:rPr>
                        </m:ctrlPr>
                      </m:naryPr>
                      <m:sub>
                        <m:r>
                          <w:rPr>
                            <w:rFonts w:ascii="Cambria Math" w:eastAsia="Arial Unicode MS" w:hAnsi="Cambria Math"/>
                            <w:color w:val="auto"/>
                            <w:sz w:val="22"/>
                            <w:lang w:val="es-ES"/>
                          </w:rPr>
                          <m:t>i=1</m:t>
                        </m:r>
                      </m:sub>
                      <m:sup>
                        <m:r>
                          <w:rPr>
                            <w:rFonts w:ascii="Cambria Math" w:eastAsia="Arial Unicode MS" w:hAnsi="Cambria Math"/>
                            <w:color w:val="auto"/>
                            <w:sz w:val="22"/>
                            <w:lang w:val="es-ES"/>
                          </w:rPr>
                          <m:t>N</m:t>
                        </m:r>
                      </m:sup>
                      <m:e>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W</m:t>
                            </m:r>
                          </m:e>
                          <m:sub>
                            <m:r>
                              <w:rPr>
                                <w:rFonts w:ascii="Cambria Math" w:eastAsia="Arial Unicode MS" w:hAnsi="Cambria Math"/>
                                <w:color w:val="auto"/>
                                <w:sz w:val="22"/>
                                <w:lang w:val="es-ES"/>
                              </w:rPr>
                              <m:t xml:space="preserve">i </m:t>
                            </m:r>
                          </m:sub>
                        </m:sSub>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RR</m:t>
                            </m:r>
                          </m:e>
                          <m:sub>
                            <m:r>
                              <w:rPr>
                                <w:rFonts w:ascii="Cambria Math" w:eastAsia="Arial Unicode MS" w:hAnsi="Cambria Math"/>
                                <w:color w:val="auto"/>
                                <w:sz w:val="22"/>
                                <w:lang w:val="es-ES"/>
                              </w:rPr>
                              <m:t>ic</m:t>
                            </m:r>
                          </m:sub>
                        </m:sSub>
                      </m:e>
                    </m:nary>
                  </m:num>
                  <m:den>
                    <m:nary>
                      <m:naryPr>
                        <m:chr m:val="∑"/>
                        <m:limLoc m:val="undOvr"/>
                        <m:ctrlPr>
                          <w:rPr>
                            <w:rFonts w:ascii="Cambria Math" w:eastAsia="Arial Unicode MS" w:hAnsi="Cambria Math"/>
                            <w:i/>
                            <w:color w:val="auto"/>
                            <w:sz w:val="22"/>
                            <w:lang w:val="es-ES"/>
                          </w:rPr>
                        </m:ctrlPr>
                      </m:naryPr>
                      <m:sub>
                        <m:r>
                          <w:rPr>
                            <w:rFonts w:ascii="Cambria Math" w:eastAsia="Arial Unicode MS" w:hAnsi="Cambria Math"/>
                            <w:color w:val="auto"/>
                            <w:sz w:val="22"/>
                            <w:lang w:val="es-ES"/>
                          </w:rPr>
                          <m:t>i=1</m:t>
                        </m:r>
                      </m:sub>
                      <m:sup>
                        <m:r>
                          <w:rPr>
                            <w:rFonts w:ascii="Cambria Math" w:eastAsia="Arial Unicode MS" w:hAnsi="Cambria Math"/>
                            <w:color w:val="auto"/>
                            <w:sz w:val="22"/>
                            <w:lang w:val="es-ES"/>
                          </w:rPr>
                          <m:t>N</m:t>
                        </m:r>
                      </m:sup>
                      <m:e>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W</m:t>
                            </m:r>
                          </m:e>
                          <m:sub>
                            <m:r>
                              <w:rPr>
                                <w:rFonts w:ascii="Cambria Math" w:eastAsia="Arial Unicode MS" w:hAnsi="Cambria Math"/>
                                <w:color w:val="auto"/>
                                <w:sz w:val="22"/>
                                <w:lang w:val="es-ES"/>
                              </w:rPr>
                              <m:t>i</m:t>
                            </m:r>
                          </m:sub>
                        </m:sSub>
                      </m:e>
                    </m:nary>
                  </m:den>
                </m:f>
              </m:oMath>
            </m:oMathPara>
          </w:p>
          <w:p w:rsidR="00E22BEB" w:rsidRDefault="00E22BEB" w:rsidP="007C7818">
            <w:pPr>
              <w:widowControl/>
              <w:adjustRightInd/>
              <w:spacing w:before="120" w:after="120" w:line="240" w:lineRule="auto"/>
              <w:ind w:right="9"/>
              <w:jc w:val="left"/>
              <w:textAlignment w:val="auto"/>
              <w:rPr>
                <w:rFonts w:eastAsia="Times New Roman"/>
                <w:color w:val="auto"/>
                <w:sz w:val="22"/>
                <w:lang w:val="es-ES"/>
              </w:rPr>
            </w:pPr>
          </w:p>
          <w:p w:rsidR="00E22BEB" w:rsidRPr="001073D6" w:rsidRDefault="00C20F7B" w:rsidP="001073D6">
            <w:pPr>
              <w:widowControl/>
              <w:autoSpaceDE w:val="0"/>
              <w:autoSpaceDN w:val="0"/>
              <w:spacing w:line="240" w:lineRule="auto"/>
              <w:jc w:val="left"/>
              <w:textAlignment w:val="auto"/>
              <w:rPr>
                <w:rFonts w:ascii="TimesNewRomanPSMT" w:eastAsia="Calibri" w:hAnsi="TimesNewRomanPSMT" w:cs="TimesNewRomanPSMT"/>
                <w:color w:val="auto"/>
                <w:sz w:val="17"/>
                <w:szCs w:val="17"/>
                <w:lang w:val="es-ES_tradnl"/>
              </w:rPr>
            </w:pPr>
            <w:r w:rsidRPr="002F171B">
              <w:rPr>
                <w:rFonts w:eastAsia="Times New Roman"/>
                <w:color w:val="auto"/>
                <w:sz w:val="22"/>
                <w:lang w:val="es-ES"/>
              </w:rPr>
              <w:t>RR1</w:t>
            </w:r>
            <w:r w:rsidR="002C7D7A" w:rsidRPr="002F171B">
              <w:rPr>
                <w:rFonts w:eastAsia="Times New Roman"/>
                <w:color w:val="auto"/>
                <w:sz w:val="22"/>
                <w:lang w:val="es-ES"/>
              </w:rPr>
              <w:t xml:space="preserve">: </w:t>
            </w:r>
            <w:r w:rsidR="001073D6" w:rsidRPr="001073D6">
              <w:rPr>
                <w:rFonts w:ascii="TimesNewRomanPSMT" w:eastAsia="Calibri" w:hAnsi="TimesNewRomanPSMT" w:cs="TimesNewRomanPSMT"/>
                <w:color w:val="auto"/>
                <w:sz w:val="22"/>
                <w:szCs w:val="22"/>
                <w:lang w:val="es-ES_tradnl"/>
              </w:rPr>
              <w:t>Formulación progresiva de reglamentos de uso del suelo que tienen en cuenta amenazas y riesgos; prescripciones de diseño y construcción obligatorias con base en la microzonificación de amenazas</w:t>
            </w:r>
            <w:r w:rsidR="001073D6" w:rsidRPr="005C6E29" w:rsidDel="001073D6">
              <w:rPr>
                <w:rFonts w:eastAsia="Times New Roman"/>
                <w:color w:val="auto"/>
                <w:sz w:val="22"/>
                <w:lang w:val="es-ES"/>
              </w:rPr>
              <w:t xml:space="preserve"> </w:t>
            </w:r>
            <w:r w:rsidR="000B7C48" w:rsidRPr="005C6E29">
              <w:rPr>
                <w:rFonts w:eastAsia="Times New Roman"/>
                <w:color w:val="auto"/>
                <w:sz w:val="22"/>
                <w:lang w:val="es-ES"/>
              </w:rPr>
              <w:t xml:space="preserve">(nivel </w:t>
            </w:r>
            <w:r w:rsidR="001073D6" w:rsidRPr="005C6E29">
              <w:rPr>
                <w:rFonts w:eastAsia="Times New Roman"/>
                <w:color w:val="auto"/>
                <w:sz w:val="22"/>
                <w:lang w:val="es-ES"/>
              </w:rPr>
              <w:t>3</w:t>
            </w:r>
            <w:r w:rsidR="000B7C48" w:rsidRPr="005C6E29">
              <w:rPr>
                <w:rFonts w:eastAsia="Times New Roman"/>
                <w:color w:val="auto"/>
                <w:sz w:val="22"/>
                <w:lang w:val="es-ES"/>
              </w:rPr>
              <w:t>).</w:t>
            </w:r>
          </w:p>
          <w:p w:rsidR="00C20F7B" w:rsidRPr="002F171B" w:rsidRDefault="00C20F7B" w:rsidP="007C7818">
            <w:pPr>
              <w:widowControl/>
              <w:adjustRightInd/>
              <w:spacing w:before="120" w:after="120" w:line="240" w:lineRule="auto"/>
              <w:ind w:right="9"/>
              <w:jc w:val="left"/>
              <w:textAlignment w:val="auto"/>
              <w:rPr>
                <w:rFonts w:eastAsia="Times New Roman"/>
                <w:color w:val="auto"/>
                <w:sz w:val="22"/>
                <w:lang w:val="es-ES"/>
              </w:rPr>
            </w:pPr>
            <w:r w:rsidRPr="002F171B">
              <w:rPr>
                <w:rFonts w:eastAsia="Times New Roman"/>
                <w:color w:val="auto"/>
                <w:sz w:val="22"/>
                <w:lang w:val="es-ES"/>
              </w:rPr>
              <w:t>RR2</w:t>
            </w:r>
            <w:r w:rsidR="002F171B" w:rsidRPr="002F171B">
              <w:rPr>
                <w:rFonts w:eastAsia="Times New Roman"/>
                <w:color w:val="auto"/>
                <w:sz w:val="22"/>
                <w:lang w:val="es-ES"/>
              </w:rPr>
              <w:t xml:space="preserve">: </w:t>
            </w:r>
            <w:r w:rsidR="000B7C48">
              <w:rPr>
                <w:rFonts w:eastAsia="Times New Roman"/>
                <w:color w:val="auto"/>
                <w:sz w:val="22"/>
                <w:lang w:val="es-ES"/>
              </w:rPr>
              <w:t>Expedición de disposiciones legales de orden nacional y de algunas de nivel local que establecen la obligatoriedad de reforestación, protección ambiental y ordenamiento de cuencas (nivel 2</w:t>
            </w:r>
            <w:r w:rsidR="00FC73CC">
              <w:rPr>
                <w:rFonts w:eastAsia="Times New Roman"/>
                <w:color w:val="auto"/>
                <w:sz w:val="22"/>
                <w:lang w:val="es-ES"/>
              </w:rPr>
              <w:t>)</w:t>
            </w:r>
            <w:r w:rsidR="002F171B">
              <w:rPr>
                <w:rFonts w:eastAsia="Times New Roman"/>
                <w:color w:val="auto"/>
                <w:sz w:val="22"/>
                <w:lang w:val="es-ES"/>
              </w:rPr>
              <w:t>.</w:t>
            </w:r>
          </w:p>
          <w:p w:rsidR="009A24BA" w:rsidRPr="009A24BA" w:rsidRDefault="00C20F7B" w:rsidP="00D619DA">
            <w:pPr>
              <w:widowControl/>
              <w:adjustRightInd/>
              <w:spacing w:before="120" w:after="120" w:line="240" w:lineRule="auto"/>
              <w:ind w:right="9"/>
              <w:jc w:val="left"/>
              <w:textAlignment w:val="auto"/>
              <w:rPr>
                <w:rFonts w:eastAsia="Times New Roman"/>
                <w:b/>
                <w:i/>
                <w:color w:val="auto"/>
                <w:sz w:val="22"/>
                <w:lang w:val="es-ES"/>
              </w:rPr>
            </w:pPr>
            <w:r w:rsidRPr="002F171B">
              <w:rPr>
                <w:rFonts w:eastAsia="Times New Roman"/>
                <w:color w:val="auto"/>
                <w:sz w:val="22"/>
                <w:lang w:val="es-ES"/>
              </w:rPr>
              <w:t>RR4</w:t>
            </w:r>
            <w:r w:rsidR="002F171B">
              <w:rPr>
                <w:rFonts w:eastAsia="Times New Roman"/>
                <w:color w:val="auto"/>
                <w:sz w:val="22"/>
                <w:lang w:val="es-ES"/>
              </w:rPr>
              <w:t xml:space="preserve">: </w:t>
            </w:r>
            <w:r w:rsidR="007E449E">
              <w:rPr>
                <w:rFonts w:eastAsia="Times New Roman"/>
                <w:color w:val="auto"/>
                <w:sz w:val="22"/>
                <w:lang w:val="es-ES"/>
              </w:rPr>
              <w:t xml:space="preserve">Expedición de legislación sobre tratamiento prioritario de áreas urbanas deterioradas y en riesgo para programas de mejoramiento y desarrollo de vivienda de </w:t>
            </w:r>
            <w:r w:rsidR="007E449E">
              <w:rPr>
                <w:rFonts w:eastAsia="Times New Roman"/>
                <w:color w:val="auto"/>
                <w:sz w:val="22"/>
                <w:lang w:val="es-ES"/>
              </w:rPr>
              <w:lastRenderedPageBreak/>
              <w:t>interés social</w:t>
            </w:r>
            <w:r w:rsidR="00FC73CC">
              <w:rPr>
                <w:rFonts w:eastAsia="Times New Roman"/>
                <w:color w:val="auto"/>
                <w:sz w:val="22"/>
                <w:lang w:val="es-ES"/>
              </w:rPr>
              <w:t xml:space="preserve"> (nivel 2)</w:t>
            </w: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D5774" w:rsidRDefault="004D5774" w:rsidP="00976A9E">
            <w:pPr>
              <w:widowControl/>
              <w:adjustRightInd/>
              <w:spacing w:before="120" w:after="120" w:line="240" w:lineRule="auto"/>
              <w:jc w:val="center"/>
              <w:textAlignment w:val="auto"/>
              <w:rPr>
                <w:rFonts w:eastAsia="Times New Roman"/>
                <w:color w:val="auto"/>
                <w:sz w:val="22"/>
                <w:lang w:val="es-ES"/>
              </w:rPr>
            </w:pPr>
          </w:p>
          <w:p w:rsidR="007E449E" w:rsidRDefault="007E449E" w:rsidP="007E449E">
            <w:pPr>
              <w:widowControl/>
              <w:adjustRightInd/>
              <w:spacing w:before="120" w:after="120" w:line="240" w:lineRule="auto"/>
              <w:textAlignment w:val="auto"/>
              <w:rPr>
                <w:rFonts w:eastAsia="Times New Roman"/>
                <w:color w:val="auto"/>
                <w:sz w:val="22"/>
                <w:lang w:val="es-ES"/>
              </w:rPr>
            </w:pPr>
          </w:p>
          <w:p w:rsidR="007E449E" w:rsidRDefault="007E449E" w:rsidP="007E449E">
            <w:pPr>
              <w:widowControl/>
              <w:adjustRightInd/>
              <w:spacing w:before="120" w:after="120" w:line="240" w:lineRule="auto"/>
              <w:textAlignment w:val="auto"/>
              <w:rPr>
                <w:rFonts w:eastAsia="Times New Roman"/>
                <w:color w:val="auto"/>
                <w:sz w:val="22"/>
                <w:lang w:val="es-ES"/>
              </w:rPr>
            </w:pPr>
          </w:p>
          <w:p w:rsidR="007E449E" w:rsidRDefault="007E449E" w:rsidP="007E449E">
            <w:pPr>
              <w:widowControl/>
              <w:adjustRightInd/>
              <w:spacing w:before="120" w:after="120" w:line="240" w:lineRule="auto"/>
              <w:textAlignment w:val="auto"/>
              <w:rPr>
                <w:rFonts w:eastAsia="Times New Roman"/>
                <w:color w:val="auto"/>
                <w:sz w:val="22"/>
                <w:lang w:val="es-ES"/>
              </w:rPr>
            </w:pPr>
          </w:p>
          <w:p w:rsidR="007E449E" w:rsidRDefault="007E449E" w:rsidP="007E449E">
            <w:pPr>
              <w:widowControl/>
              <w:adjustRightInd/>
              <w:spacing w:before="120" w:after="120" w:line="240" w:lineRule="auto"/>
              <w:textAlignment w:val="auto"/>
              <w:rPr>
                <w:rFonts w:eastAsia="Times New Roman"/>
                <w:color w:val="auto"/>
                <w:sz w:val="22"/>
                <w:lang w:val="es-ES"/>
              </w:rPr>
            </w:pPr>
          </w:p>
          <w:p w:rsidR="00D549D1" w:rsidRDefault="00D549D1" w:rsidP="007E449E">
            <w:pPr>
              <w:widowControl/>
              <w:adjustRightInd/>
              <w:spacing w:before="120" w:after="120" w:line="240" w:lineRule="auto"/>
              <w:textAlignment w:val="auto"/>
              <w:rPr>
                <w:rFonts w:eastAsia="Times New Roman"/>
                <w:color w:val="auto"/>
                <w:sz w:val="22"/>
                <w:lang w:val="es-ES"/>
              </w:rPr>
            </w:pPr>
          </w:p>
          <w:p w:rsidR="007E449E" w:rsidRDefault="00A05901" w:rsidP="00976A9E">
            <w:pPr>
              <w:widowControl/>
              <w:adjustRightInd/>
              <w:spacing w:before="120" w:after="120" w:line="240" w:lineRule="auto"/>
              <w:jc w:val="center"/>
              <w:textAlignment w:val="auto"/>
              <w:rPr>
                <w:rFonts w:eastAsia="Times New Roman"/>
                <w:color w:val="auto"/>
                <w:sz w:val="22"/>
                <w:lang w:val="es-ES"/>
              </w:rPr>
            </w:pPr>
            <w:r w:rsidRPr="003F4ECF">
              <w:rPr>
                <w:rFonts w:eastAsia="Times New Roman"/>
                <w:color w:val="auto"/>
                <w:sz w:val="22"/>
                <w:lang w:val="es-ES"/>
              </w:rPr>
              <w:t>30.79</w:t>
            </w:r>
          </w:p>
          <w:p w:rsidR="005C6E29" w:rsidRDefault="005C6E29" w:rsidP="00976A9E">
            <w:pPr>
              <w:widowControl/>
              <w:adjustRightInd/>
              <w:spacing w:before="120" w:after="120" w:line="240" w:lineRule="auto"/>
              <w:jc w:val="center"/>
              <w:textAlignment w:val="auto"/>
              <w:rPr>
                <w:rFonts w:eastAsia="Times New Roman"/>
                <w:color w:val="auto"/>
                <w:sz w:val="22"/>
                <w:lang w:val="es-ES"/>
              </w:rPr>
            </w:pPr>
          </w:p>
          <w:p w:rsidR="005C6E29" w:rsidRDefault="005C6E29" w:rsidP="00976A9E">
            <w:pPr>
              <w:widowControl/>
              <w:adjustRightInd/>
              <w:spacing w:before="120" w:after="120" w:line="240" w:lineRule="auto"/>
              <w:jc w:val="center"/>
              <w:textAlignment w:val="auto"/>
              <w:rPr>
                <w:rFonts w:eastAsia="Times New Roman"/>
                <w:color w:val="auto"/>
                <w:sz w:val="22"/>
                <w:lang w:val="es-ES"/>
              </w:rPr>
            </w:pPr>
          </w:p>
          <w:p w:rsidR="00FC73CC" w:rsidRDefault="00FC73CC" w:rsidP="00FC73CC">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p>
          <w:p w:rsidR="005C6E29" w:rsidRDefault="005C6E29" w:rsidP="007E449E">
            <w:pPr>
              <w:widowControl/>
              <w:adjustRightInd/>
              <w:spacing w:before="120" w:after="120" w:line="240" w:lineRule="auto"/>
              <w:textAlignment w:val="auto"/>
              <w:rPr>
                <w:rFonts w:eastAsia="Times New Roman"/>
                <w:color w:val="auto"/>
                <w:sz w:val="22"/>
                <w:lang w:val="es-ES"/>
              </w:rPr>
            </w:pPr>
          </w:p>
          <w:p w:rsidR="007E449E" w:rsidRDefault="007E449E" w:rsidP="00976A9E">
            <w:pPr>
              <w:widowControl/>
              <w:adjustRightInd/>
              <w:spacing w:before="120" w:after="120" w:line="240" w:lineRule="auto"/>
              <w:jc w:val="center"/>
              <w:textAlignment w:val="auto"/>
              <w:rPr>
                <w:rFonts w:eastAsia="Times New Roman"/>
                <w:color w:val="auto"/>
                <w:sz w:val="22"/>
                <w:lang w:val="es-ES"/>
              </w:rPr>
            </w:pPr>
          </w:p>
          <w:p w:rsidR="00E22BEB" w:rsidRDefault="009B7D91" w:rsidP="00976A9E">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E449E" w:rsidRDefault="007E449E" w:rsidP="00976A9E">
            <w:pPr>
              <w:widowControl/>
              <w:adjustRightInd/>
              <w:spacing w:before="120" w:after="120" w:line="240" w:lineRule="auto"/>
              <w:jc w:val="center"/>
              <w:textAlignment w:val="auto"/>
              <w:rPr>
                <w:rFonts w:eastAsia="Times New Roman"/>
                <w:color w:val="auto"/>
                <w:sz w:val="22"/>
                <w:lang w:val="es-ES"/>
              </w:rPr>
            </w:pPr>
          </w:p>
          <w:p w:rsidR="007E449E" w:rsidRDefault="007E449E" w:rsidP="00976A9E">
            <w:pPr>
              <w:widowControl/>
              <w:adjustRightInd/>
              <w:spacing w:before="120" w:after="120" w:line="240" w:lineRule="auto"/>
              <w:jc w:val="center"/>
              <w:textAlignment w:val="auto"/>
              <w:rPr>
                <w:rFonts w:eastAsia="Times New Roman"/>
                <w:color w:val="auto"/>
                <w:sz w:val="22"/>
                <w:lang w:val="es-ES"/>
              </w:rPr>
            </w:pPr>
          </w:p>
          <w:p w:rsidR="006C6D09" w:rsidRDefault="006C6D09" w:rsidP="00976A9E">
            <w:pPr>
              <w:widowControl/>
              <w:adjustRightInd/>
              <w:spacing w:before="120" w:after="120" w:line="240" w:lineRule="auto"/>
              <w:jc w:val="center"/>
              <w:textAlignment w:val="auto"/>
              <w:rPr>
                <w:rFonts w:eastAsia="Times New Roman"/>
                <w:color w:val="auto"/>
                <w:sz w:val="22"/>
                <w:lang w:val="es-ES"/>
              </w:rPr>
            </w:pPr>
          </w:p>
          <w:p w:rsidR="00E22BEB" w:rsidRDefault="00AD1F1D" w:rsidP="00976A9E">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p>
          <w:p w:rsidR="009A24BA" w:rsidRDefault="009A24BA" w:rsidP="00D619DA">
            <w:pPr>
              <w:widowControl/>
              <w:adjustRightInd/>
              <w:spacing w:before="120" w:after="120" w:line="240" w:lineRule="auto"/>
              <w:textAlignment w:val="auto"/>
              <w:rPr>
                <w:rFonts w:eastAsia="Times New Roman"/>
                <w:color w:val="auto"/>
                <w:sz w:val="22"/>
                <w:lang w:val="es-ES"/>
              </w:rPr>
            </w:pPr>
          </w:p>
        </w:tc>
        <w:tc>
          <w:tcPr>
            <w:tcW w:w="79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C7818" w:rsidRPr="00E929DC" w:rsidRDefault="007C7818" w:rsidP="002A4A08">
            <w:pPr>
              <w:widowControl/>
              <w:adjustRightInd/>
              <w:spacing w:before="120" w:after="120" w:line="240" w:lineRule="auto"/>
              <w:jc w:val="center"/>
              <w:textAlignment w:val="auto"/>
              <w:rPr>
                <w:rFonts w:eastAsia="Times New Roman"/>
                <w:color w:val="auto"/>
                <w:sz w:val="22"/>
                <w:lang w:val="es-ES"/>
              </w:rPr>
            </w:pPr>
          </w:p>
        </w:tc>
        <w:tc>
          <w:tcPr>
            <w:tcW w:w="8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C7818" w:rsidRPr="00E929DC" w:rsidRDefault="007C7818"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C7818" w:rsidRPr="00E929DC" w:rsidRDefault="007C7818"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C7818" w:rsidRPr="00E929DC" w:rsidRDefault="007C7818"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vAlign w:val="center"/>
          </w:tcPr>
          <w:p w:rsidR="007C7818" w:rsidRPr="00E929DC" w:rsidRDefault="007C7818"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4D5774" w:rsidRDefault="004D5774" w:rsidP="002A4A08">
            <w:pPr>
              <w:widowControl/>
              <w:adjustRightInd/>
              <w:spacing w:before="120" w:after="120" w:line="240" w:lineRule="auto"/>
              <w:jc w:val="center"/>
              <w:textAlignment w:val="auto"/>
              <w:rPr>
                <w:rFonts w:eastAsia="Times New Roman"/>
                <w:color w:val="auto"/>
                <w:sz w:val="22"/>
                <w:lang w:val="es-ES"/>
              </w:rPr>
            </w:pPr>
          </w:p>
          <w:p w:rsidR="007E449E" w:rsidRDefault="007E449E" w:rsidP="002A4A08">
            <w:pPr>
              <w:widowControl/>
              <w:adjustRightInd/>
              <w:spacing w:before="120" w:after="120" w:line="240" w:lineRule="auto"/>
              <w:jc w:val="center"/>
              <w:textAlignment w:val="auto"/>
              <w:rPr>
                <w:rFonts w:eastAsia="Times New Roman"/>
                <w:color w:val="auto"/>
                <w:sz w:val="22"/>
                <w:lang w:val="es-ES"/>
              </w:rPr>
            </w:pPr>
          </w:p>
          <w:p w:rsidR="007E449E" w:rsidRDefault="007E449E" w:rsidP="002A4A08">
            <w:pPr>
              <w:widowControl/>
              <w:adjustRightInd/>
              <w:spacing w:before="120" w:after="120" w:line="240" w:lineRule="auto"/>
              <w:jc w:val="center"/>
              <w:textAlignment w:val="auto"/>
              <w:rPr>
                <w:rFonts w:eastAsia="Times New Roman"/>
                <w:color w:val="auto"/>
                <w:sz w:val="22"/>
                <w:highlight w:val="yellow"/>
                <w:lang w:val="es-ES"/>
              </w:rPr>
            </w:pPr>
          </w:p>
          <w:p w:rsidR="007E449E" w:rsidRDefault="007E449E" w:rsidP="002A4A08">
            <w:pPr>
              <w:widowControl/>
              <w:adjustRightInd/>
              <w:spacing w:before="120" w:after="120" w:line="240" w:lineRule="auto"/>
              <w:jc w:val="center"/>
              <w:textAlignment w:val="auto"/>
              <w:rPr>
                <w:rFonts w:eastAsia="Times New Roman"/>
                <w:color w:val="auto"/>
                <w:sz w:val="22"/>
                <w:highlight w:val="yellow"/>
                <w:lang w:val="es-ES"/>
              </w:rPr>
            </w:pPr>
          </w:p>
          <w:p w:rsidR="007E449E" w:rsidRDefault="007E449E" w:rsidP="002A4A08">
            <w:pPr>
              <w:widowControl/>
              <w:adjustRightInd/>
              <w:spacing w:before="120" w:after="120" w:line="240" w:lineRule="auto"/>
              <w:jc w:val="center"/>
              <w:textAlignment w:val="auto"/>
              <w:rPr>
                <w:rFonts w:eastAsia="Times New Roman"/>
                <w:color w:val="auto"/>
                <w:sz w:val="22"/>
                <w:highlight w:val="yellow"/>
                <w:lang w:val="es-ES"/>
              </w:rPr>
            </w:pPr>
          </w:p>
          <w:p w:rsidR="00802240" w:rsidRDefault="00802240" w:rsidP="002A4A08">
            <w:pPr>
              <w:widowControl/>
              <w:adjustRightInd/>
              <w:spacing w:before="120" w:after="120" w:line="240" w:lineRule="auto"/>
              <w:jc w:val="center"/>
              <w:textAlignment w:val="auto"/>
              <w:rPr>
                <w:rFonts w:eastAsia="Times New Roman"/>
                <w:color w:val="auto"/>
                <w:sz w:val="22"/>
                <w:highlight w:val="yellow"/>
                <w:lang w:val="es-ES"/>
              </w:rPr>
            </w:pPr>
          </w:p>
          <w:p w:rsidR="005C6E29" w:rsidRDefault="00A76F58" w:rsidP="00D549D1">
            <w:pPr>
              <w:widowControl/>
              <w:adjustRightInd/>
              <w:spacing w:before="120" w:after="120" w:line="240" w:lineRule="auto"/>
              <w:textAlignment w:val="auto"/>
              <w:rPr>
                <w:rFonts w:eastAsia="Times New Roman"/>
                <w:color w:val="auto"/>
                <w:sz w:val="22"/>
                <w:lang w:val="es-ES"/>
              </w:rPr>
            </w:pPr>
            <w:r w:rsidRPr="00D549D1">
              <w:rPr>
                <w:rFonts w:eastAsia="Times New Roman"/>
                <w:color w:val="auto"/>
                <w:sz w:val="22"/>
                <w:lang w:val="es-ES"/>
              </w:rPr>
              <w:t>39.57</w:t>
            </w:r>
          </w:p>
          <w:p w:rsidR="005C6E29" w:rsidRDefault="005C6E29" w:rsidP="002A4A08">
            <w:pPr>
              <w:widowControl/>
              <w:adjustRightInd/>
              <w:spacing w:before="120" w:after="120" w:line="240" w:lineRule="auto"/>
              <w:jc w:val="center"/>
              <w:textAlignment w:val="auto"/>
              <w:rPr>
                <w:rFonts w:eastAsia="Times New Roman"/>
                <w:color w:val="auto"/>
                <w:sz w:val="22"/>
                <w:lang w:val="es-ES"/>
              </w:rPr>
            </w:pPr>
          </w:p>
          <w:p w:rsidR="005C6E29" w:rsidRDefault="00015092" w:rsidP="00A05901">
            <w:pPr>
              <w:widowControl/>
              <w:adjustRightInd/>
              <w:spacing w:before="120" w:after="120" w:line="240" w:lineRule="auto"/>
              <w:jc w:val="center"/>
              <w:textAlignment w:val="auto"/>
              <w:rPr>
                <w:rFonts w:eastAsia="Times New Roman"/>
                <w:color w:val="auto"/>
                <w:sz w:val="22"/>
                <w:lang w:val="es-ES"/>
              </w:rPr>
            </w:pPr>
            <w:r w:rsidRPr="00A13F84">
              <w:rPr>
                <w:rFonts w:eastAsia="Times New Roman"/>
                <w:color w:val="auto"/>
                <w:sz w:val="22"/>
                <w:lang w:val="es-ES"/>
              </w:rPr>
              <w:t>3</w:t>
            </w:r>
          </w:p>
          <w:p w:rsidR="005C6E29" w:rsidRDefault="005C6E29" w:rsidP="005C6E29">
            <w:pPr>
              <w:widowControl/>
              <w:adjustRightInd/>
              <w:spacing w:before="120" w:after="120" w:line="240" w:lineRule="auto"/>
              <w:jc w:val="center"/>
              <w:textAlignment w:val="auto"/>
              <w:rPr>
                <w:rFonts w:eastAsia="Times New Roman"/>
                <w:color w:val="auto"/>
                <w:sz w:val="22"/>
                <w:lang w:val="es-ES"/>
              </w:rPr>
            </w:pPr>
          </w:p>
          <w:p w:rsidR="007E449E" w:rsidRDefault="007E449E" w:rsidP="002A4A08">
            <w:pPr>
              <w:widowControl/>
              <w:adjustRightInd/>
              <w:spacing w:before="120" w:after="120" w:line="240" w:lineRule="auto"/>
              <w:jc w:val="center"/>
              <w:textAlignment w:val="auto"/>
              <w:rPr>
                <w:rFonts w:eastAsia="Times New Roman"/>
                <w:color w:val="auto"/>
                <w:sz w:val="22"/>
                <w:lang w:val="es-ES"/>
              </w:rPr>
            </w:pPr>
          </w:p>
          <w:p w:rsidR="00FC73CC" w:rsidRDefault="000B7C48" w:rsidP="00FC73CC">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p>
          <w:p w:rsidR="007E449E" w:rsidRDefault="007E449E" w:rsidP="002A4A08">
            <w:pPr>
              <w:widowControl/>
              <w:adjustRightInd/>
              <w:spacing w:before="120" w:after="120" w:line="240" w:lineRule="auto"/>
              <w:jc w:val="center"/>
              <w:textAlignment w:val="auto"/>
              <w:rPr>
                <w:rFonts w:eastAsia="Times New Roman"/>
                <w:color w:val="auto"/>
                <w:sz w:val="22"/>
                <w:lang w:val="es-ES"/>
              </w:rPr>
            </w:pPr>
          </w:p>
          <w:p w:rsidR="007E449E" w:rsidRDefault="007E449E" w:rsidP="002A4A08">
            <w:pPr>
              <w:widowControl/>
              <w:adjustRightInd/>
              <w:spacing w:before="120" w:after="120" w:line="240" w:lineRule="auto"/>
              <w:jc w:val="center"/>
              <w:textAlignment w:val="auto"/>
              <w:rPr>
                <w:rFonts w:eastAsia="Times New Roman"/>
                <w:color w:val="auto"/>
                <w:sz w:val="22"/>
                <w:lang w:val="es-ES"/>
              </w:rPr>
            </w:pPr>
          </w:p>
          <w:p w:rsidR="007E449E" w:rsidRDefault="007E449E" w:rsidP="002A4A08">
            <w:pPr>
              <w:widowControl/>
              <w:adjustRightInd/>
              <w:spacing w:before="120" w:after="120" w:line="240" w:lineRule="auto"/>
              <w:jc w:val="center"/>
              <w:textAlignment w:val="auto"/>
              <w:rPr>
                <w:rFonts w:eastAsia="Times New Roman"/>
                <w:color w:val="auto"/>
                <w:sz w:val="22"/>
                <w:lang w:val="es-ES"/>
              </w:rPr>
            </w:pPr>
          </w:p>
          <w:p w:rsidR="009A24BA" w:rsidRDefault="004E4C5C" w:rsidP="00D619DA">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p>
        </w:tc>
        <w:tc>
          <w:tcPr>
            <w:tcW w:w="3290"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453D3" w:rsidRPr="004E4C5C" w:rsidRDefault="004453D3" w:rsidP="004453D3">
            <w:pPr>
              <w:widowControl/>
              <w:adjustRightInd/>
              <w:spacing w:before="120" w:after="120" w:line="240" w:lineRule="auto"/>
              <w:ind w:right="144"/>
              <w:jc w:val="left"/>
              <w:textAlignment w:val="auto"/>
              <w:rPr>
                <w:rFonts w:eastAsia="Arial Unicode MS"/>
                <w:color w:val="auto"/>
                <w:sz w:val="20"/>
                <w:szCs w:val="20"/>
                <w:lang w:val="es-ES"/>
              </w:rPr>
            </w:pPr>
            <w:r w:rsidRPr="004E4C5C">
              <w:rPr>
                <w:rFonts w:eastAsia="Times New Roman"/>
                <w:b/>
                <w:i/>
                <w:color w:val="auto"/>
                <w:sz w:val="20"/>
                <w:szCs w:val="20"/>
                <w:lang w:val="es-ES"/>
              </w:rPr>
              <w:t>Observaciones:</w:t>
            </w:r>
            <w:r w:rsidRPr="004E4C5C">
              <w:rPr>
                <w:rFonts w:eastAsia="Times New Roman"/>
                <w:color w:val="auto"/>
                <w:sz w:val="20"/>
                <w:szCs w:val="20"/>
                <w:lang w:val="es-ES"/>
              </w:rPr>
              <w:t xml:space="preserve"> El</w:t>
            </w:r>
            <w:r w:rsidRPr="004E4C5C">
              <w:rPr>
                <w:rFonts w:eastAsia="Times New Roman"/>
                <w:color w:val="FF0000"/>
                <w:sz w:val="20"/>
                <w:szCs w:val="20"/>
                <w:lang w:val="es-ES"/>
              </w:rPr>
              <w:t xml:space="preserve"> </w:t>
            </w:r>
            <m:oMath>
              <m:sSub>
                <m:sSubPr>
                  <m:ctrlPr>
                    <w:rPr>
                      <w:rFonts w:ascii="Cambria Math" w:eastAsia="Times New Roman" w:hAnsi="Cambria Math"/>
                      <w:i/>
                      <w:color w:val="auto"/>
                      <w:sz w:val="20"/>
                      <w:szCs w:val="20"/>
                      <w:lang w:val="es-ES"/>
                    </w:rPr>
                  </m:ctrlPr>
                </m:sSubPr>
                <m:e>
                  <m:r>
                    <w:rPr>
                      <w:rFonts w:ascii="Cambria Math" w:eastAsia="Times New Roman" w:hAnsi="Cambria Math"/>
                      <w:color w:val="auto"/>
                      <w:sz w:val="20"/>
                      <w:szCs w:val="20"/>
                      <w:lang w:val="es-ES"/>
                    </w:rPr>
                    <m:t>IGR</m:t>
                  </m:r>
                </m:e>
                <m:sub>
                  <m:r>
                    <w:rPr>
                      <w:rFonts w:ascii="Cambria Math" w:eastAsia="Times New Roman" w:hAnsi="Cambria Math"/>
                      <w:color w:val="auto"/>
                      <w:sz w:val="20"/>
                      <w:szCs w:val="20"/>
                      <w:lang w:val="es-ES"/>
                    </w:rPr>
                    <m:t>RR</m:t>
                  </m:r>
                </m:sub>
              </m:sSub>
            </m:oMath>
            <w:r w:rsidRPr="004E4C5C">
              <w:rPr>
                <w:rFonts w:eastAsia="Times New Roman"/>
                <w:color w:val="auto"/>
                <w:sz w:val="20"/>
                <w:szCs w:val="20"/>
                <w:lang w:val="es-ES"/>
              </w:rPr>
              <w:t xml:space="preserve"> es un componente del  </w:t>
            </w:r>
            <w:r w:rsidRPr="004E4C5C">
              <w:rPr>
                <w:rFonts w:eastAsia="Times New Roman"/>
                <w:i/>
                <w:color w:val="auto"/>
                <w:sz w:val="20"/>
                <w:szCs w:val="20"/>
                <w:lang w:val="es-ES"/>
              </w:rPr>
              <w:t>IGR</w:t>
            </w:r>
            <w:r w:rsidRPr="004E4C5C">
              <w:rPr>
                <w:rFonts w:eastAsia="Times New Roman"/>
                <w:color w:val="auto"/>
                <w:sz w:val="20"/>
                <w:szCs w:val="20"/>
                <w:lang w:val="es-ES"/>
              </w:rPr>
              <w:t xml:space="preserve">. </w:t>
            </w:r>
            <w:r w:rsidRPr="004E4C5C">
              <w:rPr>
                <w:rFonts w:eastAsia="Arial Unicode MS"/>
                <w:color w:val="auto"/>
                <w:sz w:val="20"/>
                <w:szCs w:val="20"/>
                <w:lang w:val="es-ES"/>
              </w:rPr>
              <w:t>Este índice está compuesto por seis aspectos (</w:t>
            </w:r>
            <w:r w:rsidRPr="004E4C5C">
              <w:rPr>
                <w:rFonts w:eastAsia="Arial Unicode MS"/>
                <w:i/>
                <w:color w:val="auto"/>
                <w:sz w:val="20"/>
                <w:szCs w:val="20"/>
                <w:lang w:val="es-ES"/>
              </w:rPr>
              <w:t>I</w:t>
            </w:r>
            <w:r w:rsidRPr="004E4C5C">
              <w:rPr>
                <w:rFonts w:eastAsia="Arial Unicode MS"/>
                <w:color w:val="auto"/>
                <w:sz w:val="20"/>
                <w:szCs w:val="20"/>
                <w:lang w:val="es-ES"/>
              </w:rPr>
              <w:t>) y cada aspecto tiene un peso asociado de acuerdo a su importancia (</w:t>
            </w:r>
            <w:r w:rsidRPr="004E4C5C">
              <w:rPr>
                <w:rFonts w:eastAsia="Arial Unicode MS"/>
                <w:i/>
                <w:color w:val="auto"/>
                <w:sz w:val="20"/>
                <w:szCs w:val="20"/>
                <w:lang w:val="es-ES"/>
              </w:rPr>
              <w:t>w</w:t>
            </w:r>
            <w:r w:rsidRPr="004E4C5C">
              <w:rPr>
                <w:rFonts w:eastAsia="Arial Unicode MS"/>
                <w:color w:val="auto"/>
                <w:sz w:val="20"/>
                <w:szCs w:val="20"/>
                <w:lang w:val="es-ES"/>
              </w:rPr>
              <w:t>):</w:t>
            </w:r>
          </w:p>
          <w:p w:rsidR="004453D3" w:rsidRPr="004E4C5C" w:rsidRDefault="001C1D35" w:rsidP="00976A9E">
            <w:pPr>
              <w:pStyle w:val="ListParagraph"/>
              <w:numPr>
                <w:ilvl w:val="0"/>
                <w:numId w:val="4"/>
              </w:numPr>
              <w:spacing w:before="120" w:after="120"/>
              <w:ind w:left="168" w:right="144" w:hanging="168"/>
              <w:rPr>
                <w:rFonts w:eastAsia="Arial Unicode MS"/>
                <w:sz w:val="20"/>
                <w:szCs w:val="20"/>
                <w:lang w:val="es-ES"/>
              </w:rPr>
            </w:pPr>
            <w:r w:rsidRPr="004E4C5C">
              <w:rPr>
                <w:rFonts w:eastAsia="Arial Unicode MS"/>
                <w:sz w:val="20"/>
                <w:szCs w:val="20"/>
                <w:lang w:val="es-ES"/>
              </w:rPr>
              <w:t>Integración</w:t>
            </w:r>
            <w:r w:rsidR="00976A9E" w:rsidRPr="004E4C5C">
              <w:rPr>
                <w:rFonts w:eastAsia="Arial Unicode MS"/>
                <w:sz w:val="20"/>
                <w:szCs w:val="20"/>
                <w:lang w:val="es-ES"/>
              </w:rPr>
              <w:t xml:space="preserve"> del riesgo en la definición </w:t>
            </w:r>
            <w:r w:rsidRPr="004E4C5C">
              <w:rPr>
                <w:rFonts w:eastAsia="Arial Unicode MS"/>
                <w:sz w:val="20"/>
                <w:szCs w:val="20"/>
                <w:lang w:val="es-ES"/>
              </w:rPr>
              <w:t>de us</w:t>
            </w:r>
            <w:r w:rsidR="00976A9E" w:rsidRPr="004E4C5C">
              <w:rPr>
                <w:rFonts w:eastAsia="Arial Unicode MS"/>
                <w:sz w:val="20"/>
                <w:szCs w:val="20"/>
                <w:lang w:val="es-ES"/>
              </w:rPr>
              <w:t>o</w:t>
            </w:r>
            <w:r w:rsidRPr="004E4C5C">
              <w:rPr>
                <w:rFonts w:eastAsia="Arial Unicode MS"/>
                <w:sz w:val="20"/>
                <w:szCs w:val="20"/>
                <w:lang w:val="es-ES"/>
              </w:rPr>
              <w:t>s</w:t>
            </w:r>
            <w:r w:rsidR="00976A9E" w:rsidRPr="004E4C5C">
              <w:rPr>
                <w:rFonts w:eastAsia="Arial Unicode MS"/>
                <w:sz w:val="20"/>
                <w:szCs w:val="20"/>
                <w:lang w:val="es-ES"/>
              </w:rPr>
              <w:t xml:space="preserve"> y la planificación</w:t>
            </w:r>
          </w:p>
          <w:p w:rsidR="00976A9E" w:rsidRPr="004E4C5C" w:rsidRDefault="001C1D35" w:rsidP="00976A9E">
            <w:pPr>
              <w:pStyle w:val="ListParagraph"/>
              <w:numPr>
                <w:ilvl w:val="0"/>
                <w:numId w:val="4"/>
              </w:numPr>
              <w:spacing w:before="120" w:after="120"/>
              <w:ind w:left="168" w:right="144" w:hanging="168"/>
              <w:rPr>
                <w:rFonts w:eastAsia="Arial Unicode MS"/>
                <w:sz w:val="20"/>
                <w:szCs w:val="20"/>
                <w:lang w:val="es-ES"/>
              </w:rPr>
            </w:pPr>
            <w:r w:rsidRPr="004E4C5C">
              <w:rPr>
                <w:rFonts w:eastAsia="Arial Unicode MS"/>
                <w:sz w:val="20"/>
                <w:szCs w:val="20"/>
                <w:lang w:val="es-ES"/>
              </w:rPr>
              <w:t>Intervención</w:t>
            </w:r>
            <w:r w:rsidR="00976A9E" w:rsidRPr="004E4C5C">
              <w:rPr>
                <w:rFonts w:eastAsia="Arial Unicode MS"/>
                <w:sz w:val="20"/>
                <w:szCs w:val="20"/>
                <w:lang w:val="es-ES"/>
              </w:rPr>
              <w:t xml:space="preserve"> de cuencas hidrográficas y protección ambiental</w:t>
            </w:r>
          </w:p>
          <w:p w:rsidR="00976A9E" w:rsidRPr="004E4C5C" w:rsidRDefault="001C1D35" w:rsidP="00976A9E">
            <w:pPr>
              <w:pStyle w:val="ListParagraph"/>
              <w:numPr>
                <w:ilvl w:val="0"/>
                <w:numId w:val="4"/>
              </w:numPr>
              <w:spacing w:before="120" w:after="120"/>
              <w:ind w:left="168" w:right="144" w:hanging="168"/>
              <w:rPr>
                <w:rFonts w:eastAsia="Arial Unicode MS"/>
                <w:sz w:val="20"/>
                <w:szCs w:val="20"/>
                <w:lang w:val="es-ES"/>
              </w:rPr>
            </w:pPr>
            <w:r w:rsidRPr="004E4C5C">
              <w:rPr>
                <w:rFonts w:eastAsia="Arial Unicode MS"/>
                <w:sz w:val="20"/>
                <w:szCs w:val="20"/>
                <w:lang w:val="es-ES"/>
              </w:rPr>
              <w:t>Implementación</w:t>
            </w:r>
            <w:r w:rsidR="00976A9E" w:rsidRPr="004E4C5C">
              <w:rPr>
                <w:rFonts w:eastAsia="Arial Unicode MS"/>
                <w:sz w:val="20"/>
                <w:szCs w:val="20"/>
                <w:lang w:val="es-ES"/>
              </w:rPr>
              <w:t xml:space="preserve"> de técnicas de protección y control de fenómenos</w:t>
            </w:r>
          </w:p>
          <w:p w:rsidR="00976A9E" w:rsidRPr="004E4C5C" w:rsidRDefault="00976A9E" w:rsidP="00976A9E">
            <w:pPr>
              <w:pStyle w:val="ListParagraph"/>
              <w:numPr>
                <w:ilvl w:val="0"/>
                <w:numId w:val="4"/>
              </w:numPr>
              <w:spacing w:before="120" w:after="120"/>
              <w:ind w:left="168" w:right="144" w:hanging="168"/>
              <w:rPr>
                <w:rFonts w:eastAsia="Arial Unicode MS"/>
                <w:sz w:val="20"/>
                <w:szCs w:val="20"/>
                <w:lang w:val="es-ES"/>
              </w:rPr>
            </w:pPr>
            <w:r w:rsidRPr="004E4C5C">
              <w:rPr>
                <w:rFonts w:eastAsia="Arial Unicode MS"/>
                <w:sz w:val="20"/>
                <w:szCs w:val="20"/>
                <w:lang w:val="es-ES"/>
              </w:rPr>
              <w:t>Mejoramiento de vivienda y reubicación de asentamientos</w:t>
            </w:r>
          </w:p>
          <w:p w:rsidR="00976A9E" w:rsidRPr="004E4C5C" w:rsidRDefault="001C1D35" w:rsidP="00976A9E">
            <w:pPr>
              <w:pStyle w:val="ListParagraph"/>
              <w:numPr>
                <w:ilvl w:val="0"/>
                <w:numId w:val="4"/>
              </w:numPr>
              <w:spacing w:before="120" w:after="120"/>
              <w:ind w:left="168" w:right="144" w:hanging="168"/>
              <w:rPr>
                <w:rFonts w:eastAsia="Arial Unicode MS"/>
                <w:sz w:val="20"/>
                <w:szCs w:val="20"/>
                <w:lang w:val="es-ES"/>
              </w:rPr>
            </w:pPr>
            <w:r w:rsidRPr="004E4C5C">
              <w:rPr>
                <w:rFonts w:eastAsia="Arial Unicode MS"/>
                <w:sz w:val="20"/>
                <w:szCs w:val="20"/>
                <w:lang w:val="es-ES"/>
              </w:rPr>
              <w:t>Actualización</w:t>
            </w:r>
            <w:r w:rsidR="00976A9E" w:rsidRPr="004E4C5C">
              <w:rPr>
                <w:rFonts w:eastAsia="Arial Unicode MS"/>
                <w:sz w:val="20"/>
                <w:szCs w:val="20"/>
                <w:lang w:val="es-ES"/>
              </w:rPr>
              <w:t xml:space="preserve"> y control de la aplicación de normas y códigos</w:t>
            </w:r>
          </w:p>
          <w:p w:rsidR="00976A9E" w:rsidRPr="004E4C5C" w:rsidRDefault="001C1D35" w:rsidP="00976A9E">
            <w:pPr>
              <w:pStyle w:val="ListParagraph"/>
              <w:numPr>
                <w:ilvl w:val="0"/>
                <w:numId w:val="4"/>
              </w:numPr>
              <w:spacing w:before="120" w:after="120"/>
              <w:ind w:left="168" w:right="144" w:hanging="168"/>
              <w:rPr>
                <w:rFonts w:eastAsia="Arial Unicode MS"/>
                <w:sz w:val="20"/>
                <w:szCs w:val="20"/>
                <w:lang w:val="es-ES"/>
              </w:rPr>
            </w:pPr>
            <w:r w:rsidRPr="004E4C5C">
              <w:rPr>
                <w:rFonts w:eastAsia="Arial Unicode MS"/>
                <w:sz w:val="20"/>
                <w:szCs w:val="20"/>
                <w:lang w:val="es-ES"/>
              </w:rPr>
              <w:t>Intervención</w:t>
            </w:r>
            <w:r w:rsidR="00976A9E" w:rsidRPr="004E4C5C">
              <w:rPr>
                <w:rFonts w:eastAsia="Arial Unicode MS"/>
                <w:sz w:val="20"/>
                <w:szCs w:val="20"/>
                <w:lang w:val="es-ES"/>
              </w:rPr>
              <w:t xml:space="preserve"> de la vulnerabilidad de bienes públicos y privados</w:t>
            </w:r>
          </w:p>
          <w:p w:rsidR="004E4C5C" w:rsidRDefault="004E4C5C" w:rsidP="002F171B">
            <w:pPr>
              <w:widowControl/>
              <w:pBdr>
                <w:top w:val="single" w:sz="4" w:space="1" w:color="auto"/>
              </w:pBdr>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Este componente a</w:t>
            </w:r>
            <w:r w:rsidR="000B7C48">
              <w:rPr>
                <w:rFonts w:eastAsia="Arial Unicode MS"/>
                <w:color w:val="auto"/>
                <w:sz w:val="20"/>
                <w:szCs w:val="20"/>
                <w:lang w:val="es-ES"/>
              </w:rPr>
              <w:t>punta a incrementar el nivel del subíndice RR</w:t>
            </w:r>
            <w:r w:rsidR="005C6E29">
              <w:rPr>
                <w:rFonts w:eastAsia="Arial Unicode MS"/>
                <w:color w:val="auto"/>
                <w:sz w:val="20"/>
                <w:szCs w:val="20"/>
                <w:lang w:val="es-ES"/>
              </w:rPr>
              <w:t xml:space="preserve">1 de nivel 2 (incipiente) a nivel 3 (apreciable); el RR2 </w:t>
            </w:r>
            <w:r w:rsidR="000B7C48">
              <w:rPr>
                <w:rFonts w:eastAsia="Arial Unicode MS"/>
                <w:color w:val="auto"/>
                <w:sz w:val="20"/>
                <w:szCs w:val="20"/>
                <w:lang w:val="es-ES"/>
              </w:rPr>
              <w:t xml:space="preserve"> de </w:t>
            </w:r>
            <w:r w:rsidR="006C6D09">
              <w:rPr>
                <w:rFonts w:eastAsia="Arial Unicode MS"/>
                <w:color w:val="auto"/>
                <w:sz w:val="20"/>
                <w:szCs w:val="20"/>
                <w:lang w:val="es-ES"/>
              </w:rPr>
              <w:t xml:space="preserve">nivel </w:t>
            </w:r>
            <w:r w:rsidR="000B7C48">
              <w:rPr>
                <w:rFonts w:eastAsia="Arial Unicode MS"/>
                <w:color w:val="auto"/>
                <w:sz w:val="20"/>
                <w:szCs w:val="20"/>
                <w:lang w:val="es-ES"/>
              </w:rPr>
              <w:t>1</w:t>
            </w:r>
            <w:r>
              <w:rPr>
                <w:rFonts w:eastAsia="Arial Unicode MS"/>
                <w:color w:val="auto"/>
                <w:sz w:val="20"/>
                <w:szCs w:val="20"/>
                <w:lang w:val="es-ES"/>
              </w:rPr>
              <w:t xml:space="preserve"> (nivel</w:t>
            </w:r>
            <w:r w:rsidR="000B7C48">
              <w:rPr>
                <w:rFonts w:eastAsia="Arial Unicode MS"/>
                <w:color w:val="auto"/>
                <w:sz w:val="20"/>
                <w:szCs w:val="20"/>
                <w:lang w:val="es-ES"/>
              </w:rPr>
              <w:t xml:space="preserve"> bajo</w:t>
            </w:r>
            <w:r>
              <w:rPr>
                <w:rFonts w:eastAsia="Arial Unicode MS"/>
                <w:color w:val="auto"/>
                <w:sz w:val="20"/>
                <w:szCs w:val="20"/>
                <w:lang w:val="es-ES"/>
              </w:rPr>
              <w:t xml:space="preserve">) a </w:t>
            </w:r>
            <w:r w:rsidR="000B7C48">
              <w:rPr>
                <w:rFonts w:eastAsia="Arial Unicode MS"/>
                <w:color w:val="auto"/>
                <w:sz w:val="20"/>
                <w:szCs w:val="20"/>
                <w:lang w:val="es-ES"/>
              </w:rPr>
              <w:t>2</w:t>
            </w:r>
            <w:r>
              <w:rPr>
                <w:rFonts w:eastAsia="Arial Unicode MS"/>
                <w:color w:val="auto"/>
                <w:sz w:val="20"/>
                <w:szCs w:val="20"/>
                <w:lang w:val="es-ES"/>
              </w:rPr>
              <w:t xml:space="preserve"> (nivel</w:t>
            </w:r>
            <w:r w:rsidR="000B7C48">
              <w:rPr>
                <w:rFonts w:eastAsia="Arial Unicode MS"/>
                <w:color w:val="auto"/>
                <w:sz w:val="20"/>
                <w:szCs w:val="20"/>
                <w:lang w:val="es-ES"/>
              </w:rPr>
              <w:t xml:space="preserve"> incipiente</w:t>
            </w:r>
            <w:r>
              <w:rPr>
                <w:rFonts w:eastAsia="Arial Unicode MS"/>
                <w:color w:val="auto"/>
                <w:sz w:val="20"/>
                <w:szCs w:val="20"/>
                <w:lang w:val="es-ES"/>
              </w:rPr>
              <w:t>) así como</w:t>
            </w:r>
            <w:r w:rsidR="000B7C48">
              <w:rPr>
                <w:rFonts w:eastAsia="Arial Unicode MS"/>
                <w:color w:val="auto"/>
                <w:sz w:val="20"/>
                <w:szCs w:val="20"/>
                <w:lang w:val="es-ES"/>
              </w:rPr>
              <w:t xml:space="preserve"> a consolidar el valor de</w:t>
            </w:r>
            <w:r w:rsidR="005C6E29">
              <w:rPr>
                <w:rFonts w:eastAsia="Arial Unicode MS"/>
                <w:color w:val="auto"/>
                <w:sz w:val="20"/>
                <w:szCs w:val="20"/>
                <w:lang w:val="es-ES"/>
              </w:rPr>
              <w:t xml:space="preserve">l </w:t>
            </w:r>
            <w:r>
              <w:rPr>
                <w:rFonts w:eastAsia="Arial Unicode MS"/>
                <w:color w:val="auto"/>
                <w:sz w:val="20"/>
                <w:szCs w:val="20"/>
                <w:lang w:val="es-ES"/>
              </w:rPr>
              <w:t>subíndice</w:t>
            </w:r>
            <w:r w:rsidR="000B7C48">
              <w:rPr>
                <w:rFonts w:eastAsia="Arial Unicode MS"/>
                <w:color w:val="auto"/>
                <w:sz w:val="20"/>
                <w:szCs w:val="20"/>
                <w:lang w:val="es-ES"/>
              </w:rPr>
              <w:t xml:space="preserve"> </w:t>
            </w:r>
            <w:r>
              <w:rPr>
                <w:rFonts w:eastAsia="Arial Unicode MS"/>
                <w:color w:val="auto"/>
                <w:sz w:val="20"/>
                <w:szCs w:val="20"/>
                <w:lang w:val="es-ES"/>
              </w:rPr>
              <w:t xml:space="preserve">RR4 </w:t>
            </w:r>
            <w:r w:rsidRPr="00000FB4">
              <w:rPr>
                <w:rFonts w:eastAsia="Arial Unicode MS"/>
                <w:color w:val="auto"/>
                <w:sz w:val="20"/>
                <w:szCs w:val="20"/>
                <w:lang w:val="es-ES"/>
              </w:rPr>
              <w:t xml:space="preserve">del </w:t>
            </w:r>
            <m:oMath>
              <m:sSub>
                <m:sSubPr>
                  <m:ctrlPr>
                    <w:rPr>
                      <w:rFonts w:ascii="Cambria Math" w:eastAsia="Arial Unicode MS" w:hAnsi="Cambria Math"/>
                      <w:i/>
                      <w:color w:val="auto"/>
                      <w:sz w:val="20"/>
                      <w:szCs w:val="20"/>
                      <w:lang w:val="es-ES"/>
                    </w:rPr>
                  </m:ctrlPr>
                </m:sSubPr>
                <m:e>
                  <m:r>
                    <w:rPr>
                      <w:rFonts w:ascii="Cambria Math" w:eastAsia="Arial Unicode MS" w:hAnsi="Cambria Math"/>
                      <w:color w:val="auto"/>
                      <w:sz w:val="20"/>
                      <w:szCs w:val="20"/>
                      <w:lang w:val="es-ES"/>
                    </w:rPr>
                    <m:t>IGR</m:t>
                  </m:r>
                </m:e>
                <m:sub>
                  <m:r>
                    <w:rPr>
                      <w:rFonts w:ascii="Cambria Math" w:eastAsia="Arial Unicode MS" w:hAnsi="Cambria Math"/>
                      <w:color w:val="auto"/>
                      <w:sz w:val="20"/>
                      <w:szCs w:val="20"/>
                      <w:lang w:val="es-ES"/>
                    </w:rPr>
                    <m:t>RR</m:t>
                  </m:r>
                </m:sub>
              </m:sSub>
            </m:oMath>
            <w:r w:rsidRPr="00000FB4">
              <w:rPr>
                <w:rFonts w:eastAsia="Arial Unicode MS"/>
                <w:color w:val="auto"/>
                <w:sz w:val="20"/>
                <w:szCs w:val="20"/>
                <w:lang w:val="es-ES"/>
              </w:rPr>
              <w:t xml:space="preserve">. </w:t>
            </w:r>
          </w:p>
          <w:p w:rsidR="007C7818" w:rsidRPr="00E519DB" w:rsidRDefault="007C7818" w:rsidP="00D619DA">
            <w:pPr>
              <w:widowControl/>
              <w:pBdr>
                <w:top w:val="single" w:sz="4" w:space="1" w:color="auto"/>
              </w:pBdr>
              <w:adjustRightInd/>
              <w:spacing w:before="120" w:after="120" w:line="240" w:lineRule="auto"/>
              <w:ind w:right="144"/>
              <w:jc w:val="left"/>
              <w:textAlignment w:val="auto"/>
              <w:rPr>
                <w:b/>
                <w:bCs/>
                <w:i/>
                <w:iCs/>
                <w:sz w:val="22"/>
                <w:szCs w:val="22"/>
                <w:lang w:val="es-ES"/>
              </w:rPr>
            </w:pPr>
          </w:p>
        </w:tc>
      </w:tr>
      <w:tr w:rsidR="00127892" w:rsidRPr="00EF7BA5" w:rsidTr="00BF344C">
        <w:trPr>
          <w:trHeight w:val="270"/>
          <w:jc w:val="center"/>
        </w:trPr>
        <w:tc>
          <w:tcPr>
            <w:tcW w:w="41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127892" w:rsidRDefault="00CF63F8" w:rsidP="00CF63F8">
            <w:pPr>
              <w:widowControl/>
              <w:adjustRightInd/>
              <w:spacing w:before="120" w:after="120" w:line="240" w:lineRule="auto"/>
              <w:ind w:right="9"/>
              <w:jc w:val="left"/>
              <w:textAlignment w:val="auto"/>
              <w:rPr>
                <w:rFonts w:eastAsia="Times New Roman"/>
                <w:b/>
                <w:color w:val="auto"/>
                <w:sz w:val="22"/>
                <w:lang w:val="es-ES"/>
              </w:rPr>
            </w:pPr>
            <w:r w:rsidRPr="00DD76D4">
              <w:rPr>
                <w:bCs/>
                <w:i/>
                <w:sz w:val="22"/>
                <w:szCs w:val="22"/>
                <w:lang w:val="es-ES"/>
              </w:rPr>
              <w:lastRenderedPageBreak/>
              <w:t>Indicador iGOPP:</w:t>
            </w:r>
            <w:r w:rsidRPr="00DD76D4">
              <w:rPr>
                <w:bCs/>
                <w:sz w:val="22"/>
                <w:szCs w:val="22"/>
                <w:lang w:val="es-ES"/>
              </w:rPr>
              <w:t xml:space="preserve">  </w:t>
            </w:r>
            <m:oMath>
              <m:sSub>
                <m:sSubPr>
                  <m:ctrlPr>
                    <w:rPr>
                      <w:rFonts w:ascii="Cambria Math" w:eastAsia="Calibri" w:hAnsi="Cambria Math"/>
                      <w:bCs/>
                      <w:i/>
                      <w:sz w:val="22"/>
                      <w:szCs w:val="22"/>
                      <w:lang w:val="es-ES"/>
                    </w:rPr>
                  </m:ctrlPr>
                </m:sSubPr>
                <m:e>
                  <m:r>
                    <w:rPr>
                      <w:rFonts w:ascii="Cambria Math" w:hAnsi="Cambria Math"/>
                      <w:sz w:val="22"/>
                      <w:szCs w:val="22"/>
                      <w:lang w:val="es-ES"/>
                    </w:rPr>
                    <m:t>RR</m:t>
                  </m:r>
                </m:e>
                <m:sub>
                  <m:r>
                    <w:rPr>
                      <w:rFonts w:ascii="Cambria Math" w:hAnsi="Cambria Math"/>
                      <w:sz w:val="22"/>
                      <w:szCs w:val="22"/>
                      <w:lang w:val="es-ES"/>
                    </w:rPr>
                    <m:t>iGOPP</m:t>
                  </m:r>
                </m:sub>
              </m:sSub>
            </m:oMath>
            <w:r>
              <w:rPr>
                <w:bCs/>
                <w:sz w:val="22"/>
                <w:szCs w:val="22"/>
                <w:lang w:val="es-ES"/>
              </w:rPr>
              <w:t xml:space="preserve"> (Reducción de Riesgos) </w:t>
            </w:r>
            <w:r w:rsidRPr="00DD76D4">
              <w:rPr>
                <w:bCs/>
                <w:sz w:val="22"/>
                <w:szCs w:val="22"/>
                <w:lang w:val="es-ES"/>
              </w:rPr>
              <w:t>es un subíndice del iGOPP</w:t>
            </w: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Default="00BF344C" w:rsidP="00976A9E">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32%</w:t>
            </w:r>
          </w:p>
        </w:tc>
        <w:tc>
          <w:tcPr>
            <w:tcW w:w="79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E929DC" w:rsidRDefault="00127892" w:rsidP="002A4A08">
            <w:pPr>
              <w:widowControl/>
              <w:adjustRightInd/>
              <w:spacing w:before="120" w:after="120" w:line="240" w:lineRule="auto"/>
              <w:jc w:val="center"/>
              <w:textAlignment w:val="auto"/>
              <w:rPr>
                <w:rFonts w:eastAsia="Times New Roman"/>
                <w:color w:val="auto"/>
                <w:sz w:val="22"/>
                <w:lang w:val="es-ES"/>
              </w:rPr>
            </w:pPr>
          </w:p>
        </w:tc>
        <w:tc>
          <w:tcPr>
            <w:tcW w:w="8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E929DC" w:rsidRDefault="00127892"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E929DC" w:rsidRDefault="00127892"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E929DC" w:rsidRDefault="00127892"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vAlign w:val="center"/>
          </w:tcPr>
          <w:p w:rsidR="00127892" w:rsidRPr="00E929DC" w:rsidRDefault="00127892"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27892" w:rsidRDefault="00BF344C"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57%</w:t>
            </w:r>
          </w:p>
        </w:tc>
        <w:tc>
          <w:tcPr>
            <w:tcW w:w="3290"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727FF8" w:rsidRPr="00E674B4" w:rsidRDefault="00CF63F8" w:rsidP="00BF344C">
            <w:pPr>
              <w:widowControl/>
              <w:pBdr>
                <w:top w:val="single" w:sz="4" w:space="1" w:color="auto"/>
              </w:pBdr>
              <w:adjustRightInd/>
              <w:spacing w:before="120" w:after="120" w:line="240" w:lineRule="auto"/>
              <w:ind w:right="144"/>
              <w:jc w:val="left"/>
              <w:textAlignment w:val="auto"/>
              <w:rPr>
                <w:sz w:val="20"/>
                <w:szCs w:val="20"/>
                <w:lang w:val="es-ES_tradnl"/>
              </w:rPr>
            </w:pPr>
            <w:r w:rsidRPr="006C59C0">
              <w:rPr>
                <w:rFonts w:eastAsia="Arial Unicode MS"/>
                <w:b/>
                <w:i/>
                <w:color w:val="auto"/>
                <w:sz w:val="20"/>
                <w:szCs w:val="20"/>
                <w:lang w:val="es-ES"/>
              </w:rPr>
              <w:t>Observaciones:</w:t>
            </w:r>
            <w:r>
              <w:rPr>
                <w:rFonts w:eastAsia="Arial Unicode MS"/>
                <w:color w:val="auto"/>
                <w:sz w:val="20"/>
                <w:szCs w:val="20"/>
                <w:lang w:val="es-ES"/>
              </w:rPr>
              <w:t xml:space="preserve"> El </w:t>
            </w:r>
            <m:oMath>
              <m:sSub>
                <m:sSubPr>
                  <m:ctrlPr>
                    <w:rPr>
                      <w:rFonts w:ascii="Cambria Math" w:eastAsia="Calibri" w:hAnsi="Cambria Math"/>
                      <w:bCs/>
                      <w:i/>
                      <w:sz w:val="22"/>
                      <w:szCs w:val="22"/>
                      <w:lang w:val="es-ES"/>
                    </w:rPr>
                  </m:ctrlPr>
                </m:sSubPr>
                <m:e>
                  <m:r>
                    <w:rPr>
                      <w:rFonts w:ascii="Cambria Math" w:hAnsi="Cambria Math"/>
                      <w:sz w:val="22"/>
                      <w:szCs w:val="22"/>
                      <w:lang w:val="es-ES"/>
                    </w:rPr>
                    <m:t>RR</m:t>
                  </m:r>
                </m:e>
                <m:sub>
                  <m:r>
                    <w:rPr>
                      <w:rFonts w:ascii="Cambria Math" w:hAnsi="Cambria Math"/>
                      <w:sz w:val="22"/>
                      <w:szCs w:val="22"/>
                      <w:lang w:val="es-ES"/>
                    </w:rPr>
                    <m:t>iGOPP</m:t>
                  </m:r>
                </m:sub>
              </m:sSub>
            </m:oMath>
            <w:r>
              <w:rPr>
                <w:sz w:val="20"/>
                <w:szCs w:val="20"/>
                <w:lang w:val="es-ES_tradnl"/>
              </w:rPr>
              <w:t xml:space="preserve"> (Reducción del Riesgo) del iGOPP mide </w:t>
            </w:r>
            <w:r>
              <w:rPr>
                <w:rFonts w:eastAsia="Arial Unicode MS"/>
                <w:color w:val="auto"/>
                <w:sz w:val="20"/>
                <w:szCs w:val="20"/>
                <w:lang w:val="es-ES_tradnl"/>
              </w:rPr>
              <w:t xml:space="preserve">a través de un checklist, </w:t>
            </w:r>
            <w:r w:rsidRPr="009A24BA">
              <w:rPr>
                <w:sz w:val="20"/>
                <w:szCs w:val="20"/>
                <w:lang w:val="es-ES_tradnl"/>
              </w:rPr>
              <w:t>el proceso a través del cual se toman medidas para reducir los riesgos una vez identificados. Implica intervenir directamente las causas que generan las condiciones de amenaza o de vulnerabilidad actual.</w:t>
            </w:r>
            <w:r w:rsidR="00BF344C">
              <w:rPr>
                <w:sz w:val="20"/>
                <w:szCs w:val="20"/>
                <w:lang w:val="es-ES_tradnl"/>
              </w:rPr>
              <w:t xml:space="preserve"> </w:t>
            </w:r>
            <w:r w:rsidR="00357991">
              <w:rPr>
                <w:sz w:val="20"/>
                <w:szCs w:val="20"/>
                <w:lang w:val="es-ES_tradnl"/>
              </w:rPr>
              <w:t>El porcentaje hace referencia al número de indicadores cumplidos para este proceso.</w:t>
            </w:r>
          </w:p>
        </w:tc>
      </w:tr>
      <w:tr w:rsidR="00727FF8" w:rsidRPr="00E929DC" w:rsidTr="00E674B4">
        <w:trPr>
          <w:trHeight w:val="270"/>
          <w:jc w:val="center"/>
        </w:trPr>
        <w:tc>
          <w:tcPr>
            <w:tcW w:w="13318" w:type="dxa"/>
            <w:gridSpan w:val="9"/>
            <w:tcBorders>
              <w:top w:val="single" w:sz="4" w:space="0" w:color="auto"/>
              <w:left w:val="single" w:sz="4" w:space="0" w:color="auto"/>
              <w:bottom w:val="single" w:sz="4" w:space="0" w:color="auto"/>
              <w:right w:val="single" w:sz="4" w:space="0" w:color="auto"/>
            </w:tcBorders>
            <w:shd w:val="clear" w:color="auto" w:fill="CCCCCC"/>
            <w:noWrap/>
            <w:tcMar>
              <w:top w:w="15" w:type="dxa"/>
              <w:left w:w="15" w:type="dxa"/>
              <w:bottom w:w="0" w:type="dxa"/>
              <w:right w:w="15" w:type="dxa"/>
            </w:tcMar>
            <w:vAlign w:val="bottom"/>
          </w:tcPr>
          <w:p w:rsidR="00727FF8" w:rsidRPr="00E929DC" w:rsidRDefault="00727FF8" w:rsidP="00E674B4">
            <w:pPr>
              <w:widowControl/>
              <w:adjustRightInd/>
              <w:spacing w:line="240" w:lineRule="auto"/>
              <w:ind w:right="165"/>
              <w:jc w:val="left"/>
              <w:textAlignment w:val="auto"/>
              <w:rPr>
                <w:rFonts w:eastAsia="Arial Unicode MS"/>
                <w:b/>
                <w:color w:val="auto"/>
                <w:sz w:val="22"/>
                <w:lang w:val="es-ES"/>
              </w:rPr>
            </w:pPr>
            <w:r>
              <w:rPr>
                <w:rFonts w:eastAsia="Arial Unicode MS"/>
                <w:b/>
                <w:color w:val="auto"/>
                <w:sz w:val="22"/>
                <w:lang w:val="es-ES"/>
              </w:rPr>
              <w:t>Productos</w:t>
            </w:r>
          </w:p>
        </w:tc>
      </w:tr>
      <w:tr w:rsidR="00727FF8" w:rsidRPr="00EF7BA5" w:rsidTr="00ED15A8">
        <w:trPr>
          <w:trHeight w:val="2801"/>
          <w:jc w:val="center"/>
        </w:trPr>
        <w:tc>
          <w:tcPr>
            <w:tcW w:w="41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Aprobación de una Política de Estado sobre Ordenamiento y Gestión Territorial que integra la Gestión del Riesgo de Desastres.</w:t>
            </w:r>
          </w:p>
          <w:p w:rsidR="00727FF8" w:rsidRDefault="00727FF8" w:rsidP="00727FF8">
            <w:pPr>
              <w:widowControl/>
              <w:adjustRightInd/>
              <w:spacing w:line="240" w:lineRule="auto"/>
              <w:jc w:val="left"/>
              <w:textAlignment w:val="auto"/>
              <w:rPr>
                <w:sz w:val="20"/>
                <w:szCs w:val="20"/>
                <w:lang w:val="es-ES_tradnl"/>
              </w:rPr>
            </w:pPr>
          </w:p>
          <w:p w:rsidR="00727FF8" w:rsidRPr="00727FF8" w:rsidRDefault="00727FF8" w:rsidP="00727FF8">
            <w:pPr>
              <w:widowControl/>
              <w:adjustRightInd/>
              <w:spacing w:line="240" w:lineRule="auto"/>
              <w:jc w:val="left"/>
              <w:textAlignment w:val="auto"/>
              <w:rPr>
                <w:sz w:val="20"/>
                <w:szCs w:val="20"/>
                <w:lang w:val="es-ES_tradnl"/>
              </w:rPr>
            </w:pPr>
            <w:r w:rsidRPr="00727FF8">
              <w:rPr>
                <w:i/>
                <w:sz w:val="20"/>
                <w:szCs w:val="20"/>
                <w:lang w:val="es-ES_tradnl"/>
              </w:rPr>
              <w:t>Indicador:</w:t>
            </w:r>
            <w:r w:rsidR="00E674B4">
              <w:rPr>
                <w:sz w:val="20"/>
                <w:szCs w:val="20"/>
                <w:lang w:val="es-ES_tradnl"/>
              </w:rPr>
              <w:t xml:space="preserve"> P</w:t>
            </w:r>
            <w:r>
              <w:rPr>
                <w:sz w:val="20"/>
                <w:szCs w:val="20"/>
                <w:lang w:val="es-ES_tradnl"/>
              </w:rPr>
              <w:t xml:space="preserve">olítica </w:t>
            </w:r>
            <w:r w:rsidR="003C2269">
              <w:rPr>
                <w:sz w:val="20"/>
                <w:szCs w:val="20"/>
                <w:lang w:val="es-ES_tradnl"/>
              </w:rPr>
              <w:t>publicada</w:t>
            </w:r>
            <w:r>
              <w:rPr>
                <w:sz w:val="20"/>
                <w:szCs w:val="20"/>
                <w:lang w:val="es-ES_tradnl"/>
              </w:rPr>
              <w:t>(#)</w:t>
            </w:r>
          </w:p>
          <w:p w:rsidR="00727FF8" w:rsidRPr="00727FF8" w:rsidRDefault="00727FF8" w:rsidP="00727FF8">
            <w:pPr>
              <w:ind w:left="247" w:hanging="247"/>
              <w:rPr>
                <w:color w:val="FF0000"/>
                <w:sz w:val="20"/>
                <w:szCs w:val="20"/>
                <w:lang w:val="es-ES_tradnl"/>
              </w:rPr>
            </w:pPr>
          </w:p>
          <w:p w:rsid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Elaboración y Aprobación de una guía metodológica para la elaboración de los instrumentos técnicos sustentatorios para el Ordenamiento Territorial que integre la evaluación del riesgo de desastres y cambio climático.</w:t>
            </w:r>
          </w:p>
          <w:p w:rsidR="00727FF8" w:rsidRDefault="00727FF8" w:rsidP="00727FF8">
            <w:pPr>
              <w:widowControl/>
              <w:adjustRightInd/>
              <w:spacing w:line="240" w:lineRule="auto"/>
              <w:jc w:val="left"/>
              <w:textAlignment w:val="auto"/>
              <w:rPr>
                <w:sz w:val="20"/>
                <w:szCs w:val="20"/>
                <w:lang w:val="es-ES_tradnl"/>
              </w:rPr>
            </w:pPr>
          </w:p>
          <w:p w:rsidR="00727FF8" w:rsidRPr="00727FF8" w:rsidRDefault="00727FF8" w:rsidP="00727FF8">
            <w:pPr>
              <w:widowControl/>
              <w:adjustRightInd/>
              <w:spacing w:line="240" w:lineRule="auto"/>
              <w:jc w:val="left"/>
              <w:textAlignment w:val="auto"/>
              <w:rPr>
                <w:sz w:val="20"/>
                <w:szCs w:val="20"/>
                <w:lang w:val="es-ES_tradnl"/>
              </w:rPr>
            </w:pPr>
            <w:r w:rsidRPr="00727FF8">
              <w:rPr>
                <w:i/>
                <w:sz w:val="20"/>
                <w:szCs w:val="20"/>
                <w:lang w:val="es-ES_tradnl"/>
              </w:rPr>
              <w:t>Indicador:</w:t>
            </w:r>
            <w:r>
              <w:rPr>
                <w:sz w:val="20"/>
                <w:szCs w:val="20"/>
                <w:lang w:val="es-ES_tradnl"/>
              </w:rPr>
              <w:t xml:space="preserve"> Guía elaborada y aprobada (#)</w:t>
            </w:r>
          </w:p>
          <w:p w:rsidR="00727FF8" w:rsidRPr="00727FF8" w:rsidRDefault="00727FF8" w:rsidP="00727FF8">
            <w:pPr>
              <w:widowControl/>
              <w:adjustRightInd/>
              <w:spacing w:line="240" w:lineRule="auto"/>
              <w:jc w:val="left"/>
              <w:textAlignment w:val="auto"/>
              <w:rPr>
                <w:sz w:val="20"/>
                <w:szCs w:val="20"/>
                <w:lang w:val="es-ES_tradnl"/>
              </w:rPr>
            </w:pPr>
          </w:p>
          <w:p w:rsidR="00727FF8" w:rsidRPr="00727FF8" w:rsidRDefault="00727FF8" w:rsidP="00727FF8">
            <w:pPr>
              <w:pStyle w:val="ListParagraph"/>
              <w:ind w:left="247" w:hanging="247"/>
              <w:rPr>
                <w:color w:val="000000"/>
                <w:sz w:val="20"/>
                <w:szCs w:val="20"/>
                <w:lang w:val="es-ES_tradnl"/>
              </w:rPr>
            </w:pPr>
          </w:p>
          <w:p w:rsidR="00727FF8" w:rsidRDefault="00727FF8" w:rsidP="00727FF8">
            <w:pPr>
              <w:widowControl/>
              <w:adjustRightInd/>
              <w:spacing w:line="240" w:lineRule="auto"/>
              <w:jc w:val="left"/>
              <w:textAlignment w:val="auto"/>
              <w:rPr>
                <w:sz w:val="20"/>
                <w:szCs w:val="20"/>
                <w:u w:val="single"/>
                <w:lang w:val="es-ES_tradnl"/>
              </w:rPr>
            </w:pPr>
            <w:r w:rsidRPr="00727FF8">
              <w:rPr>
                <w:sz w:val="20"/>
                <w:szCs w:val="20"/>
                <w:lang w:val="es-ES_tradnl"/>
              </w:rPr>
              <w:t xml:space="preserve">Implementar un programa de asistencia técnica en </w:t>
            </w:r>
            <w:r w:rsidRPr="00727FF8">
              <w:rPr>
                <w:sz w:val="20"/>
                <w:szCs w:val="20"/>
                <w:lang w:val="es-ES_tradnl"/>
              </w:rPr>
              <w:lastRenderedPageBreak/>
              <w:t>gobiernos sub-nacionales sobre la aplicación de la Guía de ordenamiento territorial que integra la gestión del riesgo de desastres.</w:t>
            </w:r>
            <w:r w:rsidRPr="00727FF8">
              <w:rPr>
                <w:sz w:val="20"/>
                <w:szCs w:val="20"/>
                <w:u w:val="single"/>
                <w:lang w:val="es-ES_tradnl"/>
              </w:rPr>
              <w:t xml:space="preserve"> </w:t>
            </w:r>
          </w:p>
          <w:p w:rsidR="00727FF8" w:rsidRDefault="00727FF8" w:rsidP="00727FF8">
            <w:pPr>
              <w:widowControl/>
              <w:adjustRightInd/>
              <w:spacing w:line="240" w:lineRule="auto"/>
              <w:jc w:val="left"/>
              <w:textAlignment w:val="auto"/>
              <w:rPr>
                <w:sz w:val="20"/>
                <w:szCs w:val="20"/>
                <w:u w:val="single"/>
                <w:lang w:val="es-ES_tradnl"/>
              </w:rPr>
            </w:pPr>
          </w:p>
          <w:p w:rsidR="00727FF8" w:rsidRPr="00E674B4" w:rsidRDefault="00727FF8" w:rsidP="00727FF8">
            <w:pPr>
              <w:widowControl/>
              <w:adjustRightInd/>
              <w:spacing w:line="240" w:lineRule="auto"/>
              <w:jc w:val="left"/>
              <w:textAlignment w:val="auto"/>
              <w:rPr>
                <w:sz w:val="20"/>
                <w:szCs w:val="20"/>
                <w:lang w:val="es-ES_tradnl"/>
              </w:rPr>
            </w:pPr>
            <w:r w:rsidRPr="00727FF8">
              <w:rPr>
                <w:i/>
                <w:sz w:val="20"/>
                <w:szCs w:val="20"/>
                <w:lang w:val="es-ES_tradnl"/>
              </w:rPr>
              <w:t>Indicador:</w:t>
            </w:r>
            <w:r>
              <w:rPr>
                <w:sz w:val="20"/>
                <w:szCs w:val="20"/>
                <w:lang w:val="es-ES_tradnl"/>
              </w:rPr>
              <w:t xml:space="preserve"> </w:t>
            </w:r>
            <w:r w:rsidR="00815FCE">
              <w:rPr>
                <w:rFonts w:eastAsia="Times New Roman"/>
                <w:sz w:val="20"/>
                <w:szCs w:val="20"/>
                <w:lang w:val="es-ES_tradnl" w:eastAsia="es-ES"/>
              </w:rPr>
              <w:t>Informe de programa de asistencia técnica (</w:t>
            </w:r>
            <w:r w:rsidR="00815FCE">
              <w:rPr>
                <w:rFonts w:ascii="Calibri" w:eastAsia="Times New Roman" w:hAnsi="Calibri"/>
                <w:sz w:val="20"/>
                <w:szCs w:val="20"/>
                <w:lang w:val="es-ES_tradnl" w:eastAsia="es-ES"/>
              </w:rPr>
              <w:t>#</w:t>
            </w:r>
            <w:r w:rsidR="00815FCE">
              <w:rPr>
                <w:rFonts w:eastAsia="Times New Roman"/>
                <w:sz w:val="20"/>
                <w:szCs w:val="20"/>
                <w:lang w:val="es-ES_tradnl" w:eastAsia="es-ES"/>
              </w:rPr>
              <w:t>)</w:t>
            </w:r>
          </w:p>
          <w:p w:rsidR="00727FF8" w:rsidRDefault="00727FF8" w:rsidP="00727FF8">
            <w:pPr>
              <w:widowControl/>
              <w:adjustRightInd/>
              <w:spacing w:line="240" w:lineRule="auto"/>
              <w:jc w:val="left"/>
              <w:textAlignment w:val="auto"/>
              <w:rPr>
                <w:sz w:val="20"/>
                <w:szCs w:val="20"/>
                <w:u w:val="single"/>
                <w:lang w:val="es-ES_tradnl"/>
              </w:rPr>
            </w:pPr>
          </w:p>
          <w:p w:rsid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 xml:space="preserve">Presentación de la propuesta de Ley General de </w:t>
            </w:r>
            <w:r w:rsidR="00815FCE">
              <w:rPr>
                <w:sz w:val="20"/>
                <w:szCs w:val="20"/>
                <w:lang w:val="es-ES_tradnl"/>
              </w:rPr>
              <w:t>Urbanismo</w:t>
            </w:r>
            <w:r w:rsidRPr="00727FF8">
              <w:rPr>
                <w:sz w:val="20"/>
                <w:szCs w:val="20"/>
                <w:lang w:val="es-ES_tradnl"/>
              </w:rPr>
              <w:t xml:space="preserve"> ante </w:t>
            </w:r>
            <w:r w:rsidR="00815FCE" w:rsidRPr="00815FCE">
              <w:rPr>
                <w:sz w:val="20"/>
                <w:szCs w:val="20"/>
                <w:lang w:val="es-ES"/>
              </w:rPr>
              <w:t>el Viceministro de Vivienda y Urbanismo, actualizada con base en la nueva Ley 29664 que crea el SINAGERD</w:t>
            </w:r>
            <w:r w:rsidRPr="00727FF8">
              <w:rPr>
                <w:sz w:val="20"/>
                <w:szCs w:val="20"/>
                <w:lang w:val="es-ES_tradnl"/>
              </w:rPr>
              <w:t>.</w:t>
            </w:r>
          </w:p>
          <w:p w:rsidR="00727FF8" w:rsidRPr="00727FF8" w:rsidRDefault="00727FF8" w:rsidP="00727FF8">
            <w:pPr>
              <w:widowControl/>
              <w:adjustRightInd/>
              <w:spacing w:line="240" w:lineRule="auto"/>
              <w:jc w:val="left"/>
              <w:textAlignment w:val="auto"/>
              <w:rPr>
                <w:sz w:val="20"/>
                <w:szCs w:val="20"/>
                <w:lang w:val="es-ES_tradnl"/>
              </w:rPr>
            </w:pPr>
          </w:p>
          <w:p w:rsidR="00727FF8" w:rsidRPr="00727FF8" w:rsidRDefault="00727FF8" w:rsidP="00727FF8">
            <w:pPr>
              <w:widowControl/>
              <w:adjustRightInd/>
              <w:spacing w:line="240" w:lineRule="auto"/>
              <w:jc w:val="left"/>
              <w:textAlignment w:val="auto"/>
              <w:rPr>
                <w:sz w:val="20"/>
                <w:szCs w:val="20"/>
                <w:lang w:val="es-ES_tradnl"/>
              </w:rPr>
            </w:pPr>
            <w:r w:rsidRPr="00727FF8">
              <w:rPr>
                <w:i/>
                <w:sz w:val="20"/>
                <w:szCs w:val="20"/>
                <w:lang w:val="es-ES_tradnl"/>
              </w:rPr>
              <w:t>Indicador:</w:t>
            </w:r>
            <w:r>
              <w:rPr>
                <w:sz w:val="20"/>
                <w:szCs w:val="20"/>
                <w:lang w:val="es-ES_tradnl"/>
              </w:rPr>
              <w:t xml:space="preserve"> Pro</w:t>
            </w:r>
            <w:r w:rsidR="003C2269">
              <w:rPr>
                <w:sz w:val="20"/>
                <w:szCs w:val="20"/>
                <w:lang w:val="es-ES_tradnl"/>
              </w:rPr>
              <w:t>yecto</w:t>
            </w:r>
            <w:r>
              <w:rPr>
                <w:sz w:val="20"/>
                <w:szCs w:val="20"/>
                <w:lang w:val="es-ES_tradnl"/>
              </w:rPr>
              <w:t xml:space="preserve"> de ley presentad</w:t>
            </w:r>
            <w:r w:rsidR="003C2269">
              <w:rPr>
                <w:sz w:val="20"/>
                <w:szCs w:val="20"/>
                <w:lang w:val="es-ES_tradnl"/>
              </w:rPr>
              <w:t>o</w:t>
            </w:r>
            <w:r>
              <w:rPr>
                <w:sz w:val="20"/>
                <w:szCs w:val="20"/>
                <w:lang w:val="es-ES_tradnl"/>
              </w:rPr>
              <w:t xml:space="preserve"> (#)</w:t>
            </w:r>
          </w:p>
          <w:p w:rsidR="00727FF8" w:rsidRPr="00727FF8" w:rsidRDefault="00727FF8" w:rsidP="00727FF8">
            <w:pPr>
              <w:ind w:left="247" w:hanging="247"/>
              <w:rPr>
                <w:sz w:val="20"/>
                <w:szCs w:val="20"/>
                <w:lang w:val="es-ES_tradnl"/>
              </w:rPr>
            </w:pPr>
          </w:p>
          <w:p w:rsid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Difusión del Nuevo Reglamento de Acondicionamiento Territorial</w:t>
            </w:r>
          </w:p>
          <w:p w:rsidR="00E674B4" w:rsidRDefault="00E674B4" w:rsidP="00727FF8">
            <w:pPr>
              <w:widowControl/>
              <w:adjustRightInd/>
              <w:spacing w:line="240" w:lineRule="auto"/>
              <w:jc w:val="left"/>
              <w:textAlignment w:val="auto"/>
              <w:rPr>
                <w:sz w:val="20"/>
                <w:szCs w:val="20"/>
                <w:lang w:val="es-ES_tradnl"/>
              </w:rPr>
            </w:pPr>
          </w:p>
          <w:p w:rsidR="00727FF8" w:rsidRPr="00E674B4" w:rsidRDefault="00727FF8" w:rsidP="00727FF8">
            <w:pPr>
              <w:widowControl/>
              <w:adjustRightInd/>
              <w:spacing w:line="240" w:lineRule="auto"/>
              <w:jc w:val="left"/>
              <w:textAlignment w:val="auto"/>
              <w:rPr>
                <w:sz w:val="20"/>
                <w:szCs w:val="20"/>
                <w:lang w:val="es-ES_tradnl"/>
              </w:rPr>
            </w:pPr>
            <w:r w:rsidRPr="00727FF8">
              <w:rPr>
                <w:i/>
                <w:sz w:val="20"/>
                <w:szCs w:val="20"/>
                <w:lang w:val="es-ES_tradnl"/>
              </w:rPr>
              <w:t>Indicador:</w:t>
            </w:r>
            <w:r>
              <w:rPr>
                <w:sz w:val="20"/>
                <w:szCs w:val="20"/>
                <w:lang w:val="es-ES_tradnl"/>
              </w:rPr>
              <w:t xml:space="preserve"> </w:t>
            </w:r>
            <w:r w:rsidR="00E674B4" w:rsidRPr="00E674B4">
              <w:rPr>
                <w:rFonts w:eastAsia="Times New Roman"/>
                <w:sz w:val="20"/>
                <w:szCs w:val="18"/>
                <w:lang w:val="es-ES_tradnl" w:eastAsia="es-ES"/>
              </w:rPr>
              <w:t xml:space="preserve">Informe del programa de </w:t>
            </w:r>
            <w:r w:rsidR="00E674B4" w:rsidRPr="00E674B4">
              <w:rPr>
                <w:sz w:val="20"/>
                <w:szCs w:val="18"/>
                <w:lang w:val="es-ES_tradnl"/>
              </w:rPr>
              <w:t>difusión del nuevo reglamento de Acondicionamiento Territorial</w:t>
            </w:r>
            <w:r w:rsidR="00E674B4">
              <w:rPr>
                <w:sz w:val="20"/>
                <w:szCs w:val="18"/>
                <w:lang w:val="es-ES_tradnl"/>
              </w:rPr>
              <w:t xml:space="preserve"> (#)</w:t>
            </w:r>
          </w:p>
          <w:p w:rsidR="00727FF8" w:rsidRPr="00727FF8" w:rsidRDefault="00727FF8" w:rsidP="00727FF8">
            <w:pPr>
              <w:pStyle w:val="ListParagraph"/>
              <w:ind w:left="247" w:hanging="247"/>
              <w:rPr>
                <w:color w:val="000000"/>
                <w:sz w:val="20"/>
                <w:szCs w:val="20"/>
                <w:lang w:val="es-ES_tradnl"/>
              </w:rPr>
            </w:pPr>
          </w:p>
          <w:p w:rsid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Diseño e implementación de un programa de asistencia técnica a Municipalidades seleccionadas para la formulación de sus Planes de Desarrollo Urbano y Planes de Acondicionamiento Territorial.</w:t>
            </w:r>
          </w:p>
          <w:p w:rsidR="00727FF8" w:rsidRPr="00727FF8" w:rsidRDefault="00727FF8" w:rsidP="00727FF8">
            <w:pPr>
              <w:widowControl/>
              <w:adjustRightInd/>
              <w:spacing w:line="240" w:lineRule="auto"/>
              <w:jc w:val="left"/>
              <w:textAlignment w:val="auto"/>
              <w:rPr>
                <w:sz w:val="20"/>
                <w:szCs w:val="20"/>
                <w:lang w:val="es-ES_tradnl"/>
              </w:rPr>
            </w:pPr>
          </w:p>
          <w:p w:rsidR="00727FF8" w:rsidRPr="00727FF8" w:rsidRDefault="00727FF8" w:rsidP="00727FF8">
            <w:pPr>
              <w:widowControl/>
              <w:adjustRightInd/>
              <w:spacing w:line="240" w:lineRule="auto"/>
              <w:jc w:val="left"/>
              <w:textAlignment w:val="auto"/>
              <w:rPr>
                <w:sz w:val="20"/>
                <w:szCs w:val="20"/>
                <w:lang w:val="es-ES_tradnl"/>
              </w:rPr>
            </w:pPr>
            <w:r w:rsidRPr="00727FF8">
              <w:rPr>
                <w:i/>
                <w:sz w:val="20"/>
                <w:szCs w:val="20"/>
                <w:lang w:val="es-ES_tradnl"/>
              </w:rPr>
              <w:t>Indicador:</w:t>
            </w:r>
            <w:r>
              <w:rPr>
                <w:sz w:val="20"/>
                <w:szCs w:val="20"/>
                <w:lang w:val="es-ES_tradnl"/>
              </w:rPr>
              <w:t xml:space="preserve"> </w:t>
            </w:r>
            <w:r w:rsidR="00E674B4" w:rsidRPr="00E674B4">
              <w:rPr>
                <w:rFonts w:eastAsia="Times New Roman"/>
                <w:sz w:val="20"/>
                <w:szCs w:val="18"/>
                <w:lang w:val="es-ES" w:eastAsia="es-ES"/>
              </w:rPr>
              <w:t>Informe sobre los resultados del programa de asistencia técnica (#)</w:t>
            </w:r>
          </w:p>
          <w:p w:rsidR="00727FF8" w:rsidRPr="00727FF8" w:rsidRDefault="00727FF8" w:rsidP="00727FF8">
            <w:pPr>
              <w:pStyle w:val="ListParagraph"/>
              <w:ind w:left="247" w:hanging="247"/>
              <w:rPr>
                <w:color w:val="000000"/>
                <w:sz w:val="20"/>
                <w:szCs w:val="20"/>
                <w:lang w:val="es-ES_tradnl"/>
              </w:rPr>
            </w:pPr>
          </w:p>
          <w:p w:rsid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 xml:space="preserve">Elaboración de una Guía para la identificación de condiciones de riesgo de desastre en la fase de </w:t>
            </w:r>
            <w:r w:rsidRPr="00727FF8">
              <w:rPr>
                <w:sz w:val="20"/>
                <w:szCs w:val="20"/>
                <w:lang w:val="es-ES_tradnl"/>
              </w:rPr>
              <w:lastRenderedPageBreak/>
              <w:t xml:space="preserve">diagnóstico de los Planes de Acondicionamiento Territorial y Planes de Desarrollo Urbano. </w:t>
            </w:r>
          </w:p>
          <w:p w:rsidR="00727FF8" w:rsidRDefault="00727FF8" w:rsidP="00727FF8">
            <w:pPr>
              <w:widowControl/>
              <w:adjustRightInd/>
              <w:spacing w:line="240" w:lineRule="auto"/>
              <w:jc w:val="left"/>
              <w:textAlignment w:val="auto"/>
              <w:rPr>
                <w:sz w:val="20"/>
                <w:szCs w:val="20"/>
                <w:lang w:val="es-ES_tradnl"/>
              </w:rPr>
            </w:pPr>
          </w:p>
          <w:p w:rsidR="00727FF8" w:rsidRPr="00727FF8" w:rsidRDefault="00727FF8" w:rsidP="00727FF8">
            <w:pPr>
              <w:widowControl/>
              <w:adjustRightInd/>
              <w:spacing w:line="240" w:lineRule="auto"/>
              <w:jc w:val="left"/>
              <w:textAlignment w:val="auto"/>
              <w:rPr>
                <w:sz w:val="20"/>
                <w:szCs w:val="20"/>
                <w:lang w:val="es-ES_tradnl"/>
              </w:rPr>
            </w:pPr>
            <w:r w:rsidRPr="00727FF8">
              <w:rPr>
                <w:i/>
                <w:sz w:val="20"/>
                <w:szCs w:val="20"/>
                <w:lang w:val="es-ES_tradnl"/>
              </w:rPr>
              <w:t>Indicador:</w:t>
            </w:r>
            <w:r>
              <w:rPr>
                <w:sz w:val="20"/>
                <w:szCs w:val="20"/>
                <w:lang w:val="es-ES_tradnl"/>
              </w:rPr>
              <w:t xml:space="preserve"> Guía elaborada (#)</w:t>
            </w:r>
          </w:p>
          <w:p w:rsidR="00727FF8" w:rsidRDefault="00727FF8" w:rsidP="00727FF8">
            <w:pPr>
              <w:widowControl/>
              <w:adjustRightInd/>
              <w:spacing w:line="240" w:lineRule="auto"/>
              <w:jc w:val="left"/>
              <w:textAlignment w:val="auto"/>
              <w:rPr>
                <w:sz w:val="20"/>
                <w:szCs w:val="20"/>
                <w:lang w:val="es-ES_tradnl"/>
              </w:rPr>
            </w:pPr>
          </w:p>
          <w:p w:rsidR="00727FF8" w:rsidRPr="00727FF8" w:rsidRDefault="00D22FCF" w:rsidP="00727FF8">
            <w:pPr>
              <w:widowControl/>
              <w:adjustRightInd/>
              <w:spacing w:line="240" w:lineRule="auto"/>
              <w:jc w:val="left"/>
              <w:textAlignment w:val="auto"/>
              <w:rPr>
                <w:sz w:val="20"/>
                <w:szCs w:val="20"/>
                <w:lang w:val="es-ES_tradnl"/>
              </w:rPr>
            </w:pPr>
            <w:r>
              <w:rPr>
                <w:sz w:val="20"/>
                <w:szCs w:val="20"/>
                <w:lang w:val="es-ES_tradnl"/>
              </w:rPr>
              <w:t>Implementación</w:t>
            </w:r>
            <w:r w:rsidRPr="00727FF8">
              <w:rPr>
                <w:sz w:val="20"/>
                <w:szCs w:val="20"/>
                <w:lang w:val="es-ES_tradnl"/>
              </w:rPr>
              <w:t xml:space="preserve"> </w:t>
            </w:r>
            <w:r w:rsidR="00727FF8" w:rsidRPr="00727FF8">
              <w:rPr>
                <w:sz w:val="20"/>
                <w:szCs w:val="20"/>
                <w:lang w:val="es-ES_tradnl"/>
              </w:rPr>
              <w:t>y seguimiento de la Agenda Sectorial para la gestión del riesgo de desastres en Urbanismo, Vivienda, Construcción y Saneamiento.</w:t>
            </w:r>
          </w:p>
          <w:p w:rsidR="00727FF8" w:rsidRDefault="00727FF8" w:rsidP="00727FF8">
            <w:pPr>
              <w:widowControl/>
              <w:adjustRightInd/>
              <w:spacing w:line="240" w:lineRule="auto"/>
              <w:jc w:val="left"/>
              <w:textAlignment w:val="auto"/>
              <w:rPr>
                <w:sz w:val="20"/>
                <w:szCs w:val="20"/>
                <w:lang w:val="es-ES_tradnl"/>
              </w:rPr>
            </w:pPr>
          </w:p>
          <w:p w:rsidR="00727FF8" w:rsidRPr="00E674B4" w:rsidRDefault="00727FF8" w:rsidP="00727FF8">
            <w:pPr>
              <w:widowControl/>
              <w:adjustRightInd/>
              <w:spacing w:line="240" w:lineRule="auto"/>
              <w:jc w:val="left"/>
              <w:textAlignment w:val="auto"/>
              <w:rPr>
                <w:sz w:val="20"/>
                <w:szCs w:val="20"/>
                <w:lang w:val="es-ES_tradnl"/>
              </w:rPr>
            </w:pPr>
            <w:r w:rsidRPr="00727FF8">
              <w:rPr>
                <w:i/>
                <w:sz w:val="20"/>
                <w:szCs w:val="20"/>
                <w:lang w:val="es-ES_tradnl"/>
              </w:rPr>
              <w:t>Indicador:</w:t>
            </w:r>
            <w:r>
              <w:rPr>
                <w:sz w:val="20"/>
                <w:szCs w:val="20"/>
                <w:lang w:val="es-ES_tradnl"/>
              </w:rPr>
              <w:t xml:space="preserve"> </w:t>
            </w:r>
            <w:r w:rsidR="00D22FCF">
              <w:rPr>
                <w:rFonts w:eastAsia="Times New Roman"/>
                <w:sz w:val="20"/>
                <w:szCs w:val="18"/>
                <w:lang w:val="es-ES_tradnl" w:eastAsia="es-ES"/>
              </w:rPr>
              <w:t>Informe de implementación</w:t>
            </w:r>
            <w:r w:rsidR="00D22FCF" w:rsidRPr="00E674B4">
              <w:rPr>
                <w:rFonts w:eastAsia="Times New Roman"/>
                <w:sz w:val="20"/>
                <w:szCs w:val="18"/>
                <w:lang w:val="es-ES_tradnl" w:eastAsia="es-ES"/>
              </w:rPr>
              <w:t xml:space="preserve"> </w:t>
            </w:r>
            <w:r w:rsidR="00E674B4" w:rsidRPr="00E674B4">
              <w:rPr>
                <w:rFonts w:eastAsia="Times New Roman"/>
                <w:sz w:val="20"/>
                <w:szCs w:val="18"/>
                <w:lang w:val="es-ES_tradnl" w:eastAsia="es-ES"/>
              </w:rPr>
              <w:t>de la agenda sectorial para la gestión del riesgo de desastres en Urbanismo, Vivienda, Construcción y Saneamiento actualizada</w:t>
            </w:r>
            <w:r w:rsidR="00E674B4">
              <w:rPr>
                <w:rFonts w:eastAsia="Times New Roman"/>
                <w:sz w:val="20"/>
                <w:szCs w:val="18"/>
                <w:lang w:val="es-ES_tradnl" w:eastAsia="es-ES"/>
              </w:rPr>
              <w:t xml:space="preserve"> (#) </w:t>
            </w:r>
          </w:p>
          <w:p w:rsidR="00727FF8" w:rsidRPr="00727FF8" w:rsidRDefault="00727FF8" w:rsidP="00727FF8">
            <w:pPr>
              <w:ind w:left="247" w:hanging="247"/>
              <w:rPr>
                <w:sz w:val="20"/>
                <w:szCs w:val="20"/>
                <w:lang w:val="es-ES_tradnl"/>
              </w:rPr>
            </w:pPr>
          </w:p>
          <w:p w:rsid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Constitución del Grupo de Trabajo para la GRD en el MVCS, conformado por funcionarios directivos superiores, en cumplimiento de la Ley 29664 (Art. 19)</w:t>
            </w:r>
          </w:p>
          <w:p w:rsidR="00727FF8" w:rsidRDefault="00727FF8" w:rsidP="00727FF8">
            <w:pPr>
              <w:widowControl/>
              <w:adjustRightInd/>
              <w:spacing w:line="240" w:lineRule="auto"/>
              <w:jc w:val="left"/>
              <w:textAlignment w:val="auto"/>
              <w:rPr>
                <w:sz w:val="20"/>
                <w:szCs w:val="20"/>
                <w:lang w:val="es-ES_tradnl"/>
              </w:rPr>
            </w:pPr>
          </w:p>
          <w:p w:rsidR="00727FF8" w:rsidRPr="00727FF8" w:rsidRDefault="00727FF8" w:rsidP="00727FF8">
            <w:pPr>
              <w:widowControl/>
              <w:adjustRightInd/>
              <w:spacing w:line="240" w:lineRule="auto"/>
              <w:jc w:val="left"/>
              <w:textAlignment w:val="auto"/>
              <w:rPr>
                <w:sz w:val="20"/>
                <w:szCs w:val="20"/>
                <w:lang w:val="es-ES_tradnl"/>
              </w:rPr>
            </w:pPr>
            <w:r w:rsidRPr="00727FF8">
              <w:rPr>
                <w:i/>
                <w:sz w:val="20"/>
                <w:szCs w:val="20"/>
                <w:lang w:val="es-ES_tradnl"/>
              </w:rPr>
              <w:t>Indicador:</w:t>
            </w:r>
            <w:r>
              <w:rPr>
                <w:sz w:val="20"/>
                <w:szCs w:val="20"/>
                <w:lang w:val="es-ES_tradnl"/>
              </w:rPr>
              <w:t xml:space="preserve"> Grupo de trabajo constituído</w:t>
            </w:r>
            <w:r w:rsidR="003C2269">
              <w:rPr>
                <w:sz w:val="20"/>
                <w:szCs w:val="20"/>
                <w:lang w:val="es-ES_tradnl"/>
              </w:rPr>
              <w:t xml:space="preserve"> a través de resolución ministerial</w:t>
            </w:r>
            <w:r>
              <w:rPr>
                <w:sz w:val="20"/>
                <w:szCs w:val="20"/>
                <w:lang w:val="es-ES_tradnl"/>
              </w:rPr>
              <w:t xml:space="preserve"> (#)</w:t>
            </w:r>
          </w:p>
          <w:p w:rsidR="00727FF8" w:rsidRDefault="00727FF8" w:rsidP="00727FF8">
            <w:pPr>
              <w:widowControl/>
              <w:adjustRightInd/>
              <w:spacing w:line="240" w:lineRule="auto"/>
              <w:jc w:val="left"/>
              <w:textAlignment w:val="auto"/>
              <w:rPr>
                <w:sz w:val="20"/>
                <w:szCs w:val="20"/>
                <w:lang w:val="es-ES_tradnl"/>
              </w:rPr>
            </w:pPr>
          </w:p>
          <w:p w:rsidR="00727FF8" w:rsidRDefault="00727FF8" w:rsidP="00727FF8">
            <w:pPr>
              <w:widowControl/>
              <w:adjustRightInd/>
              <w:spacing w:line="240" w:lineRule="auto"/>
              <w:jc w:val="left"/>
              <w:textAlignment w:val="auto"/>
              <w:rPr>
                <w:sz w:val="20"/>
                <w:szCs w:val="20"/>
                <w:lang w:val="es-ES_tradnl"/>
              </w:rPr>
            </w:pPr>
          </w:p>
          <w:p w:rsid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Suscripción de al menos 5 convenios específicos entre el MINAGRI y los Gobiernos Regionales y Locales, para el diseño, elaboración y aplicación de instrumentos para la GRD, y la adaptación del agro frente al cambio climático.</w:t>
            </w:r>
          </w:p>
          <w:p w:rsidR="00727FF8" w:rsidRDefault="00727FF8" w:rsidP="00727FF8">
            <w:pPr>
              <w:widowControl/>
              <w:adjustRightInd/>
              <w:spacing w:line="240" w:lineRule="auto"/>
              <w:jc w:val="left"/>
              <w:textAlignment w:val="auto"/>
              <w:rPr>
                <w:sz w:val="20"/>
                <w:szCs w:val="20"/>
                <w:lang w:val="es-ES_tradnl"/>
              </w:rPr>
            </w:pPr>
          </w:p>
          <w:p w:rsidR="00727FF8" w:rsidRDefault="00727FF8" w:rsidP="00727FF8">
            <w:pPr>
              <w:widowControl/>
              <w:adjustRightInd/>
              <w:spacing w:line="240" w:lineRule="auto"/>
              <w:jc w:val="left"/>
              <w:textAlignment w:val="auto"/>
              <w:rPr>
                <w:sz w:val="20"/>
                <w:szCs w:val="20"/>
                <w:lang w:val="es-ES_tradnl"/>
              </w:rPr>
            </w:pPr>
            <w:r w:rsidRPr="0070798D">
              <w:rPr>
                <w:i/>
                <w:sz w:val="20"/>
                <w:szCs w:val="20"/>
                <w:lang w:val="es-ES_tradnl"/>
              </w:rPr>
              <w:t>Indicador</w:t>
            </w:r>
            <w:r>
              <w:rPr>
                <w:sz w:val="20"/>
                <w:szCs w:val="20"/>
                <w:lang w:val="es-ES_tradnl"/>
              </w:rPr>
              <w:t>:</w:t>
            </w:r>
            <w:r w:rsidR="00190139">
              <w:rPr>
                <w:sz w:val="20"/>
                <w:szCs w:val="20"/>
                <w:lang w:val="es-ES_tradnl"/>
              </w:rPr>
              <w:t xml:space="preserve"> Convenios </w:t>
            </w:r>
            <w:r w:rsidR="0070798D">
              <w:rPr>
                <w:sz w:val="20"/>
                <w:szCs w:val="20"/>
                <w:lang w:val="es-ES_tradnl"/>
              </w:rPr>
              <w:t>suscritos (#)</w:t>
            </w:r>
          </w:p>
          <w:p w:rsidR="00727FF8" w:rsidRPr="00727FF8" w:rsidRDefault="00727FF8" w:rsidP="00727FF8">
            <w:pPr>
              <w:widowControl/>
              <w:adjustRightInd/>
              <w:spacing w:line="240" w:lineRule="auto"/>
              <w:jc w:val="left"/>
              <w:textAlignment w:val="auto"/>
              <w:rPr>
                <w:sz w:val="20"/>
                <w:szCs w:val="20"/>
                <w:lang w:val="es-ES_tradnl"/>
              </w:rPr>
            </w:pPr>
          </w:p>
          <w:p w:rsidR="00727FF8" w:rsidRPr="00727FF8" w:rsidRDefault="00727FF8" w:rsidP="00727FF8">
            <w:pPr>
              <w:widowControl/>
              <w:adjustRightInd/>
              <w:spacing w:line="240" w:lineRule="auto"/>
              <w:jc w:val="left"/>
              <w:textAlignment w:val="auto"/>
              <w:rPr>
                <w:color w:val="365F91"/>
                <w:sz w:val="20"/>
                <w:szCs w:val="20"/>
                <w:lang w:val="es-ES_tradnl"/>
              </w:rPr>
            </w:pPr>
            <w:r w:rsidRPr="00727FF8">
              <w:rPr>
                <w:sz w:val="20"/>
                <w:szCs w:val="20"/>
                <w:lang w:val="es-ES_tradnl"/>
              </w:rPr>
              <w:lastRenderedPageBreak/>
              <w:t>Formulación, socialización y aprobación del Plan de Desarrollo y Fortalecimiento de Capacidades del Sector Agrario con énfasis en Gestión del Riesgo Climático y Cambio Climático en la planificación, diseño y ejecución de proyectos</w:t>
            </w:r>
          </w:p>
          <w:p w:rsidR="00727FF8" w:rsidRDefault="00727FF8" w:rsidP="00727FF8">
            <w:pPr>
              <w:widowControl/>
              <w:adjustRightInd/>
              <w:spacing w:line="240" w:lineRule="auto"/>
              <w:jc w:val="left"/>
              <w:textAlignment w:val="auto"/>
              <w:rPr>
                <w:sz w:val="20"/>
                <w:szCs w:val="20"/>
                <w:lang w:val="es-ES_tradnl"/>
              </w:rPr>
            </w:pPr>
          </w:p>
          <w:p w:rsidR="00727FF8" w:rsidRPr="00E674B4" w:rsidRDefault="00727FF8" w:rsidP="00727FF8">
            <w:pPr>
              <w:widowControl/>
              <w:adjustRightInd/>
              <w:spacing w:line="240" w:lineRule="auto"/>
              <w:jc w:val="left"/>
              <w:textAlignment w:val="auto"/>
              <w:rPr>
                <w:sz w:val="20"/>
                <w:szCs w:val="20"/>
                <w:lang w:val="es-ES_tradnl"/>
              </w:rPr>
            </w:pPr>
            <w:r w:rsidRPr="0070798D">
              <w:rPr>
                <w:i/>
                <w:sz w:val="20"/>
                <w:szCs w:val="20"/>
                <w:lang w:val="es-ES_tradnl"/>
              </w:rPr>
              <w:t>Indicador:</w:t>
            </w:r>
            <w:r w:rsidR="0070798D">
              <w:rPr>
                <w:sz w:val="20"/>
                <w:szCs w:val="20"/>
                <w:lang w:val="es-ES_tradnl"/>
              </w:rPr>
              <w:t xml:space="preserve"> </w:t>
            </w:r>
            <w:r w:rsidR="00E674B4" w:rsidRPr="00E674B4">
              <w:rPr>
                <w:sz w:val="20"/>
                <w:szCs w:val="18"/>
                <w:lang w:val="es-ES_tradnl"/>
              </w:rPr>
              <w:t>Plan de Desarrollo y Fortalecimiento de Capacidades del Sector Agrario</w:t>
            </w:r>
            <w:r w:rsidR="003C2269">
              <w:rPr>
                <w:sz w:val="20"/>
                <w:szCs w:val="18"/>
                <w:lang w:val="es-ES_tradnl"/>
              </w:rPr>
              <w:t xml:space="preserve"> elaborado</w:t>
            </w:r>
          </w:p>
          <w:p w:rsidR="00727FF8" w:rsidRPr="00727FF8" w:rsidRDefault="00727FF8" w:rsidP="00727FF8">
            <w:pPr>
              <w:ind w:left="389" w:hanging="389"/>
              <w:rPr>
                <w:color w:val="365F91"/>
                <w:sz w:val="20"/>
                <w:szCs w:val="20"/>
                <w:lang w:val="es-ES_tradnl"/>
              </w:rPr>
            </w:pPr>
          </w:p>
          <w:p w:rsidR="00727FF8" w:rsidRP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Elaboración y aprobación de una Guía para el Análisis de Riesgo en la formulación de PIP en el Sector Agrario.</w:t>
            </w:r>
          </w:p>
          <w:p w:rsidR="00727FF8" w:rsidRDefault="00727FF8" w:rsidP="00727FF8">
            <w:pPr>
              <w:pStyle w:val="ListParagraph"/>
              <w:ind w:left="389" w:hanging="389"/>
              <w:rPr>
                <w:sz w:val="20"/>
                <w:szCs w:val="20"/>
                <w:lang w:val="es-ES_tradnl"/>
              </w:rPr>
            </w:pPr>
          </w:p>
          <w:p w:rsidR="00727FF8" w:rsidRPr="00727FF8" w:rsidRDefault="00727FF8" w:rsidP="00727FF8">
            <w:pPr>
              <w:widowControl/>
              <w:adjustRightInd/>
              <w:spacing w:line="240" w:lineRule="auto"/>
              <w:jc w:val="left"/>
              <w:textAlignment w:val="auto"/>
              <w:rPr>
                <w:sz w:val="20"/>
                <w:szCs w:val="20"/>
                <w:lang w:val="es-ES_tradnl"/>
              </w:rPr>
            </w:pPr>
            <w:r w:rsidRPr="0070798D">
              <w:rPr>
                <w:i/>
                <w:sz w:val="20"/>
                <w:szCs w:val="20"/>
                <w:lang w:val="es-ES_tradnl"/>
              </w:rPr>
              <w:t>Indicador:</w:t>
            </w:r>
            <w:r w:rsidR="0070798D">
              <w:rPr>
                <w:sz w:val="20"/>
                <w:szCs w:val="20"/>
                <w:lang w:val="es-ES_tradnl"/>
              </w:rPr>
              <w:t xml:space="preserve"> Guía aprobada (#)</w:t>
            </w:r>
          </w:p>
          <w:p w:rsidR="00727FF8" w:rsidRPr="00727FF8" w:rsidRDefault="00727FF8" w:rsidP="00727FF8">
            <w:pPr>
              <w:pStyle w:val="ListParagraph"/>
              <w:ind w:left="389" w:hanging="389"/>
              <w:rPr>
                <w:sz w:val="20"/>
                <w:szCs w:val="20"/>
                <w:lang w:val="es-ES_tradnl"/>
              </w:rPr>
            </w:pPr>
          </w:p>
          <w:p w:rsid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Elaboración y aprobación de una Guía de Zonificación agroecológica que incorpore el tema de gestión de riesgo y la adaptación al Cambio Climático.</w:t>
            </w:r>
          </w:p>
          <w:p w:rsidR="00727FF8" w:rsidRDefault="00727FF8" w:rsidP="00727FF8">
            <w:pPr>
              <w:widowControl/>
              <w:adjustRightInd/>
              <w:spacing w:line="240" w:lineRule="auto"/>
              <w:jc w:val="left"/>
              <w:textAlignment w:val="auto"/>
              <w:rPr>
                <w:sz w:val="20"/>
                <w:szCs w:val="20"/>
                <w:lang w:val="es-ES_tradnl"/>
              </w:rPr>
            </w:pPr>
          </w:p>
          <w:p w:rsidR="00727FF8" w:rsidRPr="0070798D" w:rsidRDefault="00727FF8" w:rsidP="00727FF8">
            <w:pPr>
              <w:widowControl/>
              <w:adjustRightInd/>
              <w:spacing w:line="240" w:lineRule="auto"/>
              <w:jc w:val="left"/>
              <w:textAlignment w:val="auto"/>
              <w:rPr>
                <w:sz w:val="20"/>
                <w:szCs w:val="20"/>
                <w:lang w:val="es-ES_tradnl"/>
              </w:rPr>
            </w:pPr>
            <w:r w:rsidRPr="0070798D">
              <w:rPr>
                <w:i/>
                <w:sz w:val="20"/>
                <w:szCs w:val="20"/>
                <w:lang w:val="es-ES_tradnl"/>
              </w:rPr>
              <w:t>Indicador:</w:t>
            </w:r>
            <w:r w:rsidR="0070798D">
              <w:rPr>
                <w:i/>
                <w:sz w:val="20"/>
                <w:szCs w:val="20"/>
                <w:lang w:val="es-ES_tradnl"/>
              </w:rPr>
              <w:t xml:space="preserve"> </w:t>
            </w:r>
            <w:r w:rsidR="0070798D">
              <w:rPr>
                <w:sz w:val="20"/>
                <w:szCs w:val="20"/>
                <w:lang w:val="es-ES_tradnl"/>
              </w:rPr>
              <w:t>Guía aprobada (#)</w:t>
            </w:r>
          </w:p>
          <w:p w:rsidR="00727FF8" w:rsidRDefault="00727FF8" w:rsidP="00727FF8">
            <w:pPr>
              <w:widowControl/>
              <w:adjustRightInd/>
              <w:spacing w:line="240" w:lineRule="auto"/>
              <w:jc w:val="left"/>
              <w:textAlignment w:val="auto"/>
              <w:rPr>
                <w:sz w:val="20"/>
                <w:szCs w:val="20"/>
                <w:lang w:val="es-ES_tradnl"/>
              </w:rPr>
            </w:pPr>
          </w:p>
          <w:p w:rsidR="00727FF8" w:rsidRP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Actualización del estudio de Barrios Urbanos Marginales para elaboración de planes de intervención del PMIB (Programa de Mejoramiento Integral de Barrios).</w:t>
            </w:r>
          </w:p>
          <w:p w:rsidR="00727FF8" w:rsidRDefault="00727FF8" w:rsidP="00727FF8">
            <w:pPr>
              <w:widowControl/>
              <w:adjustRightInd/>
              <w:spacing w:line="240" w:lineRule="auto"/>
              <w:jc w:val="left"/>
              <w:textAlignment w:val="auto"/>
              <w:rPr>
                <w:sz w:val="20"/>
                <w:szCs w:val="20"/>
                <w:lang w:val="es-ES_tradnl"/>
              </w:rPr>
            </w:pPr>
          </w:p>
          <w:p w:rsidR="00727FF8" w:rsidRPr="00E674B4" w:rsidRDefault="00727FF8" w:rsidP="00727FF8">
            <w:pPr>
              <w:widowControl/>
              <w:adjustRightInd/>
              <w:spacing w:line="240" w:lineRule="auto"/>
              <w:jc w:val="left"/>
              <w:textAlignment w:val="auto"/>
              <w:rPr>
                <w:sz w:val="20"/>
                <w:szCs w:val="20"/>
                <w:lang w:val="es-ES_tradnl"/>
              </w:rPr>
            </w:pPr>
            <w:r w:rsidRPr="0070798D">
              <w:rPr>
                <w:i/>
                <w:sz w:val="20"/>
                <w:szCs w:val="20"/>
                <w:lang w:val="es-ES_tradnl"/>
              </w:rPr>
              <w:t>Indicador:</w:t>
            </w:r>
            <w:r w:rsidR="0070798D">
              <w:rPr>
                <w:sz w:val="20"/>
                <w:szCs w:val="20"/>
                <w:lang w:val="es-ES_tradnl"/>
              </w:rPr>
              <w:t xml:space="preserve"> </w:t>
            </w:r>
            <w:r w:rsidR="00815FCE">
              <w:rPr>
                <w:rFonts w:eastAsia="Times New Roman"/>
                <w:sz w:val="20"/>
                <w:szCs w:val="20"/>
                <w:lang w:val="es-ES_tradnl" w:eastAsia="es-ES"/>
              </w:rPr>
              <w:t>Documento final aprobado</w:t>
            </w:r>
            <w:r w:rsidR="00E674B4" w:rsidRPr="00E674B4">
              <w:rPr>
                <w:rFonts w:eastAsia="Times New Roman"/>
                <w:sz w:val="20"/>
                <w:szCs w:val="20"/>
                <w:lang w:val="es-ES_tradnl" w:eastAsia="es-ES"/>
              </w:rPr>
              <w:t xml:space="preserve"> del estudio elaborado por el programa “Nuestras Ciudades” sobre los </w:t>
            </w:r>
            <w:r w:rsidR="00E674B4" w:rsidRPr="00E674B4">
              <w:rPr>
                <w:sz w:val="20"/>
                <w:szCs w:val="20"/>
                <w:lang w:val="es-ES_tradnl"/>
              </w:rPr>
              <w:t>Barrios Urbanos Marginales</w:t>
            </w:r>
            <w:r w:rsidR="00E674B4">
              <w:rPr>
                <w:sz w:val="20"/>
                <w:szCs w:val="20"/>
                <w:lang w:val="es-ES_tradnl"/>
              </w:rPr>
              <w:t xml:space="preserve"> (#)</w:t>
            </w:r>
          </w:p>
          <w:p w:rsidR="00727FF8" w:rsidRPr="00727FF8" w:rsidRDefault="00727FF8" w:rsidP="00727FF8">
            <w:pPr>
              <w:ind w:left="389" w:hanging="389"/>
              <w:rPr>
                <w:sz w:val="20"/>
                <w:szCs w:val="20"/>
                <w:lang w:val="es-ES_tradnl"/>
              </w:rPr>
            </w:pPr>
          </w:p>
          <w:p w:rsidR="00727FF8" w:rsidRDefault="00727FF8" w:rsidP="00727FF8">
            <w:pPr>
              <w:widowControl/>
              <w:adjustRightInd/>
              <w:spacing w:line="240" w:lineRule="auto"/>
              <w:jc w:val="left"/>
              <w:textAlignment w:val="auto"/>
              <w:rPr>
                <w:i/>
                <w:sz w:val="18"/>
                <w:szCs w:val="20"/>
                <w:lang w:val="es-ES_tradnl"/>
              </w:rPr>
            </w:pPr>
            <w:r w:rsidRPr="00727FF8">
              <w:rPr>
                <w:sz w:val="20"/>
                <w:szCs w:val="20"/>
                <w:lang w:val="es-ES_tradnl"/>
              </w:rPr>
              <w:t xml:space="preserve">Elaboración de Planes Operativo Institucional para </w:t>
            </w:r>
            <w:r w:rsidRPr="00727FF8">
              <w:rPr>
                <w:sz w:val="20"/>
                <w:szCs w:val="20"/>
                <w:lang w:val="es-ES_tradnl"/>
              </w:rPr>
              <w:lastRenderedPageBreak/>
              <w:t>orientar acciones del PMIB (Programa de Mejoramiento de Barrios), en función al estudio actualizado</w:t>
            </w:r>
            <w:r w:rsidRPr="00727FF8">
              <w:rPr>
                <w:i/>
                <w:sz w:val="18"/>
                <w:szCs w:val="20"/>
                <w:lang w:val="es-ES_tradnl"/>
              </w:rPr>
              <w:t>.</w:t>
            </w:r>
          </w:p>
          <w:p w:rsidR="0070798D" w:rsidRDefault="0070798D" w:rsidP="00727FF8">
            <w:pPr>
              <w:widowControl/>
              <w:adjustRightInd/>
              <w:spacing w:line="240" w:lineRule="auto"/>
              <w:jc w:val="left"/>
              <w:textAlignment w:val="auto"/>
              <w:rPr>
                <w:i/>
                <w:sz w:val="18"/>
                <w:szCs w:val="20"/>
                <w:lang w:val="es-ES_tradnl"/>
              </w:rPr>
            </w:pPr>
          </w:p>
          <w:p w:rsidR="00727FF8" w:rsidRDefault="0070798D" w:rsidP="00ED15A8">
            <w:pPr>
              <w:widowControl/>
              <w:adjustRightInd/>
              <w:spacing w:line="240" w:lineRule="auto"/>
              <w:jc w:val="left"/>
              <w:textAlignment w:val="auto"/>
              <w:rPr>
                <w:sz w:val="20"/>
                <w:szCs w:val="20"/>
                <w:lang w:val="es-ES_tradnl" w:eastAsia="es-ES_tradnl"/>
              </w:rPr>
            </w:pPr>
            <w:r w:rsidRPr="0070798D">
              <w:rPr>
                <w:i/>
                <w:sz w:val="20"/>
                <w:szCs w:val="20"/>
                <w:lang w:val="es-ES_tradnl"/>
              </w:rPr>
              <w:t>Indicador:</w:t>
            </w:r>
            <w:r>
              <w:rPr>
                <w:sz w:val="20"/>
                <w:szCs w:val="20"/>
                <w:lang w:val="es-ES_tradnl"/>
              </w:rPr>
              <w:t xml:space="preserve"> </w:t>
            </w:r>
            <w:r w:rsidR="00ED15A8" w:rsidRPr="00ED15A8">
              <w:rPr>
                <w:rFonts w:eastAsia="Times New Roman"/>
                <w:sz w:val="20"/>
                <w:szCs w:val="20"/>
                <w:lang w:val="es-ES_tradnl" w:eastAsia="es-ES"/>
              </w:rPr>
              <w:t>Plan Operativo Institucional del PMIB del año 2013.</w:t>
            </w:r>
            <w:r w:rsidR="00ED15A8">
              <w:rPr>
                <w:rFonts w:eastAsia="Times New Roman"/>
                <w:sz w:val="20"/>
                <w:szCs w:val="20"/>
                <w:lang w:val="es-ES_tradnl" w:eastAsia="es-ES"/>
              </w:rPr>
              <w:t xml:space="preserve"> (#)</w:t>
            </w:r>
          </w:p>
          <w:p w:rsidR="00ED15A8" w:rsidRPr="00ED15A8" w:rsidRDefault="00ED15A8" w:rsidP="00ED15A8">
            <w:pPr>
              <w:widowControl/>
              <w:adjustRightInd/>
              <w:spacing w:line="240" w:lineRule="auto"/>
              <w:jc w:val="left"/>
              <w:textAlignment w:val="auto"/>
              <w:rPr>
                <w:sz w:val="20"/>
                <w:szCs w:val="20"/>
                <w:lang w:val="es-ES_tradnl" w:eastAsia="es-ES_tradnl"/>
              </w:rPr>
            </w:pPr>
          </w:p>
          <w:p w:rsid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Elaboración de un estudio sobre reasentamiento de población en zonas de muy alto riesgo no mitigable.</w:t>
            </w:r>
          </w:p>
          <w:p w:rsidR="0070798D" w:rsidRPr="00727FF8" w:rsidRDefault="0070798D" w:rsidP="00727FF8">
            <w:pPr>
              <w:widowControl/>
              <w:adjustRightInd/>
              <w:spacing w:line="240" w:lineRule="auto"/>
              <w:jc w:val="left"/>
              <w:textAlignment w:val="auto"/>
              <w:rPr>
                <w:sz w:val="20"/>
                <w:szCs w:val="20"/>
                <w:lang w:val="es-ES_tradnl"/>
              </w:rPr>
            </w:pPr>
          </w:p>
          <w:p w:rsidR="00727FF8" w:rsidRDefault="0070798D" w:rsidP="00727FF8">
            <w:pPr>
              <w:pStyle w:val="ListParagraph"/>
              <w:ind w:left="389" w:hanging="389"/>
              <w:rPr>
                <w:sz w:val="20"/>
                <w:szCs w:val="20"/>
                <w:lang w:val="es-ES_tradnl"/>
              </w:rPr>
            </w:pPr>
            <w:r w:rsidRPr="0070798D">
              <w:rPr>
                <w:i/>
                <w:sz w:val="20"/>
                <w:szCs w:val="20"/>
                <w:lang w:val="es-ES_tradnl"/>
              </w:rPr>
              <w:t>Indicador:</w:t>
            </w:r>
            <w:r>
              <w:rPr>
                <w:sz w:val="20"/>
                <w:szCs w:val="20"/>
                <w:lang w:val="es-ES_tradnl"/>
              </w:rPr>
              <w:t xml:space="preserve"> Estudio elaborado </w:t>
            </w:r>
            <w:r w:rsidR="00ED15A8">
              <w:rPr>
                <w:sz w:val="20"/>
                <w:szCs w:val="20"/>
                <w:lang w:val="es-ES_tradnl"/>
              </w:rPr>
              <w:t xml:space="preserve">y aprobado </w:t>
            </w:r>
            <w:r>
              <w:rPr>
                <w:sz w:val="20"/>
                <w:szCs w:val="20"/>
                <w:lang w:val="es-ES_tradnl"/>
              </w:rPr>
              <w:t>(#)</w:t>
            </w:r>
          </w:p>
          <w:p w:rsidR="0070798D" w:rsidRPr="00727FF8" w:rsidRDefault="0070798D" w:rsidP="00727FF8">
            <w:pPr>
              <w:pStyle w:val="ListParagraph"/>
              <w:ind w:left="389" w:hanging="389"/>
              <w:rPr>
                <w:color w:val="000000"/>
                <w:sz w:val="20"/>
                <w:szCs w:val="20"/>
                <w:lang w:val="es-ES_tradnl"/>
              </w:rPr>
            </w:pPr>
          </w:p>
          <w:p w:rsidR="00727FF8" w:rsidRPr="00727FF8" w:rsidRDefault="00D22FCF" w:rsidP="00727FF8">
            <w:pPr>
              <w:widowControl/>
              <w:adjustRightInd/>
              <w:spacing w:line="240" w:lineRule="auto"/>
              <w:jc w:val="left"/>
              <w:textAlignment w:val="auto"/>
              <w:rPr>
                <w:color w:val="FF0000"/>
                <w:sz w:val="20"/>
                <w:szCs w:val="20"/>
                <w:lang w:val="es-ES_tradnl"/>
              </w:rPr>
            </w:pPr>
            <w:r>
              <w:rPr>
                <w:sz w:val="20"/>
                <w:szCs w:val="20"/>
                <w:lang w:val="es-ES_tradnl"/>
              </w:rPr>
              <w:t>A</w:t>
            </w:r>
            <w:r w:rsidR="00727FF8" w:rsidRPr="00727FF8">
              <w:rPr>
                <w:sz w:val="20"/>
                <w:szCs w:val="20"/>
                <w:lang w:val="es-ES_tradnl"/>
              </w:rPr>
              <w:t>ctualización de</w:t>
            </w:r>
            <w:r>
              <w:rPr>
                <w:sz w:val="20"/>
                <w:szCs w:val="20"/>
                <w:lang w:val="es-ES_tradnl"/>
              </w:rPr>
              <w:t xml:space="preserve"> un</w:t>
            </w:r>
            <w:r w:rsidR="00727FF8" w:rsidRPr="00727FF8">
              <w:rPr>
                <w:sz w:val="20"/>
                <w:szCs w:val="20"/>
                <w:lang w:val="es-ES_tradnl"/>
              </w:rPr>
              <w:t xml:space="preserve"> instrumento de gestión integral del riesgo de desastres del sector  a partir de los resultados del Proyecto “Apoyo a la Gestión integral del Riesgo de Desastres Naturales a nivel Urbano”.</w:t>
            </w:r>
          </w:p>
          <w:p w:rsidR="00727FF8" w:rsidRDefault="00727FF8" w:rsidP="00727FF8">
            <w:pPr>
              <w:widowControl/>
              <w:adjustRightInd/>
              <w:spacing w:line="240" w:lineRule="auto"/>
              <w:jc w:val="left"/>
              <w:textAlignment w:val="auto"/>
              <w:rPr>
                <w:sz w:val="20"/>
                <w:szCs w:val="20"/>
                <w:lang w:val="es-ES_tradnl"/>
              </w:rPr>
            </w:pPr>
          </w:p>
          <w:p w:rsidR="0070798D" w:rsidRPr="00ED15A8" w:rsidRDefault="0070798D" w:rsidP="00727FF8">
            <w:pPr>
              <w:widowControl/>
              <w:adjustRightInd/>
              <w:spacing w:line="240" w:lineRule="auto"/>
              <w:jc w:val="left"/>
              <w:textAlignment w:val="auto"/>
              <w:rPr>
                <w:sz w:val="20"/>
                <w:szCs w:val="20"/>
                <w:lang w:val="es-ES_tradnl"/>
              </w:rPr>
            </w:pPr>
            <w:r w:rsidRPr="0070798D">
              <w:rPr>
                <w:i/>
                <w:sz w:val="20"/>
                <w:szCs w:val="20"/>
                <w:lang w:val="es-ES_tradnl"/>
              </w:rPr>
              <w:t>Indicador:</w:t>
            </w:r>
            <w:r>
              <w:rPr>
                <w:sz w:val="20"/>
                <w:szCs w:val="20"/>
                <w:lang w:val="es-ES_tradnl"/>
              </w:rPr>
              <w:t xml:space="preserve"> </w:t>
            </w:r>
            <w:r w:rsidR="00D22FCF">
              <w:rPr>
                <w:sz w:val="20"/>
                <w:szCs w:val="20"/>
                <w:lang w:val="es-ES_tradnl"/>
              </w:rPr>
              <w:t>Ordenanza actualizada</w:t>
            </w:r>
            <w:r>
              <w:rPr>
                <w:sz w:val="20"/>
                <w:szCs w:val="20"/>
                <w:lang w:val="es-ES_tradnl"/>
              </w:rPr>
              <w:t xml:space="preserve"> (#)</w:t>
            </w:r>
          </w:p>
          <w:p w:rsidR="0070798D" w:rsidRPr="00727FF8" w:rsidRDefault="0070798D" w:rsidP="00727FF8">
            <w:pPr>
              <w:widowControl/>
              <w:adjustRightInd/>
              <w:spacing w:line="240" w:lineRule="auto"/>
              <w:jc w:val="left"/>
              <w:textAlignment w:val="auto"/>
              <w:rPr>
                <w:sz w:val="20"/>
                <w:szCs w:val="20"/>
                <w:lang w:val="es-ES_tradnl"/>
              </w:rPr>
            </w:pPr>
          </w:p>
          <w:p w:rsidR="00727FF8" w:rsidRPr="00727FF8" w:rsidRDefault="00727FF8" w:rsidP="00727FF8">
            <w:pPr>
              <w:widowControl/>
              <w:adjustRightInd/>
              <w:spacing w:line="240" w:lineRule="auto"/>
              <w:jc w:val="left"/>
              <w:textAlignment w:val="auto"/>
              <w:rPr>
                <w:color w:val="365F91"/>
                <w:sz w:val="18"/>
                <w:szCs w:val="20"/>
                <w:lang w:val="es-ES_tradnl"/>
              </w:rPr>
            </w:pPr>
            <w:r w:rsidRPr="00727FF8">
              <w:rPr>
                <w:sz w:val="20"/>
                <w:szCs w:val="20"/>
                <w:lang w:val="es-ES_tradnl"/>
              </w:rPr>
              <w:t>Socialización, evaluación y ajustes de la Guía para la ejecución de planes de tratamiento de cauces para el control de inundaciones</w:t>
            </w:r>
            <w:r w:rsidRPr="00727FF8">
              <w:rPr>
                <w:color w:val="365F91"/>
                <w:sz w:val="18"/>
                <w:szCs w:val="20"/>
                <w:lang w:val="es-ES_tradnl"/>
              </w:rPr>
              <w:t>.</w:t>
            </w:r>
          </w:p>
          <w:p w:rsidR="00727FF8" w:rsidRDefault="0070798D" w:rsidP="00727FF8">
            <w:pPr>
              <w:ind w:left="389" w:hanging="389"/>
              <w:rPr>
                <w:sz w:val="20"/>
                <w:szCs w:val="20"/>
                <w:lang w:val="es-ES_tradnl"/>
              </w:rPr>
            </w:pPr>
            <w:r w:rsidRPr="0070798D">
              <w:rPr>
                <w:i/>
                <w:sz w:val="20"/>
                <w:szCs w:val="20"/>
                <w:lang w:val="es-ES_tradnl"/>
              </w:rPr>
              <w:t>Indicador:</w:t>
            </w:r>
            <w:r>
              <w:rPr>
                <w:sz w:val="20"/>
                <w:szCs w:val="20"/>
                <w:lang w:val="es-ES_tradnl"/>
              </w:rPr>
              <w:t xml:space="preserve"> Guía </w:t>
            </w:r>
            <w:r w:rsidR="003C2269">
              <w:rPr>
                <w:sz w:val="20"/>
                <w:szCs w:val="20"/>
                <w:lang w:val="es-ES_tradnl"/>
              </w:rPr>
              <w:t xml:space="preserve">validada </w:t>
            </w:r>
            <w:r w:rsidR="00ED15A8">
              <w:rPr>
                <w:sz w:val="20"/>
                <w:szCs w:val="20"/>
                <w:lang w:val="es-ES_tradnl"/>
              </w:rPr>
              <w:t>y socializada</w:t>
            </w:r>
            <w:r>
              <w:rPr>
                <w:sz w:val="20"/>
                <w:szCs w:val="20"/>
                <w:lang w:val="es-ES_tradnl"/>
              </w:rPr>
              <w:t xml:space="preserve"> (#)</w:t>
            </w:r>
          </w:p>
          <w:p w:rsidR="0070798D" w:rsidRPr="00727FF8" w:rsidRDefault="0070798D" w:rsidP="00727FF8">
            <w:pPr>
              <w:ind w:left="389" w:hanging="389"/>
              <w:rPr>
                <w:sz w:val="20"/>
                <w:szCs w:val="20"/>
                <w:lang w:val="es-ES_tradnl"/>
              </w:rPr>
            </w:pPr>
          </w:p>
          <w:p w:rsid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Elaboración, validación y socialización de lineamientos articulados con los gobiernos regionales, locales, otros sectores y ONG´S, para el manejo de heladas (protección del ganado vacuno, ovino y camélido).</w:t>
            </w:r>
          </w:p>
          <w:p w:rsidR="0070798D" w:rsidRDefault="0070798D" w:rsidP="00727FF8">
            <w:pPr>
              <w:widowControl/>
              <w:adjustRightInd/>
              <w:spacing w:line="240" w:lineRule="auto"/>
              <w:jc w:val="left"/>
              <w:textAlignment w:val="auto"/>
              <w:rPr>
                <w:sz w:val="20"/>
                <w:szCs w:val="20"/>
                <w:lang w:val="es-ES_tradnl"/>
              </w:rPr>
            </w:pPr>
          </w:p>
          <w:p w:rsidR="00727FF8" w:rsidRDefault="0070798D" w:rsidP="00727FF8">
            <w:pPr>
              <w:widowControl/>
              <w:adjustRightInd/>
              <w:spacing w:line="240" w:lineRule="auto"/>
              <w:jc w:val="left"/>
              <w:textAlignment w:val="auto"/>
              <w:rPr>
                <w:rFonts w:eastAsia="Times New Roman"/>
                <w:sz w:val="20"/>
                <w:szCs w:val="20"/>
                <w:lang w:val="es-ES_tradnl" w:eastAsia="es-ES"/>
              </w:rPr>
            </w:pPr>
            <w:r w:rsidRPr="0070798D">
              <w:rPr>
                <w:i/>
                <w:sz w:val="20"/>
                <w:szCs w:val="20"/>
                <w:lang w:val="es-ES_tradnl"/>
              </w:rPr>
              <w:lastRenderedPageBreak/>
              <w:t>Indicador:</w:t>
            </w:r>
            <w:r>
              <w:rPr>
                <w:sz w:val="20"/>
                <w:szCs w:val="20"/>
                <w:lang w:val="es-ES_tradnl"/>
              </w:rPr>
              <w:t xml:space="preserve"> </w:t>
            </w:r>
            <w:r w:rsidR="00ED15A8">
              <w:rPr>
                <w:rFonts w:eastAsia="Times New Roman"/>
                <w:sz w:val="20"/>
                <w:szCs w:val="20"/>
                <w:lang w:val="es-ES_tradnl" w:eastAsia="es-ES"/>
              </w:rPr>
              <w:t xml:space="preserve"> Informe final de lineamientos aprobado (#)</w:t>
            </w:r>
          </w:p>
          <w:p w:rsidR="00ED15A8" w:rsidRDefault="00ED15A8" w:rsidP="00727FF8">
            <w:pPr>
              <w:widowControl/>
              <w:adjustRightInd/>
              <w:spacing w:line="240" w:lineRule="auto"/>
              <w:jc w:val="left"/>
              <w:textAlignment w:val="auto"/>
              <w:rPr>
                <w:sz w:val="20"/>
                <w:szCs w:val="20"/>
                <w:lang w:val="es-ES_tradnl"/>
              </w:rPr>
            </w:pPr>
          </w:p>
          <w:p w:rsidR="00727FF8" w:rsidRDefault="00727FF8" w:rsidP="00727FF8">
            <w:pPr>
              <w:widowControl/>
              <w:adjustRightInd/>
              <w:spacing w:line="240" w:lineRule="auto"/>
              <w:jc w:val="left"/>
              <w:textAlignment w:val="auto"/>
              <w:rPr>
                <w:sz w:val="20"/>
                <w:szCs w:val="20"/>
                <w:lang w:val="es-ES_tradnl"/>
              </w:rPr>
            </w:pPr>
            <w:r w:rsidRPr="00727FF8">
              <w:rPr>
                <w:sz w:val="20"/>
                <w:szCs w:val="20"/>
                <w:lang w:val="es-ES_tradnl"/>
              </w:rPr>
              <w:t>Formulación</w:t>
            </w:r>
            <w:r w:rsidR="00F42169">
              <w:rPr>
                <w:sz w:val="20"/>
                <w:szCs w:val="20"/>
                <w:lang w:val="es-ES_tradnl"/>
              </w:rPr>
              <w:t xml:space="preserve"> y</w:t>
            </w:r>
            <w:r w:rsidRPr="00727FF8">
              <w:rPr>
                <w:sz w:val="20"/>
                <w:szCs w:val="20"/>
                <w:lang w:val="es-ES_tradnl"/>
              </w:rPr>
              <w:t xml:space="preserve"> validación de una propuesta técnica de actualización de las </w:t>
            </w:r>
            <w:r w:rsidRPr="00727FF8">
              <w:rPr>
                <w:i/>
                <w:sz w:val="20"/>
                <w:szCs w:val="20"/>
                <w:lang w:val="es-ES_tradnl"/>
              </w:rPr>
              <w:t>pautas metodológicas</w:t>
            </w:r>
            <w:r w:rsidRPr="00727FF8">
              <w:rPr>
                <w:sz w:val="20"/>
                <w:szCs w:val="20"/>
                <w:lang w:val="es-ES_tradnl"/>
              </w:rPr>
              <w:t xml:space="preserve"> para incorporar la gestión integral del riesgo de desastres en los proyectos de inversión pública, ajustando el componente de riesgo de desastres y considerando aspectos de cambio climático en relación al recurso agua</w:t>
            </w:r>
          </w:p>
          <w:p w:rsidR="0070798D" w:rsidRDefault="0070798D" w:rsidP="00727FF8">
            <w:pPr>
              <w:widowControl/>
              <w:adjustRightInd/>
              <w:spacing w:line="240" w:lineRule="auto"/>
              <w:jc w:val="left"/>
              <w:textAlignment w:val="auto"/>
              <w:rPr>
                <w:sz w:val="20"/>
                <w:szCs w:val="20"/>
                <w:lang w:val="es-ES_tradnl"/>
              </w:rPr>
            </w:pPr>
          </w:p>
          <w:p w:rsidR="00727FF8" w:rsidRPr="00C05771" w:rsidRDefault="0070798D" w:rsidP="00C05771">
            <w:pPr>
              <w:widowControl/>
              <w:adjustRightInd/>
              <w:spacing w:line="240" w:lineRule="auto"/>
              <w:jc w:val="left"/>
              <w:textAlignment w:val="auto"/>
              <w:rPr>
                <w:sz w:val="20"/>
                <w:szCs w:val="20"/>
                <w:lang w:val="es-ES_tradnl"/>
              </w:rPr>
            </w:pPr>
            <w:r w:rsidRPr="00C05771">
              <w:rPr>
                <w:i/>
                <w:sz w:val="20"/>
                <w:szCs w:val="20"/>
                <w:lang w:val="es-ES_tradnl"/>
              </w:rPr>
              <w:t>Indicador:</w:t>
            </w:r>
            <w:r w:rsidR="00ED15A8" w:rsidRPr="00C05771">
              <w:rPr>
                <w:sz w:val="20"/>
                <w:szCs w:val="20"/>
                <w:lang w:val="es-ES_tradnl"/>
              </w:rPr>
              <w:t xml:space="preserve"> </w:t>
            </w:r>
            <w:r w:rsidR="00C05771" w:rsidRPr="00411D9B">
              <w:rPr>
                <w:sz w:val="20"/>
                <w:szCs w:val="20"/>
                <w:lang w:val="es-ES"/>
              </w:rPr>
              <w:t xml:space="preserve">Documento de propuesta de pautas metodológicas para incorporar la gestión integral del riesgo de desastres en los proyectos de inversión pública </w:t>
            </w:r>
            <w:r w:rsidR="00C05771" w:rsidRPr="00C05771">
              <w:rPr>
                <w:rFonts w:eastAsia="Times New Roman"/>
                <w:sz w:val="20"/>
                <w:szCs w:val="20"/>
                <w:lang w:val="es-ES_tradnl" w:eastAsia="es-ES"/>
              </w:rPr>
              <w:t xml:space="preserve"> </w:t>
            </w: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27FF8" w:rsidRPr="00C05771" w:rsidRDefault="00727FF8" w:rsidP="00976A9E">
            <w:pPr>
              <w:widowControl/>
              <w:adjustRightInd/>
              <w:spacing w:before="120" w:after="120" w:line="240" w:lineRule="auto"/>
              <w:jc w:val="center"/>
              <w:textAlignment w:val="auto"/>
              <w:rPr>
                <w:rFonts w:eastAsia="Times New Roman"/>
                <w:color w:val="auto"/>
                <w:sz w:val="22"/>
                <w:lang w:val="es-ES_tradnl"/>
              </w:rPr>
            </w:pPr>
          </w:p>
          <w:p w:rsidR="00727FF8" w:rsidRPr="00C05771" w:rsidRDefault="00727FF8" w:rsidP="00976A9E">
            <w:pPr>
              <w:widowControl/>
              <w:adjustRightInd/>
              <w:spacing w:before="120" w:after="120" w:line="240" w:lineRule="auto"/>
              <w:jc w:val="center"/>
              <w:textAlignment w:val="auto"/>
              <w:rPr>
                <w:rFonts w:eastAsia="Times New Roman"/>
                <w:color w:val="auto"/>
                <w:sz w:val="22"/>
                <w:lang w:val="es-ES_tradnl"/>
              </w:rPr>
            </w:pPr>
          </w:p>
          <w:p w:rsidR="00727FF8" w:rsidRDefault="00727FF8" w:rsidP="00727FF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727FF8">
            <w:pPr>
              <w:widowControl/>
              <w:adjustRightInd/>
              <w:spacing w:before="120" w:after="120" w:line="240" w:lineRule="auto"/>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727FF8">
            <w:pPr>
              <w:widowControl/>
              <w:adjustRightInd/>
              <w:spacing w:before="120" w:after="120" w:line="240" w:lineRule="auto"/>
              <w:textAlignment w:val="auto"/>
              <w:rPr>
                <w:rFonts w:eastAsia="Times New Roman"/>
                <w:color w:val="auto"/>
                <w:sz w:val="22"/>
                <w:lang w:val="es-ES"/>
              </w:rPr>
            </w:pPr>
          </w:p>
          <w:p w:rsidR="00E674B4" w:rsidRDefault="00E674B4" w:rsidP="00976A9E">
            <w:pPr>
              <w:widowControl/>
              <w:adjustRightInd/>
              <w:spacing w:before="120" w:after="120" w:line="240" w:lineRule="auto"/>
              <w:jc w:val="center"/>
              <w:textAlignment w:val="auto"/>
              <w:rPr>
                <w:rFonts w:eastAsia="Times New Roman"/>
                <w:color w:val="auto"/>
                <w:sz w:val="22"/>
                <w:lang w:val="es-ES"/>
              </w:rPr>
            </w:pPr>
          </w:p>
          <w:p w:rsidR="00E674B4" w:rsidRDefault="00E674B4"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E674B4">
            <w:pPr>
              <w:widowControl/>
              <w:adjustRightInd/>
              <w:spacing w:before="120" w:after="120" w:line="240" w:lineRule="auto"/>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E674B4" w:rsidRDefault="00E674B4"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E674B4" w:rsidRDefault="00E674B4"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E674B4" w:rsidRDefault="00E674B4" w:rsidP="00976A9E">
            <w:pPr>
              <w:widowControl/>
              <w:adjustRightInd/>
              <w:spacing w:before="120" w:after="120" w:line="240" w:lineRule="auto"/>
              <w:jc w:val="center"/>
              <w:textAlignment w:val="auto"/>
              <w:rPr>
                <w:rFonts w:eastAsia="Times New Roman"/>
                <w:color w:val="auto"/>
                <w:sz w:val="22"/>
                <w:lang w:val="es-ES"/>
              </w:rPr>
            </w:pPr>
          </w:p>
          <w:p w:rsidR="00E674B4" w:rsidRDefault="00E674B4"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727FF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p>
          <w:p w:rsidR="00E674B4" w:rsidRDefault="00E674B4" w:rsidP="00976A9E">
            <w:pPr>
              <w:widowControl/>
              <w:adjustRightInd/>
              <w:spacing w:before="120" w:after="120" w:line="240" w:lineRule="auto"/>
              <w:jc w:val="center"/>
              <w:textAlignment w:val="auto"/>
              <w:rPr>
                <w:rFonts w:eastAsia="Times New Roman"/>
                <w:color w:val="auto"/>
                <w:sz w:val="22"/>
                <w:lang w:val="es-ES"/>
              </w:rPr>
            </w:pPr>
          </w:p>
          <w:p w:rsidR="00727FF8" w:rsidRDefault="00727FF8" w:rsidP="00976A9E">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0798D" w:rsidRDefault="0070798D" w:rsidP="00976A9E">
            <w:pPr>
              <w:widowControl/>
              <w:adjustRightInd/>
              <w:spacing w:before="120" w:after="120" w:line="240" w:lineRule="auto"/>
              <w:jc w:val="center"/>
              <w:textAlignment w:val="auto"/>
              <w:rPr>
                <w:rFonts w:eastAsia="Times New Roman"/>
                <w:color w:val="auto"/>
                <w:sz w:val="22"/>
                <w:lang w:val="es-ES"/>
              </w:rPr>
            </w:pPr>
          </w:p>
          <w:p w:rsidR="0070798D" w:rsidRDefault="0070798D" w:rsidP="00976A9E">
            <w:pPr>
              <w:widowControl/>
              <w:adjustRightInd/>
              <w:spacing w:before="120" w:after="120" w:line="240" w:lineRule="auto"/>
              <w:jc w:val="center"/>
              <w:textAlignment w:val="auto"/>
              <w:rPr>
                <w:rFonts w:eastAsia="Times New Roman"/>
                <w:color w:val="auto"/>
                <w:sz w:val="22"/>
                <w:lang w:val="es-ES"/>
              </w:rPr>
            </w:pPr>
          </w:p>
          <w:p w:rsidR="0070798D" w:rsidRDefault="0070798D" w:rsidP="00E674B4">
            <w:pPr>
              <w:widowControl/>
              <w:adjustRightInd/>
              <w:spacing w:before="120" w:after="120" w:line="240" w:lineRule="auto"/>
              <w:textAlignment w:val="auto"/>
              <w:rPr>
                <w:rFonts w:eastAsia="Times New Roman"/>
                <w:color w:val="auto"/>
                <w:sz w:val="22"/>
                <w:lang w:val="es-ES"/>
              </w:rPr>
            </w:pPr>
          </w:p>
          <w:p w:rsidR="0070798D" w:rsidRDefault="0070798D" w:rsidP="00976A9E">
            <w:pPr>
              <w:widowControl/>
              <w:adjustRightInd/>
              <w:spacing w:before="120" w:after="120" w:line="240" w:lineRule="auto"/>
              <w:jc w:val="center"/>
              <w:textAlignment w:val="auto"/>
              <w:rPr>
                <w:rFonts w:eastAsia="Times New Roman"/>
                <w:color w:val="auto"/>
                <w:sz w:val="22"/>
                <w:lang w:val="es-ES"/>
              </w:rPr>
            </w:pPr>
          </w:p>
          <w:p w:rsidR="003C2269" w:rsidRDefault="003C2269" w:rsidP="00976A9E">
            <w:pPr>
              <w:widowControl/>
              <w:adjustRightInd/>
              <w:spacing w:before="120" w:after="120" w:line="240" w:lineRule="auto"/>
              <w:jc w:val="center"/>
              <w:textAlignment w:val="auto"/>
              <w:rPr>
                <w:rFonts w:eastAsia="Times New Roman"/>
                <w:color w:val="auto"/>
                <w:sz w:val="22"/>
                <w:lang w:val="es-ES"/>
              </w:rPr>
            </w:pPr>
          </w:p>
          <w:p w:rsidR="003C2269" w:rsidRDefault="003C2269" w:rsidP="00976A9E">
            <w:pPr>
              <w:widowControl/>
              <w:adjustRightInd/>
              <w:spacing w:before="120" w:after="120" w:line="240" w:lineRule="auto"/>
              <w:jc w:val="center"/>
              <w:textAlignment w:val="auto"/>
              <w:rPr>
                <w:rFonts w:eastAsia="Times New Roman"/>
                <w:color w:val="auto"/>
                <w:sz w:val="22"/>
                <w:lang w:val="es-ES"/>
              </w:rPr>
            </w:pPr>
          </w:p>
          <w:p w:rsidR="0070798D" w:rsidRDefault="0070798D" w:rsidP="00976A9E">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lastRenderedPageBreak/>
              <w:t>0</w:t>
            </w:r>
          </w:p>
          <w:p w:rsidR="0070798D" w:rsidRDefault="0070798D" w:rsidP="00976A9E">
            <w:pPr>
              <w:widowControl/>
              <w:adjustRightInd/>
              <w:spacing w:before="120" w:after="120" w:line="240" w:lineRule="auto"/>
              <w:jc w:val="center"/>
              <w:textAlignment w:val="auto"/>
              <w:rPr>
                <w:rFonts w:eastAsia="Times New Roman"/>
                <w:color w:val="auto"/>
                <w:sz w:val="22"/>
                <w:lang w:val="es-ES"/>
              </w:rPr>
            </w:pPr>
          </w:p>
          <w:p w:rsidR="0070798D" w:rsidRDefault="0070798D" w:rsidP="00976A9E">
            <w:pPr>
              <w:widowControl/>
              <w:adjustRightInd/>
              <w:spacing w:before="120" w:after="120" w:line="240" w:lineRule="auto"/>
              <w:jc w:val="center"/>
              <w:textAlignment w:val="auto"/>
              <w:rPr>
                <w:rFonts w:eastAsia="Times New Roman"/>
                <w:color w:val="auto"/>
                <w:sz w:val="22"/>
                <w:lang w:val="es-ES"/>
              </w:rPr>
            </w:pPr>
          </w:p>
          <w:p w:rsidR="0070798D" w:rsidRDefault="0070798D" w:rsidP="00976A9E">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textAlignment w:val="auto"/>
              <w:rPr>
                <w:rFonts w:eastAsia="Times New Roman"/>
                <w:color w:val="auto"/>
                <w:sz w:val="22"/>
                <w:lang w:val="es-ES"/>
              </w:rPr>
            </w:pPr>
          </w:p>
          <w:p w:rsidR="00E674B4" w:rsidRDefault="00E674B4" w:rsidP="0070798D">
            <w:pPr>
              <w:widowControl/>
              <w:adjustRightInd/>
              <w:spacing w:before="120" w:after="120" w:line="240" w:lineRule="auto"/>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3C2269" w:rsidRDefault="003C2269"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0798D" w:rsidRDefault="0070798D" w:rsidP="0070798D">
            <w:pPr>
              <w:widowControl/>
              <w:adjustRightInd/>
              <w:spacing w:before="120" w:after="120" w:line="240" w:lineRule="auto"/>
              <w:textAlignment w:val="auto"/>
              <w:rPr>
                <w:rFonts w:eastAsia="Times New Roman"/>
                <w:color w:val="auto"/>
                <w:sz w:val="22"/>
                <w:lang w:val="es-ES"/>
              </w:rPr>
            </w:pPr>
          </w:p>
          <w:p w:rsidR="0070798D" w:rsidRDefault="0070798D" w:rsidP="0070798D">
            <w:pPr>
              <w:widowControl/>
              <w:adjustRightInd/>
              <w:spacing w:before="120" w:after="120" w:line="240" w:lineRule="auto"/>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E674B4" w:rsidRDefault="00E674B4"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lastRenderedPageBreak/>
              <w:t>0</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ED15A8" w:rsidRDefault="00ED15A8"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ED15A8">
            <w:pPr>
              <w:widowControl/>
              <w:adjustRightInd/>
              <w:spacing w:before="120" w:after="120" w:line="240" w:lineRule="auto"/>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ED15A8" w:rsidRDefault="00ED15A8"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tc>
        <w:tc>
          <w:tcPr>
            <w:tcW w:w="79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27FF8" w:rsidRPr="00E929DC" w:rsidRDefault="00727FF8" w:rsidP="002A4A08">
            <w:pPr>
              <w:widowControl/>
              <w:adjustRightInd/>
              <w:spacing w:before="120" w:after="120" w:line="240" w:lineRule="auto"/>
              <w:jc w:val="center"/>
              <w:textAlignment w:val="auto"/>
              <w:rPr>
                <w:rFonts w:eastAsia="Times New Roman"/>
                <w:color w:val="auto"/>
                <w:sz w:val="22"/>
                <w:lang w:val="es-ES"/>
              </w:rPr>
            </w:pPr>
          </w:p>
        </w:tc>
        <w:tc>
          <w:tcPr>
            <w:tcW w:w="8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27FF8" w:rsidRPr="00E929DC" w:rsidRDefault="00727FF8"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27FF8" w:rsidRPr="00E929DC" w:rsidRDefault="00727FF8"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27FF8" w:rsidRPr="00E929DC" w:rsidRDefault="00727FF8"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vAlign w:val="center"/>
          </w:tcPr>
          <w:p w:rsidR="00727FF8" w:rsidRPr="00E929DC" w:rsidRDefault="00727FF8"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27FF8" w:rsidRDefault="00727FF8" w:rsidP="00727FF8">
            <w:pPr>
              <w:widowControl/>
              <w:adjustRightInd/>
              <w:spacing w:before="120" w:after="120" w:line="240" w:lineRule="auto"/>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E674B4" w:rsidRDefault="00E674B4"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727FF8">
            <w:pPr>
              <w:widowControl/>
              <w:adjustRightInd/>
              <w:spacing w:before="120" w:after="120" w:line="240" w:lineRule="auto"/>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E674B4" w:rsidRDefault="00E674B4"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E674B4" w:rsidRDefault="00E674B4"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E674B4" w:rsidRDefault="00E674B4" w:rsidP="002A4A08">
            <w:pPr>
              <w:widowControl/>
              <w:adjustRightInd/>
              <w:spacing w:before="120" w:after="120" w:line="240" w:lineRule="auto"/>
              <w:jc w:val="center"/>
              <w:textAlignment w:val="auto"/>
              <w:rPr>
                <w:rFonts w:eastAsia="Times New Roman"/>
                <w:color w:val="auto"/>
                <w:sz w:val="22"/>
                <w:lang w:val="es-ES"/>
              </w:rPr>
            </w:pPr>
          </w:p>
          <w:p w:rsidR="00E674B4" w:rsidRDefault="00E674B4"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E674B4" w:rsidRDefault="00E674B4"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27FF8" w:rsidRDefault="00727FF8"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27FF8" w:rsidRDefault="00727FF8" w:rsidP="002A4A08">
            <w:pPr>
              <w:widowControl/>
              <w:adjustRightInd/>
              <w:spacing w:before="120" w:after="120" w:line="240" w:lineRule="auto"/>
              <w:jc w:val="center"/>
              <w:textAlignment w:val="auto"/>
              <w:rPr>
                <w:rFonts w:eastAsia="Times New Roman"/>
                <w:color w:val="auto"/>
                <w:sz w:val="22"/>
                <w:lang w:val="es-ES"/>
              </w:rPr>
            </w:pPr>
          </w:p>
          <w:p w:rsidR="0070798D" w:rsidRDefault="0070798D" w:rsidP="002A4A08">
            <w:pPr>
              <w:widowControl/>
              <w:adjustRightInd/>
              <w:spacing w:before="120" w:after="120" w:line="240" w:lineRule="auto"/>
              <w:jc w:val="center"/>
              <w:textAlignment w:val="auto"/>
              <w:rPr>
                <w:rFonts w:eastAsia="Times New Roman"/>
                <w:color w:val="auto"/>
                <w:sz w:val="22"/>
                <w:lang w:val="es-ES"/>
              </w:rPr>
            </w:pPr>
          </w:p>
          <w:p w:rsidR="0070798D" w:rsidRDefault="0070798D" w:rsidP="00E674B4">
            <w:pPr>
              <w:widowControl/>
              <w:adjustRightInd/>
              <w:spacing w:before="120" w:after="120" w:line="240" w:lineRule="auto"/>
              <w:textAlignment w:val="auto"/>
              <w:rPr>
                <w:rFonts w:eastAsia="Times New Roman"/>
                <w:color w:val="auto"/>
                <w:sz w:val="22"/>
                <w:lang w:val="es-ES"/>
              </w:rPr>
            </w:pPr>
          </w:p>
          <w:p w:rsidR="0070798D" w:rsidRDefault="0070798D" w:rsidP="002A4A08">
            <w:pPr>
              <w:widowControl/>
              <w:adjustRightInd/>
              <w:spacing w:before="120" w:after="120" w:line="240" w:lineRule="auto"/>
              <w:jc w:val="center"/>
              <w:textAlignment w:val="auto"/>
              <w:rPr>
                <w:rFonts w:eastAsia="Times New Roman"/>
                <w:color w:val="auto"/>
                <w:sz w:val="22"/>
                <w:lang w:val="es-ES"/>
              </w:rPr>
            </w:pPr>
          </w:p>
          <w:p w:rsidR="003C2269" w:rsidRDefault="003C2269" w:rsidP="002A4A08">
            <w:pPr>
              <w:widowControl/>
              <w:adjustRightInd/>
              <w:spacing w:before="120" w:after="120" w:line="240" w:lineRule="auto"/>
              <w:jc w:val="center"/>
              <w:textAlignment w:val="auto"/>
              <w:rPr>
                <w:rFonts w:eastAsia="Times New Roman"/>
                <w:color w:val="auto"/>
                <w:sz w:val="22"/>
                <w:lang w:val="es-ES"/>
              </w:rPr>
            </w:pPr>
          </w:p>
          <w:p w:rsidR="003C2269" w:rsidRDefault="003C2269" w:rsidP="002A4A08">
            <w:pPr>
              <w:widowControl/>
              <w:adjustRightInd/>
              <w:spacing w:before="120" w:after="120" w:line="240" w:lineRule="auto"/>
              <w:jc w:val="center"/>
              <w:textAlignment w:val="auto"/>
              <w:rPr>
                <w:rFonts w:eastAsia="Times New Roman"/>
                <w:color w:val="auto"/>
                <w:sz w:val="22"/>
                <w:lang w:val="es-ES"/>
              </w:rPr>
            </w:pPr>
          </w:p>
          <w:p w:rsidR="0070798D" w:rsidRDefault="00E674B4"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lastRenderedPageBreak/>
              <w:t>5</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E674B4" w:rsidRDefault="00E674B4"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3C2269" w:rsidRDefault="003C2269"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E674B4" w:rsidRDefault="00E674B4"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lastRenderedPageBreak/>
              <w:t>1</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ED15A8" w:rsidRDefault="00ED15A8"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ED15A8">
            <w:pPr>
              <w:widowControl/>
              <w:adjustRightInd/>
              <w:spacing w:before="120" w:after="120" w:line="240" w:lineRule="auto"/>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p>
          <w:p w:rsidR="00ED15A8" w:rsidRDefault="00ED15A8" w:rsidP="0070798D">
            <w:pPr>
              <w:widowControl/>
              <w:adjustRightInd/>
              <w:spacing w:before="120" w:after="120" w:line="240" w:lineRule="auto"/>
              <w:jc w:val="center"/>
              <w:textAlignment w:val="auto"/>
              <w:rPr>
                <w:rFonts w:eastAsia="Times New Roman"/>
                <w:color w:val="auto"/>
                <w:sz w:val="22"/>
                <w:lang w:val="es-ES"/>
              </w:rPr>
            </w:pPr>
          </w:p>
          <w:p w:rsidR="0070798D" w:rsidRDefault="0070798D" w:rsidP="0070798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tc>
        <w:tc>
          <w:tcPr>
            <w:tcW w:w="3290"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727FF8" w:rsidRPr="006C59C0" w:rsidRDefault="00612874" w:rsidP="00BF344C">
            <w:pPr>
              <w:widowControl/>
              <w:pBdr>
                <w:top w:val="single" w:sz="4" w:space="1" w:color="auto"/>
              </w:pBdr>
              <w:adjustRightInd/>
              <w:spacing w:before="120" w:after="120" w:line="240" w:lineRule="auto"/>
              <w:ind w:right="144"/>
              <w:jc w:val="left"/>
              <w:textAlignment w:val="auto"/>
              <w:rPr>
                <w:rFonts w:eastAsia="Arial Unicode MS"/>
                <w:b/>
                <w:i/>
                <w:color w:val="auto"/>
                <w:sz w:val="20"/>
                <w:szCs w:val="20"/>
                <w:lang w:val="es-ES"/>
              </w:rPr>
            </w:pPr>
            <w:r>
              <w:rPr>
                <w:rFonts w:eastAsia="Arial Unicode MS"/>
                <w:b/>
                <w:i/>
                <w:color w:val="auto"/>
                <w:sz w:val="20"/>
                <w:szCs w:val="20"/>
                <w:lang w:val="es-ES"/>
              </w:rPr>
              <w:lastRenderedPageBreak/>
              <w:t xml:space="preserve">Medio de verificación: </w:t>
            </w:r>
            <w:r w:rsidRPr="00612874">
              <w:rPr>
                <w:rFonts w:eastAsia="Arial Unicode MS"/>
                <w:color w:val="auto"/>
                <w:sz w:val="20"/>
                <w:szCs w:val="20"/>
                <w:lang w:val="es-ES"/>
              </w:rPr>
              <w:t>Matriz de verificables</w:t>
            </w:r>
          </w:p>
        </w:tc>
      </w:tr>
      <w:tr w:rsidR="008C6F26" w:rsidRPr="00EF7BA5" w:rsidTr="00BF344C">
        <w:trPr>
          <w:trHeight w:val="270"/>
          <w:jc w:val="center"/>
        </w:trPr>
        <w:tc>
          <w:tcPr>
            <w:tcW w:w="41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8C6F26" w:rsidRDefault="004A0341" w:rsidP="00C94EB9">
            <w:pPr>
              <w:widowControl/>
              <w:adjustRightInd/>
              <w:spacing w:before="120" w:after="120" w:line="240" w:lineRule="auto"/>
              <w:ind w:right="9"/>
              <w:jc w:val="left"/>
              <w:textAlignment w:val="auto"/>
              <w:rPr>
                <w:rFonts w:eastAsia="Times New Roman"/>
                <w:b/>
                <w:color w:val="auto"/>
                <w:sz w:val="22"/>
                <w:lang w:val="es-ES"/>
              </w:rPr>
            </w:pPr>
            <w:r>
              <w:rPr>
                <w:rFonts w:eastAsia="Times New Roman"/>
                <w:b/>
                <w:color w:val="auto"/>
                <w:sz w:val="22"/>
                <w:lang w:val="es-ES"/>
              </w:rPr>
              <w:lastRenderedPageBreak/>
              <w:t xml:space="preserve">Resultado 3: </w:t>
            </w:r>
            <w:r w:rsidR="008C6F26" w:rsidRPr="00E519DB">
              <w:rPr>
                <w:rFonts w:eastAsia="Times New Roman"/>
                <w:b/>
                <w:color w:val="auto"/>
                <w:sz w:val="22"/>
                <w:lang w:val="es-ES"/>
              </w:rPr>
              <w:t>Capacidad nacional de manejo de desastres incrementada</w:t>
            </w:r>
          </w:p>
          <w:p w:rsidR="008C6F26" w:rsidRDefault="008C6F26" w:rsidP="00C94EB9">
            <w:pPr>
              <w:widowControl/>
              <w:adjustRightInd/>
              <w:spacing w:before="120" w:after="120" w:line="240" w:lineRule="auto"/>
              <w:ind w:right="9"/>
              <w:jc w:val="left"/>
              <w:textAlignment w:val="auto"/>
              <w:rPr>
                <w:rFonts w:eastAsia="Times New Roman"/>
                <w:b/>
                <w:color w:val="auto"/>
                <w:sz w:val="22"/>
                <w:lang w:val="es-ES"/>
              </w:rPr>
            </w:pPr>
          </w:p>
          <w:p w:rsidR="008C6F26" w:rsidRDefault="008C6F26" w:rsidP="00C94EB9">
            <w:pPr>
              <w:widowControl/>
              <w:adjustRightInd/>
              <w:spacing w:before="120" w:after="120" w:line="240" w:lineRule="auto"/>
              <w:ind w:right="9"/>
              <w:jc w:val="left"/>
              <w:textAlignment w:val="auto"/>
              <w:rPr>
                <w:rFonts w:eastAsia="Times New Roman"/>
                <w:i/>
                <w:color w:val="auto"/>
                <w:sz w:val="22"/>
                <w:lang w:val="es-ES"/>
              </w:rPr>
            </w:pPr>
            <w:r w:rsidRPr="00280CF3">
              <w:rPr>
                <w:rFonts w:eastAsia="Times New Roman"/>
                <w:i/>
                <w:color w:val="auto"/>
                <w:sz w:val="22"/>
                <w:lang w:val="es-ES"/>
              </w:rPr>
              <w:t>Indicador</w:t>
            </w:r>
            <w:r w:rsidR="00EF007F">
              <w:rPr>
                <w:rFonts w:eastAsia="Times New Roman"/>
                <w:i/>
                <w:color w:val="auto"/>
                <w:sz w:val="22"/>
                <w:lang w:val="es-ES"/>
              </w:rPr>
              <w:t>e</w:t>
            </w:r>
            <w:r w:rsidR="006C59C0">
              <w:rPr>
                <w:rFonts w:eastAsia="Times New Roman"/>
                <w:i/>
                <w:color w:val="auto"/>
                <w:sz w:val="22"/>
                <w:lang w:val="es-ES"/>
              </w:rPr>
              <w:t>s del IGR</w:t>
            </w:r>
            <w:r w:rsidRPr="00280CF3">
              <w:rPr>
                <w:rFonts w:eastAsia="Times New Roman"/>
                <w:i/>
                <w:color w:val="auto"/>
                <w:sz w:val="22"/>
                <w:lang w:val="es-ES"/>
              </w:rPr>
              <w:t>:</w:t>
            </w:r>
            <w:r>
              <w:rPr>
                <w:rFonts w:eastAsia="Times New Roman"/>
                <w:i/>
                <w:color w:val="auto"/>
                <w:sz w:val="22"/>
                <w:lang w:val="es-ES"/>
              </w:rPr>
              <w:t xml:space="preserve"> </w:t>
            </w:r>
            <w:r w:rsidRPr="008C6F26">
              <w:rPr>
                <w:rFonts w:eastAsia="Times New Roman"/>
                <w:color w:val="auto"/>
                <w:sz w:val="22"/>
                <w:lang w:val="es-ES"/>
              </w:rPr>
              <w:t xml:space="preserve">MD2 </w:t>
            </w:r>
            <w:r w:rsidR="00EF007F">
              <w:rPr>
                <w:rFonts w:eastAsia="Times New Roman"/>
                <w:color w:val="auto"/>
                <w:sz w:val="22"/>
                <w:lang w:val="es-ES"/>
              </w:rPr>
              <w:t xml:space="preserve">y MD4  son </w:t>
            </w:r>
            <w:r w:rsidRPr="008C6F26">
              <w:rPr>
                <w:rFonts w:eastAsia="Times New Roman"/>
                <w:color w:val="auto"/>
                <w:sz w:val="22"/>
                <w:lang w:val="es-ES"/>
              </w:rPr>
              <w:t>subíndice</w:t>
            </w:r>
            <w:r w:rsidR="00EF007F">
              <w:rPr>
                <w:rFonts w:eastAsia="Times New Roman"/>
                <w:color w:val="auto"/>
                <w:sz w:val="22"/>
                <w:lang w:val="es-ES"/>
              </w:rPr>
              <w:t>s</w:t>
            </w:r>
            <w:r w:rsidRPr="008C6F26">
              <w:rPr>
                <w:rFonts w:eastAsia="Times New Roman"/>
                <w:color w:val="auto"/>
                <w:sz w:val="22"/>
                <w:lang w:val="es-ES"/>
              </w:rPr>
              <w:t xml:space="preserve"> del componente</w:t>
            </w:r>
            <w:r w:rsidRPr="00645A05">
              <w:rPr>
                <w:rFonts w:eastAsia="Times New Roman"/>
                <w:color w:val="auto"/>
                <w:sz w:val="22"/>
                <w:lang w:val="es-ES"/>
              </w:rPr>
              <w:t xml:space="preserve"> de identificación del riesgo colectivo para medición del IGR:</w:t>
            </w:r>
            <w:r w:rsidRPr="00280CF3">
              <w:rPr>
                <w:rFonts w:eastAsia="Times New Roman"/>
                <w:i/>
                <w:color w:val="auto"/>
                <w:sz w:val="22"/>
                <w:lang w:val="es-ES"/>
              </w:rPr>
              <w:t xml:space="preserve">  </w:t>
            </w:r>
            <m:oMath>
              <m:sSub>
                <m:sSubPr>
                  <m:ctrlPr>
                    <w:rPr>
                      <w:rFonts w:ascii="Cambria Math" w:eastAsia="Times New Roman" w:hAnsi="Cambria Math"/>
                      <w:i/>
                      <w:color w:val="auto"/>
                      <w:sz w:val="22"/>
                      <w:lang w:val="es-ES"/>
                    </w:rPr>
                  </m:ctrlPr>
                </m:sSubPr>
                <m:e>
                  <m:r>
                    <w:rPr>
                      <w:rFonts w:ascii="Cambria Math" w:eastAsia="Times New Roman" w:hAnsi="Cambria Math"/>
                      <w:color w:val="auto"/>
                      <w:sz w:val="22"/>
                      <w:lang w:val="es-ES"/>
                    </w:rPr>
                    <m:t>IGR</m:t>
                  </m:r>
                </m:e>
                <m:sub>
                  <m:r>
                    <w:rPr>
                      <w:rFonts w:ascii="Cambria Math" w:eastAsia="Times New Roman" w:hAnsi="Cambria Math"/>
                      <w:color w:val="auto"/>
                      <w:sz w:val="22"/>
                      <w:lang w:val="es-ES"/>
                    </w:rPr>
                    <m:t>MD</m:t>
                  </m:r>
                </m:sub>
              </m:sSub>
            </m:oMath>
          </w:p>
          <w:p w:rsidR="007E449E" w:rsidRDefault="007E449E" w:rsidP="00C94EB9">
            <w:pPr>
              <w:widowControl/>
              <w:adjustRightInd/>
              <w:spacing w:before="120" w:after="120" w:line="240" w:lineRule="auto"/>
              <w:ind w:right="9"/>
              <w:jc w:val="left"/>
              <w:textAlignment w:val="auto"/>
              <w:rPr>
                <w:rFonts w:eastAsia="Times New Roman"/>
                <w:i/>
                <w:color w:val="auto"/>
                <w:sz w:val="22"/>
                <w:lang w:val="es-ES"/>
              </w:rPr>
            </w:pPr>
          </w:p>
          <w:p w:rsidR="008C6F26" w:rsidRDefault="00EF7BA5" w:rsidP="00C94EB9">
            <w:pPr>
              <w:widowControl/>
              <w:adjustRightInd/>
              <w:spacing w:before="120" w:after="120" w:line="240" w:lineRule="auto"/>
              <w:ind w:right="9"/>
              <w:jc w:val="left"/>
              <w:textAlignment w:val="auto"/>
              <w:rPr>
                <w:rFonts w:eastAsia="Times New Roman"/>
                <w:i/>
                <w:color w:val="auto"/>
                <w:sz w:val="22"/>
                <w:lang w:val="es-ES"/>
              </w:rPr>
            </w:pPr>
            <m:oMathPara>
              <m:oMath>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IGR</m:t>
                    </m:r>
                  </m:e>
                  <m:sub>
                    <m:r>
                      <w:rPr>
                        <w:rFonts w:ascii="Cambria Math" w:eastAsia="Arial Unicode MS" w:hAnsi="Cambria Math"/>
                        <w:color w:val="auto"/>
                        <w:sz w:val="22"/>
                        <w:lang w:val="es-ES"/>
                      </w:rPr>
                      <m:t>MD</m:t>
                    </m:r>
                  </m:sub>
                </m:sSub>
                <m:r>
                  <w:rPr>
                    <w:rFonts w:ascii="Cambria Math" w:eastAsia="Arial Unicode MS" w:hAnsi="Cambria Math"/>
                    <w:color w:val="auto"/>
                    <w:sz w:val="22"/>
                    <w:lang w:val="es-ES"/>
                  </w:rPr>
                  <m:t>=</m:t>
                </m:r>
                <m:f>
                  <m:fPr>
                    <m:ctrlPr>
                      <w:rPr>
                        <w:rFonts w:ascii="Cambria Math" w:eastAsia="Arial Unicode MS" w:hAnsi="Cambria Math"/>
                        <w:i/>
                        <w:color w:val="auto"/>
                        <w:sz w:val="22"/>
                        <w:lang w:val="es-ES"/>
                      </w:rPr>
                    </m:ctrlPr>
                  </m:fPr>
                  <m:num>
                    <m:nary>
                      <m:naryPr>
                        <m:chr m:val="∑"/>
                        <m:limLoc m:val="undOvr"/>
                        <m:ctrlPr>
                          <w:rPr>
                            <w:rFonts w:ascii="Cambria Math" w:eastAsia="Arial Unicode MS" w:hAnsi="Cambria Math"/>
                            <w:i/>
                            <w:color w:val="auto"/>
                            <w:sz w:val="22"/>
                            <w:lang w:val="es-ES"/>
                          </w:rPr>
                        </m:ctrlPr>
                      </m:naryPr>
                      <m:sub>
                        <m:r>
                          <w:rPr>
                            <w:rFonts w:ascii="Cambria Math" w:eastAsia="Arial Unicode MS" w:hAnsi="Cambria Math"/>
                            <w:color w:val="auto"/>
                            <w:sz w:val="22"/>
                            <w:lang w:val="es-ES"/>
                          </w:rPr>
                          <m:t>i=1</m:t>
                        </m:r>
                      </m:sub>
                      <m:sup>
                        <m:r>
                          <w:rPr>
                            <w:rFonts w:ascii="Cambria Math" w:eastAsia="Arial Unicode MS" w:hAnsi="Cambria Math"/>
                            <w:color w:val="auto"/>
                            <w:sz w:val="22"/>
                            <w:lang w:val="es-ES"/>
                          </w:rPr>
                          <m:t>N</m:t>
                        </m:r>
                      </m:sup>
                      <m:e>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W</m:t>
                            </m:r>
                          </m:e>
                          <m:sub>
                            <m:r>
                              <w:rPr>
                                <w:rFonts w:ascii="Cambria Math" w:eastAsia="Arial Unicode MS" w:hAnsi="Cambria Math"/>
                                <w:color w:val="auto"/>
                                <w:sz w:val="22"/>
                                <w:lang w:val="es-ES"/>
                              </w:rPr>
                              <m:t xml:space="preserve">i </m:t>
                            </m:r>
                          </m:sub>
                        </m:sSub>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MD</m:t>
                            </m:r>
                          </m:e>
                          <m:sub>
                            <m:r>
                              <w:rPr>
                                <w:rFonts w:ascii="Cambria Math" w:eastAsia="Arial Unicode MS" w:hAnsi="Cambria Math"/>
                                <w:color w:val="auto"/>
                                <w:sz w:val="22"/>
                                <w:lang w:val="es-ES"/>
                              </w:rPr>
                              <m:t>ic</m:t>
                            </m:r>
                          </m:sub>
                        </m:sSub>
                      </m:e>
                    </m:nary>
                  </m:num>
                  <m:den>
                    <m:nary>
                      <m:naryPr>
                        <m:chr m:val="∑"/>
                        <m:limLoc m:val="undOvr"/>
                        <m:ctrlPr>
                          <w:rPr>
                            <w:rFonts w:ascii="Cambria Math" w:eastAsia="Arial Unicode MS" w:hAnsi="Cambria Math"/>
                            <w:i/>
                            <w:color w:val="auto"/>
                            <w:sz w:val="22"/>
                            <w:lang w:val="es-ES"/>
                          </w:rPr>
                        </m:ctrlPr>
                      </m:naryPr>
                      <m:sub>
                        <m:r>
                          <w:rPr>
                            <w:rFonts w:ascii="Cambria Math" w:eastAsia="Arial Unicode MS" w:hAnsi="Cambria Math"/>
                            <w:color w:val="auto"/>
                            <w:sz w:val="22"/>
                            <w:lang w:val="es-ES"/>
                          </w:rPr>
                          <m:t>i=1</m:t>
                        </m:r>
                      </m:sub>
                      <m:sup>
                        <m:r>
                          <w:rPr>
                            <w:rFonts w:ascii="Cambria Math" w:eastAsia="Arial Unicode MS" w:hAnsi="Cambria Math"/>
                            <w:color w:val="auto"/>
                            <w:sz w:val="22"/>
                            <w:lang w:val="es-ES"/>
                          </w:rPr>
                          <m:t>N</m:t>
                        </m:r>
                      </m:sup>
                      <m:e>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W</m:t>
                            </m:r>
                          </m:e>
                          <m:sub>
                            <m:r>
                              <w:rPr>
                                <w:rFonts w:ascii="Cambria Math" w:eastAsia="Arial Unicode MS" w:hAnsi="Cambria Math"/>
                                <w:color w:val="auto"/>
                                <w:sz w:val="22"/>
                                <w:lang w:val="es-ES"/>
                              </w:rPr>
                              <m:t>i</m:t>
                            </m:r>
                          </m:sub>
                        </m:sSub>
                      </m:e>
                    </m:nary>
                  </m:den>
                </m:f>
              </m:oMath>
            </m:oMathPara>
          </w:p>
          <w:p w:rsidR="008C6F26" w:rsidRDefault="008C6F26" w:rsidP="00C94EB9">
            <w:pPr>
              <w:widowControl/>
              <w:adjustRightInd/>
              <w:spacing w:before="120" w:after="120" w:line="240" w:lineRule="auto"/>
              <w:ind w:right="9"/>
              <w:jc w:val="left"/>
              <w:textAlignment w:val="auto"/>
              <w:rPr>
                <w:rFonts w:eastAsia="Times New Roman"/>
                <w:b/>
                <w:color w:val="auto"/>
                <w:sz w:val="22"/>
                <w:lang w:val="es-ES"/>
              </w:rPr>
            </w:pPr>
          </w:p>
          <w:p w:rsidR="00EF007F" w:rsidRPr="003F4ECF" w:rsidRDefault="008C6F26" w:rsidP="003F4ECF">
            <w:pPr>
              <w:widowControl/>
              <w:autoSpaceDE w:val="0"/>
              <w:autoSpaceDN w:val="0"/>
              <w:spacing w:line="240" w:lineRule="auto"/>
              <w:jc w:val="left"/>
              <w:textAlignment w:val="auto"/>
              <w:rPr>
                <w:rFonts w:eastAsia="Calibri"/>
                <w:color w:val="auto"/>
                <w:sz w:val="22"/>
                <w:szCs w:val="22"/>
                <w:lang w:val="es-ES_tradnl"/>
              </w:rPr>
            </w:pPr>
            <w:r w:rsidRPr="0031582F">
              <w:rPr>
                <w:rFonts w:eastAsia="Times New Roman"/>
                <w:color w:val="auto"/>
                <w:sz w:val="22"/>
                <w:lang w:val="es-ES"/>
              </w:rPr>
              <w:t xml:space="preserve">MD2: </w:t>
            </w:r>
            <w:r w:rsidR="003F4ECF" w:rsidRPr="003F4ECF">
              <w:rPr>
                <w:rFonts w:eastAsia="Calibri"/>
                <w:color w:val="auto"/>
                <w:sz w:val="22"/>
                <w:szCs w:val="22"/>
                <w:lang w:val="es-ES_tradnl"/>
              </w:rPr>
              <w:t>Disposiciones legales que establecen la obligatoriedad de planes de emergencia; articulación con ent</w:t>
            </w:r>
            <w:r w:rsidR="003F4ECF">
              <w:rPr>
                <w:rFonts w:eastAsia="Calibri"/>
                <w:color w:val="auto"/>
                <w:sz w:val="22"/>
                <w:szCs w:val="22"/>
                <w:lang w:val="es-ES_tradnl"/>
              </w:rPr>
              <w:t>idades que producen información técnica (nivel 2).</w:t>
            </w:r>
          </w:p>
          <w:p w:rsidR="006C59C0" w:rsidRPr="006C59C0" w:rsidRDefault="00EF007F" w:rsidP="00EF007F">
            <w:pPr>
              <w:widowControl/>
              <w:adjustRightInd/>
              <w:spacing w:before="120" w:after="120" w:line="240" w:lineRule="auto"/>
              <w:ind w:right="9"/>
              <w:jc w:val="left"/>
              <w:textAlignment w:val="auto"/>
              <w:rPr>
                <w:rFonts w:eastAsia="Times New Roman"/>
                <w:color w:val="auto"/>
                <w:sz w:val="22"/>
                <w:lang w:val="es-ES"/>
              </w:rPr>
            </w:pPr>
            <w:r>
              <w:rPr>
                <w:rFonts w:eastAsia="Times New Roman"/>
                <w:color w:val="auto"/>
                <w:sz w:val="22"/>
                <w:lang w:val="es-ES"/>
              </w:rPr>
              <w:t>MD4: Coordinación de simulaciones y simulacros con la participación de personas de la comunidad, el sector privado y los medios de comunicación a nivel nacional y en algunas ciudades (nivel 4).</w:t>
            </w: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C6F26" w:rsidRDefault="008C6F26" w:rsidP="007E449E">
            <w:pPr>
              <w:widowControl/>
              <w:adjustRightInd/>
              <w:spacing w:before="120" w:after="120" w:line="240" w:lineRule="auto"/>
              <w:textAlignment w:val="auto"/>
              <w:rPr>
                <w:rFonts w:eastAsia="Times New Roman"/>
                <w:color w:val="auto"/>
                <w:sz w:val="22"/>
                <w:lang w:val="es-ES"/>
              </w:rPr>
            </w:pPr>
          </w:p>
          <w:p w:rsidR="00CD7325" w:rsidRDefault="00CD7325" w:rsidP="007E449E">
            <w:pPr>
              <w:widowControl/>
              <w:adjustRightInd/>
              <w:spacing w:before="120" w:after="120" w:line="240" w:lineRule="auto"/>
              <w:textAlignment w:val="auto"/>
              <w:rPr>
                <w:rFonts w:eastAsia="Times New Roman"/>
                <w:color w:val="auto"/>
                <w:sz w:val="22"/>
                <w:lang w:val="es-ES"/>
              </w:rPr>
            </w:pPr>
          </w:p>
          <w:p w:rsidR="00EF007F" w:rsidRDefault="00EF007F" w:rsidP="007E449E">
            <w:pPr>
              <w:widowControl/>
              <w:adjustRightInd/>
              <w:spacing w:before="120" w:after="120" w:line="240" w:lineRule="auto"/>
              <w:textAlignment w:val="auto"/>
              <w:rPr>
                <w:rFonts w:eastAsia="Times New Roman"/>
                <w:color w:val="auto"/>
                <w:sz w:val="22"/>
                <w:lang w:val="es-ES"/>
              </w:rPr>
            </w:pPr>
          </w:p>
          <w:p w:rsidR="00EF007F" w:rsidRDefault="00EF007F" w:rsidP="007E449E">
            <w:pPr>
              <w:widowControl/>
              <w:adjustRightInd/>
              <w:spacing w:before="120" w:after="120" w:line="240" w:lineRule="auto"/>
              <w:textAlignment w:val="auto"/>
              <w:rPr>
                <w:rFonts w:eastAsia="Times New Roman"/>
                <w:color w:val="auto"/>
                <w:sz w:val="22"/>
                <w:lang w:val="es-ES"/>
              </w:rPr>
            </w:pPr>
          </w:p>
          <w:p w:rsidR="00EF007F" w:rsidRDefault="00EF007F" w:rsidP="007E449E">
            <w:pPr>
              <w:widowControl/>
              <w:adjustRightInd/>
              <w:spacing w:before="120" w:after="120" w:line="240" w:lineRule="auto"/>
              <w:textAlignment w:val="auto"/>
              <w:rPr>
                <w:rFonts w:eastAsia="Times New Roman"/>
                <w:color w:val="auto"/>
                <w:sz w:val="22"/>
                <w:lang w:val="es-ES"/>
              </w:rPr>
            </w:pPr>
          </w:p>
          <w:p w:rsidR="00EF007F" w:rsidRDefault="00EF007F" w:rsidP="007E449E">
            <w:pPr>
              <w:widowControl/>
              <w:adjustRightInd/>
              <w:spacing w:before="120" w:after="120" w:line="240" w:lineRule="auto"/>
              <w:textAlignment w:val="auto"/>
              <w:rPr>
                <w:rFonts w:eastAsia="Times New Roman"/>
                <w:color w:val="auto"/>
                <w:sz w:val="22"/>
                <w:lang w:val="es-ES"/>
              </w:rPr>
            </w:pPr>
          </w:p>
          <w:p w:rsidR="00EF007F" w:rsidRDefault="00EF007F" w:rsidP="007E449E">
            <w:pPr>
              <w:widowControl/>
              <w:adjustRightInd/>
              <w:spacing w:before="120" w:after="120" w:line="240" w:lineRule="auto"/>
              <w:textAlignment w:val="auto"/>
              <w:rPr>
                <w:rFonts w:eastAsia="Times New Roman"/>
                <w:color w:val="auto"/>
                <w:sz w:val="22"/>
                <w:lang w:val="es-ES"/>
              </w:rPr>
            </w:pPr>
          </w:p>
          <w:p w:rsidR="00A76F58" w:rsidRDefault="004A0341"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3</w:t>
            </w:r>
            <w:r w:rsidR="00A76F58">
              <w:rPr>
                <w:rFonts w:eastAsia="Times New Roman"/>
                <w:color w:val="auto"/>
                <w:sz w:val="22"/>
                <w:lang w:val="es-ES"/>
              </w:rPr>
              <w:t>8.39</w:t>
            </w:r>
          </w:p>
          <w:p w:rsidR="008C6F26" w:rsidRDefault="008C6F26" w:rsidP="002A4A08">
            <w:pPr>
              <w:widowControl/>
              <w:adjustRightInd/>
              <w:spacing w:before="120" w:after="120" w:line="240" w:lineRule="auto"/>
              <w:jc w:val="center"/>
              <w:textAlignment w:val="auto"/>
              <w:rPr>
                <w:rFonts w:eastAsia="Times New Roman"/>
                <w:color w:val="auto"/>
                <w:sz w:val="22"/>
                <w:lang w:val="es-ES"/>
              </w:rPr>
            </w:pPr>
          </w:p>
          <w:p w:rsidR="003F4ECF" w:rsidRDefault="003F4ECF" w:rsidP="002A4A08">
            <w:pPr>
              <w:widowControl/>
              <w:adjustRightInd/>
              <w:spacing w:before="120" w:after="120" w:line="240" w:lineRule="auto"/>
              <w:jc w:val="center"/>
              <w:textAlignment w:val="auto"/>
              <w:rPr>
                <w:rFonts w:eastAsia="Times New Roman"/>
                <w:color w:val="auto"/>
                <w:sz w:val="22"/>
                <w:lang w:val="es-ES"/>
              </w:rPr>
            </w:pPr>
          </w:p>
          <w:p w:rsidR="003F4ECF" w:rsidRDefault="003F4ECF" w:rsidP="002A4A08">
            <w:pPr>
              <w:widowControl/>
              <w:adjustRightInd/>
              <w:spacing w:before="120" w:after="120" w:line="240" w:lineRule="auto"/>
              <w:jc w:val="center"/>
              <w:textAlignment w:val="auto"/>
              <w:rPr>
                <w:rFonts w:eastAsia="Times New Roman"/>
                <w:color w:val="auto"/>
                <w:sz w:val="22"/>
                <w:lang w:val="es-ES"/>
              </w:rPr>
            </w:pPr>
          </w:p>
          <w:p w:rsidR="008C6F26" w:rsidRDefault="008C6F26" w:rsidP="008C6F26">
            <w:pPr>
              <w:widowControl/>
              <w:adjustRightInd/>
              <w:spacing w:before="120" w:after="120" w:line="240" w:lineRule="auto"/>
              <w:textAlignment w:val="auto"/>
              <w:rPr>
                <w:rFonts w:eastAsia="Times New Roman"/>
                <w:color w:val="auto"/>
                <w:sz w:val="22"/>
                <w:lang w:val="es-ES"/>
              </w:rPr>
            </w:pPr>
            <w:r>
              <w:rPr>
                <w:rFonts w:eastAsia="Times New Roman"/>
                <w:color w:val="auto"/>
                <w:sz w:val="22"/>
                <w:lang w:val="es-ES"/>
              </w:rPr>
              <w:t xml:space="preserve">    2</w:t>
            </w:r>
          </w:p>
          <w:p w:rsidR="00EF007F" w:rsidRDefault="00EF007F" w:rsidP="008C6F26">
            <w:pPr>
              <w:widowControl/>
              <w:adjustRightInd/>
              <w:spacing w:before="120" w:after="120" w:line="240" w:lineRule="auto"/>
              <w:textAlignment w:val="auto"/>
              <w:rPr>
                <w:rFonts w:eastAsia="Times New Roman"/>
                <w:color w:val="auto"/>
                <w:sz w:val="22"/>
                <w:lang w:val="es-ES"/>
              </w:rPr>
            </w:pPr>
          </w:p>
          <w:p w:rsidR="00A76F58" w:rsidRDefault="00A76F58" w:rsidP="00EF007F">
            <w:pPr>
              <w:widowControl/>
              <w:adjustRightInd/>
              <w:spacing w:before="120" w:after="120" w:line="240" w:lineRule="auto"/>
              <w:jc w:val="center"/>
              <w:textAlignment w:val="auto"/>
              <w:rPr>
                <w:rFonts w:eastAsia="Times New Roman"/>
                <w:color w:val="auto"/>
                <w:sz w:val="22"/>
                <w:lang w:val="es-ES"/>
              </w:rPr>
            </w:pPr>
          </w:p>
          <w:p w:rsidR="00EF007F" w:rsidRPr="00E929DC" w:rsidRDefault="00EF007F" w:rsidP="00EF007F">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p>
        </w:tc>
        <w:tc>
          <w:tcPr>
            <w:tcW w:w="79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C6F26" w:rsidRPr="00E929DC" w:rsidRDefault="008C6F26" w:rsidP="002A4A08">
            <w:pPr>
              <w:widowControl/>
              <w:adjustRightInd/>
              <w:spacing w:before="120" w:after="120" w:line="240" w:lineRule="auto"/>
              <w:jc w:val="center"/>
              <w:textAlignment w:val="auto"/>
              <w:rPr>
                <w:rFonts w:eastAsia="Times New Roman"/>
                <w:color w:val="auto"/>
                <w:sz w:val="22"/>
                <w:lang w:val="es-ES"/>
              </w:rPr>
            </w:pPr>
          </w:p>
        </w:tc>
        <w:tc>
          <w:tcPr>
            <w:tcW w:w="8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C6F26" w:rsidRPr="00E929DC" w:rsidRDefault="008C6F26"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C6F26" w:rsidRPr="00E929DC" w:rsidRDefault="008C6F26"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C6F26" w:rsidRPr="00E929DC" w:rsidRDefault="008C6F26"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vAlign w:val="center"/>
          </w:tcPr>
          <w:p w:rsidR="008C6F26" w:rsidRPr="00E929DC" w:rsidRDefault="008C6F26" w:rsidP="007E449E">
            <w:pPr>
              <w:widowControl/>
              <w:adjustRightInd/>
              <w:spacing w:before="120" w:after="120" w:line="240" w:lineRule="auto"/>
              <w:textAlignment w:val="auto"/>
              <w:rPr>
                <w:rFonts w:eastAsia="Times New Roman"/>
                <w:color w:val="auto"/>
                <w:sz w:val="22"/>
                <w:lang w:val="es-E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D7325" w:rsidRDefault="00CD7325" w:rsidP="007E449E">
            <w:pPr>
              <w:widowControl/>
              <w:adjustRightInd/>
              <w:spacing w:before="120" w:after="120" w:line="240" w:lineRule="auto"/>
              <w:textAlignment w:val="auto"/>
              <w:rPr>
                <w:rFonts w:eastAsia="Times New Roman"/>
                <w:color w:val="auto"/>
                <w:sz w:val="22"/>
                <w:lang w:val="es-ES"/>
              </w:rPr>
            </w:pPr>
          </w:p>
          <w:p w:rsidR="00EF007F" w:rsidRDefault="00EF007F" w:rsidP="007E449E">
            <w:pPr>
              <w:widowControl/>
              <w:adjustRightInd/>
              <w:spacing w:before="120" w:after="120" w:line="240" w:lineRule="auto"/>
              <w:textAlignment w:val="auto"/>
              <w:rPr>
                <w:rFonts w:eastAsia="Times New Roman"/>
                <w:color w:val="auto"/>
                <w:sz w:val="22"/>
                <w:lang w:val="es-ES"/>
              </w:rPr>
            </w:pPr>
          </w:p>
          <w:p w:rsidR="00EF007F" w:rsidRDefault="00EF007F" w:rsidP="007E449E">
            <w:pPr>
              <w:widowControl/>
              <w:adjustRightInd/>
              <w:spacing w:before="120" w:after="120" w:line="240" w:lineRule="auto"/>
              <w:textAlignment w:val="auto"/>
              <w:rPr>
                <w:rFonts w:eastAsia="Times New Roman"/>
                <w:color w:val="auto"/>
                <w:sz w:val="22"/>
                <w:lang w:val="es-ES"/>
              </w:rPr>
            </w:pPr>
          </w:p>
          <w:p w:rsidR="00EF007F" w:rsidRDefault="00EF007F" w:rsidP="007E449E">
            <w:pPr>
              <w:widowControl/>
              <w:adjustRightInd/>
              <w:spacing w:before="120" w:after="120" w:line="240" w:lineRule="auto"/>
              <w:textAlignment w:val="auto"/>
              <w:rPr>
                <w:rFonts w:eastAsia="Times New Roman"/>
                <w:color w:val="auto"/>
                <w:sz w:val="22"/>
                <w:lang w:val="es-ES"/>
              </w:rPr>
            </w:pPr>
          </w:p>
          <w:p w:rsidR="00EF007F" w:rsidRDefault="00EF007F" w:rsidP="007E449E">
            <w:pPr>
              <w:widowControl/>
              <w:adjustRightInd/>
              <w:spacing w:before="120" w:after="120" w:line="240" w:lineRule="auto"/>
              <w:textAlignment w:val="auto"/>
              <w:rPr>
                <w:rFonts w:eastAsia="Times New Roman"/>
                <w:color w:val="auto"/>
                <w:sz w:val="22"/>
                <w:lang w:val="es-ES"/>
              </w:rPr>
            </w:pPr>
          </w:p>
          <w:p w:rsidR="00EF007F" w:rsidRDefault="00EF007F" w:rsidP="007E449E">
            <w:pPr>
              <w:widowControl/>
              <w:adjustRightInd/>
              <w:spacing w:before="120" w:after="120" w:line="240" w:lineRule="auto"/>
              <w:textAlignment w:val="auto"/>
              <w:rPr>
                <w:rFonts w:eastAsia="Times New Roman"/>
                <w:color w:val="auto"/>
                <w:sz w:val="22"/>
                <w:lang w:val="es-ES"/>
              </w:rPr>
            </w:pPr>
          </w:p>
          <w:p w:rsidR="00EF007F" w:rsidRDefault="00EF007F" w:rsidP="007E449E">
            <w:pPr>
              <w:widowControl/>
              <w:adjustRightInd/>
              <w:spacing w:before="120" w:after="120" w:line="240" w:lineRule="auto"/>
              <w:textAlignment w:val="auto"/>
              <w:rPr>
                <w:rFonts w:eastAsia="Times New Roman"/>
                <w:color w:val="auto"/>
                <w:sz w:val="22"/>
                <w:lang w:val="es-ES"/>
              </w:rPr>
            </w:pPr>
          </w:p>
          <w:p w:rsidR="00A05234" w:rsidRPr="00D549D1" w:rsidRDefault="00D24C3F" w:rsidP="00D549D1">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43.82</w:t>
            </w:r>
          </w:p>
          <w:p w:rsidR="00CD7325" w:rsidRDefault="00CD7325" w:rsidP="002A4A08">
            <w:pPr>
              <w:widowControl/>
              <w:adjustRightInd/>
              <w:spacing w:before="120" w:after="120" w:line="240" w:lineRule="auto"/>
              <w:jc w:val="center"/>
              <w:textAlignment w:val="auto"/>
              <w:rPr>
                <w:rFonts w:eastAsia="Times New Roman"/>
                <w:color w:val="auto"/>
                <w:sz w:val="22"/>
                <w:lang w:val="es-ES"/>
              </w:rPr>
            </w:pPr>
          </w:p>
          <w:p w:rsidR="003F4ECF" w:rsidRDefault="003F4ECF" w:rsidP="002A4A08">
            <w:pPr>
              <w:widowControl/>
              <w:adjustRightInd/>
              <w:spacing w:before="120" w:after="120" w:line="240" w:lineRule="auto"/>
              <w:jc w:val="center"/>
              <w:textAlignment w:val="auto"/>
              <w:rPr>
                <w:rFonts w:eastAsia="Times New Roman"/>
                <w:color w:val="auto"/>
                <w:sz w:val="22"/>
                <w:lang w:val="es-ES"/>
              </w:rPr>
            </w:pPr>
          </w:p>
          <w:p w:rsidR="003F4ECF" w:rsidRDefault="003F4ECF" w:rsidP="002A4A08">
            <w:pPr>
              <w:widowControl/>
              <w:adjustRightInd/>
              <w:spacing w:before="120" w:after="120" w:line="240" w:lineRule="auto"/>
              <w:jc w:val="center"/>
              <w:textAlignment w:val="auto"/>
              <w:rPr>
                <w:rFonts w:eastAsia="Times New Roman"/>
                <w:color w:val="auto"/>
                <w:sz w:val="22"/>
                <w:lang w:val="es-ES"/>
              </w:rPr>
            </w:pPr>
          </w:p>
          <w:p w:rsidR="00EF007F" w:rsidRDefault="00A13F84" w:rsidP="002A4A08">
            <w:pPr>
              <w:widowControl/>
              <w:adjustRightInd/>
              <w:spacing w:before="120" w:after="120" w:line="240" w:lineRule="auto"/>
              <w:jc w:val="center"/>
              <w:textAlignment w:val="auto"/>
              <w:rPr>
                <w:rFonts w:eastAsia="Times New Roman"/>
                <w:color w:val="auto"/>
                <w:sz w:val="22"/>
                <w:lang w:val="es-ES"/>
              </w:rPr>
            </w:pPr>
            <w:r w:rsidRPr="00A13F84">
              <w:rPr>
                <w:rFonts w:eastAsia="Times New Roman"/>
                <w:color w:val="auto"/>
                <w:sz w:val="22"/>
                <w:lang w:val="es-ES"/>
              </w:rPr>
              <w:t>2</w:t>
            </w:r>
          </w:p>
          <w:p w:rsidR="00A76F58" w:rsidRDefault="00A76F58" w:rsidP="00C05771">
            <w:pPr>
              <w:widowControl/>
              <w:adjustRightInd/>
              <w:spacing w:before="120" w:after="120" w:line="240" w:lineRule="auto"/>
              <w:textAlignment w:val="auto"/>
              <w:rPr>
                <w:rFonts w:eastAsia="Times New Roman"/>
                <w:color w:val="auto"/>
                <w:sz w:val="22"/>
                <w:lang w:val="es-ES"/>
              </w:rPr>
            </w:pPr>
          </w:p>
          <w:p w:rsidR="00A76F58" w:rsidRDefault="00A76F58" w:rsidP="002A4A08">
            <w:pPr>
              <w:widowControl/>
              <w:adjustRightInd/>
              <w:spacing w:before="120" w:after="120" w:line="240" w:lineRule="auto"/>
              <w:jc w:val="center"/>
              <w:textAlignment w:val="auto"/>
              <w:rPr>
                <w:rFonts w:eastAsia="Times New Roman"/>
                <w:color w:val="auto"/>
                <w:sz w:val="22"/>
                <w:lang w:val="es-ES"/>
              </w:rPr>
            </w:pPr>
          </w:p>
          <w:p w:rsidR="00EF007F" w:rsidRPr="00E929DC" w:rsidRDefault="00EF007F"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4</w:t>
            </w:r>
          </w:p>
        </w:tc>
        <w:tc>
          <w:tcPr>
            <w:tcW w:w="3290"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8C6F26" w:rsidRPr="006C59C0" w:rsidRDefault="008C6F26" w:rsidP="00E519DB">
            <w:pPr>
              <w:pStyle w:val="Default"/>
              <w:rPr>
                <w:sz w:val="20"/>
                <w:szCs w:val="20"/>
                <w:lang w:val="es-ES"/>
              </w:rPr>
            </w:pPr>
            <w:r w:rsidRPr="006C59C0">
              <w:rPr>
                <w:b/>
                <w:bCs/>
                <w:i/>
                <w:iCs/>
                <w:sz w:val="20"/>
                <w:szCs w:val="20"/>
                <w:lang w:val="es-ES"/>
              </w:rPr>
              <w:lastRenderedPageBreak/>
              <w:t xml:space="preserve">Observaciones: </w:t>
            </w:r>
            <w:r w:rsidRPr="006C59C0">
              <w:rPr>
                <w:sz w:val="20"/>
                <w:szCs w:val="20"/>
                <w:lang w:val="es-ES"/>
              </w:rPr>
              <w:t xml:space="preserve">El </w:t>
            </w:r>
            <m:oMath>
              <m:sSub>
                <m:sSubPr>
                  <m:ctrlPr>
                    <w:rPr>
                      <w:rFonts w:ascii="Cambria Math" w:eastAsia="Times New Roman" w:hAnsi="Cambria Math"/>
                      <w:i/>
                      <w:color w:val="auto"/>
                      <w:sz w:val="20"/>
                      <w:szCs w:val="20"/>
                      <w:lang w:val="es-ES"/>
                    </w:rPr>
                  </m:ctrlPr>
                </m:sSubPr>
                <m:e>
                  <m:r>
                    <w:rPr>
                      <w:rFonts w:ascii="Cambria Math" w:eastAsia="Times New Roman" w:hAnsi="Cambria Math"/>
                      <w:color w:val="auto"/>
                      <w:sz w:val="20"/>
                      <w:szCs w:val="20"/>
                      <w:lang w:val="es-ES"/>
                    </w:rPr>
                    <m:t>IGR</m:t>
                  </m:r>
                </m:e>
                <m:sub>
                  <m:r>
                    <w:rPr>
                      <w:rFonts w:ascii="Cambria Math" w:eastAsia="Times New Roman" w:hAnsi="Cambria Math"/>
                      <w:color w:val="auto"/>
                      <w:sz w:val="20"/>
                      <w:szCs w:val="20"/>
                      <w:lang w:val="es-ES"/>
                    </w:rPr>
                    <m:t>MD</m:t>
                  </m:r>
                </m:sub>
              </m:sSub>
            </m:oMath>
            <w:r w:rsidR="00BD0F5D" w:rsidRPr="00000FB4">
              <w:rPr>
                <w:rFonts w:eastAsia="Arial Unicode MS"/>
                <w:color w:val="auto"/>
                <w:sz w:val="20"/>
                <w:szCs w:val="20"/>
                <w:lang w:val="es-ES"/>
              </w:rPr>
              <w:t xml:space="preserve"> </w:t>
            </w:r>
            <w:r w:rsidRPr="006C59C0">
              <w:rPr>
                <w:sz w:val="20"/>
                <w:szCs w:val="20"/>
                <w:lang w:val="es-ES"/>
              </w:rPr>
              <w:t xml:space="preserve">es un componente del </w:t>
            </w:r>
            <w:r w:rsidRPr="006C59C0">
              <w:rPr>
                <w:i/>
                <w:iCs/>
                <w:sz w:val="20"/>
                <w:szCs w:val="20"/>
                <w:lang w:val="es-ES"/>
              </w:rPr>
              <w:t>IGR</w:t>
            </w:r>
            <w:r w:rsidRPr="006C59C0">
              <w:rPr>
                <w:sz w:val="20"/>
                <w:szCs w:val="20"/>
                <w:lang w:val="es-ES"/>
              </w:rPr>
              <w:t>. Este índice está compuesto por seis aspectos (</w:t>
            </w:r>
            <w:r w:rsidRPr="006C59C0">
              <w:rPr>
                <w:i/>
                <w:iCs/>
                <w:sz w:val="20"/>
                <w:szCs w:val="20"/>
                <w:lang w:val="es-ES"/>
              </w:rPr>
              <w:t xml:space="preserve">I) </w:t>
            </w:r>
            <w:r w:rsidRPr="006C59C0">
              <w:rPr>
                <w:sz w:val="20"/>
                <w:szCs w:val="20"/>
                <w:lang w:val="es-ES"/>
              </w:rPr>
              <w:t>y cada aspecto tiene un peso asociado de acuerdo a su importancia (</w:t>
            </w:r>
            <w:r w:rsidRPr="006C59C0">
              <w:rPr>
                <w:i/>
                <w:iCs/>
                <w:sz w:val="20"/>
                <w:szCs w:val="20"/>
                <w:lang w:val="es-ES"/>
              </w:rPr>
              <w:t>w)</w:t>
            </w:r>
            <w:r w:rsidRPr="006C59C0">
              <w:rPr>
                <w:sz w:val="20"/>
                <w:szCs w:val="20"/>
                <w:lang w:val="es-ES"/>
              </w:rPr>
              <w:t xml:space="preserve">: </w:t>
            </w:r>
          </w:p>
          <w:p w:rsidR="008C6F26" w:rsidRPr="006C59C0" w:rsidRDefault="008C6F26" w:rsidP="00E519DB">
            <w:pPr>
              <w:pStyle w:val="Default"/>
              <w:rPr>
                <w:sz w:val="20"/>
                <w:szCs w:val="20"/>
                <w:lang w:val="es-ES"/>
              </w:rPr>
            </w:pPr>
            <w:r w:rsidRPr="006C59C0">
              <w:rPr>
                <w:sz w:val="20"/>
                <w:szCs w:val="20"/>
                <w:lang w:val="es-ES"/>
              </w:rPr>
              <w:t xml:space="preserve">1. Organización y coordinación de operaciones de emergencia </w:t>
            </w:r>
          </w:p>
          <w:p w:rsidR="008C6F26" w:rsidRPr="006C59C0" w:rsidRDefault="008C6F26" w:rsidP="00E519DB">
            <w:pPr>
              <w:pStyle w:val="Default"/>
              <w:rPr>
                <w:sz w:val="20"/>
                <w:szCs w:val="20"/>
                <w:lang w:val="es-ES"/>
              </w:rPr>
            </w:pPr>
            <w:r w:rsidRPr="006C59C0">
              <w:rPr>
                <w:sz w:val="20"/>
                <w:szCs w:val="20"/>
                <w:lang w:val="es-ES"/>
              </w:rPr>
              <w:t xml:space="preserve">2. Planificación de la respuesta en caso de emergencia y sistemas de alerta </w:t>
            </w:r>
          </w:p>
          <w:p w:rsidR="008C6F26" w:rsidRPr="006C59C0" w:rsidRDefault="008C6F26" w:rsidP="00E519DB">
            <w:pPr>
              <w:pStyle w:val="Default"/>
              <w:rPr>
                <w:sz w:val="20"/>
                <w:szCs w:val="20"/>
                <w:lang w:val="es-ES"/>
              </w:rPr>
            </w:pPr>
            <w:r w:rsidRPr="006C59C0">
              <w:rPr>
                <w:sz w:val="20"/>
                <w:szCs w:val="20"/>
                <w:lang w:val="es-ES"/>
              </w:rPr>
              <w:t xml:space="preserve">3. Dotación de equipos, herramientas e infraestructura </w:t>
            </w:r>
          </w:p>
          <w:p w:rsidR="008C6F26" w:rsidRPr="006C59C0" w:rsidRDefault="008C6F26" w:rsidP="00E519DB">
            <w:pPr>
              <w:pStyle w:val="Default"/>
              <w:rPr>
                <w:sz w:val="20"/>
                <w:szCs w:val="20"/>
                <w:lang w:val="es-ES"/>
              </w:rPr>
            </w:pPr>
            <w:r w:rsidRPr="006C59C0">
              <w:rPr>
                <w:sz w:val="20"/>
                <w:szCs w:val="20"/>
                <w:lang w:val="es-ES"/>
              </w:rPr>
              <w:t xml:space="preserve">4. Simulación, actualización y prueba de la respuesta interinstitucional </w:t>
            </w:r>
          </w:p>
          <w:p w:rsidR="008C6F26" w:rsidRPr="006C59C0" w:rsidRDefault="008C6F26" w:rsidP="00E519DB">
            <w:pPr>
              <w:pStyle w:val="Default"/>
              <w:rPr>
                <w:sz w:val="20"/>
                <w:szCs w:val="20"/>
                <w:lang w:val="es-ES"/>
              </w:rPr>
            </w:pPr>
            <w:r w:rsidRPr="006C59C0">
              <w:rPr>
                <w:sz w:val="20"/>
                <w:szCs w:val="20"/>
                <w:lang w:val="es-ES"/>
              </w:rPr>
              <w:t xml:space="preserve">5. Preparación y capacitación de la comunidad. </w:t>
            </w:r>
          </w:p>
          <w:p w:rsidR="008C6F26" w:rsidRPr="006C59C0" w:rsidRDefault="008C6F26" w:rsidP="00E519DB">
            <w:pPr>
              <w:pStyle w:val="Default"/>
              <w:rPr>
                <w:sz w:val="20"/>
                <w:szCs w:val="20"/>
                <w:lang w:val="es-ES"/>
              </w:rPr>
            </w:pPr>
            <w:r w:rsidRPr="006C59C0">
              <w:rPr>
                <w:sz w:val="20"/>
                <w:szCs w:val="20"/>
                <w:lang w:val="es-ES"/>
              </w:rPr>
              <w:lastRenderedPageBreak/>
              <w:t xml:space="preserve">6. Planificación para la rehabilitación y reconstrucción. </w:t>
            </w:r>
          </w:p>
          <w:p w:rsidR="008C6F26" w:rsidRPr="00EF007F" w:rsidRDefault="002F171B" w:rsidP="003F4ECF">
            <w:pPr>
              <w:widowControl/>
              <w:pBdr>
                <w:top w:val="single" w:sz="4" w:space="1" w:color="auto"/>
              </w:pBdr>
              <w:adjustRightInd/>
              <w:spacing w:before="120" w:after="120" w:line="240" w:lineRule="auto"/>
              <w:ind w:right="144"/>
              <w:jc w:val="left"/>
              <w:textAlignment w:val="auto"/>
              <w:rPr>
                <w:rFonts w:eastAsia="Times New Roman" w:cs="Arial"/>
                <w:color w:val="auto"/>
                <w:sz w:val="20"/>
                <w:szCs w:val="20"/>
                <w:lang w:val="es-ES"/>
              </w:rPr>
            </w:pPr>
            <w:r w:rsidRPr="006C59C0">
              <w:rPr>
                <w:rFonts w:eastAsia="Arial Unicode MS"/>
                <w:color w:val="auto"/>
                <w:sz w:val="20"/>
                <w:szCs w:val="20"/>
                <w:lang w:val="es-ES"/>
              </w:rPr>
              <w:t>Este componente apunta a</w:t>
            </w:r>
            <w:r w:rsidR="003F4ECF">
              <w:rPr>
                <w:rFonts w:eastAsia="Arial Unicode MS"/>
                <w:color w:val="auto"/>
                <w:sz w:val="20"/>
                <w:szCs w:val="20"/>
                <w:lang w:val="es-ES"/>
              </w:rPr>
              <w:t xml:space="preserve"> mantener</w:t>
            </w:r>
            <w:r w:rsidRPr="006C59C0">
              <w:rPr>
                <w:rFonts w:eastAsia="Arial Unicode MS"/>
                <w:color w:val="auto"/>
                <w:sz w:val="20"/>
                <w:szCs w:val="20"/>
                <w:lang w:val="es-ES"/>
              </w:rPr>
              <w:t xml:space="preserve"> el nivel del subíndice</w:t>
            </w:r>
            <w:r w:rsidR="00EF007F" w:rsidRPr="006C59C0">
              <w:rPr>
                <w:rFonts w:eastAsia="Arial Unicode MS"/>
                <w:color w:val="auto"/>
                <w:sz w:val="20"/>
                <w:szCs w:val="20"/>
                <w:lang w:val="es-ES"/>
              </w:rPr>
              <w:t xml:space="preserve"> MD</w:t>
            </w:r>
            <w:r w:rsidR="00015092">
              <w:rPr>
                <w:rFonts w:eastAsia="Arial Unicode MS"/>
                <w:color w:val="auto"/>
                <w:sz w:val="20"/>
                <w:szCs w:val="20"/>
                <w:lang w:val="es-ES"/>
              </w:rPr>
              <w:t>2 y</w:t>
            </w:r>
            <w:r w:rsidR="003F4ECF">
              <w:rPr>
                <w:rFonts w:eastAsia="Arial Unicode MS"/>
                <w:color w:val="auto"/>
                <w:sz w:val="20"/>
                <w:szCs w:val="20"/>
                <w:lang w:val="es-ES"/>
              </w:rPr>
              <w:t xml:space="preserve"> aumentar el nivel del subíndice</w:t>
            </w:r>
            <w:r w:rsidR="00015092">
              <w:rPr>
                <w:rFonts w:eastAsia="Arial Unicode MS"/>
                <w:color w:val="auto"/>
                <w:sz w:val="20"/>
                <w:szCs w:val="20"/>
                <w:lang w:val="es-ES"/>
              </w:rPr>
              <w:t xml:space="preserve"> MD</w:t>
            </w:r>
            <w:r w:rsidR="00EF007F" w:rsidRPr="006C59C0">
              <w:rPr>
                <w:rFonts w:eastAsia="Arial Unicode MS"/>
                <w:color w:val="auto"/>
                <w:sz w:val="20"/>
                <w:szCs w:val="20"/>
                <w:lang w:val="es-ES"/>
              </w:rPr>
              <w:t>4</w:t>
            </w:r>
            <w:r w:rsidRPr="006C59C0">
              <w:rPr>
                <w:rFonts w:eastAsia="Arial Unicode MS"/>
                <w:color w:val="auto"/>
                <w:sz w:val="20"/>
                <w:szCs w:val="20"/>
                <w:lang w:val="es-ES"/>
              </w:rPr>
              <w:t xml:space="preserve"> del </w:t>
            </w:r>
            <m:oMath>
              <m:sSub>
                <m:sSubPr>
                  <m:ctrlPr>
                    <w:rPr>
                      <w:rFonts w:ascii="Cambria Math" w:eastAsia="Arial Unicode MS" w:hAnsi="Cambria Math"/>
                      <w:i/>
                      <w:color w:val="auto"/>
                      <w:sz w:val="20"/>
                      <w:szCs w:val="20"/>
                      <w:lang w:val="es-ES"/>
                    </w:rPr>
                  </m:ctrlPr>
                </m:sSubPr>
                <m:e>
                  <m:r>
                    <w:rPr>
                      <w:rFonts w:ascii="Cambria Math" w:eastAsia="Arial Unicode MS" w:hAnsi="Cambria Math"/>
                      <w:color w:val="auto"/>
                      <w:sz w:val="20"/>
                      <w:szCs w:val="20"/>
                      <w:lang w:val="es-ES"/>
                    </w:rPr>
                    <m:t>IGR</m:t>
                  </m:r>
                </m:e>
                <m:sub>
                  <m:r>
                    <w:rPr>
                      <w:rFonts w:ascii="Cambria Math" w:eastAsia="Arial Unicode MS" w:hAnsi="Cambria Math"/>
                      <w:color w:val="auto"/>
                      <w:sz w:val="20"/>
                      <w:szCs w:val="20"/>
                      <w:lang w:val="es-ES"/>
                    </w:rPr>
                    <m:t>MD</m:t>
                  </m:r>
                </m:sub>
              </m:sSub>
            </m:oMath>
            <w:r w:rsidRPr="006C59C0">
              <w:rPr>
                <w:rFonts w:eastAsia="Arial Unicode MS"/>
                <w:color w:val="auto"/>
                <w:sz w:val="20"/>
                <w:szCs w:val="20"/>
                <w:lang w:val="es-ES"/>
              </w:rPr>
              <w:t xml:space="preserve"> de nivel 2 a nivel </w:t>
            </w:r>
            <w:r w:rsidR="003F4ECF">
              <w:rPr>
                <w:rFonts w:eastAsia="Arial Unicode MS"/>
                <w:color w:val="auto"/>
                <w:sz w:val="20"/>
                <w:szCs w:val="20"/>
                <w:lang w:val="es-ES"/>
              </w:rPr>
              <w:t xml:space="preserve">4. </w:t>
            </w:r>
            <w:r w:rsidR="00EF007F" w:rsidRPr="006C59C0">
              <w:rPr>
                <w:rFonts w:eastAsia="Arial Unicode MS"/>
                <w:color w:val="auto"/>
                <w:sz w:val="20"/>
                <w:szCs w:val="20"/>
                <w:lang w:val="es-ES"/>
              </w:rPr>
              <w:t>El nivel 2 implica nivel incipiente</w:t>
            </w:r>
            <w:r w:rsidR="005C6E29">
              <w:rPr>
                <w:rFonts w:eastAsia="Arial Unicode MS"/>
                <w:color w:val="auto"/>
                <w:sz w:val="20"/>
                <w:szCs w:val="20"/>
                <w:lang w:val="es-ES"/>
              </w:rPr>
              <w:t xml:space="preserve">, </w:t>
            </w:r>
            <w:r w:rsidR="00EF007F" w:rsidRPr="006C59C0">
              <w:rPr>
                <w:rFonts w:eastAsia="Arial Unicode MS"/>
                <w:color w:val="auto"/>
                <w:sz w:val="20"/>
                <w:szCs w:val="20"/>
                <w:lang w:val="es-ES"/>
              </w:rPr>
              <w:t>y el nivel 4 implica un nivel sobresaliente</w:t>
            </w:r>
            <w:r w:rsidR="00EF007F">
              <w:rPr>
                <w:rFonts w:eastAsia="Arial Unicode MS"/>
                <w:color w:val="auto"/>
                <w:sz w:val="20"/>
                <w:szCs w:val="20"/>
                <w:lang w:val="es-ES"/>
              </w:rPr>
              <w:t>.</w:t>
            </w:r>
          </w:p>
        </w:tc>
      </w:tr>
      <w:tr w:rsidR="00127892" w:rsidRPr="00EF7BA5" w:rsidTr="00BF344C">
        <w:trPr>
          <w:trHeight w:val="270"/>
          <w:jc w:val="center"/>
        </w:trPr>
        <w:tc>
          <w:tcPr>
            <w:tcW w:w="41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127892" w:rsidRDefault="00CF63F8" w:rsidP="00CF63F8">
            <w:pPr>
              <w:widowControl/>
              <w:adjustRightInd/>
              <w:spacing w:before="120" w:after="120" w:line="240" w:lineRule="auto"/>
              <w:ind w:right="9"/>
              <w:jc w:val="left"/>
              <w:textAlignment w:val="auto"/>
              <w:rPr>
                <w:rFonts w:eastAsia="Times New Roman"/>
                <w:b/>
                <w:color w:val="auto"/>
                <w:sz w:val="22"/>
                <w:lang w:val="es-ES"/>
              </w:rPr>
            </w:pPr>
            <w:r w:rsidRPr="00DD76D4">
              <w:rPr>
                <w:bCs/>
                <w:i/>
                <w:sz w:val="22"/>
                <w:szCs w:val="22"/>
                <w:lang w:val="es-ES"/>
              </w:rPr>
              <w:lastRenderedPageBreak/>
              <w:t>Indicador iGOPP:</w:t>
            </w:r>
            <w:r w:rsidRPr="00DD76D4">
              <w:rPr>
                <w:bCs/>
                <w:sz w:val="22"/>
                <w:szCs w:val="22"/>
                <w:lang w:val="es-ES"/>
              </w:rPr>
              <w:t xml:space="preserve">  </w:t>
            </w:r>
            <m:oMath>
              <m:sSub>
                <m:sSubPr>
                  <m:ctrlPr>
                    <w:rPr>
                      <w:rFonts w:ascii="Cambria Math" w:eastAsia="Calibri" w:hAnsi="Cambria Math"/>
                      <w:bCs/>
                      <w:i/>
                      <w:sz w:val="22"/>
                      <w:szCs w:val="22"/>
                      <w:lang w:val="es-ES"/>
                    </w:rPr>
                  </m:ctrlPr>
                </m:sSubPr>
                <m:e>
                  <m:r>
                    <w:rPr>
                      <w:rFonts w:ascii="Cambria Math" w:hAnsi="Cambria Math"/>
                      <w:sz w:val="22"/>
                      <w:szCs w:val="22"/>
                      <w:lang w:val="es-ES"/>
                    </w:rPr>
                    <m:t>PR</m:t>
                  </m:r>
                </m:e>
                <m:sub>
                  <m:r>
                    <w:rPr>
                      <w:rFonts w:ascii="Cambria Math" w:hAnsi="Cambria Math"/>
                      <w:sz w:val="22"/>
                      <w:szCs w:val="22"/>
                      <w:lang w:val="es-ES"/>
                    </w:rPr>
                    <m:t>iGOPP</m:t>
                  </m:r>
                </m:sub>
              </m:sSub>
            </m:oMath>
            <w:r>
              <w:rPr>
                <w:bCs/>
                <w:sz w:val="22"/>
                <w:szCs w:val="22"/>
                <w:lang w:val="es-ES"/>
              </w:rPr>
              <w:t xml:space="preserve"> (Preparativos para la respuesta) </w:t>
            </w:r>
            <w:r w:rsidRPr="00DD76D4">
              <w:rPr>
                <w:bCs/>
                <w:sz w:val="22"/>
                <w:szCs w:val="22"/>
                <w:lang w:val="es-ES"/>
              </w:rPr>
              <w:t>es un subíndice del iGOPP</w:t>
            </w: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D0324A" w:rsidRDefault="00BF344C" w:rsidP="00965E87">
            <w:pPr>
              <w:widowControl/>
              <w:adjustRightInd/>
              <w:spacing w:before="120" w:after="120" w:line="240" w:lineRule="auto"/>
              <w:jc w:val="center"/>
              <w:textAlignment w:val="auto"/>
              <w:rPr>
                <w:rFonts w:eastAsia="Times New Roman"/>
                <w:color w:val="auto"/>
                <w:sz w:val="22"/>
                <w:highlight w:val="yellow"/>
                <w:lang w:val="es-ES"/>
              </w:rPr>
            </w:pPr>
            <w:r w:rsidRPr="00BF344C">
              <w:rPr>
                <w:rFonts w:eastAsia="Times New Roman"/>
                <w:color w:val="auto"/>
                <w:sz w:val="22"/>
                <w:lang w:val="es-ES"/>
              </w:rPr>
              <w:t>51%</w:t>
            </w:r>
          </w:p>
        </w:tc>
        <w:tc>
          <w:tcPr>
            <w:tcW w:w="79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E929DC" w:rsidRDefault="00127892" w:rsidP="00965E87">
            <w:pPr>
              <w:widowControl/>
              <w:adjustRightInd/>
              <w:spacing w:before="120" w:after="120" w:line="240" w:lineRule="auto"/>
              <w:jc w:val="center"/>
              <w:textAlignment w:val="auto"/>
              <w:rPr>
                <w:rFonts w:eastAsia="Times New Roman"/>
                <w:color w:val="auto"/>
                <w:sz w:val="22"/>
                <w:lang w:val="es-ES"/>
              </w:rPr>
            </w:pPr>
          </w:p>
        </w:tc>
        <w:tc>
          <w:tcPr>
            <w:tcW w:w="8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E929DC" w:rsidRDefault="00127892" w:rsidP="00965E87">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E929DC" w:rsidRDefault="00127892" w:rsidP="00965E87">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E929DC" w:rsidRDefault="00127892" w:rsidP="00965E87">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vAlign w:val="center"/>
          </w:tcPr>
          <w:p w:rsidR="00127892" w:rsidRPr="00E929DC" w:rsidRDefault="00127892" w:rsidP="00965E87">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27892" w:rsidRDefault="00BF344C" w:rsidP="00BF344C">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71%</w:t>
            </w:r>
          </w:p>
        </w:tc>
        <w:tc>
          <w:tcPr>
            <w:tcW w:w="3290"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127892" w:rsidRPr="00C404D2" w:rsidRDefault="00C404D2" w:rsidP="00C404D2">
            <w:pPr>
              <w:pStyle w:val="Default"/>
              <w:rPr>
                <w:b/>
                <w:bCs/>
                <w:i/>
                <w:iCs/>
                <w:sz w:val="20"/>
                <w:szCs w:val="20"/>
                <w:lang w:val="es-ES"/>
              </w:rPr>
            </w:pPr>
            <w:r>
              <w:rPr>
                <w:rFonts w:eastAsia="Arial Unicode MS"/>
                <w:color w:val="auto"/>
                <w:sz w:val="20"/>
                <w:szCs w:val="20"/>
                <w:lang w:val="es-ES"/>
              </w:rPr>
              <w:t>E</w:t>
            </w:r>
            <w:r w:rsidR="00CF63F8" w:rsidRPr="00C404D2">
              <w:rPr>
                <w:rFonts w:eastAsia="Arial Unicode MS"/>
                <w:color w:val="auto"/>
                <w:sz w:val="20"/>
                <w:szCs w:val="20"/>
                <w:lang w:val="es-ES_tradnl"/>
              </w:rPr>
              <w:t xml:space="preserve">l </w:t>
            </w:r>
            <m:oMath>
              <m:sSub>
                <m:sSubPr>
                  <m:ctrlPr>
                    <w:rPr>
                      <w:rFonts w:ascii="Cambria Math" w:hAnsi="Cambria Math"/>
                      <w:bCs/>
                      <w:i/>
                      <w:sz w:val="20"/>
                      <w:szCs w:val="20"/>
                      <w:lang w:val="es-ES"/>
                    </w:rPr>
                  </m:ctrlPr>
                </m:sSubPr>
                <m:e>
                  <m:r>
                    <w:rPr>
                      <w:rFonts w:ascii="Cambria Math" w:hAnsi="Cambria Math"/>
                      <w:sz w:val="20"/>
                      <w:szCs w:val="20"/>
                      <w:lang w:val="es-ES"/>
                    </w:rPr>
                    <m:t>PR</m:t>
                  </m:r>
                </m:e>
                <m:sub>
                  <m:r>
                    <w:rPr>
                      <w:rFonts w:ascii="Cambria Math" w:hAnsi="Cambria Math"/>
                      <w:sz w:val="20"/>
                      <w:szCs w:val="20"/>
                      <w:lang w:val="es-ES"/>
                    </w:rPr>
                    <m:t>iGOPP</m:t>
                  </m:r>
                </m:sub>
              </m:sSub>
            </m:oMath>
            <w:r w:rsidR="00CF63F8" w:rsidRPr="00C404D2">
              <w:rPr>
                <w:rFonts w:eastAsia="Arial Unicode MS"/>
                <w:color w:val="auto"/>
                <w:sz w:val="20"/>
                <w:szCs w:val="20"/>
                <w:lang w:val="es-ES_tradnl"/>
              </w:rPr>
              <w:t xml:space="preserve"> del iGOPP mide a través de un checklist, </w:t>
            </w:r>
            <w:r w:rsidRPr="00C404D2">
              <w:rPr>
                <w:sz w:val="20"/>
                <w:szCs w:val="20"/>
                <w:lang w:val="es-ES_tradnl"/>
              </w:rPr>
              <w:t>la implementación de mecanismos que permitan una adecuada y rápida respuesta ante la ocurrencia o inminencia de una situación de emergencia, los cuales incluyen la asignación de responsabilidades y competencias a todos los actores involucrados.</w:t>
            </w:r>
            <w:r w:rsidR="00BF344C">
              <w:rPr>
                <w:sz w:val="20"/>
                <w:szCs w:val="20"/>
                <w:lang w:val="es-ES_tradnl"/>
              </w:rPr>
              <w:t xml:space="preserve"> </w:t>
            </w:r>
            <w:r w:rsidR="00357991">
              <w:rPr>
                <w:sz w:val="20"/>
                <w:szCs w:val="20"/>
                <w:lang w:val="es-ES_tradnl"/>
              </w:rPr>
              <w:t>El porcentaje hace referencia al número de indicadores cumplidos para este proceso.</w:t>
            </w:r>
          </w:p>
        </w:tc>
      </w:tr>
      <w:tr w:rsidR="00AC6F7F" w:rsidRPr="00EF7BA5" w:rsidTr="002F7B1B">
        <w:trPr>
          <w:trHeight w:val="2666"/>
          <w:jc w:val="center"/>
        </w:trPr>
        <w:tc>
          <w:tcPr>
            <w:tcW w:w="41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AC6F7F" w:rsidRDefault="00AC6F7F" w:rsidP="002F7B1B">
            <w:pPr>
              <w:widowControl/>
              <w:adjustRightInd/>
              <w:spacing w:before="120" w:after="120" w:line="240" w:lineRule="auto"/>
              <w:ind w:right="9"/>
              <w:jc w:val="left"/>
              <w:textAlignment w:val="auto"/>
              <w:rPr>
                <w:rFonts w:eastAsia="Times New Roman"/>
                <w:b/>
                <w:color w:val="auto"/>
                <w:sz w:val="22"/>
                <w:lang w:val="es-ES"/>
              </w:rPr>
            </w:pPr>
            <w:r w:rsidRPr="00DD76D4">
              <w:rPr>
                <w:bCs/>
                <w:i/>
                <w:sz w:val="22"/>
                <w:szCs w:val="22"/>
                <w:lang w:val="es-ES"/>
              </w:rPr>
              <w:lastRenderedPageBreak/>
              <w:t>Indicador iGOPP:</w:t>
            </w:r>
            <w:r w:rsidRPr="00DD76D4">
              <w:rPr>
                <w:bCs/>
                <w:sz w:val="22"/>
                <w:szCs w:val="22"/>
                <w:lang w:val="es-ES"/>
              </w:rPr>
              <w:t xml:space="preserve">  </w:t>
            </w:r>
            <m:oMath>
              <m:sSub>
                <m:sSubPr>
                  <m:ctrlPr>
                    <w:rPr>
                      <w:rFonts w:ascii="Cambria Math" w:eastAsia="Calibri" w:hAnsi="Cambria Math"/>
                      <w:bCs/>
                      <w:i/>
                      <w:sz w:val="22"/>
                      <w:szCs w:val="22"/>
                      <w:lang w:val="es-ES"/>
                    </w:rPr>
                  </m:ctrlPr>
                </m:sSubPr>
                <m:e>
                  <m:r>
                    <w:rPr>
                      <w:rFonts w:ascii="Cambria Math" w:hAnsi="Cambria Math"/>
                      <w:sz w:val="22"/>
                      <w:szCs w:val="22"/>
                      <w:lang w:val="es-ES"/>
                    </w:rPr>
                    <m:t>RC</m:t>
                  </m:r>
                </m:e>
                <m:sub>
                  <m:r>
                    <w:rPr>
                      <w:rFonts w:ascii="Cambria Math" w:hAnsi="Cambria Math"/>
                      <w:sz w:val="22"/>
                      <w:szCs w:val="22"/>
                      <w:lang w:val="es-ES"/>
                    </w:rPr>
                    <m:t>iGOPP</m:t>
                  </m:r>
                </m:sub>
              </m:sSub>
            </m:oMath>
            <w:r>
              <w:rPr>
                <w:bCs/>
                <w:sz w:val="22"/>
                <w:szCs w:val="22"/>
                <w:lang w:val="es-ES"/>
              </w:rPr>
              <w:t xml:space="preserve"> (Planificación de la Recuperación Post-Desastre) </w:t>
            </w:r>
            <w:r w:rsidRPr="00DD76D4">
              <w:rPr>
                <w:bCs/>
                <w:sz w:val="22"/>
                <w:szCs w:val="22"/>
                <w:lang w:val="es-ES"/>
              </w:rPr>
              <w:t>es un subíndice del iGOPP</w:t>
            </w: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C6F7F" w:rsidRPr="00D0324A" w:rsidRDefault="00AC6F7F" w:rsidP="002F7B1B">
            <w:pPr>
              <w:widowControl/>
              <w:adjustRightInd/>
              <w:spacing w:before="120" w:after="120" w:line="240" w:lineRule="auto"/>
              <w:textAlignment w:val="auto"/>
              <w:rPr>
                <w:rFonts w:eastAsia="Times New Roman"/>
                <w:color w:val="auto"/>
                <w:sz w:val="22"/>
                <w:highlight w:val="yellow"/>
                <w:lang w:val="es-ES"/>
              </w:rPr>
            </w:pPr>
            <w:r w:rsidRPr="00BF344C">
              <w:rPr>
                <w:rFonts w:eastAsia="Times New Roman"/>
                <w:color w:val="auto"/>
                <w:sz w:val="22"/>
                <w:lang w:val="es-ES"/>
              </w:rPr>
              <w:t>6%</w:t>
            </w:r>
          </w:p>
        </w:tc>
        <w:tc>
          <w:tcPr>
            <w:tcW w:w="79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C6F7F" w:rsidRPr="00E929DC" w:rsidRDefault="00AC6F7F" w:rsidP="002F7B1B">
            <w:pPr>
              <w:widowControl/>
              <w:adjustRightInd/>
              <w:spacing w:before="120" w:after="120" w:line="240" w:lineRule="auto"/>
              <w:jc w:val="center"/>
              <w:textAlignment w:val="auto"/>
              <w:rPr>
                <w:rFonts w:eastAsia="Times New Roman"/>
                <w:color w:val="auto"/>
                <w:sz w:val="22"/>
                <w:lang w:val="es-ES"/>
              </w:rPr>
            </w:pPr>
          </w:p>
        </w:tc>
        <w:tc>
          <w:tcPr>
            <w:tcW w:w="8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C6F7F" w:rsidRPr="00E929DC" w:rsidRDefault="00AC6F7F" w:rsidP="002F7B1B">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C6F7F" w:rsidRPr="00E929DC" w:rsidRDefault="00AC6F7F" w:rsidP="002F7B1B">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C6F7F" w:rsidRPr="00E929DC" w:rsidRDefault="00AC6F7F" w:rsidP="002F7B1B">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vAlign w:val="center"/>
          </w:tcPr>
          <w:p w:rsidR="00AC6F7F" w:rsidRPr="00E929DC" w:rsidRDefault="00AC6F7F" w:rsidP="002F7B1B">
            <w:pPr>
              <w:widowControl/>
              <w:adjustRightInd/>
              <w:spacing w:before="120" w:after="120" w:line="240" w:lineRule="auto"/>
              <w:textAlignment w:val="auto"/>
              <w:rPr>
                <w:rFonts w:eastAsia="Times New Roman"/>
                <w:color w:val="auto"/>
                <w:sz w:val="22"/>
                <w:lang w:val="es-E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AC6F7F" w:rsidRDefault="00AC6F7F" w:rsidP="002F7B1B">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21%</w:t>
            </w:r>
          </w:p>
        </w:tc>
        <w:tc>
          <w:tcPr>
            <w:tcW w:w="3290"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AC6F7F" w:rsidRDefault="00AC6F7F" w:rsidP="002F7B1B">
            <w:pPr>
              <w:pStyle w:val="Default"/>
              <w:rPr>
                <w:sz w:val="20"/>
                <w:szCs w:val="20"/>
                <w:lang w:val="es-ES_tradnl"/>
              </w:rPr>
            </w:pPr>
            <w:r w:rsidRPr="00C404D2">
              <w:rPr>
                <w:rFonts w:eastAsia="Arial Unicode MS"/>
                <w:color w:val="auto"/>
                <w:sz w:val="20"/>
                <w:szCs w:val="20"/>
                <w:lang w:val="es-ES_tradnl"/>
              </w:rPr>
              <w:t xml:space="preserve">El </w:t>
            </w:r>
            <m:oMath>
              <m:sSub>
                <m:sSubPr>
                  <m:ctrlPr>
                    <w:rPr>
                      <w:rFonts w:ascii="Cambria Math" w:hAnsi="Cambria Math"/>
                      <w:bCs/>
                      <w:i/>
                      <w:sz w:val="20"/>
                      <w:szCs w:val="20"/>
                      <w:lang w:val="es-ES"/>
                    </w:rPr>
                  </m:ctrlPr>
                </m:sSubPr>
                <m:e>
                  <m:r>
                    <w:rPr>
                      <w:rFonts w:ascii="Cambria Math" w:hAnsi="Cambria Math"/>
                      <w:sz w:val="20"/>
                      <w:szCs w:val="20"/>
                      <w:lang w:val="es-ES"/>
                    </w:rPr>
                    <m:t>RC</m:t>
                  </m:r>
                </m:e>
                <m:sub>
                  <m:r>
                    <w:rPr>
                      <w:rFonts w:ascii="Cambria Math" w:hAnsi="Cambria Math"/>
                      <w:sz w:val="20"/>
                      <w:szCs w:val="20"/>
                      <w:lang w:val="es-ES"/>
                    </w:rPr>
                    <m:t>iGOPP</m:t>
                  </m:r>
                </m:sub>
              </m:sSub>
            </m:oMath>
            <w:r w:rsidRPr="00C404D2">
              <w:rPr>
                <w:rFonts w:eastAsia="Arial Unicode MS"/>
                <w:bCs/>
                <w:sz w:val="20"/>
                <w:szCs w:val="20"/>
                <w:lang w:val="es-ES"/>
              </w:rPr>
              <w:t xml:space="preserve"> </w:t>
            </w:r>
            <w:r w:rsidRPr="00C404D2">
              <w:rPr>
                <w:rFonts w:eastAsia="Arial Unicode MS"/>
                <w:color w:val="auto"/>
                <w:sz w:val="20"/>
                <w:szCs w:val="20"/>
                <w:lang w:val="es-ES_tradnl"/>
              </w:rPr>
              <w:t xml:space="preserve">del iGOPP mide a través de un checklist, el </w:t>
            </w:r>
            <w:r w:rsidRPr="00C404D2">
              <w:rPr>
                <w:sz w:val="20"/>
                <w:szCs w:val="20"/>
                <w:lang w:val="es-ES_tradnl"/>
              </w:rPr>
              <w:t>Proceso ex ante que se focaliza en la preparación de los procesos de restablecimiento de medios de vida, de servicios básicos e infraestructura de forma tal que se reduzca la improvisación, la ineficiencia y la ineficacia en los procesos de recuperación post-desastre.</w:t>
            </w:r>
            <w:r>
              <w:rPr>
                <w:sz w:val="20"/>
                <w:szCs w:val="20"/>
                <w:lang w:val="es-ES_tradnl"/>
              </w:rPr>
              <w:t xml:space="preserve"> El porcentaje hace referencia al número de indicadores cumplidos para este proceso.</w:t>
            </w:r>
          </w:p>
          <w:p w:rsidR="00AC6F7F" w:rsidRPr="00C404D2" w:rsidRDefault="00AC6F7F" w:rsidP="002F7B1B">
            <w:pPr>
              <w:pStyle w:val="Default"/>
              <w:rPr>
                <w:b/>
                <w:bCs/>
                <w:i/>
                <w:iCs/>
                <w:sz w:val="20"/>
                <w:szCs w:val="20"/>
                <w:lang w:val="es-ES_tradnl"/>
              </w:rPr>
            </w:pPr>
          </w:p>
        </w:tc>
      </w:tr>
      <w:tr w:rsidR="005B4992" w:rsidRPr="00E929DC" w:rsidTr="00E674B4">
        <w:trPr>
          <w:trHeight w:val="270"/>
          <w:jc w:val="center"/>
        </w:trPr>
        <w:tc>
          <w:tcPr>
            <w:tcW w:w="13318" w:type="dxa"/>
            <w:gridSpan w:val="9"/>
            <w:tcBorders>
              <w:top w:val="single" w:sz="4" w:space="0" w:color="auto"/>
              <w:left w:val="single" w:sz="4" w:space="0" w:color="auto"/>
              <w:bottom w:val="single" w:sz="4" w:space="0" w:color="auto"/>
              <w:right w:val="single" w:sz="4" w:space="0" w:color="auto"/>
            </w:tcBorders>
            <w:shd w:val="clear" w:color="auto" w:fill="CCCCCC"/>
            <w:noWrap/>
            <w:tcMar>
              <w:top w:w="15" w:type="dxa"/>
              <w:left w:w="15" w:type="dxa"/>
              <w:bottom w:w="0" w:type="dxa"/>
              <w:right w:w="15" w:type="dxa"/>
            </w:tcMar>
            <w:vAlign w:val="bottom"/>
          </w:tcPr>
          <w:p w:rsidR="005B4992" w:rsidRPr="00E929DC" w:rsidRDefault="005B4992" w:rsidP="00E674B4">
            <w:pPr>
              <w:widowControl/>
              <w:adjustRightInd/>
              <w:spacing w:line="240" w:lineRule="auto"/>
              <w:ind w:right="165"/>
              <w:jc w:val="left"/>
              <w:textAlignment w:val="auto"/>
              <w:rPr>
                <w:rFonts w:eastAsia="Arial Unicode MS"/>
                <w:b/>
                <w:color w:val="auto"/>
                <w:sz w:val="22"/>
                <w:lang w:val="es-ES"/>
              </w:rPr>
            </w:pPr>
            <w:r>
              <w:rPr>
                <w:rFonts w:eastAsia="Arial Unicode MS"/>
                <w:b/>
                <w:color w:val="auto"/>
                <w:sz w:val="22"/>
                <w:lang w:val="es-ES"/>
              </w:rPr>
              <w:t>Productos</w:t>
            </w:r>
          </w:p>
        </w:tc>
      </w:tr>
      <w:tr w:rsidR="005B4992" w:rsidRPr="00EF7BA5" w:rsidTr="00BF344C">
        <w:trPr>
          <w:trHeight w:val="270"/>
          <w:jc w:val="center"/>
        </w:trPr>
        <w:tc>
          <w:tcPr>
            <w:tcW w:w="41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5B4992" w:rsidRDefault="005B4992" w:rsidP="005B4992">
            <w:pPr>
              <w:pStyle w:val="NoSpacing"/>
              <w:jc w:val="left"/>
              <w:rPr>
                <w:sz w:val="20"/>
                <w:szCs w:val="20"/>
                <w:lang w:val="es-ES_tradnl"/>
              </w:rPr>
            </w:pPr>
            <w:r w:rsidRPr="005B4992">
              <w:rPr>
                <w:sz w:val="20"/>
                <w:szCs w:val="20"/>
                <w:lang w:val="es-ES_tradnl"/>
              </w:rPr>
              <w:t>Aprobación del Plan Nacional de GRD incluyendo los procesos de preparación, respuesta y rehabilitación, y considerando el fortalecimiento de los procedimientos de operaciones de emergencia.</w:t>
            </w:r>
          </w:p>
          <w:p w:rsidR="005B4992" w:rsidRDefault="005B4992" w:rsidP="005B4992">
            <w:pPr>
              <w:pStyle w:val="NoSpacing"/>
              <w:jc w:val="left"/>
              <w:rPr>
                <w:sz w:val="20"/>
                <w:szCs w:val="20"/>
                <w:lang w:val="es-ES_tradnl"/>
              </w:rPr>
            </w:pPr>
          </w:p>
          <w:p w:rsidR="005B4992" w:rsidRPr="005B4992" w:rsidRDefault="005B4992" w:rsidP="005B4992">
            <w:pPr>
              <w:pStyle w:val="NoSpacing"/>
              <w:jc w:val="left"/>
              <w:rPr>
                <w:sz w:val="20"/>
                <w:szCs w:val="20"/>
                <w:lang w:val="es-ES_tradnl"/>
              </w:rPr>
            </w:pPr>
            <w:r w:rsidRPr="005B4992">
              <w:rPr>
                <w:i/>
                <w:sz w:val="20"/>
                <w:szCs w:val="20"/>
                <w:lang w:val="es-ES_tradnl"/>
              </w:rPr>
              <w:t>Indicador:</w:t>
            </w:r>
            <w:r w:rsidRPr="005B4992">
              <w:rPr>
                <w:sz w:val="20"/>
                <w:szCs w:val="20"/>
                <w:lang w:val="es-ES_tradnl"/>
              </w:rPr>
              <w:t xml:space="preserve"> Plan Nacional de GRD</w:t>
            </w:r>
            <w:r>
              <w:rPr>
                <w:sz w:val="20"/>
                <w:szCs w:val="20"/>
                <w:lang w:val="es-ES_tradnl"/>
              </w:rPr>
              <w:t xml:space="preserve"> </w:t>
            </w:r>
            <w:r w:rsidR="00AC6F7F">
              <w:rPr>
                <w:sz w:val="20"/>
                <w:szCs w:val="20"/>
                <w:lang w:val="es-ES_tradnl"/>
              </w:rPr>
              <w:t xml:space="preserve">adoptado por Decreto Supremo </w:t>
            </w:r>
            <w:r>
              <w:rPr>
                <w:sz w:val="20"/>
                <w:szCs w:val="20"/>
                <w:lang w:val="es-ES_tradnl"/>
              </w:rPr>
              <w:t>(#)</w:t>
            </w:r>
          </w:p>
          <w:p w:rsidR="005B4992" w:rsidRPr="005B4992" w:rsidRDefault="005B4992" w:rsidP="005B4992">
            <w:pPr>
              <w:pStyle w:val="NoSpacing"/>
              <w:jc w:val="left"/>
              <w:rPr>
                <w:lang w:val="es-ES_tradnl"/>
              </w:rPr>
            </w:pPr>
          </w:p>
          <w:p w:rsidR="005B4992" w:rsidRPr="005B4992" w:rsidRDefault="005B4992" w:rsidP="005B4992">
            <w:pPr>
              <w:pStyle w:val="NoSpacing"/>
              <w:jc w:val="left"/>
              <w:rPr>
                <w:sz w:val="20"/>
                <w:szCs w:val="20"/>
                <w:lang w:val="es-ES_tradnl"/>
              </w:rPr>
            </w:pPr>
            <w:r w:rsidRPr="005B4992">
              <w:rPr>
                <w:sz w:val="20"/>
                <w:szCs w:val="20"/>
                <w:lang w:val="es-ES_tradnl"/>
              </w:rPr>
              <w:t>Integración del concepto de continuidad operativa del Estado en situaciones de desastre en la planificación gubernamental.</w:t>
            </w:r>
          </w:p>
          <w:p w:rsidR="005B4992" w:rsidRDefault="005B4992" w:rsidP="005B4992">
            <w:pPr>
              <w:pStyle w:val="NoSpacing"/>
              <w:jc w:val="left"/>
              <w:rPr>
                <w:sz w:val="20"/>
                <w:szCs w:val="20"/>
                <w:lang w:val="es-ES_tradnl"/>
              </w:rPr>
            </w:pPr>
          </w:p>
          <w:p w:rsidR="005B4992" w:rsidRPr="00AC6F7F" w:rsidRDefault="005B4992" w:rsidP="005B4992">
            <w:pPr>
              <w:pStyle w:val="NoSpacing"/>
              <w:jc w:val="left"/>
              <w:rPr>
                <w:i/>
                <w:sz w:val="20"/>
                <w:szCs w:val="20"/>
                <w:lang w:val="es-ES_tradnl"/>
              </w:rPr>
            </w:pPr>
            <w:r w:rsidRPr="00AC6F7F">
              <w:rPr>
                <w:i/>
                <w:sz w:val="20"/>
                <w:szCs w:val="20"/>
                <w:lang w:val="es-ES_tradnl"/>
              </w:rPr>
              <w:t xml:space="preserve">Indicador: </w:t>
            </w:r>
            <w:r w:rsidR="00AC6F7F" w:rsidRPr="00AC6F7F">
              <w:rPr>
                <w:rFonts w:eastAsia="Times New Roman"/>
                <w:sz w:val="20"/>
                <w:szCs w:val="20"/>
                <w:lang w:val="es-ES_tradnl" w:eastAsia="es-ES"/>
              </w:rPr>
              <w:t>Decreto Supremo por medio del cual “se adopta el Plan Nacional de GRD” que integra el concepto de continuidad operativa del Estado en situaciones de desastre.</w:t>
            </w:r>
          </w:p>
          <w:p w:rsidR="005B4992" w:rsidRPr="005B4992" w:rsidRDefault="005B4992" w:rsidP="005B4992">
            <w:pPr>
              <w:pStyle w:val="NoSpacing"/>
              <w:jc w:val="left"/>
              <w:rPr>
                <w:sz w:val="20"/>
                <w:szCs w:val="20"/>
                <w:lang w:val="es-ES_tradnl"/>
              </w:rPr>
            </w:pPr>
          </w:p>
          <w:p w:rsidR="005B4992" w:rsidRDefault="005B4992" w:rsidP="005B4992">
            <w:pPr>
              <w:pStyle w:val="NoSpacing"/>
              <w:jc w:val="left"/>
              <w:rPr>
                <w:sz w:val="20"/>
                <w:szCs w:val="20"/>
                <w:lang w:val="es-ES_tradnl"/>
              </w:rPr>
            </w:pPr>
            <w:r w:rsidRPr="005B4992">
              <w:rPr>
                <w:sz w:val="20"/>
                <w:szCs w:val="20"/>
                <w:lang w:val="es-ES_tradnl"/>
              </w:rPr>
              <w:lastRenderedPageBreak/>
              <w:t>Planificación y establecimiento de la gestión de la continuidad operativa del MEF en caso de Desastre.</w:t>
            </w:r>
          </w:p>
          <w:p w:rsidR="005B4992" w:rsidRPr="005B4992" w:rsidRDefault="005B4992" w:rsidP="005B4992">
            <w:pPr>
              <w:pStyle w:val="NoSpacing"/>
              <w:jc w:val="left"/>
              <w:rPr>
                <w:sz w:val="20"/>
                <w:szCs w:val="20"/>
                <w:lang w:val="es-ES_tradnl"/>
              </w:rPr>
            </w:pPr>
          </w:p>
          <w:p w:rsidR="005B4992" w:rsidRPr="00AC6F7F" w:rsidRDefault="005B4992" w:rsidP="005B4992">
            <w:pPr>
              <w:pStyle w:val="NoSpacing"/>
              <w:jc w:val="left"/>
              <w:rPr>
                <w:i/>
                <w:sz w:val="20"/>
                <w:szCs w:val="20"/>
                <w:lang w:val="es-ES_tradnl"/>
              </w:rPr>
            </w:pPr>
            <w:r w:rsidRPr="00AC6F7F">
              <w:rPr>
                <w:i/>
                <w:sz w:val="20"/>
                <w:szCs w:val="20"/>
                <w:lang w:val="es-ES_tradnl"/>
              </w:rPr>
              <w:t>Indicador:</w:t>
            </w:r>
            <w:r>
              <w:rPr>
                <w:i/>
                <w:sz w:val="20"/>
                <w:szCs w:val="20"/>
                <w:lang w:val="es-ES_tradnl"/>
              </w:rPr>
              <w:t xml:space="preserve"> </w:t>
            </w:r>
            <w:r w:rsidR="00AC6F7F" w:rsidRPr="00AC6F7F">
              <w:rPr>
                <w:rFonts w:eastAsia="Times New Roman"/>
                <w:sz w:val="20"/>
                <w:szCs w:val="20"/>
                <w:lang w:val="es-ES_tradnl" w:eastAsia="es-ES"/>
              </w:rPr>
              <w:t xml:space="preserve">Convenio firmado con el Banco de la Nación que establece una Sede Alterna de la DGETP (Dirección General de Endeudamiento y Tesoro Público) </w:t>
            </w:r>
          </w:p>
          <w:p w:rsidR="005B4992" w:rsidRPr="005B4992" w:rsidRDefault="005B4992" w:rsidP="005B4992">
            <w:pPr>
              <w:pStyle w:val="NoSpacing"/>
              <w:jc w:val="left"/>
              <w:rPr>
                <w:sz w:val="20"/>
                <w:szCs w:val="20"/>
                <w:lang w:val="es-ES_tradnl"/>
              </w:rPr>
            </w:pPr>
          </w:p>
          <w:p w:rsidR="005B4992" w:rsidRPr="005B4992" w:rsidRDefault="005B4992" w:rsidP="005B4992">
            <w:pPr>
              <w:pStyle w:val="NoSpacing"/>
              <w:jc w:val="left"/>
              <w:rPr>
                <w:sz w:val="20"/>
                <w:szCs w:val="20"/>
                <w:lang w:val="es-ES_tradnl"/>
              </w:rPr>
            </w:pPr>
            <w:r w:rsidRPr="005B4992">
              <w:rPr>
                <w:sz w:val="20"/>
                <w:szCs w:val="20"/>
                <w:lang w:val="es-ES_tradnl"/>
              </w:rPr>
              <w:t xml:space="preserve">Implementación de un programa de simulacros que incluya escenarios nacionales de afectación por sismo y tsunami, diurnos y nocturnos, y escenarios de ayuda mutua internacional. </w:t>
            </w:r>
          </w:p>
          <w:p w:rsidR="005B4992" w:rsidRDefault="005B4992" w:rsidP="005B4992">
            <w:pPr>
              <w:pStyle w:val="NoSpacing"/>
              <w:jc w:val="left"/>
              <w:rPr>
                <w:sz w:val="20"/>
                <w:szCs w:val="20"/>
                <w:lang w:val="es-ES_tradnl"/>
              </w:rPr>
            </w:pPr>
          </w:p>
          <w:p w:rsidR="005B4992" w:rsidRPr="00AC6F7F" w:rsidRDefault="005B4992" w:rsidP="00AC6F7F">
            <w:pPr>
              <w:widowControl/>
              <w:adjustRightInd/>
              <w:spacing w:line="240" w:lineRule="auto"/>
              <w:jc w:val="left"/>
              <w:textAlignment w:val="auto"/>
              <w:rPr>
                <w:rFonts w:eastAsia="Times New Roman"/>
                <w:sz w:val="20"/>
                <w:szCs w:val="20"/>
                <w:lang w:val="es-ES_tradnl" w:eastAsia="es-ES"/>
              </w:rPr>
            </w:pPr>
            <w:r w:rsidRPr="005B4992">
              <w:rPr>
                <w:i/>
                <w:sz w:val="20"/>
                <w:szCs w:val="20"/>
                <w:lang w:val="es-ES_tradnl"/>
              </w:rPr>
              <w:t>Indicador:</w:t>
            </w:r>
            <w:r>
              <w:rPr>
                <w:i/>
                <w:sz w:val="20"/>
                <w:szCs w:val="20"/>
                <w:lang w:val="es-ES_tradnl"/>
              </w:rPr>
              <w:t xml:space="preserve"> </w:t>
            </w:r>
            <w:r w:rsidR="00AC6F7F" w:rsidRPr="00AC6F7F">
              <w:rPr>
                <w:rFonts w:eastAsia="Times New Roman"/>
                <w:sz w:val="20"/>
                <w:szCs w:val="20"/>
                <w:lang w:val="es-ES_tradnl" w:eastAsia="es-ES"/>
              </w:rPr>
              <w:t>Informe del INDECI sobre los resulta</w:t>
            </w:r>
            <w:r w:rsidR="00AC6F7F">
              <w:rPr>
                <w:rFonts w:eastAsia="Times New Roman"/>
                <w:sz w:val="20"/>
                <w:szCs w:val="20"/>
                <w:lang w:val="es-ES_tradnl" w:eastAsia="es-ES"/>
              </w:rPr>
              <w:t>dos del programa de Simulacros (#)</w:t>
            </w:r>
          </w:p>
          <w:p w:rsidR="005B4992" w:rsidRPr="005B4992" w:rsidRDefault="005B4992" w:rsidP="005B4992">
            <w:pPr>
              <w:pStyle w:val="NoSpacing"/>
              <w:jc w:val="left"/>
              <w:rPr>
                <w:sz w:val="20"/>
                <w:szCs w:val="20"/>
                <w:lang w:val="es-ES_tradnl"/>
              </w:rPr>
            </w:pPr>
          </w:p>
          <w:p w:rsidR="005B4992" w:rsidRDefault="005B4992" w:rsidP="005B4992">
            <w:pPr>
              <w:pStyle w:val="NoSpacing"/>
              <w:jc w:val="left"/>
              <w:rPr>
                <w:sz w:val="20"/>
                <w:szCs w:val="20"/>
                <w:lang w:val="es-ES_tradnl"/>
              </w:rPr>
            </w:pPr>
            <w:r w:rsidRPr="005B4992">
              <w:rPr>
                <w:sz w:val="20"/>
                <w:szCs w:val="20"/>
                <w:lang w:val="es-ES_tradnl"/>
              </w:rPr>
              <w:t>Diseño y aprobación de un Plan Nacional de Articulación para la Respuesta ante al menos un fenómeno natural priorizado, con un enfoque de sistema y con la participación de al menos dos sectores.</w:t>
            </w:r>
          </w:p>
          <w:p w:rsidR="005B4992" w:rsidRDefault="005B4992" w:rsidP="005B4992">
            <w:pPr>
              <w:pStyle w:val="NoSpacing"/>
              <w:jc w:val="left"/>
              <w:rPr>
                <w:sz w:val="20"/>
                <w:szCs w:val="20"/>
                <w:lang w:val="es-ES_tradnl"/>
              </w:rPr>
            </w:pPr>
          </w:p>
          <w:p w:rsidR="005B4992" w:rsidRDefault="005B4992" w:rsidP="005B4992">
            <w:pPr>
              <w:pStyle w:val="NoSpacing"/>
              <w:jc w:val="left"/>
              <w:rPr>
                <w:sz w:val="20"/>
                <w:szCs w:val="20"/>
                <w:lang w:val="es-ES_tradnl"/>
              </w:rPr>
            </w:pPr>
            <w:r w:rsidRPr="005B4992">
              <w:rPr>
                <w:i/>
                <w:sz w:val="20"/>
                <w:szCs w:val="20"/>
                <w:lang w:val="es-ES_tradnl"/>
              </w:rPr>
              <w:t>Indicador:</w:t>
            </w:r>
            <w:r>
              <w:rPr>
                <w:i/>
                <w:sz w:val="20"/>
                <w:szCs w:val="20"/>
                <w:lang w:val="es-ES_tradnl"/>
              </w:rPr>
              <w:t xml:space="preserve"> </w:t>
            </w:r>
            <w:r>
              <w:rPr>
                <w:sz w:val="20"/>
                <w:szCs w:val="20"/>
                <w:lang w:val="es-ES_tradnl"/>
              </w:rPr>
              <w:t xml:space="preserve">Plan </w:t>
            </w:r>
            <w:r w:rsidR="00C05771">
              <w:rPr>
                <w:sz w:val="20"/>
                <w:szCs w:val="20"/>
                <w:lang w:val="es-ES_tradnl"/>
              </w:rPr>
              <w:t>multisectorial para la atención a heladas</w:t>
            </w:r>
            <w:r w:rsidR="00880359">
              <w:rPr>
                <w:sz w:val="20"/>
                <w:szCs w:val="20"/>
                <w:lang w:val="es-ES_tradnl"/>
              </w:rPr>
              <w:t xml:space="preserve"> </w:t>
            </w:r>
            <w:r>
              <w:rPr>
                <w:sz w:val="20"/>
                <w:szCs w:val="20"/>
                <w:lang w:val="es-ES_tradnl"/>
              </w:rPr>
              <w:t>aprobado (#)</w:t>
            </w:r>
          </w:p>
          <w:p w:rsidR="00AC6F7F" w:rsidRDefault="00AC6F7F" w:rsidP="005B4992">
            <w:pPr>
              <w:pStyle w:val="NoSpacing"/>
              <w:jc w:val="left"/>
              <w:rPr>
                <w:sz w:val="20"/>
                <w:szCs w:val="20"/>
                <w:lang w:val="es-ES_tradnl"/>
              </w:rPr>
            </w:pPr>
          </w:p>
          <w:p w:rsidR="005B4992" w:rsidRPr="005B4992" w:rsidRDefault="005B4992" w:rsidP="005B4992">
            <w:pPr>
              <w:widowControl/>
              <w:adjustRightInd/>
              <w:spacing w:line="240" w:lineRule="auto"/>
              <w:jc w:val="left"/>
              <w:textAlignment w:val="auto"/>
              <w:rPr>
                <w:sz w:val="20"/>
                <w:szCs w:val="20"/>
                <w:lang w:val="es-ES_tradnl"/>
              </w:rPr>
            </w:pPr>
            <w:r w:rsidRPr="005B4992">
              <w:rPr>
                <w:sz w:val="20"/>
                <w:szCs w:val="20"/>
                <w:lang w:val="es-ES_tradnl"/>
              </w:rPr>
              <w:t xml:space="preserve">Formulación y aprobación de una Guía para la estandarización de criterios, indicadores y protocolos para la evaluación de daños y atención de emergencias en el Sector Agrario (3 niveles de Gobierno). </w:t>
            </w:r>
          </w:p>
          <w:p w:rsidR="005B4992" w:rsidRDefault="005B4992" w:rsidP="005B4992">
            <w:pPr>
              <w:pStyle w:val="NoSpacing"/>
              <w:jc w:val="left"/>
              <w:rPr>
                <w:sz w:val="20"/>
                <w:szCs w:val="20"/>
                <w:lang w:val="es-ES_tradnl"/>
              </w:rPr>
            </w:pPr>
          </w:p>
          <w:p w:rsidR="005B4992" w:rsidRPr="005B4992" w:rsidRDefault="005B4992" w:rsidP="005B4992">
            <w:pPr>
              <w:pStyle w:val="NoSpacing"/>
              <w:jc w:val="left"/>
              <w:rPr>
                <w:sz w:val="20"/>
                <w:szCs w:val="20"/>
                <w:lang w:val="es-ES_tradnl"/>
              </w:rPr>
            </w:pPr>
            <w:r>
              <w:rPr>
                <w:sz w:val="20"/>
                <w:szCs w:val="20"/>
                <w:lang w:val="es-ES_tradnl"/>
              </w:rPr>
              <w:t>Indicador: Guía aprobada</w:t>
            </w:r>
            <w:r w:rsidR="00AC6F7F">
              <w:rPr>
                <w:sz w:val="20"/>
                <w:szCs w:val="20"/>
                <w:lang w:val="es-ES_tradnl"/>
              </w:rPr>
              <w:t xml:space="preserve"> </w:t>
            </w:r>
            <w:r>
              <w:rPr>
                <w:sz w:val="20"/>
                <w:szCs w:val="20"/>
                <w:lang w:val="es-ES_tradnl"/>
              </w:rPr>
              <w:t xml:space="preserve"> (#)</w:t>
            </w:r>
          </w:p>
          <w:p w:rsidR="005B4992" w:rsidRPr="005B4992" w:rsidRDefault="005B4992" w:rsidP="00AC6F7F">
            <w:pPr>
              <w:pStyle w:val="NoSpacing"/>
              <w:tabs>
                <w:tab w:val="left" w:pos="2880"/>
              </w:tabs>
              <w:rPr>
                <w:bCs/>
                <w:sz w:val="22"/>
                <w:szCs w:val="22"/>
                <w:lang w:val="es-ES_tradnl"/>
              </w:rPr>
            </w:pP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r>
              <w:rPr>
                <w:rFonts w:eastAsia="Times New Roman"/>
                <w:color w:val="auto"/>
                <w:sz w:val="22"/>
                <w:lang w:val="es-ES"/>
              </w:rPr>
              <w:t>0</w:t>
            </w: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r>
              <w:rPr>
                <w:rFonts w:eastAsia="Times New Roman"/>
                <w:color w:val="auto"/>
                <w:sz w:val="22"/>
                <w:lang w:val="es-ES"/>
              </w:rPr>
              <w:t>0</w:t>
            </w: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r>
              <w:rPr>
                <w:rFonts w:eastAsia="Times New Roman"/>
                <w:color w:val="auto"/>
                <w:sz w:val="22"/>
                <w:lang w:val="es-ES"/>
              </w:rPr>
              <w:t>0</w:t>
            </w: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r>
              <w:rPr>
                <w:rFonts w:eastAsia="Times New Roman"/>
                <w:color w:val="auto"/>
                <w:sz w:val="22"/>
                <w:lang w:val="es-ES"/>
              </w:rPr>
              <w:t>0</w:t>
            </w: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r>
              <w:rPr>
                <w:rFonts w:eastAsia="Times New Roman"/>
                <w:color w:val="auto"/>
                <w:sz w:val="22"/>
                <w:lang w:val="es-ES"/>
              </w:rPr>
              <w:t>0</w:t>
            </w: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Pr="00BF344C" w:rsidRDefault="005B4992" w:rsidP="00614A7A">
            <w:pPr>
              <w:pStyle w:val="NoSpacing"/>
              <w:jc w:val="center"/>
              <w:rPr>
                <w:rFonts w:eastAsia="Times New Roman"/>
                <w:color w:val="auto"/>
                <w:sz w:val="22"/>
                <w:lang w:val="es-ES"/>
              </w:rPr>
            </w:pPr>
            <w:r>
              <w:rPr>
                <w:rFonts w:eastAsia="Times New Roman"/>
                <w:color w:val="auto"/>
                <w:sz w:val="22"/>
                <w:lang w:val="es-ES"/>
              </w:rPr>
              <w:t>0</w:t>
            </w:r>
          </w:p>
        </w:tc>
        <w:tc>
          <w:tcPr>
            <w:tcW w:w="79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5B4992" w:rsidRPr="00E929DC" w:rsidRDefault="005B4992" w:rsidP="00614A7A">
            <w:pPr>
              <w:pStyle w:val="NoSpacing"/>
              <w:jc w:val="center"/>
              <w:rPr>
                <w:rFonts w:eastAsia="Times New Roman"/>
                <w:color w:val="auto"/>
                <w:sz w:val="22"/>
                <w:lang w:val="es-ES"/>
              </w:rPr>
            </w:pPr>
          </w:p>
        </w:tc>
        <w:tc>
          <w:tcPr>
            <w:tcW w:w="8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5B4992" w:rsidRPr="00E929DC" w:rsidRDefault="005B4992" w:rsidP="00614A7A">
            <w:pPr>
              <w:pStyle w:val="NoSpacing"/>
              <w:jc w:val="center"/>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5B4992" w:rsidRPr="00E929DC" w:rsidRDefault="005B4992" w:rsidP="00614A7A">
            <w:pPr>
              <w:pStyle w:val="NoSpacing"/>
              <w:jc w:val="center"/>
              <w:rPr>
                <w:rFonts w:eastAsia="Times New Roman"/>
                <w:color w:val="auto"/>
                <w:sz w:val="22"/>
                <w:lang w:val="es-ES"/>
              </w:rPr>
            </w:pP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5B4992" w:rsidRPr="00E929DC" w:rsidRDefault="005B4992" w:rsidP="00614A7A">
            <w:pPr>
              <w:pStyle w:val="NoSpacing"/>
              <w:jc w:val="center"/>
              <w:rPr>
                <w:rFonts w:eastAsia="Times New Roman"/>
                <w:color w:val="auto"/>
                <w:sz w:val="22"/>
                <w:lang w:val="es-ES"/>
              </w:rPr>
            </w:pPr>
          </w:p>
        </w:tc>
        <w:tc>
          <w:tcPr>
            <w:tcW w:w="810" w:type="dxa"/>
            <w:tcBorders>
              <w:top w:val="single" w:sz="4" w:space="0" w:color="auto"/>
              <w:left w:val="nil"/>
              <w:bottom w:val="single" w:sz="4" w:space="0" w:color="auto"/>
              <w:right w:val="single" w:sz="4" w:space="0" w:color="auto"/>
            </w:tcBorders>
            <w:shd w:val="clear" w:color="auto" w:fill="auto"/>
            <w:vAlign w:val="center"/>
          </w:tcPr>
          <w:p w:rsidR="005B4992" w:rsidRPr="00E929DC" w:rsidRDefault="005B4992" w:rsidP="00614A7A">
            <w:pPr>
              <w:pStyle w:val="NoSpacing"/>
              <w:jc w:val="center"/>
              <w:rPr>
                <w:rFonts w:eastAsia="Times New Roman"/>
                <w:color w:val="auto"/>
                <w:sz w:val="22"/>
                <w:lang w:val="es-E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r>
              <w:rPr>
                <w:rFonts w:eastAsia="Times New Roman"/>
                <w:color w:val="auto"/>
                <w:sz w:val="22"/>
                <w:lang w:val="es-ES"/>
              </w:rPr>
              <w:t>1</w:t>
            </w: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5B4992" w:rsidRDefault="005B4992" w:rsidP="00AC6F7F">
            <w:pPr>
              <w:pStyle w:val="NoSpacing"/>
              <w:jc w:val="center"/>
              <w:rPr>
                <w:rFonts w:eastAsia="Times New Roman"/>
                <w:color w:val="auto"/>
                <w:sz w:val="22"/>
                <w:lang w:val="es-ES"/>
              </w:rPr>
            </w:pPr>
            <w:r>
              <w:rPr>
                <w:rFonts w:eastAsia="Times New Roman"/>
                <w:color w:val="auto"/>
                <w:sz w:val="22"/>
                <w:lang w:val="es-ES"/>
              </w:rPr>
              <w:t>1</w:t>
            </w: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r>
              <w:rPr>
                <w:rFonts w:eastAsia="Times New Roman"/>
                <w:color w:val="auto"/>
                <w:sz w:val="22"/>
                <w:lang w:val="es-ES"/>
              </w:rPr>
              <w:t>1</w:t>
            </w: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r>
              <w:rPr>
                <w:rFonts w:eastAsia="Times New Roman"/>
                <w:color w:val="auto"/>
                <w:sz w:val="22"/>
                <w:lang w:val="es-ES"/>
              </w:rPr>
              <w:t>1</w:t>
            </w: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AC6F7F" w:rsidRDefault="00AC6F7F"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r>
              <w:rPr>
                <w:rFonts w:eastAsia="Times New Roman"/>
                <w:color w:val="auto"/>
                <w:sz w:val="22"/>
                <w:lang w:val="es-ES"/>
              </w:rPr>
              <w:t>1</w:t>
            </w: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5B4992" w:rsidRDefault="005B4992" w:rsidP="00614A7A">
            <w:pPr>
              <w:pStyle w:val="NoSpacing"/>
              <w:jc w:val="center"/>
              <w:rPr>
                <w:rFonts w:eastAsia="Times New Roman"/>
                <w:color w:val="auto"/>
                <w:sz w:val="22"/>
                <w:lang w:val="es-ES"/>
              </w:rPr>
            </w:pPr>
          </w:p>
          <w:p w:rsidR="00614A7A" w:rsidRDefault="00614A7A" w:rsidP="00614A7A">
            <w:pPr>
              <w:pStyle w:val="NoSpacing"/>
              <w:jc w:val="center"/>
              <w:rPr>
                <w:rFonts w:eastAsia="Times New Roman"/>
                <w:color w:val="auto"/>
                <w:sz w:val="22"/>
                <w:lang w:val="es-ES"/>
              </w:rPr>
            </w:pPr>
          </w:p>
          <w:p w:rsidR="00614A7A" w:rsidRDefault="00614A7A" w:rsidP="00614A7A">
            <w:pPr>
              <w:pStyle w:val="NoSpacing"/>
              <w:jc w:val="center"/>
              <w:rPr>
                <w:rFonts w:eastAsia="Times New Roman"/>
                <w:color w:val="auto"/>
                <w:sz w:val="22"/>
                <w:lang w:val="es-ES"/>
              </w:rPr>
            </w:pPr>
          </w:p>
          <w:p w:rsidR="00614A7A" w:rsidRDefault="00614A7A" w:rsidP="00614A7A">
            <w:pPr>
              <w:pStyle w:val="NoSpacing"/>
              <w:jc w:val="center"/>
              <w:rPr>
                <w:rFonts w:eastAsia="Times New Roman"/>
                <w:color w:val="auto"/>
                <w:sz w:val="22"/>
                <w:lang w:val="es-ES"/>
              </w:rPr>
            </w:pPr>
          </w:p>
          <w:p w:rsidR="00614A7A" w:rsidRDefault="00614A7A" w:rsidP="00614A7A">
            <w:pPr>
              <w:pStyle w:val="NoSpacing"/>
              <w:jc w:val="center"/>
              <w:rPr>
                <w:rFonts w:eastAsia="Times New Roman"/>
                <w:color w:val="auto"/>
                <w:sz w:val="22"/>
                <w:lang w:val="es-ES"/>
              </w:rPr>
            </w:pPr>
            <w:r>
              <w:rPr>
                <w:rFonts w:eastAsia="Times New Roman"/>
                <w:color w:val="auto"/>
                <w:sz w:val="22"/>
                <w:lang w:val="es-ES"/>
              </w:rPr>
              <w:t>1</w:t>
            </w:r>
          </w:p>
          <w:p w:rsidR="005B4992" w:rsidRDefault="005B4992" w:rsidP="00614A7A">
            <w:pPr>
              <w:pStyle w:val="NoSpacing"/>
              <w:jc w:val="center"/>
              <w:rPr>
                <w:rFonts w:eastAsia="Times New Roman"/>
                <w:color w:val="auto"/>
                <w:sz w:val="22"/>
                <w:lang w:val="es-ES"/>
              </w:rPr>
            </w:pPr>
          </w:p>
        </w:tc>
        <w:tc>
          <w:tcPr>
            <w:tcW w:w="3290"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5B4992" w:rsidRDefault="00612874" w:rsidP="005B4992">
            <w:pPr>
              <w:pStyle w:val="NoSpacing"/>
              <w:rPr>
                <w:rFonts w:eastAsia="Arial Unicode MS"/>
                <w:color w:val="auto"/>
                <w:lang w:val="es-ES"/>
              </w:rPr>
            </w:pPr>
            <w:r>
              <w:rPr>
                <w:rFonts w:eastAsia="Arial Unicode MS"/>
                <w:b/>
                <w:i/>
                <w:color w:val="auto"/>
                <w:sz w:val="20"/>
                <w:szCs w:val="20"/>
                <w:lang w:val="es-ES"/>
              </w:rPr>
              <w:lastRenderedPageBreak/>
              <w:t xml:space="preserve">Medio de verificación: </w:t>
            </w:r>
            <w:r w:rsidRPr="00612874">
              <w:rPr>
                <w:rFonts w:eastAsia="Arial Unicode MS"/>
                <w:color w:val="auto"/>
                <w:sz w:val="20"/>
                <w:szCs w:val="20"/>
                <w:lang w:val="es-ES"/>
              </w:rPr>
              <w:t>Matriz de verificables</w:t>
            </w:r>
          </w:p>
        </w:tc>
      </w:tr>
      <w:tr w:rsidR="008C6F26" w:rsidRPr="00EF7BA5" w:rsidTr="00BF344C">
        <w:trPr>
          <w:trHeight w:val="270"/>
          <w:jc w:val="center"/>
        </w:trPr>
        <w:tc>
          <w:tcPr>
            <w:tcW w:w="4133" w:type="dxa"/>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tcPr>
          <w:p w:rsidR="008C6F26" w:rsidRDefault="008C6F26" w:rsidP="008C6F26">
            <w:pPr>
              <w:pStyle w:val="Default"/>
              <w:rPr>
                <w:b/>
                <w:bCs/>
                <w:sz w:val="22"/>
                <w:szCs w:val="22"/>
                <w:lang w:val="es-ES"/>
              </w:rPr>
            </w:pPr>
          </w:p>
          <w:p w:rsidR="00EF007F" w:rsidRDefault="00EF007F" w:rsidP="008C6F26">
            <w:pPr>
              <w:pStyle w:val="Default"/>
              <w:rPr>
                <w:b/>
                <w:bCs/>
                <w:sz w:val="22"/>
                <w:szCs w:val="22"/>
                <w:lang w:val="es-ES"/>
              </w:rPr>
            </w:pPr>
            <w:r>
              <w:rPr>
                <w:b/>
                <w:bCs/>
                <w:sz w:val="22"/>
                <w:szCs w:val="22"/>
                <w:lang w:val="es-ES"/>
              </w:rPr>
              <w:t xml:space="preserve">Resultado 4: </w:t>
            </w:r>
            <w:r w:rsidR="00FB7CCA">
              <w:rPr>
                <w:b/>
                <w:bCs/>
                <w:sz w:val="22"/>
                <w:szCs w:val="22"/>
                <w:lang w:val="es-ES"/>
              </w:rPr>
              <w:t xml:space="preserve">Protección financiera </w:t>
            </w:r>
            <w:r w:rsidR="00FB7CCA" w:rsidRPr="00277988">
              <w:rPr>
                <w:b/>
                <w:bCs/>
                <w:sz w:val="22"/>
                <w:szCs w:val="22"/>
                <w:lang w:val="es-ES"/>
              </w:rPr>
              <w:t xml:space="preserve">para la gestión de riesgos incrementada </w:t>
            </w:r>
          </w:p>
          <w:p w:rsidR="00EF007F" w:rsidRDefault="00EF007F" w:rsidP="008C6F26">
            <w:pPr>
              <w:pStyle w:val="Default"/>
              <w:rPr>
                <w:b/>
                <w:bCs/>
                <w:sz w:val="22"/>
                <w:szCs w:val="22"/>
                <w:lang w:val="es-ES"/>
              </w:rPr>
            </w:pPr>
          </w:p>
          <w:p w:rsidR="00EF007F" w:rsidRDefault="00EF007F" w:rsidP="00EF007F">
            <w:pPr>
              <w:widowControl/>
              <w:adjustRightInd/>
              <w:spacing w:before="120" w:after="120" w:line="240" w:lineRule="auto"/>
              <w:ind w:right="9"/>
              <w:jc w:val="left"/>
              <w:textAlignment w:val="auto"/>
              <w:rPr>
                <w:rFonts w:eastAsia="Times New Roman"/>
                <w:i/>
                <w:color w:val="auto"/>
                <w:sz w:val="22"/>
                <w:lang w:val="es-ES"/>
              </w:rPr>
            </w:pPr>
            <w:r w:rsidRPr="00280CF3">
              <w:rPr>
                <w:rFonts w:eastAsia="Times New Roman"/>
                <w:i/>
                <w:color w:val="auto"/>
                <w:sz w:val="22"/>
                <w:lang w:val="es-ES"/>
              </w:rPr>
              <w:t>Indicador:</w:t>
            </w:r>
            <w:r>
              <w:rPr>
                <w:rFonts w:eastAsia="Times New Roman"/>
                <w:i/>
                <w:color w:val="auto"/>
                <w:sz w:val="22"/>
                <w:lang w:val="es-ES"/>
              </w:rPr>
              <w:t xml:space="preserve"> </w:t>
            </w:r>
            <w:r w:rsidRPr="00EF007F">
              <w:rPr>
                <w:rFonts w:eastAsia="Times New Roman"/>
                <w:color w:val="auto"/>
                <w:sz w:val="22"/>
                <w:lang w:val="es-ES"/>
              </w:rPr>
              <w:t>PF2 y</w:t>
            </w:r>
            <w:r>
              <w:rPr>
                <w:rFonts w:eastAsia="Times New Roman"/>
                <w:i/>
                <w:color w:val="auto"/>
                <w:sz w:val="22"/>
                <w:lang w:val="es-ES"/>
              </w:rPr>
              <w:t xml:space="preserve"> </w:t>
            </w:r>
            <w:r>
              <w:rPr>
                <w:rFonts w:eastAsia="Times New Roman"/>
                <w:color w:val="auto"/>
                <w:sz w:val="22"/>
                <w:lang w:val="es-ES"/>
              </w:rPr>
              <w:t xml:space="preserve">PF5 </w:t>
            </w:r>
            <w:r w:rsidR="00DC574D">
              <w:rPr>
                <w:rFonts w:eastAsia="Times New Roman"/>
                <w:color w:val="auto"/>
                <w:sz w:val="22"/>
                <w:lang w:val="es-ES"/>
              </w:rPr>
              <w:t>son</w:t>
            </w:r>
            <w:r w:rsidRPr="008C6F26">
              <w:rPr>
                <w:rFonts w:eastAsia="Times New Roman"/>
                <w:color w:val="auto"/>
                <w:sz w:val="22"/>
                <w:lang w:val="es-ES"/>
              </w:rPr>
              <w:t xml:space="preserve"> subíndice</w:t>
            </w:r>
            <w:r w:rsidR="00DC574D">
              <w:rPr>
                <w:rFonts w:eastAsia="Times New Roman"/>
                <w:color w:val="auto"/>
                <w:sz w:val="22"/>
                <w:lang w:val="es-ES"/>
              </w:rPr>
              <w:t>s</w:t>
            </w:r>
            <w:r w:rsidRPr="008C6F26">
              <w:rPr>
                <w:rFonts w:eastAsia="Times New Roman"/>
                <w:color w:val="auto"/>
                <w:sz w:val="22"/>
                <w:lang w:val="es-ES"/>
              </w:rPr>
              <w:t xml:space="preserve"> del componente</w:t>
            </w:r>
            <w:r w:rsidRPr="00645A05">
              <w:rPr>
                <w:rFonts w:eastAsia="Times New Roman"/>
                <w:color w:val="auto"/>
                <w:sz w:val="22"/>
                <w:lang w:val="es-ES"/>
              </w:rPr>
              <w:t xml:space="preserve"> de </w:t>
            </w:r>
            <w:r w:rsidR="00DC574D">
              <w:rPr>
                <w:rFonts w:eastAsia="Times New Roman"/>
                <w:color w:val="auto"/>
                <w:sz w:val="22"/>
                <w:lang w:val="es-ES"/>
              </w:rPr>
              <w:t xml:space="preserve">gobernabilidad y </w:t>
            </w:r>
            <w:r>
              <w:rPr>
                <w:rFonts w:eastAsia="Times New Roman"/>
                <w:color w:val="auto"/>
                <w:sz w:val="22"/>
                <w:lang w:val="es-ES"/>
              </w:rPr>
              <w:t xml:space="preserve">protección financiera </w:t>
            </w:r>
            <w:r w:rsidRPr="00645A05">
              <w:rPr>
                <w:rFonts w:eastAsia="Times New Roman"/>
                <w:color w:val="auto"/>
                <w:sz w:val="22"/>
                <w:lang w:val="es-ES"/>
              </w:rPr>
              <w:t xml:space="preserve"> para medición </w:t>
            </w:r>
            <w:r>
              <w:rPr>
                <w:rFonts w:eastAsia="Times New Roman"/>
                <w:color w:val="auto"/>
                <w:sz w:val="22"/>
                <w:lang w:val="es-ES"/>
              </w:rPr>
              <w:t>la del IGR</w:t>
            </w:r>
            <w:r w:rsidRPr="00645A05">
              <w:rPr>
                <w:rFonts w:eastAsia="Times New Roman"/>
                <w:color w:val="auto"/>
                <w:sz w:val="22"/>
                <w:lang w:val="es-ES"/>
              </w:rPr>
              <w:t>:</w:t>
            </w:r>
            <w:r w:rsidRPr="00280CF3">
              <w:rPr>
                <w:rFonts w:eastAsia="Times New Roman"/>
                <w:i/>
                <w:color w:val="auto"/>
                <w:sz w:val="22"/>
                <w:lang w:val="es-ES"/>
              </w:rPr>
              <w:t xml:space="preserve">  </w:t>
            </w:r>
            <m:oMath>
              <m:sSub>
                <m:sSubPr>
                  <m:ctrlPr>
                    <w:rPr>
                      <w:rFonts w:ascii="Cambria Math" w:eastAsia="Times New Roman" w:hAnsi="Cambria Math"/>
                      <w:i/>
                      <w:color w:val="auto"/>
                      <w:sz w:val="22"/>
                      <w:lang w:val="es-ES"/>
                    </w:rPr>
                  </m:ctrlPr>
                </m:sSubPr>
                <m:e>
                  <m:r>
                    <w:rPr>
                      <w:rFonts w:ascii="Cambria Math" w:eastAsia="Times New Roman" w:hAnsi="Cambria Math"/>
                      <w:color w:val="auto"/>
                      <w:sz w:val="22"/>
                      <w:lang w:val="es-ES"/>
                    </w:rPr>
                    <m:t>IGR</m:t>
                  </m:r>
                </m:e>
                <m:sub>
                  <m:r>
                    <w:rPr>
                      <w:rFonts w:ascii="Cambria Math" w:eastAsia="Times New Roman" w:hAnsi="Cambria Math"/>
                      <w:color w:val="auto"/>
                      <w:sz w:val="22"/>
                      <w:lang w:val="es-ES"/>
                    </w:rPr>
                    <m:t>PF</m:t>
                  </m:r>
                </m:sub>
              </m:sSub>
            </m:oMath>
          </w:p>
          <w:p w:rsidR="00EF007F" w:rsidRDefault="00EF007F" w:rsidP="00EF007F">
            <w:pPr>
              <w:widowControl/>
              <w:adjustRightInd/>
              <w:spacing w:before="120" w:after="120" w:line="240" w:lineRule="auto"/>
              <w:ind w:right="9"/>
              <w:jc w:val="left"/>
              <w:textAlignment w:val="auto"/>
              <w:rPr>
                <w:rFonts w:eastAsia="Times New Roman"/>
                <w:i/>
                <w:color w:val="auto"/>
                <w:sz w:val="22"/>
                <w:lang w:val="es-ES"/>
              </w:rPr>
            </w:pPr>
          </w:p>
          <w:p w:rsidR="00EF007F" w:rsidRPr="00EF007F" w:rsidRDefault="00EF7BA5" w:rsidP="00EF007F">
            <w:pPr>
              <w:widowControl/>
              <w:adjustRightInd/>
              <w:spacing w:before="120" w:after="120" w:line="240" w:lineRule="auto"/>
              <w:ind w:right="9"/>
              <w:jc w:val="left"/>
              <w:textAlignment w:val="auto"/>
              <w:rPr>
                <w:rFonts w:eastAsia="Times New Roman"/>
                <w:i/>
                <w:color w:val="auto"/>
                <w:sz w:val="22"/>
                <w:lang w:val="es-ES"/>
              </w:rPr>
            </w:pPr>
            <m:oMathPara>
              <m:oMath>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IGR</m:t>
                    </m:r>
                  </m:e>
                  <m:sub>
                    <m:r>
                      <w:rPr>
                        <w:rFonts w:ascii="Cambria Math" w:eastAsia="Arial Unicode MS" w:hAnsi="Cambria Math"/>
                        <w:color w:val="auto"/>
                        <w:sz w:val="22"/>
                        <w:lang w:val="es-ES"/>
                      </w:rPr>
                      <m:t>PF</m:t>
                    </m:r>
                  </m:sub>
                </m:sSub>
                <m:r>
                  <w:rPr>
                    <w:rFonts w:ascii="Cambria Math" w:eastAsia="Arial Unicode MS" w:hAnsi="Cambria Math"/>
                    <w:color w:val="auto"/>
                    <w:sz w:val="22"/>
                    <w:lang w:val="es-ES"/>
                  </w:rPr>
                  <m:t>=</m:t>
                </m:r>
                <m:f>
                  <m:fPr>
                    <m:ctrlPr>
                      <w:rPr>
                        <w:rFonts w:ascii="Cambria Math" w:eastAsia="Arial Unicode MS" w:hAnsi="Cambria Math"/>
                        <w:i/>
                        <w:color w:val="auto"/>
                        <w:sz w:val="22"/>
                        <w:lang w:val="es-ES"/>
                      </w:rPr>
                    </m:ctrlPr>
                  </m:fPr>
                  <m:num>
                    <m:nary>
                      <m:naryPr>
                        <m:chr m:val="∑"/>
                        <m:limLoc m:val="undOvr"/>
                        <m:ctrlPr>
                          <w:rPr>
                            <w:rFonts w:ascii="Cambria Math" w:eastAsia="Arial Unicode MS" w:hAnsi="Cambria Math"/>
                            <w:i/>
                            <w:color w:val="auto"/>
                            <w:sz w:val="22"/>
                            <w:lang w:val="es-ES"/>
                          </w:rPr>
                        </m:ctrlPr>
                      </m:naryPr>
                      <m:sub>
                        <m:r>
                          <w:rPr>
                            <w:rFonts w:ascii="Cambria Math" w:eastAsia="Arial Unicode MS" w:hAnsi="Cambria Math"/>
                            <w:color w:val="auto"/>
                            <w:sz w:val="22"/>
                            <w:lang w:val="es-ES"/>
                          </w:rPr>
                          <m:t>i=1</m:t>
                        </m:r>
                      </m:sub>
                      <m:sup>
                        <m:r>
                          <w:rPr>
                            <w:rFonts w:ascii="Cambria Math" w:eastAsia="Arial Unicode MS" w:hAnsi="Cambria Math"/>
                            <w:color w:val="auto"/>
                            <w:sz w:val="22"/>
                            <w:lang w:val="es-ES"/>
                          </w:rPr>
                          <m:t>N</m:t>
                        </m:r>
                      </m:sup>
                      <m:e>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W</m:t>
                            </m:r>
                          </m:e>
                          <m:sub>
                            <m:r>
                              <w:rPr>
                                <w:rFonts w:ascii="Cambria Math" w:eastAsia="Arial Unicode MS" w:hAnsi="Cambria Math"/>
                                <w:color w:val="auto"/>
                                <w:sz w:val="22"/>
                                <w:lang w:val="es-ES"/>
                              </w:rPr>
                              <m:t xml:space="preserve">i </m:t>
                            </m:r>
                          </m:sub>
                        </m:sSub>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PF</m:t>
                            </m:r>
                          </m:e>
                          <m:sub>
                            <m:r>
                              <w:rPr>
                                <w:rFonts w:ascii="Cambria Math" w:eastAsia="Arial Unicode MS" w:hAnsi="Cambria Math"/>
                                <w:color w:val="auto"/>
                                <w:sz w:val="22"/>
                                <w:lang w:val="es-ES"/>
                              </w:rPr>
                              <m:t>ic</m:t>
                            </m:r>
                          </m:sub>
                        </m:sSub>
                      </m:e>
                    </m:nary>
                  </m:num>
                  <m:den>
                    <m:nary>
                      <m:naryPr>
                        <m:chr m:val="∑"/>
                        <m:limLoc m:val="undOvr"/>
                        <m:ctrlPr>
                          <w:rPr>
                            <w:rFonts w:ascii="Cambria Math" w:eastAsia="Arial Unicode MS" w:hAnsi="Cambria Math"/>
                            <w:i/>
                            <w:color w:val="auto"/>
                            <w:sz w:val="22"/>
                            <w:lang w:val="es-ES"/>
                          </w:rPr>
                        </m:ctrlPr>
                      </m:naryPr>
                      <m:sub>
                        <m:r>
                          <w:rPr>
                            <w:rFonts w:ascii="Cambria Math" w:eastAsia="Arial Unicode MS" w:hAnsi="Cambria Math"/>
                            <w:color w:val="auto"/>
                            <w:sz w:val="22"/>
                            <w:lang w:val="es-ES"/>
                          </w:rPr>
                          <m:t>i=1</m:t>
                        </m:r>
                      </m:sub>
                      <m:sup>
                        <m:r>
                          <w:rPr>
                            <w:rFonts w:ascii="Cambria Math" w:eastAsia="Arial Unicode MS" w:hAnsi="Cambria Math"/>
                            <w:color w:val="auto"/>
                            <w:sz w:val="22"/>
                            <w:lang w:val="es-ES"/>
                          </w:rPr>
                          <m:t>N</m:t>
                        </m:r>
                      </m:sup>
                      <m:e>
                        <m:sSub>
                          <m:sSubPr>
                            <m:ctrlPr>
                              <w:rPr>
                                <w:rFonts w:ascii="Cambria Math" w:eastAsia="Arial Unicode MS" w:hAnsi="Cambria Math"/>
                                <w:i/>
                                <w:color w:val="auto"/>
                                <w:sz w:val="22"/>
                                <w:lang w:val="es-ES"/>
                              </w:rPr>
                            </m:ctrlPr>
                          </m:sSubPr>
                          <m:e>
                            <m:r>
                              <w:rPr>
                                <w:rFonts w:ascii="Cambria Math" w:eastAsia="Arial Unicode MS" w:hAnsi="Cambria Math"/>
                                <w:color w:val="auto"/>
                                <w:sz w:val="22"/>
                                <w:lang w:val="es-ES"/>
                              </w:rPr>
                              <m:t>W</m:t>
                            </m:r>
                          </m:e>
                          <m:sub>
                            <m:r>
                              <w:rPr>
                                <w:rFonts w:ascii="Cambria Math" w:eastAsia="Arial Unicode MS" w:hAnsi="Cambria Math"/>
                                <w:color w:val="auto"/>
                                <w:sz w:val="22"/>
                                <w:lang w:val="es-ES"/>
                              </w:rPr>
                              <m:t>i</m:t>
                            </m:r>
                          </m:sub>
                        </m:sSub>
                      </m:e>
                    </m:nary>
                  </m:den>
                </m:f>
              </m:oMath>
            </m:oMathPara>
          </w:p>
          <w:p w:rsidR="008C6F26" w:rsidRDefault="008C6F26" w:rsidP="008C6F26">
            <w:pPr>
              <w:pStyle w:val="Default"/>
              <w:rPr>
                <w:b/>
                <w:bCs/>
                <w:sz w:val="22"/>
                <w:szCs w:val="22"/>
                <w:lang w:val="es-ES"/>
              </w:rPr>
            </w:pPr>
          </w:p>
          <w:p w:rsidR="00DC574D" w:rsidRDefault="00DC574D" w:rsidP="008C6F26">
            <w:pPr>
              <w:widowControl/>
              <w:adjustRightInd/>
              <w:spacing w:before="120" w:after="120" w:line="240" w:lineRule="auto"/>
              <w:ind w:right="9"/>
              <w:jc w:val="left"/>
              <w:textAlignment w:val="auto"/>
              <w:rPr>
                <w:rFonts w:eastAsia="Times New Roman"/>
                <w:color w:val="auto"/>
                <w:sz w:val="22"/>
                <w:lang w:val="es-ES"/>
              </w:rPr>
            </w:pPr>
          </w:p>
          <w:p w:rsidR="00DC574D" w:rsidRDefault="00DC574D" w:rsidP="008C6F26">
            <w:pPr>
              <w:widowControl/>
              <w:adjustRightInd/>
              <w:spacing w:before="120" w:after="120" w:line="240" w:lineRule="auto"/>
              <w:ind w:right="9"/>
              <w:jc w:val="left"/>
              <w:textAlignment w:val="auto"/>
              <w:rPr>
                <w:rFonts w:eastAsia="Times New Roman"/>
                <w:color w:val="auto"/>
                <w:sz w:val="22"/>
                <w:lang w:val="es-ES"/>
              </w:rPr>
            </w:pPr>
            <w:r>
              <w:rPr>
                <w:rFonts w:eastAsia="Times New Roman"/>
                <w:color w:val="auto"/>
                <w:sz w:val="22"/>
                <w:lang w:val="es-ES"/>
              </w:rPr>
              <w:t xml:space="preserve">PF2: Reglamentación de fondos de reservas existentes o creación de nuevos fondos para cofinanciar proyectos de gestión de riesgos a </w:t>
            </w:r>
            <w:r w:rsidR="006C6D09">
              <w:rPr>
                <w:rFonts w:eastAsia="Times New Roman"/>
                <w:color w:val="auto"/>
                <w:sz w:val="22"/>
                <w:lang w:val="es-ES"/>
              </w:rPr>
              <w:t>nivel local (nivel 2)</w:t>
            </w:r>
          </w:p>
          <w:p w:rsidR="00EC3CDD" w:rsidRPr="00CF63F8" w:rsidRDefault="00EC3CDD" w:rsidP="008C6F26">
            <w:pPr>
              <w:widowControl/>
              <w:adjustRightInd/>
              <w:spacing w:before="120" w:after="120" w:line="240" w:lineRule="auto"/>
              <w:ind w:right="9"/>
              <w:jc w:val="left"/>
              <w:textAlignment w:val="auto"/>
              <w:rPr>
                <w:rFonts w:eastAsia="Times New Roman"/>
                <w:color w:val="auto"/>
                <w:sz w:val="22"/>
                <w:lang w:val="es-ES"/>
              </w:rPr>
            </w:pPr>
            <w:r>
              <w:rPr>
                <w:rFonts w:eastAsia="Times New Roman"/>
                <w:color w:val="auto"/>
                <w:sz w:val="22"/>
                <w:lang w:val="es-ES"/>
              </w:rPr>
              <w:t xml:space="preserve">PF5: </w:t>
            </w:r>
            <w:r w:rsidR="0031621B">
              <w:rPr>
                <w:rFonts w:eastAsia="Times New Roman"/>
                <w:color w:val="auto"/>
                <w:sz w:val="22"/>
                <w:lang w:val="es-ES"/>
              </w:rPr>
              <w:t xml:space="preserve">Disposiciones de aseguramiento de bienes públicos de obligatorio cumplimiento; deficiente aseguramiento </w:t>
            </w:r>
            <w:r w:rsidR="00CF63F8">
              <w:rPr>
                <w:rFonts w:eastAsia="Times New Roman"/>
                <w:color w:val="auto"/>
                <w:sz w:val="22"/>
                <w:lang w:val="es-ES"/>
              </w:rPr>
              <w:t>de la infraestructura</w:t>
            </w:r>
            <w:r w:rsidR="006C6D09">
              <w:rPr>
                <w:rFonts w:eastAsia="Times New Roman"/>
                <w:color w:val="auto"/>
                <w:sz w:val="22"/>
                <w:lang w:val="es-ES"/>
              </w:rPr>
              <w:t xml:space="preserve"> (nivel 2)</w:t>
            </w:r>
          </w:p>
        </w:tc>
        <w:tc>
          <w:tcPr>
            <w:tcW w:w="810"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8C6F26" w:rsidRDefault="008C6F26" w:rsidP="002A4A08">
            <w:pPr>
              <w:widowControl/>
              <w:adjustRightInd/>
              <w:spacing w:before="120" w:after="120" w:line="240" w:lineRule="auto"/>
              <w:jc w:val="center"/>
              <w:textAlignment w:val="auto"/>
              <w:rPr>
                <w:rFonts w:eastAsia="Times New Roman"/>
                <w:color w:val="auto"/>
                <w:sz w:val="22"/>
                <w:lang w:val="es-ES"/>
              </w:rPr>
            </w:pPr>
          </w:p>
          <w:p w:rsidR="00EF007F" w:rsidRDefault="00EF007F" w:rsidP="002A4A08">
            <w:pPr>
              <w:widowControl/>
              <w:adjustRightInd/>
              <w:spacing w:before="120" w:after="120" w:line="240" w:lineRule="auto"/>
              <w:jc w:val="center"/>
              <w:textAlignment w:val="auto"/>
              <w:rPr>
                <w:rFonts w:eastAsia="Times New Roman"/>
                <w:color w:val="auto"/>
                <w:sz w:val="22"/>
                <w:lang w:val="es-ES"/>
              </w:rPr>
            </w:pPr>
          </w:p>
          <w:p w:rsidR="00EF007F" w:rsidRDefault="00EF007F" w:rsidP="002A4A08">
            <w:pPr>
              <w:widowControl/>
              <w:adjustRightInd/>
              <w:spacing w:before="120" w:after="120" w:line="240" w:lineRule="auto"/>
              <w:jc w:val="center"/>
              <w:textAlignment w:val="auto"/>
              <w:rPr>
                <w:rFonts w:eastAsia="Times New Roman"/>
                <w:color w:val="auto"/>
                <w:sz w:val="22"/>
                <w:lang w:val="es-ES"/>
              </w:rPr>
            </w:pPr>
          </w:p>
          <w:p w:rsidR="00EF007F" w:rsidRDefault="00EF007F" w:rsidP="00A05901">
            <w:pPr>
              <w:widowControl/>
              <w:adjustRightInd/>
              <w:spacing w:before="120" w:after="120" w:line="240" w:lineRule="auto"/>
              <w:textAlignment w:val="auto"/>
              <w:rPr>
                <w:rFonts w:eastAsia="Times New Roman"/>
                <w:color w:val="auto"/>
                <w:sz w:val="22"/>
                <w:lang w:val="es-ES"/>
              </w:rPr>
            </w:pPr>
          </w:p>
          <w:p w:rsidR="003F4ECF" w:rsidRDefault="003F4ECF" w:rsidP="00A05901">
            <w:pPr>
              <w:widowControl/>
              <w:adjustRightInd/>
              <w:spacing w:before="120" w:after="120" w:line="240" w:lineRule="auto"/>
              <w:textAlignment w:val="auto"/>
              <w:rPr>
                <w:rFonts w:eastAsia="Times New Roman"/>
                <w:color w:val="auto"/>
                <w:sz w:val="22"/>
                <w:lang w:val="es-ES"/>
              </w:rPr>
            </w:pPr>
          </w:p>
          <w:p w:rsidR="003F4ECF" w:rsidRDefault="003F4ECF" w:rsidP="00A05901">
            <w:pPr>
              <w:widowControl/>
              <w:adjustRightInd/>
              <w:spacing w:before="120" w:after="120" w:line="240" w:lineRule="auto"/>
              <w:textAlignment w:val="auto"/>
              <w:rPr>
                <w:rFonts w:eastAsia="Times New Roman"/>
                <w:color w:val="auto"/>
                <w:sz w:val="22"/>
                <w:lang w:val="es-ES"/>
              </w:rPr>
            </w:pPr>
          </w:p>
          <w:p w:rsidR="00AC6F7F" w:rsidRDefault="00AC6F7F" w:rsidP="00A05901">
            <w:pPr>
              <w:widowControl/>
              <w:adjustRightInd/>
              <w:spacing w:before="120" w:after="120" w:line="240" w:lineRule="auto"/>
              <w:textAlignment w:val="auto"/>
              <w:rPr>
                <w:rFonts w:eastAsia="Times New Roman"/>
                <w:color w:val="auto"/>
                <w:sz w:val="22"/>
                <w:lang w:val="es-ES"/>
              </w:rPr>
            </w:pPr>
          </w:p>
          <w:p w:rsidR="00A76F58" w:rsidRDefault="00DC574D"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r w:rsidR="00A76F58">
              <w:rPr>
                <w:rFonts w:eastAsia="Times New Roman"/>
                <w:color w:val="auto"/>
                <w:sz w:val="22"/>
                <w:lang w:val="es-ES"/>
              </w:rPr>
              <w:t>7.30</w:t>
            </w:r>
          </w:p>
          <w:p w:rsidR="00EF007F" w:rsidRDefault="00EF007F" w:rsidP="002A4A08">
            <w:pPr>
              <w:widowControl/>
              <w:adjustRightInd/>
              <w:spacing w:before="120" w:after="120" w:line="240" w:lineRule="auto"/>
              <w:jc w:val="center"/>
              <w:textAlignment w:val="auto"/>
              <w:rPr>
                <w:rFonts w:eastAsia="Times New Roman"/>
                <w:color w:val="auto"/>
                <w:sz w:val="22"/>
                <w:lang w:val="es-ES"/>
              </w:rPr>
            </w:pPr>
          </w:p>
          <w:p w:rsidR="000776F1" w:rsidRDefault="000776F1" w:rsidP="00964532">
            <w:pPr>
              <w:widowControl/>
              <w:adjustRightInd/>
              <w:spacing w:before="120" w:after="120" w:line="240" w:lineRule="auto"/>
              <w:textAlignment w:val="auto"/>
              <w:rPr>
                <w:rFonts w:eastAsia="Times New Roman"/>
                <w:color w:val="auto"/>
                <w:sz w:val="22"/>
                <w:lang w:val="es-ES"/>
              </w:rPr>
            </w:pPr>
          </w:p>
          <w:p w:rsidR="00EF007F" w:rsidRDefault="00EF007F" w:rsidP="002A4A08">
            <w:pPr>
              <w:widowControl/>
              <w:adjustRightInd/>
              <w:spacing w:before="120" w:after="120" w:line="240" w:lineRule="auto"/>
              <w:jc w:val="center"/>
              <w:textAlignment w:val="auto"/>
              <w:rPr>
                <w:rFonts w:eastAsia="Times New Roman"/>
                <w:color w:val="auto"/>
                <w:sz w:val="22"/>
                <w:lang w:val="es-ES"/>
              </w:rPr>
            </w:pPr>
          </w:p>
          <w:p w:rsidR="00EF007F" w:rsidRDefault="00DC574D"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EF007F" w:rsidRDefault="00EF007F" w:rsidP="002A4A08">
            <w:pPr>
              <w:widowControl/>
              <w:adjustRightInd/>
              <w:spacing w:before="120" w:after="120" w:line="240" w:lineRule="auto"/>
              <w:jc w:val="center"/>
              <w:textAlignment w:val="auto"/>
              <w:rPr>
                <w:rFonts w:eastAsia="Times New Roman"/>
                <w:color w:val="auto"/>
                <w:sz w:val="22"/>
                <w:lang w:val="es-ES"/>
              </w:rPr>
            </w:pPr>
          </w:p>
          <w:p w:rsidR="00EF007F" w:rsidRDefault="00EF007F" w:rsidP="002A4A08">
            <w:pPr>
              <w:widowControl/>
              <w:adjustRightInd/>
              <w:spacing w:before="120" w:after="120" w:line="240" w:lineRule="auto"/>
              <w:jc w:val="center"/>
              <w:textAlignment w:val="auto"/>
              <w:rPr>
                <w:rFonts w:eastAsia="Times New Roman"/>
                <w:color w:val="auto"/>
                <w:sz w:val="22"/>
                <w:lang w:val="es-ES"/>
              </w:rPr>
            </w:pPr>
          </w:p>
          <w:p w:rsidR="0036175D" w:rsidRDefault="00EF007F" w:rsidP="0036175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p>
          <w:p w:rsidR="00EC3CDD" w:rsidRDefault="00EC3CDD" w:rsidP="006C59C0">
            <w:pPr>
              <w:widowControl/>
              <w:adjustRightInd/>
              <w:spacing w:before="120" w:after="120" w:line="240" w:lineRule="auto"/>
              <w:textAlignment w:val="auto"/>
              <w:rPr>
                <w:rFonts w:eastAsia="Times New Roman"/>
                <w:color w:val="auto"/>
                <w:sz w:val="22"/>
                <w:lang w:val="es-ES"/>
              </w:rPr>
            </w:pPr>
          </w:p>
        </w:tc>
        <w:tc>
          <w:tcPr>
            <w:tcW w:w="794"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8C6F26" w:rsidRPr="00E929DC" w:rsidRDefault="008C6F26" w:rsidP="002A4A08">
            <w:pPr>
              <w:widowControl/>
              <w:adjustRightInd/>
              <w:spacing w:before="120" w:after="120" w:line="240" w:lineRule="auto"/>
              <w:jc w:val="center"/>
              <w:textAlignment w:val="auto"/>
              <w:rPr>
                <w:rFonts w:eastAsia="Times New Roman"/>
                <w:color w:val="auto"/>
                <w:sz w:val="22"/>
                <w:lang w:val="es-ES"/>
              </w:rPr>
            </w:pPr>
          </w:p>
        </w:tc>
        <w:tc>
          <w:tcPr>
            <w:tcW w:w="871"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8C6F26" w:rsidRPr="00E929DC" w:rsidRDefault="008C6F26"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8C6F26" w:rsidRPr="00E929DC" w:rsidRDefault="008C6F26"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8C6F26" w:rsidRPr="00E929DC" w:rsidRDefault="008C6F26"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right w:val="single" w:sz="4" w:space="0" w:color="auto"/>
            </w:tcBorders>
            <w:shd w:val="clear" w:color="auto" w:fill="auto"/>
            <w:vAlign w:val="center"/>
          </w:tcPr>
          <w:p w:rsidR="008C6F26" w:rsidRPr="00E929DC" w:rsidRDefault="008C6F26"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single" w:sz="4" w:space="0" w:color="auto"/>
              <w:right w:val="single" w:sz="4" w:space="0" w:color="auto"/>
            </w:tcBorders>
            <w:shd w:val="clear" w:color="auto" w:fill="auto"/>
            <w:vAlign w:val="center"/>
          </w:tcPr>
          <w:p w:rsidR="00542226" w:rsidRDefault="00542226" w:rsidP="00D549D1">
            <w:pPr>
              <w:widowControl/>
              <w:adjustRightInd/>
              <w:spacing w:before="120" w:after="120" w:line="240" w:lineRule="auto"/>
              <w:textAlignment w:val="auto"/>
              <w:rPr>
                <w:rFonts w:eastAsia="Times New Roman"/>
                <w:color w:val="auto"/>
                <w:sz w:val="22"/>
                <w:lang w:val="es-ES"/>
              </w:rPr>
            </w:pPr>
          </w:p>
          <w:p w:rsidR="00D549D1" w:rsidRDefault="00D549D1" w:rsidP="00D549D1">
            <w:pPr>
              <w:widowControl/>
              <w:adjustRightInd/>
              <w:spacing w:before="120" w:after="120" w:line="240" w:lineRule="auto"/>
              <w:textAlignment w:val="auto"/>
              <w:rPr>
                <w:rFonts w:eastAsia="Times New Roman"/>
                <w:color w:val="auto"/>
                <w:sz w:val="22"/>
                <w:lang w:val="es-ES"/>
              </w:rPr>
            </w:pPr>
          </w:p>
          <w:p w:rsidR="003F4ECF" w:rsidRDefault="003F4ECF" w:rsidP="00D549D1">
            <w:pPr>
              <w:widowControl/>
              <w:adjustRightInd/>
              <w:spacing w:before="120" w:after="120" w:line="240" w:lineRule="auto"/>
              <w:textAlignment w:val="auto"/>
              <w:rPr>
                <w:rFonts w:eastAsia="Times New Roman"/>
                <w:color w:val="auto"/>
                <w:sz w:val="22"/>
                <w:lang w:val="es-ES"/>
              </w:rPr>
            </w:pPr>
          </w:p>
          <w:p w:rsidR="003F4ECF" w:rsidRDefault="003F4ECF" w:rsidP="00D549D1">
            <w:pPr>
              <w:widowControl/>
              <w:adjustRightInd/>
              <w:spacing w:before="120" w:after="120" w:line="240" w:lineRule="auto"/>
              <w:textAlignment w:val="auto"/>
              <w:rPr>
                <w:rFonts w:eastAsia="Times New Roman"/>
                <w:color w:val="auto"/>
                <w:sz w:val="22"/>
                <w:lang w:val="es-ES"/>
              </w:rPr>
            </w:pPr>
          </w:p>
          <w:p w:rsidR="003F4ECF" w:rsidRDefault="003F4ECF" w:rsidP="00D549D1">
            <w:pPr>
              <w:widowControl/>
              <w:adjustRightInd/>
              <w:spacing w:before="120" w:after="120" w:line="240" w:lineRule="auto"/>
              <w:textAlignment w:val="auto"/>
              <w:rPr>
                <w:rFonts w:eastAsia="Times New Roman"/>
                <w:color w:val="auto"/>
                <w:sz w:val="22"/>
                <w:lang w:val="es-ES"/>
              </w:rPr>
            </w:pPr>
          </w:p>
          <w:p w:rsidR="00542226" w:rsidRDefault="00542226" w:rsidP="0036175D">
            <w:pPr>
              <w:widowControl/>
              <w:adjustRightInd/>
              <w:spacing w:before="120" w:after="120" w:line="240" w:lineRule="auto"/>
              <w:jc w:val="center"/>
              <w:textAlignment w:val="auto"/>
              <w:rPr>
                <w:rFonts w:eastAsia="Times New Roman"/>
                <w:color w:val="auto"/>
                <w:sz w:val="22"/>
                <w:lang w:val="es-ES"/>
              </w:rPr>
            </w:pPr>
          </w:p>
          <w:p w:rsidR="00AC6F7F" w:rsidRDefault="00AC6F7F" w:rsidP="0036175D">
            <w:pPr>
              <w:widowControl/>
              <w:adjustRightInd/>
              <w:spacing w:before="120" w:after="120" w:line="240" w:lineRule="auto"/>
              <w:jc w:val="center"/>
              <w:textAlignment w:val="auto"/>
              <w:rPr>
                <w:rFonts w:eastAsia="Times New Roman"/>
                <w:color w:val="auto"/>
                <w:sz w:val="22"/>
                <w:lang w:val="es-ES"/>
              </w:rPr>
            </w:pPr>
          </w:p>
          <w:p w:rsidR="0031621B" w:rsidRDefault="004A2BB8" w:rsidP="004A2BB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36.40</w:t>
            </w:r>
          </w:p>
          <w:p w:rsidR="00D549D1" w:rsidRDefault="00D549D1" w:rsidP="002F171B">
            <w:pPr>
              <w:widowControl/>
              <w:adjustRightInd/>
              <w:spacing w:before="120" w:after="120" w:line="240" w:lineRule="auto"/>
              <w:textAlignment w:val="auto"/>
              <w:rPr>
                <w:rFonts w:eastAsia="Times New Roman"/>
                <w:color w:val="auto"/>
                <w:sz w:val="22"/>
                <w:lang w:val="es-ES"/>
              </w:rPr>
            </w:pPr>
          </w:p>
          <w:p w:rsidR="004A2BB8" w:rsidRDefault="004A2BB8" w:rsidP="002F171B">
            <w:pPr>
              <w:widowControl/>
              <w:adjustRightInd/>
              <w:spacing w:before="120" w:after="120" w:line="240" w:lineRule="auto"/>
              <w:textAlignment w:val="auto"/>
              <w:rPr>
                <w:rFonts w:eastAsia="Times New Roman"/>
                <w:color w:val="auto"/>
                <w:sz w:val="22"/>
                <w:lang w:val="es-ES"/>
              </w:rPr>
            </w:pPr>
          </w:p>
          <w:p w:rsidR="00D549D1" w:rsidRDefault="00D549D1" w:rsidP="002F171B">
            <w:pPr>
              <w:widowControl/>
              <w:adjustRightInd/>
              <w:spacing w:before="120" w:after="120" w:line="240" w:lineRule="auto"/>
              <w:textAlignment w:val="auto"/>
              <w:rPr>
                <w:rFonts w:eastAsia="Times New Roman"/>
                <w:color w:val="auto"/>
                <w:sz w:val="22"/>
                <w:lang w:val="es-ES"/>
              </w:rPr>
            </w:pPr>
          </w:p>
          <w:p w:rsidR="002F171B" w:rsidRDefault="00DC574D" w:rsidP="00DC574D">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p>
          <w:p w:rsidR="00EC3CDD" w:rsidRDefault="00EC3CDD" w:rsidP="002A4A08">
            <w:pPr>
              <w:widowControl/>
              <w:adjustRightInd/>
              <w:spacing w:before="120" w:after="120" w:line="240" w:lineRule="auto"/>
              <w:jc w:val="center"/>
              <w:textAlignment w:val="auto"/>
              <w:rPr>
                <w:rFonts w:eastAsia="Times New Roman"/>
                <w:color w:val="auto"/>
                <w:sz w:val="22"/>
                <w:lang w:val="es-ES"/>
              </w:rPr>
            </w:pPr>
          </w:p>
          <w:p w:rsidR="00DC574D" w:rsidRDefault="00DC574D" w:rsidP="002A4A08">
            <w:pPr>
              <w:widowControl/>
              <w:adjustRightInd/>
              <w:spacing w:before="120" w:after="120" w:line="240" w:lineRule="auto"/>
              <w:jc w:val="center"/>
              <w:textAlignment w:val="auto"/>
              <w:rPr>
                <w:rFonts w:eastAsia="Times New Roman"/>
                <w:color w:val="auto"/>
                <w:sz w:val="22"/>
                <w:lang w:val="es-ES"/>
              </w:rPr>
            </w:pPr>
          </w:p>
          <w:p w:rsidR="00EC3CDD" w:rsidRDefault="00DC574D"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2</w:t>
            </w:r>
          </w:p>
        </w:tc>
        <w:tc>
          <w:tcPr>
            <w:tcW w:w="3290" w:type="dxa"/>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vAlign w:val="center"/>
          </w:tcPr>
          <w:p w:rsidR="00EC3CDD" w:rsidRPr="00000FB4" w:rsidRDefault="00EC3CDD" w:rsidP="00EC3CDD">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b/>
                <w:i/>
                <w:color w:val="auto"/>
                <w:sz w:val="20"/>
                <w:szCs w:val="20"/>
                <w:lang w:val="es-ES"/>
              </w:rPr>
              <w:t xml:space="preserve">Observaciones: </w:t>
            </w:r>
            <w:r w:rsidRPr="00000FB4">
              <w:rPr>
                <w:rFonts w:eastAsia="Arial Unicode MS"/>
                <w:color w:val="auto"/>
                <w:sz w:val="20"/>
                <w:szCs w:val="20"/>
                <w:lang w:val="es-ES"/>
              </w:rPr>
              <w:t xml:space="preserve">El </w:t>
            </w:r>
            <m:oMath>
              <m:sSub>
                <m:sSubPr>
                  <m:ctrlPr>
                    <w:rPr>
                      <w:rFonts w:ascii="Cambria Math" w:eastAsia="Times New Roman" w:hAnsi="Cambria Math"/>
                      <w:i/>
                      <w:color w:val="auto"/>
                      <w:sz w:val="20"/>
                      <w:szCs w:val="20"/>
                      <w:lang w:val="es-ES"/>
                    </w:rPr>
                  </m:ctrlPr>
                </m:sSubPr>
                <m:e>
                  <m:r>
                    <w:rPr>
                      <w:rFonts w:ascii="Cambria Math" w:eastAsia="Times New Roman" w:hAnsi="Cambria Math"/>
                      <w:color w:val="auto"/>
                      <w:sz w:val="20"/>
                      <w:szCs w:val="20"/>
                      <w:lang w:val="es-ES"/>
                    </w:rPr>
                    <m:t>IGR</m:t>
                  </m:r>
                </m:e>
                <m:sub>
                  <m:r>
                    <w:rPr>
                      <w:rFonts w:ascii="Cambria Math" w:eastAsia="Times New Roman" w:hAnsi="Cambria Math"/>
                      <w:color w:val="auto"/>
                      <w:sz w:val="20"/>
                      <w:szCs w:val="20"/>
                      <w:lang w:val="es-ES"/>
                    </w:rPr>
                    <m:t>PF</m:t>
                  </m:r>
                </m:sub>
              </m:sSub>
            </m:oMath>
            <w:r w:rsidRPr="00000FB4">
              <w:rPr>
                <w:rFonts w:eastAsia="Arial Unicode MS"/>
                <w:color w:val="auto"/>
                <w:sz w:val="20"/>
                <w:szCs w:val="20"/>
                <w:lang w:val="es-ES"/>
              </w:rPr>
              <w:t xml:space="preserve"> es un componente del </w:t>
            </w:r>
            <w:r w:rsidRPr="00000FB4">
              <w:rPr>
                <w:rFonts w:eastAsia="Arial Unicode MS"/>
                <w:i/>
                <w:color w:val="auto"/>
                <w:sz w:val="20"/>
                <w:szCs w:val="20"/>
                <w:lang w:val="es-ES"/>
              </w:rPr>
              <w:t>IGR</w:t>
            </w:r>
            <w:r w:rsidRPr="00000FB4">
              <w:rPr>
                <w:rFonts w:eastAsia="Arial Unicode MS"/>
                <w:color w:val="auto"/>
                <w:sz w:val="20"/>
                <w:szCs w:val="20"/>
                <w:lang w:val="es-ES"/>
              </w:rPr>
              <w:t>. Este índice está compuesto por seis aspectos (</w:t>
            </w:r>
            <w:r w:rsidRPr="00000FB4">
              <w:rPr>
                <w:rFonts w:eastAsia="Arial Unicode MS"/>
                <w:i/>
                <w:color w:val="auto"/>
                <w:sz w:val="20"/>
                <w:szCs w:val="20"/>
                <w:lang w:val="es-ES"/>
              </w:rPr>
              <w:t>I</w:t>
            </w:r>
            <w:r w:rsidRPr="00000FB4">
              <w:rPr>
                <w:rFonts w:eastAsia="Arial Unicode MS"/>
                <w:color w:val="auto"/>
                <w:sz w:val="20"/>
                <w:szCs w:val="20"/>
                <w:lang w:val="es-ES"/>
              </w:rPr>
              <w:t>) y cada aspecto tiene un peso asociado de acuerdo a su importancia (</w:t>
            </w:r>
            <w:r w:rsidRPr="00000FB4">
              <w:rPr>
                <w:rFonts w:eastAsia="Arial Unicode MS"/>
                <w:i/>
                <w:color w:val="auto"/>
                <w:sz w:val="20"/>
                <w:szCs w:val="20"/>
                <w:lang w:val="es-ES"/>
              </w:rPr>
              <w:t>w</w:t>
            </w:r>
            <w:r w:rsidRPr="00000FB4">
              <w:rPr>
                <w:rFonts w:eastAsia="Arial Unicode MS"/>
                <w:color w:val="auto"/>
                <w:sz w:val="20"/>
                <w:szCs w:val="20"/>
                <w:lang w:val="es-ES"/>
              </w:rPr>
              <w:t>):</w:t>
            </w:r>
          </w:p>
          <w:p w:rsidR="00EC3CDD" w:rsidRPr="00000FB4" w:rsidRDefault="00EC3CDD" w:rsidP="00EC3CDD">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1. Organización interinstitucional, multisectorial y descentralizada (PF1)</w:t>
            </w:r>
          </w:p>
          <w:p w:rsidR="00EC3CDD" w:rsidRPr="00000FB4" w:rsidRDefault="00EC3CDD" w:rsidP="00EC3CDD">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2. Fondos de reservas para el fortalecimiento institucional (PF2)</w:t>
            </w:r>
          </w:p>
          <w:p w:rsidR="00EC3CDD" w:rsidRPr="00000FB4" w:rsidRDefault="00EC3CDD" w:rsidP="00EC3CDD">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3. Localización y movilización de recursos de presupuesto (PF3)</w:t>
            </w:r>
          </w:p>
          <w:p w:rsidR="00EC3CDD" w:rsidRPr="00000FB4" w:rsidRDefault="00EC3CDD" w:rsidP="00EC3CDD">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4. Implementación de redes y fondos de seguridad.(PF4)</w:t>
            </w:r>
          </w:p>
          <w:p w:rsidR="00EC3CDD" w:rsidRPr="00000FB4" w:rsidRDefault="00EC3CDD" w:rsidP="00EC3CDD">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5. Seguros y estrategias de transferencia de perdidas activos públicos (PF5)</w:t>
            </w:r>
          </w:p>
          <w:p w:rsidR="00EC3CDD" w:rsidRPr="00000FB4" w:rsidRDefault="00EC3CDD" w:rsidP="00EC3CDD">
            <w:pPr>
              <w:widowControl/>
              <w:pBdr>
                <w:bottom w:val="single" w:sz="4" w:space="1" w:color="auto"/>
              </w:pBdr>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6. Cobertura de seguros y reaseguros de vivienda y del sector privado (PF6)</w:t>
            </w:r>
          </w:p>
          <w:p w:rsidR="006C59C0" w:rsidRPr="006C59C0" w:rsidRDefault="00EC3CDD" w:rsidP="00DC574D">
            <w:pPr>
              <w:widowControl/>
              <w:adjustRightInd/>
              <w:spacing w:before="120" w:after="120" w:line="240" w:lineRule="auto"/>
              <w:ind w:right="144"/>
              <w:jc w:val="left"/>
              <w:textAlignment w:val="auto"/>
              <w:rPr>
                <w:rFonts w:eastAsia="Arial Unicode MS"/>
                <w:color w:val="auto"/>
                <w:sz w:val="20"/>
                <w:szCs w:val="20"/>
                <w:lang w:val="es-ES"/>
              </w:rPr>
            </w:pPr>
            <w:r w:rsidRPr="00000FB4">
              <w:rPr>
                <w:rFonts w:eastAsia="Arial Unicode MS"/>
                <w:color w:val="auto"/>
                <w:sz w:val="20"/>
                <w:szCs w:val="20"/>
                <w:lang w:val="es-ES"/>
              </w:rPr>
              <w:t>Este componente apunta a incrementar el nivel de</w:t>
            </w:r>
            <w:r w:rsidR="00DC574D">
              <w:rPr>
                <w:rFonts w:eastAsia="Arial Unicode MS"/>
                <w:color w:val="auto"/>
                <w:sz w:val="20"/>
                <w:szCs w:val="20"/>
                <w:lang w:val="es-ES"/>
              </w:rPr>
              <w:t>l subíndice</w:t>
            </w:r>
            <w:r w:rsidRPr="00000FB4">
              <w:rPr>
                <w:rFonts w:eastAsia="Arial Unicode MS"/>
                <w:color w:val="auto"/>
                <w:sz w:val="20"/>
                <w:szCs w:val="20"/>
                <w:lang w:val="es-ES"/>
              </w:rPr>
              <w:t xml:space="preserve"> </w:t>
            </w:r>
            <w:r w:rsidR="00DC574D">
              <w:rPr>
                <w:rFonts w:eastAsia="Arial Unicode MS"/>
                <w:color w:val="auto"/>
                <w:sz w:val="20"/>
                <w:szCs w:val="20"/>
                <w:lang w:val="es-ES"/>
              </w:rPr>
              <w:t>PF2</w:t>
            </w:r>
            <w:r>
              <w:rPr>
                <w:rFonts w:eastAsia="Arial Unicode MS"/>
                <w:color w:val="auto"/>
                <w:sz w:val="20"/>
                <w:szCs w:val="20"/>
                <w:lang w:val="es-ES"/>
              </w:rPr>
              <w:t xml:space="preserve"> </w:t>
            </w:r>
            <w:r w:rsidRPr="00000FB4">
              <w:rPr>
                <w:rFonts w:eastAsia="Arial Unicode MS"/>
                <w:color w:val="auto"/>
                <w:sz w:val="20"/>
                <w:szCs w:val="20"/>
                <w:lang w:val="es-ES"/>
              </w:rPr>
              <w:t xml:space="preserve">del </w:t>
            </w:r>
            <m:oMath>
              <m:sSub>
                <m:sSubPr>
                  <m:ctrlPr>
                    <w:rPr>
                      <w:rFonts w:ascii="Cambria Math" w:eastAsia="Arial Unicode MS" w:hAnsi="Cambria Math"/>
                      <w:i/>
                      <w:color w:val="auto"/>
                      <w:sz w:val="20"/>
                      <w:szCs w:val="20"/>
                      <w:lang w:val="es-ES"/>
                    </w:rPr>
                  </m:ctrlPr>
                </m:sSubPr>
                <m:e>
                  <m:r>
                    <w:rPr>
                      <w:rFonts w:ascii="Cambria Math" w:eastAsia="Arial Unicode MS" w:hAnsi="Cambria Math"/>
                      <w:color w:val="auto"/>
                      <w:sz w:val="20"/>
                      <w:szCs w:val="20"/>
                      <w:lang w:val="es-ES"/>
                    </w:rPr>
                    <m:t>IGR</m:t>
                  </m:r>
                </m:e>
                <m:sub>
                  <m:r>
                    <w:rPr>
                      <w:rFonts w:ascii="Cambria Math" w:eastAsia="Arial Unicode MS" w:hAnsi="Cambria Math"/>
                      <w:color w:val="auto"/>
                      <w:sz w:val="20"/>
                      <w:szCs w:val="20"/>
                      <w:lang w:val="es-ES"/>
                    </w:rPr>
                    <m:t>PF</m:t>
                  </m:r>
                </m:sub>
              </m:sSub>
            </m:oMath>
            <w:r w:rsidR="0031621B">
              <w:rPr>
                <w:rFonts w:eastAsia="Arial Unicode MS"/>
                <w:color w:val="auto"/>
                <w:sz w:val="20"/>
                <w:szCs w:val="20"/>
                <w:lang w:val="es-ES"/>
              </w:rPr>
              <w:t xml:space="preserve"> de nivel 1 a nivel 2</w:t>
            </w:r>
            <w:r w:rsidR="00DC574D">
              <w:rPr>
                <w:rFonts w:eastAsia="Arial Unicode MS"/>
                <w:color w:val="auto"/>
                <w:sz w:val="20"/>
                <w:szCs w:val="20"/>
                <w:lang w:val="es-ES"/>
              </w:rPr>
              <w:t xml:space="preserve"> y a consolidar el nivel del subíndice PF5 en nivel 2. </w:t>
            </w:r>
            <w:r w:rsidRPr="00000FB4">
              <w:rPr>
                <w:rFonts w:eastAsia="Arial Unicode MS"/>
                <w:color w:val="auto"/>
                <w:sz w:val="20"/>
                <w:szCs w:val="20"/>
                <w:lang w:val="es-ES"/>
              </w:rPr>
              <w:t>El</w:t>
            </w:r>
            <w:r w:rsidR="0031621B">
              <w:rPr>
                <w:rFonts w:eastAsia="Arial Unicode MS"/>
                <w:color w:val="auto"/>
                <w:sz w:val="20"/>
                <w:szCs w:val="20"/>
                <w:lang w:val="es-ES"/>
              </w:rPr>
              <w:t xml:space="preserve"> nivel 1 implica nivel bajo y </w:t>
            </w:r>
            <w:r w:rsidR="006C59C0">
              <w:rPr>
                <w:rFonts w:eastAsia="Arial Unicode MS"/>
                <w:color w:val="auto"/>
                <w:sz w:val="20"/>
                <w:szCs w:val="20"/>
                <w:lang w:val="es-ES"/>
              </w:rPr>
              <w:t xml:space="preserve"> nivel 2 implica nivel </w:t>
            </w:r>
            <w:r w:rsidRPr="00000FB4">
              <w:rPr>
                <w:rFonts w:eastAsia="Arial Unicode MS"/>
                <w:color w:val="auto"/>
                <w:sz w:val="20"/>
                <w:szCs w:val="20"/>
                <w:lang w:val="es-ES"/>
              </w:rPr>
              <w:t>incipiente.</w:t>
            </w:r>
          </w:p>
        </w:tc>
      </w:tr>
      <w:tr w:rsidR="00CF63F8" w:rsidRPr="00EF7BA5" w:rsidTr="00BF344C">
        <w:trPr>
          <w:trHeight w:val="270"/>
          <w:jc w:val="center"/>
        </w:trPr>
        <w:tc>
          <w:tcPr>
            <w:tcW w:w="4133" w:type="dxa"/>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tcPr>
          <w:p w:rsidR="00CF63F8" w:rsidRDefault="00CF63F8" w:rsidP="008C6F26">
            <w:pPr>
              <w:pStyle w:val="Default"/>
              <w:rPr>
                <w:b/>
                <w:bCs/>
                <w:sz w:val="22"/>
                <w:szCs w:val="22"/>
                <w:lang w:val="es-ES"/>
              </w:rPr>
            </w:pPr>
            <w:r w:rsidRPr="00DD76D4">
              <w:rPr>
                <w:bCs/>
                <w:i/>
                <w:sz w:val="22"/>
                <w:szCs w:val="22"/>
                <w:lang w:val="es-ES"/>
              </w:rPr>
              <w:t>Indicador iGOPP:</w:t>
            </w:r>
            <w:r w:rsidRPr="00DD76D4">
              <w:rPr>
                <w:bCs/>
                <w:sz w:val="22"/>
                <w:szCs w:val="22"/>
                <w:lang w:val="es-ES"/>
              </w:rPr>
              <w:t xml:space="preserve">  </w:t>
            </w:r>
            <m:oMath>
              <m:sSub>
                <m:sSubPr>
                  <m:ctrlPr>
                    <w:rPr>
                      <w:rFonts w:ascii="Cambria Math" w:hAnsi="Cambria Math"/>
                      <w:bCs/>
                      <w:i/>
                      <w:sz w:val="22"/>
                      <w:szCs w:val="22"/>
                      <w:lang w:val="es-ES"/>
                    </w:rPr>
                  </m:ctrlPr>
                </m:sSubPr>
                <m:e>
                  <m:r>
                    <w:rPr>
                      <w:rFonts w:ascii="Cambria Math" w:hAnsi="Cambria Math"/>
                      <w:sz w:val="22"/>
                      <w:szCs w:val="22"/>
                      <w:lang w:val="es-ES"/>
                    </w:rPr>
                    <m:t>PF</m:t>
                  </m:r>
                </m:e>
                <m:sub>
                  <m:r>
                    <w:rPr>
                      <w:rFonts w:ascii="Cambria Math" w:hAnsi="Cambria Math"/>
                      <w:sz w:val="22"/>
                      <w:szCs w:val="22"/>
                      <w:lang w:val="es-ES"/>
                    </w:rPr>
                    <m:t>iGOPP</m:t>
                  </m:r>
                </m:sub>
              </m:sSub>
            </m:oMath>
            <w:r>
              <w:rPr>
                <w:bCs/>
                <w:sz w:val="22"/>
                <w:szCs w:val="22"/>
                <w:lang w:val="es-ES"/>
              </w:rPr>
              <w:t xml:space="preserve"> (Protección Financiera) </w:t>
            </w:r>
            <w:r w:rsidRPr="00DD76D4">
              <w:rPr>
                <w:bCs/>
                <w:sz w:val="22"/>
                <w:szCs w:val="22"/>
                <w:lang w:val="es-ES"/>
              </w:rPr>
              <w:t>es un subíndice del iGOPP</w:t>
            </w:r>
            <w:r>
              <w:rPr>
                <w:bCs/>
                <w:sz w:val="22"/>
                <w:szCs w:val="22"/>
                <w:lang w:val="es-ES"/>
              </w:rPr>
              <w:t>.</w:t>
            </w:r>
          </w:p>
        </w:tc>
        <w:tc>
          <w:tcPr>
            <w:tcW w:w="810"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CF63F8" w:rsidRDefault="00BF344C" w:rsidP="002A4A08">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33%</w:t>
            </w:r>
          </w:p>
        </w:tc>
        <w:tc>
          <w:tcPr>
            <w:tcW w:w="794"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CF63F8" w:rsidRPr="00E929DC" w:rsidRDefault="00CF63F8" w:rsidP="002A4A08">
            <w:pPr>
              <w:widowControl/>
              <w:adjustRightInd/>
              <w:spacing w:before="120" w:after="120" w:line="240" w:lineRule="auto"/>
              <w:jc w:val="center"/>
              <w:textAlignment w:val="auto"/>
              <w:rPr>
                <w:rFonts w:eastAsia="Times New Roman"/>
                <w:color w:val="auto"/>
                <w:sz w:val="22"/>
                <w:lang w:val="es-ES"/>
              </w:rPr>
            </w:pPr>
          </w:p>
        </w:tc>
        <w:tc>
          <w:tcPr>
            <w:tcW w:w="871"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CF63F8" w:rsidRPr="00E929DC" w:rsidRDefault="00CF63F8"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CF63F8" w:rsidRPr="00E929DC" w:rsidRDefault="00CF63F8"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nil"/>
              <w:right w:val="single" w:sz="4" w:space="0" w:color="auto"/>
            </w:tcBorders>
            <w:shd w:val="clear" w:color="auto" w:fill="auto"/>
            <w:noWrap/>
            <w:tcMar>
              <w:top w:w="15" w:type="dxa"/>
              <w:left w:w="15" w:type="dxa"/>
              <w:bottom w:w="0" w:type="dxa"/>
              <w:right w:w="15" w:type="dxa"/>
            </w:tcMar>
            <w:vAlign w:val="center"/>
          </w:tcPr>
          <w:p w:rsidR="00CF63F8" w:rsidRPr="00E929DC" w:rsidRDefault="00CF63F8" w:rsidP="002A4A08">
            <w:pPr>
              <w:widowControl/>
              <w:adjustRightInd/>
              <w:spacing w:before="120" w:after="120" w:line="240" w:lineRule="auto"/>
              <w:jc w:val="center"/>
              <w:textAlignment w:val="auto"/>
              <w:rPr>
                <w:rFonts w:eastAsia="Times New Roman"/>
                <w:color w:val="auto"/>
                <w:sz w:val="22"/>
                <w:lang w:val="es-ES"/>
              </w:rPr>
            </w:pPr>
          </w:p>
        </w:tc>
        <w:tc>
          <w:tcPr>
            <w:tcW w:w="810" w:type="dxa"/>
            <w:tcBorders>
              <w:top w:val="single" w:sz="4" w:space="0" w:color="auto"/>
              <w:left w:val="nil"/>
              <w:right w:val="single" w:sz="4" w:space="0" w:color="auto"/>
            </w:tcBorders>
            <w:shd w:val="clear" w:color="auto" w:fill="auto"/>
            <w:vAlign w:val="center"/>
          </w:tcPr>
          <w:p w:rsidR="00CF63F8" w:rsidRPr="00E929DC" w:rsidRDefault="00CF63F8" w:rsidP="002A4A08">
            <w:pPr>
              <w:widowControl/>
              <w:adjustRightInd/>
              <w:spacing w:before="120" w:after="120" w:line="240" w:lineRule="auto"/>
              <w:jc w:val="center"/>
              <w:textAlignment w:val="auto"/>
              <w:rPr>
                <w:rFonts w:eastAsia="Times New Roman"/>
                <w:color w:val="auto"/>
                <w:sz w:val="22"/>
                <w:lang w:val="es-ES"/>
              </w:rPr>
            </w:pPr>
          </w:p>
        </w:tc>
        <w:tc>
          <w:tcPr>
            <w:tcW w:w="900" w:type="dxa"/>
            <w:tcBorders>
              <w:top w:val="single" w:sz="4" w:space="0" w:color="auto"/>
              <w:left w:val="single" w:sz="4" w:space="0" w:color="auto"/>
              <w:right w:val="single" w:sz="4" w:space="0" w:color="auto"/>
            </w:tcBorders>
            <w:shd w:val="clear" w:color="auto" w:fill="auto"/>
            <w:vAlign w:val="center"/>
          </w:tcPr>
          <w:p w:rsidR="00CF63F8" w:rsidRDefault="00BF344C" w:rsidP="00D0324A">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39%</w:t>
            </w:r>
          </w:p>
        </w:tc>
        <w:tc>
          <w:tcPr>
            <w:tcW w:w="3290" w:type="dxa"/>
            <w:vMerge w:val="restart"/>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vAlign w:val="center"/>
          </w:tcPr>
          <w:p w:rsidR="00CF63F8" w:rsidRPr="00CF63F8" w:rsidRDefault="00965E87" w:rsidP="00CF63F8">
            <w:pPr>
              <w:pStyle w:val="NoSpacing"/>
              <w:rPr>
                <w:sz w:val="20"/>
                <w:szCs w:val="20"/>
                <w:lang w:val="es-ES"/>
              </w:rPr>
            </w:pPr>
            <w:r>
              <w:rPr>
                <w:rFonts w:eastAsia="Arial Unicode MS"/>
                <w:color w:val="auto"/>
                <w:sz w:val="20"/>
                <w:szCs w:val="20"/>
                <w:lang w:val="es-ES_tradnl"/>
              </w:rPr>
              <w:t xml:space="preserve">El </w:t>
            </w:r>
            <m:oMath>
              <m:sSub>
                <m:sSubPr>
                  <m:ctrlPr>
                    <w:rPr>
                      <w:rFonts w:ascii="Cambria Math" w:eastAsia="Calibri" w:hAnsi="Cambria Math"/>
                      <w:bCs/>
                      <w:i/>
                      <w:sz w:val="22"/>
                      <w:szCs w:val="22"/>
                      <w:lang w:val="es-ES"/>
                    </w:rPr>
                  </m:ctrlPr>
                </m:sSubPr>
                <m:e>
                  <m:r>
                    <w:rPr>
                      <w:rFonts w:ascii="Cambria Math" w:hAnsi="Cambria Math"/>
                      <w:sz w:val="22"/>
                      <w:szCs w:val="22"/>
                      <w:lang w:val="es-ES"/>
                    </w:rPr>
                    <m:t>PF</m:t>
                  </m:r>
                </m:e>
                <m:sub>
                  <m:r>
                    <w:rPr>
                      <w:rFonts w:ascii="Cambria Math" w:hAnsi="Cambria Math"/>
                      <w:sz w:val="22"/>
                      <w:szCs w:val="22"/>
                      <w:lang w:val="es-ES"/>
                    </w:rPr>
                    <m:t>iGOPP</m:t>
                  </m:r>
                </m:sub>
              </m:sSub>
            </m:oMath>
            <w:r w:rsidR="00CF63F8" w:rsidRPr="006C59C0">
              <w:rPr>
                <w:rFonts w:eastAsia="Arial Unicode MS"/>
                <w:color w:val="auto"/>
                <w:sz w:val="20"/>
                <w:szCs w:val="20"/>
                <w:lang w:val="es-ES_tradnl"/>
              </w:rPr>
              <w:t xml:space="preserve"> del iGOPP mide</w:t>
            </w:r>
            <w:r w:rsidR="00CF63F8">
              <w:rPr>
                <w:rFonts w:eastAsia="Arial Unicode MS"/>
                <w:color w:val="auto"/>
                <w:sz w:val="20"/>
                <w:szCs w:val="20"/>
                <w:lang w:val="es-ES_tradnl"/>
              </w:rPr>
              <w:t xml:space="preserve"> a través de un checklist, el</w:t>
            </w:r>
            <w:r w:rsidR="00CF63F8" w:rsidRPr="006C59C0">
              <w:rPr>
                <w:rFonts w:eastAsia="Arial Unicode MS"/>
                <w:color w:val="auto"/>
                <w:sz w:val="20"/>
                <w:szCs w:val="20"/>
                <w:lang w:val="es-ES_tradnl"/>
              </w:rPr>
              <w:t xml:space="preserve"> </w:t>
            </w:r>
            <w:r w:rsidR="00CF63F8" w:rsidRPr="006C59C0">
              <w:rPr>
                <w:sz w:val="20"/>
                <w:szCs w:val="20"/>
                <w:lang w:val="es-ES"/>
              </w:rPr>
              <w:t xml:space="preserve">diseño e implementación </w:t>
            </w:r>
            <w:r w:rsidR="00CF63F8" w:rsidRPr="006C59C0">
              <w:rPr>
                <w:sz w:val="20"/>
                <w:szCs w:val="20"/>
                <w:lang w:val="es-ES"/>
              </w:rPr>
              <w:lastRenderedPageBreak/>
              <w:t>de una combinación óptima de instrumentos que permita proteger el balance fiscal del Estado y mejorar su capacidad de respuesta, ya sea frente a eventos menores y recurrentes o a grand</w:t>
            </w:r>
            <w:r w:rsidR="00CF63F8">
              <w:rPr>
                <w:sz w:val="20"/>
                <w:szCs w:val="20"/>
                <w:lang w:val="es-ES"/>
              </w:rPr>
              <w:t>es desastres de baja ocurrencia.</w:t>
            </w:r>
            <w:r w:rsidR="00357991">
              <w:rPr>
                <w:sz w:val="20"/>
                <w:szCs w:val="20"/>
                <w:lang w:val="es-ES_tradnl"/>
              </w:rPr>
              <w:t xml:space="preserve"> El porcentaje hace referencia al número de indicadores cumplidos para este proceso.</w:t>
            </w:r>
          </w:p>
        </w:tc>
      </w:tr>
      <w:tr w:rsidR="00CF63F8" w:rsidRPr="00EF7BA5" w:rsidTr="00614A7A">
        <w:trPr>
          <w:trHeight w:val="65"/>
          <w:jc w:val="center"/>
        </w:trPr>
        <w:tc>
          <w:tcPr>
            <w:tcW w:w="4133"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CF63F8" w:rsidRDefault="00CF63F8" w:rsidP="008C6F26">
            <w:pPr>
              <w:pStyle w:val="Default"/>
              <w:rPr>
                <w:b/>
                <w:bCs/>
                <w:sz w:val="22"/>
                <w:szCs w:val="22"/>
                <w:lang w:val="es-ES"/>
              </w:rPr>
            </w:pPr>
          </w:p>
        </w:tc>
        <w:tc>
          <w:tcPr>
            <w:tcW w:w="810"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CF63F8" w:rsidRDefault="00CF63F8" w:rsidP="00CF63F8">
            <w:pPr>
              <w:widowControl/>
              <w:adjustRightInd/>
              <w:spacing w:before="120" w:after="120" w:line="240" w:lineRule="auto"/>
              <w:textAlignment w:val="auto"/>
              <w:rPr>
                <w:rFonts w:eastAsia="Times New Roman"/>
                <w:color w:val="auto"/>
                <w:sz w:val="22"/>
                <w:lang w:val="es-ES"/>
              </w:rPr>
            </w:pPr>
          </w:p>
        </w:tc>
        <w:tc>
          <w:tcPr>
            <w:tcW w:w="794"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CF63F8" w:rsidRPr="00E929DC" w:rsidRDefault="00CF63F8" w:rsidP="006C59C0">
            <w:pPr>
              <w:widowControl/>
              <w:adjustRightInd/>
              <w:spacing w:before="120" w:after="120" w:line="240" w:lineRule="auto"/>
              <w:textAlignment w:val="auto"/>
              <w:rPr>
                <w:rFonts w:eastAsia="Times New Roman"/>
                <w:color w:val="auto"/>
                <w:sz w:val="22"/>
                <w:lang w:val="es-ES"/>
              </w:rPr>
            </w:pPr>
          </w:p>
        </w:tc>
        <w:tc>
          <w:tcPr>
            <w:tcW w:w="871"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CF63F8" w:rsidRPr="00E929DC" w:rsidRDefault="00CF63F8" w:rsidP="006C59C0">
            <w:pPr>
              <w:widowControl/>
              <w:adjustRightInd/>
              <w:spacing w:before="120" w:after="120" w:line="240" w:lineRule="auto"/>
              <w:textAlignment w:val="auto"/>
              <w:rPr>
                <w:rFonts w:eastAsia="Times New Roman"/>
                <w:color w:val="auto"/>
                <w:sz w:val="22"/>
                <w:lang w:val="es-ES"/>
              </w:rPr>
            </w:pPr>
          </w:p>
        </w:tc>
        <w:tc>
          <w:tcPr>
            <w:tcW w:w="810"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CF63F8" w:rsidRPr="00E929DC" w:rsidRDefault="00CF63F8" w:rsidP="006C59C0">
            <w:pPr>
              <w:widowControl/>
              <w:adjustRightInd/>
              <w:spacing w:before="120" w:after="120" w:line="240" w:lineRule="auto"/>
              <w:textAlignment w:val="auto"/>
              <w:rPr>
                <w:rFonts w:eastAsia="Times New Roman"/>
                <w:color w:val="auto"/>
                <w:sz w:val="22"/>
                <w:lang w:val="es-ES"/>
              </w:rPr>
            </w:pPr>
          </w:p>
        </w:tc>
        <w:tc>
          <w:tcPr>
            <w:tcW w:w="900"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CF63F8" w:rsidRPr="00E929DC" w:rsidRDefault="00CF63F8" w:rsidP="006C59C0">
            <w:pPr>
              <w:widowControl/>
              <w:adjustRightInd/>
              <w:spacing w:before="120" w:after="120" w:line="240" w:lineRule="auto"/>
              <w:textAlignment w:val="auto"/>
              <w:rPr>
                <w:rFonts w:eastAsia="Times New Roman"/>
                <w:color w:val="auto"/>
                <w:sz w:val="22"/>
                <w:lang w:val="es-ES"/>
              </w:rPr>
            </w:pPr>
          </w:p>
        </w:tc>
        <w:tc>
          <w:tcPr>
            <w:tcW w:w="810" w:type="dxa"/>
            <w:tcBorders>
              <w:left w:val="nil"/>
              <w:bottom w:val="single" w:sz="4" w:space="0" w:color="auto"/>
              <w:right w:val="single" w:sz="4" w:space="0" w:color="auto"/>
            </w:tcBorders>
            <w:shd w:val="clear" w:color="auto" w:fill="auto"/>
            <w:vAlign w:val="center"/>
          </w:tcPr>
          <w:p w:rsidR="00CF63F8" w:rsidRPr="00E929DC" w:rsidRDefault="00CF63F8" w:rsidP="006C59C0">
            <w:pPr>
              <w:widowControl/>
              <w:adjustRightInd/>
              <w:spacing w:before="120" w:after="120" w:line="240" w:lineRule="auto"/>
              <w:textAlignment w:val="auto"/>
              <w:rPr>
                <w:rFonts w:eastAsia="Times New Roman"/>
                <w:color w:val="auto"/>
                <w:sz w:val="22"/>
                <w:lang w:val="es-ES"/>
              </w:rPr>
            </w:pPr>
          </w:p>
        </w:tc>
        <w:tc>
          <w:tcPr>
            <w:tcW w:w="900" w:type="dxa"/>
            <w:tcBorders>
              <w:left w:val="single" w:sz="4" w:space="0" w:color="auto"/>
              <w:bottom w:val="single" w:sz="4" w:space="0" w:color="auto"/>
              <w:right w:val="single" w:sz="4" w:space="0" w:color="auto"/>
            </w:tcBorders>
            <w:shd w:val="clear" w:color="auto" w:fill="auto"/>
            <w:vAlign w:val="center"/>
          </w:tcPr>
          <w:p w:rsidR="00CF63F8" w:rsidRDefault="00CF63F8" w:rsidP="006C59C0">
            <w:pPr>
              <w:widowControl/>
              <w:adjustRightInd/>
              <w:spacing w:before="120" w:after="120" w:line="240" w:lineRule="auto"/>
              <w:textAlignment w:val="auto"/>
              <w:rPr>
                <w:rFonts w:eastAsia="Times New Roman"/>
                <w:color w:val="auto"/>
                <w:sz w:val="22"/>
                <w:lang w:val="es-ES"/>
              </w:rPr>
            </w:pPr>
          </w:p>
        </w:tc>
        <w:tc>
          <w:tcPr>
            <w:tcW w:w="3290" w:type="dxa"/>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CF63F8" w:rsidRPr="00000FB4" w:rsidRDefault="00CF63F8" w:rsidP="00EC3CDD">
            <w:pPr>
              <w:widowControl/>
              <w:adjustRightInd/>
              <w:spacing w:before="120" w:after="120" w:line="240" w:lineRule="auto"/>
              <w:ind w:right="144"/>
              <w:jc w:val="left"/>
              <w:textAlignment w:val="auto"/>
              <w:rPr>
                <w:rFonts w:eastAsia="Arial Unicode MS"/>
                <w:b/>
                <w:i/>
                <w:color w:val="auto"/>
                <w:sz w:val="20"/>
                <w:szCs w:val="20"/>
                <w:lang w:val="es-ES"/>
              </w:rPr>
            </w:pPr>
          </w:p>
        </w:tc>
      </w:tr>
      <w:tr w:rsidR="00614A7A" w:rsidRPr="00E929DC" w:rsidTr="00E674B4">
        <w:trPr>
          <w:trHeight w:val="270"/>
          <w:jc w:val="center"/>
        </w:trPr>
        <w:tc>
          <w:tcPr>
            <w:tcW w:w="13318" w:type="dxa"/>
            <w:gridSpan w:val="9"/>
            <w:tcBorders>
              <w:top w:val="single" w:sz="4" w:space="0" w:color="auto"/>
              <w:left w:val="single" w:sz="4" w:space="0" w:color="auto"/>
              <w:bottom w:val="single" w:sz="4" w:space="0" w:color="auto"/>
              <w:right w:val="single" w:sz="4" w:space="0" w:color="auto"/>
            </w:tcBorders>
            <w:shd w:val="clear" w:color="auto" w:fill="CCCCCC"/>
            <w:noWrap/>
            <w:tcMar>
              <w:top w:w="15" w:type="dxa"/>
              <w:left w:w="15" w:type="dxa"/>
              <w:bottom w:w="0" w:type="dxa"/>
              <w:right w:w="15" w:type="dxa"/>
            </w:tcMar>
            <w:vAlign w:val="bottom"/>
          </w:tcPr>
          <w:p w:rsidR="00614A7A" w:rsidRPr="00E929DC" w:rsidRDefault="00614A7A" w:rsidP="00E674B4">
            <w:pPr>
              <w:widowControl/>
              <w:adjustRightInd/>
              <w:spacing w:line="240" w:lineRule="auto"/>
              <w:ind w:right="165"/>
              <w:jc w:val="left"/>
              <w:textAlignment w:val="auto"/>
              <w:rPr>
                <w:rFonts w:eastAsia="Arial Unicode MS"/>
                <w:b/>
                <w:color w:val="auto"/>
                <w:sz w:val="22"/>
                <w:lang w:val="es-ES"/>
              </w:rPr>
            </w:pPr>
            <w:r>
              <w:rPr>
                <w:rFonts w:eastAsia="Arial Unicode MS"/>
                <w:b/>
                <w:color w:val="auto"/>
                <w:sz w:val="22"/>
                <w:lang w:val="es-ES"/>
              </w:rPr>
              <w:lastRenderedPageBreak/>
              <w:t>Productos</w:t>
            </w:r>
          </w:p>
        </w:tc>
      </w:tr>
      <w:tr w:rsidR="00614A7A" w:rsidRPr="00EF7BA5" w:rsidTr="00BF344C">
        <w:trPr>
          <w:trHeight w:val="65"/>
          <w:jc w:val="center"/>
        </w:trPr>
        <w:tc>
          <w:tcPr>
            <w:tcW w:w="4133"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614A7A" w:rsidRPr="00614A7A" w:rsidRDefault="00614A7A" w:rsidP="00614A7A">
            <w:pPr>
              <w:widowControl/>
              <w:adjustRightInd/>
              <w:spacing w:line="240" w:lineRule="auto"/>
              <w:jc w:val="left"/>
              <w:textAlignment w:val="auto"/>
              <w:rPr>
                <w:sz w:val="20"/>
                <w:szCs w:val="20"/>
                <w:lang w:val="es-ES_tradnl"/>
              </w:rPr>
            </w:pPr>
            <w:r w:rsidRPr="00614A7A">
              <w:rPr>
                <w:sz w:val="20"/>
                <w:szCs w:val="20"/>
                <w:lang w:val="es-ES_tradnl"/>
              </w:rPr>
              <w:t>Diseño y aprobación de una Estrategia Nacional de Gestión Financiera de Riesgos de Desastre, que c</w:t>
            </w:r>
            <w:r>
              <w:rPr>
                <w:sz w:val="20"/>
                <w:szCs w:val="20"/>
                <w:lang w:val="es-ES_tradnl"/>
              </w:rPr>
              <w:t>onsidere, entre otros aspectos:</w:t>
            </w:r>
          </w:p>
          <w:p w:rsidR="00614A7A" w:rsidRPr="00614A7A" w:rsidRDefault="00614A7A" w:rsidP="00614A7A">
            <w:pPr>
              <w:widowControl/>
              <w:numPr>
                <w:ilvl w:val="1"/>
                <w:numId w:val="23"/>
              </w:numPr>
              <w:adjustRightInd/>
              <w:spacing w:line="240" w:lineRule="auto"/>
              <w:ind w:left="619" w:hanging="283"/>
              <w:jc w:val="left"/>
              <w:textAlignment w:val="auto"/>
              <w:rPr>
                <w:sz w:val="20"/>
                <w:szCs w:val="20"/>
                <w:lang w:val="es-ES_tradnl"/>
              </w:rPr>
            </w:pPr>
            <w:r w:rsidRPr="00614A7A">
              <w:rPr>
                <w:sz w:val="20"/>
                <w:szCs w:val="20"/>
                <w:lang w:val="es-ES_tradnl"/>
              </w:rPr>
              <w:t>La definición clara del nivel de cobertura financiera necesario y los instrumentos financieros más adecuados para proporcionar tal cobertura; y</w:t>
            </w:r>
          </w:p>
          <w:p w:rsidR="00614A7A" w:rsidRDefault="00614A7A" w:rsidP="008C6F26">
            <w:pPr>
              <w:widowControl/>
              <w:numPr>
                <w:ilvl w:val="1"/>
                <w:numId w:val="23"/>
              </w:numPr>
              <w:adjustRightInd/>
              <w:spacing w:line="240" w:lineRule="auto"/>
              <w:ind w:left="619" w:hanging="283"/>
              <w:jc w:val="left"/>
              <w:textAlignment w:val="auto"/>
              <w:rPr>
                <w:sz w:val="20"/>
                <w:szCs w:val="20"/>
                <w:lang w:val="es-ES_tradnl"/>
              </w:rPr>
            </w:pPr>
            <w:r w:rsidRPr="00614A7A">
              <w:rPr>
                <w:sz w:val="20"/>
                <w:szCs w:val="20"/>
                <w:lang w:val="es-ES_tradnl"/>
              </w:rPr>
              <w:t>La definición de algunos lineamientos para establecer una  política de aseguramiento de la infraestructura destinada a la provisión de servicios públicos y otros activos fijos estratégicos.</w:t>
            </w:r>
          </w:p>
          <w:p w:rsidR="00614A7A" w:rsidRDefault="00614A7A" w:rsidP="00614A7A">
            <w:pPr>
              <w:widowControl/>
              <w:adjustRightInd/>
              <w:spacing w:line="240" w:lineRule="auto"/>
              <w:jc w:val="left"/>
              <w:textAlignment w:val="auto"/>
              <w:rPr>
                <w:sz w:val="20"/>
                <w:szCs w:val="20"/>
                <w:lang w:val="es-ES_tradnl"/>
              </w:rPr>
            </w:pPr>
          </w:p>
          <w:p w:rsidR="00614A7A" w:rsidRPr="00614A7A" w:rsidRDefault="00614A7A" w:rsidP="00614A7A">
            <w:pPr>
              <w:widowControl/>
              <w:adjustRightInd/>
              <w:spacing w:line="240" w:lineRule="auto"/>
              <w:jc w:val="left"/>
              <w:textAlignment w:val="auto"/>
              <w:rPr>
                <w:sz w:val="20"/>
                <w:szCs w:val="20"/>
                <w:lang w:val="es-ES_tradnl"/>
              </w:rPr>
            </w:pPr>
            <w:r w:rsidRPr="00614A7A">
              <w:rPr>
                <w:i/>
                <w:sz w:val="20"/>
                <w:szCs w:val="20"/>
                <w:lang w:val="es-ES_tradnl"/>
              </w:rPr>
              <w:t>Indicador:</w:t>
            </w:r>
            <w:r>
              <w:rPr>
                <w:sz w:val="20"/>
                <w:szCs w:val="20"/>
                <w:lang w:val="es-ES_tradnl"/>
              </w:rPr>
              <w:t xml:space="preserve"> Estrategia aprobada (#)</w:t>
            </w:r>
          </w:p>
          <w:p w:rsidR="00614A7A" w:rsidRDefault="00614A7A" w:rsidP="00614A7A">
            <w:pPr>
              <w:widowControl/>
              <w:adjustRightInd/>
              <w:spacing w:line="240" w:lineRule="auto"/>
              <w:jc w:val="left"/>
              <w:textAlignment w:val="auto"/>
              <w:rPr>
                <w:sz w:val="20"/>
                <w:szCs w:val="20"/>
                <w:lang w:val="es-ES_tradnl"/>
              </w:rPr>
            </w:pPr>
          </w:p>
          <w:p w:rsidR="00614A7A" w:rsidRPr="00614A7A" w:rsidRDefault="00614A7A" w:rsidP="00614A7A">
            <w:pPr>
              <w:widowControl/>
              <w:adjustRightInd/>
              <w:spacing w:line="240" w:lineRule="auto"/>
              <w:jc w:val="left"/>
              <w:textAlignment w:val="auto"/>
              <w:rPr>
                <w:sz w:val="20"/>
                <w:szCs w:val="20"/>
                <w:lang w:val="es-ES_tradnl"/>
              </w:rPr>
            </w:pPr>
            <w:r w:rsidRPr="00614A7A">
              <w:rPr>
                <w:sz w:val="20"/>
                <w:szCs w:val="20"/>
                <w:lang w:val="es-ES_tradnl"/>
              </w:rPr>
              <w:t>Aprobación del Manual de Organización y Funciones de la Dirección de Gestión de Riesgos</w:t>
            </w:r>
            <w:r w:rsidRPr="00614A7A">
              <w:rPr>
                <w:sz w:val="18"/>
                <w:szCs w:val="20"/>
                <w:lang w:val="es-ES_tradnl"/>
              </w:rPr>
              <w:t xml:space="preserve">. </w:t>
            </w:r>
          </w:p>
          <w:p w:rsidR="00614A7A" w:rsidRPr="00614A7A" w:rsidRDefault="00614A7A" w:rsidP="00614A7A">
            <w:pPr>
              <w:rPr>
                <w:sz w:val="20"/>
                <w:szCs w:val="20"/>
                <w:lang w:val="es-ES_tradnl"/>
              </w:rPr>
            </w:pPr>
            <w:r w:rsidRPr="00614A7A">
              <w:rPr>
                <w:i/>
                <w:sz w:val="20"/>
                <w:szCs w:val="20"/>
                <w:lang w:val="es-ES_tradnl"/>
              </w:rPr>
              <w:t>Indicador:</w:t>
            </w:r>
            <w:r>
              <w:rPr>
                <w:sz w:val="20"/>
                <w:szCs w:val="20"/>
                <w:lang w:val="es-ES_tradnl"/>
              </w:rPr>
              <w:t xml:space="preserve"> Manual aprobado (#)</w:t>
            </w:r>
          </w:p>
          <w:p w:rsidR="00614A7A" w:rsidRPr="00614A7A" w:rsidRDefault="00614A7A" w:rsidP="00614A7A">
            <w:pPr>
              <w:rPr>
                <w:sz w:val="20"/>
                <w:szCs w:val="20"/>
                <w:lang w:val="es-ES_tradnl"/>
              </w:rPr>
            </w:pPr>
          </w:p>
          <w:p w:rsidR="00D95300" w:rsidRDefault="00D95300" w:rsidP="00D95300">
            <w:pPr>
              <w:widowControl/>
              <w:adjustRightInd/>
              <w:spacing w:line="240" w:lineRule="auto"/>
              <w:jc w:val="left"/>
              <w:textAlignment w:val="auto"/>
              <w:rPr>
                <w:sz w:val="20"/>
                <w:szCs w:val="20"/>
                <w:lang w:val="es-ES_tradnl"/>
              </w:rPr>
            </w:pPr>
            <w:r w:rsidRPr="00614A7A">
              <w:rPr>
                <w:sz w:val="20"/>
                <w:szCs w:val="20"/>
                <w:lang w:val="es-ES_tradnl"/>
              </w:rPr>
              <w:t xml:space="preserve">Creación, conformación y puesta en funcionamiento del Comité de Riesgos del </w:t>
            </w:r>
            <w:r w:rsidRPr="00614A7A">
              <w:rPr>
                <w:sz w:val="20"/>
                <w:szCs w:val="20"/>
                <w:lang w:val="es-ES_tradnl"/>
              </w:rPr>
              <w:lastRenderedPageBreak/>
              <w:t>Ministerio de Economía y Finanzas del Perú</w:t>
            </w:r>
          </w:p>
          <w:p w:rsidR="00D95300" w:rsidRDefault="00D95300" w:rsidP="00D95300">
            <w:pPr>
              <w:widowControl/>
              <w:adjustRightInd/>
              <w:spacing w:line="240" w:lineRule="auto"/>
              <w:jc w:val="left"/>
              <w:textAlignment w:val="auto"/>
              <w:rPr>
                <w:sz w:val="20"/>
                <w:szCs w:val="20"/>
                <w:lang w:val="es-ES_tradnl"/>
              </w:rPr>
            </w:pPr>
          </w:p>
          <w:p w:rsidR="00D95300" w:rsidRDefault="00D95300" w:rsidP="00D95300">
            <w:pPr>
              <w:widowControl/>
              <w:adjustRightInd/>
              <w:spacing w:line="240" w:lineRule="auto"/>
              <w:jc w:val="left"/>
              <w:textAlignment w:val="auto"/>
              <w:rPr>
                <w:sz w:val="20"/>
                <w:szCs w:val="18"/>
                <w:lang w:val="es-ES_tradnl"/>
              </w:rPr>
            </w:pPr>
            <w:r w:rsidRPr="00614A7A">
              <w:rPr>
                <w:i/>
                <w:sz w:val="20"/>
                <w:szCs w:val="20"/>
                <w:lang w:val="es-ES_tradnl"/>
              </w:rPr>
              <w:t>Indicador:</w:t>
            </w:r>
            <w:r>
              <w:rPr>
                <w:sz w:val="20"/>
                <w:szCs w:val="20"/>
                <w:lang w:val="es-ES_tradnl"/>
              </w:rPr>
              <w:t xml:space="preserve"> </w:t>
            </w:r>
            <w:r w:rsidRPr="00371316">
              <w:rPr>
                <w:rFonts w:eastAsia="Times New Roman"/>
                <w:sz w:val="20"/>
                <w:szCs w:val="18"/>
                <w:lang w:val="es-ES_tradnl" w:eastAsia="es-ES"/>
              </w:rPr>
              <w:t>Ley, que crea el Comité</w:t>
            </w:r>
            <w:r w:rsidRPr="00371316">
              <w:rPr>
                <w:sz w:val="20"/>
                <w:szCs w:val="18"/>
                <w:lang w:val="es-ES_tradnl"/>
              </w:rPr>
              <w:t xml:space="preserve"> de Riesgos del Ministerio de Economía y Finanzas del Perú</w:t>
            </w:r>
          </w:p>
          <w:p w:rsidR="00D95300" w:rsidRPr="00371316" w:rsidRDefault="00D95300" w:rsidP="00D95300">
            <w:pPr>
              <w:widowControl/>
              <w:adjustRightInd/>
              <w:spacing w:line="240" w:lineRule="auto"/>
              <w:jc w:val="left"/>
              <w:textAlignment w:val="auto"/>
              <w:rPr>
                <w:sz w:val="20"/>
                <w:szCs w:val="20"/>
                <w:lang w:val="es-ES_tradnl"/>
              </w:rPr>
            </w:pPr>
          </w:p>
          <w:p w:rsidR="00614A7A" w:rsidRPr="00614A7A" w:rsidRDefault="00614A7A" w:rsidP="00614A7A">
            <w:pPr>
              <w:widowControl/>
              <w:adjustRightInd/>
              <w:spacing w:line="240" w:lineRule="auto"/>
              <w:jc w:val="left"/>
              <w:textAlignment w:val="auto"/>
              <w:rPr>
                <w:sz w:val="20"/>
                <w:szCs w:val="20"/>
                <w:lang w:val="es-ES"/>
              </w:rPr>
            </w:pPr>
            <w:r w:rsidRPr="00614A7A">
              <w:rPr>
                <w:sz w:val="20"/>
                <w:szCs w:val="20"/>
                <w:lang w:val="es-ES"/>
              </w:rPr>
              <w:t>Fortalecimiento de la cobertura financiera para cubrir gastos extraordinarios de emergencias por desastres asociados a fenómenos naturales.</w:t>
            </w:r>
          </w:p>
          <w:p w:rsidR="00614A7A" w:rsidRPr="002F7B1B" w:rsidRDefault="00614A7A" w:rsidP="00614A7A">
            <w:pPr>
              <w:widowControl/>
              <w:adjustRightInd/>
              <w:spacing w:line="240" w:lineRule="auto"/>
              <w:jc w:val="left"/>
              <w:textAlignment w:val="auto"/>
              <w:rPr>
                <w:sz w:val="20"/>
                <w:szCs w:val="20"/>
                <w:lang w:val="es-ES_tradnl"/>
              </w:rPr>
            </w:pPr>
          </w:p>
          <w:p w:rsidR="00371316" w:rsidRPr="00371316" w:rsidRDefault="00614A7A" w:rsidP="00614A7A">
            <w:pPr>
              <w:widowControl/>
              <w:adjustRightInd/>
              <w:spacing w:line="240" w:lineRule="auto"/>
              <w:jc w:val="left"/>
              <w:textAlignment w:val="auto"/>
              <w:rPr>
                <w:i/>
                <w:sz w:val="20"/>
                <w:szCs w:val="20"/>
                <w:u w:val="single"/>
                <w:lang w:val="es-ES_tradnl"/>
              </w:rPr>
            </w:pPr>
            <w:r w:rsidRPr="00371316">
              <w:rPr>
                <w:i/>
                <w:sz w:val="20"/>
                <w:szCs w:val="20"/>
                <w:lang w:val="es-ES_tradnl"/>
              </w:rPr>
              <w:t>Indicador</w:t>
            </w:r>
            <w:r w:rsidR="00371316" w:rsidRPr="00371316">
              <w:rPr>
                <w:i/>
                <w:sz w:val="20"/>
                <w:szCs w:val="20"/>
                <w:lang w:val="es-ES_tradnl"/>
              </w:rPr>
              <w:t>es</w:t>
            </w:r>
            <w:r w:rsidRPr="00371316">
              <w:rPr>
                <w:i/>
                <w:sz w:val="20"/>
                <w:szCs w:val="20"/>
                <w:lang w:val="es-ES_tradnl"/>
              </w:rPr>
              <w:t>:</w:t>
            </w:r>
            <w:r w:rsidRPr="00371316">
              <w:rPr>
                <w:i/>
                <w:sz w:val="20"/>
                <w:szCs w:val="20"/>
                <w:u w:val="single"/>
                <w:lang w:val="es-ES_tradnl"/>
              </w:rPr>
              <w:t xml:space="preserve"> </w:t>
            </w:r>
          </w:p>
          <w:p w:rsidR="00371316" w:rsidRDefault="00371316" w:rsidP="00371316">
            <w:pPr>
              <w:pStyle w:val="NoSpacing"/>
              <w:rPr>
                <w:sz w:val="20"/>
                <w:szCs w:val="20"/>
                <w:lang w:val="es-ES_tradnl" w:eastAsia="es-ES"/>
              </w:rPr>
            </w:pPr>
            <w:r>
              <w:rPr>
                <w:sz w:val="20"/>
                <w:szCs w:val="20"/>
                <w:lang w:val="es-ES_tradnl" w:eastAsia="es-ES"/>
              </w:rPr>
              <w:t>-</w:t>
            </w:r>
            <w:r w:rsidRPr="00371316">
              <w:rPr>
                <w:sz w:val="20"/>
                <w:szCs w:val="20"/>
                <w:lang w:val="es-ES_tradnl" w:eastAsia="es-ES"/>
              </w:rPr>
              <w:t xml:space="preserve">Decreto Supremo que aprueba la operación de crédito contingente con el BID </w:t>
            </w:r>
          </w:p>
          <w:p w:rsidR="00DF7AA7" w:rsidRDefault="00DF7AA7" w:rsidP="00371316">
            <w:pPr>
              <w:pStyle w:val="NoSpacing"/>
              <w:rPr>
                <w:sz w:val="20"/>
                <w:szCs w:val="20"/>
                <w:lang w:val="es-ES_tradnl" w:eastAsia="es-ES"/>
              </w:rPr>
            </w:pPr>
          </w:p>
          <w:p w:rsidR="00DF7AA7" w:rsidRDefault="00DF7AA7" w:rsidP="00DF7AA7">
            <w:pPr>
              <w:pStyle w:val="NoSpacing"/>
              <w:numPr>
                <w:ilvl w:val="0"/>
                <w:numId w:val="28"/>
              </w:numPr>
              <w:ind w:left="141" w:hanging="90"/>
              <w:rPr>
                <w:sz w:val="20"/>
                <w:szCs w:val="20"/>
                <w:lang w:val="es-ES_tradnl" w:eastAsia="es-ES"/>
              </w:rPr>
            </w:pPr>
            <w:r>
              <w:rPr>
                <w:sz w:val="20"/>
                <w:szCs w:val="20"/>
                <w:lang w:val="es-ES_tradnl" w:eastAsia="es-ES"/>
              </w:rPr>
              <w:t>Decreto Supremo que aprueba el préstamo contingente con JICA</w:t>
            </w:r>
          </w:p>
          <w:p w:rsidR="00371316" w:rsidRPr="00371316" w:rsidRDefault="00371316" w:rsidP="00371316">
            <w:pPr>
              <w:pStyle w:val="NoSpacing"/>
              <w:rPr>
                <w:sz w:val="20"/>
                <w:szCs w:val="20"/>
                <w:lang w:val="es-ES_tradnl" w:eastAsia="es-ES"/>
              </w:rPr>
            </w:pPr>
          </w:p>
          <w:p w:rsidR="00371316" w:rsidRDefault="00371316" w:rsidP="00371316">
            <w:pPr>
              <w:pStyle w:val="NoSpacing"/>
              <w:rPr>
                <w:sz w:val="20"/>
                <w:szCs w:val="20"/>
                <w:lang w:val="es-ES_tradnl" w:eastAsia="es-ES"/>
              </w:rPr>
            </w:pPr>
            <w:r>
              <w:rPr>
                <w:sz w:val="20"/>
                <w:szCs w:val="20"/>
                <w:lang w:val="es-ES_tradnl" w:eastAsia="es-ES"/>
              </w:rPr>
              <w:t>-</w:t>
            </w:r>
            <w:r w:rsidRPr="00371316">
              <w:rPr>
                <w:sz w:val="20"/>
                <w:szCs w:val="20"/>
                <w:lang w:val="es-ES_tradnl" w:eastAsia="es-ES"/>
              </w:rPr>
              <w:t xml:space="preserve">Decreto Supremo que aprueba la operación de crédito contingente con CAF </w:t>
            </w:r>
          </w:p>
          <w:p w:rsidR="00371316" w:rsidRDefault="00371316" w:rsidP="00371316">
            <w:pPr>
              <w:pStyle w:val="NoSpacing"/>
              <w:rPr>
                <w:sz w:val="20"/>
                <w:szCs w:val="20"/>
                <w:lang w:val="es-ES_tradnl" w:eastAsia="es-ES"/>
              </w:rPr>
            </w:pPr>
          </w:p>
          <w:p w:rsidR="00B54385" w:rsidRPr="00371316" w:rsidRDefault="00B54385" w:rsidP="00371316">
            <w:pPr>
              <w:pStyle w:val="NoSpacing"/>
              <w:rPr>
                <w:sz w:val="20"/>
                <w:szCs w:val="20"/>
                <w:lang w:val="es-ES_tradnl" w:eastAsia="es-ES"/>
              </w:rPr>
            </w:pPr>
          </w:p>
          <w:p w:rsidR="00371316" w:rsidRDefault="00371316" w:rsidP="00371316">
            <w:pPr>
              <w:pStyle w:val="NoSpacing"/>
              <w:rPr>
                <w:sz w:val="20"/>
                <w:szCs w:val="20"/>
                <w:lang w:val="es-ES_tradnl" w:eastAsia="es-ES"/>
              </w:rPr>
            </w:pPr>
            <w:r>
              <w:rPr>
                <w:sz w:val="20"/>
                <w:szCs w:val="20"/>
                <w:lang w:val="es-ES_tradnl" w:eastAsia="es-ES"/>
              </w:rPr>
              <w:t>-</w:t>
            </w:r>
            <w:r w:rsidRPr="00371316">
              <w:rPr>
                <w:sz w:val="20"/>
                <w:szCs w:val="20"/>
                <w:lang w:val="es-ES_tradnl" w:eastAsia="es-ES"/>
              </w:rPr>
              <w:t xml:space="preserve">Carta de renovación del crédito contingente con el BM </w:t>
            </w:r>
          </w:p>
          <w:p w:rsidR="00371316" w:rsidRDefault="00371316" w:rsidP="00371316">
            <w:pPr>
              <w:pStyle w:val="NoSpacing"/>
              <w:rPr>
                <w:sz w:val="20"/>
                <w:szCs w:val="20"/>
                <w:lang w:val="es-ES_tradnl" w:eastAsia="es-ES"/>
              </w:rPr>
            </w:pPr>
          </w:p>
          <w:p w:rsidR="00B54385" w:rsidRPr="00371316" w:rsidRDefault="00B54385" w:rsidP="00371316">
            <w:pPr>
              <w:pStyle w:val="NoSpacing"/>
              <w:rPr>
                <w:sz w:val="20"/>
                <w:szCs w:val="20"/>
                <w:lang w:val="es-ES_tradnl" w:eastAsia="es-ES"/>
              </w:rPr>
            </w:pPr>
          </w:p>
          <w:p w:rsidR="00614A7A" w:rsidRPr="00371316" w:rsidRDefault="00371316" w:rsidP="00371316">
            <w:pPr>
              <w:pStyle w:val="NoSpacing"/>
              <w:rPr>
                <w:sz w:val="20"/>
                <w:szCs w:val="20"/>
                <w:lang w:val="es-ES_tradnl" w:eastAsia="es-ES"/>
              </w:rPr>
            </w:pPr>
            <w:r>
              <w:rPr>
                <w:sz w:val="20"/>
                <w:szCs w:val="20"/>
                <w:lang w:val="es-ES_tradnl" w:eastAsia="es-ES"/>
              </w:rPr>
              <w:t>-I</w:t>
            </w:r>
            <w:r w:rsidRPr="00371316">
              <w:rPr>
                <w:sz w:val="20"/>
                <w:szCs w:val="20"/>
                <w:lang w:val="es-ES_tradnl" w:eastAsia="es-ES"/>
              </w:rPr>
              <w:t xml:space="preserve">nforme sobre el Fondo de Estabilización Fiscal  </w:t>
            </w:r>
          </w:p>
          <w:p w:rsidR="00614A7A" w:rsidRPr="00614A7A" w:rsidRDefault="00614A7A">
            <w:pPr>
              <w:widowControl/>
              <w:adjustRightInd/>
              <w:spacing w:line="240" w:lineRule="auto"/>
              <w:jc w:val="left"/>
              <w:textAlignment w:val="auto"/>
              <w:rPr>
                <w:sz w:val="20"/>
                <w:szCs w:val="20"/>
                <w:lang w:val="es-ES_tradnl"/>
              </w:rPr>
            </w:pPr>
          </w:p>
        </w:tc>
        <w:tc>
          <w:tcPr>
            <w:tcW w:w="810"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371316" w:rsidRDefault="00371316"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614A7A" w:rsidRDefault="00614A7A" w:rsidP="00371316">
            <w:pPr>
              <w:widowControl/>
              <w:adjustRightInd/>
              <w:spacing w:before="120" w:after="120" w:line="240" w:lineRule="auto"/>
              <w:textAlignment w:val="auto"/>
              <w:rPr>
                <w:rFonts w:eastAsia="Times New Roman"/>
                <w:color w:val="auto"/>
                <w:sz w:val="22"/>
                <w:lang w:val="es-ES"/>
              </w:rPr>
            </w:pPr>
          </w:p>
          <w:p w:rsidR="00371316" w:rsidRDefault="00371316"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B54385" w:rsidRDefault="00B54385" w:rsidP="00371316">
            <w:pPr>
              <w:widowControl/>
              <w:adjustRightInd/>
              <w:spacing w:before="120" w:after="120" w:line="240" w:lineRule="auto"/>
              <w:jc w:val="center"/>
              <w:textAlignment w:val="auto"/>
              <w:rPr>
                <w:rFonts w:eastAsia="Times New Roman"/>
                <w:color w:val="auto"/>
                <w:sz w:val="22"/>
                <w:lang w:val="es-ES"/>
              </w:rPr>
            </w:pPr>
          </w:p>
          <w:p w:rsidR="00B54385" w:rsidRDefault="00B54385" w:rsidP="00371316">
            <w:pPr>
              <w:widowControl/>
              <w:adjustRightInd/>
              <w:spacing w:before="120" w:after="120" w:line="240" w:lineRule="auto"/>
              <w:jc w:val="center"/>
              <w:textAlignment w:val="auto"/>
              <w:rPr>
                <w:rFonts w:eastAsia="Times New Roman"/>
                <w:color w:val="auto"/>
                <w:sz w:val="22"/>
                <w:lang w:val="es-ES"/>
              </w:rPr>
            </w:pPr>
          </w:p>
          <w:p w:rsidR="00B54385" w:rsidRDefault="00B54385"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371316" w:rsidRDefault="00371316" w:rsidP="00371316">
            <w:pPr>
              <w:widowControl/>
              <w:adjustRightInd/>
              <w:spacing w:before="120" w:after="120" w:line="240" w:lineRule="auto"/>
              <w:jc w:val="center"/>
              <w:textAlignment w:val="auto"/>
              <w:rPr>
                <w:rFonts w:eastAsia="Times New Roman"/>
                <w:color w:val="auto"/>
                <w:sz w:val="22"/>
                <w:lang w:val="es-ES"/>
              </w:rPr>
            </w:pPr>
          </w:p>
          <w:p w:rsidR="00DF7AA7" w:rsidRDefault="00DF7AA7"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DF7AA7" w:rsidRDefault="00DF7AA7" w:rsidP="00371316">
            <w:pPr>
              <w:widowControl/>
              <w:adjustRightInd/>
              <w:spacing w:before="120" w:after="120" w:line="240" w:lineRule="auto"/>
              <w:jc w:val="center"/>
              <w:textAlignment w:val="auto"/>
              <w:rPr>
                <w:rFonts w:eastAsia="Times New Roman"/>
                <w:color w:val="auto"/>
                <w:sz w:val="22"/>
                <w:lang w:val="es-ES"/>
              </w:rPr>
            </w:pPr>
          </w:p>
          <w:p w:rsidR="00B54385" w:rsidRDefault="00371316"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371316" w:rsidRDefault="00371316">
            <w:pPr>
              <w:widowControl/>
              <w:adjustRightInd/>
              <w:spacing w:before="120" w:after="120" w:line="240" w:lineRule="auto"/>
              <w:jc w:val="center"/>
              <w:textAlignment w:val="auto"/>
              <w:rPr>
                <w:rFonts w:eastAsia="Times New Roman"/>
                <w:color w:val="auto"/>
                <w:sz w:val="22"/>
                <w:lang w:val="es-ES"/>
              </w:rPr>
            </w:pPr>
          </w:p>
          <w:p w:rsidR="00371316" w:rsidRDefault="00371316"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p w:rsidR="00D95300" w:rsidRDefault="00D95300" w:rsidP="00B13BE0">
            <w:pPr>
              <w:widowControl/>
              <w:adjustRightInd/>
              <w:spacing w:before="120" w:after="120" w:line="240" w:lineRule="auto"/>
              <w:textAlignment w:val="auto"/>
              <w:rPr>
                <w:rFonts w:eastAsia="Times New Roman"/>
                <w:color w:val="auto"/>
                <w:sz w:val="22"/>
                <w:lang w:val="es-ES"/>
              </w:rPr>
            </w:pPr>
          </w:p>
          <w:p w:rsidR="00371316" w:rsidRDefault="00371316"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0</w:t>
            </w:r>
          </w:p>
        </w:tc>
        <w:tc>
          <w:tcPr>
            <w:tcW w:w="794"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614A7A" w:rsidRPr="00E929DC" w:rsidRDefault="00614A7A" w:rsidP="00371316">
            <w:pPr>
              <w:widowControl/>
              <w:adjustRightInd/>
              <w:spacing w:before="120" w:after="120" w:line="240" w:lineRule="auto"/>
              <w:jc w:val="center"/>
              <w:textAlignment w:val="auto"/>
              <w:rPr>
                <w:rFonts w:eastAsia="Times New Roman"/>
                <w:color w:val="auto"/>
                <w:sz w:val="22"/>
                <w:lang w:val="es-ES"/>
              </w:rPr>
            </w:pPr>
          </w:p>
        </w:tc>
        <w:tc>
          <w:tcPr>
            <w:tcW w:w="871"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614A7A" w:rsidRPr="00E929DC" w:rsidRDefault="00614A7A" w:rsidP="00371316">
            <w:pPr>
              <w:widowControl/>
              <w:adjustRightInd/>
              <w:spacing w:before="120" w:after="120" w:line="240" w:lineRule="auto"/>
              <w:jc w:val="center"/>
              <w:textAlignment w:val="auto"/>
              <w:rPr>
                <w:rFonts w:eastAsia="Times New Roman"/>
                <w:color w:val="auto"/>
                <w:sz w:val="22"/>
                <w:lang w:val="es-ES"/>
              </w:rPr>
            </w:pPr>
          </w:p>
        </w:tc>
        <w:tc>
          <w:tcPr>
            <w:tcW w:w="810"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614A7A" w:rsidRPr="00E929DC" w:rsidRDefault="00614A7A" w:rsidP="00371316">
            <w:pPr>
              <w:widowControl/>
              <w:adjustRightInd/>
              <w:spacing w:before="120" w:after="120" w:line="240" w:lineRule="auto"/>
              <w:jc w:val="center"/>
              <w:textAlignment w:val="auto"/>
              <w:rPr>
                <w:rFonts w:eastAsia="Times New Roman"/>
                <w:color w:val="auto"/>
                <w:sz w:val="22"/>
                <w:lang w:val="es-ES"/>
              </w:rPr>
            </w:pPr>
          </w:p>
        </w:tc>
        <w:tc>
          <w:tcPr>
            <w:tcW w:w="900" w:type="dxa"/>
            <w:tcBorders>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614A7A" w:rsidRPr="00E929DC" w:rsidRDefault="00614A7A" w:rsidP="00371316">
            <w:pPr>
              <w:widowControl/>
              <w:adjustRightInd/>
              <w:spacing w:before="120" w:after="120" w:line="240" w:lineRule="auto"/>
              <w:jc w:val="center"/>
              <w:textAlignment w:val="auto"/>
              <w:rPr>
                <w:rFonts w:eastAsia="Times New Roman"/>
                <w:color w:val="auto"/>
                <w:sz w:val="22"/>
                <w:lang w:val="es-ES"/>
              </w:rPr>
            </w:pPr>
          </w:p>
        </w:tc>
        <w:tc>
          <w:tcPr>
            <w:tcW w:w="810" w:type="dxa"/>
            <w:tcBorders>
              <w:left w:val="nil"/>
              <w:bottom w:val="single" w:sz="4" w:space="0" w:color="auto"/>
              <w:right w:val="single" w:sz="4" w:space="0" w:color="auto"/>
            </w:tcBorders>
            <w:shd w:val="clear" w:color="auto" w:fill="auto"/>
            <w:vAlign w:val="center"/>
          </w:tcPr>
          <w:p w:rsidR="00614A7A" w:rsidRPr="00E929DC" w:rsidRDefault="00614A7A" w:rsidP="00371316">
            <w:pPr>
              <w:widowControl/>
              <w:adjustRightInd/>
              <w:spacing w:before="120" w:after="120" w:line="240" w:lineRule="auto"/>
              <w:jc w:val="center"/>
              <w:textAlignment w:val="auto"/>
              <w:rPr>
                <w:rFonts w:eastAsia="Times New Roman"/>
                <w:color w:val="auto"/>
                <w:sz w:val="22"/>
                <w:lang w:val="es-ES"/>
              </w:rPr>
            </w:pPr>
          </w:p>
        </w:tc>
        <w:tc>
          <w:tcPr>
            <w:tcW w:w="900" w:type="dxa"/>
            <w:tcBorders>
              <w:left w:val="single" w:sz="4" w:space="0" w:color="auto"/>
              <w:bottom w:val="single" w:sz="4" w:space="0" w:color="auto"/>
              <w:right w:val="single" w:sz="4" w:space="0" w:color="auto"/>
            </w:tcBorders>
            <w:shd w:val="clear" w:color="auto" w:fill="auto"/>
            <w:vAlign w:val="center"/>
          </w:tcPr>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371316" w:rsidRDefault="00371316"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614A7A" w:rsidRDefault="00614A7A" w:rsidP="00371316">
            <w:pPr>
              <w:widowControl/>
              <w:adjustRightInd/>
              <w:spacing w:before="120" w:after="120" w:line="240" w:lineRule="auto"/>
              <w:textAlignment w:val="auto"/>
              <w:rPr>
                <w:rFonts w:eastAsia="Times New Roman"/>
                <w:color w:val="auto"/>
                <w:sz w:val="22"/>
                <w:lang w:val="es-ES"/>
              </w:rPr>
            </w:pPr>
          </w:p>
          <w:p w:rsidR="00371316" w:rsidRDefault="00371316"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p>
          <w:p w:rsidR="00614A7A" w:rsidRDefault="00371316"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371316" w:rsidRDefault="00371316" w:rsidP="00371316">
            <w:pPr>
              <w:widowControl/>
              <w:adjustRightInd/>
              <w:spacing w:before="120" w:after="120" w:line="240" w:lineRule="auto"/>
              <w:jc w:val="center"/>
              <w:textAlignment w:val="auto"/>
              <w:rPr>
                <w:rFonts w:eastAsia="Times New Roman"/>
                <w:color w:val="auto"/>
                <w:sz w:val="22"/>
                <w:lang w:val="es-ES"/>
              </w:rPr>
            </w:pPr>
          </w:p>
          <w:p w:rsidR="00B54385" w:rsidRDefault="00B54385" w:rsidP="00371316">
            <w:pPr>
              <w:widowControl/>
              <w:adjustRightInd/>
              <w:spacing w:before="120" w:after="120" w:line="240" w:lineRule="auto"/>
              <w:jc w:val="center"/>
              <w:textAlignment w:val="auto"/>
              <w:rPr>
                <w:rFonts w:eastAsia="Times New Roman"/>
                <w:color w:val="auto"/>
                <w:sz w:val="22"/>
                <w:lang w:val="es-ES"/>
              </w:rPr>
            </w:pPr>
          </w:p>
          <w:p w:rsidR="00B54385" w:rsidRDefault="00B54385" w:rsidP="00371316">
            <w:pPr>
              <w:widowControl/>
              <w:adjustRightInd/>
              <w:spacing w:before="120" w:after="120" w:line="240" w:lineRule="auto"/>
              <w:jc w:val="center"/>
              <w:textAlignment w:val="auto"/>
              <w:rPr>
                <w:rFonts w:eastAsia="Times New Roman"/>
                <w:color w:val="auto"/>
                <w:sz w:val="22"/>
                <w:lang w:val="es-ES"/>
              </w:rPr>
            </w:pPr>
          </w:p>
          <w:p w:rsidR="00B54385" w:rsidRDefault="00B54385" w:rsidP="00371316">
            <w:pPr>
              <w:widowControl/>
              <w:adjustRightInd/>
              <w:spacing w:before="120" w:after="120" w:line="240" w:lineRule="auto"/>
              <w:jc w:val="center"/>
              <w:textAlignment w:val="auto"/>
              <w:rPr>
                <w:rFonts w:eastAsia="Times New Roman"/>
                <w:color w:val="auto"/>
                <w:sz w:val="22"/>
                <w:lang w:val="es-ES"/>
              </w:rPr>
            </w:pPr>
          </w:p>
          <w:p w:rsidR="00614A7A" w:rsidRDefault="00614A7A"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371316" w:rsidRDefault="00371316" w:rsidP="00371316">
            <w:pPr>
              <w:widowControl/>
              <w:adjustRightInd/>
              <w:spacing w:before="120" w:after="120" w:line="240" w:lineRule="auto"/>
              <w:jc w:val="center"/>
              <w:textAlignment w:val="auto"/>
              <w:rPr>
                <w:rFonts w:eastAsia="Times New Roman"/>
                <w:color w:val="auto"/>
                <w:sz w:val="22"/>
                <w:lang w:val="es-ES"/>
              </w:rPr>
            </w:pPr>
          </w:p>
          <w:p w:rsidR="00DF7AA7" w:rsidRDefault="00DF7AA7"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DF7AA7" w:rsidRDefault="00DF7AA7" w:rsidP="00371316">
            <w:pPr>
              <w:widowControl/>
              <w:adjustRightInd/>
              <w:spacing w:before="120" w:after="120" w:line="240" w:lineRule="auto"/>
              <w:jc w:val="center"/>
              <w:textAlignment w:val="auto"/>
              <w:rPr>
                <w:rFonts w:eastAsia="Times New Roman"/>
                <w:color w:val="auto"/>
                <w:sz w:val="22"/>
                <w:lang w:val="es-ES"/>
              </w:rPr>
            </w:pPr>
          </w:p>
          <w:p w:rsidR="00B54385" w:rsidRDefault="00371316"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371316" w:rsidRDefault="00371316">
            <w:pPr>
              <w:widowControl/>
              <w:adjustRightInd/>
              <w:spacing w:before="120" w:after="120" w:line="240" w:lineRule="auto"/>
              <w:jc w:val="center"/>
              <w:textAlignment w:val="auto"/>
              <w:rPr>
                <w:rFonts w:eastAsia="Times New Roman"/>
                <w:color w:val="auto"/>
                <w:sz w:val="22"/>
                <w:lang w:val="es-ES"/>
              </w:rPr>
            </w:pPr>
          </w:p>
          <w:p w:rsidR="00371316" w:rsidRDefault="00371316"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p w:rsidR="00D95300" w:rsidRDefault="00D95300" w:rsidP="00B13BE0">
            <w:pPr>
              <w:widowControl/>
              <w:adjustRightInd/>
              <w:spacing w:before="120" w:after="120" w:line="240" w:lineRule="auto"/>
              <w:textAlignment w:val="auto"/>
              <w:rPr>
                <w:rFonts w:eastAsia="Times New Roman"/>
                <w:color w:val="auto"/>
                <w:sz w:val="22"/>
                <w:lang w:val="es-ES"/>
              </w:rPr>
            </w:pPr>
          </w:p>
          <w:p w:rsidR="00371316" w:rsidRDefault="00371316" w:rsidP="00371316">
            <w:pPr>
              <w:widowControl/>
              <w:adjustRightInd/>
              <w:spacing w:before="120" w:after="120" w:line="240" w:lineRule="auto"/>
              <w:jc w:val="center"/>
              <w:textAlignment w:val="auto"/>
              <w:rPr>
                <w:rFonts w:eastAsia="Times New Roman"/>
                <w:color w:val="auto"/>
                <w:sz w:val="22"/>
                <w:lang w:val="es-ES"/>
              </w:rPr>
            </w:pPr>
            <w:r>
              <w:rPr>
                <w:rFonts w:eastAsia="Times New Roman"/>
                <w:color w:val="auto"/>
                <w:sz w:val="22"/>
                <w:lang w:val="es-ES"/>
              </w:rPr>
              <w:t>1</w:t>
            </w:r>
          </w:p>
        </w:tc>
        <w:tc>
          <w:tcPr>
            <w:tcW w:w="3290" w:type="dxa"/>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614A7A" w:rsidRPr="00000FB4" w:rsidRDefault="00612874" w:rsidP="00EC3CDD">
            <w:pPr>
              <w:widowControl/>
              <w:adjustRightInd/>
              <w:spacing w:before="120" w:after="120" w:line="240" w:lineRule="auto"/>
              <w:ind w:right="144"/>
              <w:jc w:val="left"/>
              <w:textAlignment w:val="auto"/>
              <w:rPr>
                <w:rFonts w:eastAsia="Arial Unicode MS"/>
                <w:b/>
                <w:i/>
                <w:color w:val="auto"/>
                <w:sz w:val="20"/>
                <w:szCs w:val="20"/>
                <w:lang w:val="es-ES"/>
              </w:rPr>
            </w:pPr>
            <w:r>
              <w:rPr>
                <w:rFonts w:eastAsia="Arial Unicode MS"/>
                <w:b/>
                <w:i/>
                <w:color w:val="auto"/>
                <w:sz w:val="20"/>
                <w:szCs w:val="20"/>
                <w:lang w:val="es-ES"/>
              </w:rPr>
              <w:lastRenderedPageBreak/>
              <w:t xml:space="preserve">Medio de verificación: </w:t>
            </w:r>
            <w:r w:rsidRPr="00612874">
              <w:rPr>
                <w:rFonts w:eastAsia="Arial Unicode MS"/>
                <w:color w:val="auto"/>
                <w:sz w:val="20"/>
                <w:szCs w:val="20"/>
                <w:lang w:val="es-ES"/>
              </w:rPr>
              <w:t>Matriz de verificables</w:t>
            </w:r>
          </w:p>
        </w:tc>
      </w:tr>
    </w:tbl>
    <w:p w:rsidR="00E83BD6" w:rsidRPr="00E929DC" w:rsidRDefault="00E83BD6" w:rsidP="003252C6">
      <w:pPr>
        <w:widowControl/>
        <w:adjustRightInd/>
        <w:spacing w:line="240" w:lineRule="auto"/>
        <w:textAlignment w:val="auto"/>
        <w:rPr>
          <w:rFonts w:eastAsia="Times New Roman"/>
          <w:color w:val="auto"/>
          <w:sz w:val="22"/>
          <w:lang w:val="es-ES"/>
        </w:rPr>
      </w:pPr>
    </w:p>
    <w:sectPr w:rsidR="00E83BD6" w:rsidRPr="00E929DC" w:rsidSect="001B6E79">
      <w:headerReference w:type="default" r:id="rId10"/>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359" w:rsidRDefault="00880359" w:rsidP="001B6E79">
      <w:pPr>
        <w:spacing w:line="240" w:lineRule="auto"/>
      </w:pPr>
      <w:r>
        <w:separator/>
      </w:r>
    </w:p>
  </w:endnote>
  <w:endnote w:type="continuationSeparator" w:id="0">
    <w:p w:rsidR="00880359" w:rsidRDefault="00880359" w:rsidP="001B6E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4E"/>
    <w:family w:val="auto"/>
    <w:pitch w:val="variable"/>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TimesNewRomanPS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359" w:rsidRDefault="00880359" w:rsidP="001B6E79">
      <w:pPr>
        <w:spacing w:line="240" w:lineRule="auto"/>
      </w:pPr>
      <w:r>
        <w:separator/>
      </w:r>
    </w:p>
  </w:footnote>
  <w:footnote w:type="continuationSeparator" w:id="0">
    <w:p w:rsidR="00880359" w:rsidRDefault="00880359" w:rsidP="001B6E7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53097"/>
      <w:docPartObj>
        <w:docPartGallery w:val="Page Numbers (Top of Page)"/>
        <w:docPartUnique/>
      </w:docPartObj>
    </w:sdtPr>
    <w:sdtEndPr/>
    <w:sdtContent>
      <w:p w:rsidR="00880359" w:rsidRDefault="00880359" w:rsidP="00114D99">
        <w:pPr>
          <w:pStyle w:val="Header"/>
          <w:jc w:val="right"/>
        </w:pPr>
        <w:r>
          <w:t>PE-L1138</w:t>
        </w:r>
      </w:p>
      <w:p w:rsidR="00880359" w:rsidRDefault="00880359" w:rsidP="00114D99">
        <w:pPr>
          <w:pStyle w:val="Header"/>
          <w:jc w:val="right"/>
        </w:pPr>
        <w:r w:rsidRPr="00B13BE0">
          <w:t xml:space="preserve">Página </w:t>
        </w:r>
        <w:r w:rsidRPr="00B13BE0">
          <w:fldChar w:fldCharType="begin"/>
        </w:r>
        <w:r w:rsidRPr="00B13BE0">
          <w:instrText xml:space="preserve"> PAGE </w:instrText>
        </w:r>
        <w:r w:rsidRPr="00B13BE0">
          <w:fldChar w:fldCharType="separate"/>
        </w:r>
        <w:r w:rsidR="00EF7BA5">
          <w:rPr>
            <w:noProof/>
          </w:rPr>
          <w:t>1</w:t>
        </w:r>
        <w:r w:rsidRPr="00B13BE0">
          <w:fldChar w:fldCharType="end"/>
        </w:r>
        <w:r w:rsidRPr="00B13BE0">
          <w:t xml:space="preserve"> de </w:t>
        </w:r>
        <w:r w:rsidR="00EF7BA5">
          <w:fldChar w:fldCharType="begin"/>
        </w:r>
        <w:r w:rsidR="00EF7BA5">
          <w:instrText xml:space="preserve"> NUMPAGES  </w:instrText>
        </w:r>
        <w:r w:rsidR="00EF7BA5">
          <w:fldChar w:fldCharType="separate"/>
        </w:r>
        <w:r w:rsidR="00EF7BA5">
          <w:rPr>
            <w:noProof/>
          </w:rPr>
          <w:t>24</w:t>
        </w:r>
        <w:r w:rsidR="00EF7BA5">
          <w:rPr>
            <w:noProof/>
          </w:rPr>
          <w:fldChar w:fldCharType="end"/>
        </w:r>
      </w:p>
    </w:sdtContent>
  </w:sdt>
  <w:p w:rsidR="00880359" w:rsidRDefault="00880359">
    <w:pPr>
      <w:pStyle w:val="Header"/>
    </w:pPr>
  </w:p>
  <w:p w:rsidR="00880359" w:rsidRDefault="008803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51B9"/>
    <w:multiLevelType w:val="hybridMultilevel"/>
    <w:tmpl w:val="F2AA1294"/>
    <w:lvl w:ilvl="0" w:tplc="D2E663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6069C3"/>
    <w:multiLevelType w:val="multilevel"/>
    <w:tmpl w:val="3CC23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816756"/>
    <w:multiLevelType w:val="hybridMultilevel"/>
    <w:tmpl w:val="F8E282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B05E53"/>
    <w:multiLevelType w:val="hybridMultilevel"/>
    <w:tmpl w:val="E33279CE"/>
    <w:lvl w:ilvl="0" w:tplc="355A16C0">
      <w:start w:val="1"/>
      <w:numFmt w:val="lowerLetter"/>
      <w:lvlText w:val="%1."/>
      <w:lvlJc w:val="left"/>
      <w:pPr>
        <w:ind w:left="720" w:hanging="360"/>
      </w:pPr>
      <w:rPr>
        <w:rFonts w:eastAsia="Times New Roman" w:hint="default"/>
        <w:color w:val="auto"/>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0BE5784"/>
    <w:multiLevelType w:val="hybridMultilevel"/>
    <w:tmpl w:val="08504246"/>
    <w:lvl w:ilvl="0" w:tplc="0A5A638A">
      <w:start w:val="1"/>
      <w:numFmt w:val="lowerLetter"/>
      <w:lvlText w:val="%1."/>
      <w:lvlJc w:val="left"/>
      <w:pPr>
        <w:ind w:left="153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26357AE"/>
    <w:multiLevelType w:val="hybridMultilevel"/>
    <w:tmpl w:val="4A58A50C"/>
    <w:lvl w:ilvl="0" w:tplc="0C0A0019">
      <w:start w:val="1"/>
      <w:numFmt w:val="lowerLetter"/>
      <w:lvlText w:val="%1."/>
      <w:lvlJc w:val="left"/>
      <w:pPr>
        <w:ind w:left="720" w:hanging="360"/>
      </w:pPr>
      <w:rPr>
        <w:rFonts w:hint="default"/>
      </w:rPr>
    </w:lvl>
    <w:lvl w:ilvl="1" w:tplc="6680B240">
      <w:start w:val="1"/>
      <w:numFmt w:val="lowerRoman"/>
      <w:lvlText w:val="(%2)"/>
      <w:lvlJc w:val="left"/>
      <w:pPr>
        <w:ind w:left="1440" w:hanging="360"/>
      </w:pPr>
      <w:rPr>
        <w:rFonts w:hint="default"/>
        <w:sz w:val="16"/>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2717405"/>
    <w:multiLevelType w:val="hybridMultilevel"/>
    <w:tmpl w:val="194AA88A"/>
    <w:lvl w:ilvl="0" w:tplc="2F4E3DBE">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1352AF"/>
    <w:multiLevelType w:val="hybridMultilevel"/>
    <w:tmpl w:val="82C8C060"/>
    <w:lvl w:ilvl="0" w:tplc="747ADCFE">
      <w:start w:val="19"/>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07311F"/>
    <w:multiLevelType w:val="hybridMultilevel"/>
    <w:tmpl w:val="AEDCBEF4"/>
    <w:lvl w:ilvl="0" w:tplc="481E319C">
      <w:start w:val="1"/>
      <w:numFmt w:val="lowerLetter"/>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D281B8E"/>
    <w:multiLevelType w:val="hybridMultilevel"/>
    <w:tmpl w:val="A290E02E"/>
    <w:lvl w:ilvl="0" w:tplc="4D40E578">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0F72324"/>
    <w:multiLevelType w:val="hybridMultilevel"/>
    <w:tmpl w:val="AE5C945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BF5663C"/>
    <w:multiLevelType w:val="hybridMultilevel"/>
    <w:tmpl w:val="50AE7A78"/>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E2856DE"/>
    <w:multiLevelType w:val="hybridMultilevel"/>
    <w:tmpl w:val="D3E209E2"/>
    <w:lvl w:ilvl="0" w:tplc="557617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8A7516"/>
    <w:multiLevelType w:val="hybridMultilevel"/>
    <w:tmpl w:val="255A54E4"/>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4">
    <w:nsid w:val="4A5B5052"/>
    <w:multiLevelType w:val="hybridMultilevel"/>
    <w:tmpl w:val="C39857E2"/>
    <w:lvl w:ilvl="0" w:tplc="08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CDA7EBB"/>
    <w:multiLevelType w:val="hybridMultilevel"/>
    <w:tmpl w:val="421CA8A0"/>
    <w:lvl w:ilvl="0" w:tplc="08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5904E12"/>
    <w:multiLevelType w:val="hybridMultilevel"/>
    <w:tmpl w:val="B4E6724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939230A"/>
    <w:multiLevelType w:val="hybridMultilevel"/>
    <w:tmpl w:val="4A58A50C"/>
    <w:lvl w:ilvl="0" w:tplc="0C0A0019">
      <w:start w:val="1"/>
      <w:numFmt w:val="lowerLetter"/>
      <w:lvlText w:val="%1."/>
      <w:lvlJc w:val="left"/>
      <w:pPr>
        <w:ind w:left="720" w:hanging="360"/>
      </w:pPr>
      <w:rPr>
        <w:rFonts w:hint="default"/>
      </w:rPr>
    </w:lvl>
    <w:lvl w:ilvl="1" w:tplc="6680B240">
      <w:start w:val="1"/>
      <w:numFmt w:val="lowerRoman"/>
      <w:lvlText w:val="(%2)"/>
      <w:lvlJc w:val="left"/>
      <w:pPr>
        <w:ind w:left="1440" w:hanging="360"/>
      </w:pPr>
      <w:rPr>
        <w:rFonts w:hint="default"/>
        <w:sz w:val="16"/>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BA21E3"/>
    <w:multiLevelType w:val="hybridMultilevel"/>
    <w:tmpl w:val="EA5ED7B2"/>
    <w:lvl w:ilvl="0" w:tplc="4C56DB8A">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85219F"/>
    <w:multiLevelType w:val="hybridMultilevel"/>
    <w:tmpl w:val="ED1CDB1C"/>
    <w:lvl w:ilvl="0" w:tplc="64AE018C">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8B52E4F"/>
    <w:multiLevelType w:val="hybridMultilevel"/>
    <w:tmpl w:val="B62C3CD8"/>
    <w:lvl w:ilvl="0" w:tplc="8C62F5BC">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3C260B"/>
    <w:multiLevelType w:val="hybridMultilevel"/>
    <w:tmpl w:val="DE3AD8C4"/>
    <w:lvl w:ilvl="0" w:tplc="0C0A0019">
      <w:start w:val="1"/>
      <w:numFmt w:val="lowerLetter"/>
      <w:lvlText w:val="%1."/>
      <w:lvlJc w:val="left"/>
      <w:pPr>
        <w:ind w:left="720" w:hanging="360"/>
      </w:pPr>
      <w:rPr>
        <w:rFonts w:eastAsia="Times New Roman"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D6D2B3D"/>
    <w:multiLevelType w:val="hybridMultilevel"/>
    <w:tmpl w:val="8E409D98"/>
    <w:lvl w:ilvl="0" w:tplc="16622A2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29478FA"/>
    <w:multiLevelType w:val="hybridMultilevel"/>
    <w:tmpl w:val="B838ECC0"/>
    <w:lvl w:ilvl="0" w:tplc="227435FC">
      <w:start w:val="1"/>
      <w:numFmt w:val="lowerLetter"/>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76920893"/>
    <w:multiLevelType w:val="hybridMultilevel"/>
    <w:tmpl w:val="287A3124"/>
    <w:lvl w:ilvl="0" w:tplc="7124E1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4D26E9"/>
    <w:multiLevelType w:val="hybridMultilevel"/>
    <w:tmpl w:val="DEC4AA6E"/>
    <w:lvl w:ilvl="0" w:tplc="08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EC174D2"/>
    <w:multiLevelType w:val="hybridMultilevel"/>
    <w:tmpl w:val="CF128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26"/>
  </w:num>
  <w:num w:numId="5">
    <w:abstractNumId w:val="13"/>
  </w:num>
  <w:num w:numId="6">
    <w:abstractNumId w:val="2"/>
  </w:num>
  <w:num w:numId="7">
    <w:abstractNumId w:val="23"/>
  </w:num>
  <w:num w:numId="8">
    <w:abstractNumId w:val="4"/>
  </w:num>
  <w:num w:numId="9">
    <w:abstractNumId w:val="25"/>
  </w:num>
  <w:num w:numId="10">
    <w:abstractNumId w:val="20"/>
  </w:num>
  <w:num w:numId="11">
    <w:abstractNumId w:val="15"/>
  </w:num>
  <w:num w:numId="12">
    <w:abstractNumId w:val="9"/>
  </w:num>
  <w:num w:numId="13">
    <w:abstractNumId w:val="12"/>
  </w:num>
  <w:num w:numId="14">
    <w:abstractNumId w:val="22"/>
  </w:num>
  <w:num w:numId="15">
    <w:abstractNumId w:val="19"/>
  </w:num>
  <w:num w:numId="16">
    <w:abstractNumId w:val="0"/>
  </w:num>
  <w:num w:numId="17">
    <w:abstractNumId w:val="16"/>
  </w:num>
  <w:num w:numId="18">
    <w:abstractNumId w:val="21"/>
  </w:num>
  <w:num w:numId="19">
    <w:abstractNumId w:val="6"/>
  </w:num>
  <w:num w:numId="20">
    <w:abstractNumId w:val="3"/>
  </w:num>
  <w:num w:numId="21">
    <w:abstractNumId w:val="11"/>
  </w:num>
  <w:num w:numId="22">
    <w:abstractNumId w:val="24"/>
  </w:num>
  <w:num w:numId="23">
    <w:abstractNumId w:val="17"/>
  </w:num>
  <w:num w:numId="24">
    <w:abstractNumId w:val="10"/>
  </w:num>
  <w:num w:numId="25">
    <w:abstractNumId w:val="5"/>
  </w:num>
  <w:num w:numId="26">
    <w:abstractNumId w:val="14"/>
  </w:num>
  <w:num w:numId="27">
    <w:abstractNumId w:val="8"/>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E79"/>
    <w:rsid w:val="00000FB4"/>
    <w:rsid w:val="000054D8"/>
    <w:rsid w:val="00012954"/>
    <w:rsid w:val="00015092"/>
    <w:rsid w:val="000151CE"/>
    <w:rsid w:val="00022FE0"/>
    <w:rsid w:val="000250A3"/>
    <w:rsid w:val="00025297"/>
    <w:rsid w:val="00030256"/>
    <w:rsid w:val="00030C0A"/>
    <w:rsid w:val="000470A1"/>
    <w:rsid w:val="000629AE"/>
    <w:rsid w:val="0006786B"/>
    <w:rsid w:val="00070A42"/>
    <w:rsid w:val="000776F1"/>
    <w:rsid w:val="00081EB9"/>
    <w:rsid w:val="00096BF8"/>
    <w:rsid w:val="000976AA"/>
    <w:rsid w:val="000B1DE1"/>
    <w:rsid w:val="000B7C48"/>
    <w:rsid w:val="000C07DB"/>
    <w:rsid w:val="000C0C46"/>
    <w:rsid w:val="000C3A99"/>
    <w:rsid w:val="000D03B9"/>
    <w:rsid w:val="000D70B3"/>
    <w:rsid w:val="000E535F"/>
    <w:rsid w:val="000F105B"/>
    <w:rsid w:val="000F14BB"/>
    <w:rsid w:val="000F5B78"/>
    <w:rsid w:val="000F7EC6"/>
    <w:rsid w:val="0010091C"/>
    <w:rsid w:val="001018DD"/>
    <w:rsid w:val="00101B64"/>
    <w:rsid w:val="001073D6"/>
    <w:rsid w:val="00110807"/>
    <w:rsid w:val="00114D99"/>
    <w:rsid w:val="0012050B"/>
    <w:rsid w:val="001246AC"/>
    <w:rsid w:val="00127892"/>
    <w:rsid w:val="001337E2"/>
    <w:rsid w:val="0013456D"/>
    <w:rsid w:val="00157721"/>
    <w:rsid w:val="00174849"/>
    <w:rsid w:val="001825B0"/>
    <w:rsid w:val="00183486"/>
    <w:rsid w:val="00183D42"/>
    <w:rsid w:val="00185207"/>
    <w:rsid w:val="00190139"/>
    <w:rsid w:val="00190F70"/>
    <w:rsid w:val="001910DF"/>
    <w:rsid w:val="0019403F"/>
    <w:rsid w:val="001963FF"/>
    <w:rsid w:val="00197BAE"/>
    <w:rsid w:val="001A017E"/>
    <w:rsid w:val="001A0398"/>
    <w:rsid w:val="001A167A"/>
    <w:rsid w:val="001B01FF"/>
    <w:rsid w:val="001B43E3"/>
    <w:rsid w:val="001B6E79"/>
    <w:rsid w:val="001C1D35"/>
    <w:rsid w:val="001C342A"/>
    <w:rsid w:val="001C3E0E"/>
    <w:rsid w:val="001C5D58"/>
    <w:rsid w:val="001D2F26"/>
    <w:rsid w:val="001E2EF5"/>
    <w:rsid w:val="001E7620"/>
    <w:rsid w:val="00200C06"/>
    <w:rsid w:val="00202BB5"/>
    <w:rsid w:val="002040D2"/>
    <w:rsid w:val="00221F8D"/>
    <w:rsid w:val="00230159"/>
    <w:rsid w:val="002324E5"/>
    <w:rsid w:val="00233025"/>
    <w:rsid w:val="00237BEC"/>
    <w:rsid w:val="00247C97"/>
    <w:rsid w:val="00250183"/>
    <w:rsid w:val="002507D0"/>
    <w:rsid w:val="00250A33"/>
    <w:rsid w:val="0025210C"/>
    <w:rsid w:val="00253409"/>
    <w:rsid w:val="00255E3E"/>
    <w:rsid w:val="002727CF"/>
    <w:rsid w:val="00277988"/>
    <w:rsid w:val="00280CF3"/>
    <w:rsid w:val="00285070"/>
    <w:rsid w:val="002871E0"/>
    <w:rsid w:val="0028745C"/>
    <w:rsid w:val="0029446E"/>
    <w:rsid w:val="0029534B"/>
    <w:rsid w:val="002A02FD"/>
    <w:rsid w:val="002A37A0"/>
    <w:rsid w:val="002A4A08"/>
    <w:rsid w:val="002C0207"/>
    <w:rsid w:val="002C7D7A"/>
    <w:rsid w:val="002D5518"/>
    <w:rsid w:val="002D784A"/>
    <w:rsid w:val="002E2888"/>
    <w:rsid w:val="002E43DE"/>
    <w:rsid w:val="002E55AF"/>
    <w:rsid w:val="002F171B"/>
    <w:rsid w:val="002F641E"/>
    <w:rsid w:val="002F7B1B"/>
    <w:rsid w:val="00301D90"/>
    <w:rsid w:val="00303BD6"/>
    <w:rsid w:val="00304FEC"/>
    <w:rsid w:val="00314FD9"/>
    <w:rsid w:val="0031582F"/>
    <w:rsid w:val="0031621B"/>
    <w:rsid w:val="003172B3"/>
    <w:rsid w:val="00317C03"/>
    <w:rsid w:val="00323955"/>
    <w:rsid w:val="003252C6"/>
    <w:rsid w:val="00330D9C"/>
    <w:rsid w:val="003402C1"/>
    <w:rsid w:val="00343EA1"/>
    <w:rsid w:val="003512C3"/>
    <w:rsid w:val="00351858"/>
    <w:rsid w:val="00356C1E"/>
    <w:rsid w:val="00357991"/>
    <w:rsid w:val="0036175D"/>
    <w:rsid w:val="00367F5F"/>
    <w:rsid w:val="00370356"/>
    <w:rsid w:val="00371316"/>
    <w:rsid w:val="003764B5"/>
    <w:rsid w:val="003802F2"/>
    <w:rsid w:val="003806CB"/>
    <w:rsid w:val="00384120"/>
    <w:rsid w:val="003852CB"/>
    <w:rsid w:val="003A202C"/>
    <w:rsid w:val="003A4F20"/>
    <w:rsid w:val="003C2269"/>
    <w:rsid w:val="003E02CB"/>
    <w:rsid w:val="003E257D"/>
    <w:rsid w:val="003F14D7"/>
    <w:rsid w:val="003F20EA"/>
    <w:rsid w:val="003F35B3"/>
    <w:rsid w:val="003F4ECF"/>
    <w:rsid w:val="00407EAE"/>
    <w:rsid w:val="00412733"/>
    <w:rsid w:val="00413D7E"/>
    <w:rsid w:val="00421AF5"/>
    <w:rsid w:val="004270B8"/>
    <w:rsid w:val="00436A3D"/>
    <w:rsid w:val="004453D3"/>
    <w:rsid w:val="00451871"/>
    <w:rsid w:val="00452ABB"/>
    <w:rsid w:val="004601C3"/>
    <w:rsid w:val="0046417E"/>
    <w:rsid w:val="0047553B"/>
    <w:rsid w:val="0048575C"/>
    <w:rsid w:val="00490134"/>
    <w:rsid w:val="00495BFB"/>
    <w:rsid w:val="004A0341"/>
    <w:rsid w:val="004A2BB8"/>
    <w:rsid w:val="004B116E"/>
    <w:rsid w:val="004B2719"/>
    <w:rsid w:val="004B34F9"/>
    <w:rsid w:val="004B6550"/>
    <w:rsid w:val="004C7C76"/>
    <w:rsid w:val="004D5774"/>
    <w:rsid w:val="004E2DD8"/>
    <w:rsid w:val="004E4C5C"/>
    <w:rsid w:val="004F4E17"/>
    <w:rsid w:val="004F6110"/>
    <w:rsid w:val="004F77B5"/>
    <w:rsid w:val="00504714"/>
    <w:rsid w:val="005230B0"/>
    <w:rsid w:val="005303FA"/>
    <w:rsid w:val="00541CF5"/>
    <w:rsid w:val="00542226"/>
    <w:rsid w:val="005504A2"/>
    <w:rsid w:val="00550715"/>
    <w:rsid w:val="00551239"/>
    <w:rsid w:val="00564466"/>
    <w:rsid w:val="005670E9"/>
    <w:rsid w:val="00575E03"/>
    <w:rsid w:val="00587FA4"/>
    <w:rsid w:val="005A5171"/>
    <w:rsid w:val="005B06D5"/>
    <w:rsid w:val="005B2C2E"/>
    <w:rsid w:val="005B4992"/>
    <w:rsid w:val="005B4B72"/>
    <w:rsid w:val="005B764C"/>
    <w:rsid w:val="005C5B29"/>
    <w:rsid w:val="005C6E29"/>
    <w:rsid w:val="005C7783"/>
    <w:rsid w:val="005D2843"/>
    <w:rsid w:val="005E70F6"/>
    <w:rsid w:val="005E7670"/>
    <w:rsid w:val="005F0D61"/>
    <w:rsid w:val="005F55B3"/>
    <w:rsid w:val="00600A2D"/>
    <w:rsid w:val="00602A8D"/>
    <w:rsid w:val="00607391"/>
    <w:rsid w:val="006100D9"/>
    <w:rsid w:val="00612874"/>
    <w:rsid w:val="00614A7A"/>
    <w:rsid w:val="00632C2F"/>
    <w:rsid w:val="00633084"/>
    <w:rsid w:val="0063579A"/>
    <w:rsid w:val="00645A05"/>
    <w:rsid w:val="006466FC"/>
    <w:rsid w:val="00647463"/>
    <w:rsid w:val="00650607"/>
    <w:rsid w:val="00650E96"/>
    <w:rsid w:val="006510A9"/>
    <w:rsid w:val="00653378"/>
    <w:rsid w:val="0065643A"/>
    <w:rsid w:val="00671578"/>
    <w:rsid w:val="00682658"/>
    <w:rsid w:val="006837DD"/>
    <w:rsid w:val="00684015"/>
    <w:rsid w:val="006A183A"/>
    <w:rsid w:val="006A5AF4"/>
    <w:rsid w:val="006B54DB"/>
    <w:rsid w:val="006B6FD9"/>
    <w:rsid w:val="006C2582"/>
    <w:rsid w:val="006C54C0"/>
    <w:rsid w:val="006C59C0"/>
    <w:rsid w:val="006C605B"/>
    <w:rsid w:val="006C6D09"/>
    <w:rsid w:val="006D0170"/>
    <w:rsid w:val="006D01ED"/>
    <w:rsid w:val="006D0C29"/>
    <w:rsid w:val="006D263E"/>
    <w:rsid w:val="006D551A"/>
    <w:rsid w:val="006E383A"/>
    <w:rsid w:val="006E5331"/>
    <w:rsid w:val="006E775F"/>
    <w:rsid w:val="006F3911"/>
    <w:rsid w:val="007048B1"/>
    <w:rsid w:val="00706197"/>
    <w:rsid w:val="0070798D"/>
    <w:rsid w:val="00710643"/>
    <w:rsid w:val="0072046F"/>
    <w:rsid w:val="00727FF8"/>
    <w:rsid w:val="007339F9"/>
    <w:rsid w:val="007370FC"/>
    <w:rsid w:val="00747A59"/>
    <w:rsid w:val="00751D12"/>
    <w:rsid w:val="00755256"/>
    <w:rsid w:val="00762289"/>
    <w:rsid w:val="00766571"/>
    <w:rsid w:val="00771451"/>
    <w:rsid w:val="0077153C"/>
    <w:rsid w:val="00782F3B"/>
    <w:rsid w:val="00792994"/>
    <w:rsid w:val="00796296"/>
    <w:rsid w:val="007973A7"/>
    <w:rsid w:val="007A113C"/>
    <w:rsid w:val="007A512F"/>
    <w:rsid w:val="007A51F1"/>
    <w:rsid w:val="007C7818"/>
    <w:rsid w:val="007D1AC6"/>
    <w:rsid w:val="007D470F"/>
    <w:rsid w:val="007E03D5"/>
    <w:rsid w:val="007E449E"/>
    <w:rsid w:val="007E50D9"/>
    <w:rsid w:val="007E544B"/>
    <w:rsid w:val="00802240"/>
    <w:rsid w:val="008114F4"/>
    <w:rsid w:val="00815FCE"/>
    <w:rsid w:val="00817CCB"/>
    <w:rsid w:val="008239FD"/>
    <w:rsid w:val="00826033"/>
    <w:rsid w:val="0083201A"/>
    <w:rsid w:val="00832148"/>
    <w:rsid w:val="00837377"/>
    <w:rsid w:val="008401FB"/>
    <w:rsid w:val="00841B2A"/>
    <w:rsid w:val="00841EA5"/>
    <w:rsid w:val="00843D78"/>
    <w:rsid w:val="0084441B"/>
    <w:rsid w:val="00853B34"/>
    <w:rsid w:val="00862ADE"/>
    <w:rsid w:val="008632F8"/>
    <w:rsid w:val="008705E0"/>
    <w:rsid w:val="00875EBE"/>
    <w:rsid w:val="00877EA1"/>
    <w:rsid w:val="00880359"/>
    <w:rsid w:val="00891561"/>
    <w:rsid w:val="00892E0B"/>
    <w:rsid w:val="00894264"/>
    <w:rsid w:val="00896037"/>
    <w:rsid w:val="008B3E3B"/>
    <w:rsid w:val="008C2911"/>
    <w:rsid w:val="008C6F26"/>
    <w:rsid w:val="008D0C61"/>
    <w:rsid w:val="008D471E"/>
    <w:rsid w:val="008D6A13"/>
    <w:rsid w:val="008E5A5E"/>
    <w:rsid w:val="008F5C49"/>
    <w:rsid w:val="008F7F6B"/>
    <w:rsid w:val="00902D7C"/>
    <w:rsid w:val="00911A29"/>
    <w:rsid w:val="009153CE"/>
    <w:rsid w:val="00915536"/>
    <w:rsid w:val="00915CA6"/>
    <w:rsid w:val="009173E2"/>
    <w:rsid w:val="0092466F"/>
    <w:rsid w:val="00926AD2"/>
    <w:rsid w:val="00927C57"/>
    <w:rsid w:val="009350AA"/>
    <w:rsid w:val="009415B4"/>
    <w:rsid w:val="00950DE2"/>
    <w:rsid w:val="00955DD2"/>
    <w:rsid w:val="00964532"/>
    <w:rsid w:val="00965E87"/>
    <w:rsid w:val="00970944"/>
    <w:rsid w:val="00971D68"/>
    <w:rsid w:val="00976A9E"/>
    <w:rsid w:val="009A1A96"/>
    <w:rsid w:val="009A24BA"/>
    <w:rsid w:val="009A380A"/>
    <w:rsid w:val="009B7D91"/>
    <w:rsid w:val="009C0093"/>
    <w:rsid w:val="009C400A"/>
    <w:rsid w:val="009C7005"/>
    <w:rsid w:val="009E084D"/>
    <w:rsid w:val="009E46B0"/>
    <w:rsid w:val="009E6B53"/>
    <w:rsid w:val="009F12BE"/>
    <w:rsid w:val="009F4379"/>
    <w:rsid w:val="009F6AA6"/>
    <w:rsid w:val="00A02657"/>
    <w:rsid w:val="00A02D5C"/>
    <w:rsid w:val="00A05234"/>
    <w:rsid w:val="00A05901"/>
    <w:rsid w:val="00A13F84"/>
    <w:rsid w:val="00A222E3"/>
    <w:rsid w:val="00A26109"/>
    <w:rsid w:val="00A263EA"/>
    <w:rsid w:val="00A354B7"/>
    <w:rsid w:val="00A435EA"/>
    <w:rsid w:val="00A43C50"/>
    <w:rsid w:val="00A4706E"/>
    <w:rsid w:val="00A4731F"/>
    <w:rsid w:val="00A4739D"/>
    <w:rsid w:val="00A5122F"/>
    <w:rsid w:val="00A52C97"/>
    <w:rsid w:val="00A572D6"/>
    <w:rsid w:val="00A614B7"/>
    <w:rsid w:val="00A632F9"/>
    <w:rsid w:val="00A640CE"/>
    <w:rsid w:val="00A72022"/>
    <w:rsid w:val="00A72D9B"/>
    <w:rsid w:val="00A76F58"/>
    <w:rsid w:val="00A866B3"/>
    <w:rsid w:val="00A935DE"/>
    <w:rsid w:val="00A94499"/>
    <w:rsid w:val="00AA596B"/>
    <w:rsid w:val="00AB02A7"/>
    <w:rsid w:val="00AB3268"/>
    <w:rsid w:val="00AB3A50"/>
    <w:rsid w:val="00AC6F7F"/>
    <w:rsid w:val="00AD1F1D"/>
    <w:rsid w:val="00AD22EC"/>
    <w:rsid w:val="00AD6655"/>
    <w:rsid w:val="00AD720F"/>
    <w:rsid w:val="00AE0FAE"/>
    <w:rsid w:val="00AE21F2"/>
    <w:rsid w:val="00AE3C29"/>
    <w:rsid w:val="00AF2D0A"/>
    <w:rsid w:val="00AF58F6"/>
    <w:rsid w:val="00B0133B"/>
    <w:rsid w:val="00B07F74"/>
    <w:rsid w:val="00B10C40"/>
    <w:rsid w:val="00B111C0"/>
    <w:rsid w:val="00B130C7"/>
    <w:rsid w:val="00B13BE0"/>
    <w:rsid w:val="00B177E7"/>
    <w:rsid w:val="00B21A82"/>
    <w:rsid w:val="00B2353C"/>
    <w:rsid w:val="00B306BF"/>
    <w:rsid w:val="00B35C31"/>
    <w:rsid w:val="00B402EA"/>
    <w:rsid w:val="00B4339C"/>
    <w:rsid w:val="00B53A3D"/>
    <w:rsid w:val="00B54385"/>
    <w:rsid w:val="00B55C6C"/>
    <w:rsid w:val="00B61BD8"/>
    <w:rsid w:val="00B6257B"/>
    <w:rsid w:val="00B63BE1"/>
    <w:rsid w:val="00B65CAA"/>
    <w:rsid w:val="00B668E0"/>
    <w:rsid w:val="00B70E64"/>
    <w:rsid w:val="00B7572F"/>
    <w:rsid w:val="00B83C6C"/>
    <w:rsid w:val="00BA0906"/>
    <w:rsid w:val="00BA2086"/>
    <w:rsid w:val="00BA2F23"/>
    <w:rsid w:val="00BA7F88"/>
    <w:rsid w:val="00BB534A"/>
    <w:rsid w:val="00BB70FF"/>
    <w:rsid w:val="00BC2583"/>
    <w:rsid w:val="00BC4156"/>
    <w:rsid w:val="00BD0F5D"/>
    <w:rsid w:val="00BE71CA"/>
    <w:rsid w:val="00BF344C"/>
    <w:rsid w:val="00C018B2"/>
    <w:rsid w:val="00C05771"/>
    <w:rsid w:val="00C11B54"/>
    <w:rsid w:val="00C13CA3"/>
    <w:rsid w:val="00C20F7B"/>
    <w:rsid w:val="00C216AA"/>
    <w:rsid w:val="00C24308"/>
    <w:rsid w:val="00C3167F"/>
    <w:rsid w:val="00C404D2"/>
    <w:rsid w:val="00C4357D"/>
    <w:rsid w:val="00C43B26"/>
    <w:rsid w:val="00C45535"/>
    <w:rsid w:val="00C47E8C"/>
    <w:rsid w:val="00C51975"/>
    <w:rsid w:val="00C51F06"/>
    <w:rsid w:val="00C563BC"/>
    <w:rsid w:val="00C6001A"/>
    <w:rsid w:val="00C622B4"/>
    <w:rsid w:val="00C665ED"/>
    <w:rsid w:val="00C70C47"/>
    <w:rsid w:val="00C725C3"/>
    <w:rsid w:val="00C7627B"/>
    <w:rsid w:val="00C81B0C"/>
    <w:rsid w:val="00C83863"/>
    <w:rsid w:val="00C84809"/>
    <w:rsid w:val="00C93718"/>
    <w:rsid w:val="00C94EB9"/>
    <w:rsid w:val="00C95E60"/>
    <w:rsid w:val="00CA01CB"/>
    <w:rsid w:val="00CA04B8"/>
    <w:rsid w:val="00CA6F9B"/>
    <w:rsid w:val="00CB54ED"/>
    <w:rsid w:val="00CB6132"/>
    <w:rsid w:val="00CC122E"/>
    <w:rsid w:val="00CC1456"/>
    <w:rsid w:val="00CD37C4"/>
    <w:rsid w:val="00CD7325"/>
    <w:rsid w:val="00CE3BA4"/>
    <w:rsid w:val="00CE7D82"/>
    <w:rsid w:val="00CF0DC9"/>
    <w:rsid w:val="00CF1F83"/>
    <w:rsid w:val="00CF4F4F"/>
    <w:rsid w:val="00CF63F8"/>
    <w:rsid w:val="00D0324A"/>
    <w:rsid w:val="00D054D5"/>
    <w:rsid w:val="00D10995"/>
    <w:rsid w:val="00D22FCF"/>
    <w:rsid w:val="00D24C3F"/>
    <w:rsid w:val="00D34B15"/>
    <w:rsid w:val="00D37C5A"/>
    <w:rsid w:val="00D45B66"/>
    <w:rsid w:val="00D50677"/>
    <w:rsid w:val="00D52102"/>
    <w:rsid w:val="00D549D1"/>
    <w:rsid w:val="00D61732"/>
    <w:rsid w:val="00D619DA"/>
    <w:rsid w:val="00D6427D"/>
    <w:rsid w:val="00D64280"/>
    <w:rsid w:val="00D80E15"/>
    <w:rsid w:val="00D80E34"/>
    <w:rsid w:val="00D827E4"/>
    <w:rsid w:val="00D82816"/>
    <w:rsid w:val="00D82AD1"/>
    <w:rsid w:val="00D90B79"/>
    <w:rsid w:val="00D95300"/>
    <w:rsid w:val="00D9653C"/>
    <w:rsid w:val="00D97A50"/>
    <w:rsid w:val="00DB5127"/>
    <w:rsid w:val="00DB7673"/>
    <w:rsid w:val="00DC4D80"/>
    <w:rsid w:val="00DC574D"/>
    <w:rsid w:val="00DD0939"/>
    <w:rsid w:val="00DD192F"/>
    <w:rsid w:val="00DD3E66"/>
    <w:rsid w:val="00DD6EE4"/>
    <w:rsid w:val="00DD76D4"/>
    <w:rsid w:val="00DF10CC"/>
    <w:rsid w:val="00DF4CF9"/>
    <w:rsid w:val="00DF5A5C"/>
    <w:rsid w:val="00DF7AA7"/>
    <w:rsid w:val="00E02B53"/>
    <w:rsid w:val="00E07302"/>
    <w:rsid w:val="00E1695E"/>
    <w:rsid w:val="00E22BEB"/>
    <w:rsid w:val="00E23700"/>
    <w:rsid w:val="00E313CD"/>
    <w:rsid w:val="00E339DF"/>
    <w:rsid w:val="00E35BC7"/>
    <w:rsid w:val="00E42A3D"/>
    <w:rsid w:val="00E438FF"/>
    <w:rsid w:val="00E47AF2"/>
    <w:rsid w:val="00E51248"/>
    <w:rsid w:val="00E5176B"/>
    <w:rsid w:val="00E519DB"/>
    <w:rsid w:val="00E5363F"/>
    <w:rsid w:val="00E55C60"/>
    <w:rsid w:val="00E56E38"/>
    <w:rsid w:val="00E67219"/>
    <w:rsid w:val="00E674B4"/>
    <w:rsid w:val="00E71441"/>
    <w:rsid w:val="00E716D0"/>
    <w:rsid w:val="00E801FC"/>
    <w:rsid w:val="00E83BD6"/>
    <w:rsid w:val="00E929DC"/>
    <w:rsid w:val="00EA0E3A"/>
    <w:rsid w:val="00EA75B8"/>
    <w:rsid w:val="00EB0658"/>
    <w:rsid w:val="00EC342E"/>
    <w:rsid w:val="00EC3CDD"/>
    <w:rsid w:val="00ED115D"/>
    <w:rsid w:val="00ED15A8"/>
    <w:rsid w:val="00EE17B6"/>
    <w:rsid w:val="00EE187E"/>
    <w:rsid w:val="00EF007F"/>
    <w:rsid w:val="00EF15C8"/>
    <w:rsid w:val="00EF7BA5"/>
    <w:rsid w:val="00F167EE"/>
    <w:rsid w:val="00F16E25"/>
    <w:rsid w:val="00F21BBC"/>
    <w:rsid w:val="00F221D8"/>
    <w:rsid w:val="00F35506"/>
    <w:rsid w:val="00F36E62"/>
    <w:rsid w:val="00F42169"/>
    <w:rsid w:val="00F47036"/>
    <w:rsid w:val="00F501A4"/>
    <w:rsid w:val="00F52A23"/>
    <w:rsid w:val="00F601DA"/>
    <w:rsid w:val="00F61DA8"/>
    <w:rsid w:val="00F66221"/>
    <w:rsid w:val="00F7213E"/>
    <w:rsid w:val="00F72804"/>
    <w:rsid w:val="00F93C47"/>
    <w:rsid w:val="00F95344"/>
    <w:rsid w:val="00F97674"/>
    <w:rsid w:val="00FB7CCA"/>
    <w:rsid w:val="00FC46BF"/>
    <w:rsid w:val="00FC73CC"/>
    <w:rsid w:val="00FD0A94"/>
    <w:rsid w:val="00FD1787"/>
    <w:rsid w:val="00FD2C36"/>
    <w:rsid w:val="00FD32B1"/>
    <w:rsid w:val="00FD7A6A"/>
    <w:rsid w:val="00FE5FFF"/>
    <w:rsid w:val="00FE6859"/>
    <w:rsid w:val="00FE6922"/>
    <w:rsid w:val="00FF1318"/>
    <w:rsid w:val="00FF18DD"/>
    <w:rsid w:val="00FF2BD5"/>
    <w:rsid w:val="00FF7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1FC"/>
    <w:pPr>
      <w:widowControl w:val="0"/>
      <w:adjustRightInd w:val="0"/>
      <w:spacing w:line="360" w:lineRule="atLeast"/>
      <w:jc w:val="both"/>
      <w:textAlignment w:val="baseline"/>
    </w:pPr>
    <w:rPr>
      <w:rFonts w:ascii="Times New Roman" w:eastAsia="ヒラギノ角ゴ Pro W3" w:hAnsi="Times New Roman"/>
      <w:color w:val="000000"/>
      <w:sz w:val="24"/>
      <w:szCs w:val="24"/>
    </w:rPr>
  </w:style>
  <w:style w:type="paragraph" w:styleId="Heading1">
    <w:name w:val="heading 1"/>
    <w:basedOn w:val="Normal"/>
    <w:next w:val="Normal"/>
    <w:link w:val="Heading1Char"/>
    <w:autoRedefine/>
    <w:qFormat/>
    <w:rsid w:val="00C3167F"/>
    <w:pPr>
      <w:keepNext/>
      <w:spacing w:before="120" w:after="120"/>
      <w:outlineLvl w:val="0"/>
    </w:pPr>
    <w:rPr>
      <w:rFonts w:ascii="Arial Narrow" w:eastAsia="Times New Roman" w:hAnsi="Arial Narrow" w:cs="Arial"/>
      <w:b/>
      <w:caps/>
      <w:lang w:eastAsia="es-ES"/>
    </w:rPr>
  </w:style>
  <w:style w:type="paragraph" w:styleId="Heading2">
    <w:name w:val="heading 2"/>
    <w:basedOn w:val="Normal"/>
    <w:next w:val="Normal"/>
    <w:link w:val="Heading2Char"/>
    <w:autoRedefine/>
    <w:qFormat/>
    <w:rsid w:val="00C3167F"/>
    <w:pPr>
      <w:keepNext/>
      <w:numPr>
        <w:ilvl w:val="1"/>
      </w:numPr>
      <w:tabs>
        <w:tab w:val="num" w:pos="0"/>
      </w:tabs>
      <w:spacing w:before="120" w:after="120"/>
      <w:outlineLvl w:val="1"/>
    </w:pPr>
    <w:rPr>
      <w:rFonts w:ascii="Arial Narrow" w:eastAsia="Times New Roman" w:hAnsi="Arial Narrow" w:cs="Arial"/>
      <w:b/>
      <w:bCs/>
      <w:iCs/>
      <w:lang w:eastAsia="es-ES"/>
    </w:rPr>
  </w:style>
  <w:style w:type="paragraph" w:styleId="Heading3">
    <w:name w:val="heading 3"/>
    <w:basedOn w:val="Normal"/>
    <w:next w:val="Normal"/>
    <w:link w:val="Heading3Char"/>
    <w:autoRedefine/>
    <w:qFormat/>
    <w:rsid w:val="00C3167F"/>
    <w:pPr>
      <w:keepNext/>
      <w:numPr>
        <w:ilvl w:val="2"/>
      </w:numPr>
      <w:tabs>
        <w:tab w:val="num" w:pos="0"/>
      </w:tabs>
      <w:autoSpaceDE w:val="0"/>
      <w:autoSpaceDN w:val="0"/>
      <w:spacing w:before="120" w:after="120"/>
      <w:outlineLvl w:val="2"/>
    </w:pPr>
    <w:rPr>
      <w:rFonts w:ascii="Arial Narrow" w:eastAsia="Times New Roman" w:hAnsi="Arial Narrow" w:cs="Arial"/>
      <w:bCs/>
      <w:i/>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167F"/>
    <w:rPr>
      <w:rFonts w:ascii="Arial Narrow" w:eastAsia="Times New Roman" w:hAnsi="Arial Narrow" w:cs="Arial"/>
      <w:b/>
      <w:caps/>
      <w:lang w:eastAsia="es-ES"/>
    </w:rPr>
  </w:style>
  <w:style w:type="character" w:customStyle="1" w:styleId="Heading2Char">
    <w:name w:val="Heading 2 Char"/>
    <w:basedOn w:val="DefaultParagraphFont"/>
    <w:link w:val="Heading2"/>
    <w:rsid w:val="00C3167F"/>
    <w:rPr>
      <w:rFonts w:ascii="Arial Narrow" w:eastAsia="Times New Roman" w:hAnsi="Arial Narrow" w:cs="Arial"/>
      <w:b/>
      <w:bCs/>
      <w:iCs/>
      <w:lang w:eastAsia="es-ES"/>
    </w:rPr>
  </w:style>
  <w:style w:type="character" w:customStyle="1" w:styleId="Heading3Char">
    <w:name w:val="Heading 3 Char"/>
    <w:basedOn w:val="DefaultParagraphFont"/>
    <w:link w:val="Heading3"/>
    <w:rsid w:val="00C3167F"/>
    <w:rPr>
      <w:rFonts w:ascii="Arial Narrow" w:eastAsia="Times New Roman" w:hAnsi="Arial Narrow" w:cs="Arial"/>
      <w:bCs/>
      <w:i/>
      <w:lang w:eastAsia="es-ES"/>
    </w:rPr>
  </w:style>
  <w:style w:type="paragraph" w:styleId="FootnoteText">
    <w:name w:val="footnote text"/>
    <w:basedOn w:val="Normal"/>
    <w:link w:val="FootnoteTextChar"/>
    <w:unhideWhenUsed/>
    <w:rsid w:val="001B6E79"/>
    <w:rPr>
      <w:rFonts w:eastAsia="Times New Roman"/>
      <w:color w:val="auto"/>
      <w:sz w:val="20"/>
      <w:szCs w:val="20"/>
    </w:rPr>
  </w:style>
  <w:style w:type="character" w:customStyle="1" w:styleId="FootnoteTextChar">
    <w:name w:val="Footnote Text Char"/>
    <w:basedOn w:val="DefaultParagraphFont"/>
    <w:link w:val="FootnoteText"/>
    <w:rsid w:val="001B6E79"/>
    <w:rPr>
      <w:rFonts w:ascii="Times New Roman" w:eastAsia="Times New Roman" w:hAnsi="Times New Roman" w:cs="Times New Roman"/>
      <w:sz w:val="20"/>
      <w:szCs w:val="20"/>
      <w:lang w:val="en-US"/>
    </w:rPr>
  </w:style>
  <w:style w:type="character" w:styleId="FootnoteReference">
    <w:name w:val="footnote reference"/>
    <w:aliases w:val="16 Point,Superscript 6 Point"/>
    <w:unhideWhenUsed/>
    <w:rsid w:val="001B6E79"/>
    <w:rPr>
      <w:vertAlign w:val="superscript"/>
    </w:rPr>
  </w:style>
  <w:style w:type="character" w:styleId="CommentReference">
    <w:name w:val="annotation reference"/>
    <w:basedOn w:val="DefaultParagraphFont"/>
    <w:rsid w:val="001B6E79"/>
    <w:rPr>
      <w:sz w:val="16"/>
      <w:szCs w:val="16"/>
    </w:rPr>
  </w:style>
  <w:style w:type="paragraph" w:styleId="CommentText">
    <w:name w:val="annotation text"/>
    <w:basedOn w:val="Normal"/>
    <w:link w:val="CommentTextChar"/>
    <w:rsid w:val="001B6E79"/>
    <w:pPr>
      <w:widowControl/>
      <w:adjustRightInd/>
      <w:spacing w:line="240" w:lineRule="auto"/>
      <w:jc w:val="left"/>
      <w:textAlignment w:val="auto"/>
    </w:pPr>
    <w:rPr>
      <w:rFonts w:eastAsia="Times New Roman"/>
      <w:color w:val="auto"/>
      <w:sz w:val="20"/>
      <w:szCs w:val="20"/>
    </w:rPr>
  </w:style>
  <w:style w:type="character" w:customStyle="1" w:styleId="CommentTextChar">
    <w:name w:val="Comment Text Char"/>
    <w:basedOn w:val="DefaultParagraphFont"/>
    <w:link w:val="CommentText"/>
    <w:rsid w:val="001B6E79"/>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1B6E7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E79"/>
    <w:rPr>
      <w:rFonts w:ascii="Tahoma" w:eastAsia="ヒラギノ角ゴ Pro W3" w:hAnsi="Tahoma" w:cs="Tahoma"/>
      <w:color w:val="000000"/>
      <w:sz w:val="16"/>
      <w:szCs w:val="16"/>
      <w:lang w:val="en-US"/>
    </w:rPr>
  </w:style>
  <w:style w:type="paragraph" w:styleId="CommentSubject">
    <w:name w:val="annotation subject"/>
    <w:basedOn w:val="CommentText"/>
    <w:next w:val="CommentText"/>
    <w:link w:val="CommentSubjectChar"/>
    <w:uiPriority w:val="99"/>
    <w:semiHidden/>
    <w:unhideWhenUsed/>
    <w:rsid w:val="00CA01CB"/>
    <w:pPr>
      <w:widowControl w:val="0"/>
      <w:adjustRightInd w:val="0"/>
      <w:spacing w:line="360" w:lineRule="atLeast"/>
      <w:jc w:val="both"/>
      <w:textAlignment w:val="baseline"/>
    </w:pPr>
    <w:rPr>
      <w:rFonts w:eastAsia="ヒラギノ角ゴ Pro W3"/>
      <w:b/>
      <w:bCs/>
      <w:color w:val="000000"/>
    </w:rPr>
  </w:style>
  <w:style w:type="character" w:customStyle="1" w:styleId="CommentSubjectChar">
    <w:name w:val="Comment Subject Char"/>
    <w:basedOn w:val="CommentTextChar"/>
    <w:link w:val="CommentSubject"/>
    <w:uiPriority w:val="99"/>
    <w:semiHidden/>
    <w:rsid w:val="00CA01CB"/>
    <w:rPr>
      <w:rFonts w:ascii="Times New Roman" w:eastAsia="ヒラギノ角ゴ Pro W3" w:hAnsi="Times New Roman" w:cs="Times New Roman"/>
      <w:b/>
      <w:bCs/>
      <w:color w:val="000000"/>
      <w:sz w:val="20"/>
      <w:szCs w:val="20"/>
      <w:lang w:val="en-US" w:eastAsia="en-US"/>
    </w:rPr>
  </w:style>
  <w:style w:type="paragraph" w:styleId="ListParagraph">
    <w:name w:val="List Paragraph"/>
    <w:basedOn w:val="Normal"/>
    <w:qFormat/>
    <w:rsid w:val="00BC2583"/>
    <w:pPr>
      <w:widowControl/>
      <w:adjustRightInd/>
      <w:spacing w:line="240" w:lineRule="auto"/>
      <w:ind w:left="720"/>
      <w:jc w:val="left"/>
      <w:textAlignment w:val="auto"/>
    </w:pPr>
    <w:rPr>
      <w:rFonts w:eastAsiaTheme="minorHAnsi"/>
      <w:color w:val="auto"/>
    </w:rPr>
  </w:style>
  <w:style w:type="paragraph" w:styleId="Revision">
    <w:name w:val="Revision"/>
    <w:hidden/>
    <w:uiPriority w:val="99"/>
    <w:semiHidden/>
    <w:rsid w:val="00190F70"/>
    <w:rPr>
      <w:rFonts w:ascii="Times New Roman" w:eastAsia="ヒラギノ角ゴ Pro W3" w:hAnsi="Times New Roman"/>
      <w:color w:val="000000"/>
      <w:sz w:val="24"/>
      <w:szCs w:val="24"/>
    </w:rPr>
  </w:style>
  <w:style w:type="paragraph" w:styleId="NormalWeb">
    <w:name w:val="Normal (Web)"/>
    <w:basedOn w:val="Normal"/>
    <w:uiPriority w:val="99"/>
    <w:unhideWhenUsed/>
    <w:rsid w:val="00452ABB"/>
    <w:pPr>
      <w:widowControl/>
      <w:adjustRightInd/>
      <w:spacing w:before="100" w:beforeAutospacing="1" w:after="100" w:afterAutospacing="1" w:line="240" w:lineRule="auto"/>
      <w:jc w:val="left"/>
      <w:textAlignment w:val="auto"/>
    </w:pPr>
    <w:rPr>
      <w:rFonts w:eastAsia="Times New Roman"/>
      <w:color w:val="auto"/>
    </w:rPr>
  </w:style>
  <w:style w:type="character" w:styleId="PlaceholderText">
    <w:name w:val="Placeholder Text"/>
    <w:basedOn w:val="DefaultParagraphFont"/>
    <w:uiPriority w:val="99"/>
    <w:semiHidden/>
    <w:rsid w:val="00280CF3"/>
    <w:rPr>
      <w:color w:val="808080"/>
    </w:rPr>
  </w:style>
  <w:style w:type="paragraph" w:customStyle="1" w:styleId="Default">
    <w:name w:val="Default"/>
    <w:rsid w:val="00277988"/>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114D99"/>
    <w:pPr>
      <w:tabs>
        <w:tab w:val="center" w:pos="4680"/>
        <w:tab w:val="right" w:pos="9360"/>
      </w:tabs>
      <w:spacing w:line="240" w:lineRule="auto"/>
    </w:pPr>
  </w:style>
  <w:style w:type="character" w:customStyle="1" w:styleId="HeaderChar">
    <w:name w:val="Header Char"/>
    <w:basedOn w:val="DefaultParagraphFont"/>
    <w:link w:val="Header"/>
    <w:uiPriority w:val="99"/>
    <w:rsid w:val="00114D99"/>
    <w:rPr>
      <w:rFonts w:ascii="Times New Roman" w:eastAsia="ヒラギノ角ゴ Pro W3" w:hAnsi="Times New Roman"/>
      <w:color w:val="000000"/>
      <w:sz w:val="24"/>
      <w:szCs w:val="24"/>
    </w:rPr>
  </w:style>
  <w:style w:type="paragraph" w:styleId="Footer">
    <w:name w:val="footer"/>
    <w:basedOn w:val="Normal"/>
    <w:link w:val="FooterChar"/>
    <w:uiPriority w:val="99"/>
    <w:unhideWhenUsed/>
    <w:rsid w:val="00114D99"/>
    <w:pPr>
      <w:tabs>
        <w:tab w:val="center" w:pos="4680"/>
        <w:tab w:val="right" w:pos="9360"/>
      </w:tabs>
      <w:spacing w:line="240" w:lineRule="auto"/>
    </w:pPr>
  </w:style>
  <w:style w:type="character" w:customStyle="1" w:styleId="FooterChar">
    <w:name w:val="Footer Char"/>
    <w:basedOn w:val="DefaultParagraphFont"/>
    <w:link w:val="Footer"/>
    <w:uiPriority w:val="99"/>
    <w:rsid w:val="00114D99"/>
    <w:rPr>
      <w:rFonts w:ascii="Times New Roman" w:eastAsia="ヒラギノ角ゴ Pro W3" w:hAnsi="Times New Roman"/>
      <w:color w:val="000000"/>
      <w:sz w:val="24"/>
      <w:szCs w:val="24"/>
    </w:rPr>
  </w:style>
  <w:style w:type="paragraph" w:styleId="NoSpacing">
    <w:name w:val="No Spacing"/>
    <w:uiPriority w:val="1"/>
    <w:qFormat/>
    <w:rsid w:val="006C59C0"/>
    <w:pPr>
      <w:widowControl w:val="0"/>
      <w:adjustRightInd w:val="0"/>
      <w:jc w:val="both"/>
      <w:textAlignment w:val="baseline"/>
    </w:pPr>
    <w:rPr>
      <w:rFonts w:ascii="Times New Roman" w:eastAsia="ヒラギノ角ゴ Pro W3" w:hAnsi="Times New Roman"/>
      <w:color w:val="000000"/>
      <w:sz w:val="24"/>
      <w:szCs w:val="24"/>
    </w:rPr>
  </w:style>
  <w:style w:type="character" w:styleId="Hyperlink">
    <w:name w:val="Hyperlink"/>
    <w:rsid w:val="00D827E4"/>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1FC"/>
    <w:pPr>
      <w:widowControl w:val="0"/>
      <w:adjustRightInd w:val="0"/>
      <w:spacing w:line="360" w:lineRule="atLeast"/>
      <w:jc w:val="both"/>
      <w:textAlignment w:val="baseline"/>
    </w:pPr>
    <w:rPr>
      <w:rFonts w:ascii="Times New Roman" w:eastAsia="ヒラギノ角ゴ Pro W3" w:hAnsi="Times New Roman"/>
      <w:color w:val="000000"/>
      <w:sz w:val="24"/>
      <w:szCs w:val="24"/>
    </w:rPr>
  </w:style>
  <w:style w:type="paragraph" w:styleId="Heading1">
    <w:name w:val="heading 1"/>
    <w:basedOn w:val="Normal"/>
    <w:next w:val="Normal"/>
    <w:link w:val="Heading1Char"/>
    <w:autoRedefine/>
    <w:qFormat/>
    <w:rsid w:val="00C3167F"/>
    <w:pPr>
      <w:keepNext/>
      <w:spacing w:before="120" w:after="120"/>
      <w:outlineLvl w:val="0"/>
    </w:pPr>
    <w:rPr>
      <w:rFonts w:ascii="Arial Narrow" w:eastAsia="Times New Roman" w:hAnsi="Arial Narrow" w:cs="Arial"/>
      <w:b/>
      <w:caps/>
      <w:lang w:eastAsia="es-ES"/>
    </w:rPr>
  </w:style>
  <w:style w:type="paragraph" w:styleId="Heading2">
    <w:name w:val="heading 2"/>
    <w:basedOn w:val="Normal"/>
    <w:next w:val="Normal"/>
    <w:link w:val="Heading2Char"/>
    <w:autoRedefine/>
    <w:qFormat/>
    <w:rsid w:val="00C3167F"/>
    <w:pPr>
      <w:keepNext/>
      <w:numPr>
        <w:ilvl w:val="1"/>
      </w:numPr>
      <w:tabs>
        <w:tab w:val="num" w:pos="0"/>
      </w:tabs>
      <w:spacing w:before="120" w:after="120"/>
      <w:outlineLvl w:val="1"/>
    </w:pPr>
    <w:rPr>
      <w:rFonts w:ascii="Arial Narrow" w:eastAsia="Times New Roman" w:hAnsi="Arial Narrow" w:cs="Arial"/>
      <w:b/>
      <w:bCs/>
      <w:iCs/>
      <w:lang w:eastAsia="es-ES"/>
    </w:rPr>
  </w:style>
  <w:style w:type="paragraph" w:styleId="Heading3">
    <w:name w:val="heading 3"/>
    <w:basedOn w:val="Normal"/>
    <w:next w:val="Normal"/>
    <w:link w:val="Heading3Char"/>
    <w:autoRedefine/>
    <w:qFormat/>
    <w:rsid w:val="00C3167F"/>
    <w:pPr>
      <w:keepNext/>
      <w:numPr>
        <w:ilvl w:val="2"/>
      </w:numPr>
      <w:tabs>
        <w:tab w:val="num" w:pos="0"/>
      </w:tabs>
      <w:autoSpaceDE w:val="0"/>
      <w:autoSpaceDN w:val="0"/>
      <w:spacing w:before="120" w:after="120"/>
      <w:outlineLvl w:val="2"/>
    </w:pPr>
    <w:rPr>
      <w:rFonts w:ascii="Arial Narrow" w:eastAsia="Times New Roman" w:hAnsi="Arial Narrow" w:cs="Arial"/>
      <w:bCs/>
      <w:i/>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167F"/>
    <w:rPr>
      <w:rFonts w:ascii="Arial Narrow" w:eastAsia="Times New Roman" w:hAnsi="Arial Narrow" w:cs="Arial"/>
      <w:b/>
      <w:caps/>
      <w:lang w:eastAsia="es-ES"/>
    </w:rPr>
  </w:style>
  <w:style w:type="character" w:customStyle="1" w:styleId="Heading2Char">
    <w:name w:val="Heading 2 Char"/>
    <w:basedOn w:val="DefaultParagraphFont"/>
    <w:link w:val="Heading2"/>
    <w:rsid w:val="00C3167F"/>
    <w:rPr>
      <w:rFonts w:ascii="Arial Narrow" w:eastAsia="Times New Roman" w:hAnsi="Arial Narrow" w:cs="Arial"/>
      <w:b/>
      <w:bCs/>
      <w:iCs/>
      <w:lang w:eastAsia="es-ES"/>
    </w:rPr>
  </w:style>
  <w:style w:type="character" w:customStyle="1" w:styleId="Heading3Char">
    <w:name w:val="Heading 3 Char"/>
    <w:basedOn w:val="DefaultParagraphFont"/>
    <w:link w:val="Heading3"/>
    <w:rsid w:val="00C3167F"/>
    <w:rPr>
      <w:rFonts w:ascii="Arial Narrow" w:eastAsia="Times New Roman" w:hAnsi="Arial Narrow" w:cs="Arial"/>
      <w:bCs/>
      <w:i/>
      <w:lang w:eastAsia="es-ES"/>
    </w:rPr>
  </w:style>
  <w:style w:type="paragraph" w:styleId="FootnoteText">
    <w:name w:val="footnote text"/>
    <w:basedOn w:val="Normal"/>
    <w:link w:val="FootnoteTextChar"/>
    <w:unhideWhenUsed/>
    <w:rsid w:val="001B6E79"/>
    <w:rPr>
      <w:rFonts w:eastAsia="Times New Roman"/>
      <w:color w:val="auto"/>
      <w:sz w:val="20"/>
      <w:szCs w:val="20"/>
    </w:rPr>
  </w:style>
  <w:style w:type="character" w:customStyle="1" w:styleId="FootnoteTextChar">
    <w:name w:val="Footnote Text Char"/>
    <w:basedOn w:val="DefaultParagraphFont"/>
    <w:link w:val="FootnoteText"/>
    <w:rsid w:val="001B6E79"/>
    <w:rPr>
      <w:rFonts w:ascii="Times New Roman" w:eastAsia="Times New Roman" w:hAnsi="Times New Roman" w:cs="Times New Roman"/>
      <w:sz w:val="20"/>
      <w:szCs w:val="20"/>
      <w:lang w:val="en-US"/>
    </w:rPr>
  </w:style>
  <w:style w:type="character" w:styleId="FootnoteReference">
    <w:name w:val="footnote reference"/>
    <w:aliases w:val="16 Point,Superscript 6 Point"/>
    <w:unhideWhenUsed/>
    <w:rsid w:val="001B6E79"/>
    <w:rPr>
      <w:vertAlign w:val="superscript"/>
    </w:rPr>
  </w:style>
  <w:style w:type="character" w:styleId="CommentReference">
    <w:name w:val="annotation reference"/>
    <w:basedOn w:val="DefaultParagraphFont"/>
    <w:rsid w:val="001B6E79"/>
    <w:rPr>
      <w:sz w:val="16"/>
      <w:szCs w:val="16"/>
    </w:rPr>
  </w:style>
  <w:style w:type="paragraph" w:styleId="CommentText">
    <w:name w:val="annotation text"/>
    <w:basedOn w:val="Normal"/>
    <w:link w:val="CommentTextChar"/>
    <w:rsid w:val="001B6E79"/>
    <w:pPr>
      <w:widowControl/>
      <w:adjustRightInd/>
      <w:spacing w:line="240" w:lineRule="auto"/>
      <w:jc w:val="left"/>
      <w:textAlignment w:val="auto"/>
    </w:pPr>
    <w:rPr>
      <w:rFonts w:eastAsia="Times New Roman"/>
      <w:color w:val="auto"/>
      <w:sz w:val="20"/>
      <w:szCs w:val="20"/>
    </w:rPr>
  </w:style>
  <w:style w:type="character" w:customStyle="1" w:styleId="CommentTextChar">
    <w:name w:val="Comment Text Char"/>
    <w:basedOn w:val="DefaultParagraphFont"/>
    <w:link w:val="CommentText"/>
    <w:rsid w:val="001B6E79"/>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1B6E7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E79"/>
    <w:rPr>
      <w:rFonts w:ascii="Tahoma" w:eastAsia="ヒラギノ角ゴ Pro W3" w:hAnsi="Tahoma" w:cs="Tahoma"/>
      <w:color w:val="000000"/>
      <w:sz w:val="16"/>
      <w:szCs w:val="16"/>
      <w:lang w:val="en-US"/>
    </w:rPr>
  </w:style>
  <w:style w:type="paragraph" w:styleId="CommentSubject">
    <w:name w:val="annotation subject"/>
    <w:basedOn w:val="CommentText"/>
    <w:next w:val="CommentText"/>
    <w:link w:val="CommentSubjectChar"/>
    <w:uiPriority w:val="99"/>
    <w:semiHidden/>
    <w:unhideWhenUsed/>
    <w:rsid w:val="00CA01CB"/>
    <w:pPr>
      <w:widowControl w:val="0"/>
      <w:adjustRightInd w:val="0"/>
      <w:spacing w:line="360" w:lineRule="atLeast"/>
      <w:jc w:val="both"/>
      <w:textAlignment w:val="baseline"/>
    </w:pPr>
    <w:rPr>
      <w:rFonts w:eastAsia="ヒラギノ角ゴ Pro W3"/>
      <w:b/>
      <w:bCs/>
      <w:color w:val="000000"/>
    </w:rPr>
  </w:style>
  <w:style w:type="character" w:customStyle="1" w:styleId="CommentSubjectChar">
    <w:name w:val="Comment Subject Char"/>
    <w:basedOn w:val="CommentTextChar"/>
    <w:link w:val="CommentSubject"/>
    <w:uiPriority w:val="99"/>
    <w:semiHidden/>
    <w:rsid w:val="00CA01CB"/>
    <w:rPr>
      <w:rFonts w:ascii="Times New Roman" w:eastAsia="ヒラギノ角ゴ Pro W3" w:hAnsi="Times New Roman" w:cs="Times New Roman"/>
      <w:b/>
      <w:bCs/>
      <w:color w:val="000000"/>
      <w:sz w:val="20"/>
      <w:szCs w:val="20"/>
      <w:lang w:val="en-US" w:eastAsia="en-US"/>
    </w:rPr>
  </w:style>
  <w:style w:type="paragraph" w:styleId="ListParagraph">
    <w:name w:val="List Paragraph"/>
    <w:basedOn w:val="Normal"/>
    <w:qFormat/>
    <w:rsid w:val="00BC2583"/>
    <w:pPr>
      <w:widowControl/>
      <w:adjustRightInd/>
      <w:spacing w:line="240" w:lineRule="auto"/>
      <w:ind w:left="720"/>
      <w:jc w:val="left"/>
      <w:textAlignment w:val="auto"/>
    </w:pPr>
    <w:rPr>
      <w:rFonts w:eastAsiaTheme="minorHAnsi"/>
      <w:color w:val="auto"/>
    </w:rPr>
  </w:style>
  <w:style w:type="paragraph" w:styleId="Revision">
    <w:name w:val="Revision"/>
    <w:hidden/>
    <w:uiPriority w:val="99"/>
    <w:semiHidden/>
    <w:rsid w:val="00190F70"/>
    <w:rPr>
      <w:rFonts w:ascii="Times New Roman" w:eastAsia="ヒラギノ角ゴ Pro W3" w:hAnsi="Times New Roman"/>
      <w:color w:val="000000"/>
      <w:sz w:val="24"/>
      <w:szCs w:val="24"/>
    </w:rPr>
  </w:style>
  <w:style w:type="paragraph" w:styleId="NormalWeb">
    <w:name w:val="Normal (Web)"/>
    <w:basedOn w:val="Normal"/>
    <w:uiPriority w:val="99"/>
    <w:unhideWhenUsed/>
    <w:rsid w:val="00452ABB"/>
    <w:pPr>
      <w:widowControl/>
      <w:adjustRightInd/>
      <w:spacing w:before="100" w:beforeAutospacing="1" w:after="100" w:afterAutospacing="1" w:line="240" w:lineRule="auto"/>
      <w:jc w:val="left"/>
      <w:textAlignment w:val="auto"/>
    </w:pPr>
    <w:rPr>
      <w:rFonts w:eastAsia="Times New Roman"/>
      <w:color w:val="auto"/>
    </w:rPr>
  </w:style>
  <w:style w:type="character" w:styleId="PlaceholderText">
    <w:name w:val="Placeholder Text"/>
    <w:basedOn w:val="DefaultParagraphFont"/>
    <w:uiPriority w:val="99"/>
    <w:semiHidden/>
    <w:rsid w:val="00280CF3"/>
    <w:rPr>
      <w:color w:val="808080"/>
    </w:rPr>
  </w:style>
  <w:style w:type="paragraph" w:customStyle="1" w:styleId="Default">
    <w:name w:val="Default"/>
    <w:rsid w:val="00277988"/>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114D99"/>
    <w:pPr>
      <w:tabs>
        <w:tab w:val="center" w:pos="4680"/>
        <w:tab w:val="right" w:pos="9360"/>
      </w:tabs>
      <w:spacing w:line="240" w:lineRule="auto"/>
    </w:pPr>
  </w:style>
  <w:style w:type="character" w:customStyle="1" w:styleId="HeaderChar">
    <w:name w:val="Header Char"/>
    <w:basedOn w:val="DefaultParagraphFont"/>
    <w:link w:val="Header"/>
    <w:uiPriority w:val="99"/>
    <w:rsid w:val="00114D99"/>
    <w:rPr>
      <w:rFonts w:ascii="Times New Roman" w:eastAsia="ヒラギノ角ゴ Pro W3" w:hAnsi="Times New Roman"/>
      <w:color w:val="000000"/>
      <w:sz w:val="24"/>
      <w:szCs w:val="24"/>
    </w:rPr>
  </w:style>
  <w:style w:type="paragraph" w:styleId="Footer">
    <w:name w:val="footer"/>
    <w:basedOn w:val="Normal"/>
    <w:link w:val="FooterChar"/>
    <w:uiPriority w:val="99"/>
    <w:unhideWhenUsed/>
    <w:rsid w:val="00114D99"/>
    <w:pPr>
      <w:tabs>
        <w:tab w:val="center" w:pos="4680"/>
        <w:tab w:val="right" w:pos="9360"/>
      </w:tabs>
      <w:spacing w:line="240" w:lineRule="auto"/>
    </w:pPr>
  </w:style>
  <w:style w:type="character" w:customStyle="1" w:styleId="FooterChar">
    <w:name w:val="Footer Char"/>
    <w:basedOn w:val="DefaultParagraphFont"/>
    <w:link w:val="Footer"/>
    <w:uiPriority w:val="99"/>
    <w:rsid w:val="00114D99"/>
    <w:rPr>
      <w:rFonts w:ascii="Times New Roman" w:eastAsia="ヒラギノ角ゴ Pro W3" w:hAnsi="Times New Roman"/>
      <w:color w:val="000000"/>
      <w:sz w:val="24"/>
      <w:szCs w:val="24"/>
    </w:rPr>
  </w:style>
  <w:style w:type="paragraph" w:styleId="NoSpacing">
    <w:name w:val="No Spacing"/>
    <w:uiPriority w:val="1"/>
    <w:qFormat/>
    <w:rsid w:val="006C59C0"/>
    <w:pPr>
      <w:widowControl w:val="0"/>
      <w:adjustRightInd w:val="0"/>
      <w:jc w:val="both"/>
      <w:textAlignment w:val="baseline"/>
    </w:pPr>
    <w:rPr>
      <w:rFonts w:ascii="Times New Roman" w:eastAsia="ヒラギノ角ゴ Pro W3" w:hAnsi="Times New Roman"/>
      <w:color w:val="000000"/>
      <w:sz w:val="24"/>
      <w:szCs w:val="24"/>
    </w:rPr>
  </w:style>
  <w:style w:type="character" w:styleId="Hyperlink">
    <w:name w:val="Hyperlink"/>
    <w:rsid w:val="00D827E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790826">
      <w:bodyDiv w:val="1"/>
      <w:marLeft w:val="0"/>
      <w:marRight w:val="0"/>
      <w:marTop w:val="0"/>
      <w:marBottom w:val="0"/>
      <w:divBdr>
        <w:top w:val="none" w:sz="0" w:space="0" w:color="auto"/>
        <w:left w:val="none" w:sz="0" w:space="0" w:color="auto"/>
        <w:bottom w:val="none" w:sz="0" w:space="0" w:color="auto"/>
        <w:right w:val="none" w:sz="0" w:space="0" w:color="auto"/>
      </w:divBdr>
    </w:div>
    <w:div w:id="507259667">
      <w:bodyDiv w:val="1"/>
      <w:marLeft w:val="0"/>
      <w:marRight w:val="0"/>
      <w:marTop w:val="0"/>
      <w:marBottom w:val="0"/>
      <w:divBdr>
        <w:top w:val="none" w:sz="0" w:space="0" w:color="auto"/>
        <w:left w:val="none" w:sz="0" w:space="0" w:color="auto"/>
        <w:bottom w:val="none" w:sz="0" w:space="0" w:color="auto"/>
        <w:right w:val="none" w:sz="0" w:space="0" w:color="auto"/>
      </w:divBdr>
    </w:div>
    <w:div w:id="860826472">
      <w:bodyDiv w:val="1"/>
      <w:marLeft w:val="0"/>
      <w:marRight w:val="0"/>
      <w:marTop w:val="0"/>
      <w:marBottom w:val="0"/>
      <w:divBdr>
        <w:top w:val="none" w:sz="0" w:space="0" w:color="auto"/>
        <w:left w:val="none" w:sz="0" w:space="0" w:color="auto"/>
        <w:bottom w:val="none" w:sz="0" w:space="0" w:color="auto"/>
        <w:right w:val="none" w:sz="0" w:space="0" w:color="auto"/>
      </w:divBdr>
    </w:div>
    <w:div w:id="896554080">
      <w:bodyDiv w:val="1"/>
      <w:marLeft w:val="0"/>
      <w:marRight w:val="0"/>
      <w:marTop w:val="0"/>
      <w:marBottom w:val="0"/>
      <w:divBdr>
        <w:top w:val="none" w:sz="0" w:space="0" w:color="auto"/>
        <w:left w:val="none" w:sz="0" w:space="0" w:color="auto"/>
        <w:bottom w:val="none" w:sz="0" w:space="0" w:color="auto"/>
        <w:right w:val="none" w:sz="0" w:space="0" w:color="auto"/>
      </w:divBdr>
    </w:div>
    <w:div w:id="1075591185">
      <w:bodyDiv w:val="1"/>
      <w:marLeft w:val="0"/>
      <w:marRight w:val="0"/>
      <w:marTop w:val="0"/>
      <w:marBottom w:val="0"/>
      <w:divBdr>
        <w:top w:val="none" w:sz="0" w:space="0" w:color="auto"/>
        <w:left w:val="none" w:sz="0" w:space="0" w:color="auto"/>
        <w:bottom w:val="none" w:sz="0" w:space="0" w:color="auto"/>
        <w:right w:val="none" w:sz="0" w:space="0" w:color="auto"/>
      </w:divBdr>
    </w:div>
    <w:div w:id="195667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1"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igrid.cenepred.gob.pe/sigrid/"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R0002775998</Record_x0020_Number>
    <Key_x0020_Document xmlns="cdc7663a-08f0-4737-9e8c-148ce897a09c">false</Key_x0020_Document>
    <Division_x0020_or_x0020_Unit xmlns="cdc7663a-08f0-4737-9e8c-148ce897a09c">INE/RND</Division_x0020_or_x0020_Unit>
    <Other_x0020_Author xmlns="cdc7663a-08f0-4737-9e8c-148ce897a09c" xsi:nil="true"/>
    <IDBDocs_x0020_Number xmlns="cdc7663a-08f0-4737-9e8c-148ce897a09c">38631633</IDBDocs_x0020_Number>
    <Document_x0020_Author xmlns="cdc7663a-08f0-4737-9e8c-148ce897a09c">Lacambra Ayuso, Sergio</Document_x0020_Author>
    <Operation_x0020_Type xmlns="cdc7663a-08f0-4737-9e8c-148ce897a09c" xsi:nil="true"/>
    <TaxCatchAll xmlns="cdc7663a-08f0-4737-9e8c-148ce897a09c"/>
    <Fiscal_x0020_Year_x0020_IDB xmlns="cdc7663a-08f0-4737-9e8c-148ce897a09c">2014</Fiscal_x0020_Year_x0020_IDB>
    <Project_x0020_Number xmlns="cdc7663a-08f0-4737-9e8c-148ce897a09c">PE-L1138</Project_x0020_Number>
    <Package_x0020_Code xmlns="cdc7663a-08f0-4737-9e8c-148ce897a09c" xsi:nil="true"/>
    <Migration_x0020_Info xmlns="cdc7663a-08f0-4737-9e8c-148ce897a09c">MS WORDLPLoan Proposal0NPO-PE-L1138-Plan1083625926</Migration_x0020_Info>
    <Approval_x0020_Number xmlns="cdc7663a-08f0-4737-9e8c-148ce897a09c" xsi:nil="true"/>
    <Business_x0020_Area xmlns="cdc7663a-08f0-4737-9e8c-148ce897a09c" xsi:nil="true"/>
    <SISCOR_x0020_Number xmlns="cdc7663a-08f0-4737-9e8c-148ce897a09c" xsi:nil="true"/>
    <Identifier xmlns="cdc7663a-08f0-4737-9e8c-148ce897a09c">Link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EZSHARE-175530370-47</_dlc_DocId>
    <From_x003a_ xmlns="cdc7663a-08f0-4737-9e8c-148ce897a09c" xsi:nil="true"/>
    <To_x003a_ xmlns="cdc7663a-08f0-4737-9e8c-148ce897a09c" xsi:nil="true"/>
    <_dlc_DocIdUrl xmlns="cdc7663a-08f0-4737-9e8c-148ce897a09c">
      <Url>https://idbg.sharepoint.com/teams/EZ-PE-LON/PE-L1138/_layouts/15/DocIdRedir.aspx?ID=EZSHARE-175530370-47</Url>
      <Description>EZSHARE-175530370-47</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6417AA5418E22A41AD78DB4E1340ADD2" ma:contentTypeVersion="1913" ma:contentTypeDescription="The base project type from which other project content types inherit their information." ma:contentTypeScope="" ma:versionID="9a7989ae326e986f94d378fa708cde98">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D00DB979-BC7F-42CB-B424-B730787825F0}"/>
</file>

<file path=customXml/itemProps10.xml><?xml version="1.0" encoding="utf-8"?>
<ds:datastoreItem xmlns:ds="http://schemas.openxmlformats.org/officeDocument/2006/customXml" ds:itemID="{DA2110B0-F908-449A-8E89-63BFFC5C4169}"/>
</file>

<file path=customXml/itemProps11.xml><?xml version="1.0" encoding="utf-8"?>
<ds:datastoreItem xmlns:ds="http://schemas.openxmlformats.org/officeDocument/2006/customXml" ds:itemID="{B805DCE0-6B9D-4149-BC29-D7F49F095BFB}"/>
</file>

<file path=customXml/itemProps2.xml><?xml version="1.0" encoding="utf-8"?>
<ds:datastoreItem xmlns:ds="http://schemas.openxmlformats.org/officeDocument/2006/customXml" ds:itemID="{AC6E8908-8AFC-4348-9B4A-09CD48FB8553}"/>
</file>

<file path=customXml/itemProps3.xml><?xml version="1.0" encoding="utf-8"?>
<ds:datastoreItem xmlns:ds="http://schemas.openxmlformats.org/officeDocument/2006/customXml" ds:itemID="{061B8997-1D82-46DF-B828-E598E34BAA2A}"/>
</file>

<file path=customXml/itemProps4.xml><?xml version="1.0" encoding="utf-8"?>
<ds:datastoreItem xmlns:ds="http://schemas.openxmlformats.org/officeDocument/2006/customXml" ds:itemID="{7AED3D7D-4C24-4933-BE1E-7BCB1360B864}"/>
</file>

<file path=customXml/itemProps5.xml><?xml version="1.0" encoding="utf-8"?>
<ds:datastoreItem xmlns:ds="http://schemas.openxmlformats.org/officeDocument/2006/customXml" ds:itemID="{4ECCBA34-1526-41B7-A09F-29AE5F51C0F0}"/>
</file>

<file path=customXml/itemProps6.xml><?xml version="1.0" encoding="utf-8"?>
<ds:datastoreItem xmlns:ds="http://schemas.openxmlformats.org/officeDocument/2006/customXml" ds:itemID="{99FB3F4D-78F2-4FF0-9960-1AF9520F89B8}"/>
</file>

<file path=customXml/itemProps7.xml><?xml version="1.0" encoding="utf-8"?>
<ds:datastoreItem xmlns:ds="http://schemas.openxmlformats.org/officeDocument/2006/customXml" ds:itemID="{D05E5528-4C86-4AE4-AF27-47AABD196791}"/>
</file>

<file path=customXml/itemProps8.xml><?xml version="1.0" encoding="utf-8"?>
<ds:datastoreItem xmlns:ds="http://schemas.openxmlformats.org/officeDocument/2006/customXml" ds:itemID="{D7A6AE37-645F-4588-BA47-1439AB1E4603}"/>
</file>

<file path=customXml/itemProps9.xml><?xml version="1.0" encoding="utf-8"?>
<ds:datastoreItem xmlns:ds="http://schemas.openxmlformats.org/officeDocument/2006/customXml" ds:itemID="{B9D0632D-161B-4FE6-815B-8F4043378968}"/>
</file>

<file path=docProps/app.xml><?xml version="1.0" encoding="utf-8"?>
<Properties xmlns="http://schemas.openxmlformats.org/officeDocument/2006/extended-properties" xmlns:vt="http://schemas.openxmlformats.org/officeDocument/2006/docPropsVTypes">
  <Template>Normal.dotm</Template>
  <TotalTime>0</TotalTime>
  <Pages>24</Pages>
  <Words>4338</Words>
  <Characters>24727</Characters>
  <Application>Microsoft Office Word</Application>
  <DocSecurity>0</DocSecurity>
  <Lines>206</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29007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PE-L1138 - Link  Matriz de Resultados</dc:title>
  <dc:creator>tate</dc:creator>
  <cp:lastModifiedBy>IADB</cp:lastModifiedBy>
  <cp:revision>2</cp:revision>
  <cp:lastPrinted>2014-02-21T14:14:00Z</cp:lastPrinted>
  <dcterms:created xsi:type="dcterms:W3CDTF">2014-05-27T16:22:00Z</dcterms:created>
  <dcterms:modified xsi:type="dcterms:W3CDTF">2014-05-27T16:22:00Z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0x010100ACF722E9F6B0B149B0CD8BE2560A6672006417AA5418E22A41AD78DB4E1340ADD2</vt:lpwstr>
  </property>
  <property fmtid="{D5CDD505-2E9C-101B-9397-08002B2CF9AE}" pid="5" name="TaxKeywordTaxHTField">
    <vt:lpwstr/>
  </property>
  <property fmtid="{D5CDD505-2E9C-101B-9397-08002B2CF9AE}" pid="6" name="Series Operations IDB">
    <vt:lpwstr>15;#Project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15;#Project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Natural Disasters: Prevention and Relief</vt:lpwstr>
  </property>
  <property fmtid="{D5CDD505-2E9C-101B-9397-08002B2CF9AE}" pid="22" name="Disclosed">
    <vt:bool>true</vt:bool>
  </property>
  <property fmtid="{D5CDD505-2E9C-101B-9397-08002B2CF9AE}" pid="26" name="_dlc_DocIdItemGuid">
    <vt:lpwstr>fdc9bc81-8345-4ae8-9d48-c1e61d8a8499</vt:lpwstr>
  </property>
</Properties>
</file>