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A22A7" w14:textId="77777777" w:rsidR="00F659A3" w:rsidRDefault="00F659A3" w:rsidP="001735E1">
      <w:pPr>
        <w:spacing w:after="0" w:line="240" w:lineRule="auto"/>
        <w:jc w:val="center"/>
        <w:rPr>
          <w:rFonts w:ascii="Arial" w:hAnsi="Arial" w:cs="Arial"/>
          <w:b/>
          <w:sz w:val="24"/>
          <w:szCs w:val="24"/>
          <w:lang w:val="es-ES"/>
        </w:rPr>
      </w:pPr>
    </w:p>
    <w:p w14:paraId="5F5E29E8" w14:textId="77777777" w:rsidR="00F659A3" w:rsidRDefault="00F659A3" w:rsidP="001735E1">
      <w:pPr>
        <w:spacing w:after="0" w:line="240" w:lineRule="auto"/>
        <w:jc w:val="center"/>
        <w:rPr>
          <w:rFonts w:ascii="Arial" w:hAnsi="Arial" w:cs="Arial"/>
          <w:b/>
          <w:sz w:val="24"/>
          <w:szCs w:val="24"/>
          <w:lang w:val="es-ES"/>
        </w:rPr>
      </w:pPr>
    </w:p>
    <w:p w14:paraId="0AB43A8A" w14:textId="77777777" w:rsidR="00F659A3" w:rsidRDefault="00F659A3" w:rsidP="001735E1">
      <w:pPr>
        <w:spacing w:after="0" w:line="240" w:lineRule="auto"/>
        <w:jc w:val="center"/>
        <w:rPr>
          <w:rFonts w:ascii="Arial" w:hAnsi="Arial" w:cs="Arial"/>
          <w:b/>
          <w:sz w:val="24"/>
          <w:szCs w:val="24"/>
          <w:lang w:val="es-ES"/>
        </w:rPr>
      </w:pPr>
    </w:p>
    <w:p w14:paraId="14125E28" w14:textId="3A7A8E5C" w:rsidR="0095711B" w:rsidRPr="00A523B2" w:rsidRDefault="00055EF1" w:rsidP="001735E1">
      <w:pPr>
        <w:spacing w:after="0" w:line="240" w:lineRule="auto"/>
        <w:jc w:val="center"/>
        <w:rPr>
          <w:rFonts w:ascii="Arial" w:hAnsi="Arial" w:cs="Arial"/>
          <w:b/>
          <w:sz w:val="24"/>
          <w:szCs w:val="24"/>
          <w:lang w:val="es-ES"/>
        </w:rPr>
      </w:pPr>
      <w:r w:rsidRPr="00A523B2">
        <w:rPr>
          <w:rFonts w:ascii="Arial" w:hAnsi="Arial" w:cs="Arial"/>
          <w:b/>
          <w:sz w:val="24"/>
          <w:szCs w:val="24"/>
          <w:lang w:val="es-ES"/>
        </w:rPr>
        <w:t>Abstracto</w:t>
      </w:r>
      <w:r w:rsidR="00563B1D" w:rsidRPr="00A523B2">
        <w:rPr>
          <w:rFonts w:ascii="Arial" w:hAnsi="Arial" w:cs="Arial"/>
          <w:b/>
          <w:sz w:val="24"/>
          <w:szCs w:val="24"/>
          <w:lang w:val="es-ES"/>
        </w:rPr>
        <w:t xml:space="preserve"> </w:t>
      </w:r>
      <w:r w:rsidR="0091508A" w:rsidRPr="00A523B2">
        <w:rPr>
          <w:rFonts w:ascii="Arial" w:hAnsi="Arial" w:cs="Arial"/>
          <w:b/>
          <w:sz w:val="24"/>
          <w:szCs w:val="24"/>
          <w:lang w:val="es-ES"/>
        </w:rPr>
        <w:t xml:space="preserve">de </w:t>
      </w:r>
      <w:r w:rsidR="00F00960" w:rsidRPr="00A523B2">
        <w:rPr>
          <w:rFonts w:ascii="Arial" w:hAnsi="Arial" w:cs="Arial"/>
          <w:b/>
          <w:sz w:val="24"/>
          <w:szCs w:val="24"/>
          <w:lang w:val="es-ES"/>
        </w:rPr>
        <w:t>Cooperación</w:t>
      </w:r>
      <w:r w:rsidR="0091508A" w:rsidRPr="00A523B2">
        <w:rPr>
          <w:rFonts w:ascii="Arial" w:hAnsi="Arial" w:cs="Arial"/>
          <w:b/>
          <w:sz w:val="24"/>
          <w:szCs w:val="24"/>
          <w:lang w:val="es-ES"/>
        </w:rPr>
        <w:t xml:space="preserve"> T</w:t>
      </w:r>
      <w:r w:rsidR="00F00960" w:rsidRPr="00A523B2">
        <w:rPr>
          <w:rFonts w:ascii="Arial" w:hAnsi="Arial" w:cs="Arial"/>
          <w:b/>
          <w:sz w:val="24"/>
          <w:szCs w:val="24"/>
          <w:lang w:val="es-ES"/>
        </w:rPr>
        <w:t>é</w:t>
      </w:r>
      <w:r w:rsidR="0091508A" w:rsidRPr="00A523B2">
        <w:rPr>
          <w:rFonts w:ascii="Arial" w:hAnsi="Arial" w:cs="Arial"/>
          <w:b/>
          <w:sz w:val="24"/>
          <w:szCs w:val="24"/>
          <w:lang w:val="es-ES"/>
        </w:rPr>
        <w:t xml:space="preserve">cnica </w:t>
      </w:r>
    </w:p>
    <w:p w14:paraId="672A6659" w14:textId="77777777" w:rsidR="005D330B" w:rsidRPr="00F659A3" w:rsidRDefault="005D330B" w:rsidP="68022CC4">
      <w:pPr>
        <w:pStyle w:val="ListParagraph"/>
        <w:spacing w:before="120" w:after="120" w:line="240" w:lineRule="auto"/>
        <w:contextualSpacing w:val="0"/>
        <w:jc w:val="both"/>
        <w:rPr>
          <w:rFonts w:ascii="Arial" w:hAnsi="Arial" w:cs="Arial"/>
          <w:sz w:val="6"/>
          <w:szCs w:val="6"/>
          <w:lang w:val="es-ES"/>
        </w:rPr>
      </w:pPr>
    </w:p>
    <w:p w14:paraId="49005042" w14:textId="77777777" w:rsidR="0095711B" w:rsidRPr="00A523B2" w:rsidRDefault="00E33333" w:rsidP="00CF398D">
      <w:pPr>
        <w:pStyle w:val="ListParagraph"/>
        <w:numPr>
          <w:ilvl w:val="0"/>
          <w:numId w:val="5"/>
        </w:numPr>
        <w:spacing w:before="120" w:after="120" w:line="240" w:lineRule="auto"/>
        <w:ind w:hanging="90"/>
        <w:contextualSpacing w:val="0"/>
        <w:rPr>
          <w:rFonts w:ascii="Arial" w:hAnsi="Arial" w:cs="Arial"/>
          <w:b/>
          <w:lang w:val="es-ES"/>
        </w:rPr>
      </w:pPr>
      <w:r w:rsidRPr="00A523B2">
        <w:rPr>
          <w:rFonts w:ascii="Arial" w:hAnsi="Arial" w:cs="Arial"/>
          <w:b/>
          <w:lang w:val="es-ES"/>
        </w:rPr>
        <w:t>Información</w:t>
      </w:r>
      <w:r w:rsidR="0091508A" w:rsidRPr="00A523B2">
        <w:rPr>
          <w:rFonts w:ascii="Arial" w:hAnsi="Arial" w:cs="Arial"/>
          <w:b/>
          <w:lang w:val="es-ES"/>
        </w:rPr>
        <w:t xml:space="preserve"> </w:t>
      </w:r>
      <w:r w:rsidRPr="00A523B2">
        <w:rPr>
          <w:rFonts w:ascii="Arial" w:hAnsi="Arial" w:cs="Arial"/>
          <w:b/>
          <w:lang w:val="es-ES"/>
        </w:rPr>
        <w:t>Básica</w:t>
      </w:r>
      <w:r w:rsidR="0091508A" w:rsidRPr="00A523B2">
        <w:rPr>
          <w:rFonts w:ascii="Arial" w:hAnsi="Arial" w:cs="Arial"/>
          <w:b/>
          <w:lang w:val="es-ES"/>
        </w:rPr>
        <w:t xml:space="preserve"> del </w:t>
      </w:r>
      <w:r w:rsidR="00DA7513" w:rsidRPr="00A523B2">
        <w:rPr>
          <w:rFonts w:ascii="Arial" w:hAnsi="Arial" w:cs="Arial"/>
          <w:b/>
          <w:lang w:val="es-ES"/>
        </w:rPr>
        <w:t>proyecto</w:t>
      </w:r>
      <w:r w:rsidR="0091508A" w:rsidRPr="00A523B2">
        <w:rPr>
          <w:rFonts w:ascii="Arial" w:hAnsi="Arial" w:cs="Arial"/>
          <w:b/>
          <w:lang w:val="es-ES"/>
        </w:rPr>
        <w:t xml:space="preserve"> </w:t>
      </w:r>
    </w:p>
    <w:tbl>
      <w:tblPr>
        <w:tblStyle w:val="TableGrid"/>
        <w:tblW w:w="0" w:type="auto"/>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848"/>
        <w:gridCol w:w="4404"/>
      </w:tblGrid>
      <w:tr w:rsidR="000C16F9" w:rsidRPr="00A523B2" w14:paraId="6F10009C" w14:textId="77777777" w:rsidTr="00DC5956">
        <w:tc>
          <w:tcPr>
            <w:tcW w:w="3943" w:type="dxa"/>
          </w:tcPr>
          <w:p w14:paraId="0D1FC40D" w14:textId="77777777" w:rsidR="009F33FF" w:rsidRPr="00A523B2" w:rsidRDefault="0091508A"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País</w:t>
            </w:r>
            <w:r w:rsidR="009F33FF" w:rsidRPr="00A523B2">
              <w:rPr>
                <w:rFonts w:ascii="Arial" w:hAnsi="Arial" w:cs="Arial"/>
                <w:sz w:val="18"/>
                <w:szCs w:val="18"/>
                <w:lang w:val="es-ES"/>
              </w:rPr>
              <w:t>/Regi</w:t>
            </w:r>
            <w:r w:rsidRPr="00A523B2">
              <w:rPr>
                <w:rFonts w:ascii="Arial" w:hAnsi="Arial" w:cs="Arial"/>
                <w:sz w:val="18"/>
                <w:szCs w:val="18"/>
                <w:lang w:val="es-ES"/>
              </w:rPr>
              <w:t>ó</w:t>
            </w:r>
            <w:r w:rsidR="009F33FF" w:rsidRPr="00A523B2">
              <w:rPr>
                <w:rFonts w:ascii="Arial" w:hAnsi="Arial" w:cs="Arial"/>
                <w:sz w:val="18"/>
                <w:szCs w:val="18"/>
                <w:lang w:val="es-ES"/>
              </w:rPr>
              <w:t>n:</w:t>
            </w:r>
          </w:p>
        </w:tc>
        <w:tc>
          <w:tcPr>
            <w:tcW w:w="4535" w:type="dxa"/>
          </w:tcPr>
          <w:p w14:paraId="0A37501D" w14:textId="4B16533E" w:rsidR="009F33FF" w:rsidRPr="00A523B2" w:rsidRDefault="003D0988" w:rsidP="00594001">
            <w:pPr>
              <w:spacing w:before="60" w:after="60"/>
              <w:ind w:left="74"/>
              <w:rPr>
                <w:rFonts w:ascii="Arial" w:hAnsi="Arial" w:cs="Arial"/>
                <w:sz w:val="18"/>
                <w:szCs w:val="18"/>
                <w:lang w:val="es-ES"/>
              </w:rPr>
            </w:pPr>
            <w:r>
              <w:rPr>
                <w:rFonts w:ascii="Arial" w:hAnsi="Arial" w:cs="Arial"/>
                <w:sz w:val="18"/>
                <w:szCs w:val="18"/>
                <w:lang w:val="es-ES"/>
              </w:rPr>
              <w:t>Argentina</w:t>
            </w:r>
          </w:p>
        </w:tc>
      </w:tr>
      <w:tr w:rsidR="000C16F9" w:rsidRPr="00277B98" w14:paraId="3B85F105" w14:textId="77777777" w:rsidTr="00DC5956">
        <w:tc>
          <w:tcPr>
            <w:tcW w:w="3943" w:type="dxa"/>
          </w:tcPr>
          <w:p w14:paraId="5FCAF11C" w14:textId="77777777" w:rsidR="009F33FF" w:rsidRPr="00A523B2" w:rsidRDefault="0091508A"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Nombre de la C</w:t>
            </w:r>
            <w:r w:rsidR="009F33FF" w:rsidRPr="00A523B2">
              <w:rPr>
                <w:rFonts w:ascii="Arial" w:hAnsi="Arial" w:cs="Arial"/>
                <w:sz w:val="18"/>
                <w:szCs w:val="18"/>
                <w:lang w:val="es-ES"/>
              </w:rPr>
              <w:t>T:</w:t>
            </w:r>
          </w:p>
        </w:tc>
        <w:tc>
          <w:tcPr>
            <w:tcW w:w="4535" w:type="dxa"/>
          </w:tcPr>
          <w:p w14:paraId="5DAB6C7B" w14:textId="2F6F7D3C" w:rsidR="009F33FF" w:rsidRPr="00A523B2" w:rsidRDefault="003D0988" w:rsidP="00594001">
            <w:pPr>
              <w:spacing w:before="60" w:after="60"/>
              <w:ind w:left="74"/>
              <w:rPr>
                <w:rFonts w:ascii="Arial" w:hAnsi="Arial" w:cs="Arial"/>
                <w:sz w:val="18"/>
                <w:szCs w:val="18"/>
                <w:lang w:val="es-ES"/>
              </w:rPr>
            </w:pPr>
            <w:r>
              <w:rPr>
                <w:rFonts w:ascii="Arial" w:hAnsi="Arial" w:cs="Arial"/>
                <w:sz w:val="18"/>
                <w:szCs w:val="18"/>
                <w:lang w:val="es-ES"/>
              </w:rPr>
              <w:t>Analíticas de aprendizaje</w:t>
            </w:r>
            <w:r w:rsidR="00594001">
              <w:rPr>
                <w:rFonts w:ascii="Arial" w:hAnsi="Arial" w:cs="Arial"/>
                <w:sz w:val="18"/>
                <w:szCs w:val="18"/>
                <w:lang w:val="es-ES"/>
              </w:rPr>
              <w:t>, Inteligencia Artificial</w:t>
            </w:r>
            <w:r>
              <w:rPr>
                <w:rFonts w:ascii="Arial" w:hAnsi="Arial" w:cs="Arial"/>
                <w:sz w:val="18"/>
                <w:szCs w:val="18"/>
                <w:lang w:val="es-ES"/>
              </w:rPr>
              <w:t xml:space="preserve"> y Ciencias de Comportamiento para la Calidad Educativa en Argentina</w:t>
            </w:r>
            <w:r w:rsidR="005A78EC">
              <w:rPr>
                <w:rFonts w:ascii="Arial" w:hAnsi="Arial" w:cs="Arial"/>
                <w:sz w:val="18"/>
                <w:szCs w:val="18"/>
                <w:lang w:val="es-ES"/>
              </w:rPr>
              <w:t xml:space="preserve"> en la postpandemia del COVID-19</w:t>
            </w:r>
            <w:r w:rsidR="00816069">
              <w:rPr>
                <w:rFonts w:ascii="Arial" w:hAnsi="Arial" w:cs="Arial"/>
                <w:sz w:val="18"/>
                <w:szCs w:val="18"/>
                <w:lang w:val="es-ES"/>
              </w:rPr>
              <w:t>.</w:t>
            </w:r>
          </w:p>
        </w:tc>
      </w:tr>
      <w:tr w:rsidR="000C16F9" w:rsidRPr="00A523B2" w14:paraId="5714C373" w14:textId="77777777" w:rsidTr="00DC5956">
        <w:tc>
          <w:tcPr>
            <w:tcW w:w="3943" w:type="dxa"/>
          </w:tcPr>
          <w:p w14:paraId="4C82597E" w14:textId="77777777" w:rsidR="009F33FF" w:rsidRPr="00A523B2" w:rsidRDefault="0091508A"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Número de C</w:t>
            </w:r>
            <w:r w:rsidR="009F33FF" w:rsidRPr="00A523B2">
              <w:rPr>
                <w:rFonts w:ascii="Arial" w:hAnsi="Arial" w:cs="Arial"/>
                <w:sz w:val="18"/>
                <w:szCs w:val="18"/>
                <w:lang w:val="es-ES"/>
              </w:rPr>
              <w:t>T:</w:t>
            </w:r>
          </w:p>
        </w:tc>
        <w:tc>
          <w:tcPr>
            <w:tcW w:w="4535" w:type="dxa"/>
          </w:tcPr>
          <w:p w14:paraId="02EB378F" w14:textId="31E37BDE" w:rsidR="009F33FF" w:rsidRPr="00A523B2" w:rsidRDefault="003D0988" w:rsidP="00594001">
            <w:pPr>
              <w:spacing w:before="60" w:after="60"/>
              <w:ind w:left="74"/>
              <w:rPr>
                <w:rFonts w:ascii="Arial" w:hAnsi="Arial" w:cs="Arial"/>
                <w:sz w:val="18"/>
                <w:szCs w:val="18"/>
                <w:lang w:val="es-ES"/>
              </w:rPr>
            </w:pPr>
            <w:r>
              <w:rPr>
                <w:rFonts w:ascii="Arial" w:hAnsi="Arial" w:cs="Arial"/>
                <w:sz w:val="18"/>
                <w:szCs w:val="18"/>
                <w:lang w:val="es-ES"/>
              </w:rPr>
              <w:t>AR-T1251</w:t>
            </w:r>
          </w:p>
        </w:tc>
      </w:tr>
      <w:tr w:rsidR="000C16F9" w:rsidRPr="00277B98" w14:paraId="2A7365E5" w14:textId="77777777" w:rsidTr="00DC5956">
        <w:tc>
          <w:tcPr>
            <w:tcW w:w="3943" w:type="dxa"/>
          </w:tcPr>
          <w:p w14:paraId="230A9DE0" w14:textId="77777777" w:rsidR="009F33FF" w:rsidRPr="00A523B2" w:rsidRDefault="0091508A"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Jefe de Equipo/Miembros</w:t>
            </w:r>
            <w:r w:rsidR="009F33FF" w:rsidRPr="00A523B2">
              <w:rPr>
                <w:rFonts w:ascii="Arial" w:hAnsi="Arial" w:cs="Arial"/>
                <w:sz w:val="18"/>
                <w:szCs w:val="18"/>
                <w:lang w:val="es-ES"/>
              </w:rPr>
              <w:t>:</w:t>
            </w:r>
          </w:p>
        </w:tc>
        <w:tc>
          <w:tcPr>
            <w:tcW w:w="4535" w:type="dxa"/>
          </w:tcPr>
          <w:p w14:paraId="6A05A809" w14:textId="44A6731A" w:rsidR="009F33FF" w:rsidRPr="003D0988" w:rsidRDefault="003D0988" w:rsidP="00594001">
            <w:pPr>
              <w:spacing w:before="60" w:after="60"/>
              <w:ind w:left="74"/>
              <w:rPr>
                <w:rFonts w:ascii="Arial" w:hAnsi="Arial" w:cs="Arial"/>
                <w:sz w:val="18"/>
                <w:szCs w:val="18"/>
                <w:lang w:val="es-ES"/>
              </w:rPr>
            </w:pPr>
            <w:r w:rsidRPr="003D0988">
              <w:rPr>
                <w:rFonts w:ascii="Arial" w:hAnsi="Arial" w:cs="Arial"/>
                <w:sz w:val="18"/>
                <w:szCs w:val="18"/>
                <w:lang w:val="es-ES"/>
              </w:rPr>
              <w:t>Andrea Bergamaschi (EDU/CAR</w:t>
            </w:r>
            <w:r w:rsidR="00594001">
              <w:rPr>
                <w:rFonts w:ascii="Arial" w:hAnsi="Arial" w:cs="Arial"/>
                <w:sz w:val="18"/>
                <w:szCs w:val="18"/>
                <w:lang w:val="es-ES"/>
              </w:rPr>
              <w:t>; Jefa de Equipo</w:t>
            </w:r>
            <w:r w:rsidRPr="003D0988">
              <w:rPr>
                <w:rFonts w:ascii="Arial" w:hAnsi="Arial" w:cs="Arial"/>
                <w:sz w:val="18"/>
                <w:szCs w:val="18"/>
                <w:lang w:val="es-ES"/>
              </w:rPr>
              <w:t>)</w:t>
            </w:r>
            <w:r>
              <w:rPr>
                <w:rFonts w:ascii="Arial" w:hAnsi="Arial" w:cs="Arial"/>
                <w:sz w:val="18"/>
                <w:szCs w:val="18"/>
                <w:lang w:val="es-ES"/>
              </w:rPr>
              <w:t>;</w:t>
            </w:r>
            <w:r w:rsidRPr="003D0988">
              <w:rPr>
                <w:rFonts w:ascii="Arial" w:hAnsi="Arial" w:cs="Arial"/>
                <w:sz w:val="18"/>
                <w:szCs w:val="18"/>
                <w:lang w:val="es-ES"/>
              </w:rPr>
              <w:t xml:space="preserve"> Marcelo Perez Alfaro (EDU/CUR)</w:t>
            </w:r>
            <w:r>
              <w:rPr>
                <w:rFonts w:ascii="Arial" w:hAnsi="Arial" w:cs="Arial"/>
                <w:sz w:val="18"/>
                <w:szCs w:val="18"/>
                <w:lang w:val="es-ES"/>
              </w:rPr>
              <w:t>;</w:t>
            </w:r>
            <w:r w:rsidRPr="003D0988">
              <w:rPr>
                <w:rFonts w:ascii="Arial" w:hAnsi="Arial" w:cs="Arial"/>
                <w:sz w:val="18"/>
                <w:szCs w:val="18"/>
                <w:lang w:val="es-ES"/>
              </w:rPr>
              <w:t xml:space="preserve"> Elena Arias (SCL/EDU)</w:t>
            </w:r>
            <w:r w:rsidR="00594001">
              <w:rPr>
                <w:rFonts w:ascii="Arial" w:hAnsi="Arial" w:cs="Arial"/>
                <w:sz w:val="18"/>
                <w:szCs w:val="18"/>
                <w:lang w:val="es-ES"/>
              </w:rPr>
              <w:t>;</w:t>
            </w:r>
            <w:r w:rsidRPr="003D0988">
              <w:rPr>
                <w:rFonts w:ascii="Arial" w:hAnsi="Arial" w:cs="Arial"/>
                <w:sz w:val="18"/>
                <w:szCs w:val="18"/>
                <w:lang w:val="es-ES"/>
              </w:rPr>
              <w:t xml:space="preserve"> Gregory Elacqua (SCL/EDU)</w:t>
            </w:r>
            <w:r w:rsidR="00594001">
              <w:rPr>
                <w:rFonts w:ascii="Arial" w:hAnsi="Arial" w:cs="Arial"/>
                <w:sz w:val="18"/>
                <w:szCs w:val="18"/>
                <w:lang w:val="es-ES"/>
              </w:rPr>
              <w:t>;</w:t>
            </w:r>
            <w:r w:rsidRPr="003D0988">
              <w:rPr>
                <w:rFonts w:ascii="Arial" w:hAnsi="Arial" w:cs="Arial"/>
                <w:sz w:val="18"/>
                <w:szCs w:val="18"/>
                <w:lang w:val="es-ES"/>
              </w:rPr>
              <w:t xml:space="preserve"> </w:t>
            </w:r>
            <w:r w:rsidR="00594001">
              <w:rPr>
                <w:rFonts w:ascii="Arial" w:hAnsi="Arial" w:cs="Arial"/>
                <w:sz w:val="18"/>
                <w:szCs w:val="18"/>
                <w:lang w:val="es-ES"/>
              </w:rPr>
              <w:t>Gabriela Gambi (SCL/EDU);</w:t>
            </w:r>
            <w:r w:rsidR="006F450B">
              <w:rPr>
                <w:rFonts w:ascii="Arial" w:hAnsi="Arial" w:cs="Arial"/>
                <w:sz w:val="18"/>
                <w:szCs w:val="18"/>
                <w:lang w:val="es-ES"/>
              </w:rPr>
              <w:t xml:space="preserve"> Mario Casco (ITE/IPS);</w:t>
            </w:r>
            <w:r w:rsidR="00594001">
              <w:rPr>
                <w:rFonts w:ascii="Arial" w:hAnsi="Arial" w:cs="Arial"/>
                <w:sz w:val="18"/>
                <w:szCs w:val="18"/>
                <w:lang w:val="es-ES"/>
              </w:rPr>
              <w:t xml:space="preserve"> </w:t>
            </w:r>
            <w:r w:rsidRPr="003D0988">
              <w:rPr>
                <w:rFonts w:ascii="Arial" w:hAnsi="Arial" w:cs="Arial"/>
                <w:sz w:val="18"/>
                <w:szCs w:val="18"/>
                <w:lang w:val="es-ES"/>
              </w:rPr>
              <w:t>Natalia Ruiz (CSC/CAR)</w:t>
            </w:r>
            <w:r w:rsidR="00C14FF2">
              <w:rPr>
                <w:rFonts w:ascii="Arial" w:hAnsi="Arial" w:cs="Arial"/>
                <w:sz w:val="18"/>
                <w:szCs w:val="18"/>
                <w:lang w:val="es-ES"/>
              </w:rPr>
              <w:t>;</w:t>
            </w:r>
            <w:r w:rsidRPr="003D0988">
              <w:rPr>
                <w:rFonts w:ascii="Arial" w:hAnsi="Arial" w:cs="Arial"/>
                <w:sz w:val="18"/>
                <w:szCs w:val="18"/>
                <w:lang w:val="es-ES"/>
              </w:rPr>
              <w:t xml:space="preserve"> Ivana Blasco (SCL/EDU</w:t>
            </w:r>
            <w:r>
              <w:rPr>
                <w:rFonts w:ascii="Arial" w:hAnsi="Arial" w:cs="Arial"/>
                <w:sz w:val="18"/>
                <w:szCs w:val="18"/>
                <w:lang w:val="es-ES"/>
              </w:rPr>
              <w:t>)</w:t>
            </w:r>
            <w:r w:rsidR="00C14FF2">
              <w:rPr>
                <w:rFonts w:ascii="Arial" w:hAnsi="Arial" w:cs="Arial"/>
                <w:sz w:val="18"/>
                <w:szCs w:val="18"/>
                <w:lang w:val="es-ES"/>
              </w:rPr>
              <w:t>.</w:t>
            </w:r>
            <w:r>
              <w:rPr>
                <w:rFonts w:ascii="Arial" w:hAnsi="Arial" w:cs="Arial"/>
                <w:sz w:val="18"/>
                <w:szCs w:val="18"/>
                <w:lang w:val="es-ES"/>
              </w:rPr>
              <w:t xml:space="preserve"> </w:t>
            </w:r>
            <w:r w:rsidRPr="003D0988">
              <w:rPr>
                <w:rFonts w:ascii="Arial" w:hAnsi="Arial" w:cs="Arial"/>
                <w:sz w:val="18"/>
                <w:szCs w:val="18"/>
                <w:lang w:val="es-ES"/>
              </w:rPr>
              <w:t xml:space="preserve"> </w:t>
            </w:r>
          </w:p>
        </w:tc>
      </w:tr>
      <w:tr w:rsidR="00563B1D" w:rsidRPr="003D0988" w14:paraId="6DA7E9D1" w14:textId="77777777" w:rsidTr="00DC5956">
        <w:tc>
          <w:tcPr>
            <w:tcW w:w="3943" w:type="dxa"/>
          </w:tcPr>
          <w:p w14:paraId="468513BA" w14:textId="77777777" w:rsidR="00563B1D" w:rsidRPr="00A523B2" w:rsidRDefault="00563B1D"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Indicar si es: Apoyo Operativo, Apoyo a</w:t>
            </w:r>
            <w:r w:rsidR="00055EF1" w:rsidRPr="00A523B2">
              <w:rPr>
                <w:rFonts w:ascii="Arial" w:hAnsi="Arial" w:cs="Arial"/>
                <w:sz w:val="18"/>
                <w:szCs w:val="18"/>
                <w:lang w:val="es-ES"/>
              </w:rPr>
              <w:t>l</w:t>
            </w:r>
            <w:r w:rsidRPr="00A523B2">
              <w:rPr>
                <w:rFonts w:ascii="Arial" w:hAnsi="Arial" w:cs="Arial"/>
                <w:sz w:val="18"/>
                <w:szCs w:val="18"/>
                <w:lang w:val="es-ES"/>
              </w:rPr>
              <w:t xml:space="preserve"> Cliente, o Investigación y Difusión </w:t>
            </w:r>
          </w:p>
        </w:tc>
        <w:tc>
          <w:tcPr>
            <w:tcW w:w="4535" w:type="dxa"/>
          </w:tcPr>
          <w:p w14:paraId="5A39BBE3" w14:textId="1AEA6091" w:rsidR="00563B1D" w:rsidRPr="00A523B2" w:rsidRDefault="0053046C" w:rsidP="00594001">
            <w:pPr>
              <w:spacing w:before="60" w:after="60"/>
              <w:ind w:left="74"/>
              <w:rPr>
                <w:rFonts w:ascii="Arial" w:hAnsi="Arial" w:cs="Arial"/>
                <w:sz w:val="18"/>
                <w:szCs w:val="18"/>
                <w:lang w:val="es-ES"/>
              </w:rPr>
            </w:pPr>
            <w:r w:rsidRPr="00A523B2">
              <w:rPr>
                <w:rFonts w:ascii="Arial" w:hAnsi="Arial" w:cs="Arial"/>
                <w:sz w:val="18"/>
                <w:szCs w:val="18"/>
                <w:lang w:val="es-ES"/>
              </w:rPr>
              <w:t>Investigación y Difusión</w:t>
            </w:r>
          </w:p>
        </w:tc>
      </w:tr>
      <w:tr w:rsidR="00563B1D" w:rsidRPr="003D0988" w14:paraId="55167F44" w14:textId="77777777" w:rsidTr="00DC5956">
        <w:tc>
          <w:tcPr>
            <w:tcW w:w="3943" w:type="dxa"/>
          </w:tcPr>
          <w:p w14:paraId="6D4C88AE" w14:textId="77777777" w:rsidR="00563B1D" w:rsidRPr="00A523B2" w:rsidRDefault="00563B1D"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Si es Apoyo Operativo, proveer n</w:t>
            </w:r>
            <w:r w:rsidR="00274A3E" w:rsidRPr="00A523B2">
              <w:rPr>
                <w:rFonts w:ascii="Arial" w:hAnsi="Arial" w:cs="Arial"/>
                <w:sz w:val="18"/>
                <w:szCs w:val="18"/>
                <w:lang w:val="es-ES"/>
              </w:rPr>
              <w:t>ú</w:t>
            </w:r>
            <w:r w:rsidRPr="00A523B2">
              <w:rPr>
                <w:rFonts w:ascii="Arial" w:hAnsi="Arial" w:cs="Arial"/>
                <w:sz w:val="18"/>
                <w:szCs w:val="18"/>
                <w:lang w:val="es-ES"/>
              </w:rPr>
              <w:t xml:space="preserve">mero y nombre de la operación que apoyará </w:t>
            </w:r>
            <w:r w:rsidR="00DA7513" w:rsidRPr="00A523B2">
              <w:rPr>
                <w:rFonts w:ascii="Arial" w:hAnsi="Arial" w:cs="Arial"/>
                <w:sz w:val="18"/>
                <w:szCs w:val="18"/>
                <w:lang w:val="es-ES"/>
              </w:rPr>
              <w:t>la CT:</w:t>
            </w:r>
          </w:p>
        </w:tc>
        <w:tc>
          <w:tcPr>
            <w:tcW w:w="4535" w:type="dxa"/>
          </w:tcPr>
          <w:p w14:paraId="41C8F396" w14:textId="7D51537A" w:rsidR="00563B1D" w:rsidRPr="00A523B2" w:rsidRDefault="003D0988" w:rsidP="00594001">
            <w:pPr>
              <w:spacing w:before="60" w:after="60"/>
              <w:ind w:left="74"/>
              <w:rPr>
                <w:rFonts w:ascii="Arial" w:hAnsi="Arial" w:cs="Arial"/>
                <w:sz w:val="18"/>
                <w:szCs w:val="18"/>
                <w:lang w:val="es-ES"/>
              </w:rPr>
            </w:pPr>
            <w:r>
              <w:rPr>
                <w:rFonts w:ascii="Arial" w:hAnsi="Arial" w:cs="Arial"/>
                <w:sz w:val="18"/>
                <w:szCs w:val="18"/>
                <w:lang w:val="es-ES"/>
              </w:rPr>
              <w:t>N/A</w:t>
            </w:r>
          </w:p>
        </w:tc>
      </w:tr>
      <w:tr w:rsidR="00DA7513" w:rsidRPr="003D0988" w14:paraId="11F7A47A" w14:textId="77777777" w:rsidTr="00DC5956">
        <w:tc>
          <w:tcPr>
            <w:tcW w:w="3943" w:type="dxa"/>
          </w:tcPr>
          <w:p w14:paraId="5458F19A" w14:textId="77777777" w:rsidR="00DA7513" w:rsidRPr="00A523B2" w:rsidRDefault="00DA7513"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Referencia a la Solicitud</w:t>
            </w:r>
            <w:r w:rsidRPr="00A523B2">
              <w:rPr>
                <w:rStyle w:val="FootnoteReference"/>
                <w:rFonts w:ascii="Arial" w:hAnsi="Arial" w:cs="Arial"/>
                <w:sz w:val="18"/>
                <w:szCs w:val="18"/>
                <w:lang w:val="es-ES"/>
              </w:rPr>
              <w:footnoteReference w:id="1"/>
            </w:r>
            <w:r w:rsidRPr="00A523B2">
              <w:rPr>
                <w:rFonts w:ascii="Arial" w:hAnsi="Arial" w:cs="Arial"/>
                <w:sz w:val="18"/>
                <w:szCs w:val="18"/>
                <w:lang w:val="es-ES"/>
              </w:rPr>
              <w:t xml:space="preserve">: </w:t>
            </w:r>
            <w:r w:rsidR="00055EF1" w:rsidRPr="00A523B2">
              <w:rPr>
                <w:rFonts w:ascii="Arial" w:hAnsi="Arial" w:cs="Arial"/>
                <w:sz w:val="18"/>
                <w:szCs w:val="18"/>
                <w:lang w:val="es-ES"/>
              </w:rPr>
              <w:t>(</w:t>
            </w:r>
            <w:r w:rsidRPr="00A523B2">
              <w:rPr>
                <w:rFonts w:ascii="Arial" w:hAnsi="Arial" w:cs="Arial"/>
                <w:sz w:val="18"/>
                <w:szCs w:val="18"/>
                <w:lang w:val="es-ES"/>
              </w:rPr>
              <w:t>IDBDOCS #)</w:t>
            </w:r>
          </w:p>
        </w:tc>
        <w:tc>
          <w:tcPr>
            <w:tcW w:w="4535" w:type="dxa"/>
          </w:tcPr>
          <w:p w14:paraId="72A3D3EC" w14:textId="1688B894" w:rsidR="00DA7513" w:rsidRPr="00A523B2" w:rsidRDefault="0053046C" w:rsidP="00594001">
            <w:pPr>
              <w:spacing w:before="60" w:after="60"/>
              <w:ind w:left="74"/>
              <w:rPr>
                <w:rFonts w:ascii="Arial" w:hAnsi="Arial" w:cs="Arial"/>
                <w:sz w:val="18"/>
                <w:szCs w:val="18"/>
                <w:lang w:val="es-ES"/>
              </w:rPr>
            </w:pPr>
            <w:r>
              <w:rPr>
                <w:rFonts w:ascii="Arial" w:hAnsi="Arial" w:cs="Arial"/>
                <w:sz w:val="18"/>
                <w:szCs w:val="18"/>
                <w:lang w:val="pt-BR"/>
              </w:rPr>
              <w:t>N/A</w:t>
            </w:r>
          </w:p>
        </w:tc>
      </w:tr>
      <w:tr w:rsidR="00DA7513" w:rsidRPr="003D0988" w14:paraId="44C17AC9" w14:textId="77777777" w:rsidTr="00DC5956">
        <w:tc>
          <w:tcPr>
            <w:tcW w:w="3943" w:type="dxa"/>
          </w:tcPr>
          <w:p w14:paraId="486703EC" w14:textId="77777777" w:rsidR="00DA7513" w:rsidRPr="00A523B2" w:rsidRDefault="00DA7513"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Fecha del Abstracto de CT:</w:t>
            </w:r>
          </w:p>
        </w:tc>
        <w:tc>
          <w:tcPr>
            <w:tcW w:w="4535" w:type="dxa"/>
          </w:tcPr>
          <w:p w14:paraId="0D0B940D" w14:textId="161DB067" w:rsidR="00DA7513" w:rsidRPr="00A523B2" w:rsidRDefault="00FE7ECC" w:rsidP="00594001">
            <w:pPr>
              <w:spacing w:before="60" w:after="60"/>
              <w:ind w:left="74"/>
              <w:rPr>
                <w:rFonts w:ascii="Arial" w:hAnsi="Arial" w:cs="Arial"/>
                <w:sz w:val="18"/>
                <w:szCs w:val="18"/>
                <w:lang w:val="es-ES"/>
              </w:rPr>
            </w:pPr>
            <w:r>
              <w:rPr>
                <w:rFonts w:ascii="Arial" w:hAnsi="Arial" w:cs="Arial"/>
                <w:sz w:val="18"/>
                <w:szCs w:val="18"/>
                <w:lang w:val="es-ES"/>
              </w:rPr>
              <w:t>23</w:t>
            </w:r>
            <w:r w:rsidR="003D0988">
              <w:rPr>
                <w:rFonts w:ascii="Arial" w:hAnsi="Arial" w:cs="Arial"/>
                <w:sz w:val="18"/>
                <w:szCs w:val="18"/>
                <w:lang w:val="es-ES"/>
              </w:rPr>
              <w:t>/09/2021</w:t>
            </w:r>
          </w:p>
        </w:tc>
      </w:tr>
      <w:tr w:rsidR="000C16F9" w:rsidRPr="003D0988" w14:paraId="1EA9AA0A" w14:textId="77777777" w:rsidTr="00DC5956">
        <w:tc>
          <w:tcPr>
            <w:tcW w:w="3943" w:type="dxa"/>
          </w:tcPr>
          <w:p w14:paraId="784D5A3A" w14:textId="77777777" w:rsidR="009F33FF" w:rsidRPr="00A523B2" w:rsidRDefault="009F33FF"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Beneficiar</w:t>
            </w:r>
            <w:r w:rsidR="0091508A" w:rsidRPr="00A523B2">
              <w:rPr>
                <w:rFonts w:ascii="Arial" w:hAnsi="Arial" w:cs="Arial"/>
                <w:sz w:val="18"/>
                <w:szCs w:val="18"/>
                <w:lang w:val="es-ES"/>
              </w:rPr>
              <w:t xml:space="preserve">io </w:t>
            </w:r>
            <w:r w:rsidRPr="00A523B2">
              <w:rPr>
                <w:rFonts w:ascii="Arial" w:hAnsi="Arial" w:cs="Arial"/>
                <w:sz w:val="18"/>
                <w:szCs w:val="18"/>
                <w:lang w:val="es-ES"/>
              </w:rPr>
              <w:t>(</w:t>
            </w:r>
            <w:r w:rsidR="00E33333" w:rsidRPr="00A523B2">
              <w:rPr>
                <w:rFonts w:ascii="Arial" w:hAnsi="Arial" w:cs="Arial"/>
                <w:sz w:val="18"/>
                <w:szCs w:val="18"/>
                <w:lang w:val="es-ES"/>
              </w:rPr>
              <w:t>países</w:t>
            </w:r>
            <w:r w:rsidR="0091508A" w:rsidRPr="00A523B2">
              <w:rPr>
                <w:rFonts w:ascii="Arial" w:hAnsi="Arial" w:cs="Arial"/>
                <w:sz w:val="18"/>
                <w:szCs w:val="18"/>
                <w:lang w:val="es-ES"/>
              </w:rPr>
              <w:t xml:space="preserve"> o entidades que </w:t>
            </w:r>
            <w:r w:rsidR="00E33333" w:rsidRPr="00A523B2">
              <w:rPr>
                <w:rFonts w:ascii="Arial" w:hAnsi="Arial" w:cs="Arial"/>
                <w:sz w:val="18"/>
                <w:szCs w:val="18"/>
                <w:lang w:val="es-ES"/>
              </w:rPr>
              <w:t>recibirán</w:t>
            </w:r>
            <w:r w:rsidR="0091508A" w:rsidRPr="00A523B2">
              <w:rPr>
                <w:rFonts w:ascii="Arial" w:hAnsi="Arial" w:cs="Arial"/>
                <w:sz w:val="18"/>
                <w:szCs w:val="18"/>
                <w:lang w:val="es-ES"/>
              </w:rPr>
              <w:t xml:space="preserve"> la asistencia </w:t>
            </w:r>
            <w:r w:rsidR="00E33333" w:rsidRPr="00A523B2">
              <w:rPr>
                <w:rFonts w:ascii="Arial" w:hAnsi="Arial" w:cs="Arial"/>
                <w:sz w:val="18"/>
                <w:szCs w:val="18"/>
                <w:lang w:val="es-ES"/>
              </w:rPr>
              <w:t>técnica</w:t>
            </w:r>
            <w:r w:rsidRPr="00A523B2">
              <w:rPr>
                <w:rFonts w:ascii="Arial" w:hAnsi="Arial" w:cs="Arial"/>
                <w:sz w:val="18"/>
                <w:szCs w:val="18"/>
                <w:lang w:val="es-ES"/>
              </w:rPr>
              <w:t>):</w:t>
            </w:r>
          </w:p>
        </w:tc>
        <w:tc>
          <w:tcPr>
            <w:tcW w:w="4535" w:type="dxa"/>
          </w:tcPr>
          <w:p w14:paraId="0E27B00A" w14:textId="3A8330C4" w:rsidR="009F33FF" w:rsidRPr="00A523B2" w:rsidRDefault="003D0988" w:rsidP="00594001">
            <w:pPr>
              <w:tabs>
                <w:tab w:val="left" w:pos="840"/>
              </w:tabs>
              <w:spacing w:before="60" w:after="60"/>
              <w:ind w:left="74"/>
              <w:rPr>
                <w:rFonts w:ascii="Arial" w:hAnsi="Arial" w:cs="Arial"/>
                <w:sz w:val="18"/>
                <w:szCs w:val="18"/>
                <w:lang w:val="es-ES"/>
              </w:rPr>
            </w:pPr>
            <w:r>
              <w:rPr>
                <w:rFonts w:ascii="Arial" w:hAnsi="Arial" w:cs="Arial"/>
                <w:sz w:val="18"/>
                <w:szCs w:val="18"/>
                <w:lang w:val="es-ES"/>
              </w:rPr>
              <w:t>Argentina</w:t>
            </w:r>
          </w:p>
        </w:tc>
      </w:tr>
      <w:tr w:rsidR="000C16F9" w:rsidRPr="003D0988" w14:paraId="038E5F1D" w14:textId="77777777" w:rsidTr="00DC5956">
        <w:tc>
          <w:tcPr>
            <w:tcW w:w="3943" w:type="dxa"/>
          </w:tcPr>
          <w:p w14:paraId="18BF78AE" w14:textId="448E2F3E" w:rsidR="009F33FF" w:rsidRPr="00A523B2" w:rsidRDefault="0091508A"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 xml:space="preserve">Agencia Ejecutora y nombre de contacto </w:t>
            </w:r>
          </w:p>
        </w:tc>
        <w:tc>
          <w:tcPr>
            <w:tcW w:w="4535" w:type="dxa"/>
          </w:tcPr>
          <w:p w14:paraId="60061E4C" w14:textId="4C8DEF9B" w:rsidR="009F33FF" w:rsidRPr="00A523B2" w:rsidRDefault="003D0988" w:rsidP="00594001">
            <w:pPr>
              <w:spacing w:before="60" w:after="60"/>
              <w:ind w:left="74"/>
              <w:rPr>
                <w:rFonts w:ascii="Arial" w:hAnsi="Arial" w:cs="Arial"/>
                <w:sz w:val="18"/>
                <w:szCs w:val="18"/>
                <w:lang w:val="es-ES"/>
              </w:rPr>
            </w:pPr>
            <w:r>
              <w:rPr>
                <w:rFonts w:ascii="Arial" w:hAnsi="Arial" w:cs="Arial"/>
                <w:sz w:val="18"/>
                <w:szCs w:val="18"/>
                <w:lang w:val="es-ES"/>
              </w:rPr>
              <w:t xml:space="preserve">Banco Interamericano de Desarrollo. </w:t>
            </w:r>
          </w:p>
        </w:tc>
      </w:tr>
      <w:tr w:rsidR="000C16F9" w:rsidRPr="00A523B2" w14:paraId="76038F20" w14:textId="77777777" w:rsidTr="00DC5956">
        <w:tc>
          <w:tcPr>
            <w:tcW w:w="3943" w:type="dxa"/>
          </w:tcPr>
          <w:p w14:paraId="643E4701" w14:textId="77777777" w:rsidR="009F33FF" w:rsidRPr="00A523B2" w:rsidRDefault="00E33333"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Financiamiento Solicitado del BID</w:t>
            </w:r>
            <w:r w:rsidR="009F33FF" w:rsidRPr="00A523B2">
              <w:rPr>
                <w:rFonts w:ascii="Arial" w:hAnsi="Arial" w:cs="Arial"/>
                <w:sz w:val="18"/>
                <w:szCs w:val="18"/>
                <w:lang w:val="es-ES"/>
              </w:rPr>
              <w:t>:</w:t>
            </w:r>
          </w:p>
        </w:tc>
        <w:tc>
          <w:tcPr>
            <w:tcW w:w="4535" w:type="dxa"/>
          </w:tcPr>
          <w:p w14:paraId="44EAFD9C" w14:textId="0F723304" w:rsidR="009F33FF" w:rsidRPr="00A523B2" w:rsidRDefault="00363C66" w:rsidP="00594001">
            <w:pPr>
              <w:spacing w:before="60" w:after="60"/>
              <w:ind w:left="74"/>
              <w:rPr>
                <w:rFonts w:ascii="Arial" w:hAnsi="Arial" w:cs="Arial"/>
                <w:sz w:val="18"/>
                <w:szCs w:val="18"/>
                <w:lang w:val="es-ES"/>
              </w:rPr>
            </w:pPr>
            <w:r>
              <w:rPr>
                <w:rFonts w:ascii="Arial" w:hAnsi="Arial" w:cs="Arial"/>
                <w:sz w:val="18"/>
                <w:szCs w:val="18"/>
                <w:lang w:val="es-ES"/>
              </w:rPr>
              <w:t>US$</w:t>
            </w:r>
            <w:r w:rsidR="003D0988">
              <w:rPr>
                <w:rFonts w:ascii="Arial" w:hAnsi="Arial" w:cs="Arial"/>
                <w:sz w:val="18"/>
                <w:szCs w:val="18"/>
                <w:lang w:val="es-ES"/>
              </w:rPr>
              <w:t>200,000</w:t>
            </w:r>
          </w:p>
        </w:tc>
      </w:tr>
      <w:tr w:rsidR="000C16F9" w:rsidRPr="00A523B2" w14:paraId="7A8751C5" w14:textId="77777777" w:rsidTr="00DC5956">
        <w:tc>
          <w:tcPr>
            <w:tcW w:w="3943" w:type="dxa"/>
          </w:tcPr>
          <w:p w14:paraId="5669A963" w14:textId="77777777" w:rsidR="009F33FF" w:rsidRPr="00A523B2" w:rsidRDefault="00E33333"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 xml:space="preserve">Contrapartida </w:t>
            </w:r>
            <w:r w:rsidR="009F33FF" w:rsidRPr="00A523B2">
              <w:rPr>
                <w:rFonts w:ascii="Arial" w:hAnsi="Arial" w:cs="Arial"/>
                <w:sz w:val="18"/>
                <w:szCs w:val="18"/>
                <w:lang w:val="es-ES"/>
              </w:rPr>
              <w:t xml:space="preserve">Local, </w:t>
            </w:r>
            <w:r w:rsidRPr="00A523B2">
              <w:rPr>
                <w:rFonts w:ascii="Arial" w:hAnsi="Arial" w:cs="Arial"/>
                <w:sz w:val="18"/>
                <w:szCs w:val="18"/>
                <w:lang w:val="es-ES"/>
              </w:rPr>
              <w:t>si hay</w:t>
            </w:r>
            <w:r w:rsidR="009F33FF" w:rsidRPr="00A523B2">
              <w:rPr>
                <w:rFonts w:ascii="Arial" w:hAnsi="Arial" w:cs="Arial"/>
                <w:sz w:val="18"/>
                <w:szCs w:val="18"/>
                <w:lang w:val="es-ES"/>
              </w:rPr>
              <w:t>:</w:t>
            </w:r>
          </w:p>
        </w:tc>
        <w:tc>
          <w:tcPr>
            <w:tcW w:w="4535" w:type="dxa"/>
          </w:tcPr>
          <w:p w14:paraId="4B94D5A5" w14:textId="5A331AAA" w:rsidR="009F33FF" w:rsidRPr="00A523B2" w:rsidRDefault="003D0988" w:rsidP="00594001">
            <w:pPr>
              <w:spacing w:before="60" w:after="60"/>
              <w:ind w:left="74"/>
              <w:rPr>
                <w:rFonts w:ascii="Arial" w:hAnsi="Arial" w:cs="Arial"/>
                <w:sz w:val="18"/>
                <w:szCs w:val="18"/>
                <w:lang w:val="es-ES"/>
              </w:rPr>
            </w:pPr>
            <w:r>
              <w:rPr>
                <w:rFonts w:ascii="Arial" w:hAnsi="Arial" w:cs="Arial"/>
                <w:sz w:val="18"/>
                <w:szCs w:val="18"/>
                <w:lang w:val="es-ES"/>
              </w:rPr>
              <w:t>0</w:t>
            </w:r>
          </w:p>
        </w:tc>
      </w:tr>
      <w:tr w:rsidR="000C16F9" w:rsidRPr="003D0988" w14:paraId="72E45707" w14:textId="77777777" w:rsidTr="00DC5956">
        <w:tc>
          <w:tcPr>
            <w:tcW w:w="3943" w:type="dxa"/>
          </w:tcPr>
          <w:p w14:paraId="59EB8350" w14:textId="77777777" w:rsidR="009F33FF" w:rsidRPr="00A523B2" w:rsidRDefault="00E33333"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 xml:space="preserve">Periodo de Desembolso </w:t>
            </w:r>
            <w:r w:rsidR="00433246" w:rsidRPr="00A523B2">
              <w:rPr>
                <w:rFonts w:ascii="Arial" w:hAnsi="Arial" w:cs="Arial"/>
                <w:sz w:val="18"/>
                <w:szCs w:val="18"/>
                <w:lang w:val="es-ES"/>
              </w:rPr>
              <w:t>(</w:t>
            </w:r>
            <w:r w:rsidRPr="00A523B2">
              <w:rPr>
                <w:rFonts w:ascii="Arial" w:hAnsi="Arial" w:cs="Arial"/>
                <w:sz w:val="18"/>
                <w:szCs w:val="18"/>
                <w:lang w:val="es-ES"/>
              </w:rPr>
              <w:t>incluye periodo de ejecución</w:t>
            </w:r>
            <w:r w:rsidR="009F33FF" w:rsidRPr="00A523B2">
              <w:rPr>
                <w:rFonts w:ascii="Arial" w:hAnsi="Arial" w:cs="Arial"/>
                <w:sz w:val="18"/>
                <w:szCs w:val="18"/>
                <w:lang w:val="es-ES"/>
              </w:rPr>
              <w:t>):</w:t>
            </w:r>
          </w:p>
        </w:tc>
        <w:tc>
          <w:tcPr>
            <w:tcW w:w="4535" w:type="dxa"/>
          </w:tcPr>
          <w:p w14:paraId="3DEEC669" w14:textId="1DB73EC8" w:rsidR="009F33FF" w:rsidRPr="00A523B2" w:rsidRDefault="006A2727" w:rsidP="00594001">
            <w:pPr>
              <w:spacing w:before="60" w:after="60"/>
              <w:ind w:left="74"/>
              <w:rPr>
                <w:rFonts w:ascii="Arial" w:hAnsi="Arial" w:cs="Arial"/>
                <w:sz w:val="18"/>
                <w:szCs w:val="18"/>
                <w:lang w:val="es-ES"/>
              </w:rPr>
            </w:pPr>
            <w:r>
              <w:rPr>
                <w:rFonts w:ascii="Arial" w:hAnsi="Arial" w:cs="Arial"/>
                <w:sz w:val="18"/>
                <w:szCs w:val="18"/>
                <w:lang w:val="es-ES"/>
              </w:rPr>
              <w:t>24</w:t>
            </w:r>
            <w:r w:rsidR="003D0988">
              <w:rPr>
                <w:rFonts w:ascii="Arial" w:hAnsi="Arial" w:cs="Arial"/>
                <w:sz w:val="18"/>
                <w:szCs w:val="18"/>
                <w:lang w:val="es-ES"/>
              </w:rPr>
              <w:t xml:space="preserve"> meses</w:t>
            </w:r>
          </w:p>
        </w:tc>
      </w:tr>
      <w:tr w:rsidR="000C16F9" w:rsidRPr="00A523B2" w14:paraId="34A23B81" w14:textId="77777777" w:rsidTr="00DC5956">
        <w:tc>
          <w:tcPr>
            <w:tcW w:w="3943" w:type="dxa"/>
          </w:tcPr>
          <w:p w14:paraId="1AF90798" w14:textId="77777777" w:rsidR="009F33FF" w:rsidRPr="00A523B2" w:rsidRDefault="00E33333"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Fecha de Inicio</w:t>
            </w:r>
            <w:r w:rsidR="00F50742" w:rsidRPr="00A523B2">
              <w:rPr>
                <w:rFonts w:ascii="Arial" w:hAnsi="Arial" w:cs="Arial"/>
                <w:sz w:val="18"/>
                <w:szCs w:val="18"/>
                <w:lang w:val="es-ES"/>
              </w:rPr>
              <w:t xml:space="preserve"> </w:t>
            </w:r>
            <w:r w:rsidR="00055EF1" w:rsidRPr="00A523B2">
              <w:rPr>
                <w:rFonts w:ascii="Arial" w:hAnsi="Arial" w:cs="Arial"/>
                <w:sz w:val="18"/>
                <w:szCs w:val="18"/>
                <w:lang w:val="es-ES"/>
              </w:rPr>
              <w:t>R</w:t>
            </w:r>
            <w:r w:rsidR="00F50742" w:rsidRPr="00A523B2">
              <w:rPr>
                <w:rFonts w:ascii="Arial" w:hAnsi="Arial" w:cs="Arial"/>
                <w:sz w:val="18"/>
                <w:szCs w:val="18"/>
                <w:lang w:val="es-ES"/>
              </w:rPr>
              <w:t>equerido</w:t>
            </w:r>
            <w:r w:rsidR="009F33FF" w:rsidRPr="00A523B2">
              <w:rPr>
                <w:rFonts w:ascii="Arial" w:hAnsi="Arial" w:cs="Arial"/>
                <w:sz w:val="18"/>
                <w:szCs w:val="18"/>
                <w:lang w:val="es-ES"/>
              </w:rPr>
              <w:t>:</w:t>
            </w:r>
          </w:p>
        </w:tc>
        <w:tc>
          <w:tcPr>
            <w:tcW w:w="4535" w:type="dxa"/>
          </w:tcPr>
          <w:p w14:paraId="3656B9AB" w14:textId="459BC60F" w:rsidR="009F33FF" w:rsidRPr="00A523B2" w:rsidRDefault="003D0988" w:rsidP="00594001">
            <w:pPr>
              <w:spacing w:before="60" w:after="60"/>
              <w:ind w:left="74"/>
              <w:rPr>
                <w:rFonts w:ascii="Arial" w:hAnsi="Arial" w:cs="Arial"/>
                <w:sz w:val="18"/>
                <w:szCs w:val="18"/>
                <w:lang w:val="es-ES"/>
              </w:rPr>
            </w:pPr>
            <w:r>
              <w:rPr>
                <w:rFonts w:ascii="Arial" w:hAnsi="Arial" w:cs="Arial"/>
                <w:sz w:val="18"/>
                <w:szCs w:val="18"/>
                <w:lang w:val="es-ES"/>
              </w:rPr>
              <w:t>02/01/2022</w:t>
            </w:r>
          </w:p>
        </w:tc>
      </w:tr>
      <w:tr w:rsidR="000C16F9" w:rsidRPr="00A523B2" w14:paraId="2E031584" w14:textId="77777777" w:rsidTr="00DC5956">
        <w:tc>
          <w:tcPr>
            <w:tcW w:w="3943" w:type="dxa"/>
          </w:tcPr>
          <w:p w14:paraId="0D949F12" w14:textId="77777777" w:rsidR="009F33FF" w:rsidRPr="00A523B2" w:rsidRDefault="00E33333"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 xml:space="preserve">Tipos de consultores </w:t>
            </w:r>
            <w:r w:rsidR="009F33FF" w:rsidRPr="00A523B2">
              <w:rPr>
                <w:rFonts w:ascii="Arial" w:hAnsi="Arial" w:cs="Arial"/>
                <w:sz w:val="18"/>
                <w:szCs w:val="18"/>
                <w:lang w:val="es-ES"/>
              </w:rPr>
              <w:t>(firm</w:t>
            </w:r>
            <w:r w:rsidRPr="00A523B2">
              <w:rPr>
                <w:rFonts w:ascii="Arial" w:hAnsi="Arial" w:cs="Arial"/>
                <w:sz w:val="18"/>
                <w:szCs w:val="18"/>
                <w:lang w:val="es-ES"/>
              </w:rPr>
              <w:t>as</w:t>
            </w:r>
            <w:r w:rsidR="009F33FF" w:rsidRPr="00A523B2">
              <w:rPr>
                <w:rFonts w:ascii="Arial" w:hAnsi="Arial" w:cs="Arial"/>
                <w:sz w:val="18"/>
                <w:szCs w:val="18"/>
                <w:lang w:val="es-ES"/>
              </w:rPr>
              <w:t xml:space="preserve"> o </w:t>
            </w:r>
            <w:r w:rsidRPr="00A523B2">
              <w:rPr>
                <w:rFonts w:ascii="Arial" w:hAnsi="Arial" w:cs="Arial"/>
                <w:sz w:val="18"/>
                <w:szCs w:val="18"/>
                <w:lang w:val="es-ES"/>
              </w:rPr>
              <w:t xml:space="preserve">consultores </w:t>
            </w:r>
            <w:r w:rsidR="009F33FF" w:rsidRPr="00A523B2">
              <w:rPr>
                <w:rFonts w:ascii="Arial" w:hAnsi="Arial" w:cs="Arial"/>
                <w:sz w:val="18"/>
                <w:szCs w:val="18"/>
                <w:lang w:val="es-ES"/>
              </w:rPr>
              <w:t>individual</w:t>
            </w:r>
            <w:r w:rsidRPr="00A523B2">
              <w:rPr>
                <w:rFonts w:ascii="Arial" w:hAnsi="Arial" w:cs="Arial"/>
                <w:sz w:val="18"/>
                <w:szCs w:val="18"/>
                <w:lang w:val="es-ES"/>
              </w:rPr>
              <w:t>es</w:t>
            </w:r>
            <w:r w:rsidR="009F33FF" w:rsidRPr="00A523B2">
              <w:rPr>
                <w:rFonts w:ascii="Arial" w:hAnsi="Arial" w:cs="Arial"/>
                <w:sz w:val="18"/>
                <w:szCs w:val="18"/>
                <w:lang w:val="es-ES"/>
              </w:rPr>
              <w:t>):</w:t>
            </w:r>
          </w:p>
        </w:tc>
        <w:tc>
          <w:tcPr>
            <w:tcW w:w="4535" w:type="dxa"/>
          </w:tcPr>
          <w:p w14:paraId="45FB0818" w14:textId="175AB932" w:rsidR="009F33FF" w:rsidRPr="00A523B2" w:rsidRDefault="003D0988" w:rsidP="00594001">
            <w:pPr>
              <w:spacing w:before="60" w:after="60"/>
              <w:ind w:left="74"/>
              <w:rPr>
                <w:rFonts w:ascii="Arial" w:hAnsi="Arial" w:cs="Arial"/>
                <w:sz w:val="18"/>
                <w:szCs w:val="18"/>
                <w:lang w:val="es-ES"/>
              </w:rPr>
            </w:pPr>
            <w:r>
              <w:rPr>
                <w:rFonts w:ascii="Arial" w:hAnsi="Arial" w:cs="Arial"/>
                <w:sz w:val="18"/>
                <w:szCs w:val="18"/>
                <w:lang w:val="es-ES"/>
              </w:rPr>
              <w:t>Firmas y consultores individuales</w:t>
            </w:r>
          </w:p>
        </w:tc>
      </w:tr>
      <w:tr w:rsidR="000C16F9" w:rsidRPr="00A523B2" w14:paraId="2B90F96D" w14:textId="77777777" w:rsidTr="00DC5956">
        <w:tc>
          <w:tcPr>
            <w:tcW w:w="3943" w:type="dxa"/>
          </w:tcPr>
          <w:p w14:paraId="7D8DCDD5" w14:textId="77777777" w:rsidR="009F33FF" w:rsidRPr="00A523B2" w:rsidRDefault="00E33333"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Unidad de Preparación</w:t>
            </w:r>
            <w:r w:rsidR="009F33FF" w:rsidRPr="00A523B2">
              <w:rPr>
                <w:rFonts w:ascii="Arial" w:hAnsi="Arial" w:cs="Arial"/>
                <w:sz w:val="18"/>
                <w:szCs w:val="18"/>
                <w:lang w:val="es-ES"/>
              </w:rPr>
              <w:t>:</w:t>
            </w:r>
          </w:p>
        </w:tc>
        <w:tc>
          <w:tcPr>
            <w:tcW w:w="4535" w:type="dxa"/>
          </w:tcPr>
          <w:p w14:paraId="049F31CB" w14:textId="3AB5BC3B" w:rsidR="009F33FF" w:rsidRPr="00A523B2" w:rsidRDefault="003D0988" w:rsidP="00594001">
            <w:pPr>
              <w:spacing w:before="60" w:after="60"/>
              <w:ind w:left="74"/>
              <w:rPr>
                <w:rFonts w:ascii="Arial" w:hAnsi="Arial" w:cs="Arial"/>
                <w:sz w:val="18"/>
                <w:szCs w:val="18"/>
                <w:lang w:val="es-ES"/>
              </w:rPr>
            </w:pPr>
            <w:r>
              <w:rPr>
                <w:rFonts w:ascii="Arial" w:hAnsi="Arial" w:cs="Arial"/>
                <w:sz w:val="18"/>
                <w:szCs w:val="18"/>
                <w:lang w:val="es-ES"/>
              </w:rPr>
              <w:t>SCL/EDU</w:t>
            </w:r>
          </w:p>
        </w:tc>
      </w:tr>
      <w:tr w:rsidR="000C16F9" w:rsidRPr="003D0988" w14:paraId="6C49A12E" w14:textId="77777777" w:rsidTr="00DC5956">
        <w:tc>
          <w:tcPr>
            <w:tcW w:w="3943" w:type="dxa"/>
          </w:tcPr>
          <w:p w14:paraId="288FBCF3" w14:textId="77777777" w:rsidR="009F33FF" w:rsidRPr="00A523B2" w:rsidRDefault="009F33FF" w:rsidP="004D3BAA">
            <w:pPr>
              <w:pStyle w:val="ListParagraph"/>
              <w:numPr>
                <w:ilvl w:val="0"/>
                <w:numId w:val="2"/>
              </w:numPr>
              <w:spacing w:before="60" w:after="60"/>
              <w:ind w:left="180" w:hanging="180"/>
              <w:contextualSpacing w:val="0"/>
              <w:jc w:val="both"/>
              <w:rPr>
                <w:rFonts w:ascii="Arial" w:hAnsi="Arial" w:cs="Arial"/>
                <w:sz w:val="18"/>
                <w:szCs w:val="18"/>
                <w:lang w:val="es-ES"/>
              </w:rPr>
            </w:pPr>
            <w:r w:rsidRPr="00A523B2">
              <w:rPr>
                <w:rFonts w:ascii="Arial" w:hAnsi="Arial" w:cs="Arial"/>
                <w:sz w:val="18"/>
                <w:szCs w:val="18"/>
                <w:lang w:val="es-ES"/>
              </w:rPr>
              <w:t>Uni</w:t>
            </w:r>
            <w:r w:rsidR="00E33333" w:rsidRPr="00A523B2">
              <w:rPr>
                <w:rFonts w:ascii="Arial" w:hAnsi="Arial" w:cs="Arial"/>
                <w:sz w:val="18"/>
                <w:szCs w:val="18"/>
                <w:lang w:val="es-ES"/>
              </w:rPr>
              <w:t>dad Responsab</w:t>
            </w:r>
            <w:r w:rsidR="00F50742" w:rsidRPr="00A523B2">
              <w:rPr>
                <w:rFonts w:ascii="Arial" w:hAnsi="Arial" w:cs="Arial"/>
                <w:sz w:val="18"/>
                <w:szCs w:val="18"/>
                <w:lang w:val="es-ES"/>
              </w:rPr>
              <w:t>le</w:t>
            </w:r>
            <w:r w:rsidR="00E33333" w:rsidRPr="00A523B2">
              <w:rPr>
                <w:rFonts w:ascii="Arial" w:hAnsi="Arial" w:cs="Arial"/>
                <w:sz w:val="18"/>
                <w:szCs w:val="18"/>
                <w:lang w:val="es-ES"/>
              </w:rPr>
              <w:t xml:space="preserve"> de Desembolso</w:t>
            </w:r>
            <w:r w:rsidR="000259D8" w:rsidRPr="00A523B2">
              <w:rPr>
                <w:rFonts w:ascii="Arial" w:hAnsi="Arial" w:cs="Arial"/>
                <w:sz w:val="18"/>
                <w:szCs w:val="18"/>
                <w:lang w:val="es-ES"/>
              </w:rPr>
              <w:t xml:space="preserve"> (UDR)</w:t>
            </w:r>
            <w:r w:rsidRPr="00A523B2">
              <w:rPr>
                <w:rFonts w:ascii="Arial" w:hAnsi="Arial" w:cs="Arial"/>
                <w:sz w:val="18"/>
                <w:szCs w:val="18"/>
                <w:lang w:val="es-ES"/>
              </w:rPr>
              <w:t>:</w:t>
            </w:r>
          </w:p>
        </w:tc>
        <w:tc>
          <w:tcPr>
            <w:tcW w:w="4535" w:type="dxa"/>
          </w:tcPr>
          <w:p w14:paraId="53128261" w14:textId="19F04FA8" w:rsidR="009F33FF" w:rsidRPr="00A523B2" w:rsidRDefault="00363C66" w:rsidP="00594001">
            <w:pPr>
              <w:spacing w:before="60" w:after="60"/>
              <w:ind w:left="74"/>
              <w:rPr>
                <w:rFonts w:ascii="Arial" w:hAnsi="Arial" w:cs="Arial"/>
                <w:sz w:val="18"/>
                <w:szCs w:val="18"/>
                <w:lang w:val="es-ES"/>
              </w:rPr>
            </w:pPr>
            <w:r>
              <w:rPr>
                <w:rFonts w:ascii="Arial" w:hAnsi="Arial" w:cs="Arial"/>
                <w:sz w:val="18"/>
                <w:szCs w:val="18"/>
                <w:lang w:val="es-ES"/>
              </w:rPr>
              <w:t>CSC</w:t>
            </w:r>
            <w:r w:rsidR="003D0988">
              <w:rPr>
                <w:rFonts w:ascii="Arial" w:hAnsi="Arial" w:cs="Arial"/>
                <w:sz w:val="18"/>
                <w:szCs w:val="18"/>
                <w:lang w:val="es-ES"/>
              </w:rPr>
              <w:t>/CAR</w:t>
            </w:r>
          </w:p>
        </w:tc>
      </w:tr>
      <w:tr w:rsidR="000C16F9" w:rsidRPr="00A523B2" w14:paraId="2E9D9423" w14:textId="77777777" w:rsidTr="00DC5956">
        <w:tc>
          <w:tcPr>
            <w:tcW w:w="3943" w:type="dxa"/>
          </w:tcPr>
          <w:p w14:paraId="5224A35A" w14:textId="77777777" w:rsidR="009F33FF" w:rsidRPr="00A523B2" w:rsidRDefault="009F33FF" w:rsidP="004D3BAA">
            <w:pPr>
              <w:pStyle w:val="ListParagraph"/>
              <w:numPr>
                <w:ilvl w:val="0"/>
                <w:numId w:val="2"/>
              </w:numPr>
              <w:spacing w:before="60" w:after="60"/>
              <w:ind w:left="180" w:hanging="180"/>
              <w:contextualSpacing w:val="0"/>
              <w:jc w:val="both"/>
              <w:rPr>
                <w:rFonts w:ascii="Arial" w:hAnsi="Arial" w:cs="Arial"/>
                <w:sz w:val="18"/>
                <w:szCs w:val="18"/>
                <w:lang w:val="pt-BR"/>
              </w:rPr>
            </w:pPr>
            <w:r w:rsidRPr="00A523B2">
              <w:rPr>
                <w:rFonts w:ascii="Arial" w:hAnsi="Arial" w:cs="Arial"/>
                <w:sz w:val="18"/>
                <w:szCs w:val="18"/>
                <w:lang w:val="es-ES"/>
              </w:rPr>
              <w:t>C</w:t>
            </w:r>
            <w:r w:rsidR="00E33333" w:rsidRPr="00A523B2">
              <w:rPr>
                <w:rFonts w:ascii="Arial" w:hAnsi="Arial" w:cs="Arial"/>
                <w:sz w:val="18"/>
                <w:szCs w:val="18"/>
                <w:lang w:val="es-ES"/>
              </w:rPr>
              <w:t>T incluida en la Estrategia de País</w:t>
            </w:r>
            <w:r w:rsidRPr="00A523B2">
              <w:rPr>
                <w:rFonts w:ascii="Arial" w:hAnsi="Arial" w:cs="Arial"/>
                <w:sz w:val="18"/>
                <w:szCs w:val="18"/>
                <w:lang w:val="es-ES"/>
              </w:rPr>
              <w:t xml:space="preserve"> (</w:t>
            </w:r>
            <w:r w:rsidR="00E33333" w:rsidRPr="00A523B2">
              <w:rPr>
                <w:rFonts w:ascii="Arial" w:hAnsi="Arial" w:cs="Arial"/>
                <w:sz w:val="18"/>
                <w:szCs w:val="18"/>
                <w:lang w:val="es-ES"/>
              </w:rPr>
              <w:t>s</w:t>
            </w:r>
            <w:r w:rsidRPr="00A523B2">
              <w:rPr>
                <w:rFonts w:ascii="Arial" w:hAnsi="Arial" w:cs="Arial"/>
                <w:sz w:val="18"/>
                <w:szCs w:val="18"/>
                <w:lang w:val="es-ES"/>
              </w:rPr>
              <w:t xml:space="preserve">/n): </w:t>
            </w:r>
          </w:p>
        </w:tc>
        <w:tc>
          <w:tcPr>
            <w:tcW w:w="4535" w:type="dxa"/>
          </w:tcPr>
          <w:p w14:paraId="62486C05" w14:textId="522BFC7D" w:rsidR="009F33FF" w:rsidRPr="00A523B2" w:rsidRDefault="00FE7ECC" w:rsidP="00594001">
            <w:pPr>
              <w:spacing w:before="60" w:after="60"/>
              <w:ind w:left="74"/>
              <w:rPr>
                <w:rFonts w:ascii="Arial" w:hAnsi="Arial" w:cs="Arial"/>
                <w:sz w:val="18"/>
                <w:szCs w:val="18"/>
                <w:lang w:val="pt-BR"/>
              </w:rPr>
            </w:pPr>
            <w:r>
              <w:rPr>
                <w:rFonts w:ascii="Arial" w:hAnsi="Arial" w:cs="Arial"/>
                <w:sz w:val="18"/>
                <w:szCs w:val="18"/>
                <w:lang w:val="pt-BR"/>
              </w:rPr>
              <w:t>No</w:t>
            </w:r>
          </w:p>
        </w:tc>
      </w:tr>
      <w:tr w:rsidR="001735E1" w:rsidRPr="003D0988" w14:paraId="2AD677D0" w14:textId="77777777" w:rsidTr="00DC5956">
        <w:tc>
          <w:tcPr>
            <w:tcW w:w="3943" w:type="dxa"/>
          </w:tcPr>
          <w:p w14:paraId="2CEB5ED7" w14:textId="77777777" w:rsidR="001735E1" w:rsidRPr="00A523B2" w:rsidRDefault="001735E1" w:rsidP="004D3BAA">
            <w:pPr>
              <w:pStyle w:val="ListParagraph"/>
              <w:numPr>
                <w:ilvl w:val="0"/>
                <w:numId w:val="2"/>
              </w:numPr>
              <w:spacing w:before="60" w:after="60"/>
              <w:ind w:left="180" w:hanging="180"/>
              <w:contextualSpacing w:val="0"/>
              <w:jc w:val="both"/>
              <w:rPr>
                <w:rFonts w:ascii="Arial" w:hAnsi="Arial" w:cs="Arial"/>
                <w:sz w:val="18"/>
                <w:szCs w:val="18"/>
                <w:lang w:val="pt-BR"/>
              </w:rPr>
            </w:pPr>
            <w:r w:rsidRPr="00A523B2">
              <w:rPr>
                <w:rFonts w:ascii="Arial" w:hAnsi="Arial" w:cs="Arial"/>
                <w:sz w:val="18"/>
                <w:szCs w:val="18"/>
                <w:lang w:val="pt-BR"/>
              </w:rPr>
              <w:t xml:space="preserve">CT </w:t>
            </w:r>
            <w:r w:rsidR="00EA2B39" w:rsidRPr="00A523B2">
              <w:rPr>
                <w:rFonts w:ascii="Arial" w:hAnsi="Arial" w:cs="Arial"/>
                <w:sz w:val="18"/>
                <w:szCs w:val="18"/>
                <w:lang w:val="pt-BR"/>
              </w:rPr>
              <w:t>incluída</w:t>
            </w:r>
            <w:r w:rsidRPr="00A523B2">
              <w:rPr>
                <w:rFonts w:ascii="Arial" w:hAnsi="Arial" w:cs="Arial"/>
                <w:sz w:val="18"/>
                <w:szCs w:val="18"/>
                <w:lang w:val="pt-BR"/>
              </w:rPr>
              <w:t xml:space="preserve"> </w:t>
            </w:r>
            <w:proofErr w:type="spellStart"/>
            <w:r w:rsidRPr="00A523B2">
              <w:rPr>
                <w:rFonts w:ascii="Arial" w:hAnsi="Arial" w:cs="Arial"/>
                <w:sz w:val="18"/>
                <w:szCs w:val="18"/>
                <w:lang w:val="pt-BR"/>
              </w:rPr>
              <w:t>en</w:t>
            </w:r>
            <w:proofErr w:type="spellEnd"/>
            <w:r w:rsidRPr="00A523B2">
              <w:rPr>
                <w:rFonts w:ascii="Arial" w:hAnsi="Arial" w:cs="Arial"/>
                <w:sz w:val="18"/>
                <w:szCs w:val="18"/>
                <w:lang w:val="pt-BR"/>
              </w:rPr>
              <w:t xml:space="preserve"> CPD (s/n):</w:t>
            </w:r>
          </w:p>
        </w:tc>
        <w:tc>
          <w:tcPr>
            <w:tcW w:w="4535" w:type="dxa"/>
          </w:tcPr>
          <w:p w14:paraId="4101652C" w14:textId="7C823627" w:rsidR="001735E1" w:rsidRPr="00A523B2" w:rsidRDefault="00FE7ECC" w:rsidP="00594001">
            <w:pPr>
              <w:spacing w:before="60" w:after="60"/>
              <w:ind w:left="74"/>
              <w:rPr>
                <w:rFonts w:ascii="Arial" w:hAnsi="Arial" w:cs="Arial"/>
                <w:sz w:val="18"/>
                <w:szCs w:val="18"/>
                <w:lang w:val="pt-BR"/>
              </w:rPr>
            </w:pPr>
            <w:r w:rsidRPr="0065463A">
              <w:rPr>
                <w:rFonts w:ascii="Arial" w:hAnsi="Arial" w:cs="Arial"/>
                <w:sz w:val="18"/>
                <w:szCs w:val="18"/>
                <w:lang w:val="pt-BR"/>
              </w:rPr>
              <w:t>No</w:t>
            </w:r>
          </w:p>
        </w:tc>
      </w:tr>
      <w:tr w:rsidR="000C16F9" w:rsidRPr="00277B98" w14:paraId="7C03F126" w14:textId="77777777" w:rsidTr="00DC5956">
        <w:tc>
          <w:tcPr>
            <w:tcW w:w="3943" w:type="dxa"/>
          </w:tcPr>
          <w:p w14:paraId="7CBE4013" w14:textId="77777777" w:rsidR="009F33FF" w:rsidRPr="00A523B2" w:rsidRDefault="00EA2B39" w:rsidP="003D5430">
            <w:pPr>
              <w:pStyle w:val="ListParagraph"/>
              <w:numPr>
                <w:ilvl w:val="0"/>
                <w:numId w:val="2"/>
              </w:numPr>
              <w:spacing w:before="60" w:after="60"/>
              <w:ind w:left="180" w:hanging="180"/>
              <w:contextualSpacing w:val="0"/>
              <w:jc w:val="both"/>
              <w:rPr>
                <w:rFonts w:ascii="Arial" w:hAnsi="Arial" w:cs="Arial"/>
                <w:sz w:val="18"/>
                <w:szCs w:val="18"/>
                <w:lang w:val="es-ES"/>
              </w:rPr>
            </w:pPr>
            <w:r>
              <w:rPr>
                <w:rFonts w:ascii="Arial" w:hAnsi="Arial" w:cs="Arial"/>
                <w:sz w:val="18"/>
                <w:szCs w:val="18"/>
                <w:lang w:val="es-ES"/>
              </w:rPr>
              <w:t>Alineación</w:t>
            </w:r>
            <w:r w:rsidR="0075418F">
              <w:rPr>
                <w:rFonts w:ascii="Arial" w:hAnsi="Arial" w:cs="Arial"/>
                <w:sz w:val="18"/>
                <w:szCs w:val="18"/>
                <w:lang w:val="es-ES"/>
              </w:rPr>
              <w:t xml:space="preserve"> a la</w:t>
            </w:r>
            <w:r>
              <w:rPr>
                <w:rFonts w:ascii="Arial" w:hAnsi="Arial" w:cs="Arial"/>
                <w:sz w:val="18"/>
                <w:szCs w:val="18"/>
                <w:lang w:val="es-ES"/>
              </w:rPr>
              <w:t xml:space="preserve"> </w:t>
            </w:r>
            <w:proofErr w:type="spellStart"/>
            <w:r w:rsidR="003D5430">
              <w:rPr>
                <w:rFonts w:ascii="Arial" w:hAnsi="Arial" w:cs="Arial" w:hint="eastAsia"/>
                <w:sz w:val="18"/>
                <w:szCs w:val="18"/>
                <w:lang w:val="es-ES" w:eastAsia="ja-JP"/>
              </w:rPr>
              <w:t>Actualizaci</w:t>
            </w:r>
            <w:r w:rsidR="003D5430">
              <w:rPr>
                <w:rFonts w:ascii="Arial" w:hAnsi="Arial" w:cs="Arial"/>
                <w:sz w:val="18"/>
                <w:szCs w:val="18"/>
                <w:lang w:val="es-ES_tradnl" w:eastAsia="ja-JP"/>
              </w:rPr>
              <w:t>ón</w:t>
            </w:r>
            <w:proofErr w:type="spellEnd"/>
            <w:r w:rsidR="003D5430">
              <w:rPr>
                <w:rFonts w:ascii="Arial" w:hAnsi="Arial" w:cs="Arial"/>
                <w:sz w:val="18"/>
                <w:szCs w:val="18"/>
                <w:lang w:val="es-ES_tradnl" w:eastAsia="ja-JP"/>
              </w:rPr>
              <w:t xml:space="preserve"> de la </w:t>
            </w:r>
            <w:r w:rsidR="0075418F">
              <w:rPr>
                <w:rFonts w:ascii="Arial" w:hAnsi="Arial" w:cs="Arial"/>
                <w:sz w:val="18"/>
                <w:szCs w:val="18"/>
                <w:lang w:val="es-ES"/>
              </w:rPr>
              <w:t>Estrategia Institucional</w:t>
            </w:r>
            <w:r w:rsidR="00F02DA9">
              <w:rPr>
                <w:rFonts w:ascii="Arial" w:hAnsi="Arial" w:cs="Arial"/>
                <w:sz w:val="18"/>
                <w:szCs w:val="18"/>
                <w:lang w:val="es-ES"/>
              </w:rPr>
              <w:t xml:space="preserve"> 2010-2020</w:t>
            </w:r>
            <w:r w:rsidR="009F33FF" w:rsidRPr="00A523B2">
              <w:rPr>
                <w:rFonts w:ascii="Arial" w:hAnsi="Arial" w:cs="Arial"/>
                <w:sz w:val="18"/>
                <w:szCs w:val="18"/>
                <w:lang w:val="es-ES"/>
              </w:rPr>
              <w:t>:</w:t>
            </w:r>
          </w:p>
        </w:tc>
        <w:tc>
          <w:tcPr>
            <w:tcW w:w="4535" w:type="dxa"/>
          </w:tcPr>
          <w:p w14:paraId="4B99056E" w14:textId="1D0D2A8E" w:rsidR="009F33FF" w:rsidRPr="00C14FF2" w:rsidRDefault="00C14FF2" w:rsidP="00594001">
            <w:pPr>
              <w:spacing w:before="60" w:after="60"/>
              <w:ind w:left="74"/>
              <w:rPr>
                <w:rFonts w:ascii="Arial" w:hAnsi="Arial" w:cs="Arial"/>
                <w:sz w:val="18"/>
                <w:szCs w:val="18"/>
                <w:lang w:val="es-MX"/>
              </w:rPr>
            </w:pPr>
            <w:r w:rsidRPr="00C14FF2">
              <w:rPr>
                <w:rFonts w:ascii="ArialMT" w:hAnsi="ArialMT" w:cs="ArialMT"/>
                <w:sz w:val="18"/>
                <w:szCs w:val="18"/>
                <w:lang w:val="es-MX"/>
              </w:rPr>
              <w:t xml:space="preserve">Inclusión Social y Equidad; Productividad </w:t>
            </w:r>
            <w:r>
              <w:rPr>
                <w:rFonts w:ascii="ArialMT" w:hAnsi="ArialMT" w:cs="ArialMT"/>
                <w:sz w:val="18"/>
                <w:szCs w:val="18"/>
                <w:lang w:val="es-MX"/>
              </w:rPr>
              <w:t>e</w:t>
            </w:r>
            <w:r w:rsidRPr="00C14FF2">
              <w:rPr>
                <w:rFonts w:ascii="ArialMT" w:hAnsi="ArialMT" w:cs="ArialMT"/>
                <w:sz w:val="18"/>
                <w:szCs w:val="18"/>
                <w:lang w:val="es-MX"/>
              </w:rPr>
              <w:t xml:space="preserve"> Innova</w:t>
            </w:r>
            <w:r>
              <w:rPr>
                <w:rFonts w:ascii="ArialMT" w:hAnsi="ArialMT" w:cs="ArialMT"/>
                <w:sz w:val="18"/>
                <w:szCs w:val="18"/>
                <w:lang w:val="es-MX"/>
              </w:rPr>
              <w:t>ción</w:t>
            </w:r>
            <w:r w:rsidR="000463EC">
              <w:rPr>
                <w:rFonts w:ascii="ArialMT" w:hAnsi="ArialMT" w:cs="ArialMT"/>
                <w:sz w:val="18"/>
                <w:szCs w:val="18"/>
                <w:lang w:val="es-MX"/>
              </w:rPr>
              <w:t>.</w:t>
            </w:r>
            <w:r>
              <w:rPr>
                <w:rFonts w:ascii="ArialMT" w:hAnsi="ArialMT" w:cs="ArialMT"/>
                <w:sz w:val="18"/>
                <w:szCs w:val="18"/>
                <w:lang w:val="es-MX"/>
              </w:rPr>
              <w:t xml:space="preserve"> </w:t>
            </w:r>
          </w:p>
        </w:tc>
      </w:tr>
    </w:tbl>
    <w:p w14:paraId="472B0238" w14:textId="77777777" w:rsidR="00CF398D" w:rsidRDefault="00CF398D" w:rsidP="00CF398D">
      <w:pPr>
        <w:pStyle w:val="ListParagraph"/>
        <w:spacing w:before="120" w:after="120" w:line="240" w:lineRule="auto"/>
        <w:ind w:left="360"/>
        <w:contextualSpacing w:val="0"/>
        <w:rPr>
          <w:rFonts w:ascii="Arial" w:hAnsi="Arial" w:cs="Arial"/>
          <w:b/>
          <w:lang w:val="es-ES"/>
        </w:rPr>
      </w:pPr>
    </w:p>
    <w:p w14:paraId="533679BA" w14:textId="0F32CB85" w:rsidR="0095711B" w:rsidRPr="00A523B2" w:rsidRDefault="00C43E24" w:rsidP="00CF398D">
      <w:pPr>
        <w:pStyle w:val="ListParagraph"/>
        <w:numPr>
          <w:ilvl w:val="0"/>
          <w:numId w:val="5"/>
        </w:numPr>
        <w:spacing w:before="120" w:after="120" w:line="240" w:lineRule="auto"/>
        <w:ind w:hanging="90"/>
        <w:contextualSpacing w:val="0"/>
        <w:rPr>
          <w:rFonts w:ascii="Arial" w:hAnsi="Arial" w:cs="Arial"/>
          <w:b/>
          <w:lang w:val="es-ES"/>
        </w:rPr>
      </w:pPr>
      <w:r w:rsidRPr="00A523B2">
        <w:rPr>
          <w:rFonts w:ascii="Arial" w:hAnsi="Arial" w:cs="Arial"/>
          <w:b/>
          <w:lang w:val="es-ES"/>
        </w:rPr>
        <w:lastRenderedPageBreak/>
        <w:t>Obje</w:t>
      </w:r>
      <w:r w:rsidR="00F00960" w:rsidRPr="00A523B2">
        <w:rPr>
          <w:rFonts w:ascii="Arial" w:hAnsi="Arial" w:cs="Arial"/>
          <w:b/>
          <w:lang w:val="es-ES"/>
        </w:rPr>
        <w:t>tivos</w:t>
      </w:r>
      <w:r w:rsidRPr="00A523B2">
        <w:rPr>
          <w:rFonts w:ascii="Arial" w:hAnsi="Arial" w:cs="Arial"/>
          <w:b/>
          <w:lang w:val="es-ES"/>
        </w:rPr>
        <w:t xml:space="preserve"> </w:t>
      </w:r>
      <w:r w:rsidR="00F00960" w:rsidRPr="00A523B2">
        <w:rPr>
          <w:rFonts w:ascii="Arial" w:hAnsi="Arial" w:cs="Arial"/>
          <w:b/>
          <w:lang w:val="es-ES"/>
        </w:rPr>
        <w:t>y Justificación de la CT</w:t>
      </w:r>
      <w:r w:rsidR="0046306D">
        <w:rPr>
          <w:rFonts w:ascii="Arial" w:hAnsi="Arial" w:cs="Arial"/>
          <w:b/>
          <w:lang w:val="es-ES"/>
        </w:rPr>
        <w:t>.</w:t>
      </w:r>
      <w:r w:rsidR="00A12C27" w:rsidRPr="00A523B2">
        <w:rPr>
          <w:rFonts w:ascii="Arial" w:hAnsi="Arial" w:cs="Arial"/>
          <w:highlight w:val="yellow"/>
          <w:lang w:val="es-ES"/>
        </w:rPr>
        <w:t xml:space="preserve"> </w:t>
      </w:r>
    </w:p>
    <w:p w14:paraId="02A2D5C2" w14:textId="2A6461D7" w:rsidR="006F450B" w:rsidRDefault="009D5639" w:rsidP="002255DB">
      <w:pPr>
        <w:tabs>
          <w:tab w:val="left" w:pos="1165"/>
        </w:tabs>
        <w:spacing w:before="120" w:after="120" w:line="240" w:lineRule="auto"/>
        <w:ind w:left="360" w:hanging="450"/>
        <w:jc w:val="both"/>
        <w:rPr>
          <w:rFonts w:ascii="Arial" w:hAnsi="Arial" w:cs="Arial"/>
          <w:lang w:val="es-ES"/>
        </w:rPr>
      </w:pPr>
      <w:r>
        <w:rPr>
          <w:rFonts w:ascii="Arial" w:hAnsi="Arial" w:cs="Arial"/>
          <w:lang w:val="es-ES"/>
        </w:rPr>
        <w:t>2.1.</w:t>
      </w:r>
      <w:r w:rsidRPr="002D7279">
        <w:rPr>
          <w:rFonts w:ascii="Arial" w:hAnsi="Arial" w:cs="Arial"/>
          <w:b/>
          <w:bCs/>
          <w:lang w:val="es-ES"/>
        </w:rPr>
        <w:t xml:space="preserve"> Objetivos. </w:t>
      </w:r>
      <w:r w:rsidR="008A5D02" w:rsidRPr="004E0D14" w:rsidDel="006A2727">
        <w:rPr>
          <w:rFonts w:ascii="Arial" w:hAnsi="Arial" w:cs="Arial"/>
          <w:lang w:val="es-ES"/>
        </w:rPr>
        <w:t xml:space="preserve">Los objetivos de la CT son: </w:t>
      </w:r>
      <w:r w:rsidR="00E465F3" w:rsidRPr="004E0D14" w:rsidDel="006A2727">
        <w:rPr>
          <w:rFonts w:ascii="Arial" w:hAnsi="Arial" w:cs="Arial"/>
          <w:lang w:val="es-ES"/>
        </w:rPr>
        <w:t>(</w:t>
      </w:r>
      <w:r w:rsidR="008A5D02" w:rsidRPr="004E0D14" w:rsidDel="006A2727">
        <w:rPr>
          <w:rFonts w:ascii="Arial" w:hAnsi="Arial" w:cs="Arial"/>
          <w:lang w:val="es-ES"/>
        </w:rPr>
        <w:t xml:space="preserve">i) generar conocimiento </w:t>
      </w:r>
      <w:r w:rsidR="004E0D14" w:rsidDel="006A2727">
        <w:rPr>
          <w:rFonts w:ascii="Arial" w:hAnsi="Arial" w:cs="Arial"/>
          <w:lang w:val="es-ES"/>
        </w:rPr>
        <w:t xml:space="preserve">sobre el uso de datos e información educativa en </w:t>
      </w:r>
      <w:r w:rsidR="004E0D14" w:rsidRPr="004E0D14" w:rsidDel="006A2727">
        <w:rPr>
          <w:rFonts w:ascii="Arial" w:hAnsi="Arial" w:cs="Arial"/>
          <w:lang w:val="es-ES"/>
        </w:rPr>
        <w:t xml:space="preserve">el diseño e implementación de políticas </w:t>
      </w:r>
      <w:r w:rsidR="004E0D14" w:rsidDel="006A2727">
        <w:rPr>
          <w:rFonts w:ascii="Arial" w:hAnsi="Arial" w:cs="Arial"/>
          <w:lang w:val="es-ES"/>
        </w:rPr>
        <w:t>y programas de</w:t>
      </w:r>
      <w:r w:rsidR="008A5D02" w:rsidRPr="004E0D14" w:rsidDel="006A2727">
        <w:rPr>
          <w:rFonts w:ascii="Arial" w:hAnsi="Arial" w:cs="Arial"/>
          <w:lang w:val="es-ES"/>
        </w:rPr>
        <w:t xml:space="preserve"> </w:t>
      </w:r>
      <w:r w:rsidR="004E0D14" w:rsidDel="006A2727">
        <w:rPr>
          <w:rFonts w:ascii="Arial" w:hAnsi="Arial" w:cs="Arial"/>
          <w:lang w:val="es-ES"/>
        </w:rPr>
        <w:t xml:space="preserve">recuperación y </w:t>
      </w:r>
      <w:r w:rsidR="008A5D02" w:rsidRPr="004E0D14" w:rsidDel="006A2727">
        <w:rPr>
          <w:rFonts w:ascii="Arial" w:hAnsi="Arial" w:cs="Arial"/>
          <w:lang w:val="es-ES"/>
        </w:rPr>
        <w:t>protección de</w:t>
      </w:r>
      <w:r w:rsidR="004E3383" w:rsidRPr="004E0D14" w:rsidDel="006A2727">
        <w:rPr>
          <w:rFonts w:ascii="Arial" w:hAnsi="Arial" w:cs="Arial"/>
          <w:lang w:val="es-ES"/>
        </w:rPr>
        <w:t xml:space="preserve"> </w:t>
      </w:r>
      <w:r w:rsidR="008A5D02" w:rsidRPr="004E0D14" w:rsidDel="006A2727">
        <w:rPr>
          <w:rFonts w:ascii="Arial" w:hAnsi="Arial" w:cs="Arial"/>
          <w:lang w:val="es-ES"/>
        </w:rPr>
        <w:t>trayectorias educativas</w:t>
      </w:r>
      <w:r w:rsidR="004E0D14" w:rsidRPr="004E0D14" w:rsidDel="006A2727">
        <w:rPr>
          <w:rFonts w:ascii="Arial" w:hAnsi="Arial" w:cs="Arial"/>
          <w:lang w:val="es-ES"/>
        </w:rPr>
        <w:t>;</w:t>
      </w:r>
      <w:r w:rsidR="004E0D14" w:rsidDel="006A2727">
        <w:rPr>
          <w:rFonts w:ascii="Arial" w:hAnsi="Arial" w:cs="Arial"/>
          <w:lang w:val="es-ES"/>
        </w:rPr>
        <w:t xml:space="preserve"> </w:t>
      </w:r>
      <w:r w:rsidR="004E0D14" w:rsidRPr="004E0D14" w:rsidDel="006A2727">
        <w:rPr>
          <w:rFonts w:ascii="Arial" w:hAnsi="Arial" w:cs="Arial"/>
          <w:lang w:val="es-ES"/>
        </w:rPr>
        <w:t>y (</w:t>
      </w:r>
      <w:proofErr w:type="spellStart"/>
      <w:r w:rsidR="004E0D14" w:rsidRPr="004E0D14" w:rsidDel="006A2727">
        <w:rPr>
          <w:rFonts w:ascii="Arial" w:hAnsi="Arial" w:cs="Arial"/>
          <w:lang w:val="es-ES"/>
        </w:rPr>
        <w:t>ii</w:t>
      </w:r>
      <w:proofErr w:type="spellEnd"/>
      <w:r w:rsidR="004E0D14" w:rsidRPr="004E0D14" w:rsidDel="006A2727">
        <w:rPr>
          <w:rFonts w:ascii="Arial" w:hAnsi="Arial" w:cs="Arial"/>
          <w:lang w:val="es-ES"/>
        </w:rPr>
        <w:t xml:space="preserve">) </w:t>
      </w:r>
      <w:r w:rsidR="008A5D02" w:rsidRPr="004E0D14" w:rsidDel="006A2727">
        <w:rPr>
          <w:rFonts w:ascii="Arial" w:hAnsi="Arial" w:cs="Arial"/>
          <w:lang w:val="es-ES"/>
        </w:rPr>
        <w:t>generar evidencia sobre el impacto de la</w:t>
      </w:r>
      <w:r w:rsidR="004E0D14" w:rsidRPr="004E0D14" w:rsidDel="006A2727">
        <w:rPr>
          <w:rFonts w:ascii="Arial" w:hAnsi="Arial" w:cs="Arial"/>
          <w:lang w:val="es-ES"/>
        </w:rPr>
        <w:t>s ciencias del comportamiento en la</w:t>
      </w:r>
      <w:r w:rsidR="004E0D14" w:rsidDel="006A2727">
        <w:rPr>
          <w:rFonts w:ascii="Arial" w:hAnsi="Arial" w:cs="Arial"/>
          <w:lang w:val="es-ES"/>
        </w:rPr>
        <w:t xml:space="preserve"> eficiencia d</w:t>
      </w:r>
      <w:r w:rsidR="004E0D14" w:rsidRPr="004E0D14" w:rsidDel="006A2727">
        <w:rPr>
          <w:rFonts w:ascii="Arial" w:hAnsi="Arial" w:cs="Arial"/>
          <w:lang w:val="es-ES"/>
        </w:rPr>
        <w:t>e programas y políticas educativas</w:t>
      </w:r>
      <w:r w:rsidR="004E0D14" w:rsidDel="006A2727">
        <w:rPr>
          <w:rFonts w:ascii="Arial" w:hAnsi="Arial" w:cs="Arial"/>
          <w:lang w:val="es-ES"/>
        </w:rPr>
        <w:t>.</w:t>
      </w:r>
    </w:p>
    <w:p w14:paraId="1F123ABE" w14:textId="118355CB" w:rsidR="006F450B" w:rsidRDefault="009D5639" w:rsidP="002255DB">
      <w:pPr>
        <w:tabs>
          <w:tab w:val="left" w:pos="1165"/>
        </w:tabs>
        <w:spacing w:before="120" w:after="120" w:line="240" w:lineRule="auto"/>
        <w:ind w:left="360" w:hanging="450"/>
        <w:jc w:val="both"/>
        <w:rPr>
          <w:rFonts w:ascii="Arial" w:hAnsi="Arial" w:cs="Arial"/>
          <w:lang w:val="es-MX"/>
        </w:rPr>
      </w:pPr>
      <w:r>
        <w:rPr>
          <w:rFonts w:ascii="Arial" w:hAnsi="Arial" w:cs="Arial"/>
          <w:lang w:val="es-ES"/>
        </w:rPr>
        <w:t xml:space="preserve">2.2. </w:t>
      </w:r>
      <w:r w:rsidRPr="002D7279">
        <w:rPr>
          <w:rFonts w:ascii="Arial" w:hAnsi="Arial" w:cs="Arial"/>
          <w:b/>
          <w:bCs/>
          <w:lang w:val="es-ES"/>
        </w:rPr>
        <w:t>Justificación</w:t>
      </w:r>
      <w:r>
        <w:rPr>
          <w:rFonts w:ascii="Arial" w:hAnsi="Arial" w:cs="Arial"/>
          <w:lang w:val="es-ES"/>
        </w:rPr>
        <w:t xml:space="preserve">. </w:t>
      </w:r>
      <w:r w:rsidR="000B711C" w:rsidRPr="00664254">
        <w:rPr>
          <w:rFonts w:ascii="Arial" w:hAnsi="Arial" w:cs="Arial"/>
          <w:lang w:val="es-ES"/>
        </w:rPr>
        <w:t xml:space="preserve">Antes de la pandemia, los resultados de las evaluaciones Aprender en Argentina (2019) </w:t>
      </w:r>
      <w:r w:rsidR="000B711C">
        <w:rPr>
          <w:rFonts w:ascii="Arial" w:hAnsi="Arial" w:cs="Arial"/>
          <w:lang w:val="es-ES"/>
        </w:rPr>
        <w:t xml:space="preserve">ya </w:t>
      </w:r>
      <w:r w:rsidR="000B711C" w:rsidRPr="00664254">
        <w:rPr>
          <w:rFonts w:ascii="Arial" w:hAnsi="Arial" w:cs="Arial"/>
          <w:lang w:val="es-ES"/>
        </w:rPr>
        <w:t>apunta</w:t>
      </w:r>
      <w:r w:rsidR="000B711C">
        <w:rPr>
          <w:rFonts w:ascii="Arial" w:hAnsi="Arial" w:cs="Arial"/>
          <w:lang w:val="es-ES"/>
        </w:rPr>
        <w:t xml:space="preserve">ban </w:t>
      </w:r>
      <w:r w:rsidR="000B711C" w:rsidRPr="00664254">
        <w:rPr>
          <w:rFonts w:ascii="Arial" w:hAnsi="Arial" w:cs="Arial"/>
          <w:lang w:val="es-ES"/>
        </w:rPr>
        <w:t xml:space="preserve">que el 42.8% de los estudiantes de la educación Secundaria </w:t>
      </w:r>
      <w:r w:rsidR="000B711C">
        <w:rPr>
          <w:rFonts w:ascii="Arial" w:hAnsi="Arial" w:cs="Arial"/>
          <w:lang w:val="es-ES"/>
        </w:rPr>
        <w:t xml:space="preserve">se desempeñaban </w:t>
      </w:r>
      <w:r w:rsidR="000B711C" w:rsidRPr="00664254">
        <w:rPr>
          <w:rFonts w:ascii="Arial" w:hAnsi="Arial" w:cs="Arial"/>
          <w:lang w:val="es-ES"/>
        </w:rPr>
        <w:t xml:space="preserve">por debajo del </w:t>
      </w:r>
      <w:r w:rsidR="000B711C">
        <w:rPr>
          <w:rFonts w:ascii="Arial" w:hAnsi="Arial" w:cs="Arial"/>
          <w:lang w:val="es-ES"/>
        </w:rPr>
        <w:t xml:space="preserve">nivel </w:t>
      </w:r>
      <w:r w:rsidR="000B711C" w:rsidRPr="00664254">
        <w:rPr>
          <w:rFonts w:ascii="Arial" w:hAnsi="Arial" w:cs="Arial"/>
          <w:lang w:val="es-ES"/>
        </w:rPr>
        <w:t xml:space="preserve">básico </w:t>
      </w:r>
      <w:r w:rsidR="000B711C">
        <w:rPr>
          <w:rFonts w:ascii="Arial" w:hAnsi="Arial" w:cs="Arial"/>
          <w:lang w:val="es-ES"/>
        </w:rPr>
        <w:t xml:space="preserve">esperado </w:t>
      </w:r>
      <w:r w:rsidR="000B711C" w:rsidRPr="00664254">
        <w:rPr>
          <w:rFonts w:ascii="Arial" w:hAnsi="Arial" w:cs="Arial"/>
          <w:lang w:val="es-ES"/>
        </w:rPr>
        <w:t xml:space="preserve">en Matemáticas, con </w:t>
      </w:r>
      <w:r w:rsidR="000B711C">
        <w:rPr>
          <w:rFonts w:ascii="Arial" w:hAnsi="Arial" w:cs="Arial"/>
          <w:lang w:val="es-ES"/>
        </w:rPr>
        <w:t xml:space="preserve">marcada desigualdad </w:t>
      </w:r>
      <w:r w:rsidR="001508E5">
        <w:rPr>
          <w:rFonts w:ascii="Arial" w:hAnsi="Arial" w:cs="Arial"/>
          <w:lang w:val="es-ES"/>
        </w:rPr>
        <w:t>de acuerdo con el</w:t>
      </w:r>
      <w:r w:rsidR="000B711C">
        <w:rPr>
          <w:rFonts w:ascii="Arial" w:hAnsi="Arial" w:cs="Arial"/>
          <w:lang w:val="es-ES"/>
        </w:rPr>
        <w:t xml:space="preserve"> nivel </w:t>
      </w:r>
      <w:r w:rsidR="000B711C" w:rsidRPr="00664254">
        <w:rPr>
          <w:rFonts w:ascii="Arial" w:hAnsi="Arial" w:cs="Arial"/>
          <w:lang w:val="es-ES"/>
        </w:rPr>
        <w:t>socioeconómic</w:t>
      </w:r>
      <w:r w:rsidR="000B711C">
        <w:rPr>
          <w:rFonts w:ascii="Arial" w:hAnsi="Arial" w:cs="Arial"/>
          <w:lang w:val="es-ES"/>
        </w:rPr>
        <w:t>o</w:t>
      </w:r>
      <w:r w:rsidR="000B711C" w:rsidRPr="00664254">
        <w:rPr>
          <w:rFonts w:ascii="Arial" w:hAnsi="Arial" w:cs="Arial"/>
          <w:lang w:val="es-ES"/>
        </w:rPr>
        <w:t xml:space="preserve"> </w:t>
      </w:r>
      <w:r w:rsidR="000B711C">
        <w:rPr>
          <w:rFonts w:ascii="Arial" w:hAnsi="Arial" w:cs="Arial"/>
          <w:lang w:val="es-ES"/>
        </w:rPr>
        <w:t>(NSE) de las familias</w:t>
      </w:r>
      <w:r w:rsidR="000B711C" w:rsidRPr="00664254">
        <w:rPr>
          <w:rFonts w:ascii="Arial" w:hAnsi="Arial" w:cs="Arial"/>
          <w:lang w:val="es-ES"/>
        </w:rPr>
        <w:t xml:space="preserve">: 64% de los estudiantes de Secundaria de NSE bajo no aprendió </w:t>
      </w:r>
      <w:r w:rsidR="00363C66">
        <w:rPr>
          <w:rFonts w:ascii="Arial" w:hAnsi="Arial" w:cs="Arial"/>
          <w:lang w:val="es-ES"/>
        </w:rPr>
        <w:t>lo</w:t>
      </w:r>
      <w:r w:rsidR="000B711C" w:rsidRPr="00664254">
        <w:rPr>
          <w:rFonts w:ascii="Arial" w:hAnsi="Arial" w:cs="Arial"/>
          <w:lang w:val="es-ES"/>
        </w:rPr>
        <w:t xml:space="preserve"> básico en Matemática, mientras que para los de NSE alto ese porcent</w:t>
      </w:r>
      <w:r w:rsidR="00363C66">
        <w:rPr>
          <w:rFonts w:ascii="Arial" w:hAnsi="Arial" w:cs="Arial"/>
          <w:lang w:val="es-ES"/>
        </w:rPr>
        <w:t>aje</w:t>
      </w:r>
      <w:r w:rsidR="000B711C" w:rsidRPr="00664254">
        <w:rPr>
          <w:rFonts w:ascii="Arial" w:hAnsi="Arial" w:cs="Arial"/>
          <w:lang w:val="es-ES"/>
        </w:rPr>
        <w:t xml:space="preserve"> fue de 24%. El desempeño en Lengua</w:t>
      </w:r>
      <w:r w:rsidR="00DE5B53">
        <w:rPr>
          <w:rFonts w:ascii="Arial" w:hAnsi="Arial" w:cs="Arial"/>
          <w:lang w:val="es-ES"/>
        </w:rPr>
        <w:t>je</w:t>
      </w:r>
      <w:r w:rsidR="000B711C" w:rsidRPr="00664254">
        <w:rPr>
          <w:rFonts w:ascii="Arial" w:hAnsi="Arial" w:cs="Arial"/>
          <w:lang w:val="es-ES"/>
        </w:rPr>
        <w:t xml:space="preserve"> no fue distinto: 33% de los estudiantes más pobres estuvo por debajo del nivel básico esperado, contrastando con 9% de los de NSE alto. </w:t>
      </w:r>
      <w:r w:rsidR="000B711C" w:rsidRPr="00664254">
        <w:rPr>
          <w:rFonts w:ascii="Arial" w:hAnsi="Arial" w:cs="Arial"/>
          <w:lang w:val="es-MX"/>
        </w:rPr>
        <w:t xml:space="preserve">En 2019, mientras </w:t>
      </w:r>
      <w:r w:rsidR="000B711C">
        <w:rPr>
          <w:rFonts w:ascii="Arial" w:hAnsi="Arial" w:cs="Arial"/>
          <w:lang w:val="es-MX"/>
        </w:rPr>
        <w:t xml:space="preserve">que </w:t>
      </w:r>
      <w:r w:rsidR="000B711C" w:rsidRPr="00664254">
        <w:rPr>
          <w:rFonts w:ascii="Arial" w:hAnsi="Arial" w:cs="Arial"/>
          <w:lang w:val="es-MX"/>
        </w:rPr>
        <w:t>el 91% de jóvenes de los hogares de mayores ingresos había finalizado el nivel</w:t>
      </w:r>
      <w:r w:rsidR="000B711C">
        <w:rPr>
          <w:rFonts w:ascii="Arial" w:hAnsi="Arial" w:cs="Arial"/>
          <w:lang w:val="es-MX"/>
        </w:rPr>
        <w:t xml:space="preserve"> Secundario</w:t>
      </w:r>
      <w:r w:rsidR="000B711C" w:rsidRPr="00664254">
        <w:rPr>
          <w:rFonts w:ascii="Arial" w:hAnsi="Arial" w:cs="Arial"/>
          <w:lang w:val="es-MX"/>
        </w:rPr>
        <w:t>, sólo 43% lo había hecho en el grupo de menores ingresos</w:t>
      </w:r>
      <w:r w:rsidR="000B711C">
        <w:rPr>
          <w:rStyle w:val="FootnoteReference"/>
          <w:rFonts w:ascii="Arial" w:hAnsi="Arial" w:cs="Arial"/>
          <w:lang w:val="es-MX"/>
        </w:rPr>
        <w:footnoteReference w:id="2"/>
      </w:r>
      <w:r w:rsidR="000B711C" w:rsidRPr="00664254">
        <w:rPr>
          <w:rFonts w:ascii="Arial" w:hAnsi="Arial" w:cs="Arial"/>
          <w:lang w:val="es-MX"/>
        </w:rPr>
        <w:t xml:space="preserve">. </w:t>
      </w:r>
    </w:p>
    <w:p w14:paraId="6D73AE17" w14:textId="767EF86D" w:rsidR="002255DB" w:rsidRPr="006A2727" w:rsidRDefault="009D5639" w:rsidP="002255DB">
      <w:pPr>
        <w:tabs>
          <w:tab w:val="left" w:pos="1165"/>
        </w:tabs>
        <w:spacing w:before="120" w:after="120" w:line="240" w:lineRule="auto"/>
        <w:ind w:left="360" w:hanging="450"/>
        <w:jc w:val="both"/>
        <w:rPr>
          <w:rFonts w:ascii="Arial" w:hAnsi="Arial" w:cs="Arial"/>
          <w:lang w:val="es-MX"/>
        </w:rPr>
      </w:pPr>
      <w:r>
        <w:rPr>
          <w:rFonts w:ascii="Arial" w:hAnsi="Arial" w:cs="Arial"/>
          <w:lang w:val="es-MX"/>
        </w:rPr>
        <w:t xml:space="preserve">2.3. </w:t>
      </w:r>
      <w:r w:rsidR="00A36BF4" w:rsidRPr="006A2727">
        <w:rPr>
          <w:rFonts w:ascii="Arial" w:hAnsi="Arial" w:cs="Arial"/>
          <w:lang w:val="es-MX"/>
        </w:rPr>
        <w:t>La suspensión prolongada de las clases presenciales por la emergencia sanitaria del COVID-19 cambió completamente la dinámica escolar en Argentina durante el año 2020 y parte del 2021. Con el cierre de escuelas, más de 10 millones de estudiantes y casi 900 mil docentes de nivel inicial, primario y secundario se vieron obligados a adaptar sus prácticas de enseñanza y de aprendizaje para garantizar la continuidad educativa a distancia.</w:t>
      </w:r>
      <w:r w:rsidR="007970F5" w:rsidRPr="006A2727">
        <w:rPr>
          <w:rFonts w:ascii="Arial" w:hAnsi="Arial" w:cs="Arial"/>
          <w:lang w:val="es-MX"/>
        </w:rPr>
        <w:t xml:space="preserve"> </w:t>
      </w:r>
      <w:r w:rsidR="00A36BF4" w:rsidRPr="006A2727">
        <w:rPr>
          <w:rFonts w:ascii="Arial" w:hAnsi="Arial" w:cs="Arial"/>
          <w:lang w:val="es-MX"/>
        </w:rPr>
        <w:t xml:space="preserve">El uso de tecnologías fue la estrategia más usada para la educación remota y de emergencia, </w:t>
      </w:r>
      <w:r w:rsidR="007970F5" w:rsidRPr="006A2727">
        <w:rPr>
          <w:rFonts w:ascii="Arial" w:hAnsi="Arial" w:cs="Arial"/>
          <w:lang w:val="es-MX"/>
        </w:rPr>
        <w:t>lo que puede haber profundizado brechas ya que</w:t>
      </w:r>
      <w:r w:rsidR="00BB32A4" w:rsidRPr="006A2727">
        <w:rPr>
          <w:rFonts w:ascii="Arial" w:hAnsi="Arial" w:cs="Arial"/>
          <w:lang w:val="es-MX"/>
        </w:rPr>
        <w:t xml:space="preserve"> no estaban dadas las condiciones de base para garantizar la equidad en su acceso:</w:t>
      </w:r>
      <w:r w:rsidR="00A36BF4" w:rsidRPr="006A2727">
        <w:rPr>
          <w:rFonts w:ascii="Arial" w:hAnsi="Arial" w:cs="Arial"/>
          <w:lang w:val="es-MX"/>
        </w:rPr>
        <w:t xml:space="preserve"> un 53% de los hogares no contaba con una computadora para las tareas escolares en 2020, y menos de la mitad tenía servicios de internet, con grandes disparidades regionales y socioeconómicas. A mitad del año 2020, un 10% de los estudiantes tenía contacto con los docentes solamente dos o tres veces por mes, o ningún contacto</w:t>
      </w:r>
      <w:r w:rsidR="00A36BF4" w:rsidRPr="005029E0">
        <w:rPr>
          <w:rStyle w:val="FootnoteReference"/>
          <w:rFonts w:ascii="Arial" w:hAnsi="Arial" w:cs="Arial"/>
          <w:lang w:val="es-MX"/>
        </w:rPr>
        <w:footnoteReference w:id="3"/>
      </w:r>
      <w:r w:rsidR="00A36BF4" w:rsidRPr="006A2727">
        <w:rPr>
          <w:rFonts w:ascii="Arial" w:hAnsi="Arial" w:cs="Arial"/>
          <w:lang w:val="es-MX"/>
        </w:rPr>
        <w:t>. Se estima que un 6% de los estudiantes de 13 y 17 años (aprox 650mil) se desvinculó de la escuela durante el 2020, subiendo a un 11% en los hogares de quintiles más bajos (1 y 2), y a un 13% en los hogares sin dispositivos electrónicos para tareas escolares</w:t>
      </w:r>
      <w:r w:rsidR="00A36BF4" w:rsidRPr="005029E0">
        <w:rPr>
          <w:rStyle w:val="FootnoteReference"/>
          <w:rFonts w:ascii="Arial" w:hAnsi="Arial" w:cs="Arial"/>
          <w:lang w:val="es-MX"/>
        </w:rPr>
        <w:footnoteReference w:id="4"/>
      </w:r>
      <w:r w:rsidR="00A36BF4" w:rsidRPr="006A2727">
        <w:rPr>
          <w:rFonts w:ascii="Arial" w:hAnsi="Arial" w:cs="Arial"/>
          <w:lang w:val="es-MX"/>
        </w:rPr>
        <w:t xml:space="preserve">. </w:t>
      </w:r>
    </w:p>
    <w:p w14:paraId="073DAB23" w14:textId="000D69D5" w:rsidR="002255DB" w:rsidRDefault="009D5639" w:rsidP="002255DB">
      <w:pPr>
        <w:tabs>
          <w:tab w:val="left" w:pos="1165"/>
        </w:tabs>
        <w:spacing w:before="120" w:after="120" w:line="240" w:lineRule="auto"/>
        <w:ind w:left="360" w:hanging="450"/>
        <w:jc w:val="both"/>
        <w:rPr>
          <w:rFonts w:ascii="Arial" w:hAnsi="Arial" w:cs="Arial"/>
          <w:lang w:val="es-MX"/>
        </w:rPr>
      </w:pPr>
      <w:r>
        <w:rPr>
          <w:rFonts w:ascii="Arial" w:hAnsi="Arial" w:cs="Arial"/>
          <w:lang w:val="es-MX"/>
        </w:rPr>
        <w:t xml:space="preserve">2.4. </w:t>
      </w:r>
      <w:r w:rsidR="0031276E" w:rsidRPr="00667A16">
        <w:rPr>
          <w:rFonts w:ascii="Arial" w:hAnsi="Arial" w:cs="Arial"/>
          <w:lang w:val="es-MX"/>
        </w:rPr>
        <w:t xml:space="preserve">En febrero del 2021, </w:t>
      </w:r>
      <w:r w:rsidR="006839BB" w:rsidRPr="00667A16">
        <w:rPr>
          <w:rFonts w:ascii="Arial" w:hAnsi="Arial" w:cs="Arial"/>
          <w:lang w:val="es-MX"/>
        </w:rPr>
        <w:t>Argentina definió</w:t>
      </w:r>
      <w:r w:rsidR="00A36BF4" w:rsidRPr="00667A16">
        <w:rPr>
          <w:rFonts w:ascii="Arial" w:hAnsi="Arial" w:cs="Arial"/>
          <w:lang w:val="es-MX"/>
        </w:rPr>
        <w:t xml:space="preserve"> un régimen de alternancia </w:t>
      </w:r>
      <w:r w:rsidR="006839BB" w:rsidRPr="00667A16">
        <w:rPr>
          <w:rFonts w:ascii="Arial" w:hAnsi="Arial" w:cs="Arial"/>
          <w:lang w:val="es-MX"/>
        </w:rPr>
        <w:t xml:space="preserve">para el regreso gradual a las escuelas, </w:t>
      </w:r>
      <w:r w:rsidR="00A36BF4" w:rsidRPr="00667A16">
        <w:rPr>
          <w:rFonts w:ascii="Arial" w:hAnsi="Arial" w:cs="Arial"/>
          <w:lang w:val="es-MX"/>
        </w:rPr>
        <w:t>en el que se combina</w:t>
      </w:r>
      <w:r w:rsidR="005854A2" w:rsidRPr="00667A16">
        <w:rPr>
          <w:rFonts w:ascii="Arial" w:hAnsi="Arial" w:cs="Arial"/>
          <w:lang w:val="es-MX"/>
        </w:rPr>
        <w:t>n</w:t>
      </w:r>
      <w:r w:rsidR="00A36BF4" w:rsidRPr="00667A16">
        <w:rPr>
          <w:rFonts w:ascii="Arial" w:hAnsi="Arial" w:cs="Arial"/>
          <w:lang w:val="es-MX"/>
        </w:rPr>
        <w:t xml:space="preserve"> instancias presenciales con remotas</w:t>
      </w:r>
      <w:r w:rsidR="0031276E" w:rsidRPr="00667A16">
        <w:rPr>
          <w:rStyle w:val="FootnoteReference"/>
          <w:rFonts w:ascii="Arial" w:hAnsi="Arial" w:cs="Arial"/>
          <w:lang w:val="es-MX"/>
        </w:rPr>
        <w:footnoteReference w:id="5"/>
      </w:r>
      <w:r w:rsidR="0031276E" w:rsidRPr="00667A16">
        <w:rPr>
          <w:rFonts w:ascii="Arial" w:hAnsi="Arial" w:cs="Arial"/>
          <w:lang w:val="es-MX"/>
        </w:rPr>
        <w:t xml:space="preserve"> y, así, a</w:t>
      </w:r>
      <w:r w:rsidR="0088308D" w:rsidRPr="00667A16">
        <w:rPr>
          <w:rFonts w:ascii="Arial" w:hAnsi="Arial" w:cs="Arial"/>
          <w:lang w:val="es-MX"/>
        </w:rPr>
        <w:t xml:space="preserve">l inicio </w:t>
      </w:r>
      <w:r w:rsidR="006839BB" w:rsidRPr="00667A16">
        <w:rPr>
          <w:rFonts w:ascii="Arial" w:hAnsi="Arial" w:cs="Arial"/>
          <w:lang w:val="es-MX"/>
        </w:rPr>
        <w:t xml:space="preserve">del segundo semestre del 2021, solo un 3% de las escuelas de país </w:t>
      </w:r>
      <w:r w:rsidR="008D3DC9" w:rsidRPr="00667A16">
        <w:rPr>
          <w:rFonts w:ascii="Arial" w:hAnsi="Arial" w:cs="Arial"/>
          <w:lang w:val="es-MX"/>
        </w:rPr>
        <w:t xml:space="preserve">seguía sin </w:t>
      </w:r>
      <w:r w:rsidR="00576058" w:rsidRPr="00667A16">
        <w:rPr>
          <w:rFonts w:ascii="Arial" w:hAnsi="Arial" w:cs="Arial"/>
          <w:lang w:val="es-MX"/>
        </w:rPr>
        <w:t xml:space="preserve">clases </w:t>
      </w:r>
      <w:r w:rsidR="006839BB" w:rsidRPr="00667A16">
        <w:rPr>
          <w:rFonts w:ascii="Arial" w:hAnsi="Arial" w:cs="Arial"/>
          <w:lang w:val="es-MX"/>
        </w:rPr>
        <w:t>presencial</w:t>
      </w:r>
      <w:r w:rsidR="00576058" w:rsidRPr="00667A16">
        <w:rPr>
          <w:rFonts w:ascii="Arial" w:hAnsi="Arial" w:cs="Arial"/>
          <w:lang w:val="es-MX"/>
        </w:rPr>
        <w:t>es (</w:t>
      </w:r>
      <w:r w:rsidR="006839BB" w:rsidRPr="00667A16">
        <w:rPr>
          <w:rFonts w:ascii="Arial" w:hAnsi="Arial" w:cs="Arial"/>
          <w:lang w:val="es-MX"/>
        </w:rPr>
        <w:t>total o parcia</w:t>
      </w:r>
      <w:r w:rsidR="008D3DC9" w:rsidRPr="00667A16">
        <w:rPr>
          <w:rFonts w:ascii="Arial" w:hAnsi="Arial" w:cs="Arial"/>
          <w:lang w:val="es-MX"/>
        </w:rPr>
        <w:t>l</w:t>
      </w:r>
      <w:r w:rsidR="00576058" w:rsidRPr="00667A16">
        <w:rPr>
          <w:rFonts w:ascii="Arial" w:hAnsi="Arial" w:cs="Arial"/>
          <w:lang w:val="es-MX"/>
        </w:rPr>
        <w:t>)</w:t>
      </w:r>
      <w:r w:rsidR="006839BB" w:rsidRPr="00667A16">
        <w:rPr>
          <w:rStyle w:val="FootnoteReference"/>
          <w:rFonts w:ascii="Arial" w:hAnsi="Arial" w:cs="Arial"/>
          <w:lang w:val="es-MX"/>
        </w:rPr>
        <w:footnoteReference w:id="6"/>
      </w:r>
      <w:r w:rsidR="006839BB" w:rsidRPr="00667A16">
        <w:rPr>
          <w:rFonts w:ascii="Arial" w:hAnsi="Arial" w:cs="Arial"/>
          <w:lang w:val="es-MX"/>
        </w:rPr>
        <w:t>.</w:t>
      </w:r>
      <w:r w:rsidR="00B12477" w:rsidRPr="00667A16">
        <w:rPr>
          <w:rFonts w:ascii="Arial" w:hAnsi="Arial" w:cs="Arial"/>
          <w:lang w:val="es-MX"/>
        </w:rPr>
        <w:t xml:space="preserve"> </w:t>
      </w:r>
      <w:r w:rsidR="0031276E" w:rsidRPr="00667A16">
        <w:rPr>
          <w:rFonts w:ascii="Arial" w:hAnsi="Arial" w:cs="Arial"/>
          <w:lang w:val="es-MX"/>
        </w:rPr>
        <w:t>Sin embargo, luego de 1 año lectivo en educación remota de emergencia, e</w:t>
      </w:r>
      <w:r w:rsidR="006839BB" w:rsidRPr="00667A16">
        <w:rPr>
          <w:rFonts w:ascii="Arial" w:hAnsi="Arial" w:cs="Arial"/>
          <w:lang w:val="es-MX"/>
        </w:rPr>
        <w:t xml:space="preserve">l principal desafío en la </w:t>
      </w:r>
      <w:r w:rsidR="00A36BF4" w:rsidRPr="00667A16">
        <w:rPr>
          <w:rFonts w:ascii="Arial" w:hAnsi="Arial" w:cs="Arial"/>
          <w:lang w:val="es-MX"/>
        </w:rPr>
        <w:t xml:space="preserve">reapertura </w:t>
      </w:r>
      <w:r w:rsidR="006839BB" w:rsidRPr="00667A16">
        <w:rPr>
          <w:rFonts w:ascii="Arial" w:hAnsi="Arial" w:cs="Arial"/>
          <w:lang w:val="es-MX"/>
        </w:rPr>
        <w:t xml:space="preserve">será la </w:t>
      </w:r>
      <w:r w:rsidR="005029E0" w:rsidRPr="00667A16">
        <w:rPr>
          <w:rFonts w:ascii="Arial" w:hAnsi="Arial" w:cs="Arial"/>
          <w:lang w:val="es-MX"/>
        </w:rPr>
        <w:t xml:space="preserve">reinserción de estudiantes y la </w:t>
      </w:r>
      <w:r w:rsidR="006839BB" w:rsidRPr="00667A16">
        <w:rPr>
          <w:rFonts w:ascii="Arial" w:hAnsi="Arial" w:cs="Arial"/>
          <w:lang w:val="es-MX"/>
        </w:rPr>
        <w:t>recuperación de</w:t>
      </w:r>
      <w:r w:rsidR="00A36BF4" w:rsidRPr="00667A16">
        <w:rPr>
          <w:rFonts w:ascii="Arial" w:hAnsi="Arial" w:cs="Arial"/>
          <w:lang w:val="es-MX"/>
        </w:rPr>
        <w:t xml:space="preserve"> </w:t>
      </w:r>
      <w:r w:rsidR="006839BB" w:rsidRPr="00667A16">
        <w:rPr>
          <w:rFonts w:ascii="Arial" w:hAnsi="Arial" w:cs="Arial"/>
          <w:lang w:val="es-MX"/>
        </w:rPr>
        <w:t xml:space="preserve">los </w:t>
      </w:r>
      <w:r w:rsidR="00A36BF4" w:rsidRPr="00667A16">
        <w:rPr>
          <w:rFonts w:ascii="Arial" w:hAnsi="Arial" w:cs="Arial"/>
          <w:lang w:val="es-MX"/>
        </w:rPr>
        <w:t>aprendizajes</w:t>
      </w:r>
      <w:r w:rsidR="006839BB" w:rsidRPr="00667A16">
        <w:rPr>
          <w:rFonts w:ascii="Arial" w:hAnsi="Arial" w:cs="Arial"/>
          <w:lang w:val="es-MX"/>
        </w:rPr>
        <w:t xml:space="preserve"> perdidos durante la pandemia</w:t>
      </w:r>
      <w:r w:rsidR="005029E0" w:rsidRPr="00667A16">
        <w:rPr>
          <w:rFonts w:ascii="Arial" w:hAnsi="Arial" w:cs="Arial"/>
          <w:lang w:val="es-MX"/>
        </w:rPr>
        <w:t xml:space="preserve">. </w:t>
      </w:r>
      <w:r w:rsidR="005854A2" w:rsidRPr="00667A16">
        <w:rPr>
          <w:rFonts w:ascii="Arial" w:hAnsi="Arial" w:cs="Arial"/>
          <w:lang w:val="es-MX"/>
        </w:rPr>
        <w:t xml:space="preserve">En un contexto de crisis económica, también profundizada por la </w:t>
      </w:r>
      <w:r w:rsidR="005854A2" w:rsidRPr="00667A16">
        <w:rPr>
          <w:rFonts w:ascii="Arial" w:hAnsi="Arial" w:cs="Arial"/>
          <w:lang w:val="es-MX"/>
        </w:rPr>
        <w:lastRenderedPageBreak/>
        <w:t>pandemia, y el necesario enfoque del gasto social en salud</w:t>
      </w:r>
      <w:r w:rsidR="00C64336" w:rsidRPr="00667A16">
        <w:rPr>
          <w:rFonts w:ascii="Arial" w:hAnsi="Arial" w:cs="Arial"/>
          <w:lang w:val="es-MX"/>
        </w:rPr>
        <w:t xml:space="preserve"> durante la emergencia sanitaria</w:t>
      </w:r>
      <w:r w:rsidR="005854A2" w:rsidRPr="00667A16">
        <w:rPr>
          <w:rFonts w:ascii="Arial" w:hAnsi="Arial" w:cs="Arial"/>
          <w:lang w:val="es-MX"/>
        </w:rPr>
        <w:t xml:space="preserve">, </w:t>
      </w:r>
      <w:r w:rsidR="00C64336" w:rsidRPr="00667A16">
        <w:rPr>
          <w:rFonts w:ascii="Arial" w:hAnsi="Arial" w:cs="Arial"/>
          <w:lang w:val="es-MX"/>
        </w:rPr>
        <w:t xml:space="preserve">contar con información actualizada respecto al vínculo de los estudiantes con </w:t>
      </w:r>
      <w:r w:rsidR="00B8763C" w:rsidRPr="00667A16">
        <w:rPr>
          <w:rFonts w:ascii="Arial" w:hAnsi="Arial" w:cs="Arial"/>
          <w:lang w:val="es-MX"/>
        </w:rPr>
        <w:t>sus docentes</w:t>
      </w:r>
      <w:r w:rsidR="00C64336" w:rsidRPr="00667A16">
        <w:rPr>
          <w:rFonts w:ascii="Arial" w:hAnsi="Arial" w:cs="Arial"/>
          <w:lang w:val="es-MX"/>
        </w:rPr>
        <w:t>, a las pérdidas de aprendizaje durante la suspensión de clases presenciales</w:t>
      </w:r>
      <w:r w:rsidR="00B8763C" w:rsidRPr="00667A16">
        <w:rPr>
          <w:rFonts w:ascii="Arial" w:hAnsi="Arial" w:cs="Arial"/>
          <w:lang w:val="es-MX"/>
        </w:rPr>
        <w:t>,</w:t>
      </w:r>
      <w:r w:rsidR="00C64336" w:rsidRPr="00667A16">
        <w:rPr>
          <w:rFonts w:ascii="Arial" w:hAnsi="Arial" w:cs="Arial"/>
          <w:lang w:val="es-MX"/>
        </w:rPr>
        <w:t xml:space="preserve"> y adoptar </w:t>
      </w:r>
      <w:r w:rsidR="005854A2" w:rsidRPr="00667A16">
        <w:rPr>
          <w:rFonts w:ascii="Arial" w:hAnsi="Arial" w:cs="Arial"/>
          <w:lang w:val="es-MX"/>
        </w:rPr>
        <w:t xml:space="preserve">estrategias innovadoras para mejorar la eficiencia </w:t>
      </w:r>
      <w:r w:rsidR="00C64336" w:rsidRPr="00667A16">
        <w:rPr>
          <w:rFonts w:ascii="Arial" w:hAnsi="Arial" w:cs="Arial"/>
          <w:lang w:val="es-MX"/>
        </w:rPr>
        <w:t xml:space="preserve">del uso de recursos públicos en los programas de inclusión </w:t>
      </w:r>
      <w:r w:rsidR="00292BFC">
        <w:rPr>
          <w:rFonts w:ascii="Arial" w:hAnsi="Arial" w:cs="Arial"/>
          <w:lang w:val="es-MX"/>
        </w:rPr>
        <w:t xml:space="preserve">y recuperación </w:t>
      </w:r>
      <w:r w:rsidR="00C64336" w:rsidRPr="00667A16">
        <w:rPr>
          <w:rFonts w:ascii="Arial" w:hAnsi="Arial" w:cs="Arial"/>
          <w:lang w:val="es-MX"/>
        </w:rPr>
        <w:t xml:space="preserve">educativa </w:t>
      </w:r>
      <w:r w:rsidR="005854A2" w:rsidRPr="00667A16">
        <w:rPr>
          <w:rFonts w:ascii="Arial" w:hAnsi="Arial" w:cs="Arial"/>
          <w:lang w:val="es-MX"/>
        </w:rPr>
        <w:t>será crucial</w:t>
      </w:r>
      <w:r w:rsidR="00C64336" w:rsidRPr="00667A16">
        <w:rPr>
          <w:rFonts w:ascii="Arial" w:hAnsi="Arial" w:cs="Arial"/>
          <w:lang w:val="es-MX"/>
        </w:rPr>
        <w:t xml:space="preserve"> para garantizar el éxito del regreso a la escuela</w:t>
      </w:r>
      <w:r w:rsidR="00B12477" w:rsidRPr="00667A16">
        <w:rPr>
          <w:rFonts w:ascii="Arial" w:hAnsi="Arial" w:cs="Arial"/>
          <w:lang w:val="es-MX"/>
        </w:rPr>
        <w:t>.</w:t>
      </w:r>
    </w:p>
    <w:p w14:paraId="63E7D0B9" w14:textId="1DA1CA27" w:rsidR="002255DB" w:rsidRDefault="009D5639" w:rsidP="002255DB">
      <w:pPr>
        <w:tabs>
          <w:tab w:val="left" w:pos="1165"/>
        </w:tabs>
        <w:spacing w:before="120" w:after="120" w:line="240" w:lineRule="auto"/>
        <w:ind w:left="360" w:hanging="450"/>
        <w:jc w:val="both"/>
        <w:rPr>
          <w:rFonts w:ascii="Arial" w:hAnsi="Arial" w:cs="Arial"/>
          <w:lang w:val="es-MX"/>
        </w:rPr>
      </w:pPr>
      <w:r>
        <w:rPr>
          <w:rFonts w:ascii="Arial" w:hAnsi="Arial" w:cs="Arial"/>
          <w:lang w:val="es-MX"/>
        </w:rPr>
        <w:t xml:space="preserve">2.5. </w:t>
      </w:r>
      <w:r w:rsidR="00071640">
        <w:rPr>
          <w:rFonts w:ascii="Arial" w:hAnsi="Arial" w:cs="Arial"/>
          <w:lang w:val="es-MX"/>
        </w:rPr>
        <w:t xml:space="preserve">En las provincias que cuentan con sistemas integrales de gestión educativa para identificar, de manera ágil e individualizada, los </w:t>
      </w:r>
      <w:r w:rsidR="00071640" w:rsidRPr="005029E0">
        <w:rPr>
          <w:rFonts w:ascii="Arial" w:hAnsi="Arial" w:cs="Arial"/>
          <w:lang w:val="es-MX"/>
        </w:rPr>
        <w:t>estudiantes</w:t>
      </w:r>
      <w:r w:rsidR="00071640">
        <w:rPr>
          <w:rFonts w:ascii="Arial" w:hAnsi="Arial" w:cs="Arial"/>
          <w:lang w:val="es-MX"/>
        </w:rPr>
        <w:t xml:space="preserve"> que necesiten de más apoyo, o los que se encuentren </w:t>
      </w:r>
      <w:r w:rsidR="00071640" w:rsidRPr="005029E0">
        <w:rPr>
          <w:rFonts w:ascii="Arial" w:hAnsi="Arial" w:cs="Arial"/>
          <w:lang w:val="es-MX"/>
        </w:rPr>
        <w:t xml:space="preserve">en </w:t>
      </w:r>
      <w:r w:rsidR="00071640">
        <w:rPr>
          <w:rFonts w:ascii="Arial" w:hAnsi="Arial" w:cs="Arial"/>
          <w:lang w:val="es-MX"/>
        </w:rPr>
        <w:t xml:space="preserve">mayor </w:t>
      </w:r>
      <w:r w:rsidR="00071640" w:rsidRPr="005029E0">
        <w:rPr>
          <w:rFonts w:ascii="Arial" w:hAnsi="Arial" w:cs="Arial"/>
          <w:lang w:val="es-MX"/>
        </w:rPr>
        <w:t>riesgo de deserción</w:t>
      </w:r>
      <w:r w:rsidR="00071640">
        <w:rPr>
          <w:rFonts w:ascii="Arial" w:hAnsi="Arial" w:cs="Arial"/>
          <w:lang w:val="es-MX"/>
        </w:rPr>
        <w:t xml:space="preserve"> dichos sistemas, se pudo desarrollar iniciativas de contención y seguimiento cercano a los estudiantes más vulnerables, como la Red de Acompañamiento de las Trayectorias  Educativas (RATE) en Mendoza, que usa datos del Sistema GEM (Gestión Educativa Mendoza) para generar información clave para la planificación educativa. </w:t>
      </w:r>
      <w:r w:rsidR="005029E0">
        <w:rPr>
          <w:rFonts w:ascii="Arial" w:hAnsi="Arial" w:cs="Arial"/>
          <w:lang w:val="es-MX"/>
        </w:rPr>
        <w:t xml:space="preserve">A pesar de los relevantes avances en la consolidación del Sistema Integral de </w:t>
      </w:r>
      <w:r w:rsidR="006B5722">
        <w:rPr>
          <w:rFonts w:ascii="Arial" w:hAnsi="Arial" w:cs="Arial"/>
          <w:lang w:val="es-MX"/>
        </w:rPr>
        <w:t>Información Digital Educativa (S</w:t>
      </w:r>
      <w:r w:rsidR="005029E0">
        <w:rPr>
          <w:rFonts w:ascii="Arial" w:hAnsi="Arial" w:cs="Arial"/>
          <w:lang w:val="es-MX"/>
        </w:rPr>
        <w:t>INIDE</w:t>
      </w:r>
      <w:r w:rsidR="006B5722">
        <w:rPr>
          <w:rFonts w:ascii="Arial" w:hAnsi="Arial" w:cs="Arial"/>
          <w:lang w:val="es-MX"/>
        </w:rPr>
        <w:t>)</w:t>
      </w:r>
      <w:r w:rsidR="005029E0">
        <w:rPr>
          <w:rFonts w:ascii="Arial" w:hAnsi="Arial" w:cs="Arial"/>
          <w:lang w:val="es-MX"/>
        </w:rPr>
        <w:t xml:space="preserve"> a nivel nacional, </w:t>
      </w:r>
      <w:r w:rsidR="006B5722">
        <w:rPr>
          <w:rFonts w:ascii="Arial" w:hAnsi="Arial" w:cs="Arial"/>
          <w:lang w:val="es-MX"/>
        </w:rPr>
        <w:t xml:space="preserve">en Argentina </w:t>
      </w:r>
      <w:r w:rsidR="005029E0">
        <w:rPr>
          <w:rFonts w:ascii="Arial" w:hAnsi="Arial" w:cs="Arial"/>
          <w:lang w:val="es-MX"/>
        </w:rPr>
        <w:t xml:space="preserve">no todas las provincias cuentan </w:t>
      </w:r>
      <w:r w:rsidR="006B5722">
        <w:rPr>
          <w:rFonts w:ascii="Arial" w:hAnsi="Arial" w:cs="Arial"/>
          <w:lang w:val="es-MX"/>
        </w:rPr>
        <w:t xml:space="preserve">con </w:t>
      </w:r>
      <w:r w:rsidR="00071640">
        <w:rPr>
          <w:rFonts w:ascii="Arial" w:hAnsi="Arial" w:cs="Arial"/>
          <w:lang w:val="es-MX"/>
        </w:rPr>
        <w:t>dichos sistemas.</w:t>
      </w:r>
    </w:p>
    <w:p w14:paraId="1F92D940" w14:textId="0039CE8B" w:rsidR="00A50A5A" w:rsidRDefault="009D5639" w:rsidP="00277B98">
      <w:pPr>
        <w:tabs>
          <w:tab w:val="left" w:pos="1165"/>
        </w:tabs>
        <w:spacing w:before="120" w:after="120" w:line="240" w:lineRule="auto"/>
        <w:ind w:left="360" w:hanging="450"/>
        <w:jc w:val="both"/>
        <w:rPr>
          <w:rFonts w:ascii="Arial" w:hAnsi="Arial" w:cs="Arial"/>
          <w:lang w:val="es-MX"/>
        </w:rPr>
      </w:pPr>
      <w:r>
        <w:rPr>
          <w:rFonts w:ascii="Arial" w:hAnsi="Arial" w:cs="Arial"/>
          <w:lang w:val="es-MX"/>
        </w:rPr>
        <w:t>2.6.</w:t>
      </w:r>
      <w:r w:rsidR="002255DB">
        <w:rPr>
          <w:rFonts w:ascii="Arial" w:hAnsi="Arial" w:cs="Arial"/>
          <w:lang w:val="es-MX"/>
        </w:rPr>
        <w:t xml:space="preserve"> </w:t>
      </w:r>
      <w:r w:rsidR="00071640">
        <w:rPr>
          <w:rFonts w:ascii="Arial" w:hAnsi="Arial" w:cs="Arial"/>
          <w:lang w:val="es-MX"/>
        </w:rPr>
        <w:t>Otra fuente</w:t>
      </w:r>
      <w:r w:rsidR="00F7273C">
        <w:rPr>
          <w:rFonts w:ascii="Arial" w:hAnsi="Arial" w:cs="Arial"/>
          <w:lang w:val="es-MX"/>
        </w:rPr>
        <w:t xml:space="preserve"> importante </w:t>
      </w:r>
      <w:r w:rsidR="00071640">
        <w:rPr>
          <w:rFonts w:ascii="Arial" w:hAnsi="Arial" w:cs="Arial"/>
          <w:lang w:val="es-MX"/>
        </w:rPr>
        <w:t xml:space="preserve">de datos </w:t>
      </w:r>
      <w:r w:rsidR="00F7273C">
        <w:rPr>
          <w:rFonts w:ascii="Arial" w:hAnsi="Arial" w:cs="Arial"/>
          <w:lang w:val="es-MX"/>
        </w:rPr>
        <w:t xml:space="preserve">e información, </w:t>
      </w:r>
      <w:r w:rsidR="00071640">
        <w:rPr>
          <w:rFonts w:ascii="Arial" w:hAnsi="Arial" w:cs="Arial"/>
          <w:lang w:val="es-MX"/>
        </w:rPr>
        <w:t>que puede convertirse en herramienta</w:t>
      </w:r>
      <w:r w:rsidR="00071640" w:rsidRPr="00071640">
        <w:rPr>
          <w:rFonts w:ascii="Arial" w:hAnsi="Arial" w:cs="Arial"/>
          <w:lang w:val="es-MX"/>
        </w:rPr>
        <w:t xml:space="preserve"> </w:t>
      </w:r>
      <w:r w:rsidR="00071640">
        <w:rPr>
          <w:rFonts w:ascii="Arial" w:hAnsi="Arial" w:cs="Arial"/>
          <w:lang w:val="es-MX"/>
        </w:rPr>
        <w:t xml:space="preserve">para identificar brechas y acompañar la asistencia y actividades de </w:t>
      </w:r>
      <w:r w:rsidR="00F7273C">
        <w:rPr>
          <w:rFonts w:ascii="Arial" w:hAnsi="Arial" w:cs="Arial"/>
          <w:lang w:val="es-MX"/>
        </w:rPr>
        <w:t xml:space="preserve">estudiantes y </w:t>
      </w:r>
      <w:r w:rsidR="00071640">
        <w:rPr>
          <w:rFonts w:ascii="Arial" w:hAnsi="Arial" w:cs="Arial"/>
          <w:lang w:val="es-MX"/>
        </w:rPr>
        <w:t>docentes - y que vio su uso ampliado durante el cierre de escuelas - son l</w:t>
      </w:r>
      <w:r w:rsidR="00565E09">
        <w:rPr>
          <w:rFonts w:ascii="Arial" w:hAnsi="Arial" w:cs="Arial"/>
          <w:lang w:val="es-MX"/>
        </w:rPr>
        <w:t>os portales</w:t>
      </w:r>
      <w:r w:rsidR="00292BFC">
        <w:rPr>
          <w:rFonts w:ascii="Arial" w:hAnsi="Arial" w:cs="Arial"/>
          <w:lang w:val="es-MX"/>
        </w:rPr>
        <w:t xml:space="preserve">, </w:t>
      </w:r>
      <w:r w:rsidR="00071640">
        <w:rPr>
          <w:rFonts w:ascii="Arial" w:hAnsi="Arial" w:cs="Arial"/>
          <w:lang w:val="es-MX"/>
        </w:rPr>
        <w:t>p</w:t>
      </w:r>
      <w:r w:rsidR="00ED2123">
        <w:rPr>
          <w:rFonts w:ascii="Arial" w:hAnsi="Arial" w:cs="Arial"/>
          <w:lang w:val="es-MX"/>
        </w:rPr>
        <w:t xml:space="preserve">lataformas </w:t>
      </w:r>
      <w:r w:rsidR="00292BFC">
        <w:rPr>
          <w:rFonts w:ascii="Arial" w:hAnsi="Arial" w:cs="Arial"/>
          <w:lang w:val="es-MX"/>
        </w:rPr>
        <w:t xml:space="preserve">y aplicativos </w:t>
      </w:r>
      <w:r w:rsidR="00A50A5A">
        <w:rPr>
          <w:rFonts w:ascii="Arial" w:hAnsi="Arial" w:cs="Arial"/>
          <w:lang w:val="es-MX"/>
        </w:rPr>
        <w:t xml:space="preserve">digitales </w:t>
      </w:r>
      <w:r w:rsidR="00071640">
        <w:rPr>
          <w:rFonts w:ascii="Arial" w:hAnsi="Arial" w:cs="Arial"/>
          <w:lang w:val="es-MX"/>
        </w:rPr>
        <w:t>de aprendizaje</w:t>
      </w:r>
      <w:r w:rsidR="00292BFC">
        <w:rPr>
          <w:rFonts w:ascii="Arial" w:hAnsi="Arial" w:cs="Arial"/>
          <w:lang w:val="es-MX"/>
        </w:rPr>
        <w:t xml:space="preserve"> </w:t>
      </w:r>
      <w:r w:rsidR="00071640">
        <w:rPr>
          <w:rFonts w:ascii="Arial" w:hAnsi="Arial" w:cs="Arial"/>
          <w:lang w:val="es-MX"/>
        </w:rPr>
        <w:t>y</w:t>
      </w:r>
      <w:r w:rsidR="00292BFC">
        <w:rPr>
          <w:rFonts w:ascii="Arial" w:hAnsi="Arial" w:cs="Arial"/>
          <w:lang w:val="es-MX"/>
        </w:rPr>
        <w:t>/o</w:t>
      </w:r>
      <w:r w:rsidR="00071640">
        <w:rPr>
          <w:rFonts w:ascii="Arial" w:hAnsi="Arial" w:cs="Arial"/>
          <w:lang w:val="es-MX"/>
        </w:rPr>
        <w:t xml:space="preserve"> </w:t>
      </w:r>
      <w:r w:rsidR="00565E09">
        <w:rPr>
          <w:rFonts w:ascii="Arial" w:hAnsi="Arial" w:cs="Arial"/>
          <w:lang w:val="es-MX"/>
        </w:rPr>
        <w:t xml:space="preserve">de </w:t>
      </w:r>
      <w:r w:rsidR="00071640">
        <w:rPr>
          <w:rFonts w:ascii="Arial" w:hAnsi="Arial" w:cs="Arial"/>
          <w:lang w:val="es-MX"/>
        </w:rPr>
        <w:t>evaluaciones en línea.</w:t>
      </w:r>
      <w:r w:rsidR="00ED2123">
        <w:rPr>
          <w:rFonts w:ascii="Arial" w:hAnsi="Arial" w:cs="Arial"/>
          <w:lang w:val="es-MX"/>
        </w:rPr>
        <w:t xml:space="preserve"> </w:t>
      </w:r>
      <w:r w:rsidR="00BF0C0B">
        <w:rPr>
          <w:rFonts w:ascii="Arial" w:hAnsi="Arial" w:cs="Arial"/>
          <w:lang w:val="es-MX"/>
        </w:rPr>
        <w:t>Durante el 2020, virtualmente todas las provincias del país pasaron a usar</w:t>
      </w:r>
      <w:r w:rsidR="00875EA0">
        <w:rPr>
          <w:rFonts w:ascii="Arial" w:hAnsi="Arial" w:cs="Arial"/>
          <w:lang w:val="es-MX"/>
        </w:rPr>
        <w:t xml:space="preserve"> portales y </w:t>
      </w:r>
      <w:r w:rsidR="00BF0C0B">
        <w:rPr>
          <w:rFonts w:ascii="Arial" w:hAnsi="Arial" w:cs="Arial"/>
          <w:lang w:val="es-MX"/>
        </w:rPr>
        <w:t xml:space="preserve"> plataformas</w:t>
      </w:r>
      <w:r w:rsidR="00875EA0">
        <w:rPr>
          <w:rFonts w:ascii="Arial" w:hAnsi="Arial" w:cs="Arial"/>
          <w:lang w:val="es-MX"/>
        </w:rPr>
        <w:t xml:space="preserve"> </w:t>
      </w:r>
      <w:r w:rsidR="00BF0C0B">
        <w:rPr>
          <w:rFonts w:ascii="Arial" w:hAnsi="Arial" w:cs="Arial"/>
          <w:lang w:val="es-MX"/>
        </w:rPr>
        <w:t>digitales para mantener la continuidad pedagógica</w:t>
      </w:r>
      <w:r w:rsidR="00875EA0">
        <w:rPr>
          <w:rFonts w:ascii="Arial" w:hAnsi="Arial" w:cs="Arial"/>
          <w:lang w:val="es-MX"/>
        </w:rPr>
        <w:t xml:space="preserve"> de manera remota. </w:t>
      </w:r>
      <w:r w:rsidR="00875EA0" w:rsidRPr="00875EA0">
        <w:rPr>
          <w:rFonts w:ascii="Arial" w:hAnsi="Arial" w:cs="Arial"/>
          <w:lang w:val="es-MX"/>
        </w:rPr>
        <w:t>Algunas  jurisdicciones  aprovecharon portales  educativos  con  contenidos  propios  que tenían  en  funcionamiento  antes  de  la  pandemia</w:t>
      </w:r>
      <w:r w:rsidR="00875EA0">
        <w:rPr>
          <w:rFonts w:ascii="Arial" w:hAnsi="Arial" w:cs="Arial"/>
          <w:lang w:val="es-MX"/>
        </w:rPr>
        <w:t xml:space="preserve">, como </w:t>
      </w:r>
      <w:r w:rsidR="00875EA0" w:rsidRPr="00875EA0">
        <w:rPr>
          <w:rFonts w:ascii="Arial" w:hAnsi="Arial" w:cs="Arial"/>
          <w:lang w:val="es-MX"/>
        </w:rPr>
        <w:t>“Mi  Escuela”</w:t>
      </w:r>
      <w:r w:rsidR="00875EA0">
        <w:rPr>
          <w:rFonts w:ascii="Arial" w:hAnsi="Arial" w:cs="Arial"/>
          <w:lang w:val="es-MX"/>
        </w:rPr>
        <w:t xml:space="preserve"> (</w:t>
      </w:r>
      <w:r w:rsidR="00875EA0" w:rsidRPr="00875EA0">
        <w:rPr>
          <w:rFonts w:ascii="Arial" w:hAnsi="Arial" w:cs="Arial"/>
          <w:lang w:val="es-MX"/>
        </w:rPr>
        <w:t>CABA</w:t>
      </w:r>
      <w:r w:rsidR="00875EA0">
        <w:rPr>
          <w:rFonts w:ascii="Arial" w:hAnsi="Arial" w:cs="Arial"/>
          <w:lang w:val="es-MX"/>
        </w:rPr>
        <w:t>);</w:t>
      </w:r>
      <w:r w:rsidR="00875EA0" w:rsidRPr="00875EA0">
        <w:rPr>
          <w:rFonts w:ascii="Arial" w:hAnsi="Arial" w:cs="Arial"/>
          <w:lang w:val="es-MX"/>
        </w:rPr>
        <w:t xml:space="preserve"> </w:t>
      </w:r>
      <w:r w:rsidR="00875EA0">
        <w:rPr>
          <w:rFonts w:ascii="Arial" w:hAnsi="Arial" w:cs="Arial"/>
          <w:lang w:val="es-MX"/>
        </w:rPr>
        <w:t>“</w:t>
      </w:r>
      <w:proofErr w:type="spellStart"/>
      <w:r w:rsidR="00875EA0" w:rsidRPr="00875EA0">
        <w:rPr>
          <w:rFonts w:ascii="Arial" w:hAnsi="Arial" w:cs="Arial"/>
          <w:lang w:val="es-MX"/>
        </w:rPr>
        <w:t>Guacararí</w:t>
      </w:r>
      <w:proofErr w:type="spellEnd"/>
      <w:r w:rsidR="00875EA0" w:rsidRPr="00875EA0">
        <w:rPr>
          <w:rFonts w:ascii="Arial" w:hAnsi="Arial" w:cs="Arial"/>
          <w:lang w:val="es-MX"/>
        </w:rPr>
        <w:t>+</w:t>
      </w:r>
      <w:r w:rsidR="00875EA0">
        <w:rPr>
          <w:rFonts w:ascii="Arial" w:hAnsi="Arial" w:cs="Arial"/>
          <w:lang w:val="es-MX"/>
        </w:rPr>
        <w:t>”</w:t>
      </w:r>
      <w:r w:rsidR="00CE27B8">
        <w:rPr>
          <w:rFonts w:ascii="Arial" w:hAnsi="Arial" w:cs="Arial"/>
          <w:lang w:val="es-MX"/>
        </w:rPr>
        <w:t xml:space="preserve"> </w:t>
      </w:r>
      <w:r w:rsidR="00875EA0">
        <w:rPr>
          <w:rFonts w:ascii="Arial" w:hAnsi="Arial" w:cs="Arial"/>
          <w:lang w:val="es-MX"/>
        </w:rPr>
        <w:t>(</w:t>
      </w:r>
      <w:r w:rsidR="00875EA0" w:rsidRPr="00875EA0">
        <w:rPr>
          <w:rFonts w:ascii="Arial" w:hAnsi="Arial" w:cs="Arial"/>
          <w:lang w:val="es-MX"/>
        </w:rPr>
        <w:t>Misiones</w:t>
      </w:r>
      <w:r w:rsidR="00875EA0">
        <w:rPr>
          <w:rFonts w:ascii="Arial" w:hAnsi="Arial" w:cs="Arial"/>
          <w:lang w:val="es-MX"/>
        </w:rPr>
        <w:t>); “</w:t>
      </w:r>
      <w:r w:rsidR="00875EA0" w:rsidRPr="00875EA0">
        <w:rPr>
          <w:rFonts w:ascii="Arial" w:hAnsi="Arial" w:cs="Arial"/>
          <w:lang w:val="es-MX"/>
        </w:rPr>
        <w:t>Aprendizajes  2.0</w:t>
      </w:r>
      <w:r w:rsidR="00875EA0">
        <w:rPr>
          <w:rFonts w:ascii="Arial" w:hAnsi="Arial" w:cs="Arial"/>
          <w:lang w:val="es-MX"/>
        </w:rPr>
        <w:t>”(</w:t>
      </w:r>
      <w:r w:rsidR="00875EA0" w:rsidRPr="00875EA0">
        <w:rPr>
          <w:rFonts w:ascii="Arial" w:hAnsi="Arial" w:cs="Arial"/>
          <w:lang w:val="es-MX"/>
        </w:rPr>
        <w:t>Neuquén</w:t>
      </w:r>
      <w:r w:rsidR="00875EA0">
        <w:rPr>
          <w:rFonts w:ascii="Arial" w:hAnsi="Arial" w:cs="Arial"/>
          <w:lang w:val="es-MX"/>
        </w:rPr>
        <w:t>); “</w:t>
      </w:r>
      <w:r w:rsidR="00875EA0" w:rsidRPr="00875EA0">
        <w:rPr>
          <w:rFonts w:ascii="Arial" w:hAnsi="Arial" w:cs="Arial"/>
          <w:lang w:val="es-MX"/>
        </w:rPr>
        <w:t xml:space="preserve">Campus  </w:t>
      </w:r>
      <w:r w:rsidR="00875EA0">
        <w:rPr>
          <w:rFonts w:ascii="Arial" w:hAnsi="Arial" w:cs="Arial"/>
          <w:lang w:val="es-MX"/>
        </w:rPr>
        <w:t>E</w:t>
      </w:r>
      <w:r w:rsidR="00875EA0" w:rsidRPr="00875EA0">
        <w:rPr>
          <w:rFonts w:ascii="Arial" w:hAnsi="Arial" w:cs="Arial"/>
          <w:lang w:val="es-MX"/>
        </w:rPr>
        <w:t>ducativo</w:t>
      </w:r>
      <w:r w:rsidR="00875EA0">
        <w:rPr>
          <w:rFonts w:ascii="Arial" w:hAnsi="Arial" w:cs="Arial"/>
          <w:lang w:val="es-MX"/>
        </w:rPr>
        <w:t>” (S</w:t>
      </w:r>
      <w:r w:rsidR="00875EA0" w:rsidRPr="00875EA0">
        <w:rPr>
          <w:rFonts w:ascii="Arial" w:hAnsi="Arial" w:cs="Arial"/>
          <w:lang w:val="es-MX"/>
        </w:rPr>
        <w:t>anta  Fe</w:t>
      </w:r>
      <w:r w:rsidR="00875EA0">
        <w:rPr>
          <w:rFonts w:ascii="Arial" w:hAnsi="Arial" w:cs="Arial"/>
          <w:lang w:val="es-MX"/>
        </w:rPr>
        <w:t>). Otras</w:t>
      </w:r>
      <w:r w:rsidR="00875EA0" w:rsidRPr="00875EA0">
        <w:rPr>
          <w:rFonts w:ascii="Arial" w:hAnsi="Arial" w:cs="Arial"/>
          <w:lang w:val="es-MX"/>
        </w:rPr>
        <w:t xml:space="preserve"> </w:t>
      </w:r>
      <w:r w:rsidR="00875EA0">
        <w:rPr>
          <w:rFonts w:ascii="Arial" w:hAnsi="Arial" w:cs="Arial"/>
          <w:lang w:val="es-MX"/>
        </w:rPr>
        <w:t>lanzaron nuevos</w:t>
      </w:r>
      <w:r w:rsidR="00875EA0" w:rsidRPr="00875EA0">
        <w:rPr>
          <w:rFonts w:ascii="Arial" w:hAnsi="Arial" w:cs="Arial"/>
          <w:lang w:val="es-MX"/>
        </w:rPr>
        <w:t xml:space="preserve">  </w:t>
      </w:r>
      <w:r w:rsidR="00875EA0">
        <w:rPr>
          <w:rFonts w:ascii="Arial" w:hAnsi="Arial" w:cs="Arial"/>
          <w:lang w:val="es-MX"/>
        </w:rPr>
        <w:t xml:space="preserve">portales con nuevos </w:t>
      </w:r>
      <w:r w:rsidR="00875EA0" w:rsidRPr="00875EA0">
        <w:rPr>
          <w:rFonts w:ascii="Arial" w:hAnsi="Arial" w:cs="Arial"/>
          <w:lang w:val="es-MX"/>
        </w:rPr>
        <w:t>contenidos</w:t>
      </w:r>
      <w:r w:rsidR="00875EA0">
        <w:rPr>
          <w:rFonts w:ascii="Arial" w:hAnsi="Arial" w:cs="Arial"/>
          <w:lang w:val="es-MX"/>
        </w:rPr>
        <w:t>, como “</w:t>
      </w:r>
      <w:r w:rsidR="00875EA0" w:rsidRPr="00875EA0">
        <w:rPr>
          <w:rFonts w:ascii="Arial" w:hAnsi="Arial" w:cs="Arial"/>
          <w:lang w:val="es-MX"/>
        </w:rPr>
        <w:t xml:space="preserve">Continuemos </w:t>
      </w:r>
      <w:r w:rsidR="00875EA0">
        <w:rPr>
          <w:rFonts w:ascii="Arial" w:hAnsi="Arial" w:cs="Arial"/>
          <w:lang w:val="es-MX"/>
        </w:rPr>
        <w:t>E</w:t>
      </w:r>
      <w:r w:rsidR="00875EA0" w:rsidRPr="00875EA0">
        <w:rPr>
          <w:rFonts w:ascii="Arial" w:hAnsi="Arial" w:cs="Arial"/>
          <w:lang w:val="es-MX"/>
        </w:rPr>
        <w:t>studiando</w:t>
      </w:r>
      <w:r w:rsidR="00875EA0">
        <w:rPr>
          <w:rFonts w:ascii="Arial" w:hAnsi="Arial" w:cs="Arial"/>
          <w:lang w:val="es-MX"/>
        </w:rPr>
        <w:t>” (</w:t>
      </w:r>
      <w:r w:rsidR="00875EA0" w:rsidRPr="00875EA0">
        <w:rPr>
          <w:rFonts w:ascii="Arial" w:hAnsi="Arial" w:cs="Arial"/>
          <w:lang w:val="es-MX"/>
        </w:rPr>
        <w:t>Buenos Aires</w:t>
      </w:r>
      <w:r w:rsidR="00875EA0">
        <w:rPr>
          <w:rFonts w:ascii="Arial" w:hAnsi="Arial" w:cs="Arial"/>
          <w:lang w:val="es-MX"/>
        </w:rPr>
        <w:t xml:space="preserve">); </w:t>
      </w:r>
      <w:r w:rsidR="00875EA0" w:rsidRPr="00875EA0">
        <w:rPr>
          <w:rFonts w:ascii="Arial" w:hAnsi="Arial" w:cs="Arial"/>
          <w:lang w:val="es-MX"/>
        </w:rPr>
        <w:t>“ELE” (Chaco)</w:t>
      </w:r>
      <w:r w:rsidR="00875EA0">
        <w:rPr>
          <w:rFonts w:ascii="Arial" w:hAnsi="Arial" w:cs="Arial"/>
          <w:lang w:val="es-MX"/>
        </w:rPr>
        <w:t>;</w:t>
      </w:r>
      <w:r w:rsidR="00875EA0" w:rsidRPr="00875EA0">
        <w:rPr>
          <w:rFonts w:ascii="Arial" w:hAnsi="Arial" w:cs="Arial"/>
          <w:lang w:val="es-MX"/>
        </w:rPr>
        <w:t xml:space="preserve"> “Tu </w:t>
      </w:r>
      <w:r w:rsidR="00875EA0">
        <w:rPr>
          <w:rFonts w:ascii="Arial" w:hAnsi="Arial" w:cs="Arial"/>
          <w:lang w:val="es-MX"/>
        </w:rPr>
        <w:t>E</w:t>
      </w:r>
      <w:r w:rsidR="00875EA0" w:rsidRPr="00875EA0">
        <w:rPr>
          <w:rFonts w:ascii="Arial" w:hAnsi="Arial" w:cs="Arial"/>
          <w:lang w:val="es-MX"/>
        </w:rPr>
        <w:t xml:space="preserve">scuela en  </w:t>
      </w:r>
      <w:r w:rsidR="00875EA0">
        <w:rPr>
          <w:rFonts w:ascii="Arial" w:hAnsi="Arial" w:cs="Arial"/>
          <w:lang w:val="es-MX"/>
        </w:rPr>
        <w:t>C</w:t>
      </w:r>
      <w:r w:rsidR="00875EA0" w:rsidRPr="00875EA0">
        <w:rPr>
          <w:rFonts w:ascii="Arial" w:hAnsi="Arial" w:cs="Arial"/>
          <w:lang w:val="es-MX"/>
        </w:rPr>
        <w:t>asa” (Córdoba)</w:t>
      </w:r>
      <w:r w:rsidR="00875EA0">
        <w:rPr>
          <w:rFonts w:ascii="Arial" w:hAnsi="Arial" w:cs="Arial"/>
          <w:lang w:val="es-MX"/>
        </w:rPr>
        <w:t>;</w:t>
      </w:r>
      <w:r w:rsidR="00875EA0" w:rsidRPr="00875EA0">
        <w:rPr>
          <w:rFonts w:ascii="Arial" w:hAnsi="Arial" w:cs="Arial"/>
          <w:lang w:val="es-MX"/>
        </w:rPr>
        <w:t xml:space="preserve"> “Formosa  </w:t>
      </w:r>
      <w:r w:rsidR="00875EA0">
        <w:rPr>
          <w:rFonts w:ascii="Arial" w:hAnsi="Arial" w:cs="Arial"/>
          <w:lang w:val="es-MX"/>
        </w:rPr>
        <w:t>E</w:t>
      </w:r>
      <w:r w:rsidR="00875EA0" w:rsidRPr="00875EA0">
        <w:rPr>
          <w:rFonts w:ascii="Arial" w:hAnsi="Arial" w:cs="Arial"/>
          <w:lang w:val="es-MX"/>
        </w:rPr>
        <w:t xml:space="preserve">studia  en  </w:t>
      </w:r>
      <w:r w:rsidR="00875EA0">
        <w:rPr>
          <w:rFonts w:ascii="Arial" w:hAnsi="Arial" w:cs="Arial"/>
          <w:lang w:val="es-MX"/>
        </w:rPr>
        <w:t>C</w:t>
      </w:r>
      <w:r w:rsidR="00875EA0" w:rsidRPr="00875EA0">
        <w:rPr>
          <w:rFonts w:ascii="Arial" w:hAnsi="Arial" w:cs="Arial"/>
          <w:lang w:val="es-MX"/>
        </w:rPr>
        <w:t>asa” (Formosa</w:t>
      </w:r>
      <w:r w:rsidR="00875EA0">
        <w:rPr>
          <w:rFonts w:ascii="Arial" w:hAnsi="Arial" w:cs="Arial"/>
          <w:lang w:val="es-MX"/>
        </w:rPr>
        <w:t xml:space="preserve">); </w:t>
      </w:r>
      <w:r w:rsidR="00875EA0" w:rsidRPr="00875EA0">
        <w:rPr>
          <w:rFonts w:ascii="Arial" w:hAnsi="Arial" w:cs="Arial"/>
          <w:lang w:val="es-MX"/>
        </w:rPr>
        <w:t xml:space="preserve">“Estudiar  </w:t>
      </w:r>
      <w:r w:rsidR="00CE27B8">
        <w:rPr>
          <w:rFonts w:ascii="Arial" w:hAnsi="Arial" w:cs="Arial"/>
          <w:lang w:val="es-MX"/>
        </w:rPr>
        <w:t>C</w:t>
      </w:r>
      <w:r w:rsidR="00875EA0" w:rsidRPr="00875EA0">
        <w:rPr>
          <w:rFonts w:ascii="Arial" w:hAnsi="Arial" w:cs="Arial"/>
          <w:lang w:val="es-MX"/>
        </w:rPr>
        <w:t xml:space="preserve">uidándonos” (La Pampa) y “Aprendo en </w:t>
      </w:r>
      <w:r w:rsidR="00875EA0">
        <w:rPr>
          <w:rFonts w:ascii="Arial" w:hAnsi="Arial" w:cs="Arial"/>
          <w:lang w:val="es-MX"/>
        </w:rPr>
        <w:t>C</w:t>
      </w:r>
      <w:r w:rsidR="00875EA0" w:rsidRPr="00875EA0">
        <w:rPr>
          <w:rFonts w:ascii="Arial" w:hAnsi="Arial" w:cs="Arial"/>
          <w:lang w:val="es-MX"/>
        </w:rPr>
        <w:t>asa” (Tierra del Fuego)</w:t>
      </w:r>
      <w:r w:rsidR="00565E09">
        <w:rPr>
          <w:rStyle w:val="FootnoteReference"/>
          <w:rFonts w:ascii="Arial" w:hAnsi="Arial" w:cs="Arial"/>
          <w:lang w:val="es-MX"/>
        </w:rPr>
        <w:footnoteReference w:id="7"/>
      </w:r>
      <w:r w:rsidR="003C7F4F">
        <w:rPr>
          <w:rFonts w:ascii="Arial" w:hAnsi="Arial" w:cs="Arial"/>
          <w:lang w:val="es-MX"/>
        </w:rPr>
        <w:t xml:space="preserve">. </w:t>
      </w:r>
      <w:r w:rsidR="00277B98">
        <w:rPr>
          <w:rFonts w:ascii="Arial" w:hAnsi="Arial" w:cs="Arial"/>
          <w:lang w:val="es-MX"/>
        </w:rPr>
        <w:t xml:space="preserve">La información registrada en estas bases digitales puede ayudar a mejorar la eficiencia de programas y políticas educativas en la postpandemia. </w:t>
      </w:r>
    </w:p>
    <w:p w14:paraId="44B55043" w14:textId="77777777" w:rsidR="00C51377" w:rsidRPr="006A2727" w:rsidRDefault="00C51377" w:rsidP="00277B98">
      <w:pPr>
        <w:tabs>
          <w:tab w:val="left" w:pos="1165"/>
        </w:tabs>
        <w:spacing w:before="120" w:after="120" w:line="240" w:lineRule="auto"/>
        <w:ind w:left="360" w:hanging="450"/>
        <w:jc w:val="both"/>
        <w:rPr>
          <w:rFonts w:ascii="Arial" w:hAnsi="Arial" w:cs="Arial"/>
          <w:lang w:val="es-ES"/>
        </w:rPr>
      </w:pPr>
    </w:p>
    <w:p w14:paraId="35E14DC6" w14:textId="062679DC" w:rsidR="0095711B" w:rsidRPr="00A523B2" w:rsidRDefault="00F00960" w:rsidP="00CF398D">
      <w:pPr>
        <w:pStyle w:val="ListParagraph"/>
        <w:numPr>
          <w:ilvl w:val="0"/>
          <w:numId w:val="5"/>
        </w:numPr>
        <w:spacing w:before="120" w:after="120" w:line="240" w:lineRule="auto"/>
        <w:ind w:hanging="90"/>
        <w:contextualSpacing w:val="0"/>
        <w:rPr>
          <w:rFonts w:ascii="Arial" w:hAnsi="Arial" w:cs="Arial"/>
          <w:b/>
          <w:lang w:val="es-ES"/>
        </w:rPr>
      </w:pPr>
      <w:r w:rsidRPr="00A523B2">
        <w:rPr>
          <w:rFonts w:ascii="Arial" w:hAnsi="Arial" w:cs="Arial"/>
          <w:b/>
          <w:lang w:val="es-ES"/>
        </w:rPr>
        <w:t xml:space="preserve">Descripción de las </w:t>
      </w:r>
      <w:r w:rsidR="00A12C27" w:rsidRPr="00A523B2">
        <w:rPr>
          <w:rFonts w:ascii="Arial" w:hAnsi="Arial" w:cs="Arial"/>
          <w:b/>
          <w:lang w:val="es-ES"/>
        </w:rPr>
        <w:t>activi</w:t>
      </w:r>
      <w:r w:rsidRPr="00A523B2">
        <w:rPr>
          <w:rFonts w:ascii="Arial" w:hAnsi="Arial" w:cs="Arial"/>
          <w:b/>
          <w:lang w:val="es-ES"/>
        </w:rPr>
        <w:t>dades</w:t>
      </w:r>
      <w:r w:rsidR="00847603" w:rsidRPr="00A523B2">
        <w:rPr>
          <w:rFonts w:ascii="Arial" w:hAnsi="Arial" w:cs="Arial"/>
          <w:b/>
          <w:lang w:val="es-ES"/>
        </w:rPr>
        <w:t xml:space="preserve"> y resultados</w:t>
      </w:r>
      <w:r w:rsidR="0046306D">
        <w:rPr>
          <w:rFonts w:ascii="Arial" w:hAnsi="Arial" w:cs="Arial"/>
          <w:b/>
          <w:lang w:val="es-ES"/>
        </w:rPr>
        <w:t>.</w:t>
      </w:r>
    </w:p>
    <w:p w14:paraId="5D594B1A" w14:textId="1A2EB7A7" w:rsidR="00D3507C" w:rsidRDefault="00D3507C" w:rsidP="00D3507C">
      <w:pPr>
        <w:pStyle w:val="ListParagraph"/>
        <w:spacing w:after="0" w:line="240" w:lineRule="auto"/>
        <w:ind w:left="360" w:hanging="450"/>
        <w:jc w:val="both"/>
        <w:rPr>
          <w:rFonts w:ascii="Arial" w:hAnsi="Arial" w:cs="Arial"/>
          <w:lang w:val="es-ES"/>
        </w:rPr>
      </w:pPr>
      <w:r>
        <w:rPr>
          <w:rFonts w:ascii="Arial" w:hAnsi="Arial" w:cs="Arial"/>
          <w:lang w:val="es-ES"/>
        </w:rPr>
        <w:t xml:space="preserve">3.1. </w:t>
      </w:r>
      <w:r>
        <w:rPr>
          <w:rFonts w:ascii="Arial" w:hAnsi="Arial" w:cs="Arial"/>
          <w:lang w:val="es-ES"/>
        </w:rPr>
        <w:tab/>
      </w:r>
      <w:r>
        <w:rPr>
          <w:rFonts w:ascii="Arial" w:hAnsi="Arial" w:cs="Arial"/>
          <w:b/>
          <w:bCs/>
          <w:lang w:val="es-ES"/>
        </w:rPr>
        <w:t>Componente 1:</w:t>
      </w:r>
      <w:r>
        <w:rPr>
          <w:rFonts w:ascii="Arial" w:hAnsi="Arial" w:cs="Arial"/>
          <w:lang w:val="es-ES"/>
        </w:rPr>
        <w:t xml:space="preserve"> </w:t>
      </w:r>
      <w:r>
        <w:rPr>
          <w:rFonts w:ascii="Arial" w:hAnsi="Arial" w:cs="Arial"/>
          <w:b/>
          <w:bCs/>
          <w:lang w:val="es-ES"/>
        </w:rPr>
        <w:t>Análisis de datos de trayectorias educativas</w:t>
      </w:r>
      <w:r>
        <w:rPr>
          <w:rFonts w:ascii="Arial" w:hAnsi="Arial" w:cs="Arial"/>
          <w:lang w:val="es-ES"/>
        </w:rPr>
        <w:t>. Este componente financiará estudios</w:t>
      </w:r>
      <w:r w:rsidR="001753FC">
        <w:rPr>
          <w:rFonts w:ascii="Arial" w:hAnsi="Arial" w:cs="Arial"/>
          <w:lang w:val="es-ES"/>
        </w:rPr>
        <w:t xml:space="preserve"> y </w:t>
      </w:r>
      <w:r>
        <w:rPr>
          <w:rFonts w:ascii="Arial" w:hAnsi="Arial" w:cs="Arial"/>
          <w:lang w:val="es-ES"/>
        </w:rPr>
        <w:t xml:space="preserve">análisis con base en datos e información disponible en plataformas digitales de aprendizaje, de evaluaciones en línea, y de gestión integral educativa en provincias seleccionadas, y/o a nivel nacional, para identificar las áreas prioritarias de trabajo para reactivar las trayectorias educativas de los estudiantes, y su relación con familias, docentes y directivos en la postpandemia del COVID-19. </w:t>
      </w:r>
    </w:p>
    <w:p w14:paraId="45A2FA8A" w14:textId="77777777" w:rsidR="00D3507C" w:rsidRDefault="00D3507C" w:rsidP="00D3507C">
      <w:pPr>
        <w:pStyle w:val="ListParagraph"/>
        <w:spacing w:after="0" w:line="240" w:lineRule="auto"/>
        <w:ind w:left="360" w:hanging="450"/>
        <w:jc w:val="both"/>
        <w:rPr>
          <w:rFonts w:ascii="Arial" w:hAnsi="Arial" w:cs="Arial"/>
          <w:lang w:val="es-ES"/>
        </w:rPr>
      </w:pPr>
    </w:p>
    <w:p w14:paraId="18724EA9" w14:textId="0C6DA02A" w:rsidR="00D3507C" w:rsidRDefault="00D3507C" w:rsidP="00D3507C">
      <w:pPr>
        <w:pStyle w:val="ListParagraph"/>
        <w:spacing w:after="0" w:line="240" w:lineRule="auto"/>
        <w:ind w:left="360" w:hanging="450"/>
        <w:jc w:val="both"/>
        <w:rPr>
          <w:rFonts w:ascii="Arial" w:hAnsi="Arial" w:cs="Arial"/>
          <w:lang w:val="es-ES"/>
        </w:rPr>
      </w:pPr>
      <w:r>
        <w:rPr>
          <w:rFonts w:ascii="Arial" w:hAnsi="Arial" w:cs="Arial"/>
          <w:lang w:val="es-ES"/>
        </w:rPr>
        <w:t xml:space="preserve">3.2. </w:t>
      </w:r>
      <w:r>
        <w:rPr>
          <w:rFonts w:ascii="Arial" w:hAnsi="Arial" w:cs="Arial"/>
          <w:b/>
          <w:bCs/>
          <w:lang w:val="es-ES"/>
        </w:rPr>
        <w:t xml:space="preserve">Componente 2. </w:t>
      </w:r>
      <w:r w:rsidR="000A115D">
        <w:rPr>
          <w:rFonts w:ascii="Arial" w:hAnsi="Arial" w:cs="Arial"/>
          <w:b/>
          <w:bCs/>
          <w:lang w:val="es-ES"/>
        </w:rPr>
        <w:t>Estudios de a</w:t>
      </w:r>
      <w:r>
        <w:rPr>
          <w:rFonts w:ascii="Arial" w:hAnsi="Arial" w:cs="Arial"/>
          <w:b/>
          <w:bCs/>
          <w:lang w:val="es-ES"/>
        </w:rPr>
        <w:t xml:space="preserve">lertas tempranas e inteligencia artificial para la recuperación de aprendizajes. </w:t>
      </w:r>
      <w:r>
        <w:rPr>
          <w:rFonts w:ascii="Arial" w:hAnsi="Arial" w:cs="Arial"/>
          <w:lang w:val="es-ES"/>
        </w:rPr>
        <w:t>Este componente financiará</w:t>
      </w:r>
      <w:r w:rsidR="00AA47A0">
        <w:rPr>
          <w:rFonts w:ascii="Arial" w:hAnsi="Arial" w:cs="Arial"/>
          <w:lang w:val="es-ES"/>
        </w:rPr>
        <w:t xml:space="preserve"> </w:t>
      </w:r>
      <w:r w:rsidR="001753FC">
        <w:rPr>
          <w:rFonts w:ascii="Arial" w:hAnsi="Arial" w:cs="Arial"/>
          <w:lang w:val="es-ES"/>
        </w:rPr>
        <w:t xml:space="preserve">intervenciones experimentales o casi- experimentales con el uso de soluciones digitales de </w:t>
      </w:r>
      <w:r>
        <w:rPr>
          <w:rFonts w:ascii="Arial" w:hAnsi="Arial" w:cs="Arial"/>
          <w:lang w:val="es-ES"/>
        </w:rPr>
        <w:t>alertas tempranas y</w:t>
      </w:r>
      <w:r w:rsidR="00FE7ECC">
        <w:rPr>
          <w:rFonts w:ascii="Arial" w:hAnsi="Arial" w:cs="Arial"/>
          <w:lang w:val="es-ES"/>
        </w:rPr>
        <w:t>/o</w:t>
      </w:r>
      <w:r>
        <w:rPr>
          <w:rFonts w:ascii="Arial" w:hAnsi="Arial" w:cs="Arial"/>
          <w:lang w:val="es-ES"/>
        </w:rPr>
        <w:t xml:space="preserve"> herramientas de inteligencia artificial para reducir la deserción escolar </w:t>
      </w:r>
      <w:r>
        <w:rPr>
          <w:rFonts w:ascii="Arial" w:hAnsi="Arial" w:cs="Arial"/>
          <w:lang w:val="es-ES"/>
        </w:rPr>
        <w:lastRenderedPageBreak/>
        <w:t xml:space="preserve">y recuperar aprendizajes afectados por la suspensión de clases presenciales durante la pandemia del COVID-19, en provincias seleccionadas y/o a nivel nacional. </w:t>
      </w:r>
    </w:p>
    <w:p w14:paraId="74406AA7" w14:textId="77777777" w:rsidR="00D3507C" w:rsidRDefault="00D3507C" w:rsidP="00D3507C">
      <w:pPr>
        <w:pStyle w:val="ListParagraph"/>
        <w:spacing w:after="0" w:line="240" w:lineRule="auto"/>
        <w:ind w:left="360" w:hanging="450"/>
        <w:jc w:val="both"/>
        <w:rPr>
          <w:rFonts w:ascii="Arial" w:hAnsi="Arial" w:cs="Arial"/>
          <w:lang w:val="es-ES"/>
        </w:rPr>
      </w:pPr>
    </w:p>
    <w:p w14:paraId="664890E3" w14:textId="73D9841A" w:rsidR="00D3507C" w:rsidRDefault="00D3507C" w:rsidP="00D3507C">
      <w:pPr>
        <w:pStyle w:val="ListParagraph"/>
        <w:spacing w:after="0" w:line="240" w:lineRule="auto"/>
        <w:ind w:left="360" w:hanging="450"/>
        <w:jc w:val="both"/>
        <w:rPr>
          <w:rFonts w:ascii="Arial" w:hAnsi="Arial" w:cs="Arial"/>
          <w:lang w:val="es-ES"/>
        </w:rPr>
      </w:pPr>
      <w:r>
        <w:rPr>
          <w:rFonts w:ascii="Arial" w:hAnsi="Arial" w:cs="Arial"/>
          <w:lang w:val="es-ES"/>
        </w:rPr>
        <w:t xml:space="preserve">3.3. </w:t>
      </w:r>
      <w:r>
        <w:rPr>
          <w:rFonts w:ascii="Arial" w:hAnsi="Arial" w:cs="Arial"/>
          <w:b/>
          <w:bCs/>
          <w:lang w:val="es-ES"/>
        </w:rPr>
        <w:t>Componente 3:</w:t>
      </w:r>
      <w:r w:rsidR="000A115D">
        <w:rPr>
          <w:rFonts w:ascii="Arial" w:hAnsi="Arial" w:cs="Arial"/>
          <w:lang w:val="es-ES"/>
        </w:rPr>
        <w:t xml:space="preserve"> </w:t>
      </w:r>
      <w:r w:rsidR="000A115D">
        <w:rPr>
          <w:rFonts w:ascii="Arial" w:hAnsi="Arial" w:cs="Arial"/>
          <w:b/>
          <w:bCs/>
          <w:lang w:val="es-ES"/>
        </w:rPr>
        <w:t>Estudios de C</w:t>
      </w:r>
      <w:r>
        <w:rPr>
          <w:rFonts w:ascii="Arial" w:hAnsi="Arial" w:cs="Arial"/>
          <w:b/>
          <w:bCs/>
          <w:lang w:val="es-ES"/>
        </w:rPr>
        <w:t>iencias del Comportamiento para mejorar la eficiencia de la política educativa.</w:t>
      </w:r>
      <w:r>
        <w:rPr>
          <w:rFonts w:ascii="Arial" w:hAnsi="Arial" w:cs="Arial"/>
          <w:lang w:val="es-ES"/>
        </w:rPr>
        <w:t xml:space="preserve"> Este componente financiará </w:t>
      </w:r>
      <w:r w:rsidR="001D0E1D">
        <w:rPr>
          <w:rFonts w:ascii="Arial" w:hAnsi="Arial" w:cs="Arial"/>
          <w:lang w:val="es-ES"/>
        </w:rPr>
        <w:t>intervenciones</w:t>
      </w:r>
      <w:r w:rsidR="008B2DF1">
        <w:rPr>
          <w:rFonts w:ascii="Arial" w:hAnsi="Arial" w:cs="Arial"/>
          <w:lang w:val="es-ES"/>
        </w:rPr>
        <w:t xml:space="preserve"> experimentales</w:t>
      </w:r>
      <w:r w:rsidR="001D0E1D">
        <w:rPr>
          <w:rFonts w:ascii="Arial" w:hAnsi="Arial" w:cs="Arial"/>
          <w:lang w:val="es-ES"/>
        </w:rPr>
        <w:t xml:space="preserve"> </w:t>
      </w:r>
      <w:r w:rsidR="001753FC">
        <w:rPr>
          <w:rFonts w:ascii="Arial" w:hAnsi="Arial" w:cs="Arial"/>
          <w:lang w:val="es-ES"/>
        </w:rPr>
        <w:t xml:space="preserve">o casi-experimentales </w:t>
      </w:r>
      <w:r w:rsidR="00B22D86">
        <w:rPr>
          <w:rFonts w:ascii="Arial" w:hAnsi="Arial" w:cs="Arial"/>
          <w:lang w:val="es-ES"/>
        </w:rPr>
        <w:t>que us</w:t>
      </w:r>
      <w:r w:rsidR="0053046C">
        <w:rPr>
          <w:rFonts w:ascii="Arial" w:hAnsi="Arial" w:cs="Arial"/>
          <w:lang w:val="es-ES"/>
        </w:rPr>
        <w:t>e</w:t>
      </w:r>
      <w:r w:rsidR="00B22D86">
        <w:rPr>
          <w:rFonts w:ascii="Arial" w:hAnsi="Arial" w:cs="Arial"/>
          <w:lang w:val="es-ES"/>
        </w:rPr>
        <w:t>n</w:t>
      </w:r>
      <w:r w:rsidR="001D0E1D">
        <w:rPr>
          <w:rFonts w:ascii="Arial" w:hAnsi="Arial" w:cs="Arial"/>
          <w:lang w:val="es-ES"/>
        </w:rPr>
        <w:t xml:space="preserve"> técnicas de las ciencias del comportamiento para mejorar la eficiencia</w:t>
      </w:r>
      <w:r w:rsidR="00630E53">
        <w:rPr>
          <w:rFonts w:ascii="Arial" w:hAnsi="Arial" w:cs="Arial"/>
          <w:lang w:val="es-ES"/>
        </w:rPr>
        <w:t xml:space="preserve"> y equidad educativa</w:t>
      </w:r>
      <w:r w:rsidR="00292BFC">
        <w:rPr>
          <w:rFonts w:ascii="Arial" w:hAnsi="Arial" w:cs="Arial"/>
          <w:lang w:val="es-ES"/>
        </w:rPr>
        <w:t xml:space="preserve"> en programas y políticas de inclusión y recuperación educativa</w:t>
      </w:r>
      <w:r w:rsidR="00467A9E">
        <w:rPr>
          <w:rFonts w:ascii="Arial" w:hAnsi="Arial" w:cs="Arial"/>
          <w:lang w:val="es-ES"/>
        </w:rPr>
        <w:t xml:space="preserve"> en la postpandemia</w:t>
      </w:r>
      <w:r w:rsidR="00C33CFC">
        <w:rPr>
          <w:rFonts w:ascii="Arial" w:hAnsi="Arial" w:cs="Arial"/>
          <w:lang w:val="es-ES"/>
        </w:rPr>
        <w:t xml:space="preserve">.  </w:t>
      </w:r>
    </w:p>
    <w:p w14:paraId="41AFE104" w14:textId="77777777" w:rsidR="00131D40" w:rsidRPr="00A523B2" w:rsidRDefault="00131D40" w:rsidP="00131D40">
      <w:pPr>
        <w:pStyle w:val="ListParagraph"/>
        <w:spacing w:after="0" w:line="240" w:lineRule="auto"/>
        <w:ind w:left="360"/>
        <w:contextualSpacing w:val="0"/>
        <w:jc w:val="both"/>
        <w:rPr>
          <w:rFonts w:ascii="Arial" w:hAnsi="Arial" w:cs="Arial"/>
          <w:lang w:val="es-ES"/>
        </w:rPr>
      </w:pPr>
    </w:p>
    <w:p w14:paraId="4B9A4327" w14:textId="1E28B19E" w:rsidR="00847603" w:rsidRPr="00A523B2" w:rsidRDefault="00847603" w:rsidP="00CF398D">
      <w:pPr>
        <w:pStyle w:val="ListParagraph"/>
        <w:numPr>
          <w:ilvl w:val="0"/>
          <w:numId w:val="5"/>
        </w:numPr>
        <w:spacing w:after="0" w:line="240" w:lineRule="auto"/>
        <w:ind w:left="270" w:hanging="90"/>
        <w:contextualSpacing w:val="0"/>
        <w:rPr>
          <w:rFonts w:ascii="Arial" w:hAnsi="Arial" w:cs="Arial"/>
          <w:b/>
          <w:lang w:val="es-ES"/>
        </w:rPr>
      </w:pPr>
      <w:r w:rsidRPr="00A523B2">
        <w:rPr>
          <w:rFonts w:ascii="Arial" w:hAnsi="Arial" w:cs="Arial"/>
          <w:b/>
          <w:lang w:val="es-ES"/>
        </w:rPr>
        <w:t xml:space="preserve">Presupuesto </w:t>
      </w:r>
      <w:r w:rsidR="00055EF1" w:rsidRPr="00A523B2">
        <w:rPr>
          <w:rFonts w:ascii="Arial" w:hAnsi="Arial" w:cs="Arial"/>
          <w:b/>
          <w:lang w:val="es-ES"/>
        </w:rPr>
        <w:t>indicativo</w:t>
      </w:r>
      <w:r w:rsidR="0046306D">
        <w:rPr>
          <w:rFonts w:ascii="Arial" w:hAnsi="Arial" w:cs="Arial"/>
          <w:b/>
          <w:lang w:val="es-ES"/>
        </w:rPr>
        <w:t>.</w:t>
      </w:r>
    </w:p>
    <w:p w14:paraId="66504052" w14:textId="3C675DB1" w:rsidR="00F6363D" w:rsidRPr="00A523B2" w:rsidRDefault="00F6363D" w:rsidP="001735E1">
      <w:pPr>
        <w:pStyle w:val="ListParagraph"/>
        <w:spacing w:before="60" w:after="60" w:line="240" w:lineRule="auto"/>
        <w:ind w:left="360"/>
        <w:contextualSpacing w:val="0"/>
        <w:jc w:val="center"/>
        <w:rPr>
          <w:rFonts w:ascii="Arial" w:hAnsi="Arial" w:cs="Arial"/>
          <w:lang w:val="es-ES"/>
        </w:rPr>
      </w:pPr>
    </w:p>
    <w:tbl>
      <w:tblPr>
        <w:tblStyle w:val="TableGrid"/>
        <w:tblW w:w="8815" w:type="dxa"/>
        <w:jc w:val="center"/>
        <w:tblLayout w:type="fixed"/>
        <w:tblLook w:val="04A0" w:firstRow="1" w:lastRow="0" w:firstColumn="1" w:lastColumn="0" w:noHBand="0" w:noVBand="1"/>
      </w:tblPr>
      <w:tblGrid>
        <w:gridCol w:w="2250"/>
        <w:gridCol w:w="1530"/>
        <w:gridCol w:w="1975"/>
        <w:gridCol w:w="1440"/>
        <w:gridCol w:w="1620"/>
      </w:tblGrid>
      <w:tr w:rsidR="000C16F9" w:rsidRPr="00A523B2" w14:paraId="370B0794" w14:textId="77777777" w:rsidTr="006A4825">
        <w:trPr>
          <w:jc w:val="center"/>
        </w:trPr>
        <w:tc>
          <w:tcPr>
            <w:tcW w:w="2250" w:type="dxa"/>
          </w:tcPr>
          <w:p w14:paraId="3DBCEB0C" w14:textId="77777777" w:rsidR="00F6363D" w:rsidRPr="00A523B2" w:rsidRDefault="00F6363D" w:rsidP="001735E1">
            <w:pPr>
              <w:pStyle w:val="ListParagraph"/>
              <w:spacing w:before="60" w:after="60"/>
              <w:ind w:left="0"/>
              <w:contextualSpacing w:val="0"/>
              <w:jc w:val="center"/>
              <w:rPr>
                <w:rFonts w:ascii="Arial" w:hAnsi="Arial" w:cs="Arial"/>
                <w:b/>
                <w:sz w:val="18"/>
                <w:szCs w:val="18"/>
                <w:lang w:val="es-ES"/>
              </w:rPr>
            </w:pPr>
            <w:r w:rsidRPr="00A523B2">
              <w:rPr>
                <w:rFonts w:ascii="Arial" w:hAnsi="Arial" w:cs="Arial"/>
                <w:b/>
                <w:sz w:val="18"/>
                <w:szCs w:val="18"/>
                <w:lang w:val="es-ES"/>
              </w:rPr>
              <w:t>Activi</w:t>
            </w:r>
            <w:r w:rsidR="00F00960" w:rsidRPr="00A523B2">
              <w:rPr>
                <w:rFonts w:ascii="Arial" w:hAnsi="Arial" w:cs="Arial"/>
                <w:b/>
                <w:sz w:val="18"/>
                <w:szCs w:val="18"/>
                <w:lang w:val="es-ES"/>
              </w:rPr>
              <w:t>dad</w:t>
            </w:r>
            <w:r w:rsidR="001735E1" w:rsidRPr="00A523B2">
              <w:rPr>
                <w:rFonts w:ascii="Arial" w:hAnsi="Arial" w:cs="Arial"/>
                <w:b/>
                <w:sz w:val="18"/>
                <w:szCs w:val="18"/>
                <w:lang w:val="es-ES"/>
              </w:rPr>
              <w:t xml:space="preserve"> </w:t>
            </w:r>
            <w:r w:rsidRPr="00A523B2">
              <w:rPr>
                <w:rFonts w:ascii="Arial" w:hAnsi="Arial" w:cs="Arial"/>
                <w:b/>
                <w:sz w:val="18"/>
                <w:szCs w:val="18"/>
                <w:lang w:val="es-ES"/>
              </w:rPr>
              <w:t>/</w:t>
            </w:r>
            <w:r w:rsidR="001735E1" w:rsidRPr="00A523B2">
              <w:rPr>
                <w:rFonts w:ascii="Arial" w:hAnsi="Arial" w:cs="Arial"/>
                <w:b/>
                <w:sz w:val="18"/>
                <w:szCs w:val="18"/>
                <w:lang w:val="es-ES"/>
              </w:rPr>
              <w:t xml:space="preserve"> </w:t>
            </w:r>
            <w:r w:rsidRPr="00A523B2">
              <w:rPr>
                <w:rFonts w:ascii="Arial" w:hAnsi="Arial" w:cs="Arial"/>
                <w:b/>
                <w:sz w:val="18"/>
                <w:szCs w:val="18"/>
                <w:lang w:val="es-ES"/>
              </w:rPr>
              <w:t>Component</w:t>
            </w:r>
            <w:r w:rsidR="00F00960" w:rsidRPr="00A523B2">
              <w:rPr>
                <w:rFonts w:ascii="Arial" w:hAnsi="Arial" w:cs="Arial"/>
                <w:b/>
                <w:sz w:val="18"/>
                <w:szCs w:val="18"/>
                <w:lang w:val="es-ES"/>
              </w:rPr>
              <w:t>e</w:t>
            </w:r>
          </w:p>
        </w:tc>
        <w:tc>
          <w:tcPr>
            <w:tcW w:w="1530" w:type="dxa"/>
          </w:tcPr>
          <w:p w14:paraId="7CF7CAE3" w14:textId="77777777" w:rsidR="00F6363D" w:rsidRPr="00A523B2" w:rsidRDefault="00F6363D" w:rsidP="001735E1">
            <w:pPr>
              <w:pStyle w:val="ListParagraph"/>
              <w:spacing w:before="60" w:after="60"/>
              <w:ind w:left="0"/>
              <w:contextualSpacing w:val="0"/>
              <w:jc w:val="center"/>
              <w:rPr>
                <w:rFonts w:ascii="Arial" w:hAnsi="Arial" w:cs="Arial"/>
                <w:b/>
                <w:sz w:val="18"/>
                <w:szCs w:val="18"/>
                <w:lang w:val="es-ES"/>
              </w:rPr>
            </w:pPr>
            <w:r w:rsidRPr="00A523B2">
              <w:rPr>
                <w:rFonts w:ascii="Arial" w:hAnsi="Arial" w:cs="Arial"/>
                <w:b/>
                <w:sz w:val="18"/>
                <w:szCs w:val="18"/>
                <w:lang w:val="es-ES"/>
              </w:rPr>
              <w:t>Descrip</w:t>
            </w:r>
            <w:r w:rsidR="00F00960" w:rsidRPr="00A523B2">
              <w:rPr>
                <w:rFonts w:ascii="Arial" w:hAnsi="Arial" w:cs="Arial"/>
                <w:b/>
                <w:sz w:val="18"/>
                <w:szCs w:val="18"/>
                <w:lang w:val="es-ES"/>
              </w:rPr>
              <w:t>c</w:t>
            </w:r>
            <w:r w:rsidRPr="00A523B2">
              <w:rPr>
                <w:rFonts w:ascii="Arial" w:hAnsi="Arial" w:cs="Arial"/>
                <w:b/>
                <w:sz w:val="18"/>
                <w:szCs w:val="18"/>
                <w:lang w:val="es-ES"/>
              </w:rPr>
              <w:t>i</w:t>
            </w:r>
            <w:r w:rsidR="00F00960" w:rsidRPr="00A523B2">
              <w:rPr>
                <w:rFonts w:ascii="Arial" w:hAnsi="Arial" w:cs="Arial"/>
                <w:b/>
                <w:sz w:val="18"/>
                <w:szCs w:val="18"/>
                <w:lang w:val="es-ES"/>
              </w:rPr>
              <w:t>ó</w:t>
            </w:r>
            <w:r w:rsidRPr="00A523B2">
              <w:rPr>
                <w:rFonts w:ascii="Arial" w:hAnsi="Arial" w:cs="Arial"/>
                <w:b/>
                <w:sz w:val="18"/>
                <w:szCs w:val="18"/>
                <w:lang w:val="es-ES"/>
              </w:rPr>
              <w:t>n</w:t>
            </w:r>
          </w:p>
        </w:tc>
        <w:tc>
          <w:tcPr>
            <w:tcW w:w="1975" w:type="dxa"/>
          </w:tcPr>
          <w:p w14:paraId="54CCD9A8" w14:textId="77777777" w:rsidR="00F6363D" w:rsidRPr="00A523B2" w:rsidRDefault="00F00960" w:rsidP="001735E1">
            <w:pPr>
              <w:pStyle w:val="ListParagraph"/>
              <w:spacing w:before="60" w:after="60"/>
              <w:ind w:left="0"/>
              <w:contextualSpacing w:val="0"/>
              <w:jc w:val="center"/>
              <w:rPr>
                <w:rFonts w:ascii="Arial" w:hAnsi="Arial" w:cs="Arial"/>
                <w:b/>
                <w:sz w:val="18"/>
                <w:szCs w:val="18"/>
                <w:lang w:val="es-ES"/>
              </w:rPr>
            </w:pPr>
            <w:r w:rsidRPr="00A523B2">
              <w:rPr>
                <w:rFonts w:ascii="Arial" w:hAnsi="Arial" w:cs="Arial"/>
                <w:b/>
                <w:sz w:val="18"/>
                <w:szCs w:val="18"/>
                <w:lang w:val="es-ES"/>
              </w:rPr>
              <w:t>BID</w:t>
            </w:r>
            <w:r w:rsidR="0023302F" w:rsidRPr="00A523B2">
              <w:rPr>
                <w:rFonts w:ascii="Arial" w:hAnsi="Arial" w:cs="Arial"/>
                <w:b/>
                <w:sz w:val="18"/>
                <w:szCs w:val="18"/>
                <w:lang w:val="es-ES"/>
              </w:rPr>
              <w:t>/</w:t>
            </w:r>
            <w:r w:rsidRPr="00A523B2">
              <w:rPr>
                <w:rFonts w:ascii="Arial" w:hAnsi="Arial" w:cs="Arial"/>
                <w:b/>
                <w:sz w:val="18"/>
                <w:szCs w:val="18"/>
                <w:lang w:val="es-ES"/>
              </w:rPr>
              <w:t>Financiamiento</w:t>
            </w:r>
            <w:r w:rsidR="00F50742" w:rsidRPr="00A523B2">
              <w:rPr>
                <w:rFonts w:ascii="Arial" w:hAnsi="Arial" w:cs="Arial"/>
                <w:b/>
                <w:sz w:val="18"/>
                <w:szCs w:val="18"/>
                <w:lang w:val="es-ES"/>
              </w:rPr>
              <w:t xml:space="preserve"> por Fondo</w:t>
            </w:r>
          </w:p>
        </w:tc>
        <w:tc>
          <w:tcPr>
            <w:tcW w:w="1440" w:type="dxa"/>
          </w:tcPr>
          <w:p w14:paraId="4E7D0AA6" w14:textId="77777777" w:rsidR="00F6363D" w:rsidRPr="00A523B2" w:rsidRDefault="00F00960" w:rsidP="001735E1">
            <w:pPr>
              <w:pStyle w:val="ListParagraph"/>
              <w:spacing w:before="60" w:after="60"/>
              <w:ind w:left="0"/>
              <w:contextualSpacing w:val="0"/>
              <w:jc w:val="center"/>
              <w:rPr>
                <w:rFonts w:ascii="Arial" w:hAnsi="Arial" w:cs="Arial"/>
                <w:b/>
                <w:sz w:val="18"/>
                <w:szCs w:val="18"/>
                <w:lang w:val="es-ES"/>
              </w:rPr>
            </w:pPr>
            <w:r w:rsidRPr="00A523B2">
              <w:rPr>
                <w:rFonts w:ascii="Arial" w:hAnsi="Arial" w:cs="Arial"/>
                <w:b/>
                <w:sz w:val="18"/>
                <w:szCs w:val="18"/>
                <w:lang w:val="es-ES"/>
              </w:rPr>
              <w:t>Contrapartida</w:t>
            </w:r>
          </w:p>
          <w:p w14:paraId="557792F6" w14:textId="77777777" w:rsidR="00F00960" w:rsidRPr="00A523B2" w:rsidRDefault="00F00960" w:rsidP="001735E1">
            <w:pPr>
              <w:pStyle w:val="ListParagraph"/>
              <w:spacing w:before="60" w:after="60"/>
              <w:ind w:left="0"/>
              <w:contextualSpacing w:val="0"/>
              <w:jc w:val="center"/>
              <w:rPr>
                <w:rFonts w:ascii="Arial" w:hAnsi="Arial" w:cs="Arial"/>
                <w:b/>
                <w:sz w:val="18"/>
                <w:szCs w:val="18"/>
                <w:lang w:val="es-ES"/>
              </w:rPr>
            </w:pPr>
            <w:r w:rsidRPr="00A523B2">
              <w:rPr>
                <w:rFonts w:ascii="Arial" w:hAnsi="Arial" w:cs="Arial"/>
                <w:b/>
                <w:sz w:val="18"/>
                <w:szCs w:val="18"/>
                <w:lang w:val="es-ES"/>
              </w:rPr>
              <w:t>Local</w:t>
            </w:r>
          </w:p>
        </w:tc>
        <w:tc>
          <w:tcPr>
            <w:tcW w:w="1620" w:type="dxa"/>
          </w:tcPr>
          <w:p w14:paraId="2FB3CBAF" w14:textId="77777777" w:rsidR="00F00960" w:rsidRPr="00A523B2" w:rsidRDefault="00F00960" w:rsidP="001735E1">
            <w:pPr>
              <w:pStyle w:val="ListParagraph"/>
              <w:spacing w:before="60" w:after="60"/>
              <w:ind w:left="0"/>
              <w:contextualSpacing w:val="0"/>
              <w:jc w:val="center"/>
              <w:rPr>
                <w:rFonts w:ascii="Arial" w:hAnsi="Arial" w:cs="Arial"/>
                <w:b/>
                <w:sz w:val="18"/>
                <w:szCs w:val="18"/>
                <w:lang w:val="es-ES"/>
              </w:rPr>
            </w:pPr>
            <w:r w:rsidRPr="00A523B2">
              <w:rPr>
                <w:rFonts w:ascii="Arial" w:hAnsi="Arial" w:cs="Arial"/>
                <w:b/>
                <w:sz w:val="18"/>
                <w:szCs w:val="18"/>
                <w:lang w:val="es-ES"/>
              </w:rPr>
              <w:t>Financiamiento</w:t>
            </w:r>
          </w:p>
          <w:p w14:paraId="4580CDB5" w14:textId="77777777" w:rsidR="00F6363D" w:rsidRPr="00A523B2" w:rsidRDefault="0023302F" w:rsidP="001735E1">
            <w:pPr>
              <w:pStyle w:val="ListParagraph"/>
              <w:spacing w:before="60" w:after="60"/>
              <w:ind w:left="0"/>
              <w:contextualSpacing w:val="0"/>
              <w:jc w:val="center"/>
              <w:rPr>
                <w:rFonts w:ascii="Arial" w:hAnsi="Arial" w:cs="Arial"/>
                <w:b/>
                <w:sz w:val="18"/>
                <w:szCs w:val="18"/>
                <w:lang w:val="es-ES"/>
              </w:rPr>
            </w:pPr>
            <w:r w:rsidRPr="00A523B2">
              <w:rPr>
                <w:rFonts w:ascii="Arial" w:hAnsi="Arial" w:cs="Arial"/>
                <w:b/>
                <w:sz w:val="18"/>
                <w:szCs w:val="18"/>
                <w:lang w:val="es-ES"/>
              </w:rPr>
              <w:t xml:space="preserve">Total </w:t>
            </w:r>
          </w:p>
        </w:tc>
      </w:tr>
      <w:tr w:rsidR="000C16F9" w:rsidRPr="00A523B2" w14:paraId="0FB78278" w14:textId="77777777" w:rsidTr="006A4825">
        <w:trPr>
          <w:jc w:val="center"/>
        </w:trPr>
        <w:tc>
          <w:tcPr>
            <w:tcW w:w="2250" w:type="dxa"/>
          </w:tcPr>
          <w:p w14:paraId="1FC39945" w14:textId="07E8EE54" w:rsidR="00F6363D" w:rsidRPr="00E260CC" w:rsidRDefault="00C95A37" w:rsidP="001735E1">
            <w:pPr>
              <w:pStyle w:val="ListParagraph"/>
              <w:spacing w:before="60" w:after="60"/>
              <w:ind w:left="0"/>
              <w:contextualSpacing w:val="0"/>
              <w:jc w:val="center"/>
              <w:rPr>
                <w:rFonts w:ascii="Arial" w:hAnsi="Arial" w:cs="Arial"/>
                <w:b/>
                <w:sz w:val="18"/>
                <w:szCs w:val="18"/>
                <w:lang w:val="es-ES"/>
              </w:rPr>
            </w:pPr>
            <w:r w:rsidRPr="00E260CC">
              <w:rPr>
                <w:rFonts w:ascii="Arial" w:hAnsi="Arial" w:cs="Arial"/>
                <w:b/>
                <w:sz w:val="18"/>
                <w:szCs w:val="18"/>
                <w:lang w:val="es-ES"/>
              </w:rPr>
              <w:t xml:space="preserve">Análisis de trayectorias educativas </w:t>
            </w:r>
          </w:p>
        </w:tc>
        <w:tc>
          <w:tcPr>
            <w:tcW w:w="1530" w:type="dxa"/>
          </w:tcPr>
          <w:p w14:paraId="0562CB0E" w14:textId="5D92711B" w:rsidR="00F6363D" w:rsidRPr="00E260CC" w:rsidRDefault="004C0F42" w:rsidP="001735E1">
            <w:pPr>
              <w:pStyle w:val="ListParagraph"/>
              <w:spacing w:before="60" w:after="60"/>
              <w:ind w:left="0"/>
              <w:contextualSpacing w:val="0"/>
              <w:jc w:val="center"/>
              <w:rPr>
                <w:rFonts w:ascii="Arial" w:hAnsi="Arial" w:cs="Arial"/>
                <w:sz w:val="18"/>
                <w:szCs w:val="18"/>
                <w:lang w:val="es-ES"/>
              </w:rPr>
            </w:pPr>
            <w:r>
              <w:rPr>
                <w:rFonts w:ascii="Arial" w:hAnsi="Arial" w:cs="Arial"/>
                <w:sz w:val="18"/>
                <w:szCs w:val="18"/>
                <w:lang w:val="es-ES"/>
              </w:rPr>
              <w:t xml:space="preserve">Estudios de brechas y uso estratégico </w:t>
            </w:r>
            <w:r w:rsidR="00E260CC" w:rsidRPr="00E260CC">
              <w:rPr>
                <w:rFonts w:ascii="Arial" w:hAnsi="Arial" w:cs="Arial"/>
                <w:sz w:val="18"/>
                <w:szCs w:val="18"/>
                <w:lang w:val="es-ES"/>
              </w:rPr>
              <w:t>de la información</w:t>
            </w:r>
          </w:p>
        </w:tc>
        <w:tc>
          <w:tcPr>
            <w:tcW w:w="1975" w:type="dxa"/>
          </w:tcPr>
          <w:p w14:paraId="2B9A1F0B" w14:textId="77777777" w:rsidR="00D60963" w:rsidRDefault="00D60963" w:rsidP="001735E1">
            <w:pPr>
              <w:pStyle w:val="ListParagraph"/>
              <w:spacing w:before="60" w:after="60"/>
              <w:ind w:left="0"/>
              <w:contextualSpacing w:val="0"/>
              <w:jc w:val="center"/>
              <w:rPr>
                <w:rFonts w:ascii="Arial" w:hAnsi="Arial" w:cs="Arial"/>
                <w:b/>
                <w:sz w:val="18"/>
                <w:szCs w:val="18"/>
                <w:lang w:val="es-ES"/>
              </w:rPr>
            </w:pPr>
          </w:p>
          <w:p w14:paraId="34CE0A41" w14:textId="5609F964" w:rsidR="00F6363D" w:rsidRPr="00E260CC" w:rsidRDefault="001753FC" w:rsidP="001735E1">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6</w:t>
            </w:r>
            <w:r w:rsidR="00C95A37" w:rsidRPr="00E260CC">
              <w:rPr>
                <w:rFonts w:ascii="Arial" w:hAnsi="Arial" w:cs="Arial"/>
                <w:b/>
                <w:sz w:val="18"/>
                <w:szCs w:val="18"/>
                <w:lang w:val="es-ES"/>
              </w:rPr>
              <w:t>0,000</w:t>
            </w:r>
          </w:p>
        </w:tc>
        <w:tc>
          <w:tcPr>
            <w:tcW w:w="1440" w:type="dxa"/>
          </w:tcPr>
          <w:p w14:paraId="26C3C43C" w14:textId="77777777" w:rsidR="00D60963" w:rsidRDefault="00D60963" w:rsidP="001735E1">
            <w:pPr>
              <w:pStyle w:val="ListParagraph"/>
              <w:spacing w:before="60" w:after="60"/>
              <w:ind w:left="0"/>
              <w:contextualSpacing w:val="0"/>
              <w:jc w:val="center"/>
              <w:rPr>
                <w:rFonts w:ascii="Arial" w:hAnsi="Arial" w:cs="Arial"/>
                <w:b/>
                <w:sz w:val="18"/>
                <w:szCs w:val="18"/>
                <w:lang w:val="es-ES"/>
              </w:rPr>
            </w:pPr>
          </w:p>
          <w:p w14:paraId="62EBF3C5" w14:textId="6624A466" w:rsidR="00F6363D" w:rsidRPr="00E260CC" w:rsidRDefault="00C95A37" w:rsidP="001735E1">
            <w:pPr>
              <w:pStyle w:val="ListParagraph"/>
              <w:spacing w:before="60" w:after="60"/>
              <w:ind w:left="0"/>
              <w:contextualSpacing w:val="0"/>
              <w:jc w:val="center"/>
              <w:rPr>
                <w:rFonts w:ascii="Arial" w:hAnsi="Arial" w:cs="Arial"/>
                <w:b/>
                <w:sz w:val="18"/>
                <w:szCs w:val="18"/>
                <w:lang w:val="es-ES"/>
              </w:rPr>
            </w:pPr>
            <w:r w:rsidRPr="00E260CC">
              <w:rPr>
                <w:rFonts w:ascii="Arial" w:hAnsi="Arial" w:cs="Arial"/>
                <w:b/>
                <w:sz w:val="18"/>
                <w:szCs w:val="18"/>
                <w:lang w:val="es-ES"/>
              </w:rPr>
              <w:t>0</w:t>
            </w:r>
          </w:p>
        </w:tc>
        <w:tc>
          <w:tcPr>
            <w:tcW w:w="1620" w:type="dxa"/>
          </w:tcPr>
          <w:p w14:paraId="385669C6" w14:textId="77777777" w:rsidR="00D60963" w:rsidRDefault="00D60963" w:rsidP="001735E1">
            <w:pPr>
              <w:pStyle w:val="ListParagraph"/>
              <w:spacing w:before="60" w:after="60"/>
              <w:ind w:left="0"/>
              <w:contextualSpacing w:val="0"/>
              <w:jc w:val="center"/>
              <w:rPr>
                <w:rFonts w:ascii="Arial" w:hAnsi="Arial" w:cs="Arial"/>
                <w:b/>
                <w:sz w:val="18"/>
                <w:szCs w:val="18"/>
                <w:lang w:val="es-ES"/>
              </w:rPr>
            </w:pPr>
          </w:p>
          <w:p w14:paraId="6D98A12B" w14:textId="57B15056" w:rsidR="00F6363D" w:rsidRPr="00E260CC" w:rsidRDefault="001753FC" w:rsidP="001735E1">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6</w:t>
            </w:r>
            <w:r w:rsidR="00C95A37" w:rsidRPr="00E260CC">
              <w:rPr>
                <w:rFonts w:ascii="Arial" w:hAnsi="Arial" w:cs="Arial"/>
                <w:b/>
                <w:sz w:val="18"/>
                <w:szCs w:val="18"/>
                <w:lang w:val="es-ES"/>
              </w:rPr>
              <w:t>0,000</w:t>
            </w:r>
          </w:p>
        </w:tc>
      </w:tr>
      <w:tr w:rsidR="0029206C" w:rsidRPr="0029206C" w14:paraId="24EE79A8" w14:textId="77777777" w:rsidTr="006A4825">
        <w:trPr>
          <w:jc w:val="center"/>
        </w:trPr>
        <w:tc>
          <w:tcPr>
            <w:tcW w:w="2250" w:type="dxa"/>
          </w:tcPr>
          <w:p w14:paraId="7D00D114" w14:textId="22B0E2F4" w:rsidR="0029206C" w:rsidRPr="00E260CC" w:rsidRDefault="0029206C" w:rsidP="001735E1">
            <w:pPr>
              <w:pStyle w:val="ListParagraph"/>
              <w:spacing w:before="60" w:after="60"/>
              <w:ind w:left="0"/>
              <w:contextualSpacing w:val="0"/>
              <w:jc w:val="center"/>
              <w:rPr>
                <w:rFonts w:ascii="Arial" w:hAnsi="Arial" w:cs="Arial"/>
                <w:b/>
                <w:sz w:val="18"/>
                <w:szCs w:val="18"/>
                <w:lang w:val="es-ES"/>
              </w:rPr>
            </w:pPr>
            <w:r w:rsidRPr="00E260CC">
              <w:rPr>
                <w:rFonts w:ascii="Arial" w:hAnsi="Arial" w:cs="Arial"/>
                <w:b/>
                <w:bCs/>
                <w:sz w:val="18"/>
                <w:szCs w:val="18"/>
                <w:lang w:val="es-ES"/>
              </w:rPr>
              <w:t>Alertas tempranas e inteligencia artificial para la recuperación de aprendizajes</w:t>
            </w:r>
          </w:p>
        </w:tc>
        <w:tc>
          <w:tcPr>
            <w:tcW w:w="1530" w:type="dxa"/>
          </w:tcPr>
          <w:p w14:paraId="2361F71C" w14:textId="6B5FE96E" w:rsidR="0029206C" w:rsidRPr="00E260CC" w:rsidRDefault="00035F6F" w:rsidP="001735E1">
            <w:pPr>
              <w:pStyle w:val="ListParagraph"/>
              <w:spacing w:before="60" w:after="60"/>
              <w:ind w:left="0"/>
              <w:contextualSpacing w:val="0"/>
              <w:jc w:val="center"/>
              <w:rPr>
                <w:rFonts w:ascii="Arial" w:hAnsi="Arial" w:cs="Arial"/>
                <w:sz w:val="18"/>
                <w:szCs w:val="18"/>
                <w:lang w:val="es-ES"/>
              </w:rPr>
            </w:pPr>
            <w:r>
              <w:rPr>
                <w:rFonts w:ascii="Arial" w:hAnsi="Arial" w:cs="Arial"/>
                <w:sz w:val="18"/>
                <w:szCs w:val="18"/>
                <w:lang w:val="es-ES"/>
              </w:rPr>
              <w:t xml:space="preserve">Intervenciones con uso </w:t>
            </w:r>
            <w:r w:rsidR="00E260CC" w:rsidRPr="00E260CC">
              <w:rPr>
                <w:rFonts w:ascii="Arial" w:hAnsi="Arial" w:cs="Arial"/>
                <w:sz w:val="18"/>
                <w:szCs w:val="18"/>
                <w:lang w:val="es-ES"/>
              </w:rPr>
              <w:t>alertas tempranas y IA</w:t>
            </w:r>
          </w:p>
        </w:tc>
        <w:tc>
          <w:tcPr>
            <w:tcW w:w="1975" w:type="dxa"/>
          </w:tcPr>
          <w:p w14:paraId="5E56D836" w14:textId="77777777" w:rsidR="00D60963" w:rsidRDefault="00D60963" w:rsidP="001735E1">
            <w:pPr>
              <w:pStyle w:val="ListParagraph"/>
              <w:spacing w:before="60" w:after="60"/>
              <w:ind w:left="0"/>
              <w:contextualSpacing w:val="0"/>
              <w:jc w:val="center"/>
              <w:rPr>
                <w:rFonts w:ascii="Arial" w:hAnsi="Arial" w:cs="Arial"/>
                <w:b/>
                <w:sz w:val="18"/>
                <w:szCs w:val="18"/>
                <w:lang w:val="es-ES"/>
              </w:rPr>
            </w:pPr>
          </w:p>
          <w:p w14:paraId="0051B6FB" w14:textId="598B0643" w:rsidR="0029206C" w:rsidRPr="00E260CC" w:rsidRDefault="00FE7ECC" w:rsidP="001735E1">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7</w:t>
            </w:r>
            <w:r w:rsidR="0029206C" w:rsidRPr="00E260CC">
              <w:rPr>
                <w:rFonts w:ascii="Arial" w:hAnsi="Arial" w:cs="Arial"/>
                <w:b/>
                <w:sz w:val="18"/>
                <w:szCs w:val="18"/>
                <w:lang w:val="es-ES"/>
              </w:rPr>
              <w:t>0,000</w:t>
            </w:r>
          </w:p>
        </w:tc>
        <w:tc>
          <w:tcPr>
            <w:tcW w:w="1440" w:type="dxa"/>
          </w:tcPr>
          <w:p w14:paraId="67A88255" w14:textId="77777777" w:rsidR="00D60963" w:rsidRDefault="00D60963" w:rsidP="001735E1">
            <w:pPr>
              <w:pStyle w:val="ListParagraph"/>
              <w:spacing w:before="60" w:after="60"/>
              <w:ind w:left="0"/>
              <w:contextualSpacing w:val="0"/>
              <w:jc w:val="center"/>
              <w:rPr>
                <w:rFonts w:ascii="Arial" w:hAnsi="Arial" w:cs="Arial"/>
                <w:b/>
                <w:sz w:val="18"/>
                <w:szCs w:val="18"/>
                <w:lang w:val="es-ES"/>
              </w:rPr>
            </w:pPr>
          </w:p>
          <w:p w14:paraId="59E56B70" w14:textId="44B17A2A" w:rsidR="0029206C" w:rsidRPr="00E260CC" w:rsidRDefault="0029206C" w:rsidP="001735E1">
            <w:pPr>
              <w:pStyle w:val="ListParagraph"/>
              <w:spacing w:before="60" w:after="60"/>
              <w:ind w:left="0"/>
              <w:contextualSpacing w:val="0"/>
              <w:jc w:val="center"/>
              <w:rPr>
                <w:rFonts w:ascii="Arial" w:hAnsi="Arial" w:cs="Arial"/>
                <w:b/>
                <w:sz w:val="18"/>
                <w:szCs w:val="18"/>
                <w:lang w:val="es-ES"/>
              </w:rPr>
            </w:pPr>
            <w:r w:rsidRPr="00E260CC">
              <w:rPr>
                <w:rFonts w:ascii="Arial" w:hAnsi="Arial" w:cs="Arial"/>
                <w:b/>
                <w:sz w:val="18"/>
                <w:szCs w:val="18"/>
                <w:lang w:val="es-ES"/>
              </w:rPr>
              <w:t>0</w:t>
            </w:r>
          </w:p>
        </w:tc>
        <w:tc>
          <w:tcPr>
            <w:tcW w:w="1620" w:type="dxa"/>
          </w:tcPr>
          <w:p w14:paraId="0EF0901B" w14:textId="77777777" w:rsidR="00D60963" w:rsidRDefault="00D60963" w:rsidP="001735E1">
            <w:pPr>
              <w:pStyle w:val="ListParagraph"/>
              <w:spacing w:before="60" w:after="60"/>
              <w:ind w:left="0"/>
              <w:contextualSpacing w:val="0"/>
              <w:jc w:val="center"/>
              <w:rPr>
                <w:rFonts w:ascii="Arial" w:hAnsi="Arial" w:cs="Arial"/>
                <w:b/>
                <w:sz w:val="18"/>
                <w:szCs w:val="18"/>
                <w:lang w:val="es-ES"/>
              </w:rPr>
            </w:pPr>
          </w:p>
          <w:p w14:paraId="515780A1" w14:textId="457C285C" w:rsidR="0029206C" w:rsidRPr="00E260CC" w:rsidRDefault="00FE7ECC" w:rsidP="001735E1">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7</w:t>
            </w:r>
            <w:r w:rsidR="0029206C" w:rsidRPr="00E260CC">
              <w:rPr>
                <w:rFonts w:ascii="Arial" w:hAnsi="Arial" w:cs="Arial"/>
                <w:b/>
                <w:sz w:val="18"/>
                <w:szCs w:val="18"/>
                <w:lang w:val="es-ES"/>
              </w:rPr>
              <w:t>0,000</w:t>
            </w:r>
          </w:p>
        </w:tc>
      </w:tr>
      <w:tr w:rsidR="000C16F9" w:rsidRPr="00C95A37" w14:paraId="2946DB82" w14:textId="77777777" w:rsidTr="006A4825">
        <w:trPr>
          <w:jc w:val="center"/>
        </w:trPr>
        <w:tc>
          <w:tcPr>
            <w:tcW w:w="2250" w:type="dxa"/>
          </w:tcPr>
          <w:p w14:paraId="5997CC1D" w14:textId="6D94E3CF" w:rsidR="00F6363D" w:rsidRPr="00E260CC" w:rsidRDefault="0029206C" w:rsidP="001735E1">
            <w:pPr>
              <w:pStyle w:val="ListParagraph"/>
              <w:spacing w:before="60" w:after="60"/>
              <w:ind w:left="0"/>
              <w:contextualSpacing w:val="0"/>
              <w:jc w:val="center"/>
              <w:rPr>
                <w:rFonts w:ascii="Arial" w:hAnsi="Arial" w:cs="Arial"/>
                <w:b/>
                <w:sz w:val="18"/>
                <w:szCs w:val="18"/>
                <w:lang w:val="es-ES"/>
              </w:rPr>
            </w:pPr>
            <w:r w:rsidRPr="00E260CC">
              <w:rPr>
                <w:rFonts w:ascii="Arial" w:hAnsi="Arial" w:cs="Arial"/>
                <w:b/>
                <w:bCs/>
                <w:sz w:val="18"/>
                <w:szCs w:val="18"/>
                <w:lang w:val="es-ES"/>
              </w:rPr>
              <w:t>Ciencias del Comportamiento para mejorar la eficiencia de la política educativa</w:t>
            </w:r>
          </w:p>
        </w:tc>
        <w:tc>
          <w:tcPr>
            <w:tcW w:w="1530" w:type="dxa"/>
          </w:tcPr>
          <w:p w14:paraId="110FFD37" w14:textId="13F44285" w:rsidR="00F6363D" w:rsidRPr="00E260CC" w:rsidRDefault="00035F6F" w:rsidP="001735E1">
            <w:pPr>
              <w:pStyle w:val="ListParagraph"/>
              <w:spacing w:before="60" w:after="60"/>
              <w:ind w:left="0"/>
              <w:contextualSpacing w:val="0"/>
              <w:jc w:val="center"/>
              <w:rPr>
                <w:rFonts w:ascii="Arial" w:hAnsi="Arial" w:cs="Arial"/>
                <w:sz w:val="18"/>
                <w:szCs w:val="18"/>
                <w:lang w:val="es-ES"/>
              </w:rPr>
            </w:pPr>
            <w:r>
              <w:rPr>
                <w:rFonts w:ascii="Arial" w:hAnsi="Arial" w:cs="Arial"/>
                <w:sz w:val="18"/>
                <w:szCs w:val="18"/>
                <w:lang w:val="es-ES"/>
              </w:rPr>
              <w:t xml:space="preserve">Intervenciones con uso </w:t>
            </w:r>
            <w:r w:rsidR="00E260CC">
              <w:rPr>
                <w:rFonts w:ascii="Arial" w:hAnsi="Arial" w:cs="Arial"/>
                <w:sz w:val="18"/>
                <w:szCs w:val="18"/>
                <w:lang w:val="es-ES"/>
              </w:rPr>
              <w:t xml:space="preserve">de </w:t>
            </w:r>
            <w:proofErr w:type="spellStart"/>
            <w:r w:rsidR="00E260CC">
              <w:rPr>
                <w:rFonts w:ascii="Arial" w:hAnsi="Arial" w:cs="Arial"/>
                <w:sz w:val="18"/>
                <w:szCs w:val="18"/>
                <w:lang w:val="es-ES"/>
              </w:rPr>
              <w:t>n</w:t>
            </w:r>
            <w:r w:rsidR="00E260CC" w:rsidRPr="00E260CC">
              <w:rPr>
                <w:rFonts w:ascii="Arial" w:hAnsi="Arial" w:cs="Arial"/>
                <w:sz w:val="18"/>
                <w:szCs w:val="18"/>
                <w:lang w:val="es-ES"/>
              </w:rPr>
              <w:t>ugdes</w:t>
            </w:r>
            <w:proofErr w:type="spellEnd"/>
            <w:r w:rsidR="00E260CC" w:rsidRPr="00E260CC">
              <w:rPr>
                <w:rFonts w:ascii="Arial" w:hAnsi="Arial" w:cs="Arial"/>
                <w:sz w:val="18"/>
                <w:szCs w:val="18"/>
                <w:lang w:val="es-ES"/>
              </w:rPr>
              <w:t xml:space="preserve"> </w:t>
            </w:r>
          </w:p>
        </w:tc>
        <w:tc>
          <w:tcPr>
            <w:tcW w:w="1975" w:type="dxa"/>
          </w:tcPr>
          <w:p w14:paraId="32A6CA75" w14:textId="77777777" w:rsidR="00D60963" w:rsidRDefault="00D60963" w:rsidP="001735E1">
            <w:pPr>
              <w:pStyle w:val="ListParagraph"/>
              <w:spacing w:before="60" w:after="60"/>
              <w:ind w:left="0"/>
              <w:contextualSpacing w:val="0"/>
              <w:jc w:val="center"/>
              <w:rPr>
                <w:rFonts w:ascii="Arial" w:hAnsi="Arial" w:cs="Arial"/>
                <w:b/>
                <w:sz w:val="18"/>
                <w:szCs w:val="18"/>
                <w:lang w:val="es-ES"/>
              </w:rPr>
            </w:pPr>
          </w:p>
          <w:p w14:paraId="6B699379" w14:textId="1CA8AD7A" w:rsidR="00F6363D" w:rsidRPr="00E260CC" w:rsidRDefault="001753FC" w:rsidP="001735E1">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7</w:t>
            </w:r>
            <w:r w:rsidR="0029206C" w:rsidRPr="00E260CC">
              <w:rPr>
                <w:rFonts w:ascii="Arial" w:hAnsi="Arial" w:cs="Arial"/>
                <w:b/>
                <w:sz w:val="18"/>
                <w:szCs w:val="18"/>
                <w:lang w:val="es-ES"/>
              </w:rPr>
              <w:t>0</w:t>
            </w:r>
            <w:r w:rsidR="00C95A37" w:rsidRPr="00E260CC">
              <w:rPr>
                <w:rFonts w:ascii="Arial" w:hAnsi="Arial" w:cs="Arial"/>
                <w:b/>
                <w:sz w:val="18"/>
                <w:szCs w:val="18"/>
                <w:lang w:val="es-ES"/>
              </w:rPr>
              <w:t>,000</w:t>
            </w:r>
          </w:p>
        </w:tc>
        <w:tc>
          <w:tcPr>
            <w:tcW w:w="1440" w:type="dxa"/>
          </w:tcPr>
          <w:p w14:paraId="163090DC" w14:textId="77777777" w:rsidR="00D60963" w:rsidRDefault="00D60963" w:rsidP="001735E1">
            <w:pPr>
              <w:pStyle w:val="ListParagraph"/>
              <w:spacing w:before="60" w:after="60"/>
              <w:ind w:left="0"/>
              <w:contextualSpacing w:val="0"/>
              <w:jc w:val="center"/>
              <w:rPr>
                <w:rFonts w:ascii="Arial" w:hAnsi="Arial" w:cs="Arial"/>
                <w:b/>
                <w:sz w:val="18"/>
                <w:szCs w:val="18"/>
                <w:lang w:val="es-ES"/>
              </w:rPr>
            </w:pPr>
          </w:p>
          <w:p w14:paraId="3FE9F23F" w14:textId="43B1C71E" w:rsidR="00F6363D" w:rsidRPr="00E260CC" w:rsidRDefault="00C95A37" w:rsidP="001735E1">
            <w:pPr>
              <w:pStyle w:val="ListParagraph"/>
              <w:spacing w:before="60" w:after="60"/>
              <w:ind w:left="0"/>
              <w:contextualSpacing w:val="0"/>
              <w:jc w:val="center"/>
              <w:rPr>
                <w:rFonts w:ascii="Arial" w:hAnsi="Arial" w:cs="Arial"/>
                <w:b/>
                <w:sz w:val="18"/>
                <w:szCs w:val="18"/>
                <w:lang w:val="es-ES"/>
              </w:rPr>
            </w:pPr>
            <w:r w:rsidRPr="00E260CC">
              <w:rPr>
                <w:rFonts w:ascii="Arial" w:hAnsi="Arial" w:cs="Arial"/>
                <w:b/>
                <w:sz w:val="18"/>
                <w:szCs w:val="18"/>
                <w:lang w:val="es-ES"/>
              </w:rPr>
              <w:t>0</w:t>
            </w:r>
          </w:p>
        </w:tc>
        <w:tc>
          <w:tcPr>
            <w:tcW w:w="1620" w:type="dxa"/>
          </w:tcPr>
          <w:p w14:paraId="789A68D1" w14:textId="77777777" w:rsidR="00D60963" w:rsidRDefault="00D60963" w:rsidP="001735E1">
            <w:pPr>
              <w:pStyle w:val="ListParagraph"/>
              <w:spacing w:before="60" w:after="60"/>
              <w:ind w:left="0"/>
              <w:contextualSpacing w:val="0"/>
              <w:jc w:val="center"/>
              <w:rPr>
                <w:rFonts w:ascii="Arial" w:hAnsi="Arial" w:cs="Arial"/>
                <w:b/>
                <w:sz w:val="18"/>
                <w:szCs w:val="18"/>
                <w:lang w:val="es-ES"/>
              </w:rPr>
            </w:pPr>
          </w:p>
          <w:p w14:paraId="1F72F646" w14:textId="0E13EDE7" w:rsidR="00F6363D" w:rsidRPr="00E260CC" w:rsidRDefault="001753FC" w:rsidP="001735E1">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7</w:t>
            </w:r>
            <w:r w:rsidR="0029206C" w:rsidRPr="00E260CC">
              <w:rPr>
                <w:rFonts w:ascii="Arial" w:hAnsi="Arial" w:cs="Arial"/>
                <w:b/>
                <w:sz w:val="18"/>
                <w:szCs w:val="18"/>
                <w:lang w:val="es-ES"/>
              </w:rPr>
              <w:t>0</w:t>
            </w:r>
            <w:r w:rsidR="000C7D5A" w:rsidRPr="00E260CC">
              <w:rPr>
                <w:rFonts w:ascii="Arial" w:hAnsi="Arial" w:cs="Arial"/>
                <w:b/>
                <w:sz w:val="18"/>
                <w:szCs w:val="18"/>
                <w:lang w:val="es-ES"/>
              </w:rPr>
              <w:t>,000</w:t>
            </w:r>
          </w:p>
        </w:tc>
      </w:tr>
      <w:tr w:rsidR="000C16F9" w:rsidRPr="00C95A37" w14:paraId="08CE6F91" w14:textId="77777777" w:rsidTr="006A4825">
        <w:trPr>
          <w:jc w:val="center"/>
        </w:trPr>
        <w:tc>
          <w:tcPr>
            <w:tcW w:w="2250" w:type="dxa"/>
          </w:tcPr>
          <w:p w14:paraId="61CDCEAD" w14:textId="77777777" w:rsidR="00F6363D" w:rsidRPr="00E260CC" w:rsidRDefault="00F6363D" w:rsidP="001735E1">
            <w:pPr>
              <w:pStyle w:val="ListParagraph"/>
              <w:spacing w:before="60" w:after="60"/>
              <w:ind w:left="0"/>
              <w:contextualSpacing w:val="0"/>
              <w:jc w:val="center"/>
              <w:rPr>
                <w:rFonts w:ascii="Arial" w:hAnsi="Arial" w:cs="Arial"/>
                <w:b/>
                <w:sz w:val="18"/>
                <w:szCs w:val="18"/>
                <w:lang w:val="es-ES"/>
              </w:rPr>
            </w:pPr>
          </w:p>
        </w:tc>
        <w:tc>
          <w:tcPr>
            <w:tcW w:w="1530" w:type="dxa"/>
          </w:tcPr>
          <w:p w14:paraId="6BB9E253" w14:textId="77777777" w:rsidR="00F6363D" w:rsidRPr="00E260CC" w:rsidRDefault="00F6363D" w:rsidP="001735E1">
            <w:pPr>
              <w:pStyle w:val="ListParagraph"/>
              <w:spacing w:before="60" w:after="60"/>
              <w:ind w:left="0"/>
              <w:contextualSpacing w:val="0"/>
              <w:jc w:val="center"/>
              <w:rPr>
                <w:rFonts w:ascii="Arial" w:hAnsi="Arial" w:cs="Arial"/>
                <w:b/>
                <w:sz w:val="18"/>
                <w:szCs w:val="18"/>
                <w:lang w:val="es-ES"/>
              </w:rPr>
            </w:pPr>
          </w:p>
        </w:tc>
        <w:tc>
          <w:tcPr>
            <w:tcW w:w="1975" w:type="dxa"/>
          </w:tcPr>
          <w:p w14:paraId="23DE523C" w14:textId="33AEBA34" w:rsidR="00F6363D" w:rsidRPr="00E260CC" w:rsidRDefault="000C7D5A" w:rsidP="001735E1">
            <w:pPr>
              <w:pStyle w:val="ListParagraph"/>
              <w:spacing w:before="60" w:after="60"/>
              <w:ind w:left="0"/>
              <w:contextualSpacing w:val="0"/>
              <w:jc w:val="center"/>
              <w:rPr>
                <w:rFonts w:ascii="Arial" w:hAnsi="Arial" w:cs="Arial"/>
                <w:b/>
                <w:sz w:val="18"/>
                <w:szCs w:val="18"/>
                <w:lang w:val="es-ES"/>
              </w:rPr>
            </w:pPr>
            <w:r w:rsidRPr="00E260CC">
              <w:rPr>
                <w:rFonts w:ascii="Arial" w:hAnsi="Arial" w:cs="Arial"/>
                <w:b/>
                <w:sz w:val="18"/>
                <w:szCs w:val="18"/>
                <w:lang w:val="es-ES"/>
              </w:rPr>
              <w:t>200,000</w:t>
            </w:r>
          </w:p>
        </w:tc>
        <w:tc>
          <w:tcPr>
            <w:tcW w:w="1440" w:type="dxa"/>
          </w:tcPr>
          <w:p w14:paraId="52E56223" w14:textId="512A3515" w:rsidR="00F6363D" w:rsidRPr="00E260CC" w:rsidRDefault="000C7D5A" w:rsidP="001735E1">
            <w:pPr>
              <w:pStyle w:val="ListParagraph"/>
              <w:spacing w:before="60" w:after="60"/>
              <w:ind w:left="0"/>
              <w:contextualSpacing w:val="0"/>
              <w:jc w:val="center"/>
              <w:rPr>
                <w:rFonts w:ascii="Arial" w:hAnsi="Arial" w:cs="Arial"/>
                <w:b/>
                <w:sz w:val="18"/>
                <w:szCs w:val="18"/>
                <w:lang w:val="es-ES"/>
              </w:rPr>
            </w:pPr>
            <w:r w:rsidRPr="00E260CC">
              <w:rPr>
                <w:rFonts w:ascii="Arial" w:hAnsi="Arial" w:cs="Arial"/>
                <w:b/>
                <w:sz w:val="18"/>
                <w:szCs w:val="18"/>
                <w:lang w:val="es-ES"/>
              </w:rPr>
              <w:t>0</w:t>
            </w:r>
          </w:p>
        </w:tc>
        <w:tc>
          <w:tcPr>
            <w:tcW w:w="1620" w:type="dxa"/>
          </w:tcPr>
          <w:p w14:paraId="07547A01" w14:textId="54B7ED54" w:rsidR="00F6363D" w:rsidRPr="00E260CC" w:rsidRDefault="000C7D5A" w:rsidP="001735E1">
            <w:pPr>
              <w:pStyle w:val="ListParagraph"/>
              <w:spacing w:before="60" w:after="60"/>
              <w:ind w:left="0"/>
              <w:contextualSpacing w:val="0"/>
              <w:jc w:val="center"/>
              <w:rPr>
                <w:rFonts w:ascii="Arial" w:hAnsi="Arial" w:cs="Arial"/>
                <w:b/>
                <w:sz w:val="18"/>
                <w:szCs w:val="18"/>
                <w:lang w:val="es-ES"/>
              </w:rPr>
            </w:pPr>
            <w:r w:rsidRPr="00E260CC">
              <w:rPr>
                <w:rFonts w:ascii="Arial" w:hAnsi="Arial" w:cs="Arial"/>
                <w:b/>
                <w:sz w:val="18"/>
                <w:szCs w:val="18"/>
                <w:lang w:val="es-ES"/>
              </w:rPr>
              <w:t>200,000</w:t>
            </w:r>
          </w:p>
        </w:tc>
      </w:tr>
    </w:tbl>
    <w:p w14:paraId="0C33BDDC" w14:textId="25E88DD6" w:rsidR="0095711B" w:rsidRPr="00A523B2" w:rsidRDefault="00944D7A" w:rsidP="00BD59AB">
      <w:pPr>
        <w:pStyle w:val="ListParagraph"/>
        <w:numPr>
          <w:ilvl w:val="0"/>
          <w:numId w:val="5"/>
        </w:numPr>
        <w:spacing w:before="120" w:after="120" w:line="240" w:lineRule="auto"/>
        <w:ind w:left="270" w:hanging="180"/>
        <w:contextualSpacing w:val="0"/>
        <w:rPr>
          <w:rFonts w:ascii="Arial" w:hAnsi="Arial" w:cs="Arial"/>
          <w:b/>
          <w:lang w:val="es-ES"/>
        </w:rPr>
      </w:pPr>
      <w:r w:rsidRPr="00A523B2">
        <w:rPr>
          <w:rFonts w:ascii="Arial" w:hAnsi="Arial" w:cs="Arial"/>
          <w:b/>
          <w:lang w:val="es-ES"/>
        </w:rPr>
        <w:t xml:space="preserve">Agencia Ejecutora y estructura de </w:t>
      </w:r>
      <w:r w:rsidR="00A139E6" w:rsidRPr="00A523B2">
        <w:rPr>
          <w:rFonts w:ascii="Arial" w:hAnsi="Arial" w:cs="Arial"/>
          <w:b/>
          <w:lang w:val="es-ES"/>
        </w:rPr>
        <w:t>ejecución</w:t>
      </w:r>
      <w:r w:rsidR="0046306D">
        <w:rPr>
          <w:rFonts w:ascii="Arial" w:hAnsi="Arial" w:cs="Arial"/>
          <w:b/>
          <w:lang w:val="es-ES"/>
        </w:rPr>
        <w:t>.</w:t>
      </w:r>
    </w:p>
    <w:p w14:paraId="4F2E8873" w14:textId="295ADA50" w:rsidR="00C95A37" w:rsidRPr="00292BFC" w:rsidRDefault="00C95A37" w:rsidP="005146DA">
      <w:pPr>
        <w:spacing w:before="120" w:after="120" w:line="240" w:lineRule="auto"/>
        <w:ind w:left="360" w:hanging="450"/>
        <w:jc w:val="both"/>
        <w:rPr>
          <w:rFonts w:ascii="Arial" w:hAnsi="Arial" w:cs="Arial"/>
          <w:lang w:val="es-ES"/>
        </w:rPr>
      </w:pPr>
      <w:r>
        <w:rPr>
          <w:rFonts w:ascii="Arial" w:hAnsi="Arial" w:cs="Arial"/>
          <w:lang w:val="es-ES"/>
        </w:rPr>
        <w:t>5.1.</w:t>
      </w:r>
      <w:r w:rsidR="00154EE6">
        <w:rPr>
          <w:rFonts w:ascii="Arial" w:hAnsi="Arial" w:cs="Arial"/>
          <w:lang w:val="es-ES"/>
        </w:rPr>
        <w:t xml:space="preserve"> </w:t>
      </w:r>
      <w:r w:rsidRPr="00C95A37">
        <w:rPr>
          <w:rFonts w:ascii="Arial" w:hAnsi="Arial" w:cs="Arial"/>
          <w:lang w:val="es-ES"/>
        </w:rPr>
        <w:t xml:space="preserve">Dada </w:t>
      </w:r>
      <w:r w:rsidR="006471DA">
        <w:rPr>
          <w:rFonts w:ascii="Arial" w:hAnsi="Arial" w:cs="Arial"/>
          <w:lang w:val="es-ES"/>
        </w:rPr>
        <w:t>la</w:t>
      </w:r>
      <w:r w:rsidRPr="00C95A37">
        <w:rPr>
          <w:rFonts w:ascii="Arial" w:hAnsi="Arial" w:cs="Arial"/>
          <w:lang w:val="es-ES"/>
        </w:rPr>
        <w:t xml:space="preserve"> amplia experiencia </w:t>
      </w:r>
      <w:r w:rsidR="006471DA">
        <w:rPr>
          <w:rFonts w:ascii="Arial" w:hAnsi="Arial" w:cs="Arial"/>
          <w:lang w:val="es-ES"/>
        </w:rPr>
        <w:t xml:space="preserve">del Banco </w:t>
      </w:r>
      <w:r w:rsidR="00154EE6">
        <w:rPr>
          <w:rFonts w:ascii="Arial" w:hAnsi="Arial" w:cs="Arial"/>
          <w:lang w:val="es-ES"/>
        </w:rPr>
        <w:t xml:space="preserve">en los temas </w:t>
      </w:r>
      <w:r w:rsidR="006F450B">
        <w:rPr>
          <w:rFonts w:ascii="Arial" w:hAnsi="Arial" w:cs="Arial"/>
          <w:lang w:val="es-ES"/>
        </w:rPr>
        <w:t xml:space="preserve">incluidos en </w:t>
      </w:r>
      <w:r w:rsidR="005146DA">
        <w:rPr>
          <w:rFonts w:ascii="Arial" w:hAnsi="Arial" w:cs="Arial"/>
          <w:lang w:val="es-ES"/>
        </w:rPr>
        <w:t>las actividades de esta CT</w:t>
      </w:r>
      <w:r w:rsidRPr="00C95A37">
        <w:rPr>
          <w:rFonts w:ascii="Arial" w:hAnsi="Arial" w:cs="Arial"/>
          <w:lang w:val="es-ES"/>
        </w:rPr>
        <w:t xml:space="preserve">, </w:t>
      </w:r>
      <w:r w:rsidR="005146DA">
        <w:rPr>
          <w:rFonts w:ascii="Arial" w:hAnsi="Arial" w:cs="Arial"/>
          <w:lang w:val="es-ES"/>
        </w:rPr>
        <w:t>el</w:t>
      </w:r>
      <w:r w:rsidR="006A2727">
        <w:rPr>
          <w:rFonts w:ascii="Arial" w:hAnsi="Arial" w:cs="Arial"/>
          <w:lang w:val="es-ES"/>
        </w:rPr>
        <w:t xml:space="preserve"> Banco</w:t>
      </w:r>
      <w:r w:rsidR="005146DA">
        <w:rPr>
          <w:rFonts w:ascii="Arial" w:hAnsi="Arial" w:cs="Arial"/>
          <w:lang w:val="es-ES"/>
        </w:rPr>
        <w:t xml:space="preserve"> la</w:t>
      </w:r>
      <w:r w:rsidR="006A2727">
        <w:rPr>
          <w:rFonts w:ascii="Arial" w:hAnsi="Arial" w:cs="Arial"/>
          <w:lang w:val="es-ES"/>
        </w:rPr>
        <w:t xml:space="preserve"> ejecu</w:t>
      </w:r>
      <w:r w:rsidR="006471DA">
        <w:rPr>
          <w:rFonts w:ascii="Arial" w:hAnsi="Arial" w:cs="Arial"/>
          <w:lang w:val="es-ES"/>
        </w:rPr>
        <w:t>t</w:t>
      </w:r>
      <w:r w:rsidR="005146DA">
        <w:rPr>
          <w:rFonts w:ascii="Arial" w:hAnsi="Arial" w:cs="Arial"/>
          <w:lang w:val="es-ES"/>
        </w:rPr>
        <w:t xml:space="preserve">ará </w:t>
      </w:r>
      <w:r w:rsidRPr="006A2727">
        <w:rPr>
          <w:rFonts w:ascii="Arial" w:hAnsi="Arial" w:cs="Arial"/>
          <w:lang w:val="es-ES"/>
        </w:rPr>
        <w:t xml:space="preserve">a través de su División de Educación (SCL/EDU). El Banco contratará los servicios y consultorías necesarias para el proyecto de acuerdo con </w:t>
      </w:r>
      <w:r w:rsidR="00154EE6" w:rsidRPr="006A2727">
        <w:rPr>
          <w:rFonts w:ascii="Arial" w:hAnsi="Arial" w:cs="Arial"/>
          <w:lang w:val="es-ES"/>
        </w:rPr>
        <w:t xml:space="preserve">sus </w:t>
      </w:r>
      <w:r w:rsidRPr="006A2727">
        <w:rPr>
          <w:rFonts w:ascii="Arial" w:hAnsi="Arial" w:cs="Arial"/>
          <w:lang w:val="es-ES"/>
        </w:rPr>
        <w:t xml:space="preserve">políticas </w:t>
      </w:r>
      <w:r w:rsidR="00154EE6" w:rsidRPr="006A2727">
        <w:rPr>
          <w:rFonts w:ascii="Arial" w:hAnsi="Arial" w:cs="Arial"/>
          <w:lang w:val="es-ES"/>
        </w:rPr>
        <w:t>de adquisiciones</w:t>
      </w:r>
      <w:r w:rsidR="005146DA">
        <w:rPr>
          <w:rFonts w:ascii="Arial" w:hAnsi="Arial" w:cs="Arial"/>
          <w:lang w:val="es-ES"/>
        </w:rPr>
        <w:t xml:space="preserve"> (</w:t>
      </w:r>
      <w:r w:rsidR="00292BFC" w:rsidRPr="00292BFC">
        <w:rPr>
          <w:rFonts w:ascii="Arial" w:hAnsi="Arial" w:cs="Arial"/>
          <w:lang w:val="es-MX"/>
        </w:rPr>
        <w:t xml:space="preserve">M-650 para Consultores Individuales; y GN-2765-4 y sus Guías Operativas (OP-1155-4) para </w:t>
      </w:r>
      <w:r w:rsidR="00292BFC">
        <w:rPr>
          <w:rFonts w:ascii="Arial" w:hAnsi="Arial" w:cs="Arial"/>
          <w:lang w:val="es-MX"/>
        </w:rPr>
        <w:t>E</w:t>
      </w:r>
      <w:r w:rsidR="00292BFC" w:rsidRPr="00292BFC">
        <w:rPr>
          <w:rFonts w:ascii="Arial" w:hAnsi="Arial" w:cs="Arial"/>
          <w:lang w:val="es-MX"/>
        </w:rPr>
        <w:t>mpresas Consultoras para servicios de naturaleza intelectual.</w:t>
      </w:r>
      <w:r w:rsidR="005A748B">
        <w:rPr>
          <w:rFonts w:ascii="Arial" w:hAnsi="Arial" w:cs="Arial"/>
          <w:lang w:val="es-MX"/>
        </w:rPr>
        <w:t xml:space="preserve"> </w:t>
      </w:r>
    </w:p>
    <w:p w14:paraId="3B1A87D5" w14:textId="4A848BC7" w:rsidR="0095711B" w:rsidRPr="00A523B2" w:rsidRDefault="0023182E" w:rsidP="00BD59AB">
      <w:pPr>
        <w:pStyle w:val="ListParagraph"/>
        <w:numPr>
          <w:ilvl w:val="0"/>
          <w:numId w:val="5"/>
        </w:numPr>
        <w:spacing w:before="120" w:after="120" w:line="240" w:lineRule="auto"/>
        <w:ind w:left="270" w:hanging="180"/>
        <w:contextualSpacing w:val="0"/>
        <w:rPr>
          <w:rFonts w:ascii="Arial" w:hAnsi="Arial" w:cs="Arial"/>
          <w:b/>
          <w:lang w:val="es-ES"/>
        </w:rPr>
      </w:pPr>
      <w:r w:rsidRPr="00A523B2">
        <w:rPr>
          <w:rFonts w:ascii="Arial" w:hAnsi="Arial" w:cs="Arial"/>
          <w:b/>
          <w:lang w:val="es-ES"/>
        </w:rPr>
        <w:t>Riesgos importantes</w:t>
      </w:r>
      <w:r w:rsidR="0046306D">
        <w:rPr>
          <w:rFonts w:ascii="Arial" w:hAnsi="Arial" w:cs="Arial"/>
          <w:b/>
          <w:lang w:val="es-ES"/>
        </w:rPr>
        <w:t>.</w:t>
      </w:r>
      <w:r w:rsidR="00086CFF" w:rsidRPr="00A523B2">
        <w:rPr>
          <w:rFonts w:ascii="Arial" w:hAnsi="Arial" w:cs="Arial"/>
          <w:b/>
          <w:lang w:val="es-ES"/>
        </w:rPr>
        <w:t xml:space="preserve"> </w:t>
      </w:r>
    </w:p>
    <w:p w14:paraId="07459315" w14:textId="0FBA617C" w:rsidR="00F72899" w:rsidRPr="002E222A" w:rsidRDefault="00C95A37" w:rsidP="002E222A">
      <w:pPr>
        <w:spacing w:before="120" w:after="120" w:line="240" w:lineRule="auto"/>
        <w:ind w:left="270" w:hanging="450"/>
        <w:jc w:val="both"/>
        <w:rPr>
          <w:rFonts w:ascii="Arial" w:hAnsi="Arial" w:cs="Arial"/>
          <w:lang w:val="es-MX"/>
        </w:rPr>
      </w:pPr>
      <w:r>
        <w:rPr>
          <w:rFonts w:ascii="Arial" w:hAnsi="Arial" w:cs="Arial"/>
          <w:lang w:val="es-ES"/>
        </w:rPr>
        <w:t xml:space="preserve">6.1. </w:t>
      </w:r>
      <w:r w:rsidR="006F450B">
        <w:rPr>
          <w:rFonts w:ascii="Arial" w:hAnsi="Arial" w:cs="Arial"/>
          <w:lang w:val="es-ES"/>
        </w:rPr>
        <w:t xml:space="preserve">El principal riesgo asociado a esta CT está relacionado </w:t>
      </w:r>
      <w:r w:rsidR="00AA251B">
        <w:rPr>
          <w:rFonts w:ascii="Arial" w:hAnsi="Arial" w:cs="Arial"/>
          <w:lang w:val="es-ES"/>
        </w:rPr>
        <w:t xml:space="preserve">a </w:t>
      </w:r>
      <w:r w:rsidR="002055A8">
        <w:rPr>
          <w:rFonts w:ascii="Arial" w:hAnsi="Arial" w:cs="Arial"/>
          <w:lang w:val="es-ES"/>
        </w:rPr>
        <w:t xml:space="preserve">los cambios de procesos </w:t>
      </w:r>
      <w:r w:rsidR="00AA251B">
        <w:rPr>
          <w:rFonts w:ascii="Arial" w:hAnsi="Arial" w:cs="Arial"/>
          <w:lang w:val="es-ES"/>
        </w:rPr>
        <w:t xml:space="preserve">de planificación </w:t>
      </w:r>
      <w:r w:rsidR="006F450B">
        <w:rPr>
          <w:rFonts w:ascii="Arial" w:hAnsi="Arial" w:cs="Arial"/>
          <w:lang w:val="es-ES"/>
        </w:rPr>
        <w:t xml:space="preserve">que </w:t>
      </w:r>
      <w:r w:rsidR="0036699D">
        <w:rPr>
          <w:rFonts w:ascii="Arial" w:hAnsi="Arial" w:cs="Arial"/>
          <w:lang w:val="es-ES"/>
        </w:rPr>
        <w:t xml:space="preserve">las actividades incluidas </w:t>
      </w:r>
      <w:r w:rsidR="003F29B2">
        <w:rPr>
          <w:rFonts w:ascii="Arial" w:hAnsi="Arial" w:cs="Arial"/>
          <w:lang w:val="es-ES"/>
        </w:rPr>
        <w:t>proponen para la gestión educativa</w:t>
      </w:r>
      <w:r w:rsidR="006F450B">
        <w:rPr>
          <w:rFonts w:ascii="Arial" w:hAnsi="Arial" w:cs="Arial"/>
          <w:lang w:val="es-ES"/>
        </w:rPr>
        <w:t xml:space="preserve">, lo que puede </w:t>
      </w:r>
      <w:r w:rsidR="002055A8">
        <w:rPr>
          <w:rFonts w:ascii="Arial" w:hAnsi="Arial" w:cs="Arial"/>
          <w:lang w:val="es-ES"/>
        </w:rPr>
        <w:t xml:space="preserve">generar </w:t>
      </w:r>
      <w:r w:rsidR="0036699D">
        <w:rPr>
          <w:rFonts w:ascii="Arial" w:hAnsi="Arial" w:cs="Arial"/>
          <w:lang w:val="es-ES"/>
        </w:rPr>
        <w:t>lentitud</w:t>
      </w:r>
      <w:r w:rsidR="002055A8">
        <w:rPr>
          <w:rFonts w:ascii="Arial" w:hAnsi="Arial" w:cs="Arial"/>
          <w:lang w:val="es-ES"/>
        </w:rPr>
        <w:t xml:space="preserve"> para </w:t>
      </w:r>
      <w:r w:rsidR="0036699D">
        <w:rPr>
          <w:rFonts w:ascii="Arial" w:hAnsi="Arial" w:cs="Arial"/>
          <w:lang w:val="es-ES"/>
        </w:rPr>
        <w:t xml:space="preserve">en su implementación. </w:t>
      </w:r>
      <w:r w:rsidR="002055A8">
        <w:rPr>
          <w:rFonts w:ascii="Arial" w:hAnsi="Arial" w:cs="Arial"/>
          <w:lang w:val="es-ES"/>
        </w:rPr>
        <w:t>Para mitigar ese riesgo, e</w:t>
      </w:r>
      <w:r w:rsidRPr="00C95A37">
        <w:rPr>
          <w:rFonts w:ascii="Arial" w:hAnsi="Arial" w:cs="Arial"/>
          <w:lang w:val="es-ES"/>
        </w:rPr>
        <w:t xml:space="preserve">l </w:t>
      </w:r>
      <w:r w:rsidR="002055A8">
        <w:rPr>
          <w:rFonts w:ascii="Arial" w:hAnsi="Arial" w:cs="Arial"/>
          <w:lang w:val="es-ES"/>
        </w:rPr>
        <w:t xml:space="preserve">equipo de proyecto trabajará muy de cerca </w:t>
      </w:r>
      <w:r w:rsidR="002E222A">
        <w:rPr>
          <w:rFonts w:ascii="Arial" w:hAnsi="Arial" w:cs="Arial"/>
          <w:lang w:val="es-ES"/>
        </w:rPr>
        <w:t>y en permanente dialogo con el Gobierno nacional y/o provincias beneficiadas,</w:t>
      </w:r>
      <w:r w:rsidR="00BD2DEE">
        <w:rPr>
          <w:rFonts w:ascii="Arial" w:hAnsi="Arial" w:cs="Arial"/>
          <w:lang w:val="es-ES"/>
        </w:rPr>
        <w:t xml:space="preserve"> </w:t>
      </w:r>
      <w:r w:rsidR="002E222A">
        <w:rPr>
          <w:rFonts w:ascii="Arial" w:hAnsi="Arial" w:cs="Arial"/>
          <w:lang w:val="es-ES"/>
        </w:rPr>
        <w:t xml:space="preserve">para asegurar que las actividades estén alienadas con las necesidades </w:t>
      </w:r>
      <w:r w:rsidR="003F29B2">
        <w:rPr>
          <w:rFonts w:ascii="Arial" w:hAnsi="Arial" w:cs="Arial"/>
          <w:lang w:val="es-ES"/>
        </w:rPr>
        <w:t xml:space="preserve">identificadas </w:t>
      </w:r>
      <w:r w:rsidR="00BD2DEE">
        <w:rPr>
          <w:rFonts w:ascii="Arial" w:hAnsi="Arial" w:cs="Arial"/>
          <w:lang w:val="es-ES"/>
        </w:rPr>
        <w:t xml:space="preserve">para la </w:t>
      </w:r>
      <w:r w:rsidR="002E222A">
        <w:rPr>
          <w:rFonts w:ascii="Arial" w:hAnsi="Arial" w:cs="Arial"/>
          <w:lang w:val="es-ES"/>
        </w:rPr>
        <w:t>reapertura de escuelas</w:t>
      </w:r>
      <w:r w:rsidR="00BD2DEE">
        <w:rPr>
          <w:rFonts w:ascii="Arial" w:hAnsi="Arial" w:cs="Arial"/>
          <w:lang w:val="es-ES"/>
        </w:rPr>
        <w:t xml:space="preserve">, para que sean priorizadas por su </w:t>
      </w:r>
      <w:r w:rsidR="002E222A">
        <w:rPr>
          <w:rFonts w:ascii="Arial" w:hAnsi="Arial" w:cs="Arial"/>
          <w:lang w:val="es-ES"/>
        </w:rPr>
        <w:t>relevancia</w:t>
      </w:r>
      <w:r w:rsidR="00BD2DEE">
        <w:rPr>
          <w:rFonts w:ascii="Arial" w:hAnsi="Arial" w:cs="Arial"/>
          <w:lang w:val="es-ES"/>
        </w:rPr>
        <w:t xml:space="preserve"> y </w:t>
      </w:r>
      <w:r w:rsidR="003F29B2">
        <w:rPr>
          <w:rFonts w:ascii="Arial" w:hAnsi="Arial" w:cs="Arial"/>
          <w:lang w:val="es-ES"/>
        </w:rPr>
        <w:t>aporte a los desafíos del contexto actua</w:t>
      </w:r>
      <w:r w:rsidR="00BD2DEE">
        <w:rPr>
          <w:rFonts w:ascii="Arial" w:hAnsi="Arial" w:cs="Arial"/>
          <w:lang w:val="es-ES"/>
        </w:rPr>
        <w:t>l</w:t>
      </w:r>
      <w:r w:rsidR="003F29B2">
        <w:rPr>
          <w:rFonts w:ascii="Arial" w:hAnsi="Arial" w:cs="Arial"/>
          <w:lang w:val="es-ES"/>
        </w:rPr>
        <w:t xml:space="preserve">. </w:t>
      </w:r>
    </w:p>
    <w:p w14:paraId="6F5C0C22" w14:textId="47B2A175" w:rsidR="0095711B" w:rsidRPr="00A523B2" w:rsidRDefault="000C16F9" w:rsidP="00BD59AB">
      <w:pPr>
        <w:pStyle w:val="ListParagraph"/>
        <w:numPr>
          <w:ilvl w:val="0"/>
          <w:numId w:val="5"/>
        </w:numPr>
        <w:spacing w:before="120" w:after="120" w:line="240" w:lineRule="auto"/>
        <w:ind w:left="270" w:hanging="90"/>
        <w:contextualSpacing w:val="0"/>
        <w:rPr>
          <w:rFonts w:ascii="Arial" w:hAnsi="Arial" w:cs="Arial"/>
          <w:b/>
          <w:lang w:val="es-ES"/>
        </w:rPr>
      </w:pPr>
      <w:r w:rsidRPr="00A523B2">
        <w:rPr>
          <w:rFonts w:ascii="Arial" w:hAnsi="Arial" w:cs="Arial"/>
          <w:b/>
          <w:lang w:val="es-ES"/>
        </w:rPr>
        <w:t xml:space="preserve">Salvaguardias </w:t>
      </w:r>
      <w:r w:rsidR="00055EF1" w:rsidRPr="00A523B2">
        <w:rPr>
          <w:rFonts w:ascii="Arial" w:hAnsi="Arial" w:cs="Arial"/>
          <w:b/>
          <w:lang w:val="es-ES"/>
        </w:rPr>
        <w:t>a</w:t>
      </w:r>
      <w:r w:rsidRPr="00A523B2">
        <w:rPr>
          <w:rFonts w:ascii="Arial" w:hAnsi="Arial" w:cs="Arial"/>
          <w:b/>
          <w:lang w:val="es-ES"/>
        </w:rPr>
        <w:t>mbientales</w:t>
      </w:r>
      <w:r w:rsidR="0046306D">
        <w:rPr>
          <w:rFonts w:ascii="Arial" w:hAnsi="Arial" w:cs="Arial"/>
          <w:b/>
          <w:lang w:val="es-ES"/>
        </w:rPr>
        <w:t>.</w:t>
      </w:r>
    </w:p>
    <w:p w14:paraId="3B1789FC" w14:textId="6054885C" w:rsidR="00466C7E" w:rsidRPr="00707257" w:rsidRDefault="00707257" w:rsidP="00707257">
      <w:pPr>
        <w:pStyle w:val="ListParagraph"/>
        <w:numPr>
          <w:ilvl w:val="1"/>
          <w:numId w:val="22"/>
        </w:numPr>
        <w:spacing w:before="120" w:after="120" w:line="240" w:lineRule="auto"/>
        <w:ind w:left="270" w:hanging="450"/>
        <w:jc w:val="both"/>
        <w:rPr>
          <w:rFonts w:ascii="Arial" w:hAnsi="Arial" w:cs="Arial"/>
          <w:lang w:val="es-ES"/>
        </w:rPr>
      </w:pPr>
      <w:r w:rsidRPr="00707257">
        <w:rPr>
          <w:rFonts w:ascii="Arial" w:hAnsi="Arial" w:cs="Arial"/>
          <w:lang w:val="es-MX"/>
        </w:rPr>
        <w:t>No se prevén riesgos ambientales o sociales asociados a esta CT. La clasificación de esta operación de acuerdo con la Política de Medio Ambiente y Cumplimiento de Salvaguardias (OP-703) es “</w:t>
      </w:r>
      <w:r w:rsidR="002E222A">
        <w:rPr>
          <w:rFonts w:ascii="Arial" w:hAnsi="Arial" w:cs="Arial"/>
          <w:lang w:val="es-MX"/>
        </w:rPr>
        <w:t>C</w:t>
      </w:r>
      <w:r w:rsidRPr="00707257">
        <w:rPr>
          <w:rFonts w:ascii="Arial" w:hAnsi="Arial" w:cs="Arial"/>
          <w:lang w:val="es-MX"/>
        </w:rPr>
        <w:t>”.</w:t>
      </w:r>
    </w:p>
    <w:sectPr w:rsidR="00466C7E" w:rsidRPr="00707257" w:rsidSect="001735E1">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FB454" w14:textId="77777777" w:rsidR="009A612B" w:rsidRDefault="009A612B" w:rsidP="0095711B">
      <w:pPr>
        <w:spacing w:after="0" w:line="240" w:lineRule="auto"/>
      </w:pPr>
      <w:r>
        <w:separator/>
      </w:r>
    </w:p>
  </w:endnote>
  <w:endnote w:type="continuationSeparator" w:id="0">
    <w:p w14:paraId="440DCEC6" w14:textId="77777777" w:rsidR="009A612B" w:rsidRDefault="009A612B"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Gotham Boo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77777777" w:rsidR="009F3CA2" w:rsidRDefault="009F3CA2">
    <w:pPr>
      <w:pStyle w:val="Footer"/>
      <w:jc w:val="center"/>
    </w:pPr>
  </w:p>
  <w:p w14:paraId="738610EB"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E175C" w14:textId="77777777" w:rsidR="009A612B" w:rsidRDefault="009A612B" w:rsidP="0095711B">
      <w:pPr>
        <w:spacing w:after="0" w:line="240" w:lineRule="auto"/>
      </w:pPr>
      <w:r>
        <w:separator/>
      </w:r>
    </w:p>
  </w:footnote>
  <w:footnote w:type="continuationSeparator" w:id="0">
    <w:p w14:paraId="0F54C8FB" w14:textId="77777777" w:rsidR="009A612B" w:rsidRDefault="009A612B" w:rsidP="0095711B">
      <w:pPr>
        <w:spacing w:after="0" w:line="240" w:lineRule="auto"/>
      </w:pPr>
      <w:r>
        <w:continuationSeparator/>
      </w:r>
    </w:p>
  </w:footnote>
  <w:footnote w:id="1">
    <w:p w14:paraId="383F9869" w14:textId="123D046D" w:rsidR="00DA7513" w:rsidRPr="00A523B2" w:rsidRDefault="00DA7513" w:rsidP="00DC5956">
      <w:pPr>
        <w:pStyle w:val="FootnoteText"/>
        <w:ind w:left="180" w:hanging="180"/>
        <w:jc w:val="both"/>
        <w:rPr>
          <w:rFonts w:ascii="Arial" w:hAnsi="Arial" w:cs="Arial"/>
          <w:sz w:val="18"/>
          <w:szCs w:val="18"/>
          <w:lang w:val="es-ES_tradnl"/>
        </w:rPr>
      </w:pPr>
      <w:r w:rsidRPr="00A523B2">
        <w:rPr>
          <w:rStyle w:val="FootnoteReference"/>
          <w:rFonts w:ascii="Arial" w:hAnsi="Arial" w:cs="Arial"/>
          <w:sz w:val="18"/>
          <w:szCs w:val="18"/>
        </w:rPr>
        <w:footnoteRef/>
      </w:r>
      <w:r w:rsidRPr="00A523B2">
        <w:rPr>
          <w:rFonts w:ascii="Arial" w:hAnsi="Arial" w:cs="Arial"/>
          <w:sz w:val="18"/>
          <w:szCs w:val="18"/>
          <w:lang w:val="es-ES_tradnl"/>
        </w:rPr>
        <w:t xml:space="preserve"> </w:t>
      </w:r>
      <w:r w:rsidR="00DC5956" w:rsidRPr="00A523B2">
        <w:rPr>
          <w:rFonts w:ascii="Arial" w:hAnsi="Arial" w:cs="Arial"/>
          <w:lang w:val="es-ES_tradnl"/>
        </w:rPr>
        <w:tab/>
      </w:r>
      <w:r w:rsidRPr="00A523B2">
        <w:rPr>
          <w:rFonts w:ascii="Arial" w:hAnsi="Arial" w:cs="Arial"/>
          <w:sz w:val="18"/>
          <w:szCs w:val="18"/>
          <w:lang w:val="es-ES_tradnl"/>
        </w:rPr>
        <w:t xml:space="preserve">Una copia de la Carta de Solicitud, </w:t>
      </w:r>
      <w:r w:rsidR="00C14FF2">
        <w:rPr>
          <w:rFonts w:ascii="Arial" w:hAnsi="Arial" w:cs="Arial"/>
          <w:sz w:val="18"/>
          <w:szCs w:val="18"/>
          <w:lang w:val="es-ES_tradnl"/>
        </w:rPr>
        <w:t>A</w:t>
      </w:r>
      <w:proofErr w:type="spellStart"/>
      <w:r w:rsidRPr="00A523B2">
        <w:rPr>
          <w:rFonts w:ascii="Arial" w:hAnsi="Arial" w:cs="Arial"/>
          <w:sz w:val="18"/>
          <w:szCs w:val="18"/>
          <w:lang w:val="es-ES"/>
        </w:rPr>
        <w:t>yuda</w:t>
      </w:r>
      <w:proofErr w:type="spellEnd"/>
      <w:r w:rsidRPr="00A523B2">
        <w:rPr>
          <w:rFonts w:ascii="Arial" w:hAnsi="Arial" w:cs="Arial"/>
          <w:sz w:val="18"/>
          <w:szCs w:val="18"/>
          <w:lang w:val="es-ES"/>
        </w:rPr>
        <w:t xml:space="preserve"> </w:t>
      </w:r>
      <w:r w:rsidR="00C14FF2">
        <w:rPr>
          <w:rFonts w:ascii="Arial" w:hAnsi="Arial" w:cs="Arial"/>
          <w:sz w:val="18"/>
          <w:szCs w:val="18"/>
          <w:lang w:val="es-ES"/>
        </w:rPr>
        <w:t>M</w:t>
      </w:r>
      <w:r w:rsidRPr="00A523B2">
        <w:rPr>
          <w:rFonts w:ascii="Arial" w:hAnsi="Arial" w:cs="Arial"/>
          <w:sz w:val="18"/>
          <w:szCs w:val="18"/>
          <w:lang w:val="es-ES"/>
        </w:rPr>
        <w:t xml:space="preserve">emoria de la misión o reunión de Programación/Revisión de Cartera, o Informe solicitando la CT deberá ser presentada con </w:t>
      </w:r>
      <w:r w:rsidR="00055EF1" w:rsidRPr="00A523B2">
        <w:rPr>
          <w:rFonts w:ascii="Arial" w:hAnsi="Arial" w:cs="Arial"/>
          <w:sz w:val="18"/>
          <w:szCs w:val="18"/>
          <w:lang w:val="es-ES"/>
        </w:rPr>
        <w:t>el Abstracto</w:t>
      </w:r>
      <w:r w:rsidR="00861BC9" w:rsidRPr="00A523B2">
        <w:rPr>
          <w:rFonts w:ascii="Arial" w:hAnsi="Arial" w:cs="Arial"/>
          <w:sz w:val="18"/>
          <w:szCs w:val="18"/>
          <w:lang w:val="es-ES"/>
        </w:rPr>
        <w:t xml:space="preserve"> de CT</w:t>
      </w:r>
      <w:r w:rsidRPr="00A523B2">
        <w:rPr>
          <w:rFonts w:ascii="Arial" w:hAnsi="Arial" w:cs="Arial"/>
          <w:sz w:val="18"/>
          <w:szCs w:val="18"/>
          <w:lang w:val="es-ES"/>
        </w:rPr>
        <w:t>.</w:t>
      </w:r>
      <w:r w:rsidRPr="00A523B2">
        <w:rPr>
          <w:rFonts w:ascii="Arial" w:hAnsi="Arial" w:cs="Arial"/>
          <w:sz w:val="18"/>
          <w:szCs w:val="18"/>
          <w:lang w:val="es-ES_tradnl"/>
        </w:rPr>
        <w:t xml:space="preserve"> </w:t>
      </w:r>
    </w:p>
  </w:footnote>
  <w:footnote w:id="2">
    <w:p w14:paraId="5DAEC781" w14:textId="32E15BCF" w:rsidR="000B711C" w:rsidRPr="00976119" w:rsidRDefault="000B711C" w:rsidP="00F26B4D">
      <w:pPr>
        <w:pStyle w:val="FootnoteText"/>
        <w:jc w:val="both"/>
        <w:rPr>
          <w:rFonts w:ascii="Arial" w:hAnsi="Arial" w:cs="Arial"/>
          <w:sz w:val="18"/>
          <w:szCs w:val="18"/>
          <w:lang w:val="es-MX"/>
        </w:rPr>
      </w:pPr>
      <w:r w:rsidRPr="00976119">
        <w:rPr>
          <w:rStyle w:val="FootnoteReference"/>
          <w:rFonts w:ascii="Arial" w:hAnsi="Arial" w:cs="Arial"/>
          <w:sz w:val="18"/>
          <w:szCs w:val="18"/>
        </w:rPr>
        <w:footnoteRef/>
      </w:r>
      <w:r w:rsidRPr="00976119">
        <w:rPr>
          <w:rFonts w:ascii="Arial" w:hAnsi="Arial" w:cs="Arial"/>
          <w:sz w:val="18"/>
          <w:szCs w:val="18"/>
          <w:lang w:val="es-MX"/>
        </w:rPr>
        <w:t xml:space="preserve"> Evaluación de la educación secundaria en Argentina 2019. Ministerio de Educación de la Nación. 2019.</w:t>
      </w:r>
    </w:p>
  </w:footnote>
  <w:footnote w:id="3">
    <w:p w14:paraId="4871E50E" w14:textId="2B1C207C" w:rsidR="00A36BF4" w:rsidRPr="00976119" w:rsidRDefault="00A36BF4" w:rsidP="00F26B4D">
      <w:pPr>
        <w:pStyle w:val="EndnoteText"/>
        <w:jc w:val="both"/>
        <w:rPr>
          <w:rFonts w:ascii="Arial" w:hAnsi="Arial" w:cs="Arial"/>
          <w:sz w:val="18"/>
          <w:szCs w:val="18"/>
          <w:lang w:val="es-MX"/>
        </w:rPr>
      </w:pPr>
      <w:r w:rsidRPr="00976119">
        <w:rPr>
          <w:rStyle w:val="FootnoteReference"/>
          <w:rFonts w:ascii="Arial" w:hAnsi="Arial" w:cs="Arial"/>
          <w:sz w:val="18"/>
          <w:szCs w:val="18"/>
        </w:rPr>
        <w:footnoteRef/>
      </w:r>
      <w:r w:rsidRPr="00976119">
        <w:rPr>
          <w:rFonts w:ascii="Arial" w:hAnsi="Arial" w:cs="Arial"/>
          <w:sz w:val="18"/>
          <w:szCs w:val="18"/>
          <w:lang w:val="es-MX"/>
        </w:rPr>
        <w:t xml:space="preserve"> Evaluación Nacional de la Continuidad Pedagógica. </w:t>
      </w:r>
      <w:r w:rsidR="000B711C" w:rsidRPr="00976119">
        <w:rPr>
          <w:rFonts w:ascii="Arial" w:hAnsi="Arial" w:cs="Arial"/>
          <w:sz w:val="18"/>
          <w:szCs w:val="18"/>
          <w:lang w:val="es-MX"/>
        </w:rPr>
        <w:t xml:space="preserve">Ministerio de Educación de la Nación. </w:t>
      </w:r>
      <w:r w:rsidRPr="00976119">
        <w:rPr>
          <w:rFonts w:ascii="Arial" w:hAnsi="Arial" w:cs="Arial"/>
          <w:sz w:val="18"/>
          <w:szCs w:val="18"/>
          <w:lang w:val="es-MX"/>
        </w:rPr>
        <w:t xml:space="preserve">Julio 2020. </w:t>
      </w:r>
    </w:p>
  </w:footnote>
  <w:footnote w:id="4">
    <w:p w14:paraId="78394196" w14:textId="6701CD5C" w:rsidR="00A36BF4" w:rsidRPr="00ED2123" w:rsidRDefault="00A36BF4" w:rsidP="00F26B4D">
      <w:pPr>
        <w:pStyle w:val="EndnoteText"/>
        <w:ind w:left="90" w:hanging="90"/>
        <w:jc w:val="both"/>
        <w:rPr>
          <w:lang w:val="es-MX"/>
        </w:rPr>
      </w:pPr>
      <w:r w:rsidRPr="00976119">
        <w:rPr>
          <w:rStyle w:val="FootnoteReference"/>
          <w:rFonts w:ascii="Arial" w:hAnsi="Arial" w:cs="Arial"/>
          <w:sz w:val="18"/>
          <w:szCs w:val="18"/>
        </w:rPr>
        <w:footnoteRef/>
      </w:r>
      <w:r w:rsidRPr="00976119">
        <w:rPr>
          <w:rFonts w:ascii="Arial" w:hAnsi="Arial" w:cs="Arial"/>
          <w:sz w:val="18"/>
          <w:szCs w:val="18"/>
          <w:lang w:val="es-MX"/>
        </w:rPr>
        <w:t xml:space="preserve"> Encuesta de Percepción y Actitudes de la Población. Impacto de la pandemia COVID-19 y las medidas </w:t>
      </w:r>
      <w:r w:rsidR="002255DB">
        <w:rPr>
          <w:rFonts w:ascii="Arial" w:hAnsi="Arial" w:cs="Arial"/>
          <w:sz w:val="18"/>
          <w:szCs w:val="18"/>
          <w:lang w:val="es-MX"/>
        </w:rPr>
        <w:t xml:space="preserve"> </w:t>
      </w:r>
      <w:r w:rsidRPr="00976119">
        <w:rPr>
          <w:rFonts w:ascii="Arial" w:hAnsi="Arial" w:cs="Arial"/>
          <w:sz w:val="18"/>
          <w:szCs w:val="18"/>
          <w:lang w:val="es-MX"/>
        </w:rPr>
        <w:t xml:space="preserve">adoptadas por el gobierno sobre la vida cotidiana. </w:t>
      </w:r>
      <w:r w:rsidR="000B711C" w:rsidRPr="00976119">
        <w:rPr>
          <w:rFonts w:ascii="Arial" w:hAnsi="Arial" w:cs="Arial"/>
          <w:sz w:val="18"/>
          <w:szCs w:val="18"/>
          <w:lang w:val="es-MX"/>
        </w:rPr>
        <w:t xml:space="preserve">Unicef. </w:t>
      </w:r>
      <w:r w:rsidRPr="00ED2123">
        <w:rPr>
          <w:rFonts w:ascii="Arial" w:hAnsi="Arial" w:cs="Arial"/>
          <w:sz w:val="18"/>
          <w:szCs w:val="18"/>
          <w:lang w:val="es-MX"/>
        </w:rPr>
        <w:t xml:space="preserve">Junio 2021. </w:t>
      </w:r>
    </w:p>
  </w:footnote>
  <w:footnote w:id="5">
    <w:p w14:paraId="374E5AAD" w14:textId="18AFEFE4" w:rsidR="0031276E" w:rsidRPr="00667A16" w:rsidRDefault="0031276E" w:rsidP="00F26B4D">
      <w:pPr>
        <w:pStyle w:val="FootnoteText"/>
        <w:jc w:val="both"/>
        <w:rPr>
          <w:sz w:val="18"/>
          <w:szCs w:val="18"/>
          <w:lang w:val="es-MX"/>
        </w:rPr>
      </w:pPr>
      <w:r>
        <w:rPr>
          <w:rStyle w:val="FootnoteReference"/>
        </w:rPr>
        <w:footnoteRef/>
      </w:r>
      <w:r w:rsidRPr="0031276E">
        <w:rPr>
          <w:lang w:val="es-MX"/>
        </w:rPr>
        <w:t xml:space="preserve"> </w:t>
      </w:r>
      <w:r w:rsidRPr="00667A16">
        <w:rPr>
          <w:rFonts w:ascii="Arial" w:hAnsi="Arial" w:cs="Arial"/>
          <w:sz w:val="18"/>
          <w:szCs w:val="18"/>
          <w:lang w:val="es-MX"/>
        </w:rPr>
        <w:t>Resolución 378/2021 del Consejo Federal de Educación, ME.</w:t>
      </w:r>
    </w:p>
  </w:footnote>
  <w:footnote w:id="6">
    <w:p w14:paraId="3BCAB552" w14:textId="59AC1772" w:rsidR="006839BB" w:rsidRPr="00565E09" w:rsidRDefault="006839BB" w:rsidP="00F26B4D">
      <w:pPr>
        <w:ind w:left="90" w:hanging="90"/>
        <w:jc w:val="both"/>
        <w:rPr>
          <w:rFonts w:ascii="Arial" w:hAnsi="Arial" w:cs="Arial"/>
          <w:sz w:val="18"/>
          <w:szCs w:val="18"/>
          <w:lang w:val="es-MX"/>
        </w:rPr>
      </w:pPr>
      <w:r w:rsidRPr="00976119">
        <w:rPr>
          <w:rStyle w:val="FootnoteReference"/>
          <w:rFonts w:ascii="Arial" w:hAnsi="Arial" w:cs="Arial"/>
          <w:sz w:val="18"/>
          <w:szCs w:val="18"/>
        </w:rPr>
        <w:footnoteRef/>
      </w:r>
      <w:r w:rsidRPr="00976119">
        <w:rPr>
          <w:rFonts w:ascii="Arial" w:hAnsi="Arial" w:cs="Arial"/>
          <w:sz w:val="18"/>
          <w:szCs w:val="18"/>
          <w:lang w:val="es-MX"/>
        </w:rPr>
        <w:t xml:space="preserve"> Observatorio del Regreso Presencial a las Aulas. Ministerio de Educación de la Nación. Informe de situación </w:t>
      </w:r>
      <w:r w:rsidR="00565E09" w:rsidRPr="00565E09">
        <w:rPr>
          <w:rFonts w:ascii="Arial" w:hAnsi="Arial" w:cs="Arial"/>
          <w:sz w:val="18"/>
          <w:szCs w:val="18"/>
          <w:lang w:val="es-MX"/>
        </w:rPr>
        <w:t>#</w:t>
      </w:r>
      <w:r w:rsidRPr="00565E09">
        <w:rPr>
          <w:rFonts w:ascii="Arial" w:hAnsi="Arial" w:cs="Arial"/>
          <w:sz w:val="18"/>
          <w:szCs w:val="18"/>
          <w:lang w:val="es-MX"/>
        </w:rPr>
        <w:t xml:space="preserve">7. Septiembre 2021.  </w:t>
      </w:r>
    </w:p>
    <w:p w14:paraId="5ED8D9C9" w14:textId="6A9ADC16" w:rsidR="006839BB" w:rsidRPr="00565E09" w:rsidRDefault="006839BB">
      <w:pPr>
        <w:pStyle w:val="FootnoteText"/>
        <w:rPr>
          <w:lang w:val="es-MX"/>
        </w:rPr>
      </w:pPr>
    </w:p>
  </w:footnote>
  <w:footnote w:id="7">
    <w:p w14:paraId="49ACDB52" w14:textId="7CC4D798" w:rsidR="00565E09" w:rsidRPr="00565E09" w:rsidRDefault="00565E09" w:rsidP="00646C5B">
      <w:pPr>
        <w:pStyle w:val="FootnoteText"/>
        <w:ind w:left="-180"/>
        <w:jc w:val="both"/>
        <w:rPr>
          <w:rFonts w:ascii="Arial" w:hAnsi="Arial" w:cs="Arial"/>
          <w:lang w:val="es-MX"/>
        </w:rPr>
      </w:pPr>
      <w:r w:rsidRPr="00565E09">
        <w:rPr>
          <w:rStyle w:val="FootnoteReference"/>
          <w:rFonts w:ascii="Arial" w:hAnsi="Arial" w:cs="Arial"/>
        </w:rPr>
        <w:footnoteRef/>
      </w:r>
      <w:r w:rsidRPr="00565E09">
        <w:rPr>
          <w:rFonts w:ascii="Arial" w:hAnsi="Arial" w:cs="Arial"/>
          <w:lang w:val="es-MX"/>
        </w:rPr>
        <w:t xml:space="preserve"> </w:t>
      </w:r>
      <w:r w:rsidRPr="00565E09">
        <w:rPr>
          <w:rFonts w:ascii="Arial" w:hAnsi="Arial" w:cs="Arial"/>
          <w:sz w:val="18"/>
          <w:szCs w:val="18"/>
          <w:lang w:val="es-MX"/>
        </w:rPr>
        <w:t>Varias provincias t</w:t>
      </w:r>
      <w:r>
        <w:rPr>
          <w:rFonts w:ascii="Arial" w:hAnsi="Arial" w:cs="Arial"/>
          <w:sz w:val="18"/>
          <w:szCs w:val="18"/>
          <w:lang w:val="es-MX"/>
        </w:rPr>
        <w:t xml:space="preserve">ienen </w:t>
      </w:r>
      <w:r w:rsidRPr="00565E09">
        <w:rPr>
          <w:rFonts w:ascii="Arial" w:hAnsi="Arial" w:cs="Arial"/>
          <w:sz w:val="18"/>
          <w:szCs w:val="18"/>
          <w:lang w:val="es-MX"/>
        </w:rPr>
        <w:t xml:space="preserve">portales y plataformas digitales. El detalle de las acciones implementadas fue </w:t>
      </w:r>
      <w:r w:rsidR="00646C5B">
        <w:rPr>
          <w:rFonts w:ascii="Arial" w:hAnsi="Arial" w:cs="Arial"/>
          <w:sz w:val="18"/>
          <w:szCs w:val="18"/>
          <w:lang w:val="es-MX"/>
        </w:rPr>
        <w:t xml:space="preserve">    </w:t>
      </w:r>
      <w:r w:rsidRPr="00565E09">
        <w:rPr>
          <w:rFonts w:ascii="Arial" w:hAnsi="Arial" w:cs="Arial"/>
          <w:sz w:val="18"/>
          <w:szCs w:val="18"/>
          <w:lang w:val="es-MX"/>
        </w:rPr>
        <w:t xml:space="preserve">documentado en el estudio </w:t>
      </w:r>
      <w:r w:rsidRPr="00565E09">
        <w:rPr>
          <w:rFonts w:ascii="Arial" w:hAnsi="Arial" w:cs="Arial"/>
          <w:i/>
          <w:iCs/>
          <w:sz w:val="18"/>
          <w:szCs w:val="18"/>
          <w:lang w:val="es-MX"/>
        </w:rPr>
        <w:t>Educar en Pandemia: Entre el aislamiento y la distancia social</w:t>
      </w:r>
      <w:r w:rsidR="002A1C78">
        <w:rPr>
          <w:rFonts w:ascii="Arial" w:hAnsi="Arial" w:cs="Arial"/>
          <w:i/>
          <w:iCs/>
          <w:sz w:val="18"/>
          <w:szCs w:val="18"/>
          <w:lang w:val="es-MX"/>
        </w:rPr>
        <w:t xml:space="preserve"> (2020)</w:t>
      </w:r>
      <w:r w:rsidRPr="00565E09">
        <w:rPr>
          <w:rFonts w:ascii="Arial" w:hAnsi="Arial" w:cs="Arial"/>
          <w:sz w:val="18"/>
          <w:szCs w:val="18"/>
          <w:lang w:val="es-MX"/>
        </w:rPr>
        <w:t xml:space="preserve">, disponible </w:t>
      </w:r>
      <w:hyperlink r:id="rId1" w:history="1">
        <w:r w:rsidRPr="00565E09">
          <w:rPr>
            <w:rStyle w:val="Hyperlink"/>
            <w:rFonts w:ascii="Arial" w:hAnsi="Arial" w:cs="Arial"/>
            <w:sz w:val="18"/>
            <w:szCs w:val="18"/>
            <w:lang w:val="es-MX"/>
          </w:rPr>
          <w:t>aquí</w:t>
        </w:r>
      </w:hyperlink>
      <w:r w:rsidRPr="00565E09">
        <w:rPr>
          <w:rFonts w:ascii="Arial" w:hAnsi="Arial" w:cs="Arial"/>
          <w:sz w:val="18"/>
          <w:szCs w:val="18"/>
          <w:lang w:val="es-MX"/>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3588862"/>
      <w:docPartObj>
        <w:docPartGallery w:val="Page Numbers (Top of Page)"/>
        <w:docPartUnique/>
      </w:docPartObj>
    </w:sdtPr>
    <w:sdtEndPr>
      <w:rPr>
        <w:rFonts w:ascii="Gotham Book" w:hAnsi="Gotham Book"/>
        <w:noProof/>
        <w:sz w:val="18"/>
        <w:szCs w:val="18"/>
      </w:rPr>
    </w:sdtEndPr>
    <w:sdtContent>
      <w:p w14:paraId="5A2CB5EC" w14:textId="77777777" w:rsidR="001735E1" w:rsidRPr="001735E1" w:rsidRDefault="001735E1">
        <w:pPr>
          <w:pStyle w:val="Header"/>
          <w:jc w:val="center"/>
          <w:rPr>
            <w:rFonts w:ascii="Gotham Book" w:hAnsi="Gotham Book"/>
            <w:sz w:val="18"/>
            <w:szCs w:val="18"/>
          </w:rPr>
        </w:pPr>
        <w:r w:rsidRPr="001735E1">
          <w:rPr>
            <w:rFonts w:ascii="Gotham Book" w:hAnsi="Gotham Book"/>
            <w:sz w:val="18"/>
            <w:szCs w:val="18"/>
          </w:rPr>
          <w:t>- </w:t>
        </w:r>
        <w:r w:rsidRPr="001735E1">
          <w:rPr>
            <w:rFonts w:ascii="Gotham Book" w:hAnsi="Gotham Book"/>
            <w:sz w:val="18"/>
            <w:szCs w:val="18"/>
          </w:rPr>
          <w:fldChar w:fldCharType="begin"/>
        </w:r>
        <w:r w:rsidRPr="001735E1">
          <w:rPr>
            <w:rFonts w:ascii="Gotham Book" w:hAnsi="Gotham Book"/>
            <w:sz w:val="18"/>
            <w:szCs w:val="18"/>
          </w:rPr>
          <w:instrText xml:space="preserve"> PAGE   \* MERGEFORMAT </w:instrText>
        </w:r>
        <w:r w:rsidRPr="001735E1">
          <w:rPr>
            <w:rFonts w:ascii="Gotham Book" w:hAnsi="Gotham Book"/>
            <w:sz w:val="18"/>
            <w:szCs w:val="18"/>
          </w:rPr>
          <w:fldChar w:fldCharType="separate"/>
        </w:r>
        <w:r w:rsidR="00F02DA9">
          <w:rPr>
            <w:rFonts w:ascii="Gotham Book" w:hAnsi="Gotham Book"/>
            <w:noProof/>
            <w:sz w:val="18"/>
            <w:szCs w:val="18"/>
          </w:rPr>
          <w:t>2</w:t>
        </w:r>
        <w:r w:rsidRPr="001735E1">
          <w:rPr>
            <w:rFonts w:ascii="Gotham Book" w:hAnsi="Gotham Book"/>
            <w:noProof/>
            <w:sz w:val="18"/>
            <w:szCs w:val="18"/>
          </w:rPr>
          <w:fldChar w:fldCharType="end"/>
        </w:r>
        <w:r w:rsidRPr="001735E1">
          <w:rPr>
            <w:rFonts w:ascii="Gotham Book" w:hAnsi="Gotham Book"/>
            <w:noProof/>
            <w:sz w:val="18"/>
            <w:szCs w:val="18"/>
          </w:rPr>
          <w:t> -</w:t>
        </w:r>
      </w:p>
    </w:sdtContent>
  </w:sdt>
  <w:p w14:paraId="637805D2" w14:textId="77777777" w:rsidR="001735E1" w:rsidRDefault="001735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67710"/>
    <w:multiLevelType w:val="multilevel"/>
    <w:tmpl w:val="C01C6C0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74043CE"/>
    <w:multiLevelType w:val="multilevel"/>
    <w:tmpl w:val="F6FC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7"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 w15:restartNumberingAfterBreak="0">
    <w:nsid w:val="2B9B2198"/>
    <w:multiLevelType w:val="multilevel"/>
    <w:tmpl w:val="188E73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51367E"/>
    <w:multiLevelType w:val="multilevel"/>
    <w:tmpl w:val="9EDE20D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844FC5"/>
    <w:multiLevelType w:val="multilevel"/>
    <w:tmpl w:val="0BC25E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AA7257"/>
    <w:multiLevelType w:val="hybridMultilevel"/>
    <w:tmpl w:val="8DFA4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693028"/>
    <w:multiLevelType w:val="multilevel"/>
    <w:tmpl w:val="4F9A20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3DA472B"/>
    <w:multiLevelType w:val="multilevel"/>
    <w:tmpl w:val="7068DA16"/>
    <w:lvl w:ilvl="0">
      <w:start w:val="1"/>
      <w:numFmt w:val="upperRoman"/>
      <w:lvlText w:val="%1."/>
      <w:lvlJc w:val="right"/>
      <w:pPr>
        <w:ind w:left="360" w:hanging="360"/>
      </w:pPr>
      <w:rPr>
        <w:color w:val="auto"/>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7E834778"/>
    <w:multiLevelType w:val="multilevel"/>
    <w:tmpl w:val="2D46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16"/>
  </w:num>
  <w:num w:numId="4">
    <w:abstractNumId w:val="23"/>
  </w:num>
  <w:num w:numId="5">
    <w:abstractNumId w:val="21"/>
  </w:num>
  <w:num w:numId="6">
    <w:abstractNumId w:val="6"/>
  </w:num>
  <w:num w:numId="7">
    <w:abstractNumId w:val="7"/>
  </w:num>
  <w:num w:numId="8">
    <w:abstractNumId w:val="10"/>
  </w:num>
  <w:num w:numId="9">
    <w:abstractNumId w:val="18"/>
  </w:num>
  <w:num w:numId="10">
    <w:abstractNumId w:val="19"/>
  </w:num>
  <w:num w:numId="11">
    <w:abstractNumId w:val="4"/>
  </w:num>
  <w:num w:numId="12">
    <w:abstractNumId w:val="9"/>
  </w:num>
  <w:num w:numId="13">
    <w:abstractNumId w:val="17"/>
  </w:num>
  <w:num w:numId="14">
    <w:abstractNumId w:val="3"/>
  </w:num>
  <w:num w:numId="15">
    <w:abstractNumId w:val="2"/>
  </w:num>
  <w:num w:numId="16">
    <w:abstractNumId w:val="5"/>
  </w:num>
  <w:num w:numId="17">
    <w:abstractNumId w:val="15"/>
  </w:num>
  <w:num w:numId="18">
    <w:abstractNumId w:val="12"/>
  </w:num>
  <w:num w:numId="19">
    <w:abstractNumId w:val="0"/>
  </w:num>
  <w:num w:numId="20">
    <w:abstractNumId w:val="20"/>
  </w:num>
  <w:num w:numId="21">
    <w:abstractNumId w:val="8"/>
  </w:num>
  <w:num w:numId="22">
    <w:abstractNumId w:val="11"/>
  </w:num>
  <w:num w:numId="23">
    <w:abstractNumId w:val="2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spelling="clean" w:grammar="clean"/>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1B"/>
    <w:rsid w:val="00007246"/>
    <w:rsid w:val="00017B41"/>
    <w:rsid w:val="000259D8"/>
    <w:rsid w:val="000269F9"/>
    <w:rsid w:val="00033CF6"/>
    <w:rsid w:val="00035F6F"/>
    <w:rsid w:val="000463EC"/>
    <w:rsid w:val="0005076D"/>
    <w:rsid w:val="000514E9"/>
    <w:rsid w:val="00055EF1"/>
    <w:rsid w:val="00071640"/>
    <w:rsid w:val="00075518"/>
    <w:rsid w:val="00075F42"/>
    <w:rsid w:val="00086CFF"/>
    <w:rsid w:val="00096859"/>
    <w:rsid w:val="000A115D"/>
    <w:rsid w:val="000B711C"/>
    <w:rsid w:val="000C16F9"/>
    <w:rsid w:val="000C4B72"/>
    <w:rsid w:val="000C7D5A"/>
    <w:rsid w:val="000D7257"/>
    <w:rsid w:val="000F39D2"/>
    <w:rsid w:val="00102DAE"/>
    <w:rsid w:val="00112DEE"/>
    <w:rsid w:val="00124040"/>
    <w:rsid w:val="001316E2"/>
    <w:rsid w:val="00131D40"/>
    <w:rsid w:val="001508E5"/>
    <w:rsid w:val="00154EE6"/>
    <w:rsid w:val="0017216B"/>
    <w:rsid w:val="001735E1"/>
    <w:rsid w:val="001753FC"/>
    <w:rsid w:val="001828B4"/>
    <w:rsid w:val="00194176"/>
    <w:rsid w:val="001A0FE7"/>
    <w:rsid w:val="001C1143"/>
    <w:rsid w:val="001C18FD"/>
    <w:rsid w:val="001D0E1D"/>
    <w:rsid w:val="001D3ECA"/>
    <w:rsid w:val="001E46A4"/>
    <w:rsid w:val="001E6F1E"/>
    <w:rsid w:val="001E7981"/>
    <w:rsid w:val="001F41E2"/>
    <w:rsid w:val="001F7559"/>
    <w:rsid w:val="002055A8"/>
    <w:rsid w:val="00210317"/>
    <w:rsid w:val="002150E9"/>
    <w:rsid w:val="002255DB"/>
    <w:rsid w:val="00225B5A"/>
    <w:rsid w:val="00231773"/>
    <w:rsid w:val="0023182E"/>
    <w:rsid w:val="0023302F"/>
    <w:rsid w:val="00236249"/>
    <w:rsid w:val="00244A9D"/>
    <w:rsid w:val="00250EA8"/>
    <w:rsid w:val="00255BB2"/>
    <w:rsid w:val="00272F95"/>
    <w:rsid w:val="00274A3E"/>
    <w:rsid w:val="0027523F"/>
    <w:rsid w:val="00277B98"/>
    <w:rsid w:val="0028127C"/>
    <w:rsid w:val="00283316"/>
    <w:rsid w:val="0029206C"/>
    <w:rsid w:val="00292BFC"/>
    <w:rsid w:val="002A1C78"/>
    <w:rsid w:val="002A3915"/>
    <w:rsid w:val="002B0826"/>
    <w:rsid w:val="002C3FFE"/>
    <w:rsid w:val="002D2060"/>
    <w:rsid w:val="002D47AB"/>
    <w:rsid w:val="002D4B50"/>
    <w:rsid w:val="002D7279"/>
    <w:rsid w:val="002E1CFA"/>
    <w:rsid w:val="002E222A"/>
    <w:rsid w:val="002F0B1E"/>
    <w:rsid w:val="00302426"/>
    <w:rsid w:val="0031276E"/>
    <w:rsid w:val="00314466"/>
    <w:rsid w:val="00335B4C"/>
    <w:rsid w:val="00340055"/>
    <w:rsid w:val="00340BC1"/>
    <w:rsid w:val="00346E79"/>
    <w:rsid w:val="003523EB"/>
    <w:rsid w:val="00355449"/>
    <w:rsid w:val="003565A0"/>
    <w:rsid w:val="003622D9"/>
    <w:rsid w:val="00363C66"/>
    <w:rsid w:val="0036699D"/>
    <w:rsid w:val="003835F0"/>
    <w:rsid w:val="00395A99"/>
    <w:rsid w:val="003C7F4F"/>
    <w:rsid w:val="003D0988"/>
    <w:rsid w:val="003D2892"/>
    <w:rsid w:val="003D5430"/>
    <w:rsid w:val="003D609D"/>
    <w:rsid w:val="003F29B2"/>
    <w:rsid w:val="003F5F31"/>
    <w:rsid w:val="00401D7B"/>
    <w:rsid w:val="00416432"/>
    <w:rsid w:val="00417FB9"/>
    <w:rsid w:val="0042231F"/>
    <w:rsid w:val="004311D4"/>
    <w:rsid w:val="00433246"/>
    <w:rsid w:val="00445FD0"/>
    <w:rsid w:val="0046306D"/>
    <w:rsid w:val="00466C7E"/>
    <w:rsid w:val="00467A9E"/>
    <w:rsid w:val="00482240"/>
    <w:rsid w:val="00487F87"/>
    <w:rsid w:val="004C0DE3"/>
    <w:rsid w:val="004C0F42"/>
    <w:rsid w:val="004D3BAA"/>
    <w:rsid w:val="004D5823"/>
    <w:rsid w:val="004D7049"/>
    <w:rsid w:val="004E0D14"/>
    <w:rsid w:val="004E3383"/>
    <w:rsid w:val="004F386F"/>
    <w:rsid w:val="0050104A"/>
    <w:rsid w:val="005029E0"/>
    <w:rsid w:val="00512024"/>
    <w:rsid w:val="005140D4"/>
    <w:rsid w:val="005146DA"/>
    <w:rsid w:val="00520F58"/>
    <w:rsid w:val="0053046C"/>
    <w:rsid w:val="00531E51"/>
    <w:rsid w:val="005364CE"/>
    <w:rsid w:val="00544613"/>
    <w:rsid w:val="00563B1D"/>
    <w:rsid w:val="00565E09"/>
    <w:rsid w:val="00576058"/>
    <w:rsid w:val="0058137A"/>
    <w:rsid w:val="00581FA6"/>
    <w:rsid w:val="005833C9"/>
    <w:rsid w:val="005854A2"/>
    <w:rsid w:val="00590599"/>
    <w:rsid w:val="00594001"/>
    <w:rsid w:val="005A1056"/>
    <w:rsid w:val="005A47FC"/>
    <w:rsid w:val="005A748B"/>
    <w:rsid w:val="005A78EC"/>
    <w:rsid w:val="005D092B"/>
    <w:rsid w:val="005D330B"/>
    <w:rsid w:val="005F3E29"/>
    <w:rsid w:val="0062725A"/>
    <w:rsid w:val="00630E53"/>
    <w:rsid w:val="00641ED4"/>
    <w:rsid w:val="00646C5B"/>
    <w:rsid w:val="006471DA"/>
    <w:rsid w:val="0065463A"/>
    <w:rsid w:val="00666883"/>
    <w:rsid w:val="00667A16"/>
    <w:rsid w:val="00675E7A"/>
    <w:rsid w:val="00683417"/>
    <w:rsid w:val="006839BB"/>
    <w:rsid w:val="006903D4"/>
    <w:rsid w:val="00694340"/>
    <w:rsid w:val="006A12A6"/>
    <w:rsid w:val="006A1798"/>
    <w:rsid w:val="006A2727"/>
    <w:rsid w:val="006A4825"/>
    <w:rsid w:val="006A7C70"/>
    <w:rsid w:val="006B0EB2"/>
    <w:rsid w:val="006B5722"/>
    <w:rsid w:val="006C1AD7"/>
    <w:rsid w:val="006C6059"/>
    <w:rsid w:val="006E274C"/>
    <w:rsid w:val="006F450B"/>
    <w:rsid w:val="00702A56"/>
    <w:rsid w:val="00707257"/>
    <w:rsid w:val="00725899"/>
    <w:rsid w:val="00746260"/>
    <w:rsid w:val="0075418F"/>
    <w:rsid w:val="00780C31"/>
    <w:rsid w:val="007970F5"/>
    <w:rsid w:val="007B0420"/>
    <w:rsid w:val="007B500B"/>
    <w:rsid w:val="007B6B61"/>
    <w:rsid w:val="007C3374"/>
    <w:rsid w:val="00801D9C"/>
    <w:rsid w:val="008052A0"/>
    <w:rsid w:val="00807C07"/>
    <w:rsid w:val="00816069"/>
    <w:rsid w:val="00840617"/>
    <w:rsid w:val="00841608"/>
    <w:rsid w:val="00847603"/>
    <w:rsid w:val="008533D0"/>
    <w:rsid w:val="0085410B"/>
    <w:rsid w:val="00861BC9"/>
    <w:rsid w:val="00865A6F"/>
    <w:rsid w:val="00865E90"/>
    <w:rsid w:val="0087190C"/>
    <w:rsid w:val="008739E3"/>
    <w:rsid w:val="00875EA0"/>
    <w:rsid w:val="008813B9"/>
    <w:rsid w:val="0088308D"/>
    <w:rsid w:val="008902BA"/>
    <w:rsid w:val="008A5D02"/>
    <w:rsid w:val="008B2DF1"/>
    <w:rsid w:val="008B7D0C"/>
    <w:rsid w:val="008D3DC9"/>
    <w:rsid w:val="0091508A"/>
    <w:rsid w:val="00915206"/>
    <w:rsid w:val="00925C27"/>
    <w:rsid w:val="00933A84"/>
    <w:rsid w:val="009422E8"/>
    <w:rsid w:val="00944D7A"/>
    <w:rsid w:val="009508E4"/>
    <w:rsid w:val="0095122E"/>
    <w:rsid w:val="00953879"/>
    <w:rsid w:val="0095711B"/>
    <w:rsid w:val="00976119"/>
    <w:rsid w:val="009A612B"/>
    <w:rsid w:val="009C5C06"/>
    <w:rsid w:val="009D5639"/>
    <w:rsid w:val="009F33FF"/>
    <w:rsid w:val="009F3CA2"/>
    <w:rsid w:val="00A0135B"/>
    <w:rsid w:val="00A02E6B"/>
    <w:rsid w:val="00A04F89"/>
    <w:rsid w:val="00A067E6"/>
    <w:rsid w:val="00A10CD5"/>
    <w:rsid w:val="00A12C27"/>
    <w:rsid w:val="00A139E6"/>
    <w:rsid w:val="00A13EE1"/>
    <w:rsid w:val="00A20379"/>
    <w:rsid w:val="00A2474F"/>
    <w:rsid w:val="00A357F7"/>
    <w:rsid w:val="00A36481"/>
    <w:rsid w:val="00A36BF4"/>
    <w:rsid w:val="00A37C9C"/>
    <w:rsid w:val="00A50A5A"/>
    <w:rsid w:val="00A523B2"/>
    <w:rsid w:val="00A57185"/>
    <w:rsid w:val="00A75C32"/>
    <w:rsid w:val="00A766A1"/>
    <w:rsid w:val="00A876E7"/>
    <w:rsid w:val="00A9761C"/>
    <w:rsid w:val="00AA251B"/>
    <w:rsid w:val="00AA47A0"/>
    <w:rsid w:val="00AC081B"/>
    <w:rsid w:val="00AD3653"/>
    <w:rsid w:val="00AF2F55"/>
    <w:rsid w:val="00AF4792"/>
    <w:rsid w:val="00AF5C75"/>
    <w:rsid w:val="00B11459"/>
    <w:rsid w:val="00B11642"/>
    <w:rsid w:val="00B12477"/>
    <w:rsid w:val="00B13125"/>
    <w:rsid w:val="00B22D86"/>
    <w:rsid w:val="00B307EC"/>
    <w:rsid w:val="00B347ED"/>
    <w:rsid w:val="00B50AC9"/>
    <w:rsid w:val="00B56CDC"/>
    <w:rsid w:val="00B83E92"/>
    <w:rsid w:val="00B8763C"/>
    <w:rsid w:val="00BA53BE"/>
    <w:rsid w:val="00BB2778"/>
    <w:rsid w:val="00BB32A4"/>
    <w:rsid w:val="00BB612A"/>
    <w:rsid w:val="00BD2DEE"/>
    <w:rsid w:val="00BD59AB"/>
    <w:rsid w:val="00BF0C0B"/>
    <w:rsid w:val="00C14FF2"/>
    <w:rsid w:val="00C33CFC"/>
    <w:rsid w:val="00C3492D"/>
    <w:rsid w:val="00C41CE9"/>
    <w:rsid w:val="00C423D1"/>
    <w:rsid w:val="00C43E24"/>
    <w:rsid w:val="00C51377"/>
    <w:rsid w:val="00C5184A"/>
    <w:rsid w:val="00C5730B"/>
    <w:rsid w:val="00C64336"/>
    <w:rsid w:val="00C95A37"/>
    <w:rsid w:val="00CD109E"/>
    <w:rsid w:val="00CE0643"/>
    <w:rsid w:val="00CE27B8"/>
    <w:rsid w:val="00CF398D"/>
    <w:rsid w:val="00D063E5"/>
    <w:rsid w:val="00D07EB4"/>
    <w:rsid w:val="00D16250"/>
    <w:rsid w:val="00D235A0"/>
    <w:rsid w:val="00D2491C"/>
    <w:rsid w:val="00D3507C"/>
    <w:rsid w:val="00D55EA9"/>
    <w:rsid w:val="00D60963"/>
    <w:rsid w:val="00D707BB"/>
    <w:rsid w:val="00D9103F"/>
    <w:rsid w:val="00D93016"/>
    <w:rsid w:val="00D95606"/>
    <w:rsid w:val="00DA7513"/>
    <w:rsid w:val="00DC16F5"/>
    <w:rsid w:val="00DC1E68"/>
    <w:rsid w:val="00DC5956"/>
    <w:rsid w:val="00DD34E3"/>
    <w:rsid w:val="00DE5B53"/>
    <w:rsid w:val="00DF475D"/>
    <w:rsid w:val="00E20EBD"/>
    <w:rsid w:val="00E22AF0"/>
    <w:rsid w:val="00E260CC"/>
    <w:rsid w:val="00E33333"/>
    <w:rsid w:val="00E41BE8"/>
    <w:rsid w:val="00E421D5"/>
    <w:rsid w:val="00E465F3"/>
    <w:rsid w:val="00E52408"/>
    <w:rsid w:val="00E5259A"/>
    <w:rsid w:val="00E6350B"/>
    <w:rsid w:val="00E65098"/>
    <w:rsid w:val="00E6675A"/>
    <w:rsid w:val="00E75CB3"/>
    <w:rsid w:val="00EA2B39"/>
    <w:rsid w:val="00EA3919"/>
    <w:rsid w:val="00EB435F"/>
    <w:rsid w:val="00EC4075"/>
    <w:rsid w:val="00ED2123"/>
    <w:rsid w:val="00ED6E1E"/>
    <w:rsid w:val="00ED70D1"/>
    <w:rsid w:val="00EE0122"/>
    <w:rsid w:val="00EF10D0"/>
    <w:rsid w:val="00EF41CE"/>
    <w:rsid w:val="00EF59E8"/>
    <w:rsid w:val="00F00960"/>
    <w:rsid w:val="00F02DA9"/>
    <w:rsid w:val="00F16677"/>
    <w:rsid w:val="00F16E91"/>
    <w:rsid w:val="00F26B4D"/>
    <w:rsid w:val="00F373D0"/>
    <w:rsid w:val="00F455F8"/>
    <w:rsid w:val="00F47C0E"/>
    <w:rsid w:val="00F50742"/>
    <w:rsid w:val="00F6363D"/>
    <w:rsid w:val="00F6431A"/>
    <w:rsid w:val="00F659A3"/>
    <w:rsid w:val="00F7273C"/>
    <w:rsid w:val="00F72899"/>
    <w:rsid w:val="00F72A5E"/>
    <w:rsid w:val="00F83703"/>
    <w:rsid w:val="00F8608C"/>
    <w:rsid w:val="00FA4900"/>
    <w:rsid w:val="00FA6E86"/>
    <w:rsid w:val="00FE1499"/>
    <w:rsid w:val="00FE5A02"/>
    <w:rsid w:val="00FE7ECC"/>
    <w:rsid w:val="68022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1F9E4"/>
  <w15:docId w15:val="{8446E8BA-082F-4F47-A1D2-879D8FB24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paragraph" w:styleId="EndnoteText">
    <w:name w:val="endnote text"/>
    <w:basedOn w:val="Normal"/>
    <w:link w:val="EndnoteTextChar"/>
    <w:uiPriority w:val="99"/>
    <w:unhideWhenUsed/>
    <w:rsid w:val="00DA7513"/>
    <w:pPr>
      <w:spacing w:after="0" w:line="240" w:lineRule="auto"/>
    </w:pPr>
    <w:rPr>
      <w:sz w:val="20"/>
      <w:szCs w:val="20"/>
    </w:rPr>
  </w:style>
  <w:style w:type="character" w:customStyle="1" w:styleId="EndnoteTextChar">
    <w:name w:val="Endnote Text Char"/>
    <w:basedOn w:val="DefaultParagraphFont"/>
    <w:link w:val="EndnoteText"/>
    <w:uiPriority w:val="99"/>
    <w:rsid w:val="00DA7513"/>
    <w:rPr>
      <w:sz w:val="20"/>
      <w:szCs w:val="20"/>
    </w:rPr>
  </w:style>
  <w:style w:type="character" w:styleId="EndnoteReference">
    <w:name w:val="endnote reference"/>
    <w:basedOn w:val="DefaultParagraphFont"/>
    <w:uiPriority w:val="99"/>
    <w:semiHidden/>
    <w:unhideWhenUsed/>
    <w:rsid w:val="00DA7513"/>
    <w:rPr>
      <w:vertAlign w:val="superscript"/>
    </w:rPr>
  </w:style>
  <w:style w:type="paragraph" w:styleId="FootnoteText">
    <w:name w:val="footnote text"/>
    <w:basedOn w:val="Normal"/>
    <w:link w:val="FootnoteTextChar"/>
    <w:uiPriority w:val="99"/>
    <w:semiHidden/>
    <w:unhideWhenUsed/>
    <w:rsid w:val="00DA75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7513"/>
    <w:rPr>
      <w:sz w:val="20"/>
      <w:szCs w:val="20"/>
    </w:rPr>
  </w:style>
  <w:style w:type="character" w:styleId="FootnoteReference">
    <w:name w:val="footnote reference"/>
    <w:basedOn w:val="DefaultParagraphFont"/>
    <w:uiPriority w:val="99"/>
    <w:semiHidden/>
    <w:unhideWhenUsed/>
    <w:rsid w:val="00DA7513"/>
    <w:rPr>
      <w:vertAlign w:val="superscript"/>
    </w:rPr>
  </w:style>
  <w:style w:type="character" w:styleId="Hyperlink">
    <w:name w:val="Hyperlink"/>
    <w:basedOn w:val="DefaultParagraphFont"/>
    <w:uiPriority w:val="99"/>
    <w:unhideWhenUsed/>
    <w:rsid w:val="00055EF1"/>
    <w:rPr>
      <w:color w:val="0000FF" w:themeColor="hyperlink"/>
      <w:u w:val="single"/>
    </w:rPr>
  </w:style>
  <w:style w:type="character" w:styleId="FollowedHyperlink">
    <w:name w:val="FollowedHyperlink"/>
    <w:basedOn w:val="DefaultParagraphFont"/>
    <w:uiPriority w:val="99"/>
    <w:semiHidden/>
    <w:unhideWhenUsed/>
    <w:rsid w:val="00154EE6"/>
    <w:rPr>
      <w:color w:val="800080" w:themeColor="followedHyperlink"/>
      <w:u w:val="single"/>
    </w:rPr>
  </w:style>
  <w:style w:type="character" w:styleId="UnresolvedMention">
    <w:name w:val="Unresolved Mention"/>
    <w:basedOn w:val="DefaultParagraphFont"/>
    <w:uiPriority w:val="99"/>
    <w:semiHidden/>
    <w:unhideWhenUsed/>
    <w:rsid w:val="00565E09"/>
    <w:rPr>
      <w:color w:val="605E5C"/>
      <w:shd w:val="clear" w:color="auto" w:fill="E1DFDD"/>
    </w:rPr>
  </w:style>
  <w:style w:type="character" w:customStyle="1" w:styleId="fontsizemediumplus">
    <w:name w:val="fontsizemediumplus"/>
    <w:basedOn w:val="DefaultParagraphFont"/>
    <w:rsid w:val="00352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6312">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907887455">
      <w:bodyDiv w:val="1"/>
      <w:marLeft w:val="0"/>
      <w:marRight w:val="0"/>
      <w:marTop w:val="0"/>
      <w:marBottom w:val="0"/>
      <w:divBdr>
        <w:top w:val="none" w:sz="0" w:space="0" w:color="auto"/>
        <w:left w:val="none" w:sz="0" w:space="0" w:color="auto"/>
        <w:bottom w:val="none" w:sz="0" w:space="0" w:color="auto"/>
        <w:right w:val="none" w:sz="0" w:space="0" w:color="auto"/>
      </w:divBdr>
    </w:div>
    <w:div w:id="1238512165">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7073365">
      <w:bodyDiv w:val="1"/>
      <w:marLeft w:val="0"/>
      <w:marRight w:val="0"/>
      <w:marTop w:val="0"/>
      <w:marBottom w:val="0"/>
      <w:divBdr>
        <w:top w:val="none" w:sz="0" w:space="0" w:color="auto"/>
        <w:left w:val="none" w:sz="0" w:space="0" w:color="auto"/>
        <w:bottom w:val="none" w:sz="0" w:space="0" w:color="auto"/>
        <w:right w:val="none" w:sz="0" w:space="0" w:color="auto"/>
      </w:divBdr>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1.xml"/><Relationship Id="rId21" Type="http://schemas.openxmlformats.org/officeDocument/2006/relationships/customXml" Target="../customXml/item4.xml"/><Relationship Id="rId12" Type="http://schemas.openxmlformats.org/officeDocument/2006/relationships/footnotes" Target="footnotes.xm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11"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settings" Target="settings.xml"/><Relationship Id="rId19" Type="http://schemas.openxmlformats.org/officeDocument/2006/relationships/customXml" Target="../customXml/item2.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s://publications.iadb.org/publications/spanish/document/Educar-en-pandemia-Entre-el-aislamiento-y-la-distancia-soci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6700AD1379AD4AA2636E7BBB62DE75" ma:contentTypeVersion="0" ma:contentTypeDescription="A content type to manage public (operations) IDB documents" ma:contentTypeScope="" ma:versionID="58319122057bb4e9ef9b5c8033813a4d">
  <xsd:schema xmlns:xsd="http://www.w3.org/2001/XMLSchema" xmlns:xs="http://www.w3.org/2001/XMLSchema" xmlns:p="http://schemas.microsoft.com/office/2006/metadata/properties" xmlns:ns2="cdc7663a-08f0-4737-9e8c-148ce897a09c" targetNamespace="http://schemas.microsoft.com/office/2006/metadata/properties" ma:root="true" ma:fieldsID="6e9c99d6efd84ae3a59f0c62c01494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LastSyncTimeStamp="2021-01-22T21:42:09.51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Finance</TermName>
          <TermId xmlns="http://schemas.microsoft.com/office/infopath/2007/PartnerControls">ad60be76-1fa3-48ed-89c2-1f5d20c54926</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EDUCATIONAL ASSESSMENT</TermName>
          <TermId xmlns="http://schemas.microsoft.com/office/infopath/2007/PartnerControls">71415d76-a639-4018-b04f-4bfaf5357f91</TermId>
        </TermInfo>
      </Terms>
    </b2ec7cfb18674cb8803df6b262e8b107>
    <Business_x0020_Area xmlns="cdc7663a-08f0-4737-9e8c-148ce897a09c">Funding Process (Mile-stones IFP,ABS,FAS)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69</Value>
      <Value>49</Value>
      <Value>354</Value>
      <Value>28</Value>
      <Value>7</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AR-T1251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Extracted_x0020_Keywords xmlns="cdc7663a-08f0-4737-9e8c-148ce897a09c" xsi:nil="true"/>
    <_dlc_DocId xmlns="cdc7663a-08f0-4737-9e8c-148ce897a09c">EZSHARE-1767990129-1</_dlc_DocId>
    <_dlc_DocIdUrl xmlns="cdc7663a-08f0-4737-9e8c-148ce897a09c">
      <Url>https://idbg.sharepoint.com/teams/EZ-AR-TCP/AR-T1251/_layouts/15/DocIdRedir.aspx?ID=EZSHARE-1767990129-1</Url>
      <Description>EZSHARE-1767990129-1</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3CC6B8B-B3BD-44DF-9B7C-E9EA6363D6E9}"/>
</file>

<file path=customXml/itemProps2.xml><?xml version="1.0" encoding="utf-8"?>
<ds:datastoreItem xmlns:ds="http://schemas.openxmlformats.org/officeDocument/2006/customXml" ds:itemID="{5BFDD109-CE0E-4DC8-BB84-9BB2A7B5D807}"/>
</file>

<file path=customXml/itemProps3.xml><?xml version="1.0" encoding="utf-8"?>
<ds:datastoreItem xmlns:ds="http://schemas.openxmlformats.org/officeDocument/2006/customXml" ds:itemID="{2DF886ED-D275-4E1F-BE85-1E8E97999765}"/>
</file>

<file path=customXml/itemProps4.xml><?xml version="1.0" encoding="utf-8"?>
<ds:datastoreItem xmlns:ds="http://schemas.openxmlformats.org/officeDocument/2006/customXml" ds:itemID="{35D667CC-8ECB-41B8-8ABB-85C721ED6D36}"/>
</file>

<file path=customXml/itemProps5.xml><?xml version="1.0" encoding="utf-8"?>
<ds:datastoreItem xmlns:ds="http://schemas.openxmlformats.org/officeDocument/2006/customXml" ds:itemID="{C42AFC72-7AD4-4528-97D0-6BB659D72F0A}"/>
</file>

<file path=customXml/itemProps6.xml><?xml version="1.0" encoding="utf-8"?>
<ds:datastoreItem xmlns:ds="http://schemas.openxmlformats.org/officeDocument/2006/customXml" ds:itemID="{57AED42D-1117-4E44-A938-6E3CF33BC6FD}"/>
</file>

<file path=docProps/app.xml><?xml version="1.0" encoding="utf-8"?>
<Properties xmlns="http://schemas.openxmlformats.org/officeDocument/2006/extended-properties" xmlns:vt="http://schemas.openxmlformats.org/officeDocument/2006/docPropsVTypes">
  <Template>Normal.dotm</Template>
  <TotalTime>115</TotalTime>
  <Pages>4</Pages>
  <Words>1530</Words>
  <Characters>8726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TC Abstract template (Spanish) UPDATED strategic alignment</vt:lpstr>
    </vt:vector>
  </TitlesOfParts>
  <Company>Inter-American Development Bank</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dc:creator>
  <cp:keywords/>
  <cp:lastModifiedBy>Bergamaschi, Andrea</cp:lastModifiedBy>
  <cp:revision>16</cp:revision>
  <cp:lastPrinted>2012-08-24T17:26:00Z</cp:lastPrinted>
  <dcterms:created xsi:type="dcterms:W3CDTF">2021-09-22T22:57:00Z</dcterms:created>
  <dcterms:modified xsi:type="dcterms:W3CDTF">2021-09-28T20:58:00Z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28;#Argentina|eb1b705c-195f-4c3b-9661-b201f2fee3c5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7;#Finance|ad60be76-1fa3-48ed-89c2-1f5d20c54926</vt:lpwstr>
  </property>
  <property fmtid="{D5CDD505-2E9C-101B-9397-08002B2CF9AE}" pid="10" name="Sector_x0020_IDB">
    <vt:lpwstr/>
  </property>
  <property fmtid="{D5CDD505-2E9C-101B-9397-08002B2CF9AE}" pid="11" name="Sub-Sector">
    <vt:lpwstr>354;#EDUCATIONAL ASSESSMENT|71415d76-a639-4018-b04f-4bfaf5357f91</vt:lpwstr>
  </property>
  <property fmtid="{D5CDD505-2E9C-101B-9397-08002B2CF9AE}" pid="13" name="Fund IDB">
    <vt:lpwstr>69;#TBD|d62f6e05-3e80-4abd-9bb4-5f10b4906ff6</vt:lpwstr>
  </property>
  <property fmtid="{D5CDD505-2E9C-101B-9397-08002B2CF9AE}" pid="14" name="Sector IDB">
    <vt:lpwstr>49;#EDUCATION|e61db9d8-dcb9-423f-a737-53d6e603e7c4</vt:lpwstr>
  </property>
  <property fmtid="{D5CDD505-2E9C-101B-9397-08002B2CF9AE}" pid="15" name="_dlc_DocIdItemGuid">
    <vt:lpwstr>0c123b4e-666d-4a38-a273-3162f719652a</vt:lpwstr>
  </property>
  <property fmtid="{D5CDD505-2E9C-101B-9397-08002B2CF9AE}" pid="16" name="Disclosure Activity">
    <vt:lpwstr>TC Abstract</vt:lpwstr>
  </property>
  <property fmtid="{D5CDD505-2E9C-101B-9397-08002B2CF9AE}" pid="18" name="ContentTypeId">
    <vt:lpwstr>0x0101001A458A224826124E8B45B1D613300CFC007A6700AD1379AD4AA2636E7BBB62DE75</vt:lpwstr>
  </property>
  <property fmtid="{D5CDD505-2E9C-101B-9397-08002B2CF9AE}" pid="21" name="ATI Disclose Document Workflow v6">
    <vt:lpwstr>, </vt:lpwstr>
  </property>
  <property fmtid="{D5CDD505-2E9C-101B-9397-08002B2CF9AE}" pid="24" name="ATI Undisclose Document Workflow">
    <vt:lpwstr>, </vt:lpwstr>
  </property>
  <property fmtid="{D5CDD505-2E9C-101B-9397-08002B2CF9AE}" pid="25" name="Series Operations IDB">
    <vt:lpwstr/>
  </property>
</Properties>
</file>