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F87" w:rsidRPr="00985C70" w:rsidRDefault="00807F87" w:rsidP="00807F87">
      <w:pPr>
        <w:pStyle w:val="Default"/>
        <w:spacing w:line="276" w:lineRule="auto"/>
        <w:jc w:val="center"/>
        <w:rPr>
          <w:b/>
          <w:bCs/>
          <w:sz w:val="22"/>
          <w:szCs w:val="22"/>
          <w:lang w:val="es-ES"/>
        </w:rPr>
      </w:pPr>
      <w:bookmarkStart w:id="0" w:name="_GoBack"/>
      <w:bookmarkEnd w:id="0"/>
      <w:r w:rsidRPr="00985C70">
        <w:rPr>
          <w:b/>
          <w:bCs/>
          <w:sz w:val="22"/>
          <w:szCs w:val="22"/>
          <w:lang w:val="es-ES"/>
        </w:rPr>
        <w:t>Resumen de los Términos de Referencia</w:t>
      </w:r>
      <w:r w:rsidR="00CB5ED1">
        <w:rPr>
          <w:b/>
          <w:bCs/>
          <w:sz w:val="22"/>
          <w:szCs w:val="22"/>
          <w:lang w:val="es-ES"/>
        </w:rPr>
        <w:t xml:space="preserve"> </w:t>
      </w:r>
    </w:p>
    <w:p w:rsidR="00807F87" w:rsidRPr="00985C70" w:rsidRDefault="00807F87" w:rsidP="00807F87">
      <w:pPr>
        <w:pStyle w:val="Default"/>
        <w:spacing w:line="276" w:lineRule="auto"/>
        <w:rPr>
          <w:b/>
          <w:bCs/>
          <w:sz w:val="22"/>
          <w:szCs w:val="22"/>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9"/>
        <w:gridCol w:w="5137"/>
      </w:tblGrid>
      <w:tr w:rsidR="00857FC6" w:rsidRPr="00AC4E6E" w:rsidTr="00AC4E6E">
        <w:trPr>
          <w:trHeight w:val="539"/>
          <w:tblHeader/>
          <w:jc w:val="center"/>
        </w:trPr>
        <w:tc>
          <w:tcPr>
            <w:tcW w:w="5000" w:type="pct"/>
            <w:gridSpan w:val="2"/>
            <w:shd w:val="clear" w:color="auto" w:fill="D9D9D9" w:themeFill="background1" w:themeFillShade="D9"/>
          </w:tcPr>
          <w:p w:rsidR="00857FC6" w:rsidRPr="00AC4E6E" w:rsidRDefault="00857FC6" w:rsidP="00C43E83">
            <w:pPr>
              <w:spacing w:after="0" w:line="240" w:lineRule="auto"/>
              <w:rPr>
                <w:rFonts w:ascii="Times New Roman" w:hAnsi="Times New Roman" w:cs="Times New Roman"/>
                <w:b/>
                <w:color w:val="000000" w:themeColor="text1"/>
                <w:sz w:val="24"/>
                <w:szCs w:val="24"/>
                <w:lang w:val="es-ES"/>
              </w:rPr>
            </w:pPr>
            <w:r w:rsidRPr="00AC4E6E">
              <w:rPr>
                <w:rFonts w:ascii="Times New Roman" w:hAnsi="Times New Roman" w:cs="Times New Roman"/>
                <w:b/>
                <w:color w:val="000000" w:themeColor="text1"/>
                <w:sz w:val="24"/>
                <w:szCs w:val="24"/>
                <w:lang w:val="es-ES"/>
              </w:rPr>
              <w:t>Componente 1- Prevención de la violencia juvenil y resolución pacífica de conflictos en CP y CPRS seleccionados</w:t>
            </w:r>
          </w:p>
        </w:tc>
      </w:tr>
      <w:tr w:rsidR="00857FC6" w:rsidRPr="00AC4E6E" w:rsidTr="00857FC6">
        <w:trPr>
          <w:trHeight w:val="242"/>
          <w:tblHeader/>
          <w:jc w:val="center"/>
        </w:trPr>
        <w:tc>
          <w:tcPr>
            <w:tcW w:w="2318" w:type="pct"/>
            <w:shd w:val="clear" w:color="auto" w:fill="DBE5F1" w:themeFill="accent1" w:themeFillTint="33"/>
          </w:tcPr>
          <w:p w:rsidR="00857FC6" w:rsidRPr="00AC4E6E" w:rsidRDefault="00857FC6" w:rsidP="00857FC6">
            <w:pPr>
              <w:spacing w:after="0" w:line="240" w:lineRule="auto"/>
              <w:jc w:val="center"/>
              <w:rPr>
                <w:rFonts w:ascii="Times New Roman" w:hAnsi="Times New Roman" w:cs="Times New Roman"/>
                <w:b/>
                <w:color w:val="000000" w:themeColor="text1"/>
                <w:sz w:val="24"/>
                <w:szCs w:val="24"/>
                <w:lang w:val="es-ES"/>
              </w:rPr>
            </w:pPr>
            <w:r w:rsidRPr="00AC4E6E">
              <w:rPr>
                <w:rFonts w:ascii="Times New Roman" w:hAnsi="Times New Roman" w:cs="Times New Roman"/>
                <w:b/>
                <w:color w:val="000000" w:themeColor="text1"/>
                <w:sz w:val="24"/>
                <w:szCs w:val="24"/>
                <w:lang w:val="es-ES"/>
              </w:rPr>
              <w:t>Subcomponente / Actividad</w:t>
            </w:r>
          </w:p>
        </w:tc>
        <w:tc>
          <w:tcPr>
            <w:tcW w:w="2682" w:type="pct"/>
            <w:shd w:val="clear" w:color="auto" w:fill="DBE5F1" w:themeFill="accent1" w:themeFillTint="33"/>
          </w:tcPr>
          <w:p w:rsidR="00857FC6" w:rsidRPr="00AC4E6E" w:rsidRDefault="00857FC6" w:rsidP="00857FC6">
            <w:pPr>
              <w:spacing w:after="0" w:line="240" w:lineRule="auto"/>
              <w:jc w:val="center"/>
              <w:rPr>
                <w:rFonts w:ascii="Times New Roman" w:hAnsi="Times New Roman" w:cs="Times New Roman"/>
                <w:b/>
                <w:color w:val="000000" w:themeColor="text1"/>
                <w:sz w:val="24"/>
                <w:szCs w:val="24"/>
                <w:lang w:val="es-ES"/>
              </w:rPr>
            </w:pPr>
            <w:r w:rsidRPr="00AC4E6E">
              <w:rPr>
                <w:rFonts w:ascii="Times New Roman" w:hAnsi="Times New Roman" w:cs="Times New Roman"/>
                <w:b/>
                <w:color w:val="000000" w:themeColor="text1"/>
                <w:sz w:val="24"/>
                <w:szCs w:val="24"/>
                <w:lang w:val="es-ES"/>
              </w:rPr>
              <w:t>Actividades</w:t>
            </w:r>
          </w:p>
        </w:tc>
      </w:tr>
      <w:tr w:rsidR="00AC4E6E" w:rsidRPr="00AC4E6E" w:rsidTr="00857FC6">
        <w:trPr>
          <w:trHeight w:val="539"/>
          <w:tblHeader/>
          <w:jc w:val="center"/>
        </w:trPr>
        <w:tc>
          <w:tcPr>
            <w:tcW w:w="2318" w:type="pct"/>
            <w:vMerge w:val="restart"/>
            <w:shd w:val="clear" w:color="auto" w:fill="auto"/>
          </w:tcPr>
          <w:p w:rsidR="00AC4E6E" w:rsidRPr="00AC4E6E" w:rsidRDefault="00AC4E6E" w:rsidP="000C22C7">
            <w:pPr>
              <w:spacing w:after="0" w:line="240" w:lineRule="auto"/>
              <w:rPr>
                <w:rFonts w:ascii="Times New Roman" w:hAnsi="Times New Roman" w:cs="Times New Roman"/>
                <w:color w:val="000000" w:themeColor="text1"/>
                <w:sz w:val="24"/>
                <w:szCs w:val="24"/>
                <w:lang w:val="es-ES"/>
              </w:rPr>
            </w:pPr>
            <w:r w:rsidRPr="00AC4E6E">
              <w:rPr>
                <w:rFonts w:ascii="Times New Roman" w:hAnsi="Times New Roman" w:cs="Times New Roman"/>
                <w:color w:val="000000" w:themeColor="text1"/>
                <w:sz w:val="24"/>
                <w:szCs w:val="24"/>
                <w:lang w:val="es-ES"/>
              </w:rPr>
              <w:t>Contratación de la ONG Cure Violence</w:t>
            </w:r>
          </w:p>
          <w:p w:rsidR="00AC4E6E" w:rsidRPr="00AC4E6E" w:rsidRDefault="00AC4E6E" w:rsidP="00C43E83">
            <w:pPr>
              <w:spacing w:after="0" w:line="240" w:lineRule="auto"/>
              <w:rPr>
                <w:rFonts w:ascii="Times New Roman" w:hAnsi="Times New Roman" w:cs="Times New Roman"/>
                <w:b/>
                <w:color w:val="000000" w:themeColor="text1"/>
                <w:sz w:val="24"/>
                <w:szCs w:val="24"/>
                <w:lang w:val="es-ES"/>
              </w:rPr>
            </w:pPr>
          </w:p>
        </w:tc>
        <w:tc>
          <w:tcPr>
            <w:tcW w:w="2682" w:type="pct"/>
            <w:shd w:val="clear" w:color="auto" w:fill="auto"/>
          </w:tcPr>
          <w:p w:rsidR="00AC4E6E" w:rsidRPr="00AC4E6E" w:rsidRDefault="00AC4E6E" w:rsidP="000C22C7">
            <w:pPr>
              <w:spacing w:after="0" w:line="240" w:lineRule="auto"/>
              <w:rPr>
                <w:rFonts w:ascii="Times New Roman" w:hAnsi="Times New Roman" w:cs="Times New Roman"/>
                <w:color w:val="000000" w:themeColor="text1"/>
                <w:sz w:val="24"/>
                <w:szCs w:val="24"/>
                <w:lang w:val="es-ES"/>
              </w:rPr>
            </w:pPr>
            <w:r w:rsidRPr="00AC4E6E">
              <w:rPr>
                <w:rFonts w:ascii="Times New Roman" w:hAnsi="Times New Roman" w:cs="Times New Roman"/>
                <w:color w:val="000000" w:themeColor="text1"/>
                <w:sz w:val="24"/>
                <w:szCs w:val="24"/>
                <w:lang w:val="es-ES"/>
              </w:rPr>
              <w:t>Realizar un estudio de factibilidad, incluyendo un diagnostico participativo para la implementación de la intervención</w:t>
            </w:r>
          </w:p>
        </w:tc>
      </w:tr>
      <w:tr w:rsidR="00AC4E6E" w:rsidRPr="00AC4E6E" w:rsidTr="00857FC6">
        <w:trPr>
          <w:trHeight w:val="539"/>
          <w:tblHeader/>
          <w:jc w:val="center"/>
        </w:trPr>
        <w:tc>
          <w:tcPr>
            <w:tcW w:w="2318" w:type="pct"/>
            <w:vMerge/>
            <w:shd w:val="clear" w:color="auto" w:fill="auto"/>
          </w:tcPr>
          <w:p w:rsidR="00AC4E6E" w:rsidRPr="00AC4E6E" w:rsidRDefault="00AC4E6E" w:rsidP="00C43E83">
            <w:pPr>
              <w:spacing w:after="0" w:line="240" w:lineRule="auto"/>
              <w:rPr>
                <w:rFonts w:ascii="Times New Roman" w:hAnsi="Times New Roman" w:cs="Times New Roman"/>
                <w:b/>
                <w:color w:val="000000" w:themeColor="text1"/>
                <w:sz w:val="24"/>
                <w:szCs w:val="24"/>
                <w:lang w:val="es-ES"/>
              </w:rPr>
            </w:pPr>
          </w:p>
        </w:tc>
        <w:tc>
          <w:tcPr>
            <w:tcW w:w="2682" w:type="pct"/>
            <w:shd w:val="clear" w:color="auto" w:fill="auto"/>
          </w:tcPr>
          <w:p w:rsidR="00AC4E6E" w:rsidRPr="00AC4E6E" w:rsidRDefault="00AC4E6E" w:rsidP="00857FC6">
            <w:pPr>
              <w:spacing w:after="0" w:line="240" w:lineRule="auto"/>
              <w:rPr>
                <w:rFonts w:ascii="Times New Roman" w:hAnsi="Times New Roman" w:cs="Times New Roman"/>
                <w:color w:val="000000" w:themeColor="text1"/>
                <w:sz w:val="24"/>
                <w:szCs w:val="24"/>
                <w:lang w:val="es-ES"/>
              </w:rPr>
            </w:pPr>
            <w:r w:rsidRPr="00AC4E6E">
              <w:rPr>
                <w:rFonts w:ascii="Times New Roman" w:hAnsi="Times New Roman" w:cs="Times New Roman"/>
                <w:color w:val="000000" w:themeColor="text1"/>
                <w:sz w:val="24"/>
                <w:szCs w:val="24"/>
                <w:lang w:val="es-ES"/>
              </w:rPr>
              <w:t>Desarrollar la  metodología de intervención Cure Violence-Cauce Ciudadano</w:t>
            </w:r>
          </w:p>
        </w:tc>
      </w:tr>
      <w:tr w:rsidR="00AC4E6E" w:rsidRPr="00AC4E6E" w:rsidTr="00857FC6">
        <w:trPr>
          <w:trHeight w:val="539"/>
          <w:tblHeader/>
          <w:jc w:val="center"/>
        </w:trPr>
        <w:tc>
          <w:tcPr>
            <w:tcW w:w="2318" w:type="pct"/>
            <w:vMerge/>
            <w:shd w:val="clear" w:color="auto" w:fill="auto"/>
          </w:tcPr>
          <w:p w:rsidR="00AC4E6E" w:rsidRPr="00AC4E6E" w:rsidRDefault="00AC4E6E" w:rsidP="00C43E83">
            <w:pPr>
              <w:spacing w:after="0" w:line="240" w:lineRule="auto"/>
              <w:rPr>
                <w:rFonts w:ascii="Times New Roman" w:hAnsi="Times New Roman" w:cs="Times New Roman"/>
                <w:color w:val="000000" w:themeColor="text1"/>
                <w:sz w:val="24"/>
                <w:szCs w:val="24"/>
                <w:lang w:val="es-ES"/>
              </w:rPr>
            </w:pPr>
          </w:p>
        </w:tc>
        <w:tc>
          <w:tcPr>
            <w:tcW w:w="2682" w:type="pct"/>
            <w:shd w:val="clear" w:color="auto" w:fill="auto"/>
          </w:tcPr>
          <w:p w:rsidR="00AC4E6E" w:rsidRPr="00AC4E6E" w:rsidRDefault="00AC4E6E" w:rsidP="00AC4E6E">
            <w:pPr>
              <w:spacing w:after="0" w:line="240" w:lineRule="auto"/>
              <w:rPr>
                <w:rFonts w:ascii="Times New Roman" w:hAnsi="Times New Roman" w:cs="Times New Roman"/>
                <w:color w:val="000000" w:themeColor="text1"/>
                <w:sz w:val="24"/>
                <w:szCs w:val="24"/>
                <w:lang w:val="es-ES"/>
              </w:rPr>
            </w:pPr>
            <w:r w:rsidRPr="00AC4E6E">
              <w:rPr>
                <w:rFonts w:ascii="Times New Roman" w:hAnsi="Times New Roman" w:cs="Times New Roman"/>
                <w:color w:val="000000" w:themeColor="text1"/>
                <w:sz w:val="24"/>
                <w:szCs w:val="24"/>
                <w:lang w:val="es-ES"/>
              </w:rPr>
              <w:t>Brindar asistencia técnica para la implementación de la intervención en los CP y CPRS.</w:t>
            </w:r>
          </w:p>
        </w:tc>
      </w:tr>
      <w:tr w:rsidR="00AC4E6E" w:rsidRPr="00AC4E6E" w:rsidTr="00857FC6">
        <w:trPr>
          <w:trHeight w:val="539"/>
          <w:tblHeader/>
          <w:jc w:val="center"/>
        </w:trPr>
        <w:tc>
          <w:tcPr>
            <w:tcW w:w="2318" w:type="pct"/>
            <w:vMerge/>
            <w:shd w:val="clear" w:color="auto" w:fill="auto"/>
          </w:tcPr>
          <w:p w:rsidR="00AC4E6E" w:rsidRPr="00AC4E6E" w:rsidRDefault="00AC4E6E" w:rsidP="00C43E83">
            <w:pPr>
              <w:spacing w:after="0" w:line="240" w:lineRule="auto"/>
              <w:rPr>
                <w:rFonts w:ascii="Times New Roman" w:hAnsi="Times New Roman" w:cs="Times New Roman"/>
                <w:color w:val="000000" w:themeColor="text1"/>
                <w:sz w:val="24"/>
                <w:szCs w:val="24"/>
                <w:lang w:val="es-ES"/>
              </w:rPr>
            </w:pPr>
          </w:p>
        </w:tc>
        <w:tc>
          <w:tcPr>
            <w:tcW w:w="2682" w:type="pct"/>
            <w:shd w:val="clear" w:color="auto" w:fill="auto"/>
          </w:tcPr>
          <w:p w:rsidR="00AC4E6E" w:rsidRPr="00AC4E6E" w:rsidRDefault="00AC4E6E" w:rsidP="00AC4E6E">
            <w:pPr>
              <w:spacing w:after="0" w:line="240" w:lineRule="auto"/>
              <w:rPr>
                <w:rFonts w:ascii="Times New Roman" w:hAnsi="Times New Roman" w:cs="Times New Roman"/>
                <w:color w:val="000000" w:themeColor="text1"/>
                <w:sz w:val="24"/>
                <w:szCs w:val="24"/>
                <w:lang w:val="es-ES"/>
              </w:rPr>
            </w:pPr>
            <w:r w:rsidRPr="00AC4E6E">
              <w:rPr>
                <w:rFonts w:ascii="Times New Roman" w:hAnsi="Times New Roman" w:cs="Times New Roman"/>
                <w:color w:val="000000" w:themeColor="text1"/>
                <w:sz w:val="24"/>
                <w:szCs w:val="24"/>
                <w:lang w:val="es-ES"/>
              </w:rPr>
              <w:t>Realizar la capacitación de los interruptores y de los jóvenes a partir de la metodología diseñada</w:t>
            </w:r>
          </w:p>
        </w:tc>
      </w:tr>
      <w:tr w:rsidR="00AC4E6E" w:rsidRPr="00AC4E6E" w:rsidTr="00857FC6">
        <w:trPr>
          <w:trHeight w:val="539"/>
          <w:tblHeader/>
          <w:jc w:val="center"/>
        </w:trPr>
        <w:tc>
          <w:tcPr>
            <w:tcW w:w="2318" w:type="pct"/>
            <w:vMerge w:val="restart"/>
            <w:shd w:val="clear" w:color="auto" w:fill="auto"/>
          </w:tcPr>
          <w:p w:rsidR="00AC4E6E" w:rsidRPr="00AC4E6E" w:rsidRDefault="00AC4E6E" w:rsidP="0076054C">
            <w:pPr>
              <w:spacing w:after="0" w:line="240" w:lineRule="auto"/>
              <w:rPr>
                <w:rFonts w:ascii="Times New Roman" w:hAnsi="Times New Roman" w:cs="Times New Roman"/>
                <w:color w:val="000000" w:themeColor="text1"/>
                <w:sz w:val="24"/>
                <w:szCs w:val="24"/>
                <w:lang w:val="es-ES"/>
              </w:rPr>
            </w:pPr>
            <w:r w:rsidRPr="00AC4E6E">
              <w:rPr>
                <w:rFonts w:ascii="Times New Roman" w:hAnsi="Times New Roman" w:cs="Times New Roman"/>
                <w:color w:val="000000" w:themeColor="text1"/>
                <w:sz w:val="24"/>
                <w:szCs w:val="24"/>
                <w:lang w:val="es-ES"/>
              </w:rPr>
              <w:t>Contratación de la ONG Cauce Ciudadano</w:t>
            </w:r>
          </w:p>
        </w:tc>
        <w:tc>
          <w:tcPr>
            <w:tcW w:w="2682" w:type="pct"/>
            <w:shd w:val="clear" w:color="auto" w:fill="auto"/>
          </w:tcPr>
          <w:p w:rsidR="00AC4E6E" w:rsidRPr="00AC4E6E" w:rsidRDefault="00AC4E6E" w:rsidP="00AC4E6E">
            <w:pPr>
              <w:spacing w:after="0" w:line="240" w:lineRule="auto"/>
              <w:rPr>
                <w:rFonts w:ascii="Times New Roman" w:hAnsi="Times New Roman" w:cs="Times New Roman"/>
                <w:color w:val="000000" w:themeColor="text1"/>
                <w:sz w:val="24"/>
                <w:szCs w:val="24"/>
                <w:lang w:val="es-ES"/>
              </w:rPr>
            </w:pPr>
            <w:r w:rsidRPr="00AC4E6E">
              <w:rPr>
                <w:rFonts w:ascii="Times New Roman" w:hAnsi="Times New Roman" w:cs="Times New Roman"/>
                <w:color w:val="000000" w:themeColor="text1"/>
                <w:sz w:val="24"/>
                <w:szCs w:val="24"/>
                <w:lang w:val="es-ES"/>
              </w:rPr>
              <w:t>Implementación de los talleres de formación de la metodología</w:t>
            </w:r>
          </w:p>
        </w:tc>
      </w:tr>
      <w:tr w:rsidR="00AC4E6E" w:rsidRPr="00AC4E6E" w:rsidTr="00857FC6">
        <w:trPr>
          <w:trHeight w:val="539"/>
          <w:tblHeader/>
          <w:jc w:val="center"/>
        </w:trPr>
        <w:tc>
          <w:tcPr>
            <w:tcW w:w="2318" w:type="pct"/>
            <w:vMerge/>
            <w:shd w:val="clear" w:color="auto" w:fill="auto"/>
          </w:tcPr>
          <w:p w:rsidR="00AC4E6E" w:rsidRPr="00AC4E6E" w:rsidRDefault="00AC4E6E" w:rsidP="0076054C">
            <w:pPr>
              <w:spacing w:after="0" w:line="240" w:lineRule="auto"/>
              <w:rPr>
                <w:rFonts w:ascii="Times New Roman" w:hAnsi="Times New Roman" w:cs="Times New Roman"/>
                <w:color w:val="000000" w:themeColor="text1"/>
                <w:sz w:val="24"/>
                <w:szCs w:val="24"/>
                <w:lang w:val="es-ES"/>
              </w:rPr>
            </w:pPr>
          </w:p>
        </w:tc>
        <w:tc>
          <w:tcPr>
            <w:tcW w:w="2682" w:type="pct"/>
            <w:shd w:val="clear" w:color="auto" w:fill="auto"/>
          </w:tcPr>
          <w:p w:rsidR="00AC4E6E" w:rsidRPr="00AC4E6E" w:rsidRDefault="00AC4E6E" w:rsidP="000820E4">
            <w:pPr>
              <w:spacing w:after="0" w:line="240" w:lineRule="auto"/>
              <w:rPr>
                <w:rFonts w:ascii="Times New Roman" w:hAnsi="Times New Roman" w:cs="Times New Roman"/>
                <w:color w:val="000000" w:themeColor="text1"/>
                <w:sz w:val="24"/>
                <w:szCs w:val="24"/>
                <w:lang w:val="es-ES"/>
              </w:rPr>
            </w:pPr>
            <w:r w:rsidRPr="00AC4E6E">
              <w:rPr>
                <w:rFonts w:ascii="Times New Roman" w:hAnsi="Times New Roman" w:cs="Times New Roman"/>
                <w:color w:val="000000" w:themeColor="text1"/>
                <w:sz w:val="24"/>
                <w:szCs w:val="24"/>
                <w:lang w:val="es-ES"/>
              </w:rPr>
              <w:t>Coordinación de la implementación de la intervención en los CP y CPRS.</w:t>
            </w:r>
          </w:p>
        </w:tc>
      </w:tr>
      <w:tr w:rsidR="00AC4E6E" w:rsidRPr="00AC4E6E" w:rsidTr="00AC4E6E">
        <w:trPr>
          <w:trHeight w:val="323"/>
          <w:tblHeader/>
          <w:jc w:val="center"/>
        </w:trPr>
        <w:tc>
          <w:tcPr>
            <w:tcW w:w="5000" w:type="pct"/>
            <w:gridSpan w:val="2"/>
            <w:shd w:val="clear" w:color="auto" w:fill="D9D9D9" w:themeFill="background1" w:themeFillShade="D9"/>
          </w:tcPr>
          <w:p w:rsidR="00AC4E6E" w:rsidRPr="00AC4E6E" w:rsidRDefault="00AC4E6E" w:rsidP="000820E4">
            <w:pPr>
              <w:spacing w:after="0" w:line="240" w:lineRule="auto"/>
              <w:rPr>
                <w:rFonts w:ascii="Times New Roman" w:hAnsi="Times New Roman" w:cs="Times New Roman"/>
                <w:color w:val="000000" w:themeColor="text1"/>
                <w:sz w:val="24"/>
                <w:szCs w:val="24"/>
                <w:lang w:val="es-ES"/>
              </w:rPr>
            </w:pPr>
            <w:r w:rsidRPr="00AC4E6E">
              <w:rPr>
                <w:rFonts w:ascii="Times New Roman" w:hAnsi="Times New Roman" w:cs="Times New Roman"/>
                <w:b/>
                <w:color w:val="000000" w:themeColor="text1"/>
                <w:sz w:val="24"/>
                <w:szCs w:val="24"/>
                <w:lang w:val="es-ES"/>
              </w:rPr>
              <w:t>Componente 2- Generación de evidencia de efectividad de la intervención Cure Violence-Cauce Ciudadano.</w:t>
            </w:r>
          </w:p>
        </w:tc>
      </w:tr>
      <w:tr w:rsidR="00AC4E6E" w:rsidRPr="00AC4E6E" w:rsidTr="00AC4E6E">
        <w:trPr>
          <w:trHeight w:val="359"/>
          <w:tblHeader/>
          <w:jc w:val="center"/>
        </w:trPr>
        <w:tc>
          <w:tcPr>
            <w:tcW w:w="2318" w:type="pct"/>
            <w:vMerge w:val="restart"/>
            <w:shd w:val="clear" w:color="auto" w:fill="auto"/>
          </w:tcPr>
          <w:p w:rsidR="00AC4E6E" w:rsidRPr="00AC4E6E" w:rsidRDefault="00AC4E6E" w:rsidP="0076054C">
            <w:pPr>
              <w:spacing w:after="0" w:line="240" w:lineRule="auto"/>
              <w:rPr>
                <w:rFonts w:ascii="Times New Roman" w:hAnsi="Times New Roman" w:cs="Times New Roman"/>
                <w:color w:val="000000" w:themeColor="text1"/>
                <w:sz w:val="24"/>
                <w:szCs w:val="24"/>
                <w:lang w:val="es-ES"/>
              </w:rPr>
            </w:pPr>
            <w:r w:rsidRPr="00AC4E6E">
              <w:rPr>
                <w:rFonts w:ascii="Times New Roman" w:hAnsi="Times New Roman" w:cs="Times New Roman"/>
                <w:color w:val="000000" w:themeColor="text1"/>
                <w:sz w:val="24"/>
                <w:szCs w:val="24"/>
                <w:lang w:val="es-ES"/>
              </w:rPr>
              <w:t>Contratación de un consultor individual por concurso</w:t>
            </w:r>
          </w:p>
          <w:p w:rsidR="00AC4E6E" w:rsidRPr="00AC4E6E" w:rsidRDefault="00AC4E6E" w:rsidP="00560D37">
            <w:pPr>
              <w:spacing w:after="0" w:line="240" w:lineRule="auto"/>
              <w:rPr>
                <w:rFonts w:ascii="Times New Roman" w:hAnsi="Times New Roman" w:cs="Times New Roman"/>
                <w:color w:val="000000" w:themeColor="text1"/>
                <w:sz w:val="24"/>
                <w:szCs w:val="24"/>
                <w:lang w:val="es-ES"/>
              </w:rPr>
            </w:pPr>
            <w:r w:rsidRPr="00AC4E6E">
              <w:rPr>
                <w:rFonts w:ascii="Times New Roman" w:hAnsi="Times New Roman" w:cs="Times New Roman"/>
                <w:color w:val="000000" w:themeColor="text1"/>
                <w:sz w:val="24"/>
                <w:szCs w:val="24"/>
                <w:lang w:val="es-ES"/>
              </w:rPr>
              <w:t xml:space="preserve"> </w:t>
            </w:r>
          </w:p>
        </w:tc>
        <w:tc>
          <w:tcPr>
            <w:tcW w:w="2682" w:type="pct"/>
            <w:shd w:val="clear" w:color="auto" w:fill="auto"/>
          </w:tcPr>
          <w:p w:rsidR="00AC4E6E" w:rsidRPr="00AC4E6E" w:rsidRDefault="00AC4E6E" w:rsidP="000820E4">
            <w:pPr>
              <w:spacing w:after="0" w:line="240" w:lineRule="auto"/>
              <w:rPr>
                <w:rFonts w:ascii="Times New Roman" w:hAnsi="Times New Roman" w:cs="Times New Roman"/>
                <w:color w:val="000000" w:themeColor="text1"/>
                <w:sz w:val="24"/>
                <w:szCs w:val="24"/>
                <w:lang w:val="es-ES"/>
              </w:rPr>
            </w:pPr>
            <w:r w:rsidRPr="00AC4E6E">
              <w:rPr>
                <w:rFonts w:ascii="Times New Roman" w:hAnsi="Times New Roman" w:cs="Times New Roman"/>
                <w:color w:val="000000" w:themeColor="text1"/>
                <w:sz w:val="24"/>
                <w:szCs w:val="24"/>
                <w:lang w:val="es-ES"/>
              </w:rPr>
              <w:t>Desarrollar una metodología de evaluación de impacto</w:t>
            </w:r>
          </w:p>
        </w:tc>
      </w:tr>
      <w:tr w:rsidR="00AC4E6E" w:rsidRPr="00AC4E6E" w:rsidTr="00857FC6">
        <w:trPr>
          <w:trHeight w:val="539"/>
          <w:tblHeader/>
          <w:jc w:val="center"/>
        </w:trPr>
        <w:tc>
          <w:tcPr>
            <w:tcW w:w="2318" w:type="pct"/>
            <w:vMerge/>
            <w:shd w:val="clear" w:color="auto" w:fill="auto"/>
          </w:tcPr>
          <w:p w:rsidR="00AC4E6E" w:rsidRPr="00AC4E6E" w:rsidRDefault="00AC4E6E" w:rsidP="00560D37">
            <w:pPr>
              <w:spacing w:after="0" w:line="240" w:lineRule="auto"/>
              <w:rPr>
                <w:rFonts w:ascii="Times New Roman" w:hAnsi="Times New Roman" w:cs="Times New Roman"/>
                <w:color w:val="000000" w:themeColor="text1"/>
                <w:sz w:val="24"/>
                <w:szCs w:val="24"/>
                <w:lang w:val="es-ES"/>
              </w:rPr>
            </w:pPr>
          </w:p>
        </w:tc>
        <w:tc>
          <w:tcPr>
            <w:tcW w:w="2682" w:type="pct"/>
            <w:shd w:val="clear" w:color="auto" w:fill="auto"/>
          </w:tcPr>
          <w:p w:rsidR="00AC4E6E" w:rsidRPr="00AC4E6E" w:rsidRDefault="00AC4E6E" w:rsidP="00AC4E6E">
            <w:pPr>
              <w:spacing w:after="0" w:line="240" w:lineRule="auto"/>
              <w:rPr>
                <w:rFonts w:ascii="Times New Roman" w:hAnsi="Times New Roman" w:cs="Times New Roman"/>
                <w:color w:val="000000" w:themeColor="text1"/>
                <w:sz w:val="24"/>
                <w:szCs w:val="24"/>
                <w:lang w:val="es-ES"/>
              </w:rPr>
            </w:pPr>
            <w:r w:rsidRPr="00AC4E6E">
              <w:rPr>
                <w:rFonts w:ascii="Times New Roman" w:hAnsi="Times New Roman" w:cs="Times New Roman"/>
                <w:color w:val="000000" w:themeColor="text1"/>
                <w:sz w:val="24"/>
                <w:szCs w:val="24"/>
                <w:lang w:val="es-ES"/>
              </w:rPr>
              <w:t xml:space="preserve">Realizar entrevistas con actores relevantes;  </w:t>
            </w:r>
          </w:p>
          <w:p w:rsidR="00AC4E6E" w:rsidRPr="00AC4E6E" w:rsidRDefault="00AC4E6E" w:rsidP="00AC4E6E">
            <w:pPr>
              <w:spacing w:after="0" w:line="240" w:lineRule="auto"/>
              <w:rPr>
                <w:rFonts w:ascii="Times New Roman" w:hAnsi="Times New Roman" w:cs="Times New Roman"/>
                <w:color w:val="000000" w:themeColor="text1"/>
                <w:sz w:val="24"/>
                <w:szCs w:val="24"/>
                <w:lang w:val="es-ES"/>
              </w:rPr>
            </w:pPr>
          </w:p>
        </w:tc>
      </w:tr>
      <w:tr w:rsidR="00AC4E6E" w:rsidRPr="00AC4E6E" w:rsidTr="00857FC6">
        <w:trPr>
          <w:trHeight w:val="539"/>
          <w:tblHeader/>
          <w:jc w:val="center"/>
        </w:trPr>
        <w:tc>
          <w:tcPr>
            <w:tcW w:w="2318" w:type="pct"/>
            <w:vMerge/>
            <w:shd w:val="clear" w:color="auto" w:fill="auto"/>
          </w:tcPr>
          <w:p w:rsidR="00AC4E6E" w:rsidRPr="00AC4E6E" w:rsidRDefault="00AC4E6E" w:rsidP="00560D37">
            <w:pPr>
              <w:spacing w:after="0" w:line="240" w:lineRule="auto"/>
              <w:rPr>
                <w:rFonts w:ascii="Times New Roman" w:hAnsi="Times New Roman" w:cs="Times New Roman"/>
                <w:color w:val="000000" w:themeColor="text1"/>
                <w:sz w:val="24"/>
                <w:szCs w:val="24"/>
                <w:lang w:val="es-ES"/>
              </w:rPr>
            </w:pPr>
          </w:p>
        </w:tc>
        <w:tc>
          <w:tcPr>
            <w:tcW w:w="2682" w:type="pct"/>
            <w:shd w:val="clear" w:color="auto" w:fill="auto"/>
          </w:tcPr>
          <w:p w:rsidR="00AC4E6E" w:rsidRPr="00AC4E6E" w:rsidRDefault="00AC4E6E" w:rsidP="00BF6AB7">
            <w:pPr>
              <w:spacing w:after="0" w:line="240" w:lineRule="auto"/>
              <w:rPr>
                <w:rFonts w:ascii="Times New Roman" w:hAnsi="Times New Roman" w:cs="Times New Roman"/>
                <w:color w:val="000000" w:themeColor="text1"/>
                <w:sz w:val="24"/>
                <w:szCs w:val="24"/>
                <w:lang w:val="es-ES"/>
              </w:rPr>
            </w:pPr>
            <w:r w:rsidRPr="00AC4E6E">
              <w:rPr>
                <w:rFonts w:ascii="Times New Roman" w:hAnsi="Times New Roman" w:cs="Times New Roman"/>
                <w:color w:val="000000" w:themeColor="text1"/>
                <w:sz w:val="24"/>
                <w:szCs w:val="24"/>
                <w:lang w:val="es-ES"/>
              </w:rPr>
              <w:t>Implementar la evaluación de impacto</w:t>
            </w:r>
          </w:p>
        </w:tc>
      </w:tr>
      <w:tr w:rsidR="00857FC6" w:rsidRPr="00AC4E6E" w:rsidTr="00857FC6">
        <w:trPr>
          <w:trHeight w:val="10754"/>
          <w:tblHeader/>
          <w:jc w:val="center"/>
        </w:trPr>
        <w:tc>
          <w:tcPr>
            <w:tcW w:w="2318" w:type="pct"/>
            <w:shd w:val="clear" w:color="auto" w:fill="auto"/>
          </w:tcPr>
          <w:p w:rsidR="00857FC6" w:rsidRPr="00AC4E6E" w:rsidRDefault="00857FC6" w:rsidP="006C59BF">
            <w:pPr>
              <w:spacing w:after="0" w:line="240" w:lineRule="auto"/>
              <w:rPr>
                <w:rFonts w:ascii="Times New Roman" w:hAnsi="Times New Roman" w:cs="Times New Roman"/>
                <w:color w:val="000000" w:themeColor="text1"/>
                <w:sz w:val="24"/>
                <w:szCs w:val="24"/>
                <w:lang w:val="es-ES"/>
              </w:rPr>
            </w:pPr>
          </w:p>
        </w:tc>
        <w:tc>
          <w:tcPr>
            <w:tcW w:w="2682" w:type="pct"/>
            <w:shd w:val="clear" w:color="auto" w:fill="auto"/>
          </w:tcPr>
          <w:p w:rsidR="00857FC6" w:rsidRPr="00AC4E6E" w:rsidRDefault="00857FC6" w:rsidP="00365BD2">
            <w:pPr>
              <w:spacing w:after="0" w:line="240" w:lineRule="auto"/>
              <w:rPr>
                <w:rFonts w:ascii="Times New Roman" w:hAnsi="Times New Roman" w:cs="Times New Roman"/>
                <w:bCs/>
                <w:color w:val="000000" w:themeColor="text1"/>
                <w:sz w:val="24"/>
                <w:szCs w:val="24"/>
                <w:lang w:val="es-ES"/>
              </w:rPr>
            </w:pPr>
            <w:r w:rsidRPr="00AC4E6E">
              <w:rPr>
                <w:rFonts w:ascii="Times New Roman" w:hAnsi="Times New Roman" w:cs="Times New Roman"/>
                <w:bCs/>
                <w:color w:val="000000" w:themeColor="text1"/>
                <w:sz w:val="24"/>
                <w:szCs w:val="24"/>
                <w:lang w:val="es-ES"/>
              </w:rPr>
              <w:t xml:space="preserve">Enviar las invitaciones y/o seguimiento de éstas, para confirmar la participación de funcionarios de la Región, panelistas y autoridades del Banco. </w:t>
            </w:r>
          </w:p>
          <w:p w:rsidR="00857FC6" w:rsidRPr="00AC4E6E" w:rsidRDefault="00857FC6" w:rsidP="00365BD2">
            <w:pPr>
              <w:spacing w:after="0" w:line="240" w:lineRule="auto"/>
              <w:rPr>
                <w:rFonts w:ascii="Times New Roman" w:hAnsi="Times New Roman" w:cs="Times New Roman"/>
                <w:bCs/>
                <w:color w:val="000000" w:themeColor="text1"/>
                <w:sz w:val="24"/>
                <w:szCs w:val="24"/>
                <w:lang w:val="es-ES"/>
              </w:rPr>
            </w:pPr>
          </w:p>
          <w:p w:rsidR="00857FC6" w:rsidRPr="00AC4E6E" w:rsidRDefault="00857FC6" w:rsidP="00365BD2">
            <w:pPr>
              <w:spacing w:after="0" w:line="240" w:lineRule="auto"/>
              <w:rPr>
                <w:rFonts w:ascii="Times New Roman" w:hAnsi="Times New Roman" w:cs="Times New Roman"/>
                <w:bCs/>
                <w:color w:val="000000" w:themeColor="text1"/>
                <w:sz w:val="24"/>
                <w:szCs w:val="24"/>
                <w:lang w:val="es-ES"/>
              </w:rPr>
            </w:pPr>
            <w:r w:rsidRPr="00AC4E6E">
              <w:rPr>
                <w:rFonts w:ascii="Times New Roman" w:hAnsi="Times New Roman" w:cs="Times New Roman"/>
                <w:bCs/>
                <w:color w:val="000000" w:themeColor="text1"/>
                <w:sz w:val="24"/>
                <w:szCs w:val="24"/>
                <w:lang w:val="es-ES"/>
              </w:rPr>
              <w:t>Redactar</w:t>
            </w:r>
            <w:r w:rsidRPr="00AC4E6E">
              <w:rPr>
                <w:rFonts w:ascii="Times New Roman" w:hAnsi="Times New Roman" w:cs="Times New Roman"/>
                <w:bCs/>
                <w:color w:val="000000" w:themeColor="text1"/>
                <w:sz w:val="24"/>
                <w:szCs w:val="24"/>
                <w:lang w:val="es-ES_tradnl"/>
              </w:rPr>
              <w:t xml:space="preserve"> de Cartas Acuerdo a quienes confirmen su participación para permitir la compra de pasajes y viáticos. </w:t>
            </w:r>
          </w:p>
          <w:p w:rsidR="00857FC6" w:rsidRPr="00AC4E6E" w:rsidRDefault="00857FC6" w:rsidP="00365BD2">
            <w:pPr>
              <w:spacing w:after="0" w:line="240" w:lineRule="auto"/>
              <w:rPr>
                <w:rFonts w:ascii="Times New Roman" w:hAnsi="Times New Roman" w:cs="Times New Roman"/>
                <w:bCs/>
                <w:color w:val="000000" w:themeColor="text1"/>
                <w:sz w:val="24"/>
                <w:szCs w:val="24"/>
                <w:lang w:val="es-ES"/>
              </w:rPr>
            </w:pPr>
          </w:p>
          <w:p w:rsidR="00857FC6" w:rsidRPr="00AC4E6E" w:rsidRDefault="00857FC6" w:rsidP="00365BD2">
            <w:pPr>
              <w:spacing w:after="0" w:line="240" w:lineRule="auto"/>
              <w:rPr>
                <w:rFonts w:ascii="Times New Roman" w:hAnsi="Times New Roman" w:cs="Times New Roman"/>
                <w:bCs/>
                <w:color w:val="000000" w:themeColor="text1"/>
                <w:sz w:val="24"/>
                <w:szCs w:val="24"/>
                <w:lang w:val="es-ES"/>
              </w:rPr>
            </w:pPr>
            <w:r w:rsidRPr="00AC4E6E">
              <w:rPr>
                <w:rFonts w:ascii="Times New Roman" w:hAnsi="Times New Roman" w:cs="Times New Roman"/>
                <w:bCs/>
                <w:color w:val="000000" w:themeColor="text1"/>
                <w:sz w:val="24"/>
                <w:szCs w:val="24"/>
                <w:lang w:val="es-ES"/>
              </w:rPr>
              <w:t xml:space="preserve">Monitorear de la ejecución del presupuesto previsto para el funcionamiento de la Red durante 2014. </w:t>
            </w:r>
          </w:p>
          <w:p w:rsidR="00857FC6" w:rsidRPr="00AC4E6E" w:rsidRDefault="00857FC6" w:rsidP="00365BD2">
            <w:pPr>
              <w:spacing w:after="0" w:line="240" w:lineRule="auto"/>
              <w:rPr>
                <w:rFonts w:ascii="Times New Roman" w:hAnsi="Times New Roman" w:cs="Times New Roman"/>
                <w:bCs/>
                <w:color w:val="000000" w:themeColor="text1"/>
                <w:sz w:val="24"/>
                <w:szCs w:val="24"/>
                <w:lang w:val="es-ES"/>
              </w:rPr>
            </w:pPr>
          </w:p>
          <w:p w:rsidR="00857FC6" w:rsidRPr="00AC4E6E" w:rsidRDefault="00857FC6" w:rsidP="00365BD2">
            <w:pPr>
              <w:spacing w:after="0" w:line="240" w:lineRule="auto"/>
              <w:rPr>
                <w:rFonts w:ascii="Times New Roman" w:hAnsi="Times New Roman" w:cs="Times New Roman"/>
                <w:bCs/>
                <w:color w:val="000000" w:themeColor="text1"/>
                <w:sz w:val="24"/>
                <w:szCs w:val="24"/>
                <w:lang w:val="es-ES"/>
              </w:rPr>
            </w:pPr>
            <w:r w:rsidRPr="00AC4E6E">
              <w:rPr>
                <w:rFonts w:ascii="Times New Roman" w:hAnsi="Times New Roman" w:cs="Times New Roman"/>
                <w:bCs/>
                <w:color w:val="000000" w:themeColor="text1"/>
                <w:sz w:val="24"/>
                <w:szCs w:val="24"/>
                <w:lang w:val="es-ES"/>
              </w:rPr>
              <w:t>Coordinar los aspectos logísticos para la organización de la Reunión mencionada (contratación del servicio de traducción simultánea, de los servicios de cátering, de imprentas, sistemas de sonido, disposición del salón, entre otros proveedores).</w:t>
            </w:r>
          </w:p>
          <w:p w:rsidR="00857FC6" w:rsidRPr="00AC4E6E" w:rsidRDefault="00857FC6" w:rsidP="00365BD2">
            <w:pPr>
              <w:spacing w:after="0" w:line="240" w:lineRule="auto"/>
              <w:rPr>
                <w:rFonts w:ascii="Times New Roman" w:hAnsi="Times New Roman" w:cs="Times New Roman"/>
                <w:bCs/>
                <w:color w:val="000000" w:themeColor="text1"/>
                <w:sz w:val="24"/>
                <w:szCs w:val="24"/>
                <w:lang w:val="es-ES"/>
              </w:rPr>
            </w:pPr>
          </w:p>
          <w:p w:rsidR="00857FC6" w:rsidRPr="00AC4E6E" w:rsidRDefault="00857FC6" w:rsidP="00484DA2">
            <w:pPr>
              <w:spacing w:after="0" w:line="240" w:lineRule="auto"/>
              <w:rPr>
                <w:rFonts w:ascii="Times New Roman" w:hAnsi="Times New Roman" w:cs="Times New Roman"/>
                <w:color w:val="000000" w:themeColor="text1"/>
                <w:sz w:val="24"/>
                <w:szCs w:val="24"/>
                <w:lang w:val="es-ES"/>
              </w:rPr>
            </w:pPr>
          </w:p>
        </w:tc>
      </w:tr>
      <w:tr w:rsidR="00857FC6" w:rsidRPr="00AC4E6E" w:rsidTr="00857FC6">
        <w:trPr>
          <w:trHeight w:val="5624"/>
          <w:tblHeader/>
          <w:jc w:val="center"/>
        </w:trPr>
        <w:tc>
          <w:tcPr>
            <w:tcW w:w="2318" w:type="pct"/>
            <w:shd w:val="clear" w:color="auto" w:fill="auto"/>
          </w:tcPr>
          <w:p w:rsidR="00857FC6" w:rsidRPr="00AC4E6E" w:rsidRDefault="00857FC6" w:rsidP="006C59BF">
            <w:pPr>
              <w:spacing w:after="0" w:line="240" w:lineRule="auto"/>
              <w:rPr>
                <w:rFonts w:ascii="Times New Roman" w:hAnsi="Times New Roman" w:cs="Times New Roman"/>
                <w:color w:val="000000" w:themeColor="text1"/>
                <w:sz w:val="24"/>
                <w:szCs w:val="24"/>
                <w:lang w:val="es-ES"/>
              </w:rPr>
            </w:pPr>
          </w:p>
        </w:tc>
        <w:tc>
          <w:tcPr>
            <w:tcW w:w="2682" w:type="pct"/>
            <w:shd w:val="clear" w:color="auto" w:fill="auto"/>
          </w:tcPr>
          <w:p w:rsidR="00857FC6" w:rsidRPr="00AC4E6E" w:rsidRDefault="00857FC6" w:rsidP="00365BD2">
            <w:pPr>
              <w:spacing w:after="0" w:line="240" w:lineRule="auto"/>
              <w:rPr>
                <w:rFonts w:ascii="Times New Roman" w:hAnsi="Times New Roman" w:cs="Times New Roman"/>
                <w:bCs/>
                <w:color w:val="000000" w:themeColor="text1"/>
                <w:sz w:val="24"/>
                <w:szCs w:val="24"/>
                <w:lang w:val="es-ES"/>
              </w:rPr>
            </w:pPr>
            <w:r w:rsidRPr="00AC4E6E">
              <w:rPr>
                <w:rFonts w:ascii="Times New Roman" w:hAnsi="Times New Roman" w:cs="Times New Roman"/>
                <w:bCs/>
                <w:color w:val="000000" w:themeColor="text1"/>
                <w:sz w:val="24"/>
                <w:szCs w:val="24"/>
                <w:lang w:val="es-ES"/>
              </w:rPr>
              <w:t>Contribuir en la redacción y publicación de documentos preparatorios para la Reunión de la Red (talking points, agenda final, presentaciones de power point)</w:t>
            </w:r>
          </w:p>
          <w:p w:rsidR="00857FC6" w:rsidRPr="00AC4E6E" w:rsidRDefault="00857FC6" w:rsidP="00365BD2">
            <w:pPr>
              <w:spacing w:after="0" w:line="240" w:lineRule="auto"/>
              <w:rPr>
                <w:rFonts w:ascii="Times New Roman" w:hAnsi="Times New Roman" w:cs="Times New Roman"/>
                <w:bCs/>
                <w:color w:val="000000" w:themeColor="text1"/>
                <w:sz w:val="24"/>
                <w:szCs w:val="24"/>
                <w:lang w:val="es-ES"/>
              </w:rPr>
            </w:pPr>
          </w:p>
          <w:p w:rsidR="00857FC6" w:rsidRPr="00AC4E6E" w:rsidRDefault="00857FC6" w:rsidP="00365BD2">
            <w:pPr>
              <w:spacing w:after="0" w:line="240" w:lineRule="auto"/>
              <w:rPr>
                <w:rFonts w:ascii="Times New Roman" w:hAnsi="Times New Roman" w:cs="Times New Roman"/>
                <w:bCs/>
                <w:color w:val="000000" w:themeColor="text1"/>
                <w:sz w:val="24"/>
                <w:szCs w:val="24"/>
                <w:lang w:val="es-ES"/>
              </w:rPr>
            </w:pPr>
            <w:r w:rsidRPr="00AC4E6E">
              <w:rPr>
                <w:rFonts w:ascii="Times New Roman" w:hAnsi="Times New Roman" w:cs="Times New Roman"/>
                <w:bCs/>
                <w:color w:val="000000" w:themeColor="text1"/>
                <w:sz w:val="24"/>
                <w:szCs w:val="24"/>
                <w:lang w:val="es-ES"/>
              </w:rPr>
              <w:t xml:space="preserve">Colaborar en la revisión de planes de acción presentados ante la Alianza para el Gobierno Abierto. </w:t>
            </w:r>
          </w:p>
          <w:p w:rsidR="00857FC6" w:rsidRPr="00AC4E6E" w:rsidRDefault="00857FC6" w:rsidP="00365BD2">
            <w:pPr>
              <w:spacing w:after="0" w:line="240" w:lineRule="auto"/>
              <w:rPr>
                <w:rFonts w:ascii="Times New Roman" w:hAnsi="Times New Roman" w:cs="Times New Roman"/>
                <w:bCs/>
                <w:color w:val="000000" w:themeColor="text1"/>
                <w:sz w:val="24"/>
                <w:szCs w:val="24"/>
                <w:lang w:val="es-ES"/>
              </w:rPr>
            </w:pPr>
          </w:p>
          <w:p w:rsidR="00857FC6" w:rsidRPr="00AC4E6E" w:rsidRDefault="00857FC6" w:rsidP="00365BD2">
            <w:pPr>
              <w:spacing w:after="0" w:line="240" w:lineRule="auto"/>
              <w:rPr>
                <w:rFonts w:ascii="Times New Roman" w:hAnsi="Times New Roman" w:cs="Times New Roman"/>
                <w:bCs/>
                <w:color w:val="000000" w:themeColor="text1"/>
                <w:sz w:val="24"/>
                <w:szCs w:val="24"/>
                <w:lang w:val="es-ES"/>
              </w:rPr>
            </w:pPr>
            <w:r w:rsidRPr="00AC4E6E">
              <w:rPr>
                <w:rFonts w:ascii="Times New Roman" w:hAnsi="Times New Roman" w:cs="Times New Roman"/>
                <w:bCs/>
                <w:color w:val="000000" w:themeColor="text1"/>
                <w:sz w:val="24"/>
                <w:szCs w:val="24"/>
                <w:lang w:val="es-ES"/>
              </w:rPr>
              <w:t xml:space="preserve">Mantener actualizada la página web de la Red de Gobierno Abierto. </w:t>
            </w:r>
          </w:p>
          <w:p w:rsidR="00857FC6" w:rsidRPr="00AC4E6E" w:rsidRDefault="00857FC6" w:rsidP="00365BD2">
            <w:pPr>
              <w:spacing w:after="0" w:line="240" w:lineRule="auto"/>
              <w:rPr>
                <w:rFonts w:ascii="Times New Roman" w:hAnsi="Times New Roman" w:cs="Times New Roman"/>
                <w:bCs/>
                <w:color w:val="000000" w:themeColor="text1"/>
                <w:sz w:val="24"/>
                <w:szCs w:val="24"/>
                <w:lang w:val="es-ES"/>
              </w:rPr>
            </w:pPr>
          </w:p>
          <w:p w:rsidR="00857FC6" w:rsidRPr="00AC4E6E" w:rsidRDefault="00857FC6" w:rsidP="00365BD2">
            <w:pPr>
              <w:spacing w:after="0" w:line="240" w:lineRule="auto"/>
              <w:rPr>
                <w:rFonts w:ascii="Times New Roman" w:hAnsi="Times New Roman" w:cs="Times New Roman"/>
                <w:bCs/>
                <w:color w:val="000000" w:themeColor="text1"/>
                <w:sz w:val="24"/>
                <w:szCs w:val="24"/>
                <w:lang w:val="es-ES"/>
              </w:rPr>
            </w:pPr>
            <w:r w:rsidRPr="00AC4E6E">
              <w:rPr>
                <w:rFonts w:ascii="Times New Roman" w:hAnsi="Times New Roman" w:cs="Times New Roman"/>
                <w:bCs/>
                <w:color w:val="000000" w:themeColor="text1"/>
                <w:sz w:val="24"/>
                <w:szCs w:val="24"/>
                <w:lang w:val="es-ES"/>
              </w:rPr>
              <w:t>Contribuir con la redacción del Informe Anual de la Red.</w:t>
            </w:r>
          </w:p>
        </w:tc>
      </w:tr>
    </w:tbl>
    <w:p w:rsidR="00807F87" w:rsidRPr="00985C70" w:rsidRDefault="00807F87" w:rsidP="00807F87">
      <w:pPr>
        <w:rPr>
          <w:rFonts w:ascii="Times New Roman" w:hAnsi="Times New Roman" w:cs="Times New Roman"/>
          <w:lang w:val="es-ES_tradnl"/>
        </w:rPr>
      </w:pPr>
    </w:p>
    <w:p w:rsidR="00821E99" w:rsidRPr="002F30AF" w:rsidRDefault="00821E99">
      <w:pPr>
        <w:rPr>
          <w:lang w:val="es-ES_tradnl"/>
        </w:rPr>
      </w:pPr>
    </w:p>
    <w:sectPr w:rsidR="00821E99" w:rsidRPr="002F30AF" w:rsidSect="0093058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CF9" w:rsidRDefault="00851CF9">
      <w:pPr>
        <w:spacing w:after="0" w:line="240" w:lineRule="auto"/>
      </w:pPr>
      <w:r>
        <w:separator/>
      </w:r>
    </w:p>
  </w:endnote>
  <w:endnote w:type="continuationSeparator" w:id="0">
    <w:p w:rsidR="00851CF9" w:rsidRDefault="00851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CF9" w:rsidRDefault="00851CF9">
      <w:pPr>
        <w:spacing w:after="0" w:line="240" w:lineRule="auto"/>
      </w:pPr>
      <w:r>
        <w:separator/>
      </w:r>
    </w:p>
  </w:footnote>
  <w:footnote w:type="continuationSeparator" w:id="0">
    <w:p w:rsidR="00851CF9" w:rsidRDefault="00851C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477648756"/>
      <w:docPartObj>
        <w:docPartGallery w:val="Page Numbers (Top of Page)"/>
        <w:docPartUnique/>
      </w:docPartObj>
    </w:sdtPr>
    <w:sdtEndPr/>
    <w:sdtContent>
      <w:p w:rsidR="00985C70" w:rsidRPr="00930586" w:rsidRDefault="00807F87">
        <w:pPr>
          <w:pStyle w:val="Header"/>
          <w:jc w:val="right"/>
          <w:rPr>
            <w:rFonts w:ascii="Times New Roman" w:hAnsi="Times New Roman" w:cs="Times New Roman"/>
            <w:lang w:val="pt-BR"/>
          </w:rPr>
        </w:pPr>
        <w:r w:rsidRPr="00930586">
          <w:rPr>
            <w:rFonts w:ascii="Times New Roman" w:hAnsi="Times New Roman" w:cs="Times New Roman"/>
            <w:lang w:val="pt-BR"/>
          </w:rPr>
          <w:t xml:space="preserve">Anexo II – </w:t>
        </w:r>
        <w:r w:rsidR="00930586">
          <w:rPr>
            <w:rFonts w:ascii="Times New Roman" w:hAnsi="Times New Roman" w:cs="Times New Roman"/>
            <w:lang w:val="pt-BR"/>
          </w:rPr>
          <w:t>ME-T1253</w:t>
        </w:r>
      </w:p>
      <w:p w:rsidR="00985C70" w:rsidRPr="00930586" w:rsidRDefault="0011124B">
        <w:pPr>
          <w:pStyle w:val="Header"/>
          <w:jc w:val="right"/>
          <w:rPr>
            <w:rFonts w:ascii="Times New Roman" w:hAnsi="Times New Roman" w:cs="Times New Roman"/>
            <w:lang w:val="pt-BR"/>
          </w:rPr>
        </w:pPr>
        <w:r w:rsidRPr="00930586">
          <w:rPr>
            <w:rFonts w:ascii="Times New Roman" w:hAnsi="Times New Roman" w:cs="Times New Roman"/>
            <w:lang w:val="pt-BR"/>
          </w:rPr>
          <w:t>P</w:t>
        </w:r>
        <w:r w:rsidRPr="00930586">
          <w:rPr>
            <w:rFonts w:ascii="Calibri" w:hAnsi="Calibri" w:cs="Times New Roman"/>
            <w:lang w:val="pt-BR"/>
          </w:rPr>
          <w:t>á</w:t>
        </w:r>
        <w:r w:rsidR="00807F87" w:rsidRPr="00930586">
          <w:rPr>
            <w:rFonts w:ascii="Times New Roman" w:hAnsi="Times New Roman" w:cs="Times New Roman"/>
            <w:lang w:val="pt-BR"/>
          </w:rPr>
          <w:t xml:space="preserve">gina  </w:t>
        </w:r>
        <w:r w:rsidR="00807F87" w:rsidRPr="00985C70">
          <w:rPr>
            <w:rFonts w:ascii="Times New Roman" w:hAnsi="Times New Roman" w:cs="Times New Roman"/>
            <w:b/>
            <w:bCs/>
          </w:rPr>
          <w:fldChar w:fldCharType="begin"/>
        </w:r>
        <w:r w:rsidR="00807F87" w:rsidRPr="00930586">
          <w:rPr>
            <w:rFonts w:ascii="Times New Roman" w:hAnsi="Times New Roman" w:cs="Times New Roman"/>
            <w:b/>
            <w:bCs/>
            <w:lang w:val="pt-BR"/>
          </w:rPr>
          <w:instrText xml:space="preserve"> PAGE </w:instrText>
        </w:r>
        <w:r w:rsidR="00807F87" w:rsidRPr="00985C70">
          <w:rPr>
            <w:rFonts w:ascii="Times New Roman" w:hAnsi="Times New Roman" w:cs="Times New Roman"/>
            <w:b/>
            <w:bCs/>
          </w:rPr>
          <w:fldChar w:fldCharType="separate"/>
        </w:r>
        <w:r w:rsidR="00243A44">
          <w:rPr>
            <w:rFonts w:ascii="Times New Roman" w:hAnsi="Times New Roman" w:cs="Times New Roman"/>
            <w:b/>
            <w:bCs/>
            <w:noProof/>
            <w:lang w:val="pt-BR"/>
          </w:rPr>
          <w:t>1</w:t>
        </w:r>
        <w:r w:rsidR="00807F87" w:rsidRPr="00985C70">
          <w:rPr>
            <w:rFonts w:ascii="Times New Roman" w:hAnsi="Times New Roman" w:cs="Times New Roman"/>
            <w:b/>
            <w:bCs/>
          </w:rPr>
          <w:fldChar w:fldCharType="end"/>
        </w:r>
        <w:r w:rsidR="00807F87" w:rsidRPr="00930586">
          <w:rPr>
            <w:rFonts w:ascii="Times New Roman" w:hAnsi="Times New Roman" w:cs="Times New Roman"/>
            <w:lang w:val="pt-BR"/>
          </w:rPr>
          <w:t xml:space="preserve"> de  </w:t>
        </w:r>
        <w:r w:rsidR="00807F87" w:rsidRPr="00985C70">
          <w:rPr>
            <w:rFonts w:ascii="Times New Roman" w:hAnsi="Times New Roman" w:cs="Times New Roman"/>
            <w:b/>
            <w:bCs/>
          </w:rPr>
          <w:fldChar w:fldCharType="begin"/>
        </w:r>
        <w:r w:rsidR="00807F87" w:rsidRPr="00930586">
          <w:rPr>
            <w:rFonts w:ascii="Times New Roman" w:hAnsi="Times New Roman" w:cs="Times New Roman"/>
            <w:b/>
            <w:bCs/>
            <w:lang w:val="pt-BR"/>
          </w:rPr>
          <w:instrText xml:space="preserve"> NUMPAGES  </w:instrText>
        </w:r>
        <w:r w:rsidR="00807F87" w:rsidRPr="00985C70">
          <w:rPr>
            <w:rFonts w:ascii="Times New Roman" w:hAnsi="Times New Roman" w:cs="Times New Roman"/>
            <w:b/>
            <w:bCs/>
          </w:rPr>
          <w:fldChar w:fldCharType="separate"/>
        </w:r>
        <w:r w:rsidR="00243A44">
          <w:rPr>
            <w:rFonts w:ascii="Times New Roman" w:hAnsi="Times New Roman" w:cs="Times New Roman"/>
            <w:b/>
            <w:bCs/>
            <w:noProof/>
            <w:lang w:val="pt-BR"/>
          </w:rPr>
          <w:t>3</w:t>
        </w:r>
        <w:r w:rsidR="00807F87" w:rsidRPr="00985C70">
          <w:rPr>
            <w:rFonts w:ascii="Times New Roman" w:hAnsi="Times New Roman" w:cs="Times New Roman"/>
            <w:b/>
            <w:bCs/>
          </w:rPr>
          <w:fldChar w:fldCharType="end"/>
        </w:r>
      </w:p>
    </w:sdtContent>
  </w:sdt>
  <w:p w:rsidR="00985C70" w:rsidRPr="00930586" w:rsidRDefault="00243A44">
    <w:pPr>
      <w:pStyle w:val="Header"/>
      <w:rPr>
        <w:rFonts w:ascii="Times New Roman" w:hAnsi="Times New Roman" w:cs="Times New Roman"/>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7413C"/>
    <w:multiLevelType w:val="hybridMultilevel"/>
    <w:tmpl w:val="69520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F1D631F"/>
    <w:multiLevelType w:val="hybridMultilevel"/>
    <w:tmpl w:val="46688CAC"/>
    <w:lvl w:ilvl="0" w:tplc="8384E9E2">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585F7EBC"/>
    <w:multiLevelType w:val="hybridMultilevel"/>
    <w:tmpl w:val="45541E0C"/>
    <w:lvl w:ilvl="0" w:tplc="AA12F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BA3581E"/>
    <w:multiLevelType w:val="hybridMultilevel"/>
    <w:tmpl w:val="E1E23F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71C863C7"/>
    <w:multiLevelType w:val="hybridMultilevel"/>
    <w:tmpl w:val="299A5F48"/>
    <w:lvl w:ilvl="0" w:tplc="A50427B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5F756D9"/>
    <w:multiLevelType w:val="hybridMultilevel"/>
    <w:tmpl w:val="EB2202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3"/>
  </w:num>
  <w:num w:numId="3">
    <w:abstractNumId w:val="5"/>
  </w:num>
  <w:num w:numId="4">
    <w:abstractNumId w:val="2"/>
  </w:num>
  <w:num w:numId="5">
    <w:abstractNumId w:val="4"/>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F87"/>
    <w:rsid w:val="000820E4"/>
    <w:rsid w:val="000A019B"/>
    <w:rsid w:val="000C22C7"/>
    <w:rsid w:val="0011124B"/>
    <w:rsid w:val="00243A44"/>
    <w:rsid w:val="00243C51"/>
    <w:rsid w:val="002F30AF"/>
    <w:rsid w:val="00314D6E"/>
    <w:rsid w:val="00365BD2"/>
    <w:rsid w:val="004147FE"/>
    <w:rsid w:val="004367D6"/>
    <w:rsid w:val="00451422"/>
    <w:rsid w:val="00484DA2"/>
    <w:rsid w:val="00496510"/>
    <w:rsid w:val="00560D37"/>
    <w:rsid w:val="005D747B"/>
    <w:rsid w:val="00613241"/>
    <w:rsid w:val="006A337A"/>
    <w:rsid w:val="006C4B29"/>
    <w:rsid w:val="006E6273"/>
    <w:rsid w:val="0076054C"/>
    <w:rsid w:val="007A52C0"/>
    <w:rsid w:val="007D5E2A"/>
    <w:rsid w:val="00807F87"/>
    <w:rsid w:val="00821E99"/>
    <w:rsid w:val="00851CF9"/>
    <w:rsid w:val="00857FC6"/>
    <w:rsid w:val="00930586"/>
    <w:rsid w:val="00997814"/>
    <w:rsid w:val="00A30C48"/>
    <w:rsid w:val="00A53FD2"/>
    <w:rsid w:val="00AC4E6E"/>
    <w:rsid w:val="00B70C51"/>
    <w:rsid w:val="00B77100"/>
    <w:rsid w:val="00BF6AB7"/>
    <w:rsid w:val="00C2772E"/>
    <w:rsid w:val="00CB5ED1"/>
    <w:rsid w:val="00D75015"/>
    <w:rsid w:val="00DA3290"/>
    <w:rsid w:val="00E15B12"/>
    <w:rsid w:val="00E5195E"/>
    <w:rsid w:val="00F36302"/>
    <w:rsid w:val="00F41F65"/>
    <w:rsid w:val="00FA49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F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07F87"/>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807F87"/>
    <w:pPr>
      <w:spacing w:after="0" w:line="240" w:lineRule="auto"/>
    </w:pPr>
    <w:rPr>
      <w:rFonts w:eastAsiaTheme="minorEastAsia"/>
    </w:rPr>
  </w:style>
  <w:style w:type="paragraph" w:styleId="Header">
    <w:name w:val="header"/>
    <w:basedOn w:val="Normal"/>
    <w:link w:val="HeaderChar"/>
    <w:uiPriority w:val="99"/>
    <w:unhideWhenUsed/>
    <w:rsid w:val="00807F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7F87"/>
  </w:style>
  <w:style w:type="paragraph" w:styleId="ListParagraph">
    <w:name w:val="List Paragraph"/>
    <w:basedOn w:val="Normal"/>
    <w:uiPriority w:val="34"/>
    <w:qFormat/>
    <w:rsid w:val="00613241"/>
    <w:pPr>
      <w:ind w:left="720"/>
      <w:contextualSpacing/>
    </w:pPr>
  </w:style>
  <w:style w:type="paragraph" w:styleId="Footer">
    <w:name w:val="footer"/>
    <w:basedOn w:val="Normal"/>
    <w:link w:val="FooterChar"/>
    <w:uiPriority w:val="99"/>
    <w:unhideWhenUsed/>
    <w:rsid w:val="00CB5E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5ED1"/>
  </w:style>
  <w:style w:type="paragraph" w:styleId="BalloonText">
    <w:name w:val="Balloon Text"/>
    <w:basedOn w:val="Normal"/>
    <w:link w:val="BalloonTextChar"/>
    <w:uiPriority w:val="99"/>
    <w:semiHidden/>
    <w:unhideWhenUsed/>
    <w:rsid w:val="004965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5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F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07F87"/>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807F87"/>
    <w:pPr>
      <w:spacing w:after="0" w:line="240" w:lineRule="auto"/>
    </w:pPr>
    <w:rPr>
      <w:rFonts w:eastAsiaTheme="minorEastAsia"/>
    </w:rPr>
  </w:style>
  <w:style w:type="paragraph" w:styleId="Header">
    <w:name w:val="header"/>
    <w:basedOn w:val="Normal"/>
    <w:link w:val="HeaderChar"/>
    <w:uiPriority w:val="99"/>
    <w:unhideWhenUsed/>
    <w:rsid w:val="00807F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7F87"/>
  </w:style>
  <w:style w:type="paragraph" w:styleId="ListParagraph">
    <w:name w:val="List Paragraph"/>
    <w:basedOn w:val="Normal"/>
    <w:uiPriority w:val="34"/>
    <w:qFormat/>
    <w:rsid w:val="00613241"/>
    <w:pPr>
      <w:ind w:left="720"/>
      <w:contextualSpacing/>
    </w:pPr>
  </w:style>
  <w:style w:type="paragraph" w:styleId="Footer">
    <w:name w:val="footer"/>
    <w:basedOn w:val="Normal"/>
    <w:link w:val="FooterChar"/>
    <w:uiPriority w:val="99"/>
    <w:unhideWhenUsed/>
    <w:rsid w:val="00CB5E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5ED1"/>
  </w:style>
  <w:style w:type="paragraph" w:styleId="BalloonText">
    <w:name w:val="Balloon Text"/>
    <w:basedOn w:val="Normal"/>
    <w:link w:val="BalloonTextChar"/>
    <w:uiPriority w:val="99"/>
    <w:semiHidden/>
    <w:unhideWhenUsed/>
    <w:rsid w:val="004965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5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139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39198413</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IFD/ICS</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Villa Mar, Karelia</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ME-T1253</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FULL DOC</Identifier>
    <Disclosure_x0020_Activity xmlns="9c571b2f-e523-4ab2-ba2e-09e151a03ef4">Approved TC document</Disclosure_x0020_Activity>
    <Webtopic xmlns="9c571b2f-e523-4ab2-ba2e-09e151a03ef4">DS-SEC</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770FA189A2A9654988E30A3D5D1389E7" ma:contentTypeVersion="0" ma:contentTypeDescription="A content type to manage public (operations) IDB documents" ma:contentTypeScope="" ma:versionID="10ccd223fe94789cfbbace50b6a15b13">
  <xsd:schema xmlns:xsd="http://www.w3.org/2001/XMLSchema" xmlns:xs="http://www.w3.org/2001/XMLSchema" xmlns:p="http://schemas.microsoft.com/office/2006/metadata/properties" xmlns:ns2="9c571b2f-e523-4ab2-ba2e-09e151a03ef4" targetNamespace="http://schemas.microsoft.com/office/2006/metadata/properties" ma:root="true" ma:fieldsID="d7e0b738c7be74004936151cbd0cdfd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a1c5216-6202-4737-b922-0cf0ccb7695f}" ma:internalName="TaxCatchAll" ma:showField="CatchAllData" ma:web="68c65aef-9116-46d5-9270-69585bcfc799">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a1c5216-6202-4737-b922-0cf0ccb7695f}" ma:internalName="TaxCatchAllLabel" ma:readOnly="true" ma:showField="CatchAllDataLabel" ma:web="68c65aef-9116-46d5-9270-69585bcfc799">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3D0552-5606-459A-8372-1816F22CB1FB}"/>
</file>

<file path=customXml/itemProps2.xml><?xml version="1.0" encoding="utf-8"?>
<ds:datastoreItem xmlns:ds="http://schemas.openxmlformats.org/officeDocument/2006/customXml" ds:itemID="{676E664C-863E-4CD1-8081-BA1EAF12AA2C}"/>
</file>

<file path=customXml/itemProps3.xml><?xml version="1.0" encoding="utf-8"?>
<ds:datastoreItem xmlns:ds="http://schemas.openxmlformats.org/officeDocument/2006/customXml" ds:itemID="{C6B7D3DA-5206-49A9-813B-5A814E356350}"/>
</file>

<file path=customXml/itemProps4.xml><?xml version="1.0" encoding="utf-8"?>
<ds:datastoreItem xmlns:ds="http://schemas.openxmlformats.org/officeDocument/2006/customXml" ds:itemID="{06B5F576-09F3-48E2-86DF-7DA8A031357D}"/>
</file>

<file path=customXml/itemProps5.xml><?xml version="1.0" encoding="utf-8"?>
<ds:datastoreItem xmlns:ds="http://schemas.openxmlformats.org/officeDocument/2006/customXml" ds:itemID="{7DE3953D-BF53-4478-8D95-57F64BBE4BB1}"/>
</file>

<file path=docProps/app.xml><?xml version="1.0" encoding="utf-8"?>
<Properties xmlns="http://schemas.openxmlformats.org/officeDocument/2006/extended-properties" xmlns:vt="http://schemas.openxmlformats.org/officeDocument/2006/docPropsVTypes">
  <Template>Normal.dotm</Template>
  <TotalTime>3</TotalTime>
  <Pages>3</Pages>
  <Words>322</Words>
  <Characters>1773</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Terminos de Referencia</dc:title>
  <dc:creator>MA</dc:creator>
  <cp:lastModifiedBy>Test</cp:lastModifiedBy>
  <cp:revision>2</cp:revision>
  <cp:lastPrinted>2014-05-23T01:43:00Z</cp:lastPrinted>
  <dcterms:created xsi:type="dcterms:W3CDTF">2014-10-31T21:36:00Z</dcterms:created>
  <dcterms:modified xsi:type="dcterms:W3CDTF">2014-10-31T21:36:00Z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0x01010046CF21643EE8D14686A648AA6DAD089200770FA189A2A9654988E30A3D5D1389E7</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