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ED2E3" w14:textId="77777777" w:rsidR="00B54624" w:rsidRPr="00B2077E" w:rsidRDefault="28D31204" w:rsidP="28D31204">
      <w:pPr>
        <w:pStyle w:val="Title"/>
        <w:spacing w:line="276" w:lineRule="auto"/>
        <w:rPr>
          <w:rFonts w:ascii="Arial" w:hAnsi="Arial" w:cs="Arial"/>
          <w:lang w:val="es-MX"/>
        </w:rPr>
      </w:pPr>
      <w:bookmarkStart w:id="0" w:name="_Toc365986792"/>
      <w:bookmarkStart w:id="1" w:name="_Toc365987906"/>
      <w:bookmarkStart w:id="2" w:name="_Toc366057197"/>
      <w:r w:rsidRPr="28D31204">
        <w:rPr>
          <w:rFonts w:ascii="Arial" w:hAnsi="Arial" w:cs="Arial"/>
          <w:lang w:val="es-MX"/>
        </w:rPr>
        <w:t>Documento del Banco Interamericano De Desarrollo</w:t>
      </w:r>
      <w:bookmarkEnd w:id="0"/>
      <w:bookmarkEnd w:id="1"/>
      <w:bookmarkEnd w:id="2"/>
    </w:p>
    <w:p w14:paraId="1F2D39EA"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25138B9E"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79DFFC6B"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20E394C7"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55CF4C2A"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0CA9D81A" w14:textId="086772AF" w:rsidR="00B54624" w:rsidRPr="0021414A" w:rsidRDefault="00863DAA" w:rsidP="28D31204">
      <w:pPr>
        <w:tabs>
          <w:tab w:val="left" w:pos="1440"/>
          <w:tab w:val="left" w:pos="3060"/>
        </w:tabs>
        <w:spacing w:line="276" w:lineRule="auto"/>
        <w:jc w:val="center"/>
        <w:rPr>
          <w:rFonts w:ascii="Arial" w:hAnsi="Arial" w:cs="Arial"/>
          <w:b/>
          <w:bCs/>
          <w:smallCaps/>
          <w:sz w:val="32"/>
          <w:szCs w:val="32"/>
        </w:rPr>
      </w:pPr>
      <w:r>
        <w:rPr>
          <w:rFonts w:ascii="Arial" w:hAnsi="Arial" w:cs="Arial"/>
          <w:b/>
          <w:bCs/>
          <w:smallCaps/>
          <w:sz w:val="32"/>
          <w:szCs w:val="32"/>
        </w:rPr>
        <w:t>República Dominicana</w:t>
      </w:r>
    </w:p>
    <w:p w14:paraId="6AD4260C"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67C49AEF"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7C78B756"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3E1E4964"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46BD7425" w14:textId="58B8D921" w:rsidR="00863DAA" w:rsidRPr="0021414A" w:rsidRDefault="00195073" w:rsidP="00195073">
      <w:pPr>
        <w:pStyle w:val="Newpage"/>
        <w:spacing w:line="276" w:lineRule="auto"/>
        <w:rPr>
          <w:rFonts w:ascii="Arial" w:hAnsi="Arial" w:cs="Arial"/>
          <w:bCs/>
          <w:color w:val="000000"/>
          <w:sz w:val="28"/>
          <w:szCs w:val="28"/>
          <w:lang w:val="es-MX" w:eastAsia="en-US"/>
        </w:rPr>
      </w:pPr>
      <w:r>
        <w:rPr>
          <w:rFonts w:ascii="Arial" w:hAnsi="Arial" w:cs="Arial"/>
          <w:bCs/>
          <w:color w:val="000000"/>
          <w:sz w:val="28"/>
          <w:szCs w:val="28"/>
          <w:lang w:val="es-MX" w:eastAsia="en-US"/>
        </w:rPr>
        <w:t>Línea d</w:t>
      </w:r>
      <w:r w:rsidR="00863DAA" w:rsidRPr="00863DAA">
        <w:rPr>
          <w:rFonts w:ascii="Arial" w:hAnsi="Arial" w:cs="Arial"/>
          <w:bCs/>
          <w:color w:val="000000"/>
          <w:sz w:val="28"/>
          <w:szCs w:val="28"/>
          <w:lang w:val="es-MX" w:eastAsia="en-US"/>
        </w:rPr>
        <w:t>e Crédito Condicional (</w:t>
      </w:r>
      <w:proofErr w:type="spellStart"/>
      <w:r w:rsidR="00863DAA" w:rsidRPr="00863DAA">
        <w:rPr>
          <w:rFonts w:ascii="Arial" w:hAnsi="Arial" w:cs="Arial"/>
          <w:bCs/>
          <w:color w:val="000000"/>
          <w:sz w:val="28"/>
          <w:szCs w:val="28"/>
          <w:lang w:val="es-MX" w:eastAsia="en-US"/>
        </w:rPr>
        <w:t>Cclip</w:t>
      </w:r>
      <w:proofErr w:type="spellEnd"/>
      <w:r w:rsidR="00863DAA" w:rsidRPr="00863DAA">
        <w:rPr>
          <w:rFonts w:ascii="Arial" w:hAnsi="Arial" w:cs="Arial"/>
          <w:bCs/>
          <w:color w:val="000000"/>
          <w:sz w:val="28"/>
          <w:szCs w:val="28"/>
          <w:lang w:val="es-MX" w:eastAsia="en-US"/>
        </w:rPr>
        <w:t xml:space="preserve">): </w:t>
      </w:r>
      <w:r>
        <w:rPr>
          <w:rFonts w:ascii="Arial" w:hAnsi="Arial" w:cs="Arial"/>
          <w:bCs/>
          <w:color w:val="000000"/>
          <w:sz w:val="28"/>
          <w:szCs w:val="28"/>
          <w:lang w:val="es-MX" w:eastAsia="en-US"/>
        </w:rPr>
        <w:t xml:space="preserve"> Apoyo al Plan Decenal d</w:t>
      </w:r>
      <w:r w:rsidR="00863DAA" w:rsidRPr="00863DAA">
        <w:rPr>
          <w:rFonts w:ascii="Arial" w:hAnsi="Arial" w:cs="Arial"/>
          <w:bCs/>
          <w:color w:val="000000"/>
          <w:sz w:val="28"/>
          <w:szCs w:val="28"/>
          <w:lang w:val="es-MX" w:eastAsia="en-US"/>
        </w:rPr>
        <w:t>e Educación</w:t>
      </w:r>
    </w:p>
    <w:p w14:paraId="344CEEA2" w14:textId="0FA51A10" w:rsidR="00766159" w:rsidRDefault="00E3517E" w:rsidP="28D31204">
      <w:pPr>
        <w:pStyle w:val="Newpage"/>
        <w:spacing w:before="0" w:line="276" w:lineRule="auto"/>
        <w:rPr>
          <w:rFonts w:ascii="Arial" w:hAnsi="Arial" w:cs="Arial"/>
          <w:sz w:val="28"/>
          <w:szCs w:val="28"/>
          <w:lang w:val="es-MX"/>
        </w:rPr>
      </w:pPr>
      <w:r>
        <w:rPr>
          <w:rFonts w:ascii="Arial" w:hAnsi="Arial" w:cs="Arial"/>
          <w:sz w:val="28"/>
          <w:szCs w:val="28"/>
          <w:lang w:val="es-MX"/>
        </w:rPr>
        <w:t>(DR</w:t>
      </w:r>
      <w:r w:rsidR="28D31204" w:rsidRPr="28D31204">
        <w:rPr>
          <w:rFonts w:ascii="Arial" w:hAnsi="Arial" w:cs="Arial"/>
          <w:sz w:val="28"/>
          <w:szCs w:val="28"/>
          <w:lang w:val="es-MX"/>
        </w:rPr>
        <w:t>-</w:t>
      </w:r>
      <w:r>
        <w:rPr>
          <w:rFonts w:ascii="Arial" w:hAnsi="Arial" w:cs="Arial"/>
          <w:sz w:val="28"/>
          <w:szCs w:val="28"/>
          <w:lang w:val="es-MX"/>
        </w:rPr>
        <w:t>X</w:t>
      </w:r>
      <w:r w:rsidR="28D31204" w:rsidRPr="28D31204">
        <w:rPr>
          <w:rFonts w:ascii="Arial" w:hAnsi="Arial" w:cs="Arial"/>
          <w:sz w:val="28"/>
          <w:szCs w:val="28"/>
          <w:lang w:val="es-MX"/>
        </w:rPr>
        <w:t>1</w:t>
      </w:r>
      <w:r>
        <w:rPr>
          <w:rFonts w:ascii="Arial" w:hAnsi="Arial" w:cs="Arial"/>
          <w:sz w:val="28"/>
          <w:szCs w:val="28"/>
          <w:lang w:val="es-MX"/>
        </w:rPr>
        <w:t>004</w:t>
      </w:r>
      <w:r w:rsidR="28D31204" w:rsidRPr="28D31204">
        <w:rPr>
          <w:rFonts w:ascii="Arial" w:hAnsi="Arial" w:cs="Arial"/>
          <w:sz w:val="28"/>
          <w:szCs w:val="28"/>
          <w:lang w:val="es-MX"/>
        </w:rPr>
        <w:t>)</w:t>
      </w:r>
    </w:p>
    <w:p w14:paraId="06819622" w14:textId="77777777" w:rsidR="00195073" w:rsidRPr="000A7112" w:rsidRDefault="00195073" w:rsidP="00195073">
      <w:pPr>
        <w:autoSpaceDE w:val="0"/>
        <w:autoSpaceDN w:val="0"/>
        <w:adjustRightInd w:val="0"/>
        <w:ind w:left="0" w:firstLine="0"/>
        <w:jc w:val="left"/>
        <w:rPr>
          <w:color w:val="000000"/>
          <w:lang w:eastAsia="en-US"/>
        </w:rPr>
      </w:pPr>
    </w:p>
    <w:p w14:paraId="346942B6" w14:textId="11B8B9F0" w:rsidR="00195073" w:rsidRPr="00195073" w:rsidRDefault="00195073" w:rsidP="00195073">
      <w:pPr>
        <w:autoSpaceDE w:val="0"/>
        <w:autoSpaceDN w:val="0"/>
        <w:adjustRightInd w:val="0"/>
        <w:ind w:left="0" w:firstLine="0"/>
        <w:jc w:val="center"/>
        <w:rPr>
          <w:rFonts w:ascii="Arial" w:hAnsi="Arial" w:cs="Arial"/>
          <w:smallCaps/>
          <w:color w:val="000000"/>
          <w:sz w:val="28"/>
          <w:szCs w:val="28"/>
          <w:lang w:eastAsia="en-US"/>
        </w:rPr>
      </w:pPr>
      <w:r>
        <w:rPr>
          <w:rFonts w:ascii="Arial" w:hAnsi="Arial" w:cs="Arial"/>
          <w:b/>
          <w:bCs/>
          <w:smallCaps/>
          <w:color w:val="000000"/>
          <w:sz w:val="28"/>
          <w:szCs w:val="28"/>
          <w:lang w:eastAsia="en-US"/>
        </w:rPr>
        <w:t>Segundo Préstamo Individual para el Apoyo al Plan Decenal d</w:t>
      </w:r>
      <w:r w:rsidRPr="00195073">
        <w:rPr>
          <w:rFonts w:ascii="Arial" w:hAnsi="Arial" w:cs="Arial"/>
          <w:b/>
          <w:bCs/>
          <w:smallCaps/>
          <w:color w:val="000000"/>
          <w:sz w:val="28"/>
          <w:szCs w:val="28"/>
          <w:lang w:eastAsia="en-US"/>
        </w:rPr>
        <w:t>e Educación</w:t>
      </w:r>
    </w:p>
    <w:p w14:paraId="08A4CC5B" w14:textId="453107F9" w:rsidR="00195073" w:rsidRPr="00195073" w:rsidRDefault="00195073" w:rsidP="00195073">
      <w:pPr>
        <w:pStyle w:val="Newpage"/>
        <w:spacing w:before="0" w:line="276" w:lineRule="auto"/>
        <w:rPr>
          <w:rFonts w:ascii="Arial" w:hAnsi="Arial" w:cs="Arial"/>
          <w:sz w:val="28"/>
          <w:szCs w:val="28"/>
          <w:lang w:val="es-MX"/>
        </w:rPr>
      </w:pPr>
      <w:r w:rsidRPr="000A7112">
        <w:rPr>
          <w:rFonts w:ascii="Arial" w:hAnsi="Arial" w:cs="Arial"/>
          <w:bCs/>
          <w:smallCaps w:val="0"/>
          <w:color w:val="000000"/>
          <w:sz w:val="28"/>
          <w:szCs w:val="28"/>
          <w:lang w:val="es-MX" w:eastAsia="en-US"/>
        </w:rPr>
        <w:t>(DR-L1056)</w:t>
      </w:r>
    </w:p>
    <w:p w14:paraId="066B817D" w14:textId="77777777" w:rsidR="00766159" w:rsidRPr="00195073" w:rsidRDefault="00766159" w:rsidP="00195073">
      <w:pPr>
        <w:pStyle w:val="Newpage"/>
        <w:spacing w:before="0" w:line="276" w:lineRule="auto"/>
        <w:rPr>
          <w:rFonts w:ascii="Arial" w:hAnsi="Arial" w:cs="Arial"/>
          <w:sz w:val="28"/>
          <w:szCs w:val="28"/>
          <w:lang w:val="es-MX"/>
        </w:rPr>
      </w:pPr>
    </w:p>
    <w:p w14:paraId="65535A92" w14:textId="77777777" w:rsidR="00766159" w:rsidRPr="00B2077E" w:rsidRDefault="00766159" w:rsidP="002A743C">
      <w:pPr>
        <w:pStyle w:val="Newpage"/>
        <w:spacing w:before="0" w:line="276" w:lineRule="auto"/>
        <w:jc w:val="left"/>
        <w:rPr>
          <w:rFonts w:ascii="Arial" w:hAnsi="Arial" w:cs="Arial"/>
          <w:lang w:val="es-MX"/>
        </w:rPr>
      </w:pPr>
    </w:p>
    <w:p w14:paraId="49C67BCA" w14:textId="77777777" w:rsidR="00B54624" w:rsidRPr="00B2077E" w:rsidRDefault="28D31204" w:rsidP="28D31204">
      <w:pPr>
        <w:tabs>
          <w:tab w:val="left" w:pos="1440"/>
          <w:tab w:val="left" w:pos="3060"/>
        </w:tabs>
        <w:spacing w:line="276" w:lineRule="auto"/>
        <w:jc w:val="center"/>
        <w:rPr>
          <w:rFonts w:ascii="Arial" w:hAnsi="Arial" w:cs="Arial"/>
          <w:b/>
          <w:bCs/>
          <w:smallCaps/>
          <w:sz w:val="28"/>
          <w:szCs w:val="28"/>
        </w:rPr>
      </w:pPr>
      <w:r w:rsidRPr="28D31204">
        <w:rPr>
          <w:rFonts w:ascii="Arial" w:hAnsi="Arial" w:cs="Arial"/>
          <w:b/>
          <w:bCs/>
          <w:smallCaps/>
          <w:sz w:val="28"/>
          <w:szCs w:val="28"/>
        </w:rPr>
        <w:t>Análisis de Costo Beneficio (CBA)</w:t>
      </w:r>
    </w:p>
    <w:p w14:paraId="5E87CBAC" w14:textId="0FC068A0" w:rsidR="00AB4641" w:rsidRPr="00B2077E" w:rsidRDefault="28D31204" w:rsidP="28D31204">
      <w:pPr>
        <w:tabs>
          <w:tab w:val="left" w:pos="1440"/>
          <w:tab w:val="left" w:pos="3060"/>
        </w:tabs>
        <w:spacing w:line="276" w:lineRule="auto"/>
        <w:jc w:val="center"/>
        <w:rPr>
          <w:rFonts w:ascii="Arial" w:hAnsi="Arial" w:cs="Arial"/>
          <w:b/>
          <w:bCs/>
          <w:i/>
          <w:iCs/>
          <w:smallCaps/>
        </w:rPr>
      </w:pPr>
      <w:r w:rsidRPr="28D31204">
        <w:rPr>
          <w:rFonts w:ascii="Arial" w:hAnsi="Arial" w:cs="Arial"/>
          <w:b/>
          <w:bCs/>
          <w:i/>
          <w:iCs/>
          <w:smallCaps/>
          <w:sz w:val="28"/>
          <w:szCs w:val="28"/>
        </w:rPr>
        <w:t>Ex-</w:t>
      </w:r>
      <w:r w:rsidR="0021414A">
        <w:rPr>
          <w:rFonts w:ascii="Arial" w:hAnsi="Arial" w:cs="Arial"/>
          <w:b/>
          <w:bCs/>
          <w:i/>
          <w:iCs/>
          <w:smallCaps/>
          <w:sz w:val="28"/>
          <w:szCs w:val="28"/>
        </w:rPr>
        <w:t>post</w:t>
      </w:r>
    </w:p>
    <w:p w14:paraId="1A9D76C7" w14:textId="77777777" w:rsidR="001C40A1" w:rsidRPr="00B2077E" w:rsidRDefault="001C40A1" w:rsidP="002A743C">
      <w:pPr>
        <w:tabs>
          <w:tab w:val="left" w:pos="1440"/>
          <w:tab w:val="left" w:pos="3060"/>
        </w:tabs>
        <w:spacing w:line="276" w:lineRule="auto"/>
        <w:jc w:val="center"/>
        <w:rPr>
          <w:rFonts w:ascii="Arial" w:hAnsi="Arial" w:cs="Arial"/>
          <w:smallCaps/>
        </w:rPr>
      </w:pPr>
    </w:p>
    <w:p w14:paraId="25E27C59" w14:textId="77777777" w:rsidR="00885F5A" w:rsidRPr="00B2077E" w:rsidRDefault="00885F5A" w:rsidP="002A743C">
      <w:pPr>
        <w:tabs>
          <w:tab w:val="left" w:pos="1440"/>
          <w:tab w:val="left" w:pos="3060"/>
        </w:tabs>
        <w:spacing w:line="276" w:lineRule="auto"/>
        <w:jc w:val="center"/>
        <w:rPr>
          <w:rFonts w:ascii="Arial" w:hAnsi="Arial" w:cs="Arial"/>
          <w:smallCaps/>
        </w:rPr>
      </w:pPr>
    </w:p>
    <w:p w14:paraId="7CC923D1" w14:textId="77777777" w:rsidR="00885F5A" w:rsidRPr="00B2077E" w:rsidRDefault="00885F5A" w:rsidP="002A743C">
      <w:pPr>
        <w:tabs>
          <w:tab w:val="left" w:pos="1440"/>
          <w:tab w:val="left" w:pos="3060"/>
        </w:tabs>
        <w:spacing w:line="276" w:lineRule="auto"/>
        <w:jc w:val="center"/>
        <w:rPr>
          <w:rFonts w:ascii="Arial" w:hAnsi="Arial" w:cs="Arial"/>
          <w:smallCaps/>
        </w:rPr>
      </w:pPr>
    </w:p>
    <w:p w14:paraId="4B6FFFB0" w14:textId="77777777" w:rsidR="00885F5A" w:rsidRPr="00B2077E" w:rsidRDefault="00885F5A" w:rsidP="002A743C">
      <w:pPr>
        <w:tabs>
          <w:tab w:val="left" w:pos="1440"/>
          <w:tab w:val="left" w:pos="3060"/>
        </w:tabs>
        <w:spacing w:line="276" w:lineRule="auto"/>
        <w:jc w:val="center"/>
        <w:rPr>
          <w:rFonts w:ascii="Arial" w:hAnsi="Arial" w:cs="Arial"/>
          <w:smallCaps/>
        </w:rPr>
      </w:pPr>
    </w:p>
    <w:p w14:paraId="22B0D908" w14:textId="77777777" w:rsidR="006F59EC" w:rsidRPr="00B2077E" w:rsidRDefault="006F59EC" w:rsidP="002A743C">
      <w:pPr>
        <w:tabs>
          <w:tab w:val="left" w:pos="1440"/>
          <w:tab w:val="left" w:pos="3060"/>
        </w:tabs>
        <w:spacing w:line="276" w:lineRule="auto"/>
        <w:jc w:val="center"/>
        <w:rPr>
          <w:rFonts w:ascii="Arial" w:hAnsi="Arial" w:cs="Arial"/>
          <w:smallCaps/>
        </w:rPr>
      </w:pPr>
    </w:p>
    <w:p w14:paraId="74856D95" w14:textId="77777777" w:rsidR="00316F59" w:rsidRPr="00B2077E" w:rsidRDefault="00316F59" w:rsidP="002A743C">
      <w:pPr>
        <w:tabs>
          <w:tab w:val="left" w:pos="1440"/>
          <w:tab w:val="left" w:pos="3060"/>
        </w:tabs>
        <w:spacing w:line="276" w:lineRule="auto"/>
        <w:jc w:val="center"/>
        <w:rPr>
          <w:rFonts w:ascii="Arial" w:hAnsi="Arial" w:cs="Arial"/>
          <w:smallCaps/>
        </w:rPr>
      </w:pPr>
    </w:p>
    <w:p w14:paraId="3DC9D5CE" w14:textId="77777777" w:rsidR="00316F59" w:rsidRPr="00B2077E" w:rsidRDefault="00316F59" w:rsidP="002A743C">
      <w:pPr>
        <w:tabs>
          <w:tab w:val="left" w:pos="1440"/>
          <w:tab w:val="left" w:pos="3060"/>
        </w:tabs>
        <w:spacing w:line="276" w:lineRule="auto"/>
        <w:jc w:val="center"/>
        <w:rPr>
          <w:rFonts w:ascii="Arial" w:hAnsi="Arial" w:cs="Arial"/>
          <w:smallCaps/>
        </w:rPr>
      </w:pPr>
    </w:p>
    <w:p w14:paraId="031C103D" w14:textId="6E45EC5D" w:rsidR="00F233D3" w:rsidRPr="00B2077E" w:rsidRDefault="28D31204" w:rsidP="28D31204">
      <w:pPr>
        <w:pStyle w:val="BodyText"/>
        <w:pBdr>
          <w:top w:val="single" w:sz="4" w:space="1" w:color="auto"/>
          <w:left w:val="single" w:sz="4" w:space="4" w:color="auto"/>
          <w:bottom w:val="single" w:sz="4" w:space="1" w:color="auto"/>
          <w:right w:val="single" w:sz="4" w:space="4" w:color="auto"/>
        </w:pBdr>
        <w:tabs>
          <w:tab w:val="left" w:pos="1440"/>
        </w:tabs>
        <w:spacing w:line="276" w:lineRule="auto"/>
        <w:ind w:left="0" w:firstLine="0"/>
        <w:jc w:val="both"/>
        <w:rPr>
          <w:rFonts w:ascii="Arial" w:hAnsi="Arial" w:cs="Arial"/>
          <w:sz w:val="22"/>
          <w:szCs w:val="22"/>
        </w:rPr>
      </w:pPr>
      <w:r w:rsidRPr="28D31204">
        <w:rPr>
          <w:rFonts w:ascii="Arial" w:hAnsi="Arial" w:cs="Arial"/>
          <w:sz w:val="22"/>
          <w:szCs w:val="22"/>
        </w:rPr>
        <w:t xml:space="preserve">Este documento fue preparado por </w:t>
      </w:r>
      <w:r w:rsidR="0021414A">
        <w:rPr>
          <w:rFonts w:ascii="Arial" w:hAnsi="Arial" w:cs="Arial"/>
          <w:sz w:val="22"/>
          <w:szCs w:val="22"/>
        </w:rPr>
        <w:t>Jennelle Thompson</w:t>
      </w:r>
      <w:r w:rsidRPr="28D31204">
        <w:rPr>
          <w:rFonts w:ascii="Arial" w:hAnsi="Arial" w:cs="Arial"/>
          <w:sz w:val="22"/>
          <w:szCs w:val="22"/>
        </w:rPr>
        <w:t xml:space="preserve"> (EDU/CME) y Alejandro Cruz Fano (Consultor).</w:t>
      </w:r>
    </w:p>
    <w:p w14:paraId="66A7A3D0" w14:textId="77777777" w:rsidR="00A81848" w:rsidRPr="00B2077E" w:rsidRDefault="00A81848" w:rsidP="002A743C">
      <w:pPr>
        <w:pStyle w:val="BodyText"/>
        <w:pBdr>
          <w:top w:val="single" w:sz="4" w:space="1" w:color="auto"/>
          <w:left w:val="single" w:sz="4" w:space="4" w:color="auto"/>
          <w:bottom w:val="single" w:sz="4" w:space="1" w:color="auto"/>
          <w:right w:val="single" w:sz="4" w:space="4" w:color="auto"/>
        </w:pBdr>
        <w:tabs>
          <w:tab w:val="left" w:pos="1440"/>
        </w:tabs>
        <w:spacing w:line="276" w:lineRule="auto"/>
        <w:ind w:left="0" w:firstLine="0"/>
        <w:jc w:val="both"/>
        <w:rPr>
          <w:rFonts w:ascii="Arial" w:hAnsi="Arial" w:cs="Arial"/>
          <w:sz w:val="22"/>
          <w:szCs w:val="22"/>
        </w:rPr>
        <w:sectPr w:rsidR="00A81848" w:rsidRPr="00B2077E">
          <w:headerReference w:type="even" r:id="rId8"/>
          <w:headerReference w:type="default" r:id="rId9"/>
          <w:footerReference w:type="even" r:id="rId10"/>
          <w:footerReference w:type="default" r:id="rId11"/>
          <w:headerReference w:type="first" r:id="rId12"/>
          <w:type w:val="continuous"/>
          <w:pgSz w:w="12240" w:h="15840" w:code="1"/>
          <w:pgMar w:top="1440" w:right="1800" w:bottom="1440" w:left="1800" w:header="706" w:footer="706" w:gutter="0"/>
          <w:pgNumType w:fmt="lowerRoman" w:start="1"/>
          <w:cols w:space="720"/>
          <w:formProt w:val="0"/>
          <w:titlePg/>
        </w:sectPr>
      </w:pPr>
    </w:p>
    <w:p w14:paraId="4844507C" w14:textId="77777777" w:rsidR="00436533" w:rsidRPr="00B2077E" w:rsidRDefault="00436533" w:rsidP="002A743C">
      <w:pPr>
        <w:tabs>
          <w:tab w:val="left" w:pos="1440"/>
          <w:tab w:val="left" w:pos="3060"/>
        </w:tabs>
        <w:spacing w:line="276" w:lineRule="auto"/>
        <w:jc w:val="center"/>
        <w:rPr>
          <w:rFonts w:ascii="Arial" w:hAnsi="Arial" w:cs="Arial"/>
          <w:smallCaps/>
          <w:sz w:val="22"/>
          <w:szCs w:val="22"/>
        </w:rPr>
      </w:pPr>
    </w:p>
    <w:p w14:paraId="7FD0816E" w14:textId="77777777" w:rsidR="00436533" w:rsidRPr="00B2077E" w:rsidRDefault="28D31204" w:rsidP="28D31204">
      <w:pPr>
        <w:pStyle w:val="BodyText"/>
        <w:pBdr>
          <w:top w:val="single" w:sz="4" w:space="1" w:color="auto"/>
          <w:left w:val="single" w:sz="4" w:space="4" w:color="auto"/>
          <w:bottom w:val="single" w:sz="4" w:space="1" w:color="auto"/>
          <w:right w:val="single" w:sz="4" w:space="4" w:color="auto"/>
        </w:pBdr>
        <w:tabs>
          <w:tab w:val="left" w:pos="1440"/>
        </w:tabs>
        <w:spacing w:line="276" w:lineRule="auto"/>
        <w:ind w:left="0" w:firstLine="0"/>
        <w:jc w:val="both"/>
        <w:rPr>
          <w:rFonts w:ascii="Arial" w:hAnsi="Arial" w:cs="Arial"/>
          <w:sz w:val="22"/>
          <w:szCs w:val="22"/>
        </w:rPr>
      </w:pPr>
      <w:r w:rsidRPr="28D31204">
        <w:rPr>
          <w:rFonts w:ascii="Arial" w:eastAsia="Calibri" w:hAnsi="Arial" w:cs="Arial"/>
          <w:sz w:val="22"/>
          <w:szCs w:val="22"/>
        </w:rPr>
        <w:t>Este documento contiene información confidencial que no puede ser compartida sin permiso de los responsables del Proyecto. En este sentido se ruega su no divulgación a audiencias externas al BID.</w:t>
      </w:r>
    </w:p>
    <w:p w14:paraId="7D0257BC" w14:textId="77777777" w:rsidR="00E54E85" w:rsidRPr="00B2077E" w:rsidRDefault="00E54E85" w:rsidP="002A743C">
      <w:pPr>
        <w:spacing w:line="276" w:lineRule="auto"/>
        <w:rPr>
          <w:rFonts w:ascii="Arial" w:hAnsi="Arial" w:cs="Arial"/>
          <w:b/>
          <w:smallCaps/>
        </w:rPr>
      </w:pPr>
      <w:r w:rsidRPr="00B2077E">
        <w:rPr>
          <w:rFonts w:ascii="Arial" w:hAnsi="Arial" w:cs="Arial"/>
        </w:rPr>
        <w:br w:type="page"/>
      </w:r>
    </w:p>
    <w:p w14:paraId="5DECD463" w14:textId="77777777" w:rsidR="00B54624" w:rsidRPr="00B2077E" w:rsidRDefault="28D31204" w:rsidP="28D31204">
      <w:pPr>
        <w:pStyle w:val="Newpage"/>
        <w:spacing w:line="276" w:lineRule="auto"/>
        <w:rPr>
          <w:rFonts w:ascii="Arial" w:hAnsi="Arial" w:cs="Arial"/>
          <w:color w:val="365F91"/>
          <w:sz w:val="28"/>
          <w:szCs w:val="28"/>
          <w:lang w:val="es-MX"/>
        </w:rPr>
      </w:pPr>
      <w:r w:rsidRPr="28D31204">
        <w:rPr>
          <w:rFonts w:ascii="Arial" w:hAnsi="Arial" w:cs="Arial"/>
          <w:color w:val="365F91"/>
          <w:sz w:val="28"/>
          <w:szCs w:val="28"/>
          <w:lang w:val="es-MX"/>
        </w:rPr>
        <w:lastRenderedPageBreak/>
        <w:t>Índice</w:t>
      </w:r>
    </w:p>
    <w:p w14:paraId="619CB500" w14:textId="77777777" w:rsidR="00B54624" w:rsidRPr="00B2077E" w:rsidRDefault="00B54624" w:rsidP="00C77100">
      <w:pPr>
        <w:pStyle w:val="TOC3"/>
        <w:spacing w:line="276" w:lineRule="auto"/>
        <w:jc w:val="center"/>
        <w:rPr>
          <w:rFonts w:ascii="Arial" w:hAnsi="Arial" w:cs="Arial"/>
          <w:lang w:val="es-MX"/>
        </w:rPr>
      </w:pPr>
    </w:p>
    <w:p w14:paraId="023BFA32" w14:textId="77777777" w:rsidR="004C2E85" w:rsidRPr="004C2E85" w:rsidRDefault="00D71BCE" w:rsidP="004C2E85">
      <w:pPr>
        <w:pStyle w:val="TOC1"/>
        <w:tabs>
          <w:tab w:val="left" w:pos="851"/>
          <w:tab w:val="right" w:leader="dot" w:pos="8630"/>
        </w:tabs>
        <w:ind w:left="284"/>
        <w:rPr>
          <w:rFonts w:ascii="Arial" w:eastAsiaTheme="minorEastAsia" w:hAnsi="Arial" w:cs="Arial"/>
          <w:b w:val="0"/>
          <w:smallCaps w:val="0"/>
          <w:sz w:val="24"/>
          <w:szCs w:val="24"/>
          <w:lang w:val="en-US" w:eastAsia="en-US"/>
        </w:rPr>
      </w:pPr>
      <w:r w:rsidRPr="004C2E85">
        <w:rPr>
          <w:rFonts w:ascii="Arial" w:hAnsi="Arial" w:cs="Arial"/>
          <w:b w:val="0"/>
          <w:sz w:val="24"/>
          <w:szCs w:val="24"/>
          <w:lang w:val="es-MX"/>
        </w:rPr>
        <w:fldChar w:fldCharType="begin"/>
      </w:r>
      <w:r w:rsidRPr="004C2E85">
        <w:rPr>
          <w:rFonts w:ascii="Arial" w:hAnsi="Arial" w:cs="Arial"/>
          <w:b w:val="0"/>
          <w:sz w:val="24"/>
          <w:szCs w:val="24"/>
          <w:lang w:val="es-MX"/>
        </w:rPr>
        <w:instrText xml:space="preserve"> TOC \o "1-1" \h \z \u </w:instrText>
      </w:r>
      <w:r w:rsidRPr="004C2E85">
        <w:rPr>
          <w:rFonts w:ascii="Arial" w:hAnsi="Arial" w:cs="Arial"/>
          <w:b w:val="0"/>
          <w:sz w:val="24"/>
          <w:szCs w:val="24"/>
          <w:lang w:val="es-MX"/>
        </w:rPr>
        <w:fldChar w:fldCharType="separate"/>
      </w:r>
      <w:hyperlink w:anchor="_Toc499617475" w:history="1">
        <w:r w:rsidR="004C2E85" w:rsidRPr="004C2E85">
          <w:rPr>
            <w:rStyle w:val="Hyperlink"/>
            <w:rFonts w:ascii="Arial" w:hAnsi="Arial" w:cs="Arial"/>
            <w:b w:val="0"/>
            <w:sz w:val="24"/>
            <w:szCs w:val="24"/>
          </w:rPr>
          <w:t>I.</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hAnsi="Arial" w:cs="Arial"/>
            <w:b w:val="0"/>
            <w:sz w:val="24"/>
            <w:szCs w:val="24"/>
          </w:rPr>
          <w:t>Introducción</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_Toc499617475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1</w:t>
        </w:r>
        <w:r w:rsidR="004C2E85" w:rsidRPr="004C2E85">
          <w:rPr>
            <w:rFonts w:ascii="Arial" w:hAnsi="Arial" w:cs="Arial"/>
            <w:b w:val="0"/>
            <w:webHidden/>
            <w:sz w:val="24"/>
            <w:szCs w:val="24"/>
          </w:rPr>
          <w:fldChar w:fldCharType="end"/>
        </w:r>
      </w:hyperlink>
    </w:p>
    <w:p w14:paraId="51FA12C6" w14:textId="7AE090C7" w:rsidR="004C2E85" w:rsidRPr="004C2E85" w:rsidRDefault="002B19D2" w:rsidP="004C2E85">
      <w:pPr>
        <w:pStyle w:val="TOC1"/>
        <w:tabs>
          <w:tab w:val="left" w:pos="851"/>
          <w:tab w:val="right" w:leader="dot" w:pos="8630"/>
        </w:tabs>
        <w:ind w:left="284"/>
        <w:rPr>
          <w:rFonts w:ascii="Arial" w:eastAsiaTheme="minorEastAsia" w:hAnsi="Arial" w:cs="Arial"/>
          <w:b w:val="0"/>
          <w:smallCaps w:val="0"/>
          <w:sz w:val="24"/>
          <w:szCs w:val="24"/>
          <w:lang w:val="en-US" w:eastAsia="en-US"/>
        </w:rPr>
      </w:pPr>
      <w:hyperlink w:anchor="_Toc499617476" w:history="1">
        <w:r w:rsidR="004C2E85" w:rsidRPr="004C2E85">
          <w:rPr>
            <w:rStyle w:val="Hyperlink"/>
            <w:rFonts w:ascii="Arial" w:hAnsi="Arial" w:cs="Arial"/>
            <w:b w:val="0"/>
            <w:sz w:val="24"/>
            <w:szCs w:val="24"/>
          </w:rPr>
          <w:t>II.</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hAnsi="Arial" w:cs="Arial"/>
            <w:b w:val="0"/>
            <w:sz w:val="24"/>
            <w:szCs w:val="24"/>
          </w:rPr>
          <w:t>Antecedentes</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_Toc499617476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1</w:t>
        </w:r>
        <w:r w:rsidR="004C2E85" w:rsidRPr="004C2E85">
          <w:rPr>
            <w:rFonts w:ascii="Arial" w:hAnsi="Arial" w:cs="Arial"/>
            <w:b w:val="0"/>
            <w:webHidden/>
            <w:sz w:val="24"/>
            <w:szCs w:val="24"/>
          </w:rPr>
          <w:fldChar w:fldCharType="end"/>
        </w:r>
      </w:hyperlink>
    </w:p>
    <w:p w14:paraId="01AF2222" w14:textId="77777777" w:rsidR="004C2E85" w:rsidRPr="004C2E85" w:rsidRDefault="002B19D2" w:rsidP="004C2E85">
      <w:pPr>
        <w:pStyle w:val="TOC1"/>
        <w:tabs>
          <w:tab w:val="left" w:pos="851"/>
          <w:tab w:val="left" w:pos="1807"/>
          <w:tab w:val="right" w:leader="dot" w:pos="8630"/>
        </w:tabs>
        <w:ind w:left="284"/>
        <w:rPr>
          <w:rFonts w:ascii="Arial" w:eastAsiaTheme="minorEastAsia" w:hAnsi="Arial" w:cs="Arial"/>
          <w:b w:val="0"/>
          <w:smallCaps w:val="0"/>
          <w:sz w:val="24"/>
          <w:szCs w:val="24"/>
          <w:lang w:val="en-US" w:eastAsia="en-US"/>
        </w:rPr>
      </w:pPr>
      <w:hyperlink w:anchor="_Toc499617477" w:history="1">
        <w:r w:rsidR="004C2E85" w:rsidRPr="004C2E85">
          <w:rPr>
            <w:rStyle w:val="Hyperlink"/>
            <w:rFonts w:ascii="Arial" w:hAnsi="Arial" w:cs="Arial"/>
            <w:b w:val="0"/>
            <w:sz w:val="24"/>
            <w:szCs w:val="24"/>
          </w:rPr>
          <w:t>III.</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hAnsi="Arial" w:cs="Arial"/>
            <w:b w:val="0"/>
            <w:sz w:val="24"/>
            <w:szCs w:val="24"/>
          </w:rPr>
          <w:t>Análisis costo beneficio</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_Toc499617477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4</w:t>
        </w:r>
        <w:r w:rsidR="004C2E85" w:rsidRPr="004C2E85">
          <w:rPr>
            <w:rFonts w:ascii="Arial" w:hAnsi="Arial" w:cs="Arial"/>
            <w:b w:val="0"/>
            <w:webHidden/>
            <w:sz w:val="24"/>
            <w:szCs w:val="24"/>
          </w:rPr>
          <w:fldChar w:fldCharType="end"/>
        </w:r>
      </w:hyperlink>
    </w:p>
    <w:p w14:paraId="36BD218F" w14:textId="77777777" w:rsidR="004C2E85" w:rsidRPr="004C2E85" w:rsidRDefault="002B19D2" w:rsidP="004C2E85">
      <w:pPr>
        <w:pStyle w:val="TOC1"/>
        <w:tabs>
          <w:tab w:val="left" w:pos="851"/>
          <w:tab w:val="left" w:pos="1838"/>
          <w:tab w:val="right" w:leader="dot" w:pos="8630"/>
        </w:tabs>
        <w:ind w:left="284"/>
        <w:rPr>
          <w:rFonts w:ascii="Arial" w:eastAsiaTheme="minorEastAsia" w:hAnsi="Arial" w:cs="Arial"/>
          <w:b w:val="0"/>
          <w:smallCaps w:val="0"/>
          <w:sz w:val="24"/>
          <w:szCs w:val="24"/>
          <w:lang w:val="en-US" w:eastAsia="en-US"/>
        </w:rPr>
      </w:pPr>
      <w:hyperlink w:anchor="_Toc499617478" w:history="1">
        <w:r w:rsidR="004C2E85" w:rsidRPr="004C2E85">
          <w:rPr>
            <w:rStyle w:val="Hyperlink"/>
            <w:rFonts w:ascii="Arial" w:hAnsi="Arial" w:cs="Arial"/>
            <w:b w:val="0"/>
            <w:sz w:val="24"/>
            <w:szCs w:val="24"/>
          </w:rPr>
          <w:t>IV.</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hAnsi="Arial" w:cs="Arial"/>
            <w:b w:val="0"/>
            <w:sz w:val="24"/>
            <w:szCs w:val="24"/>
          </w:rPr>
          <w:t>Metodología, parámetros y supuestos</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_Toc499617478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5</w:t>
        </w:r>
        <w:r w:rsidR="004C2E85" w:rsidRPr="004C2E85">
          <w:rPr>
            <w:rFonts w:ascii="Arial" w:hAnsi="Arial" w:cs="Arial"/>
            <w:b w:val="0"/>
            <w:webHidden/>
            <w:sz w:val="24"/>
            <w:szCs w:val="24"/>
          </w:rPr>
          <w:fldChar w:fldCharType="end"/>
        </w:r>
      </w:hyperlink>
    </w:p>
    <w:p w14:paraId="10BD2F11" w14:textId="77777777" w:rsidR="004C2E85" w:rsidRPr="004C2E85" w:rsidRDefault="002B19D2" w:rsidP="004C2E85">
      <w:pPr>
        <w:pStyle w:val="TOC1"/>
        <w:tabs>
          <w:tab w:val="left" w:pos="851"/>
          <w:tab w:val="left" w:pos="1761"/>
          <w:tab w:val="right" w:leader="dot" w:pos="8630"/>
        </w:tabs>
        <w:ind w:left="284"/>
        <w:rPr>
          <w:rFonts w:ascii="Arial" w:eastAsiaTheme="minorEastAsia" w:hAnsi="Arial" w:cs="Arial"/>
          <w:b w:val="0"/>
          <w:smallCaps w:val="0"/>
          <w:sz w:val="24"/>
          <w:szCs w:val="24"/>
          <w:lang w:val="en-US" w:eastAsia="en-US"/>
        </w:rPr>
      </w:pPr>
      <w:hyperlink w:anchor="_Toc499617479" w:history="1">
        <w:r w:rsidR="004C2E85" w:rsidRPr="004C2E85">
          <w:rPr>
            <w:rStyle w:val="Hyperlink"/>
            <w:rFonts w:ascii="Arial" w:hAnsi="Arial" w:cs="Arial"/>
            <w:b w:val="0"/>
            <w:sz w:val="24"/>
            <w:szCs w:val="24"/>
          </w:rPr>
          <w:t>V.</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hAnsi="Arial" w:cs="Arial"/>
            <w:b w:val="0"/>
            <w:sz w:val="24"/>
            <w:szCs w:val="24"/>
          </w:rPr>
          <w:t>Estructura de costos y beneficios</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_Toc499617479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7</w:t>
        </w:r>
        <w:r w:rsidR="004C2E85" w:rsidRPr="004C2E85">
          <w:rPr>
            <w:rFonts w:ascii="Arial" w:hAnsi="Arial" w:cs="Arial"/>
            <w:b w:val="0"/>
            <w:webHidden/>
            <w:sz w:val="24"/>
            <w:szCs w:val="24"/>
          </w:rPr>
          <w:fldChar w:fldCharType="end"/>
        </w:r>
      </w:hyperlink>
    </w:p>
    <w:p w14:paraId="44C34790" w14:textId="77777777" w:rsidR="004C2E85" w:rsidRPr="004C2E85" w:rsidRDefault="002B19D2" w:rsidP="004C2E85">
      <w:pPr>
        <w:pStyle w:val="TOC1"/>
        <w:tabs>
          <w:tab w:val="left" w:pos="851"/>
          <w:tab w:val="left" w:pos="1838"/>
          <w:tab w:val="right" w:leader="dot" w:pos="8630"/>
        </w:tabs>
        <w:ind w:left="284"/>
        <w:rPr>
          <w:rFonts w:ascii="Arial" w:eastAsiaTheme="minorEastAsia" w:hAnsi="Arial" w:cs="Arial"/>
          <w:b w:val="0"/>
          <w:smallCaps w:val="0"/>
          <w:sz w:val="24"/>
          <w:szCs w:val="24"/>
          <w:lang w:val="en-US" w:eastAsia="en-US"/>
        </w:rPr>
      </w:pPr>
      <w:hyperlink w:anchor="_Toc499617480" w:history="1">
        <w:r w:rsidR="004C2E85" w:rsidRPr="004C2E85">
          <w:rPr>
            <w:rStyle w:val="Hyperlink"/>
            <w:rFonts w:ascii="Arial" w:hAnsi="Arial" w:cs="Arial"/>
            <w:b w:val="0"/>
            <w:sz w:val="24"/>
            <w:szCs w:val="24"/>
          </w:rPr>
          <w:t>VI.</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hAnsi="Arial" w:cs="Arial"/>
            <w:b w:val="0"/>
            <w:sz w:val="24"/>
            <w:szCs w:val="24"/>
          </w:rPr>
          <w:t>Análisis de sensibilidad y riesgo</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_Toc499617480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14</w:t>
        </w:r>
        <w:r w:rsidR="004C2E85" w:rsidRPr="004C2E85">
          <w:rPr>
            <w:rFonts w:ascii="Arial" w:hAnsi="Arial" w:cs="Arial"/>
            <w:b w:val="0"/>
            <w:webHidden/>
            <w:sz w:val="24"/>
            <w:szCs w:val="24"/>
          </w:rPr>
          <w:fldChar w:fldCharType="end"/>
        </w:r>
      </w:hyperlink>
    </w:p>
    <w:p w14:paraId="129D357C" w14:textId="77777777" w:rsidR="004C2E85" w:rsidRPr="004C2E85" w:rsidRDefault="002B19D2" w:rsidP="004C2E85">
      <w:pPr>
        <w:pStyle w:val="TOC1"/>
        <w:tabs>
          <w:tab w:val="left" w:pos="851"/>
          <w:tab w:val="left" w:pos="1916"/>
          <w:tab w:val="right" w:leader="dot" w:pos="8630"/>
        </w:tabs>
        <w:ind w:left="284"/>
        <w:rPr>
          <w:rFonts w:ascii="Arial" w:eastAsiaTheme="minorEastAsia" w:hAnsi="Arial" w:cs="Arial"/>
          <w:b w:val="0"/>
          <w:smallCaps w:val="0"/>
          <w:sz w:val="24"/>
          <w:szCs w:val="24"/>
          <w:lang w:val="en-US" w:eastAsia="en-US"/>
        </w:rPr>
      </w:pPr>
      <w:hyperlink w:anchor="_Toc499617481" w:history="1">
        <w:r w:rsidR="004C2E85" w:rsidRPr="004C2E85">
          <w:rPr>
            <w:rStyle w:val="Hyperlink"/>
            <w:rFonts w:ascii="Arial" w:eastAsia="BatangChe" w:hAnsi="Arial" w:cs="Arial"/>
            <w:b w:val="0"/>
            <w:sz w:val="24"/>
            <w:szCs w:val="24"/>
            <w:lang w:val="es-MX"/>
          </w:rPr>
          <w:t>VII.</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hAnsi="Arial" w:cs="Arial"/>
            <w:b w:val="0"/>
            <w:sz w:val="24"/>
            <w:szCs w:val="24"/>
          </w:rPr>
          <w:t>Comentarios finales</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_Toc499617481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15</w:t>
        </w:r>
        <w:r w:rsidR="004C2E85" w:rsidRPr="004C2E85">
          <w:rPr>
            <w:rFonts w:ascii="Arial" w:hAnsi="Arial" w:cs="Arial"/>
            <w:b w:val="0"/>
            <w:webHidden/>
            <w:sz w:val="24"/>
            <w:szCs w:val="24"/>
          </w:rPr>
          <w:fldChar w:fldCharType="end"/>
        </w:r>
      </w:hyperlink>
    </w:p>
    <w:p w14:paraId="3419852E" w14:textId="77777777" w:rsidR="004C2E85" w:rsidRPr="004C2E85" w:rsidRDefault="002B19D2" w:rsidP="004C2E85">
      <w:pPr>
        <w:pStyle w:val="TOC1"/>
        <w:tabs>
          <w:tab w:val="left" w:pos="851"/>
          <w:tab w:val="left" w:pos="1994"/>
          <w:tab w:val="right" w:leader="dot" w:pos="8630"/>
        </w:tabs>
        <w:ind w:left="284"/>
        <w:rPr>
          <w:rFonts w:ascii="Arial" w:eastAsiaTheme="minorEastAsia" w:hAnsi="Arial" w:cs="Arial"/>
          <w:b w:val="0"/>
          <w:smallCaps w:val="0"/>
          <w:sz w:val="24"/>
          <w:szCs w:val="24"/>
          <w:lang w:val="en-US" w:eastAsia="en-US"/>
        </w:rPr>
      </w:pPr>
      <w:hyperlink w:anchor="_Toc499617482" w:history="1">
        <w:r w:rsidR="004C2E85" w:rsidRPr="004C2E85">
          <w:rPr>
            <w:rStyle w:val="Hyperlink"/>
            <w:rFonts w:ascii="Arial" w:eastAsia="BatangChe" w:hAnsi="Arial" w:cs="Arial"/>
            <w:b w:val="0"/>
            <w:sz w:val="24"/>
            <w:szCs w:val="24"/>
            <w:lang w:val="es-AR"/>
          </w:rPr>
          <w:t>VIII.</w:t>
        </w:r>
        <w:r w:rsidR="004C2E85" w:rsidRPr="004C2E85">
          <w:rPr>
            <w:rFonts w:ascii="Arial" w:eastAsiaTheme="minorEastAsia" w:hAnsi="Arial" w:cs="Arial"/>
            <w:b w:val="0"/>
            <w:smallCaps w:val="0"/>
            <w:sz w:val="24"/>
            <w:szCs w:val="24"/>
            <w:lang w:val="en-US" w:eastAsia="en-US"/>
          </w:rPr>
          <w:tab/>
        </w:r>
        <w:r w:rsidR="004C2E85" w:rsidRPr="004C2E85">
          <w:rPr>
            <w:rStyle w:val="Hyperlink"/>
            <w:rFonts w:ascii="Arial" w:eastAsia="BatangChe" w:hAnsi="Arial" w:cs="Arial"/>
            <w:b w:val="0"/>
            <w:sz w:val="24"/>
            <w:szCs w:val="24"/>
            <w:lang w:val="es-AR"/>
          </w:rPr>
          <w:t>Bibliografía</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_Toc499617482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16</w:t>
        </w:r>
        <w:r w:rsidR="004C2E85" w:rsidRPr="004C2E85">
          <w:rPr>
            <w:rFonts w:ascii="Arial" w:hAnsi="Arial" w:cs="Arial"/>
            <w:b w:val="0"/>
            <w:webHidden/>
            <w:sz w:val="24"/>
            <w:szCs w:val="24"/>
          </w:rPr>
          <w:fldChar w:fldCharType="end"/>
        </w:r>
      </w:hyperlink>
    </w:p>
    <w:p w14:paraId="5216F2DA" w14:textId="77777777" w:rsidR="004C2E85" w:rsidRPr="004C2E85" w:rsidRDefault="002B19D2" w:rsidP="004C2E85">
      <w:pPr>
        <w:pStyle w:val="TOC1"/>
        <w:tabs>
          <w:tab w:val="left" w:pos="851"/>
          <w:tab w:val="right" w:leader="dot" w:pos="8630"/>
        </w:tabs>
        <w:ind w:left="284"/>
        <w:rPr>
          <w:rFonts w:ascii="Arial" w:eastAsiaTheme="minorEastAsia" w:hAnsi="Arial" w:cs="Arial"/>
          <w:b w:val="0"/>
          <w:smallCaps w:val="0"/>
          <w:sz w:val="24"/>
          <w:szCs w:val="24"/>
          <w:lang w:val="en-US" w:eastAsia="en-US"/>
        </w:rPr>
      </w:pPr>
      <w:hyperlink w:anchor="_Toc499617483" w:history="1">
        <w:r w:rsidR="004C2E85" w:rsidRPr="004C2E85">
          <w:rPr>
            <w:rStyle w:val="Hyperlink"/>
            <w:rFonts w:ascii="Arial" w:hAnsi="Arial" w:cs="Arial"/>
            <w:b w:val="0"/>
            <w:sz w:val="24"/>
            <w:szCs w:val="24"/>
            <w:lang w:val="es-MX"/>
          </w:rPr>
          <w:t>anexos</w:t>
        </w:r>
        <w:r w:rsidR="004C2E85" w:rsidRPr="004C2E85">
          <w:rPr>
            <w:rFonts w:ascii="Arial" w:hAnsi="Arial" w:cs="Arial"/>
            <w:b w:val="0"/>
            <w:webHidden/>
            <w:sz w:val="24"/>
            <w:szCs w:val="24"/>
          </w:rPr>
          <w:tab/>
        </w:r>
        <w:r w:rsidR="004C2E85" w:rsidRPr="004C2E85">
          <w:rPr>
            <w:rFonts w:ascii="Arial" w:hAnsi="Arial" w:cs="Arial"/>
            <w:b w:val="0"/>
            <w:webHidden/>
            <w:sz w:val="24"/>
            <w:szCs w:val="24"/>
          </w:rPr>
          <w:fldChar w:fldCharType="begin"/>
        </w:r>
        <w:r w:rsidR="004C2E85" w:rsidRPr="004C2E85">
          <w:rPr>
            <w:rFonts w:ascii="Arial" w:hAnsi="Arial" w:cs="Arial"/>
            <w:b w:val="0"/>
            <w:webHidden/>
            <w:sz w:val="24"/>
            <w:szCs w:val="24"/>
          </w:rPr>
          <w:instrText xml:space="preserve"> PAGEREF _Toc499617483 \h </w:instrText>
        </w:r>
        <w:r w:rsidR="004C2E85" w:rsidRPr="004C2E85">
          <w:rPr>
            <w:rFonts w:ascii="Arial" w:hAnsi="Arial" w:cs="Arial"/>
            <w:b w:val="0"/>
            <w:webHidden/>
            <w:sz w:val="24"/>
            <w:szCs w:val="24"/>
          </w:rPr>
        </w:r>
        <w:r w:rsidR="004C2E85" w:rsidRPr="004C2E85">
          <w:rPr>
            <w:rFonts w:ascii="Arial" w:hAnsi="Arial" w:cs="Arial"/>
            <w:b w:val="0"/>
            <w:webHidden/>
            <w:sz w:val="24"/>
            <w:szCs w:val="24"/>
          </w:rPr>
          <w:fldChar w:fldCharType="separate"/>
        </w:r>
        <w:r w:rsidR="004C2E85" w:rsidRPr="004C2E85">
          <w:rPr>
            <w:rFonts w:ascii="Arial" w:hAnsi="Arial" w:cs="Arial"/>
            <w:b w:val="0"/>
            <w:webHidden/>
            <w:sz w:val="24"/>
            <w:szCs w:val="24"/>
          </w:rPr>
          <w:t>20</w:t>
        </w:r>
        <w:r w:rsidR="004C2E85" w:rsidRPr="004C2E85">
          <w:rPr>
            <w:rFonts w:ascii="Arial" w:hAnsi="Arial" w:cs="Arial"/>
            <w:b w:val="0"/>
            <w:webHidden/>
            <w:sz w:val="24"/>
            <w:szCs w:val="24"/>
          </w:rPr>
          <w:fldChar w:fldCharType="end"/>
        </w:r>
      </w:hyperlink>
    </w:p>
    <w:p w14:paraId="295CD32B" w14:textId="77777777" w:rsidR="00B54624" w:rsidRPr="00B2077E" w:rsidRDefault="00D71BCE" w:rsidP="004C2E85">
      <w:pPr>
        <w:pStyle w:val="Newpage"/>
        <w:keepLines/>
        <w:tabs>
          <w:tab w:val="left" w:pos="851"/>
        </w:tabs>
        <w:spacing w:after="240" w:line="276" w:lineRule="auto"/>
        <w:ind w:left="284"/>
        <w:rPr>
          <w:rFonts w:ascii="Arial" w:hAnsi="Arial" w:cs="Arial"/>
          <w:sz w:val="16"/>
          <w:szCs w:val="16"/>
          <w:lang w:val="es-MX"/>
        </w:rPr>
      </w:pPr>
      <w:r w:rsidRPr="004C2E85">
        <w:rPr>
          <w:rFonts w:ascii="Arial" w:hAnsi="Arial" w:cs="Arial"/>
          <w:b w:val="0"/>
          <w:lang w:val="es-MX"/>
        </w:rPr>
        <w:fldChar w:fldCharType="end"/>
      </w:r>
    </w:p>
    <w:p w14:paraId="691DD503" w14:textId="77777777" w:rsidR="00B54624" w:rsidRPr="00B2077E" w:rsidRDefault="00B54624" w:rsidP="002A743C">
      <w:pPr>
        <w:tabs>
          <w:tab w:val="left" w:pos="3060"/>
        </w:tabs>
        <w:spacing w:line="276" w:lineRule="auto"/>
        <w:rPr>
          <w:rFonts w:ascii="Arial" w:hAnsi="Arial" w:cs="Arial"/>
          <w:b/>
        </w:rPr>
      </w:pPr>
      <w:r w:rsidRPr="00B2077E">
        <w:rPr>
          <w:rFonts w:ascii="Arial" w:hAnsi="Arial" w:cs="Arial"/>
          <w:b/>
        </w:rPr>
        <w:br w:type="page"/>
      </w:r>
    </w:p>
    <w:p w14:paraId="3881BD5D" w14:textId="77777777" w:rsidR="00B54624" w:rsidRPr="007C7001" w:rsidRDefault="28D31204" w:rsidP="28D31204">
      <w:pPr>
        <w:pStyle w:val="Newpage"/>
        <w:tabs>
          <w:tab w:val="clear" w:pos="3060"/>
          <w:tab w:val="left" w:pos="0"/>
        </w:tabs>
        <w:spacing w:line="276" w:lineRule="auto"/>
        <w:rPr>
          <w:rFonts w:ascii="Arial" w:hAnsi="Arial" w:cs="Arial"/>
          <w:lang w:val="es-MX"/>
        </w:rPr>
      </w:pPr>
      <w:r w:rsidRPr="007C7001">
        <w:rPr>
          <w:rFonts w:ascii="Arial" w:hAnsi="Arial" w:cs="Arial"/>
          <w:lang w:val="es-MX"/>
        </w:rPr>
        <w:lastRenderedPageBreak/>
        <w:t>Abreviaturas</w:t>
      </w:r>
    </w:p>
    <w:p w14:paraId="644A7A7D" w14:textId="77777777" w:rsidR="00277A23" w:rsidRPr="0021414A" w:rsidRDefault="00277A23" w:rsidP="002A743C">
      <w:pPr>
        <w:pStyle w:val="Newpage"/>
        <w:tabs>
          <w:tab w:val="clear" w:pos="3060"/>
          <w:tab w:val="left" w:pos="0"/>
        </w:tabs>
        <w:spacing w:line="276" w:lineRule="auto"/>
        <w:rPr>
          <w:rFonts w:ascii="Arial" w:hAnsi="Arial" w:cs="Arial"/>
          <w:highlight w:val="yellow"/>
          <w:lang w:val="es-MX"/>
        </w:rPr>
      </w:pPr>
    </w:p>
    <w:tbl>
      <w:tblPr>
        <w:tblW w:w="9096" w:type="dxa"/>
        <w:tblInd w:w="70" w:type="dxa"/>
        <w:tblCellMar>
          <w:left w:w="70" w:type="dxa"/>
          <w:right w:w="70" w:type="dxa"/>
        </w:tblCellMar>
        <w:tblLook w:val="04A0" w:firstRow="1" w:lastRow="0" w:firstColumn="1" w:lastColumn="0" w:noHBand="0" w:noVBand="1"/>
      </w:tblPr>
      <w:tblGrid>
        <w:gridCol w:w="146"/>
        <w:gridCol w:w="9306"/>
      </w:tblGrid>
      <w:tr w:rsidR="001E4639" w:rsidRPr="0021414A" w14:paraId="495B5E04" w14:textId="77777777" w:rsidTr="28D31204">
        <w:trPr>
          <w:trHeight w:val="315"/>
        </w:trPr>
        <w:tc>
          <w:tcPr>
            <w:tcW w:w="1418" w:type="dxa"/>
            <w:tcBorders>
              <w:top w:val="nil"/>
              <w:left w:val="nil"/>
              <w:bottom w:val="nil"/>
              <w:right w:val="nil"/>
            </w:tcBorders>
            <w:shd w:val="clear" w:color="auto" w:fill="auto"/>
            <w:vAlign w:val="center"/>
          </w:tcPr>
          <w:p w14:paraId="184A0838" w14:textId="1FF1E109"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tbl>
            <w:tblPr>
              <w:tblW w:w="9096" w:type="dxa"/>
              <w:tblInd w:w="70" w:type="dxa"/>
              <w:tblCellMar>
                <w:left w:w="70" w:type="dxa"/>
                <w:right w:w="70" w:type="dxa"/>
              </w:tblCellMar>
              <w:tblLook w:val="04A0" w:firstRow="1" w:lastRow="0" w:firstColumn="1" w:lastColumn="0" w:noHBand="0" w:noVBand="1"/>
            </w:tblPr>
            <w:tblGrid>
              <w:gridCol w:w="1418"/>
              <w:gridCol w:w="7678"/>
            </w:tblGrid>
            <w:tr w:rsidR="00322B91" w:rsidRPr="0058521B" w14:paraId="3495968A" w14:textId="77777777" w:rsidTr="00565E3F">
              <w:trPr>
                <w:trHeight w:val="315"/>
              </w:trPr>
              <w:tc>
                <w:tcPr>
                  <w:tcW w:w="1418" w:type="dxa"/>
                  <w:tcBorders>
                    <w:top w:val="nil"/>
                    <w:left w:val="nil"/>
                    <w:bottom w:val="nil"/>
                    <w:right w:val="nil"/>
                  </w:tcBorders>
                  <w:shd w:val="clear" w:color="auto" w:fill="auto"/>
                  <w:vAlign w:val="center"/>
                </w:tcPr>
                <w:p w14:paraId="7068ACDE"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ACB</w:t>
                  </w:r>
                </w:p>
              </w:tc>
              <w:tc>
                <w:tcPr>
                  <w:tcW w:w="7678" w:type="dxa"/>
                  <w:tcBorders>
                    <w:top w:val="nil"/>
                    <w:left w:val="nil"/>
                    <w:bottom w:val="nil"/>
                    <w:right w:val="nil"/>
                  </w:tcBorders>
                  <w:shd w:val="clear" w:color="auto" w:fill="auto"/>
                  <w:vAlign w:val="center"/>
                </w:tcPr>
                <w:p w14:paraId="7ABCB5C1"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Análisis Costo-Beneficio</w:t>
                  </w:r>
                </w:p>
              </w:tc>
            </w:tr>
            <w:tr w:rsidR="00322B91" w:rsidRPr="0058521B" w14:paraId="75EB126E" w14:textId="77777777" w:rsidTr="00565E3F">
              <w:trPr>
                <w:trHeight w:val="315"/>
              </w:trPr>
              <w:tc>
                <w:tcPr>
                  <w:tcW w:w="1418" w:type="dxa"/>
                  <w:tcBorders>
                    <w:top w:val="nil"/>
                    <w:left w:val="nil"/>
                    <w:bottom w:val="nil"/>
                    <w:right w:val="nil"/>
                  </w:tcBorders>
                  <w:shd w:val="clear" w:color="auto" w:fill="auto"/>
                  <w:vAlign w:val="center"/>
                </w:tcPr>
                <w:p w14:paraId="69BCF57C"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ALC</w:t>
                  </w:r>
                </w:p>
              </w:tc>
              <w:tc>
                <w:tcPr>
                  <w:tcW w:w="7678" w:type="dxa"/>
                  <w:tcBorders>
                    <w:top w:val="nil"/>
                    <w:left w:val="nil"/>
                    <w:bottom w:val="nil"/>
                    <w:right w:val="nil"/>
                  </w:tcBorders>
                  <w:shd w:val="clear" w:color="auto" w:fill="auto"/>
                  <w:vAlign w:val="center"/>
                </w:tcPr>
                <w:p w14:paraId="11228F95"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América Latina y el Caribe</w:t>
                  </w:r>
                </w:p>
              </w:tc>
            </w:tr>
            <w:tr w:rsidR="00322B91" w:rsidRPr="0058521B" w14:paraId="2219D91C" w14:textId="77777777" w:rsidTr="00565E3F">
              <w:trPr>
                <w:trHeight w:val="315"/>
              </w:trPr>
              <w:tc>
                <w:tcPr>
                  <w:tcW w:w="1418" w:type="dxa"/>
                  <w:tcBorders>
                    <w:top w:val="nil"/>
                    <w:left w:val="nil"/>
                    <w:bottom w:val="nil"/>
                    <w:right w:val="nil"/>
                  </w:tcBorders>
                  <w:shd w:val="clear" w:color="auto" w:fill="auto"/>
                  <w:vAlign w:val="center"/>
                </w:tcPr>
                <w:p w14:paraId="562EF4DB"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APDE</w:t>
                  </w:r>
                </w:p>
              </w:tc>
              <w:tc>
                <w:tcPr>
                  <w:tcW w:w="7678" w:type="dxa"/>
                  <w:tcBorders>
                    <w:top w:val="nil"/>
                    <w:left w:val="nil"/>
                    <w:bottom w:val="nil"/>
                    <w:right w:val="nil"/>
                  </w:tcBorders>
                  <w:shd w:val="clear" w:color="auto" w:fill="auto"/>
                  <w:vAlign w:val="center"/>
                </w:tcPr>
                <w:p w14:paraId="627448CD"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bCs/>
                      <w:color w:val="000000"/>
                      <w:szCs w:val="22"/>
                      <w:lang w:eastAsia="en-US"/>
                    </w:rPr>
                    <w:t>Apoyo al Plan Decenal de Educación</w:t>
                  </w:r>
                </w:p>
              </w:tc>
            </w:tr>
            <w:tr w:rsidR="00322B91" w:rsidRPr="0058521B" w14:paraId="35B12280" w14:textId="77777777" w:rsidTr="00565E3F">
              <w:trPr>
                <w:trHeight w:val="315"/>
              </w:trPr>
              <w:tc>
                <w:tcPr>
                  <w:tcW w:w="1418" w:type="dxa"/>
                  <w:tcBorders>
                    <w:top w:val="nil"/>
                    <w:left w:val="nil"/>
                    <w:bottom w:val="nil"/>
                    <w:right w:val="nil"/>
                  </w:tcBorders>
                  <w:shd w:val="clear" w:color="auto" w:fill="auto"/>
                  <w:vAlign w:val="center"/>
                </w:tcPr>
                <w:p w14:paraId="54AACB95"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BID</w:t>
                  </w:r>
                </w:p>
              </w:tc>
              <w:tc>
                <w:tcPr>
                  <w:tcW w:w="7678" w:type="dxa"/>
                  <w:tcBorders>
                    <w:top w:val="nil"/>
                    <w:left w:val="nil"/>
                    <w:bottom w:val="nil"/>
                    <w:right w:val="nil"/>
                  </w:tcBorders>
                  <w:shd w:val="clear" w:color="auto" w:fill="auto"/>
                  <w:vAlign w:val="center"/>
                </w:tcPr>
                <w:p w14:paraId="3750E6C0"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Banco Interamericano de Desarrollo</w:t>
                  </w:r>
                </w:p>
              </w:tc>
            </w:tr>
            <w:tr w:rsidR="00322B91" w:rsidRPr="0058521B" w14:paraId="0D97B98B" w14:textId="77777777" w:rsidTr="00565E3F">
              <w:trPr>
                <w:trHeight w:val="315"/>
              </w:trPr>
              <w:tc>
                <w:tcPr>
                  <w:tcW w:w="1418" w:type="dxa"/>
                  <w:tcBorders>
                    <w:top w:val="nil"/>
                    <w:left w:val="nil"/>
                    <w:bottom w:val="nil"/>
                    <w:right w:val="nil"/>
                  </w:tcBorders>
                  <w:shd w:val="clear" w:color="auto" w:fill="auto"/>
                  <w:vAlign w:val="center"/>
                </w:tcPr>
                <w:p w14:paraId="67855EAA"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CCLIP</w:t>
                  </w:r>
                </w:p>
              </w:tc>
              <w:tc>
                <w:tcPr>
                  <w:tcW w:w="7678" w:type="dxa"/>
                  <w:tcBorders>
                    <w:top w:val="nil"/>
                    <w:left w:val="nil"/>
                    <w:bottom w:val="nil"/>
                    <w:right w:val="nil"/>
                  </w:tcBorders>
                  <w:shd w:val="clear" w:color="auto" w:fill="auto"/>
                  <w:vAlign w:val="center"/>
                </w:tcPr>
                <w:p w14:paraId="028D9B9E"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Línea de Crédito Condicional para Proyectos de Inversión</w:t>
                  </w:r>
                </w:p>
              </w:tc>
            </w:tr>
            <w:tr w:rsidR="00322B91" w:rsidRPr="0058521B" w14:paraId="3E118D6E" w14:textId="77777777" w:rsidTr="00565E3F">
              <w:trPr>
                <w:trHeight w:val="315"/>
              </w:trPr>
              <w:tc>
                <w:tcPr>
                  <w:tcW w:w="1418" w:type="dxa"/>
                  <w:tcBorders>
                    <w:top w:val="nil"/>
                    <w:left w:val="nil"/>
                    <w:bottom w:val="nil"/>
                    <w:right w:val="nil"/>
                  </w:tcBorders>
                  <w:shd w:val="clear" w:color="auto" w:fill="auto"/>
                  <w:vAlign w:val="center"/>
                </w:tcPr>
                <w:p w14:paraId="10B5C55F"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MESCYT</w:t>
                  </w:r>
                </w:p>
              </w:tc>
              <w:tc>
                <w:tcPr>
                  <w:tcW w:w="7678" w:type="dxa"/>
                  <w:tcBorders>
                    <w:top w:val="nil"/>
                    <w:left w:val="nil"/>
                    <w:bottom w:val="nil"/>
                    <w:right w:val="nil"/>
                  </w:tcBorders>
                  <w:shd w:val="clear" w:color="auto" w:fill="auto"/>
                  <w:vAlign w:val="center"/>
                </w:tcPr>
                <w:p w14:paraId="286176A6"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Ministerio de Educación Superior, Ciencia y Tecnología</w:t>
                  </w:r>
                </w:p>
              </w:tc>
            </w:tr>
            <w:tr w:rsidR="00322B91" w:rsidRPr="0058521B" w14:paraId="16404F54" w14:textId="77777777" w:rsidTr="00565E3F">
              <w:trPr>
                <w:trHeight w:val="315"/>
              </w:trPr>
              <w:tc>
                <w:tcPr>
                  <w:tcW w:w="1418" w:type="dxa"/>
                  <w:tcBorders>
                    <w:top w:val="nil"/>
                    <w:left w:val="nil"/>
                    <w:bottom w:val="nil"/>
                    <w:right w:val="nil"/>
                  </w:tcBorders>
                  <w:shd w:val="clear" w:color="auto" w:fill="auto"/>
                  <w:vAlign w:val="center"/>
                </w:tcPr>
                <w:p w14:paraId="426B879B"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lang w:val="es-MX"/>
                    </w:rPr>
                    <w:t>SGCE</w:t>
                  </w:r>
                </w:p>
              </w:tc>
              <w:tc>
                <w:tcPr>
                  <w:tcW w:w="7678" w:type="dxa"/>
                  <w:tcBorders>
                    <w:top w:val="nil"/>
                    <w:left w:val="nil"/>
                    <w:bottom w:val="nil"/>
                    <w:right w:val="nil"/>
                  </w:tcBorders>
                  <w:shd w:val="clear" w:color="auto" w:fill="auto"/>
                  <w:vAlign w:val="center"/>
                </w:tcPr>
                <w:p w14:paraId="323E2C90"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lang w:val="es-MX"/>
                    </w:rPr>
                    <w:t>Sistema de Gestión de Centros Educativos</w:t>
                  </w:r>
                </w:p>
              </w:tc>
            </w:tr>
            <w:tr w:rsidR="00322B91" w:rsidRPr="0058521B" w14:paraId="4DCA9DC5" w14:textId="77777777" w:rsidTr="00565E3F">
              <w:trPr>
                <w:trHeight w:val="315"/>
              </w:trPr>
              <w:tc>
                <w:tcPr>
                  <w:tcW w:w="1418" w:type="dxa"/>
                  <w:tcBorders>
                    <w:top w:val="nil"/>
                    <w:left w:val="nil"/>
                    <w:bottom w:val="nil"/>
                    <w:right w:val="nil"/>
                  </w:tcBorders>
                  <w:shd w:val="clear" w:color="auto" w:fill="auto"/>
                  <w:vAlign w:val="center"/>
                </w:tcPr>
                <w:p w14:paraId="3C301A24"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SASE</w:t>
                  </w:r>
                </w:p>
              </w:tc>
              <w:tc>
                <w:tcPr>
                  <w:tcW w:w="7678" w:type="dxa"/>
                  <w:tcBorders>
                    <w:top w:val="nil"/>
                    <w:left w:val="nil"/>
                    <w:bottom w:val="nil"/>
                    <w:right w:val="nil"/>
                  </w:tcBorders>
                  <w:shd w:val="clear" w:color="auto" w:fill="auto"/>
                  <w:vAlign w:val="center"/>
                </w:tcPr>
                <w:p w14:paraId="1C679BA4"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lang w:val="es-MX"/>
                    </w:rPr>
                    <w:t>Sistema de Acompañamiento y Supervisión Educativa</w:t>
                  </w:r>
                </w:p>
              </w:tc>
            </w:tr>
            <w:tr w:rsidR="00322B91" w:rsidRPr="0058521B" w14:paraId="499B5EC2" w14:textId="77777777" w:rsidTr="00565E3F">
              <w:trPr>
                <w:trHeight w:val="315"/>
              </w:trPr>
              <w:tc>
                <w:tcPr>
                  <w:tcW w:w="1418" w:type="dxa"/>
                  <w:tcBorders>
                    <w:top w:val="nil"/>
                    <w:left w:val="nil"/>
                    <w:bottom w:val="nil"/>
                    <w:right w:val="nil"/>
                  </w:tcBorders>
                  <w:shd w:val="clear" w:color="auto" w:fill="auto"/>
                  <w:vAlign w:val="center"/>
                </w:tcPr>
                <w:p w14:paraId="71137B6F"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rPr>
                    <w:t>SACE</w:t>
                  </w:r>
                </w:p>
              </w:tc>
              <w:tc>
                <w:tcPr>
                  <w:tcW w:w="7678" w:type="dxa"/>
                  <w:tcBorders>
                    <w:top w:val="nil"/>
                    <w:left w:val="nil"/>
                    <w:bottom w:val="nil"/>
                    <w:right w:val="nil"/>
                  </w:tcBorders>
                  <w:shd w:val="clear" w:color="auto" w:fill="auto"/>
                  <w:vAlign w:val="center"/>
                </w:tcPr>
                <w:p w14:paraId="13734E9B" w14:textId="77777777" w:rsidR="00322B91" w:rsidRPr="0058521B" w:rsidRDefault="00322B91" w:rsidP="00322B91">
                  <w:pPr>
                    <w:pStyle w:val="AbbrDesc"/>
                    <w:tabs>
                      <w:tab w:val="left" w:pos="1440"/>
                    </w:tabs>
                    <w:spacing w:line="276" w:lineRule="auto"/>
                    <w:rPr>
                      <w:rFonts w:cs="Arial"/>
                      <w:szCs w:val="22"/>
                      <w:lang w:val="es-MX"/>
                    </w:rPr>
                  </w:pPr>
                  <w:r w:rsidRPr="0058521B">
                    <w:rPr>
                      <w:rFonts w:cs="Arial"/>
                    </w:rPr>
                    <w:t>Sistema de Administración de Centros Educativos</w:t>
                  </w:r>
                </w:p>
              </w:tc>
            </w:tr>
            <w:tr w:rsidR="00322B91" w:rsidRPr="0058521B" w14:paraId="01265F87" w14:textId="77777777" w:rsidTr="00565E3F">
              <w:trPr>
                <w:trHeight w:val="315"/>
              </w:trPr>
              <w:tc>
                <w:tcPr>
                  <w:tcW w:w="1418" w:type="dxa"/>
                  <w:tcBorders>
                    <w:top w:val="nil"/>
                    <w:left w:val="nil"/>
                    <w:bottom w:val="nil"/>
                    <w:right w:val="nil"/>
                  </w:tcBorders>
                  <w:shd w:val="clear" w:color="auto" w:fill="auto"/>
                  <w:vAlign w:val="center"/>
                </w:tcPr>
                <w:p w14:paraId="688F1922"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SPN</w:t>
                  </w:r>
                </w:p>
              </w:tc>
              <w:tc>
                <w:tcPr>
                  <w:tcW w:w="7678" w:type="dxa"/>
                  <w:tcBorders>
                    <w:top w:val="nil"/>
                    <w:left w:val="nil"/>
                    <w:bottom w:val="nil"/>
                    <w:right w:val="nil"/>
                  </w:tcBorders>
                  <w:shd w:val="clear" w:color="auto" w:fill="auto"/>
                  <w:vAlign w:val="center"/>
                </w:tcPr>
                <w:p w14:paraId="54C41354"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lang w:val="es-MX"/>
                    </w:rPr>
                    <w:t>Sistema de Pruebas Nacionales</w:t>
                  </w:r>
                </w:p>
              </w:tc>
            </w:tr>
            <w:tr w:rsidR="00322B91" w:rsidRPr="0058521B" w14:paraId="7BAB39F1" w14:textId="77777777" w:rsidTr="00565E3F">
              <w:trPr>
                <w:trHeight w:val="315"/>
              </w:trPr>
              <w:tc>
                <w:tcPr>
                  <w:tcW w:w="1418" w:type="dxa"/>
                  <w:tcBorders>
                    <w:top w:val="nil"/>
                    <w:left w:val="nil"/>
                    <w:bottom w:val="nil"/>
                    <w:right w:val="nil"/>
                  </w:tcBorders>
                  <w:shd w:val="clear" w:color="auto" w:fill="auto"/>
                  <w:vAlign w:val="center"/>
                </w:tcPr>
                <w:p w14:paraId="382B61A2"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SED</w:t>
                  </w:r>
                </w:p>
              </w:tc>
              <w:tc>
                <w:tcPr>
                  <w:tcW w:w="7678" w:type="dxa"/>
                  <w:tcBorders>
                    <w:top w:val="nil"/>
                    <w:left w:val="nil"/>
                    <w:bottom w:val="nil"/>
                    <w:right w:val="nil"/>
                  </w:tcBorders>
                  <w:shd w:val="clear" w:color="auto" w:fill="auto"/>
                  <w:vAlign w:val="center"/>
                </w:tcPr>
                <w:p w14:paraId="734D6867"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lang w:val="es-MX"/>
                    </w:rPr>
                    <w:t>Sistema de Evaluación de Desempeño</w:t>
                  </w:r>
                </w:p>
              </w:tc>
            </w:tr>
            <w:tr w:rsidR="00322B91" w:rsidRPr="0058521B" w14:paraId="12D3F3B9" w14:textId="77777777" w:rsidTr="00565E3F">
              <w:trPr>
                <w:trHeight w:val="315"/>
              </w:trPr>
              <w:tc>
                <w:tcPr>
                  <w:tcW w:w="1418" w:type="dxa"/>
                  <w:tcBorders>
                    <w:top w:val="nil"/>
                    <w:left w:val="nil"/>
                    <w:bottom w:val="nil"/>
                    <w:right w:val="nil"/>
                  </w:tcBorders>
                  <w:shd w:val="clear" w:color="auto" w:fill="auto"/>
                  <w:vAlign w:val="center"/>
                </w:tcPr>
                <w:p w14:paraId="72DABC92"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ENFT</w:t>
                  </w:r>
                </w:p>
              </w:tc>
              <w:tc>
                <w:tcPr>
                  <w:tcW w:w="7678" w:type="dxa"/>
                  <w:tcBorders>
                    <w:top w:val="nil"/>
                    <w:left w:val="nil"/>
                    <w:bottom w:val="nil"/>
                    <w:right w:val="nil"/>
                  </w:tcBorders>
                  <w:shd w:val="clear" w:color="auto" w:fill="auto"/>
                  <w:vAlign w:val="center"/>
                </w:tcPr>
                <w:p w14:paraId="4C812E24"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Encuesta Nacional de Fuerza de Trabajo</w:t>
                  </w:r>
                </w:p>
              </w:tc>
            </w:tr>
            <w:tr w:rsidR="00322B91" w:rsidRPr="0058521B" w14:paraId="789498F1" w14:textId="77777777" w:rsidTr="00565E3F">
              <w:trPr>
                <w:trHeight w:val="315"/>
              </w:trPr>
              <w:tc>
                <w:tcPr>
                  <w:tcW w:w="1418" w:type="dxa"/>
                  <w:tcBorders>
                    <w:top w:val="nil"/>
                    <w:left w:val="nil"/>
                    <w:bottom w:val="nil"/>
                    <w:right w:val="nil"/>
                  </w:tcBorders>
                  <w:shd w:val="clear" w:color="auto" w:fill="auto"/>
                  <w:vAlign w:val="center"/>
                </w:tcPr>
                <w:p w14:paraId="6839AF1C"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SERCE</w:t>
                  </w:r>
                </w:p>
              </w:tc>
              <w:tc>
                <w:tcPr>
                  <w:tcW w:w="7678" w:type="dxa"/>
                  <w:tcBorders>
                    <w:top w:val="nil"/>
                    <w:left w:val="nil"/>
                    <w:bottom w:val="nil"/>
                    <w:right w:val="nil"/>
                  </w:tcBorders>
                  <w:shd w:val="clear" w:color="auto" w:fill="auto"/>
                  <w:vAlign w:val="center"/>
                </w:tcPr>
                <w:p w14:paraId="07FFBA24" w14:textId="77777777" w:rsidR="00322B91" w:rsidRPr="0058521B" w:rsidRDefault="00322B91" w:rsidP="00322B91">
                  <w:pPr>
                    <w:pStyle w:val="AbbrDesc"/>
                    <w:tabs>
                      <w:tab w:val="left" w:pos="1440"/>
                    </w:tabs>
                    <w:spacing w:line="276" w:lineRule="auto"/>
                    <w:rPr>
                      <w:rStyle w:val="Emphasis"/>
                      <w:rFonts w:ascii="Arial" w:hAnsi="Arial" w:cs="Arial"/>
                      <w:color w:val="000000"/>
                      <w:lang w:val="es-MX"/>
                    </w:rPr>
                  </w:pPr>
                  <w:r w:rsidRPr="0058521B">
                    <w:rPr>
                      <w:rFonts w:cs="Arial"/>
                      <w:szCs w:val="22"/>
                    </w:rPr>
                    <w:t>Segundo Estudio Regional Comparativo y Explicativo</w:t>
                  </w:r>
                </w:p>
              </w:tc>
            </w:tr>
            <w:tr w:rsidR="00322B91" w:rsidRPr="0058521B" w14:paraId="0A52C0AC" w14:textId="77777777" w:rsidTr="00565E3F">
              <w:trPr>
                <w:trHeight w:val="315"/>
              </w:trPr>
              <w:tc>
                <w:tcPr>
                  <w:tcW w:w="1418" w:type="dxa"/>
                  <w:tcBorders>
                    <w:top w:val="nil"/>
                    <w:left w:val="nil"/>
                    <w:bottom w:val="nil"/>
                    <w:right w:val="nil"/>
                  </w:tcBorders>
                  <w:shd w:val="clear" w:color="auto" w:fill="auto"/>
                  <w:vAlign w:val="center"/>
                </w:tcPr>
                <w:p w14:paraId="77BC59A5"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SCL/EDU</w:t>
                  </w:r>
                </w:p>
              </w:tc>
              <w:tc>
                <w:tcPr>
                  <w:tcW w:w="7678" w:type="dxa"/>
                  <w:tcBorders>
                    <w:top w:val="nil"/>
                    <w:left w:val="nil"/>
                    <w:bottom w:val="nil"/>
                    <w:right w:val="nil"/>
                  </w:tcBorders>
                  <w:shd w:val="clear" w:color="auto" w:fill="auto"/>
                  <w:vAlign w:val="center"/>
                </w:tcPr>
                <w:p w14:paraId="0FC81823"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División de Educación</w:t>
                  </w:r>
                </w:p>
              </w:tc>
            </w:tr>
            <w:tr w:rsidR="00322B91" w:rsidRPr="0058521B" w14:paraId="0E91D364" w14:textId="77777777" w:rsidTr="00565E3F">
              <w:trPr>
                <w:trHeight w:val="315"/>
              </w:trPr>
              <w:tc>
                <w:tcPr>
                  <w:tcW w:w="1418" w:type="dxa"/>
                  <w:tcBorders>
                    <w:top w:val="nil"/>
                    <w:left w:val="nil"/>
                    <w:bottom w:val="nil"/>
                    <w:right w:val="nil"/>
                  </w:tcBorders>
                  <w:shd w:val="clear" w:color="auto" w:fill="auto"/>
                  <w:vAlign w:val="center"/>
                </w:tcPr>
                <w:p w14:paraId="23B644AD"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MINERD</w:t>
                  </w:r>
                </w:p>
              </w:tc>
              <w:tc>
                <w:tcPr>
                  <w:tcW w:w="7678" w:type="dxa"/>
                  <w:tcBorders>
                    <w:top w:val="nil"/>
                    <w:left w:val="nil"/>
                    <w:bottom w:val="nil"/>
                    <w:right w:val="nil"/>
                  </w:tcBorders>
                  <w:shd w:val="clear" w:color="auto" w:fill="auto"/>
                  <w:vAlign w:val="center"/>
                </w:tcPr>
                <w:p w14:paraId="2275718C"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Ministerio de Educación de República Dominicana</w:t>
                  </w:r>
                </w:p>
              </w:tc>
            </w:tr>
            <w:tr w:rsidR="00322B91" w:rsidRPr="0058521B" w14:paraId="0BF3A55F" w14:textId="77777777" w:rsidTr="00565E3F">
              <w:trPr>
                <w:trHeight w:val="315"/>
              </w:trPr>
              <w:tc>
                <w:tcPr>
                  <w:tcW w:w="1418" w:type="dxa"/>
                  <w:tcBorders>
                    <w:top w:val="nil"/>
                    <w:left w:val="nil"/>
                    <w:bottom w:val="nil"/>
                    <w:right w:val="nil"/>
                  </w:tcBorders>
                  <w:shd w:val="clear" w:color="auto" w:fill="auto"/>
                  <w:vAlign w:val="center"/>
                </w:tcPr>
                <w:p w14:paraId="0B675A67"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TIR</w:t>
                  </w:r>
                </w:p>
              </w:tc>
              <w:tc>
                <w:tcPr>
                  <w:tcW w:w="7678" w:type="dxa"/>
                  <w:tcBorders>
                    <w:top w:val="nil"/>
                    <w:left w:val="nil"/>
                    <w:bottom w:val="nil"/>
                    <w:right w:val="nil"/>
                  </w:tcBorders>
                  <w:shd w:val="clear" w:color="auto" w:fill="auto"/>
                  <w:vAlign w:val="center"/>
                </w:tcPr>
                <w:p w14:paraId="1703E84E"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Tasa Interna de Retorno</w:t>
                  </w:r>
                </w:p>
              </w:tc>
            </w:tr>
            <w:tr w:rsidR="00322B91" w:rsidRPr="0058521B" w14:paraId="30F7253A" w14:textId="77777777" w:rsidTr="00565E3F">
              <w:trPr>
                <w:trHeight w:val="315"/>
              </w:trPr>
              <w:tc>
                <w:tcPr>
                  <w:tcW w:w="1418" w:type="dxa"/>
                  <w:tcBorders>
                    <w:top w:val="nil"/>
                    <w:left w:val="nil"/>
                    <w:bottom w:val="nil"/>
                    <w:right w:val="nil"/>
                  </w:tcBorders>
                  <w:shd w:val="clear" w:color="auto" w:fill="auto"/>
                  <w:vAlign w:val="center"/>
                </w:tcPr>
                <w:p w14:paraId="1D1BE75C"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GRD</w:t>
                  </w:r>
                </w:p>
              </w:tc>
              <w:tc>
                <w:tcPr>
                  <w:tcW w:w="7678" w:type="dxa"/>
                  <w:tcBorders>
                    <w:top w:val="nil"/>
                    <w:left w:val="nil"/>
                    <w:bottom w:val="nil"/>
                    <w:right w:val="nil"/>
                  </w:tcBorders>
                  <w:shd w:val="clear" w:color="auto" w:fill="auto"/>
                  <w:vAlign w:val="center"/>
                </w:tcPr>
                <w:p w14:paraId="52877097"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Gobierno de la República Dominicana</w:t>
                  </w:r>
                </w:p>
              </w:tc>
            </w:tr>
            <w:tr w:rsidR="00322B91" w:rsidRPr="0058521B" w14:paraId="7C4F4245" w14:textId="77777777" w:rsidTr="00565E3F">
              <w:trPr>
                <w:trHeight w:val="315"/>
              </w:trPr>
              <w:tc>
                <w:tcPr>
                  <w:tcW w:w="1418" w:type="dxa"/>
                  <w:tcBorders>
                    <w:top w:val="nil"/>
                    <w:left w:val="nil"/>
                    <w:bottom w:val="nil"/>
                    <w:right w:val="nil"/>
                  </w:tcBorders>
                  <w:shd w:val="clear" w:color="auto" w:fill="auto"/>
                  <w:vAlign w:val="center"/>
                </w:tcPr>
                <w:p w14:paraId="145BE9C8"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PDE</w:t>
                  </w:r>
                </w:p>
              </w:tc>
              <w:tc>
                <w:tcPr>
                  <w:tcW w:w="7678" w:type="dxa"/>
                  <w:tcBorders>
                    <w:top w:val="nil"/>
                    <w:left w:val="nil"/>
                    <w:bottom w:val="nil"/>
                    <w:right w:val="nil"/>
                  </w:tcBorders>
                  <w:shd w:val="clear" w:color="auto" w:fill="auto"/>
                  <w:vAlign w:val="center"/>
                </w:tcPr>
                <w:p w14:paraId="25244A9D"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Plan Decenal de Educación</w:t>
                  </w:r>
                </w:p>
              </w:tc>
            </w:tr>
            <w:tr w:rsidR="00322B91" w:rsidRPr="0058521B" w14:paraId="343BC818" w14:textId="77777777" w:rsidTr="00565E3F">
              <w:trPr>
                <w:trHeight w:val="315"/>
              </w:trPr>
              <w:tc>
                <w:tcPr>
                  <w:tcW w:w="1418" w:type="dxa"/>
                  <w:tcBorders>
                    <w:top w:val="nil"/>
                    <w:left w:val="nil"/>
                    <w:bottom w:val="nil"/>
                    <w:right w:val="nil"/>
                  </w:tcBorders>
                  <w:shd w:val="clear" w:color="auto" w:fill="auto"/>
                  <w:vAlign w:val="center"/>
                </w:tcPr>
                <w:p w14:paraId="07AE5E16"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PEGE</w:t>
                  </w:r>
                </w:p>
              </w:tc>
              <w:tc>
                <w:tcPr>
                  <w:tcW w:w="7678" w:type="dxa"/>
                  <w:tcBorders>
                    <w:top w:val="nil"/>
                    <w:left w:val="nil"/>
                    <w:bottom w:val="nil"/>
                    <w:right w:val="nil"/>
                  </w:tcBorders>
                  <w:shd w:val="clear" w:color="auto" w:fill="auto"/>
                  <w:vAlign w:val="center"/>
                </w:tcPr>
                <w:p w14:paraId="475C1FC6"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cs="Arial"/>
                      <w:szCs w:val="22"/>
                    </w:rPr>
                    <w:t xml:space="preserve">Plan Estratégico de Gestión Educativa </w:t>
                  </w:r>
                </w:p>
              </w:tc>
            </w:tr>
            <w:tr w:rsidR="00322B91" w:rsidRPr="0086175D" w14:paraId="28E23DA0" w14:textId="77777777" w:rsidTr="00565E3F">
              <w:trPr>
                <w:trHeight w:val="315"/>
              </w:trPr>
              <w:tc>
                <w:tcPr>
                  <w:tcW w:w="1418" w:type="dxa"/>
                  <w:tcBorders>
                    <w:top w:val="nil"/>
                    <w:left w:val="nil"/>
                    <w:bottom w:val="nil"/>
                    <w:right w:val="nil"/>
                  </w:tcBorders>
                  <w:shd w:val="clear" w:color="auto" w:fill="auto"/>
                  <w:vAlign w:val="center"/>
                </w:tcPr>
                <w:p w14:paraId="74782066" w14:textId="77777777" w:rsidR="00322B91" w:rsidRPr="0058521B"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VAN</w:t>
                  </w:r>
                </w:p>
              </w:tc>
              <w:tc>
                <w:tcPr>
                  <w:tcW w:w="7678" w:type="dxa"/>
                  <w:tcBorders>
                    <w:top w:val="nil"/>
                    <w:left w:val="nil"/>
                    <w:bottom w:val="nil"/>
                    <w:right w:val="nil"/>
                  </w:tcBorders>
                  <w:shd w:val="clear" w:color="auto" w:fill="auto"/>
                  <w:vAlign w:val="center"/>
                </w:tcPr>
                <w:p w14:paraId="3F7FE789" w14:textId="77777777" w:rsidR="00322B91" w:rsidRPr="004D5B21" w:rsidRDefault="00322B91" w:rsidP="00322B91">
                  <w:pPr>
                    <w:pStyle w:val="AbbrDesc"/>
                    <w:tabs>
                      <w:tab w:val="left" w:pos="1440"/>
                    </w:tabs>
                    <w:spacing w:line="276" w:lineRule="auto"/>
                    <w:rPr>
                      <w:rFonts w:ascii="Arial" w:hAnsi="Arial" w:cs="Arial"/>
                      <w:color w:val="000000"/>
                      <w:lang w:val="es-MX"/>
                    </w:rPr>
                  </w:pPr>
                  <w:r w:rsidRPr="0058521B">
                    <w:rPr>
                      <w:rFonts w:ascii="Arial" w:hAnsi="Arial" w:cs="Arial"/>
                      <w:color w:val="000000"/>
                      <w:lang w:val="es-MX"/>
                    </w:rPr>
                    <w:t>Valor Actual Neto</w:t>
                  </w:r>
                </w:p>
              </w:tc>
            </w:tr>
          </w:tbl>
          <w:p w14:paraId="6B2A1B04" w14:textId="225487FE"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6B2373FA" w14:textId="77777777" w:rsidTr="28D31204">
        <w:trPr>
          <w:trHeight w:val="315"/>
        </w:trPr>
        <w:tc>
          <w:tcPr>
            <w:tcW w:w="1418" w:type="dxa"/>
            <w:tcBorders>
              <w:top w:val="nil"/>
              <w:left w:val="nil"/>
              <w:bottom w:val="nil"/>
              <w:right w:val="nil"/>
            </w:tcBorders>
            <w:shd w:val="clear" w:color="auto" w:fill="auto"/>
            <w:vAlign w:val="center"/>
          </w:tcPr>
          <w:p w14:paraId="51329924" w14:textId="0CB08EF3"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1D29E42E" w14:textId="1D52CDDE"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5CFA2D5E" w14:textId="77777777" w:rsidTr="28D31204">
        <w:trPr>
          <w:trHeight w:val="315"/>
        </w:trPr>
        <w:tc>
          <w:tcPr>
            <w:tcW w:w="1418" w:type="dxa"/>
            <w:tcBorders>
              <w:top w:val="nil"/>
              <w:left w:val="nil"/>
              <w:bottom w:val="nil"/>
              <w:right w:val="nil"/>
            </w:tcBorders>
            <w:shd w:val="clear" w:color="auto" w:fill="auto"/>
            <w:vAlign w:val="center"/>
          </w:tcPr>
          <w:p w14:paraId="4A2531A9" w14:textId="083A9F7D"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0FEEF358" w14:textId="6C68B6D3"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6CCF57BB" w14:textId="77777777" w:rsidTr="28D31204">
        <w:trPr>
          <w:trHeight w:val="315"/>
        </w:trPr>
        <w:tc>
          <w:tcPr>
            <w:tcW w:w="1418" w:type="dxa"/>
            <w:tcBorders>
              <w:top w:val="nil"/>
              <w:left w:val="nil"/>
              <w:bottom w:val="nil"/>
              <w:right w:val="nil"/>
            </w:tcBorders>
            <w:shd w:val="clear" w:color="auto" w:fill="auto"/>
            <w:vAlign w:val="center"/>
          </w:tcPr>
          <w:p w14:paraId="04AB440C" w14:textId="7BF63E8D"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395E2C1E" w14:textId="4C052200"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2826D325" w14:textId="77777777" w:rsidTr="28D31204">
        <w:trPr>
          <w:trHeight w:val="315"/>
        </w:trPr>
        <w:tc>
          <w:tcPr>
            <w:tcW w:w="1418" w:type="dxa"/>
            <w:tcBorders>
              <w:top w:val="nil"/>
              <w:left w:val="nil"/>
              <w:bottom w:val="nil"/>
              <w:right w:val="nil"/>
            </w:tcBorders>
            <w:shd w:val="clear" w:color="auto" w:fill="auto"/>
            <w:vAlign w:val="center"/>
          </w:tcPr>
          <w:p w14:paraId="6965A328" w14:textId="6827221F"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7B312A0B" w14:textId="30CA9E49"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0829678E" w14:textId="77777777" w:rsidTr="28D31204">
        <w:trPr>
          <w:trHeight w:val="315"/>
        </w:trPr>
        <w:tc>
          <w:tcPr>
            <w:tcW w:w="1418" w:type="dxa"/>
            <w:tcBorders>
              <w:top w:val="nil"/>
              <w:left w:val="nil"/>
              <w:bottom w:val="nil"/>
              <w:right w:val="nil"/>
            </w:tcBorders>
            <w:shd w:val="clear" w:color="auto" w:fill="auto"/>
            <w:vAlign w:val="center"/>
          </w:tcPr>
          <w:p w14:paraId="747F02B0" w14:textId="13AED9E3"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47970862" w14:textId="4054E3AA"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7866600A" w14:textId="77777777" w:rsidTr="28D31204">
        <w:trPr>
          <w:trHeight w:val="315"/>
        </w:trPr>
        <w:tc>
          <w:tcPr>
            <w:tcW w:w="1418" w:type="dxa"/>
            <w:tcBorders>
              <w:top w:val="nil"/>
              <w:left w:val="nil"/>
              <w:bottom w:val="nil"/>
              <w:right w:val="nil"/>
            </w:tcBorders>
            <w:shd w:val="clear" w:color="auto" w:fill="auto"/>
            <w:vAlign w:val="center"/>
          </w:tcPr>
          <w:p w14:paraId="37765ECB" w14:textId="5AE7F5B2"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531F7207" w14:textId="35E986DF"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290FB7C4" w14:textId="77777777" w:rsidTr="28D31204">
        <w:trPr>
          <w:trHeight w:val="315"/>
        </w:trPr>
        <w:tc>
          <w:tcPr>
            <w:tcW w:w="1418" w:type="dxa"/>
            <w:tcBorders>
              <w:top w:val="nil"/>
              <w:left w:val="nil"/>
              <w:bottom w:val="nil"/>
              <w:right w:val="nil"/>
            </w:tcBorders>
            <w:shd w:val="clear" w:color="auto" w:fill="auto"/>
            <w:vAlign w:val="center"/>
          </w:tcPr>
          <w:p w14:paraId="0A7F563F" w14:textId="4556E3E2"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521C770B" w14:textId="0FC9A1F5"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6C9C3977" w14:textId="77777777" w:rsidTr="28D31204">
        <w:trPr>
          <w:trHeight w:val="315"/>
        </w:trPr>
        <w:tc>
          <w:tcPr>
            <w:tcW w:w="1418" w:type="dxa"/>
            <w:tcBorders>
              <w:top w:val="nil"/>
              <w:left w:val="nil"/>
              <w:bottom w:val="nil"/>
              <w:right w:val="nil"/>
            </w:tcBorders>
            <w:shd w:val="clear" w:color="auto" w:fill="auto"/>
            <w:vAlign w:val="center"/>
          </w:tcPr>
          <w:p w14:paraId="5B099AB7" w14:textId="5E8740B2"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1A814762" w14:textId="31713190"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590B208D" w14:textId="77777777" w:rsidTr="28D31204">
        <w:trPr>
          <w:trHeight w:val="315"/>
        </w:trPr>
        <w:tc>
          <w:tcPr>
            <w:tcW w:w="1418" w:type="dxa"/>
            <w:tcBorders>
              <w:top w:val="nil"/>
              <w:left w:val="nil"/>
              <w:bottom w:val="nil"/>
              <w:right w:val="nil"/>
            </w:tcBorders>
            <w:shd w:val="clear" w:color="auto" w:fill="auto"/>
            <w:vAlign w:val="center"/>
          </w:tcPr>
          <w:p w14:paraId="40557348" w14:textId="2A216568"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29345E1C" w14:textId="05C9CF46" w:rsidR="001E4639" w:rsidRPr="0021414A" w:rsidRDefault="001E4639" w:rsidP="28D31204">
            <w:pPr>
              <w:pStyle w:val="AbbrDesc"/>
              <w:tabs>
                <w:tab w:val="left" w:pos="1440"/>
              </w:tabs>
              <w:spacing w:line="276" w:lineRule="auto"/>
              <w:rPr>
                <w:rStyle w:val="Emphasis"/>
                <w:rFonts w:ascii="Arial" w:hAnsi="Arial" w:cs="Arial"/>
                <w:color w:val="000000"/>
                <w:highlight w:val="yellow"/>
                <w:lang w:val="es-MX"/>
              </w:rPr>
            </w:pPr>
          </w:p>
        </w:tc>
      </w:tr>
      <w:tr w:rsidR="001E4639" w:rsidRPr="0021414A" w14:paraId="2E7B8E6A" w14:textId="77777777" w:rsidTr="28D31204">
        <w:trPr>
          <w:trHeight w:val="315"/>
        </w:trPr>
        <w:tc>
          <w:tcPr>
            <w:tcW w:w="1418" w:type="dxa"/>
            <w:tcBorders>
              <w:top w:val="nil"/>
              <w:left w:val="nil"/>
              <w:bottom w:val="nil"/>
              <w:right w:val="nil"/>
            </w:tcBorders>
            <w:shd w:val="clear" w:color="auto" w:fill="auto"/>
            <w:vAlign w:val="center"/>
          </w:tcPr>
          <w:p w14:paraId="1AECACE6" w14:textId="40668BD8"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04B1A7B5" w14:textId="5E3C0A5D"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21414A" w14:paraId="5039768D" w14:textId="77777777" w:rsidTr="28D31204">
        <w:trPr>
          <w:trHeight w:val="315"/>
        </w:trPr>
        <w:tc>
          <w:tcPr>
            <w:tcW w:w="1418" w:type="dxa"/>
            <w:tcBorders>
              <w:top w:val="nil"/>
              <w:left w:val="nil"/>
              <w:bottom w:val="nil"/>
              <w:right w:val="nil"/>
            </w:tcBorders>
            <w:shd w:val="clear" w:color="auto" w:fill="auto"/>
            <w:vAlign w:val="center"/>
          </w:tcPr>
          <w:p w14:paraId="5513532C" w14:textId="2A5A0A7C"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616A9094" w14:textId="390FB330"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r>
      <w:tr w:rsidR="001E4639" w:rsidRPr="001E4639" w14:paraId="7E9B6D5E" w14:textId="77777777" w:rsidTr="28D31204">
        <w:trPr>
          <w:trHeight w:val="315"/>
        </w:trPr>
        <w:tc>
          <w:tcPr>
            <w:tcW w:w="1418" w:type="dxa"/>
            <w:tcBorders>
              <w:top w:val="nil"/>
              <w:left w:val="nil"/>
              <w:bottom w:val="nil"/>
              <w:right w:val="nil"/>
            </w:tcBorders>
            <w:shd w:val="clear" w:color="auto" w:fill="auto"/>
            <w:vAlign w:val="center"/>
          </w:tcPr>
          <w:p w14:paraId="4785D192" w14:textId="4F694CFE" w:rsidR="001E4639" w:rsidRPr="0021414A" w:rsidRDefault="001E4639" w:rsidP="28D31204">
            <w:pPr>
              <w:pStyle w:val="AbbrDesc"/>
              <w:tabs>
                <w:tab w:val="left" w:pos="1440"/>
              </w:tabs>
              <w:spacing w:line="276" w:lineRule="auto"/>
              <w:rPr>
                <w:rFonts w:ascii="Arial" w:hAnsi="Arial" w:cs="Arial"/>
                <w:color w:val="000000"/>
                <w:highlight w:val="yellow"/>
                <w:lang w:val="es-MX"/>
              </w:rPr>
            </w:pPr>
          </w:p>
        </w:tc>
        <w:tc>
          <w:tcPr>
            <w:tcW w:w="7678" w:type="dxa"/>
            <w:tcBorders>
              <w:top w:val="nil"/>
              <w:left w:val="nil"/>
              <w:bottom w:val="nil"/>
              <w:right w:val="nil"/>
            </w:tcBorders>
            <w:shd w:val="clear" w:color="auto" w:fill="auto"/>
            <w:vAlign w:val="center"/>
          </w:tcPr>
          <w:p w14:paraId="73C5996A" w14:textId="5B510CEA" w:rsidR="001E4639" w:rsidRPr="004D5B21" w:rsidRDefault="001E4639" w:rsidP="28D31204">
            <w:pPr>
              <w:pStyle w:val="AbbrDesc"/>
              <w:tabs>
                <w:tab w:val="left" w:pos="1440"/>
              </w:tabs>
              <w:spacing w:line="276" w:lineRule="auto"/>
              <w:rPr>
                <w:rFonts w:ascii="Arial" w:hAnsi="Arial" w:cs="Arial"/>
                <w:color w:val="000000"/>
                <w:lang w:val="es-MX"/>
              </w:rPr>
            </w:pPr>
          </w:p>
        </w:tc>
      </w:tr>
      <w:tr w:rsidR="001E4639" w:rsidRPr="0086175D" w14:paraId="1EE4CFF0" w14:textId="77777777" w:rsidTr="28D31204">
        <w:trPr>
          <w:trHeight w:val="315"/>
        </w:trPr>
        <w:tc>
          <w:tcPr>
            <w:tcW w:w="1418" w:type="dxa"/>
            <w:tcBorders>
              <w:top w:val="nil"/>
              <w:left w:val="nil"/>
              <w:bottom w:val="nil"/>
              <w:right w:val="nil"/>
            </w:tcBorders>
            <w:shd w:val="clear" w:color="auto" w:fill="auto"/>
            <w:vAlign w:val="center"/>
          </w:tcPr>
          <w:p w14:paraId="2BBFA4B6" w14:textId="54404D49" w:rsidR="001E4639" w:rsidRPr="004D5B21" w:rsidRDefault="001E4639" w:rsidP="28D31204">
            <w:pPr>
              <w:pStyle w:val="AbbrDesc"/>
              <w:tabs>
                <w:tab w:val="left" w:pos="1440"/>
              </w:tabs>
              <w:spacing w:line="276" w:lineRule="auto"/>
              <w:rPr>
                <w:rFonts w:ascii="Arial" w:hAnsi="Arial" w:cs="Arial"/>
                <w:color w:val="000000"/>
                <w:lang w:val="es-MX"/>
              </w:rPr>
            </w:pPr>
          </w:p>
        </w:tc>
        <w:tc>
          <w:tcPr>
            <w:tcW w:w="7678" w:type="dxa"/>
            <w:tcBorders>
              <w:top w:val="nil"/>
              <w:left w:val="nil"/>
              <w:bottom w:val="nil"/>
              <w:right w:val="nil"/>
            </w:tcBorders>
            <w:shd w:val="clear" w:color="auto" w:fill="auto"/>
            <w:vAlign w:val="center"/>
          </w:tcPr>
          <w:p w14:paraId="721EB3CE" w14:textId="15BB79E7" w:rsidR="001E4639" w:rsidRPr="004D5B21" w:rsidRDefault="001E4639" w:rsidP="28D31204">
            <w:pPr>
              <w:pStyle w:val="AbbrDesc"/>
              <w:tabs>
                <w:tab w:val="left" w:pos="1440"/>
              </w:tabs>
              <w:spacing w:line="276" w:lineRule="auto"/>
              <w:rPr>
                <w:rFonts w:ascii="Arial" w:hAnsi="Arial" w:cs="Arial"/>
                <w:color w:val="000000"/>
                <w:lang w:val="es-MX"/>
              </w:rPr>
            </w:pPr>
          </w:p>
        </w:tc>
      </w:tr>
    </w:tbl>
    <w:p w14:paraId="4B09E575" w14:textId="77777777" w:rsidR="00B54624" w:rsidRPr="00B2077E" w:rsidRDefault="00B54624" w:rsidP="002A743C">
      <w:pPr>
        <w:pStyle w:val="AbbrDesc"/>
        <w:tabs>
          <w:tab w:val="left" w:pos="1440"/>
        </w:tabs>
        <w:spacing w:line="276" w:lineRule="auto"/>
        <w:rPr>
          <w:rFonts w:ascii="Arial" w:hAnsi="Arial" w:cs="Arial"/>
          <w:lang w:val="es-MX"/>
        </w:rPr>
      </w:pPr>
    </w:p>
    <w:p w14:paraId="55B486FB" w14:textId="77777777" w:rsidR="005F0E96" w:rsidRPr="00B2077E" w:rsidRDefault="005F0E96" w:rsidP="002A743C">
      <w:pPr>
        <w:pStyle w:val="AbbrDesc"/>
        <w:tabs>
          <w:tab w:val="left" w:pos="1440"/>
        </w:tabs>
        <w:spacing w:line="276" w:lineRule="auto"/>
        <w:rPr>
          <w:rFonts w:ascii="Arial" w:hAnsi="Arial" w:cs="Arial"/>
          <w:lang w:val="es-MX"/>
        </w:rPr>
      </w:pPr>
    </w:p>
    <w:p w14:paraId="09AB1DFC" w14:textId="77777777" w:rsidR="005F0E96" w:rsidRPr="00B2077E" w:rsidRDefault="005F0E96" w:rsidP="002A743C">
      <w:pPr>
        <w:pStyle w:val="AbbrDesc"/>
        <w:tabs>
          <w:tab w:val="left" w:pos="1440"/>
        </w:tabs>
        <w:spacing w:line="276" w:lineRule="auto"/>
        <w:rPr>
          <w:rFonts w:ascii="Arial" w:hAnsi="Arial" w:cs="Arial"/>
          <w:lang w:val="es-MX"/>
        </w:rPr>
        <w:sectPr w:rsidR="005F0E96" w:rsidRPr="00B2077E" w:rsidSect="00802E41">
          <w:headerReference w:type="even" r:id="rId13"/>
          <w:headerReference w:type="default" r:id="rId14"/>
          <w:headerReference w:type="first" r:id="rId15"/>
          <w:type w:val="continuous"/>
          <w:pgSz w:w="12240" w:h="15840" w:code="1"/>
          <w:pgMar w:top="1440" w:right="1800" w:bottom="1440" w:left="1800" w:header="706" w:footer="706" w:gutter="0"/>
          <w:pgNumType w:fmt="lowerRoman" w:start="1"/>
          <w:cols w:space="720"/>
          <w:formProt w:val="0"/>
          <w:titlePg/>
        </w:sectPr>
      </w:pPr>
    </w:p>
    <w:p w14:paraId="04A9F503" w14:textId="77777777" w:rsidR="00B54624" w:rsidRPr="00B2077E" w:rsidRDefault="28D31204" w:rsidP="009936EE">
      <w:pPr>
        <w:pStyle w:val="Heading1"/>
        <w:tabs>
          <w:tab w:val="clear" w:pos="2088"/>
          <w:tab w:val="left" w:pos="1134"/>
        </w:tabs>
        <w:ind w:left="0" w:firstLine="567"/>
        <w:rPr>
          <w:rFonts w:ascii="Arial" w:hAnsi="Arial" w:cs="Arial"/>
        </w:rPr>
      </w:pPr>
      <w:bookmarkStart w:id="3" w:name="ESSectionPages"/>
      <w:bookmarkStart w:id="4" w:name="_Toc358280776"/>
      <w:bookmarkStart w:id="5" w:name="_Toc366057199"/>
      <w:bookmarkStart w:id="6" w:name="_Toc499617475"/>
      <w:bookmarkEnd w:id="3"/>
      <w:r w:rsidRPr="28D31204">
        <w:rPr>
          <w:rFonts w:ascii="Arial" w:hAnsi="Arial" w:cs="Arial"/>
        </w:rPr>
        <w:lastRenderedPageBreak/>
        <w:t>Introducción</w:t>
      </w:r>
      <w:bookmarkEnd w:id="4"/>
      <w:bookmarkEnd w:id="5"/>
      <w:bookmarkEnd w:id="6"/>
    </w:p>
    <w:p w14:paraId="49B4786E" w14:textId="28318110" w:rsidR="0021414A" w:rsidRPr="00195073" w:rsidRDefault="0021414A" w:rsidP="004C2E85">
      <w:pPr>
        <w:pStyle w:val="Paragraph"/>
        <w:tabs>
          <w:tab w:val="num" w:pos="720"/>
        </w:tabs>
        <w:spacing w:line="276" w:lineRule="auto"/>
        <w:ind w:left="720" w:hanging="720"/>
        <w:rPr>
          <w:rStyle w:val="Emphasis"/>
          <w:lang w:val="es-MX"/>
        </w:rPr>
      </w:pPr>
      <w:bookmarkStart w:id="7" w:name="_Toc365986795"/>
      <w:bookmarkStart w:id="8" w:name="_Toc365987910"/>
      <w:bookmarkStart w:id="9" w:name="_Toc366057201"/>
      <w:bookmarkStart w:id="10" w:name="_Toc429646039"/>
      <w:bookmarkStart w:id="11" w:name="_Toc429652571"/>
      <w:bookmarkStart w:id="12" w:name="_Toc429655307"/>
      <w:bookmarkStart w:id="13" w:name="_Toc429655342"/>
      <w:bookmarkStart w:id="14" w:name="_Toc429655486"/>
      <w:bookmarkStart w:id="15" w:name="_Toc429655683"/>
      <w:bookmarkStart w:id="16" w:name="_Toc429657376"/>
      <w:bookmarkStart w:id="17" w:name="_Toc430679369"/>
      <w:bookmarkStart w:id="18" w:name="_Toc430679393"/>
      <w:bookmarkStart w:id="19" w:name="_Toc434845950"/>
      <w:bookmarkStart w:id="20" w:name="_Toc434846218"/>
      <w:bookmarkStart w:id="21" w:name="_Toc434846931"/>
      <w:bookmarkStart w:id="22" w:name="_Toc437759759"/>
      <w:bookmarkStart w:id="23" w:name="_Toc444883300"/>
      <w:bookmarkStart w:id="24" w:name="_Toc445703751"/>
      <w:bookmarkStart w:id="25" w:name="_Toc445703970"/>
      <w:bookmarkStart w:id="26" w:name="_Toc450478040"/>
      <w:bookmarkStart w:id="27" w:name="_Toc450478115"/>
      <w:bookmarkStart w:id="28" w:name="_Toc451059692"/>
      <w:bookmarkStart w:id="29" w:name="_Toc451059756"/>
      <w:bookmarkStart w:id="30" w:name="_Toc451922464"/>
      <w:bookmarkStart w:id="31" w:name="_Toc456499455"/>
      <w:bookmarkStart w:id="32" w:name="_Toc456499549"/>
      <w:bookmarkStart w:id="33" w:name="_Toc456499744"/>
      <w:bookmarkStart w:id="34" w:name="_Toc456503312"/>
      <w:bookmarkStart w:id="35" w:name="_Toc456503682"/>
      <w:bookmarkStart w:id="36" w:name="_Toc456504234"/>
      <w:bookmarkStart w:id="37" w:name="_Toc456504322"/>
      <w:bookmarkStart w:id="38" w:name="_Toc456504416"/>
      <w:bookmarkStart w:id="39" w:name="_Toc456504503"/>
      <w:bookmarkStart w:id="40" w:name="_Toc366057203"/>
      <w:r w:rsidRPr="002F0D39">
        <w:rPr>
          <w:rStyle w:val="Emphasis"/>
          <w:lang w:val="es-MX"/>
        </w:rPr>
        <w:t>El objetivo del presente documento es realizar una evaluación económica como parte del Informe de Terminación del Proyecto (PCR por sus siglas en inglés) del Proyecto</w:t>
      </w:r>
      <w:r w:rsidR="00195073">
        <w:rPr>
          <w:rStyle w:val="Emphasis"/>
          <w:lang w:val="es-MX"/>
        </w:rPr>
        <w:t xml:space="preserve"> “</w:t>
      </w:r>
      <w:r w:rsidR="00195073" w:rsidRPr="00195073">
        <w:rPr>
          <w:rFonts w:cs="Arial"/>
          <w:bCs/>
          <w:color w:val="000000"/>
          <w:szCs w:val="22"/>
          <w:lang w:eastAsia="en-US"/>
        </w:rPr>
        <w:t>Segundo Pré</w:t>
      </w:r>
      <w:r w:rsidR="007C7001">
        <w:rPr>
          <w:rFonts w:cs="Arial"/>
          <w:bCs/>
          <w:color w:val="000000"/>
          <w:szCs w:val="22"/>
          <w:lang w:eastAsia="en-US"/>
        </w:rPr>
        <w:t>stamo Individual Para El Apoyo al Plan Decenal d</w:t>
      </w:r>
      <w:r w:rsidR="00195073" w:rsidRPr="00195073">
        <w:rPr>
          <w:rFonts w:cs="Arial"/>
          <w:bCs/>
          <w:color w:val="000000"/>
          <w:szCs w:val="22"/>
          <w:lang w:eastAsia="en-US"/>
        </w:rPr>
        <w:t>e Educación</w:t>
      </w:r>
      <w:r w:rsidR="00195073">
        <w:rPr>
          <w:rFonts w:cs="Arial"/>
          <w:bCs/>
          <w:color w:val="000000"/>
          <w:szCs w:val="22"/>
          <w:lang w:eastAsia="en-US"/>
        </w:rPr>
        <w:t>” (</w:t>
      </w:r>
      <w:r w:rsidR="00195073" w:rsidRPr="00195073">
        <w:rPr>
          <w:rFonts w:cs="Arial"/>
          <w:bCs/>
          <w:color w:val="000000"/>
          <w:szCs w:val="22"/>
          <w:lang w:val="es-MX" w:eastAsia="en-US"/>
        </w:rPr>
        <w:t>D</w:t>
      </w:r>
      <w:r w:rsidR="004C2E85">
        <w:rPr>
          <w:rFonts w:cs="Arial"/>
          <w:bCs/>
          <w:color w:val="000000"/>
          <w:szCs w:val="22"/>
          <w:lang w:val="es-MX" w:eastAsia="en-US"/>
        </w:rPr>
        <w:t>R</w:t>
      </w:r>
      <w:r w:rsidR="00195073" w:rsidRPr="00195073">
        <w:rPr>
          <w:rFonts w:cs="Arial"/>
          <w:bCs/>
          <w:color w:val="000000"/>
          <w:szCs w:val="22"/>
          <w:lang w:val="es-MX" w:eastAsia="en-US"/>
        </w:rPr>
        <w:t>-L1056)</w:t>
      </w:r>
      <w:r w:rsidR="0034342F">
        <w:rPr>
          <w:rFonts w:cs="Arial"/>
          <w:bCs/>
          <w:color w:val="000000"/>
          <w:szCs w:val="22"/>
          <w:lang w:val="es-MX" w:eastAsia="en-US"/>
        </w:rPr>
        <w:t xml:space="preserve"> (APDE)</w:t>
      </w:r>
      <w:r w:rsidRPr="00195073">
        <w:rPr>
          <w:rStyle w:val="Emphasis"/>
          <w:lang w:val="es-MX"/>
        </w:rPr>
        <w:t>.</w:t>
      </w:r>
    </w:p>
    <w:p w14:paraId="2B7CE33D" w14:textId="1283D556" w:rsidR="0021414A" w:rsidRPr="002F0D39" w:rsidRDefault="0021414A" w:rsidP="004C2E85">
      <w:pPr>
        <w:pStyle w:val="Paragraph"/>
        <w:tabs>
          <w:tab w:val="num" w:pos="720"/>
        </w:tabs>
        <w:spacing w:line="276" w:lineRule="auto"/>
        <w:ind w:left="720" w:hanging="720"/>
        <w:rPr>
          <w:rStyle w:val="Emphasis"/>
          <w:lang w:val="es-MX"/>
        </w:rPr>
      </w:pPr>
      <w:r w:rsidRPr="002F0D39">
        <w:rPr>
          <w:rStyle w:val="Emphasis"/>
          <w:lang w:val="es-MX"/>
        </w:rPr>
        <w:t xml:space="preserve">Los resultados de este análisis serán una herramienta adicional de las que disponen los </w:t>
      </w:r>
      <w:r>
        <w:rPr>
          <w:rStyle w:val="Emphasis"/>
          <w:lang w:val="es-MX"/>
        </w:rPr>
        <w:t>responsables</w:t>
      </w:r>
      <w:r w:rsidRPr="002F0D39">
        <w:rPr>
          <w:rStyle w:val="Emphasis"/>
          <w:lang w:val="es-MX"/>
        </w:rPr>
        <w:t xml:space="preserve"> del Proyecto para</w:t>
      </w:r>
      <w:r w:rsidR="0034342F">
        <w:rPr>
          <w:rStyle w:val="Emphasis"/>
          <w:lang w:val="es-MX"/>
        </w:rPr>
        <w:t xml:space="preserve">: (i) </w:t>
      </w:r>
      <w:r w:rsidRPr="002F0D39">
        <w:rPr>
          <w:rStyle w:val="Emphasis"/>
          <w:lang w:val="es-MX"/>
        </w:rPr>
        <w:t xml:space="preserve">conocer su valor social en relación a la alternativa de no </w:t>
      </w:r>
      <w:r w:rsidR="0034342F">
        <w:rPr>
          <w:rStyle w:val="Emphasis"/>
          <w:lang w:val="es-MX"/>
        </w:rPr>
        <w:t>haberlo llevad</w:t>
      </w:r>
      <w:r w:rsidRPr="002F0D39">
        <w:rPr>
          <w:rStyle w:val="Emphasis"/>
          <w:lang w:val="es-MX"/>
        </w:rPr>
        <w:t xml:space="preserve">o a cabo; </w:t>
      </w:r>
      <w:r w:rsidR="0034342F">
        <w:rPr>
          <w:rStyle w:val="Emphasis"/>
          <w:lang w:val="es-MX"/>
        </w:rPr>
        <w:t xml:space="preserve">(ii) </w:t>
      </w:r>
      <w:r w:rsidRPr="002F0D39">
        <w:rPr>
          <w:rStyle w:val="Emphasis"/>
          <w:lang w:val="es-MX"/>
        </w:rPr>
        <w:t xml:space="preserve">contribuir al incremento de su eficiencia operativa; </w:t>
      </w:r>
      <w:r w:rsidR="0034342F">
        <w:rPr>
          <w:rStyle w:val="Emphasis"/>
          <w:lang w:val="es-MX"/>
        </w:rPr>
        <w:t xml:space="preserve">y (iii) </w:t>
      </w:r>
      <w:r w:rsidRPr="002F0D39">
        <w:rPr>
          <w:rStyle w:val="Emphasis"/>
          <w:lang w:val="es-MX"/>
        </w:rPr>
        <w:t>extraer recomendaciones para mitigar los posibles riesgos que pueda enfrentar en cualquiera de sus ámbitos</w:t>
      </w:r>
      <w:r>
        <w:rPr>
          <w:rStyle w:val="Emphasis"/>
          <w:lang w:val="es-MX"/>
        </w:rPr>
        <w:t xml:space="preserve"> a futuro</w:t>
      </w:r>
      <w:r w:rsidRPr="002F0D39">
        <w:rPr>
          <w:rStyle w:val="Emphasis"/>
          <w:lang w:val="es-MX"/>
        </w:rPr>
        <w:t>.</w:t>
      </w:r>
    </w:p>
    <w:p w14:paraId="71265560" w14:textId="4619727B" w:rsidR="0021414A" w:rsidRPr="002F0D39" w:rsidRDefault="0021414A" w:rsidP="004C2E85">
      <w:pPr>
        <w:pStyle w:val="Paragraph"/>
        <w:tabs>
          <w:tab w:val="num" w:pos="720"/>
        </w:tabs>
        <w:spacing w:line="276" w:lineRule="auto"/>
        <w:ind w:left="720" w:hanging="720"/>
        <w:rPr>
          <w:rStyle w:val="Emphasis"/>
          <w:lang w:val="es-MX"/>
        </w:rPr>
      </w:pPr>
      <w:r w:rsidRPr="002F0D39">
        <w:rPr>
          <w:rStyle w:val="Emphasis"/>
          <w:lang w:val="es-MX"/>
        </w:rPr>
        <w:t>La metodología utilizada en esta evalu</w:t>
      </w:r>
      <w:r>
        <w:rPr>
          <w:rStyle w:val="Emphasis"/>
          <w:lang w:val="es-MX"/>
        </w:rPr>
        <w:t>ación es un Análisis de Costo-Beneficio</w:t>
      </w:r>
      <w:r w:rsidRPr="002F0D39">
        <w:rPr>
          <w:rStyle w:val="Emphasis"/>
          <w:lang w:val="es-MX"/>
        </w:rPr>
        <w:t xml:space="preserve"> (ACB) </w:t>
      </w:r>
      <w:r w:rsidRPr="002F0D39">
        <w:rPr>
          <w:rStyle w:val="Emphasis"/>
          <w:i/>
          <w:lang w:val="es-MX"/>
        </w:rPr>
        <w:t>Ex Post</w:t>
      </w:r>
      <w:r w:rsidRPr="002F0D39">
        <w:rPr>
          <w:rStyle w:val="Emphasis"/>
          <w:lang w:val="es-MX"/>
        </w:rPr>
        <w:t xml:space="preserve">. Se denomina así debido a que la evaluación se realiza cuando el proyecto ya ha culminado. Esta metodología permitió identificar y cuantificar los beneficios de corto y largo plazo resultantes de la implementación del </w:t>
      </w:r>
      <w:r w:rsidR="0034342F">
        <w:rPr>
          <w:rStyle w:val="Emphasis"/>
          <w:lang w:val="es-MX"/>
        </w:rPr>
        <w:t>APDE</w:t>
      </w:r>
      <w:r>
        <w:rPr>
          <w:rStyle w:val="Emphasis"/>
          <w:lang w:val="es-MX"/>
        </w:rPr>
        <w:t>. S</w:t>
      </w:r>
      <w:r w:rsidRPr="002F0D39">
        <w:rPr>
          <w:rStyle w:val="Emphasis"/>
          <w:lang w:val="es-MX"/>
        </w:rPr>
        <w:t>e estiman los costos, y se calcula el retorno social y privado del Programa mediante la estimaci</w:t>
      </w:r>
      <w:r w:rsidR="0034342F">
        <w:rPr>
          <w:rStyle w:val="Emphasis"/>
          <w:lang w:val="es-MX"/>
        </w:rPr>
        <w:t>ón del Valor Actual Neto (VAN),</w:t>
      </w:r>
      <w:r w:rsidRPr="002F0D39">
        <w:rPr>
          <w:rStyle w:val="Emphasis"/>
          <w:lang w:val="es-MX"/>
        </w:rPr>
        <w:t xml:space="preserve"> la Tasa Interna de Retorno (TIR)</w:t>
      </w:r>
      <w:r w:rsidR="0034342F">
        <w:rPr>
          <w:rStyle w:val="Emphasis"/>
          <w:lang w:val="es-MX"/>
        </w:rPr>
        <w:t xml:space="preserve"> y la relación beneficio costo de la operación</w:t>
      </w:r>
      <w:r w:rsidRPr="002F0D39">
        <w:rPr>
          <w:rStyle w:val="Emphasis"/>
          <w:lang w:val="es-MX"/>
        </w:rPr>
        <w:t xml:space="preserve">. </w:t>
      </w:r>
      <w:r w:rsidR="0034342F">
        <w:rPr>
          <w:rStyle w:val="Emphasis"/>
          <w:lang w:val="es-MX"/>
        </w:rPr>
        <w:t>Dichos</w:t>
      </w:r>
      <w:r w:rsidRPr="002F0D39">
        <w:rPr>
          <w:rStyle w:val="Emphasis"/>
          <w:lang w:val="es-MX"/>
        </w:rPr>
        <w:t xml:space="preserve"> indicadores permitieron evaluar la rentabilidad de los recursos invertidos en el Programa bajo ciertos supuestos y parámetros previamente establecidos.</w:t>
      </w:r>
    </w:p>
    <w:p w14:paraId="66A6493F" w14:textId="3D575A79" w:rsidR="0021414A" w:rsidRPr="002F0D39" w:rsidRDefault="0021414A" w:rsidP="004C2E85">
      <w:pPr>
        <w:pStyle w:val="Paragraph"/>
        <w:tabs>
          <w:tab w:val="num" w:pos="720"/>
        </w:tabs>
        <w:spacing w:line="276" w:lineRule="auto"/>
        <w:ind w:left="720" w:hanging="720"/>
        <w:rPr>
          <w:rStyle w:val="Emphasis"/>
          <w:lang w:val="es-MX"/>
        </w:rPr>
      </w:pPr>
      <w:r w:rsidRPr="002F0D39">
        <w:rPr>
          <w:rStyle w:val="Emphasis"/>
          <w:lang w:val="es-MX"/>
        </w:rPr>
        <w:t xml:space="preserve">Toda la información utilizada para los cálculos y supuestos es de carácter oficial disponible al público o suministradas por el </w:t>
      </w:r>
      <w:r w:rsidR="0034342F">
        <w:rPr>
          <w:rStyle w:val="Emphasis"/>
          <w:lang w:val="es-MX"/>
        </w:rPr>
        <w:t>Gobierno de República Dominicana</w:t>
      </w:r>
      <w:r w:rsidRPr="002F0D39">
        <w:rPr>
          <w:rStyle w:val="Emphasis"/>
          <w:lang w:val="es-MX"/>
        </w:rPr>
        <w:t xml:space="preserve">. </w:t>
      </w:r>
      <w:bookmarkEnd w:id="7"/>
      <w:bookmarkEnd w:id="8"/>
      <w:bookmarkEnd w:id="9"/>
    </w:p>
    <w:p w14:paraId="7E1DF74F" w14:textId="77777777" w:rsidR="003126C1" w:rsidRPr="00B2077E" w:rsidRDefault="28D31204" w:rsidP="009936EE">
      <w:pPr>
        <w:pStyle w:val="Heading1"/>
        <w:tabs>
          <w:tab w:val="clear" w:pos="2088"/>
          <w:tab w:val="left" w:pos="1134"/>
        </w:tabs>
        <w:ind w:left="0" w:firstLine="567"/>
        <w:rPr>
          <w:rFonts w:ascii="Arial" w:hAnsi="Arial" w:cs="Arial"/>
        </w:rPr>
      </w:pPr>
      <w:bookmarkStart w:id="41" w:name="_Toc49961747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28D31204">
        <w:rPr>
          <w:rFonts w:ascii="Arial" w:hAnsi="Arial" w:cs="Arial"/>
        </w:rPr>
        <w:t>Antecedentes</w:t>
      </w:r>
      <w:bookmarkEnd w:id="40"/>
      <w:bookmarkEnd w:id="41"/>
    </w:p>
    <w:p w14:paraId="5EA59220" w14:textId="60029B8F" w:rsidR="00BA6C69" w:rsidRPr="00B2077E" w:rsidRDefault="28D31204" w:rsidP="004C2E85">
      <w:pPr>
        <w:pStyle w:val="Heading2"/>
        <w:spacing w:line="276" w:lineRule="auto"/>
        <w:ind w:hanging="720"/>
        <w:rPr>
          <w:rFonts w:cs="Arial"/>
          <w:lang w:val="es-MX"/>
        </w:rPr>
      </w:pPr>
      <w:bookmarkStart w:id="42" w:name="_Toc365986797"/>
      <w:bookmarkStart w:id="43" w:name="_Toc366057204"/>
      <w:r w:rsidRPr="28D31204">
        <w:rPr>
          <w:rFonts w:cs="Arial"/>
          <w:lang w:val="es-MX"/>
        </w:rPr>
        <w:t>Diagnóstico y respuesta a la situación de</w:t>
      </w:r>
      <w:r w:rsidR="006E494B">
        <w:rPr>
          <w:rFonts w:cs="Arial"/>
          <w:lang w:val="es-MX"/>
        </w:rPr>
        <w:t xml:space="preserve"> eficiencia interna </w:t>
      </w:r>
      <w:bookmarkEnd w:id="42"/>
      <w:bookmarkEnd w:id="43"/>
      <w:r w:rsidR="00E3517E">
        <w:rPr>
          <w:rFonts w:cs="Arial"/>
          <w:lang w:val="es-MX"/>
        </w:rPr>
        <w:t>y calidad</w:t>
      </w:r>
    </w:p>
    <w:p w14:paraId="5801407A" w14:textId="572A8D10" w:rsidR="00F476AC" w:rsidRPr="00F476AC" w:rsidRDefault="00AB3DB0" w:rsidP="004C2E85">
      <w:pPr>
        <w:pStyle w:val="Paragraph"/>
        <w:tabs>
          <w:tab w:val="num" w:pos="720"/>
        </w:tabs>
        <w:spacing w:line="276" w:lineRule="auto"/>
        <w:ind w:left="720" w:hanging="720"/>
        <w:rPr>
          <w:rFonts w:cs="Arial"/>
        </w:rPr>
      </w:pPr>
      <w:bookmarkStart w:id="44" w:name="_Toc365986798"/>
      <w:bookmarkStart w:id="45" w:name="_Toc365987914"/>
      <w:bookmarkStart w:id="46" w:name="_Toc366057205"/>
      <w:r w:rsidRPr="00AB3DB0">
        <w:rPr>
          <w:rFonts w:cs="Arial"/>
          <w:szCs w:val="22"/>
        </w:rPr>
        <w:t xml:space="preserve">En las últimas décadas República Dominicana ha hecho esfuerzos significativos por ampliar el acceso de la población a la educación y mejorar la calidad educativa. Sin embargo, persisten rezagos significativos en calidad y equidad, como también altas tasas de fracaso escolar. </w:t>
      </w:r>
      <w:r>
        <w:rPr>
          <w:rFonts w:cs="Arial"/>
          <w:szCs w:val="22"/>
        </w:rPr>
        <w:t xml:space="preserve">En el país </w:t>
      </w:r>
      <w:r w:rsidRPr="00AB3DB0">
        <w:rPr>
          <w:rFonts w:cs="Arial"/>
          <w:szCs w:val="22"/>
        </w:rPr>
        <w:t>se observan niveles inaceptables de fracaso escolar: por ejemplo el 76% de los estudiantes finaliza la educación básica (1º a 8º grado) pero sólo el 29% lo hace en el tiempo previsto</w:t>
      </w:r>
      <w:r w:rsidRPr="00AB3DB0">
        <w:rPr>
          <w:rStyle w:val="FootnoteReference"/>
          <w:rFonts w:cs="Arial"/>
          <w:szCs w:val="22"/>
          <w:lang w:val="es-MX"/>
        </w:rPr>
        <w:footnoteReference w:id="1"/>
      </w:r>
      <w:r w:rsidRPr="00AB3DB0">
        <w:rPr>
          <w:rFonts w:cs="Arial"/>
          <w:szCs w:val="22"/>
        </w:rPr>
        <w:t xml:space="preserve">. En media (9º a 12º grado) el reto es aún mayor: sólo el 42% de los jóvenes completa este nivel, y únicamente el 17% lo hace a la edad prevista. Por otra parte, los resultados de aprendizajes de los estudiantes son muy bajos. Los estudiantes dominicanos de 3º y 6º grado ocuparon el último lugar entre los 16 países latinoamericanos que participaron de las pruebas de matemática y lectura del Segundo Estudio Regional Comparativo y Explicativo (SERCE) en 2006. Las </w:t>
      </w:r>
      <w:r w:rsidRPr="00AB3DB0">
        <w:rPr>
          <w:rFonts w:cs="Arial"/>
          <w:szCs w:val="22"/>
        </w:rPr>
        <w:lastRenderedPageBreak/>
        <w:t xml:space="preserve">pruebas nacionales confirman lo anterior y muestran estancamiento en los logros de los alumnos en los últimos años </w:t>
      </w:r>
      <w:r w:rsidRPr="00AB3DB0">
        <w:rPr>
          <w:rStyle w:val="FootnoteReference"/>
          <w:rFonts w:cs="Arial"/>
          <w:szCs w:val="22"/>
          <w:lang w:val="es-MX"/>
        </w:rPr>
        <w:footnoteReference w:id="2"/>
      </w:r>
      <w:r w:rsidRPr="00AB3DB0">
        <w:rPr>
          <w:rFonts w:cs="Arial"/>
          <w:szCs w:val="22"/>
        </w:rPr>
        <w:t>.</w:t>
      </w:r>
    </w:p>
    <w:p w14:paraId="5AC5BC80" w14:textId="77777777" w:rsidR="00E007E8" w:rsidRPr="00E007E8" w:rsidRDefault="00AB3DB0" w:rsidP="004C2E85">
      <w:pPr>
        <w:pStyle w:val="Paragraph"/>
        <w:tabs>
          <w:tab w:val="num" w:pos="720"/>
        </w:tabs>
        <w:spacing w:line="276" w:lineRule="auto"/>
        <w:ind w:left="720" w:hanging="720"/>
        <w:rPr>
          <w:rFonts w:cs="Arial"/>
        </w:rPr>
      </w:pPr>
      <w:r w:rsidRPr="00F476AC">
        <w:rPr>
          <w:rFonts w:cs="Arial"/>
          <w:szCs w:val="22"/>
        </w:rPr>
        <w:t xml:space="preserve">Buena parte de los problemas de eficiencia interna y calidad de la escuela dominicana se originan en el primer ciclo de educación básica (1er a 4to grado). A pesar de que hay promoción automática en los dos primeros grados, persisten altas tasas de fracaso escolar (reprobación y abandono), que se incrementan sustancialmente al alcanzar 3º </w:t>
      </w:r>
      <w:r w:rsidR="00F476AC">
        <w:rPr>
          <w:rFonts w:cs="Arial"/>
          <w:szCs w:val="22"/>
        </w:rPr>
        <w:t>grado</w:t>
      </w:r>
      <w:r w:rsidRPr="00F476AC">
        <w:rPr>
          <w:rFonts w:cs="Arial"/>
          <w:szCs w:val="22"/>
        </w:rPr>
        <w:t xml:space="preserve">. En promedio para básica, el fracaso escolar es 17% mayor que a nivel nacional. Cabe mencionar que el fracaso en 3º grado es alarmante </w:t>
      </w:r>
      <w:r w:rsidR="00F476AC">
        <w:rPr>
          <w:rFonts w:cs="Arial"/>
          <w:szCs w:val="22"/>
        </w:rPr>
        <w:t xml:space="preserve">con un </w:t>
      </w:r>
      <w:r w:rsidRPr="00F476AC">
        <w:rPr>
          <w:rFonts w:cs="Arial"/>
          <w:szCs w:val="22"/>
        </w:rPr>
        <w:t xml:space="preserve">20%. En los grados siguientes el fracaso escolar disminuye pero es constante La combinación de la entrada tardía al 1º grado, y el persistente fracaso escolar, han producido un fenómeno generalizado de sobre edad en el sistema educativo. La proporción de alumnos que se encuentran cursando el grado en la edad correcta disminuye a medida que se aumenta los grados. </w:t>
      </w:r>
    </w:p>
    <w:p w14:paraId="2FD063B8" w14:textId="09F97B70" w:rsidR="00E007E8" w:rsidRPr="005F0FC1" w:rsidRDefault="00E007E8" w:rsidP="004C2E85">
      <w:pPr>
        <w:pStyle w:val="Paragraph"/>
        <w:tabs>
          <w:tab w:val="num" w:pos="720"/>
        </w:tabs>
        <w:spacing w:line="276" w:lineRule="auto"/>
        <w:ind w:left="720" w:hanging="720"/>
        <w:rPr>
          <w:rFonts w:cs="Arial"/>
        </w:rPr>
      </w:pPr>
      <w:r>
        <w:rPr>
          <w:rFonts w:cs="Arial"/>
          <w:szCs w:val="22"/>
        </w:rPr>
        <w:t xml:space="preserve">Por otro lado </w:t>
      </w:r>
      <w:r w:rsidRPr="00E007E8">
        <w:rPr>
          <w:rFonts w:cs="Arial"/>
          <w:szCs w:val="22"/>
          <w:lang w:val="es-MX"/>
        </w:rPr>
        <w:t xml:space="preserve">la infraestructura escolar </w:t>
      </w:r>
      <w:r>
        <w:rPr>
          <w:rFonts w:cs="Arial"/>
          <w:szCs w:val="22"/>
          <w:lang w:val="es-MX"/>
        </w:rPr>
        <w:t xml:space="preserve">es </w:t>
      </w:r>
      <w:r w:rsidRPr="00E007E8">
        <w:rPr>
          <w:rFonts w:cs="Arial"/>
          <w:szCs w:val="22"/>
          <w:lang w:val="es-MX"/>
        </w:rPr>
        <w:t xml:space="preserve">deficitaria y deficiente en </w:t>
      </w:r>
      <w:r>
        <w:rPr>
          <w:rFonts w:cs="Arial"/>
          <w:szCs w:val="22"/>
          <w:lang w:val="es-MX"/>
        </w:rPr>
        <w:t>el país</w:t>
      </w:r>
      <w:r w:rsidRPr="00E007E8">
        <w:rPr>
          <w:rFonts w:cs="Arial"/>
          <w:szCs w:val="22"/>
          <w:lang w:val="es-MX"/>
        </w:rPr>
        <w:t>. Por un lado el crecimiento de la demanda del sector gener</w:t>
      </w:r>
      <w:r>
        <w:rPr>
          <w:rFonts w:cs="Arial"/>
          <w:szCs w:val="22"/>
          <w:lang w:val="es-MX"/>
        </w:rPr>
        <w:t>ó mucha presión al gobierno</w:t>
      </w:r>
      <w:r w:rsidRPr="00E007E8">
        <w:rPr>
          <w:rFonts w:cs="Arial"/>
          <w:szCs w:val="22"/>
          <w:lang w:val="es-MX"/>
        </w:rPr>
        <w:t>, que por décadas no invirtió en infraestructura escolar. En respuesta el Ministerio de Educación de Repúb</w:t>
      </w:r>
      <w:r>
        <w:rPr>
          <w:rFonts w:cs="Arial"/>
          <w:szCs w:val="22"/>
          <w:lang w:val="es-MX"/>
        </w:rPr>
        <w:t>lica Dominicana (MINERD) creó</w:t>
      </w:r>
      <w:r w:rsidRPr="00E007E8">
        <w:rPr>
          <w:rFonts w:cs="Arial"/>
          <w:szCs w:val="22"/>
          <w:lang w:val="es-MX"/>
        </w:rPr>
        <w:t xml:space="preserve"> hasta dos tandas adicionales en un mismo edificio escolar. Esta medida produjo un grave hacinamiento en las escuelas, especialmente en las urbanas (fruto de la urbanización creciente del país) y del sector público. Previo a la operación el 75% de los planteles ofrecían dos tandas, 10% de los planteles tres tandas y sólo el 15% una sola tanda. En las escuelas públicas con 500 </w:t>
      </w:r>
      <w:proofErr w:type="spellStart"/>
      <w:r w:rsidRPr="00E007E8">
        <w:rPr>
          <w:rFonts w:cs="Arial"/>
          <w:szCs w:val="22"/>
          <w:lang w:val="es-MX"/>
        </w:rPr>
        <w:t>ó</w:t>
      </w:r>
      <w:proofErr w:type="spellEnd"/>
      <w:r w:rsidRPr="00E007E8">
        <w:rPr>
          <w:rFonts w:cs="Arial"/>
          <w:szCs w:val="22"/>
          <w:lang w:val="es-MX"/>
        </w:rPr>
        <w:t xml:space="preserve"> más estudiantes, que son en su mayoría urbanas y atienden al 69% de la matrícula pública, la relación alumno/aula es de 78.2, comparado con 29,2 en el sector privado (por ley el máximo es 30). En las escuelas más grandes (con más de 3.000 estudiantes, que representan 6% de la matrícula pública) el número de estudiantes por aula es de 117, según las estadísticas del MINERD. La mayor demanda educativa en media ha obligado al MINERD a establecer escuelas en establecimien</w:t>
      </w:r>
      <w:r>
        <w:rPr>
          <w:rFonts w:cs="Arial"/>
          <w:szCs w:val="22"/>
          <w:lang w:val="es-MX"/>
        </w:rPr>
        <w:t xml:space="preserve">tos improvisados en mal estado. Lo anterior tuvo un efecto negativo en </w:t>
      </w:r>
      <w:r w:rsidR="005F0FC1">
        <w:rPr>
          <w:rFonts w:cs="Arial"/>
          <w:szCs w:val="22"/>
          <w:lang w:val="es-MX"/>
        </w:rPr>
        <w:t>el cumplimiento del horario escolar</w:t>
      </w:r>
      <w:r w:rsidRPr="005F0FC1">
        <w:rPr>
          <w:rFonts w:cs="Arial"/>
          <w:szCs w:val="22"/>
          <w:lang w:val="es-MX"/>
        </w:rPr>
        <w:t>. Los alumnos de las escuelas públicas reciben un poco más de 50% del tiempo de clases que establece el currículo. Un estudio de EDUCA-GALLUP</w:t>
      </w:r>
      <w:r>
        <w:rPr>
          <w:rStyle w:val="FootnoteReference"/>
          <w:rFonts w:cs="Arial"/>
          <w:szCs w:val="22"/>
          <w:lang w:val="es-MX"/>
        </w:rPr>
        <w:footnoteReference w:id="3"/>
      </w:r>
      <w:r w:rsidRPr="005F0FC1">
        <w:rPr>
          <w:rFonts w:cs="Arial"/>
          <w:szCs w:val="22"/>
          <w:lang w:val="es-MX"/>
        </w:rPr>
        <w:t xml:space="preserve"> encontró que el tiempo promedio dedicado a clases en las escuelas de básica es dos horas y 41 minutos por día cuando este debiera ser de 5 horas. En las escuelas de jornada vespertina sólo se dictan en promedio 2 horas y 14 minutos de clase al día. En la educación media ocurre algo similar, con el agravante que hay un porcentaje mayor de alumnos en los turnos vespertino y nocturno. Estas deficiencias terminan afectando el ambiente escolar y el rendimiento de los estudiantes (ver apartado de análisis de la lógica vertical), y se observa que los </w:t>
      </w:r>
      <w:r w:rsidRPr="005F0FC1">
        <w:rPr>
          <w:rFonts w:cs="Arial"/>
          <w:szCs w:val="22"/>
          <w:lang w:val="es-MX"/>
        </w:rPr>
        <w:lastRenderedPageBreak/>
        <w:t>alumnos de secciones más congestionadas y los de la tanda nocturna tienen indicadores de promoción significativamente más bajos.</w:t>
      </w:r>
    </w:p>
    <w:p w14:paraId="743B63DC" w14:textId="0EE553DF" w:rsidR="005F0FC1" w:rsidRPr="005F0FC1" w:rsidRDefault="007E0264" w:rsidP="004C2E85">
      <w:pPr>
        <w:pStyle w:val="Paragraph"/>
        <w:tabs>
          <w:tab w:val="num" w:pos="720"/>
        </w:tabs>
        <w:spacing w:line="276" w:lineRule="auto"/>
        <w:ind w:left="720" w:hanging="720"/>
        <w:rPr>
          <w:rFonts w:cs="Arial"/>
        </w:rPr>
      </w:pPr>
      <w:r w:rsidRPr="007E0264">
        <w:rPr>
          <w:rFonts w:cs="Arial"/>
          <w:szCs w:val="22"/>
        </w:rPr>
        <w:t xml:space="preserve">En respuesta a los problemas anteriores el Gobierno de la República Dominicana (GRD) lanzó el Plan Decenal de Educación (PDE) 2008-2018 y el Plan Estratégico de Gestión Educativa (PEGE) 2008-2012. Estos planes están orientados a: i) incrementar la cobertura, especialmente a nivel medio; ii) mejorar la promoción y graduación y reducir la deserción; iii) establecer estándares de calidad y un sistema de evaluación del desempeño escolar; y iv) crear las condiciones para el cumplimiento del horario y calendario escolar. Concretamente, el PEGE establece dos medidas para lograr mejores resultados en el aprendizaje: i) aumentar el número de horas de clase (cantidad) de 2.5 horas (2008) a 4 horas mínimo; y ii) mejorar la docencia que se ofrece en el aula para que efectivamente propicie el aprendizaje esperado (calidad). </w:t>
      </w:r>
    </w:p>
    <w:p w14:paraId="32997387" w14:textId="2572EA55" w:rsidR="007E0264" w:rsidRPr="005F0FC1" w:rsidRDefault="007E0264" w:rsidP="004C2E85">
      <w:pPr>
        <w:pStyle w:val="Paragraph"/>
        <w:tabs>
          <w:tab w:val="num" w:pos="720"/>
        </w:tabs>
        <w:spacing w:line="276" w:lineRule="auto"/>
        <w:ind w:left="720" w:hanging="720"/>
        <w:rPr>
          <w:rFonts w:cs="Arial"/>
        </w:rPr>
      </w:pPr>
      <w:r w:rsidRPr="005F0FC1">
        <w:rPr>
          <w:rFonts w:cs="Arial"/>
          <w:szCs w:val="22"/>
        </w:rPr>
        <w:t xml:space="preserve">Con el fin de apoyar al GRD, el Banco, en febrero de 2010, aprobó lo que sería la primera de dos operaciones de una Línea de Crédito Condicional para Proyectos de Inversión (CCLIP, por sus siglas en inglés) (Préstamo 2293/OC-DR, DR-L1032). El Banco apoyó además al Ministerio de Educación Superior, Ciencia y Tecnología (MESCYT) y al MINERD mediante la Cooperación Técnica (CT) Mejoramiento de la Formación Docente y la Evaluación Educativa (ATN/OC-11844-DR) con la cual se ha financiado el levantamiento de la línea de base del aprendizaje de lenguaje y matemática de los estudiantes que iniciaron 4to grado y brindado apoyo a la reforma de la formación inicial docente. </w:t>
      </w:r>
    </w:p>
    <w:p w14:paraId="50C5658F" w14:textId="77777777" w:rsidR="007E0264" w:rsidRPr="007E0264" w:rsidRDefault="007E0264" w:rsidP="004C2E85">
      <w:pPr>
        <w:spacing w:before="120" w:after="120" w:line="276" w:lineRule="auto"/>
        <w:ind w:left="0" w:firstLine="0"/>
        <w:rPr>
          <w:rFonts w:ascii="Arial" w:hAnsi="Arial" w:cs="Arial"/>
          <w:b/>
          <w:sz w:val="22"/>
          <w:szCs w:val="22"/>
        </w:rPr>
      </w:pPr>
      <w:r w:rsidRPr="007E0264">
        <w:rPr>
          <w:rFonts w:ascii="Arial" w:hAnsi="Arial" w:cs="Arial"/>
          <w:b/>
          <w:sz w:val="22"/>
          <w:szCs w:val="22"/>
        </w:rPr>
        <w:t xml:space="preserve">Segunda operación del CCLIP – Segundo Préstamo Individual para el Apoyo al Plan Decenal  de Educación (APDE) – DR-L1056. </w:t>
      </w:r>
    </w:p>
    <w:p w14:paraId="3FD5F052" w14:textId="77777777" w:rsidR="007E0264" w:rsidRPr="005F0FC1" w:rsidRDefault="007E0264" w:rsidP="004C2E85">
      <w:pPr>
        <w:pStyle w:val="Paragraph"/>
        <w:tabs>
          <w:tab w:val="num" w:pos="720"/>
        </w:tabs>
        <w:spacing w:line="276" w:lineRule="auto"/>
        <w:ind w:left="720" w:hanging="720"/>
        <w:rPr>
          <w:rFonts w:cs="Arial"/>
        </w:rPr>
      </w:pPr>
      <w:r w:rsidRPr="005F0FC1">
        <w:rPr>
          <w:rFonts w:cs="Arial"/>
          <w:szCs w:val="22"/>
        </w:rPr>
        <w:t>El Segundo Préstamo Individual para el Apoyo al Plan Decenal de Educación (APDE) se aprueba a fin dar continuidad a las estrategias planteadas en la primera iniciativa del CCLIP, manteniendo la lógica de intervención, y profundizando el apoyo a los esfuerzos del MINERD por disminuir el hacinamiento escolar, aumentar las horas de clase efectivas y mejorar el desempeño de las escuelas. El APDE se aprueba en noviembre del año 2012 por el Directorio del Banco por un monto de USD$ 50 millones y US$15 millones de contrapartida. Entre las acciones más importantes de la operación sobresalen la de continuar apoyando la construcción de infraestructura escolar para básica y media, y la adecuación de escuelas para acomodar la jornada extendida. Asimismo se incorporó el apoyo a la sistematización y evaluación de las intervenciones de lectoescritura, matemática y gestión financiadas con la primera operación del CCLIP, y la asistencia al MINERD en la dotación de recursos pedagógicos a las escuelas que apoyaron las intervenciones y el programa de jornada escolar (ver objetivo y estructura de la operación en el apartado de Análisis de la Lógica Vertical).</w:t>
      </w:r>
    </w:p>
    <w:p w14:paraId="0BBDA3A9" w14:textId="22A30371" w:rsidR="00BE7E90" w:rsidRDefault="00BE7E90" w:rsidP="004C2E85">
      <w:pPr>
        <w:pStyle w:val="Paragraph"/>
        <w:numPr>
          <w:ilvl w:val="0"/>
          <w:numId w:val="0"/>
        </w:numPr>
        <w:tabs>
          <w:tab w:val="num" w:pos="2088"/>
        </w:tabs>
        <w:spacing w:line="276" w:lineRule="auto"/>
        <w:ind w:left="720"/>
        <w:rPr>
          <w:rFonts w:cs="Arial"/>
        </w:rPr>
      </w:pPr>
    </w:p>
    <w:p w14:paraId="3966167D" w14:textId="77777777" w:rsidR="004C2E85" w:rsidRPr="00B2077E" w:rsidRDefault="004C2E85" w:rsidP="004C2E85">
      <w:pPr>
        <w:pStyle w:val="Paragraph"/>
        <w:numPr>
          <w:ilvl w:val="0"/>
          <w:numId w:val="0"/>
        </w:numPr>
        <w:tabs>
          <w:tab w:val="num" w:pos="2088"/>
        </w:tabs>
        <w:spacing w:line="276" w:lineRule="auto"/>
        <w:ind w:left="720"/>
        <w:rPr>
          <w:rFonts w:cs="Arial"/>
        </w:rPr>
      </w:pPr>
    </w:p>
    <w:p w14:paraId="4C402351" w14:textId="30FDC298" w:rsidR="00B802BB" w:rsidRPr="00B2077E" w:rsidRDefault="009C2BEC" w:rsidP="28D31204">
      <w:pPr>
        <w:pStyle w:val="Heading2"/>
        <w:spacing w:line="276" w:lineRule="auto"/>
        <w:ind w:hanging="720"/>
        <w:rPr>
          <w:rFonts w:cs="Arial"/>
          <w:color w:val="365F91"/>
          <w:lang w:val="es-MX"/>
        </w:rPr>
      </w:pPr>
      <w:bookmarkStart w:id="47" w:name="_Toc365986800"/>
      <w:bookmarkStart w:id="48" w:name="_Toc365987916"/>
      <w:bookmarkStart w:id="49" w:name="_Toc366057207"/>
      <w:bookmarkEnd w:id="44"/>
      <w:bookmarkEnd w:id="45"/>
      <w:bookmarkEnd w:id="46"/>
      <w:r>
        <w:rPr>
          <w:rFonts w:cs="Arial"/>
          <w:color w:val="365F91"/>
          <w:lang w:val="es-MX"/>
        </w:rPr>
        <w:lastRenderedPageBreak/>
        <w:t xml:space="preserve">Segundo Préstamo Individual para el </w:t>
      </w:r>
      <w:r w:rsidR="00473E74">
        <w:rPr>
          <w:rFonts w:cs="Arial"/>
          <w:color w:val="365F91"/>
          <w:lang w:val="es-MX"/>
        </w:rPr>
        <w:t>Apoyo al Plan Decenal de Educación</w:t>
      </w:r>
      <w:r>
        <w:rPr>
          <w:rFonts w:cs="Arial"/>
          <w:color w:val="365F91"/>
          <w:lang w:val="es-MX"/>
        </w:rPr>
        <w:t xml:space="preserve">. </w:t>
      </w:r>
    </w:p>
    <w:p w14:paraId="000B4FE0" w14:textId="0EB573BB" w:rsidR="009C2BEC" w:rsidRPr="009C2BEC" w:rsidRDefault="28D31204" w:rsidP="009C2BEC">
      <w:pPr>
        <w:pStyle w:val="Paragraph"/>
        <w:tabs>
          <w:tab w:val="num" w:pos="720"/>
        </w:tabs>
        <w:spacing w:line="276" w:lineRule="auto"/>
        <w:ind w:left="720" w:hanging="720"/>
        <w:rPr>
          <w:rFonts w:cs="Arial"/>
        </w:rPr>
      </w:pPr>
      <w:r w:rsidRPr="28D31204">
        <w:rPr>
          <w:rFonts w:cs="Arial"/>
        </w:rPr>
        <w:t xml:space="preserve">El </w:t>
      </w:r>
      <w:r w:rsidR="009C2BEC">
        <w:rPr>
          <w:rFonts w:cs="Arial"/>
        </w:rPr>
        <w:t xml:space="preserve">segundo </w:t>
      </w:r>
      <w:r w:rsidR="009C2BEC" w:rsidRPr="009C2BEC">
        <w:rPr>
          <w:rFonts w:cs="Arial"/>
          <w:szCs w:val="22"/>
        </w:rPr>
        <w:t>préstamo tuvo por objetivo apoyar al MINERD en la mejora del desempeño y eficiencia de las escuelas de básica y media, consolidar la política de mejora de lectoescritura y matemática en el primer ciclo de básica y ampliar la infraestructura escolar. El proyecto se ejecutó con dos componentes:</w:t>
      </w:r>
    </w:p>
    <w:p w14:paraId="6D5E8647" w14:textId="77777777" w:rsidR="009C2BEC" w:rsidRPr="009C2BEC" w:rsidRDefault="009C2BEC" w:rsidP="009C2BEC">
      <w:pPr>
        <w:pStyle w:val="Paragraph"/>
        <w:tabs>
          <w:tab w:val="num" w:pos="720"/>
        </w:tabs>
        <w:spacing w:line="276" w:lineRule="auto"/>
        <w:ind w:left="720" w:hanging="720"/>
        <w:rPr>
          <w:rFonts w:cs="Arial"/>
        </w:rPr>
      </w:pPr>
      <w:r w:rsidRPr="009C2BEC">
        <w:rPr>
          <w:rFonts w:cs="Arial"/>
          <w:b/>
          <w:szCs w:val="22"/>
        </w:rPr>
        <w:t xml:space="preserve">Componente 1. </w:t>
      </w:r>
      <w:r w:rsidRPr="009C2BEC">
        <w:rPr>
          <w:rFonts w:cs="Arial"/>
          <w:b/>
          <w:bCs/>
          <w:szCs w:val="22"/>
        </w:rPr>
        <w:t>Ampliación y equipamiento de la infraestructura escolar</w:t>
      </w:r>
      <w:r w:rsidRPr="009C2BEC">
        <w:rPr>
          <w:rFonts w:cs="Arial"/>
          <w:b/>
          <w:szCs w:val="22"/>
        </w:rPr>
        <w:t>.</w:t>
      </w:r>
      <w:r w:rsidRPr="009C2BEC">
        <w:rPr>
          <w:rFonts w:cs="Arial"/>
          <w:szCs w:val="22"/>
        </w:rPr>
        <w:t xml:space="preserve"> El objetivo del componente fue financiar la infraestructura necesaria para continuar apoyando los esfuerzos del MINERD de reducir el hacinamiento en las escuelas de educación básica y media, reducir las tandas nocturnas, cubrir el déficit de infraestructura escolar y mejorar los espacios educativos existentes. También se financió la puesta en marcha de un programa de mejora de gestión y unificación de tandas. A su vez el presente componente tuvo 3 subcomponentes:</w:t>
      </w:r>
    </w:p>
    <w:p w14:paraId="6CB4903B" w14:textId="77777777" w:rsidR="009C2BEC" w:rsidRPr="009C2BEC" w:rsidRDefault="009C2BEC" w:rsidP="009C2BEC">
      <w:pPr>
        <w:pStyle w:val="Paragraph"/>
        <w:tabs>
          <w:tab w:val="num" w:pos="720"/>
        </w:tabs>
        <w:spacing w:line="276" w:lineRule="auto"/>
        <w:ind w:left="720" w:hanging="720"/>
        <w:rPr>
          <w:rFonts w:cs="Arial"/>
        </w:rPr>
      </w:pPr>
      <w:r w:rsidRPr="009C2BEC">
        <w:rPr>
          <w:rFonts w:cs="Arial"/>
          <w:bCs/>
          <w:szCs w:val="22"/>
        </w:rPr>
        <w:t xml:space="preserve">Subcomponente 1.1. Adecuación de centros para jornada extendida e integración de tandas para mejorar la gestión escolar. </w:t>
      </w:r>
      <w:r w:rsidRPr="009C2BEC">
        <w:rPr>
          <w:rFonts w:cs="Arial"/>
          <w:szCs w:val="22"/>
        </w:rPr>
        <w:t>Este subcomponente financió: i) la adecuación de infraestructura de escuelas de jornada extendida y la adecuación de escuelas adicionales en las que se aplicará dicho modelo. ii) la reparación de los espacios físicos, la construcción y equipamiento de comedores escolares, laboratorios y otras áreas que contribuyan a mejorar las condiciones de aprendizaje; y iii) la integración de las diferentes tandas, a través de la creación de equipos directivos unificados que recibirán capacitación y apoyo técnico. Se espera que los equipos unificados mejoren la gestión del centro y de los recursos humanos docentes.</w:t>
      </w:r>
    </w:p>
    <w:p w14:paraId="77BF093B" w14:textId="77777777" w:rsidR="009C2BEC" w:rsidRPr="009C2BEC" w:rsidRDefault="009C2BEC" w:rsidP="006B2667">
      <w:pPr>
        <w:pStyle w:val="subpar"/>
        <w:tabs>
          <w:tab w:val="clear" w:pos="2592"/>
        </w:tabs>
        <w:ind w:left="1276"/>
      </w:pPr>
      <w:r w:rsidRPr="009C2BEC">
        <w:rPr>
          <w:bCs/>
        </w:rPr>
        <w:t xml:space="preserve">Subcomponente 1.2. Construcción y equipamiento de aulas de educación básica. </w:t>
      </w:r>
      <w:r w:rsidRPr="009C2BEC">
        <w:t>Este subcomponente financió: i) la revisión de los diseños arquitectónicos y el levantamiento topográfico de los terrenos; y ii) la construcción de aulas de educación básica, que corresponden a 8 nuevos planteles, con su respectivo equipamiento.</w:t>
      </w:r>
    </w:p>
    <w:p w14:paraId="2ED68CD6" w14:textId="77777777" w:rsidR="009C2BEC" w:rsidRPr="009C2BEC" w:rsidRDefault="009C2BEC" w:rsidP="006B2667">
      <w:pPr>
        <w:pStyle w:val="subpar"/>
        <w:tabs>
          <w:tab w:val="clear" w:pos="2592"/>
        </w:tabs>
        <w:ind w:left="1276"/>
      </w:pPr>
      <w:r w:rsidRPr="009C2BEC">
        <w:rPr>
          <w:bCs/>
        </w:rPr>
        <w:t xml:space="preserve">Subcomponente 1.3. Construcción y equipamiento de aulas de educación media. </w:t>
      </w:r>
      <w:r w:rsidRPr="009C2BEC">
        <w:t>Este subcomponente financió la construcción de aulas en 17 liceos de educación media y su respectivo equipamiento escolar. Además de dotar de laboratorios a liceos adicionales que fueron construidos por el MINERD con recursos de la primera operación del CCLIP y con recursos propios.</w:t>
      </w:r>
    </w:p>
    <w:p w14:paraId="5524312B" w14:textId="77E5BAEA" w:rsidR="008E31DD" w:rsidRPr="009C2BEC" w:rsidRDefault="009C2BEC" w:rsidP="009C2BEC">
      <w:pPr>
        <w:pStyle w:val="Paragraph"/>
        <w:tabs>
          <w:tab w:val="num" w:pos="720"/>
        </w:tabs>
        <w:spacing w:line="276" w:lineRule="auto"/>
        <w:ind w:left="720" w:hanging="720"/>
        <w:rPr>
          <w:rFonts w:cs="Arial"/>
        </w:rPr>
      </w:pPr>
      <w:r w:rsidRPr="009C2BEC">
        <w:rPr>
          <w:rFonts w:cs="Arial"/>
          <w:szCs w:val="22"/>
        </w:rPr>
        <w:t xml:space="preserve">Componente 2. </w:t>
      </w:r>
      <w:r w:rsidRPr="009C2BEC">
        <w:rPr>
          <w:rFonts w:eastAsiaTheme="minorHAnsi" w:cs="Arial"/>
          <w:bCs/>
          <w:szCs w:val="22"/>
        </w:rPr>
        <w:t xml:space="preserve">Mejora de la calidad educativa de la educación básica. </w:t>
      </w:r>
      <w:r w:rsidRPr="009C2BEC">
        <w:rPr>
          <w:rFonts w:eastAsiaTheme="minorHAnsi" w:cs="Arial"/>
          <w:szCs w:val="22"/>
        </w:rPr>
        <w:t xml:space="preserve">Este componente tuvo por objetivo mejorar los aprendizajes en básica, particularmente en lectoescritura y matemática. Se contemplaron las siguientes acciones: i) sistematización de los modelos de atención de las tres entidades que colaboran con el MINERD (Centro Cultural Poveda, PUCMM y OEI); ii) desarrollo de un sistema de monitoreo, análisis y seguimiento de las intervenciones de dichas entidades; iii) dotación de un paquete de recursos educativos de apoyo al aprendizaje y al trabajo docente (rincones tecnológicos, bibliotecas); iv) medición de la evolución de los aprendizajes de los niños en las escuelas atendidas por las instituciones que colaboran con el MINERD; y v) dotación de paquetes de recursos </w:t>
      </w:r>
      <w:r w:rsidRPr="009C2BEC">
        <w:rPr>
          <w:rFonts w:eastAsiaTheme="minorHAnsi" w:cs="Arial"/>
          <w:szCs w:val="22"/>
        </w:rPr>
        <w:lastRenderedPageBreak/>
        <w:t>deportivos, culturales y de refuerzo académico para el programa de jornada extendida.</w:t>
      </w:r>
    </w:p>
    <w:p w14:paraId="687F0FC4" w14:textId="77777777" w:rsidR="00EC55CF" w:rsidRPr="00B2077E" w:rsidRDefault="28D31204" w:rsidP="009936EE">
      <w:pPr>
        <w:pStyle w:val="Heading1"/>
        <w:tabs>
          <w:tab w:val="clear" w:pos="2088"/>
          <w:tab w:val="num" w:pos="1134"/>
        </w:tabs>
        <w:ind w:left="0" w:firstLine="567"/>
        <w:rPr>
          <w:rFonts w:ascii="Arial" w:hAnsi="Arial" w:cs="Arial"/>
        </w:rPr>
      </w:pPr>
      <w:bookmarkStart w:id="50" w:name="_Toc499617477"/>
      <w:bookmarkStart w:id="51" w:name="_Toc365986803"/>
      <w:bookmarkStart w:id="52" w:name="_Toc365987920"/>
      <w:bookmarkStart w:id="53" w:name="_Toc366057211"/>
      <w:bookmarkEnd w:id="47"/>
      <w:bookmarkEnd w:id="48"/>
      <w:bookmarkEnd w:id="49"/>
      <w:r w:rsidRPr="28D31204">
        <w:rPr>
          <w:rFonts w:ascii="Arial" w:hAnsi="Arial" w:cs="Arial"/>
        </w:rPr>
        <w:t>Análisis costo beneficio</w:t>
      </w:r>
      <w:bookmarkEnd w:id="50"/>
    </w:p>
    <w:p w14:paraId="6D8CC78A" w14:textId="77777777" w:rsidR="007501EA" w:rsidRPr="00B2077E" w:rsidRDefault="28D31204" w:rsidP="28D31204">
      <w:pPr>
        <w:pStyle w:val="Heading2"/>
        <w:numPr>
          <w:ilvl w:val="0"/>
          <w:numId w:val="7"/>
        </w:numPr>
        <w:spacing w:line="276" w:lineRule="auto"/>
        <w:ind w:hanging="720"/>
        <w:rPr>
          <w:rFonts w:cs="Arial"/>
          <w:color w:val="365F91"/>
          <w:lang w:val="es-MX"/>
        </w:rPr>
      </w:pPr>
      <w:r w:rsidRPr="28D31204">
        <w:rPr>
          <w:rFonts w:cs="Arial"/>
          <w:color w:val="365F91"/>
          <w:lang w:val="es-MX"/>
        </w:rPr>
        <w:t>Literatura de ACB en proyectos de educación</w:t>
      </w:r>
    </w:p>
    <w:p w14:paraId="4CCFE434" w14:textId="77777777" w:rsidR="004F4F68"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Uno de los trabajos empíricos que guiaron este análisis fue el de </w:t>
      </w:r>
      <w:proofErr w:type="spellStart"/>
      <w:r w:rsidRPr="28D31204">
        <w:rPr>
          <w:rFonts w:eastAsia="Calibri" w:cs="Arial"/>
          <w:lang w:val="es-MX"/>
        </w:rPr>
        <w:t>Cellini</w:t>
      </w:r>
      <w:proofErr w:type="spellEnd"/>
      <w:r w:rsidRPr="28D31204">
        <w:rPr>
          <w:rFonts w:eastAsia="Calibri" w:cs="Arial"/>
          <w:lang w:val="es-MX"/>
        </w:rPr>
        <w:t xml:space="preserve"> y </w:t>
      </w:r>
      <w:proofErr w:type="spellStart"/>
      <w:r w:rsidRPr="28D31204">
        <w:rPr>
          <w:rFonts w:eastAsia="Calibri" w:cs="Arial"/>
          <w:lang w:val="es-MX"/>
        </w:rPr>
        <w:t>Kee</w:t>
      </w:r>
      <w:proofErr w:type="spellEnd"/>
      <w:r w:rsidRPr="28D31204">
        <w:rPr>
          <w:rFonts w:eastAsia="Calibri" w:cs="Arial"/>
          <w:lang w:val="es-MX"/>
        </w:rPr>
        <w:t xml:space="preserve"> (2010) que explican detalladamente los pasos y los desafíos de un análisis Costo-Beneficio y Costo-Efectividad. De manera ilustrativa, los autores hacen ambos ejercicios para evaluar un programa de prevención del abandono escolar. Los autores mencionan la importancia que incluir costos y beneficios privados (directamente relacionados con los alumnos participantes), y los costos y beneficios sociales (factores externos que se ven afectados indirectamente por la intervención). Igualmente, sugieren no gastar esfuerzos en incluir costos y beneficios sociales o indirectos los cuales sean muy pequeños. </w:t>
      </w:r>
    </w:p>
    <w:p w14:paraId="5E728E75" w14:textId="77777777" w:rsidR="007501EA" w:rsidRPr="00B2077E" w:rsidRDefault="28D31204" w:rsidP="28D31204">
      <w:pPr>
        <w:pStyle w:val="Heading2"/>
        <w:spacing w:line="276" w:lineRule="auto"/>
        <w:ind w:hanging="720"/>
        <w:rPr>
          <w:rFonts w:cs="Arial"/>
          <w:color w:val="365F91"/>
          <w:lang w:val="es-MX"/>
        </w:rPr>
      </w:pPr>
      <w:r w:rsidRPr="28D31204">
        <w:rPr>
          <w:rFonts w:cs="Arial"/>
          <w:color w:val="365F91"/>
          <w:lang w:val="es-MX"/>
        </w:rPr>
        <w:t>Fuentes de información</w:t>
      </w:r>
    </w:p>
    <w:p w14:paraId="6BD00A19" w14:textId="31D7E4FC" w:rsidR="00D579B9" w:rsidRPr="00D63A47"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Para el ACB se </w:t>
      </w:r>
      <w:r w:rsidR="007A43D8">
        <w:rPr>
          <w:rFonts w:eastAsia="Calibri" w:cs="Arial"/>
          <w:lang w:val="es-MX"/>
        </w:rPr>
        <w:t>utilizó información proveniente de la Encuesta Nacional de Fuerza de Trabajo 20</w:t>
      </w:r>
      <w:r w:rsidR="000A5149">
        <w:rPr>
          <w:rFonts w:eastAsia="Calibri" w:cs="Arial"/>
          <w:lang w:val="es-MX"/>
        </w:rPr>
        <w:t>14 y 20</w:t>
      </w:r>
      <w:r w:rsidR="007A43D8">
        <w:rPr>
          <w:rFonts w:eastAsia="Calibri" w:cs="Arial"/>
          <w:lang w:val="es-MX"/>
        </w:rPr>
        <w:t xml:space="preserve">15, y de los sistemas de información de la Oficina de Cooperación Internacional del MINERD: </w:t>
      </w:r>
      <w:r w:rsidR="007A43D8" w:rsidRPr="00FC19B2">
        <w:rPr>
          <w:rFonts w:cs="Arial"/>
          <w:szCs w:val="22"/>
          <w:lang w:val="es-MX"/>
        </w:rPr>
        <w:t>Sistema de Gestión de Centros Educativos (SGCE); el Sistema de Acompañamiento y Supervisión Educativa (SASE); iii) el Sistema de Pruebas Nacionales (SPN); iv) el Sistema de Evaluación de Desempeño (SED); y v) el Sistema de Planificación y Monitoreo de la Ejecución.</w:t>
      </w:r>
      <w:r w:rsidRPr="28D31204">
        <w:rPr>
          <w:rStyle w:val="Emphasis"/>
          <w:rFonts w:cs="Arial"/>
        </w:rPr>
        <w:t xml:space="preserve"> </w:t>
      </w:r>
      <w:r w:rsidRPr="28D31204">
        <w:rPr>
          <w:rFonts w:eastAsia="Calibri" w:cs="Arial"/>
          <w:lang w:val="es-MX"/>
        </w:rPr>
        <w:t xml:space="preserve">La información suministrada por esta encuesta permitió obtener estadísticas de ingresos individuales por nivel educativo y </w:t>
      </w:r>
      <w:proofErr w:type="spellStart"/>
      <w:r w:rsidRPr="28D31204">
        <w:rPr>
          <w:rFonts w:eastAsia="Calibri" w:cs="Arial"/>
          <w:lang w:val="es-MX"/>
        </w:rPr>
        <w:t>microdatos</w:t>
      </w:r>
      <w:proofErr w:type="spellEnd"/>
      <w:r w:rsidRPr="28D31204">
        <w:rPr>
          <w:rFonts w:eastAsia="Calibri" w:cs="Arial"/>
          <w:lang w:val="es-MX"/>
        </w:rPr>
        <w:t xml:space="preserve"> para las estimaciones de los rendimientos de la educación. </w:t>
      </w:r>
      <w:r w:rsidRPr="28D31204">
        <w:rPr>
          <w:rFonts w:cs="Arial"/>
        </w:rPr>
        <w:t>Asimismo se utilizaron datos suministrados por la SEDU a través del Sistema de Administración de Centros Educativos (SACE), 2016,  para las estimaciones correspondientes.</w:t>
      </w:r>
    </w:p>
    <w:p w14:paraId="27205AFE" w14:textId="77777777" w:rsidR="00D63A47" w:rsidRPr="00B2077E" w:rsidRDefault="00D63A47" w:rsidP="00D63A47">
      <w:pPr>
        <w:pStyle w:val="Paragraph"/>
        <w:numPr>
          <w:ilvl w:val="0"/>
          <w:numId w:val="0"/>
        </w:numPr>
        <w:tabs>
          <w:tab w:val="num" w:pos="2088"/>
        </w:tabs>
        <w:spacing w:line="276" w:lineRule="auto"/>
        <w:ind w:left="720"/>
        <w:rPr>
          <w:rFonts w:eastAsia="Calibri" w:cs="Arial"/>
          <w:lang w:val="es-MX"/>
        </w:rPr>
      </w:pPr>
    </w:p>
    <w:p w14:paraId="1F4F8A22" w14:textId="77777777" w:rsidR="007158AC" w:rsidRPr="00B2077E" w:rsidRDefault="28D31204" w:rsidP="009936EE">
      <w:pPr>
        <w:pStyle w:val="Heading1"/>
        <w:tabs>
          <w:tab w:val="clear" w:pos="2088"/>
          <w:tab w:val="num" w:pos="1134"/>
        </w:tabs>
        <w:ind w:left="0" w:firstLine="567"/>
        <w:rPr>
          <w:rFonts w:ascii="Arial" w:hAnsi="Arial" w:cs="Arial"/>
        </w:rPr>
      </w:pPr>
      <w:bookmarkStart w:id="54" w:name="_Toc499617478"/>
      <w:r w:rsidRPr="28D31204">
        <w:rPr>
          <w:rFonts w:ascii="Arial" w:hAnsi="Arial" w:cs="Arial"/>
        </w:rPr>
        <w:t>Metodología, parámetros y supuestos</w:t>
      </w:r>
      <w:bookmarkEnd w:id="54"/>
    </w:p>
    <w:p w14:paraId="4972F53F" w14:textId="77777777" w:rsidR="00D87FE2" w:rsidRPr="00B2077E" w:rsidRDefault="28D31204" w:rsidP="28D31204">
      <w:pPr>
        <w:pStyle w:val="Heading2"/>
        <w:numPr>
          <w:ilvl w:val="0"/>
          <w:numId w:val="6"/>
        </w:numPr>
        <w:spacing w:line="276" w:lineRule="auto"/>
        <w:ind w:hanging="720"/>
        <w:rPr>
          <w:rFonts w:cs="Arial"/>
          <w:color w:val="365F91"/>
          <w:lang w:val="es-MX"/>
        </w:rPr>
      </w:pPr>
      <w:r w:rsidRPr="28D31204">
        <w:rPr>
          <w:rFonts w:cs="Arial"/>
          <w:color w:val="365F91"/>
          <w:lang w:val="es-MX"/>
        </w:rPr>
        <w:t>Metodología</w:t>
      </w:r>
    </w:p>
    <w:p w14:paraId="5A3742E2" w14:textId="77777777" w:rsidR="007A742E"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En esta sección se presenta la metodología, parámetros y supuestos utilizados para estimar los beneficios y costos de la intervención, los cuales serán posteriormente usados para estimar los indicadores de rentabilidad: el </w:t>
      </w:r>
      <w:r w:rsidRPr="28D31204">
        <w:rPr>
          <w:rFonts w:eastAsia="Calibri" w:cs="Arial"/>
          <w:i/>
          <w:iCs/>
          <w:lang w:val="es-MX"/>
        </w:rPr>
        <w:t>Valor Presente Neto</w:t>
      </w:r>
      <w:r w:rsidRPr="28D31204">
        <w:rPr>
          <w:rFonts w:eastAsia="Calibri" w:cs="Arial"/>
          <w:lang w:val="es-MX"/>
        </w:rPr>
        <w:t xml:space="preserve"> o </w:t>
      </w:r>
      <w:r w:rsidRPr="28D31204">
        <w:rPr>
          <w:rFonts w:eastAsia="Calibri" w:cs="Arial"/>
          <w:i/>
          <w:iCs/>
          <w:lang w:val="es-MX"/>
        </w:rPr>
        <w:t>VAN</w:t>
      </w:r>
      <w:r w:rsidRPr="28D31204">
        <w:rPr>
          <w:rFonts w:eastAsia="Calibri" w:cs="Arial"/>
          <w:lang w:val="es-MX"/>
        </w:rPr>
        <w:t xml:space="preserve">, </w:t>
      </w:r>
      <w:r w:rsidRPr="28D31204">
        <w:rPr>
          <w:rFonts w:eastAsia="Calibri" w:cs="Arial"/>
          <w:i/>
          <w:iCs/>
          <w:lang w:val="es-MX"/>
        </w:rPr>
        <w:t>Tasa Interna de Retorno</w:t>
      </w:r>
      <w:r w:rsidRPr="28D31204">
        <w:rPr>
          <w:rFonts w:eastAsia="Calibri" w:cs="Arial"/>
          <w:lang w:val="es-MX"/>
        </w:rPr>
        <w:t xml:space="preserve"> o </w:t>
      </w:r>
      <w:r w:rsidRPr="28D31204">
        <w:rPr>
          <w:rFonts w:eastAsia="Calibri" w:cs="Arial"/>
          <w:i/>
          <w:iCs/>
          <w:lang w:val="es-MX"/>
        </w:rPr>
        <w:t>TIR</w:t>
      </w:r>
      <w:r w:rsidRPr="28D31204">
        <w:rPr>
          <w:rFonts w:eastAsia="Calibri" w:cs="Arial"/>
          <w:lang w:val="es-MX"/>
        </w:rPr>
        <w:t xml:space="preserve">, y la proporción </w:t>
      </w:r>
      <w:r w:rsidRPr="28D31204">
        <w:rPr>
          <w:rFonts w:eastAsia="Calibri" w:cs="Arial"/>
          <w:i/>
          <w:iCs/>
          <w:lang w:val="es-MX"/>
        </w:rPr>
        <w:t>Beneficio a Costos B/C</w:t>
      </w:r>
      <w:r w:rsidRPr="28D31204">
        <w:rPr>
          <w:rFonts w:eastAsia="Calibri" w:cs="Arial"/>
          <w:lang w:val="es-MX"/>
        </w:rPr>
        <w:t xml:space="preserve"> de la inversión. Estos indicadores de rentabilidad se calcularon sólo considerando los beneficios y costos fiscales directos del proyecto, proporcionales al monto de préstamo establecido en la propuesta de la operación del BID. La tasa de descuento utilizada como referente del BID es del </w:t>
      </w:r>
      <w:r w:rsidRPr="28D31204">
        <w:rPr>
          <w:rFonts w:eastAsia="Calibri" w:cs="Arial"/>
          <w:b/>
          <w:bCs/>
          <w:lang w:val="es-MX"/>
        </w:rPr>
        <w:t>12%</w:t>
      </w:r>
      <w:r w:rsidRPr="28D31204">
        <w:rPr>
          <w:rFonts w:eastAsia="Calibri" w:cs="Arial"/>
          <w:lang w:val="es-MX"/>
        </w:rPr>
        <w:t xml:space="preserve">. </w:t>
      </w:r>
    </w:p>
    <w:p w14:paraId="150DBF81" w14:textId="77777777" w:rsidR="00A32502" w:rsidRPr="00B2077E" w:rsidRDefault="28D31204" w:rsidP="28D31204">
      <w:pPr>
        <w:pStyle w:val="Heading2"/>
        <w:keepNext/>
        <w:spacing w:line="276" w:lineRule="auto"/>
        <w:ind w:hanging="720"/>
        <w:rPr>
          <w:rFonts w:cs="Arial"/>
          <w:color w:val="365F91"/>
          <w:lang w:val="es-MX"/>
        </w:rPr>
      </w:pPr>
      <w:r w:rsidRPr="28D31204">
        <w:rPr>
          <w:rFonts w:cs="Arial"/>
          <w:color w:val="365F91"/>
          <w:lang w:val="es-MX"/>
        </w:rPr>
        <w:lastRenderedPageBreak/>
        <w:t>Período de evaluación y cohorte evaluada</w:t>
      </w:r>
    </w:p>
    <w:p w14:paraId="4B7884D0" w14:textId="336CCB38" w:rsidR="00D803DD" w:rsidRPr="00BA6B46" w:rsidRDefault="28D31204" w:rsidP="28D31204">
      <w:pPr>
        <w:pStyle w:val="Paragraph"/>
        <w:tabs>
          <w:tab w:val="num" w:pos="720"/>
        </w:tabs>
        <w:spacing w:line="276" w:lineRule="auto"/>
        <w:ind w:left="720" w:hanging="720"/>
        <w:rPr>
          <w:rFonts w:cs="Arial"/>
          <w:lang w:val="es-MX"/>
        </w:rPr>
      </w:pPr>
      <w:r w:rsidRPr="28D31204">
        <w:rPr>
          <w:rFonts w:cs="Arial"/>
          <w:lang w:val="es-MX"/>
        </w:rPr>
        <w:t xml:space="preserve">Este análisis de costos y beneficios se basa en los beneficios generados por los componentes del proyecto, </w:t>
      </w:r>
      <w:r w:rsidR="00B37A1E">
        <w:rPr>
          <w:rFonts w:cs="Arial"/>
          <w:lang w:val="es-MX"/>
        </w:rPr>
        <w:t xml:space="preserve">y </w:t>
      </w:r>
      <w:r w:rsidRPr="00BA6B46">
        <w:rPr>
          <w:rFonts w:cs="Arial"/>
          <w:lang w:val="es-MX"/>
        </w:rPr>
        <w:t xml:space="preserve">se considera el </w:t>
      </w:r>
      <w:r w:rsidR="00B37A1E" w:rsidRPr="00BA6B46">
        <w:rPr>
          <w:rFonts w:cs="Arial"/>
          <w:lang w:val="es-MX"/>
        </w:rPr>
        <w:t xml:space="preserve">costo </w:t>
      </w:r>
      <w:r w:rsidRPr="00BA6B46">
        <w:rPr>
          <w:rFonts w:cs="Arial"/>
          <w:lang w:val="es-MX"/>
        </w:rPr>
        <w:t xml:space="preserve">total del monto de la operación (ver tabla de costos en Anexo I). Por otro lado, </w:t>
      </w:r>
      <w:r w:rsidR="00F73891" w:rsidRPr="00BA6B46">
        <w:rPr>
          <w:rFonts w:cs="Arial"/>
          <w:lang w:val="es-MX"/>
        </w:rPr>
        <w:t>durante el</w:t>
      </w:r>
      <w:r w:rsidRPr="00BA6B46">
        <w:rPr>
          <w:rFonts w:cs="Arial"/>
          <w:lang w:val="es-MX"/>
        </w:rPr>
        <w:t xml:space="preserve"> período de ejecución de </w:t>
      </w:r>
      <w:r w:rsidR="003F38B3" w:rsidRPr="00BA6B46">
        <w:rPr>
          <w:rFonts w:cs="Arial"/>
          <w:lang w:val="es-MX"/>
        </w:rPr>
        <w:t xml:space="preserve">cuatro </w:t>
      </w:r>
      <w:r w:rsidRPr="00BA6B46">
        <w:rPr>
          <w:rFonts w:cs="Arial"/>
          <w:lang w:val="es-MX"/>
        </w:rPr>
        <w:t xml:space="preserve">años </w:t>
      </w:r>
      <w:r w:rsidR="003F38B3" w:rsidRPr="00BA6B46">
        <w:rPr>
          <w:rFonts w:cs="Arial"/>
          <w:lang w:val="es-MX"/>
        </w:rPr>
        <w:t>–</w:t>
      </w:r>
      <w:r w:rsidRPr="00BA6B46">
        <w:rPr>
          <w:rFonts w:cs="Arial"/>
          <w:lang w:val="es-MX"/>
        </w:rPr>
        <w:t>d</w:t>
      </w:r>
      <w:r w:rsidR="003F38B3" w:rsidRPr="00BA6B46">
        <w:rPr>
          <w:rFonts w:cs="Arial"/>
          <w:lang w:val="es-MX"/>
        </w:rPr>
        <w:t xml:space="preserve">e 2014 a 2017, </w:t>
      </w:r>
      <w:r w:rsidR="00F73891" w:rsidRPr="00BA6B46">
        <w:rPr>
          <w:rFonts w:cs="Arial"/>
          <w:lang w:val="es-MX"/>
        </w:rPr>
        <w:t xml:space="preserve">el proyecto se estima atendió a </w:t>
      </w:r>
      <w:r w:rsidR="00BD38D8" w:rsidRPr="00BA6B46">
        <w:rPr>
          <w:rFonts w:cs="Arial"/>
          <w:lang w:val="es-MX"/>
        </w:rPr>
        <w:t xml:space="preserve">aproximadamente 493 </w:t>
      </w:r>
      <w:r w:rsidRPr="00BA6B46">
        <w:rPr>
          <w:rFonts w:cs="Arial"/>
          <w:lang w:val="es-MX"/>
        </w:rPr>
        <w:t xml:space="preserve">mil estudiantes del tercer ciclo de educación </w:t>
      </w:r>
      <w:r w:rsidR="00BD38D8" w:rsidRPr="00BA6B46">
        <w:rPr>
          <w:rFonts w:cs="Arial"/>
          <w:lang w:val="es-MX"/>
        </w:rPr>
        <w:t>primaria y media</w:t>
      </w:r>
      <w:r w:rsidRPr="00BA6B46">
        <w:rPr>
          <w:rFonts w:cs="Arial"/>
          <w:lang w:val="es-MX"/>
        </w:rPr>
        <w:t xml:space="preserve"> de las áreas focalizadas </w:t>
      </w:r>
      <w:r w:rsidR="00BD38D8" w:rsidRPr="00BA6B46">
        <w:rPr>
          <w:rFonts w:cs="Arial"/>
          <w:lang w:val="es-MX"/>
        </w:rPr>
        <w:t>(incluyendo nuevas cohortes generadas durante la vida del proyecto)</w:t>
      </w:r>
      <w:r w:rsidRPr="00BA6B46">
        <w:rPr>
          <w:rFonts w:cs="Arial"/>
          <w:lang w:val="es-MX"/>
        </w:rPr>
        <w:t>.</w:t>
      </w:r>
    </w:p>
    <w:p w14:paraId="698C0E4E" w14:textId="77777777" w:rsidR="00C601F3" w:rsidRPr="00B2077E" w:rsidRDefault="28D31204" w:rsidP="28D31204">
      <w:pPr>
        <w:pStyle w:val="Heading2"/>
        <w:spacing w:line="276" w:lineRule="auto"/>
        <w:ind w:hanging="720"/>
        <w:rPr>
          <w:rFonts w:cs="Arial"/>
          <w:color w:val="365F91"/>
          <w:lang w:val="es-MX"/>
        </w:rPr>
      </w:pPr>
      <w:r w:rsidRPr="00BA6B46">
        <w:rPr>
          <w:rFonts w:cs="Arial"/>
          <w:color w:val="365F91"/>
          <w:lang w:val="es-MX"/>
        </w:rPr>
        <w:t>Teoría de Cambio</w:t>
      </w:r>
      <w:r w:rsidRPr="28D31204">
        <w:rPr>
          <w:rFonts w:cs="Arial"/>
          <w:color w:val="365F91"/>
          <w:lang w:val="es-MX"/>
        </w:rPr>
        <w:t xml:space="preserve"> de la operación.</w:t>
      </w:r>
    </w:p>
    <w:p w14:paraId="0B9BCB34" w14:textId="5E1066A4" w:rsidR="00376C2F" w:rsidRPr="00376C2F" w:rsidRDefault="28D31204" w:rsidP="00376C2F">
      <w:pPr>
        <w:pStyle w:val="Paragraph"/>
        <w:tabs>
          <w:tab w:val="num" w:pos="720"/>
        </w:tabs>
        <w:spacing w:line="276" w:lineRule="auto"/>
        <w:ind w:left="720" w:hanging="720"/>
        <w:rPr>
          <w:rFonts w:eastAsia="Calibri" w:cs="Arial"/>
          <w:lang w:val="es-MX"/>
        </w:rPr>
      </w:pPr>
      <w:r w:rsidRPr="28D31204">
        <w:rPr>
          <w:rFonts w:cs="Arial"/>
        </w:rPr>
        <w:t>De acuerdo al esquema de la teoría del cambio propuesto por el proyecto</w:t>
      </w:r>
      <w:r w:rsidR="001C49AB">
        <w:rPr>
          <w:rFonts w:cs="Arial"/>
        </w:rPr>
        <w:t xml:space="preserve"> y descrito en el PCR</w:t>
      </w:r>
      <w:r w:rsidRPr="28D31204">
        <w:rPr>
          <w:rFonts w:cs="Arial"/>
        </w:rPr>
        <w:t xml:space="preserve">, </w:t>
      </w:r>
      <w:r w:rsidR="00376C2F" w:rsidRPr="00376C2F">
        <w:rPr>
          <w:rFonts w:cs="Arial"/>
          <w:szCs w:val="22"/>
        </w:rPr>
        <w:t>el efecto directo esperado tuvo tres vertientes, mejorar del desempeño y eficiencia de las escuelas de básica y media; consolidar la política de mejora de lectoescritura y matemática en básica; y ampliar la infraestructura escolar. Para el logro de dichos objetivos la operación planteó y ejecutó 4 ejes de acción: i) disminuir el hacinamiento en las aulas de básica y media; ii) aumentar el horario efectivo de clase; iii) optimizar el clima escolar; y iv) mejorar la lectoescritura y matemática de los primeros grados de primaria. En este sentido la presente operación –segunda del CCLIP- da continuidad a las estrategias planteadas en la primera operación CCLIP, manteniendo la lógica de intervención. En particular se continuó con la construcción de infraestructura escolar para básica y media y la adecuación de escuelas para acomodar la jornada extendida. Por otro lado se sistematizaron y evaluaron las intervenciones en lectoescritura, matemática y gestión financiadas con la primera operación del CCLIP. Además se dotaron a las escuelas con recursos pedagógicos que apoyen a estas intervenciones y al programa de jornada escolar extendida.</w:t>
      </w:r>
    </w:p>
    <w:p w14:paraId="496E0B1E" w14:textId="36CE9676" w:rsidR="00376C2F" w:rsidRPr="00376C2F" w:rsidRDefault="00376C2F" w:rsidP="00376C2F">
      <w:pPr>
        <w:pStyle w:val="Paragraph"/>
        <w:tabs>
          <w:tab w:val="num" w:pos="720"/>
        </w:tabs>
        <w:spacing w:line="276" w:lineRule="auto"/>
        <w:ind w:left="720" w:hanging="720"/>
        <w:rPr>
          <w:rFonts w:eastAsia="Calibri" w:cs="Arial"/>
          <w:lang w:val="es-MX"/>
        </w:rPr>
      </w:pPr>
      <w:r w:rsidRPr="00376C2F">
        <w:rPr>
          <w:rFonts w:cs="Arial"/>
          <w:szCs w:val="22"/>
        </w:rPr>
        <w:t>Los apoyos para la ampliación y el equipamiento de la infraestructura escolar apoyados por la operación contribuirán al descongestionamiento de aulas precarias y a la eliminación de tandas nocturnas en las localidades en las que se llevará a cabo la inversión, esto a su vez tendría como resultado mejorar los ambientes físicos para el aprendizaje –o clima escolar. Esto debiera traducirse en un mejor manejo del aula por parte de los docentes, mejor desempeño de los estudiantes y, por lo tanto, en un aumento en la eficiencia interna del sistema, manifestado en menores tasas de reprobación y un incremento en las tasas de promoción. Varios estudios avalan estas expectativas, pues han vinculado la reducción de los tamaños de clase con mejoras en el desempeño (</w:t>
      </w:r>
      <w:proofErr w:type="spellStart"/>
      <w:r w:rsidRPr="00376C2F">
        <w:rPr>
          <w:rFonts w:cs="Arial"/>
          <w:szCs w:val="22"/>
        </w:rPr>
        <w:t>Angrist</w:t>
      </w:r>
      <w:proofErr w:type="spellEnd"/>
      <w:r w:rsidRPr="00376C2F">
        <w:rPr>
          <w:rFonts w:cs="Arial"/>
          <w:szCs w:val="22"/>
        </w:rPr>
        <w:t xml:space="preserve"> y </w:t>
      </w:r>
      <w:proofErr w:type="spellStart"/>
      <w:r w:rsidRPr="00376C2F">
        <w:rPr>
          <w:rFonts w:cs="Arial"/>
          <w:szCs w:val="22"/>
        </w:rPr>
        <w:t>Lavy</w:t>
      </w:r>
      <w:proofErr w:type="spellEnd"/>
      <w:r w:rsidRPr="00376C2F">
        <w:rPr>
          <w:rFonts w:cs="Arial"/>
          <w:szCs w:val="22"/>
        </w:rPr>
        <w:t xml:space="preserve">, 2009; </w:t>
      </w:r>
      <w:proofErr w:type="spellStart"/>
      <w:r w:rsidRPr="00376C2F">
        <w:rPr>
          <w:rFonts w:cs="Arial"/>
          <w:szCs w:val="22"/>
        </w:rPr>
        <w:t>Fidler</w:t>
      </w:r>
      <w:proofErr w:type="spellEnd"/>
      <w:r w:rsidRPr="00376C2F">
        <w:rPr>
          <w:rFonts w:cs="Arial"/>
          <w:szCs w:val="22"/>
        </w:rPr>
        <w:t xml:space="preserve">, 2001; </w:t>
      </w:r>
      <w:proofErr w:type="spellStart"/>
      <w:r w:rsidRPr="00376C2F">
        <w:rPr>
          <w:rFonts w:cs="Arial"/>
          <w:szCs w:val="22"/>
        </w:rPr>
        <w:t>Kruege</w:t>
      </w:r>
      <w:r w:rsidR="000A5149">
        <w:rPr>
          <w:rFonts w:cs="Arial"/>
          <w:szCs w:val="22"/>
        </w:rPr>
        <w:t>r</w:t>
      </w:r>
      <w:proofErr w:type="spellEnd"/>
      <w:r w:rsidR="000A5149">
        <w:rPr>
          <w:rFonts w:cs="Arial"/>
          <w:szCs w:val="22"/>
        </w:rPr>
        <w:t xml:space="preserve">, 2003; </w:t>
      </w:r>
      <w:proofErr w:type="spellStart"/>
      <w:r w:rsidR="000A5149">
        <w:rPr>
          <w:rFonts w:cs="Arial"/>
          <w:szCs w:val="22"/>
        </w:rPr>
        <w:t>Urquiola</w:t>
      </w:r>
      <w:proofErr w:type="spellEnd"/>
      <w:r w:rsidR="000A5149">
        <w:rPr>
          <w:rFonts w:cs="Arial"/>
          <w:szCs w:val="22"/>
        </w:rPr>
        <w:t>, 2005)</w:t>
      </w:r>
      <w:r w:rsidRPr="00376C2F">
        <w:rPr>
          <w:rFonts w:cs="Arial"/>
          <w:szCs w:val="22"/>
        </w:rPr>
        <w:t>.  y, en algunos casos, han encontrado vínculos positivos entre la reducción del tamaño de la clase y la disminución de la probabilidad de abandono (</w:t>
      </w:r>
      <w:proofErr w:type="spellStart"/>
      <w:r w:rsidRPr="00376C2F">
        <w:rPr>
          <w:rFonts w:cs="Arial"/>
          <w:szCs w:val="22"/>
        </w:rPr>
        <w:t>Krueger</w:t>
      </w:r>
      <w:proofErr w:type="spellEnd"/>
      <w:r w:rsidRPr="00376C2F">
        <w:rPr>
          <w:rFonts w:cs="Arial"/>
          <w:szCs w:val="22"/>
        </w:rPr>
        <w:t>, 2001). Por otra parte, el aumentar el horario efectivo de clase está asociado a un mejor desempeño de los estudiantes (</w:t>
      </w:r>
      <w:proofErr w:type="spellStart"/>
      <w:r w:rsidRPr="00376C2F">
        <w:rPr>
          <w:rFonts w:cs="Arial"/>
          <w:szCs w:val="22"/>
        </w:rPr>
        <w:t>Abadzi</w:t>
      </w:r>
      <w:proofErr w:type="spellEnd"/>
      <w:r w:rsidRPr="00376C2F">
        <w:rPr>
          <w:rFonts w:cs="Arial"/>
          <w:szCs w:val="22"/>
        </w:rPr>
        <w:t xml:space="preserve">, 2009; </w:t>
      </w:r>
      <w:proofErr w:type="spellStart"/>
      <w:r w:rsidRPr="00376C2F">
        <w:rPr>
          <w:rFonts w:cs="Arial"/>
          <w:szCs w:val="22"/>
        </w:rPr>
        <w:t>Bellei</w:t>
      </w:r>
      <w:proofErr w:type="spellEnd"/>
      <w:r w:rsidRPr="00376C2F">
        <w:rPr>
          <w:rFonts w:cs="Arial"/>
          <w:szCs w:val="22"/>
        </w:rPr>
        <w:t xml:space="preserve">, 2009; </w:t>
      </w:r>
      <w:proofErr w:type="spellStart"/>
      <w:r w:rsidRPr="00376C2F">
        <w:rPr>
          <w:rFonts w:cs="Arial"/>
          <w:szCs w:val="22"/>
        </w:rPr>
        <w:t>Tenti</w:t>
      </w:r>
      <w:proofErr w:type="spellEnd"/>
      <w:r w:rsidRPr="00376C2F">
        <w:rPr>
          <w:rFonts w:cs="Arial"/>
          <w:szCs w:val="22"/>
        </w:rPr>
        <w:t xml:space="preserve">, 2010; </w:t>
      </w:r>
      <w:proofErr w:type="spellStart"/>
      <w:r w:rsidRPr="00376C2F">
        <w:rPr>
          <w:rFonts w:cs="Arial"/>
          <w:szCs w:val="22"/>
        </w:rPr>
        <w:t>Mandel</w:t>
      </w:r>
      <w:proofErr w:type="spellEnd"/>
      <w:r w:rsidRPr="00376C2F">
        <w:rPr>
          <w:rFonts w:cs="Arial"/>
          <w:szCs w:val="22"/>
        </w:rPr>
        <w:t xml:space="preserve">, 2011).Se establece así que estudios realizados en materia de infraestructura educativa sugieren que la relación causa-efecto derivada de la inversión en infraestructura escolar va más allá del aumento en las tasas de matrícula de estudiantes y contribuye a la calidad de la educación. Es así que la infraestructura educativa pasa a ser un elemento </w:t>
      </w:r>
      <w:r w:rsidRPr="00376C2F">
        <w:rPr>
          <w:rFonts w:cs="Arial"/>
          <w:szCs w:val="22"/>
        </w:rPr>
        <w:lastRenderedPageBreak/>
        <w:t xml:space="preserve">importante dentro una visión sistémica de la calidad educativa. En la operación se contribuyó a la mejora de las condiciones físicas de las escuelas participantes, no sólo con el propósito de reducir hacinamiento, pero con la intensión de mejorar el clima escolar, aunque ambos están estrechamente relacionados. De manera que el componente de infraestructura se derivó de una lógica vertical evidenciada por la relación causa-efecto que existe entre las mejoras a la infraestructura física educativa y clima escolar, y el progreso de los indicadores educativos de la población beneficiada, tales como: promoción, cobertura, asistencia escolar y desempeño educativo. Por ejemplo, </w:t>
      </w:r>
      <w:proofErr w:type="spellStart"/>
      <w:r w:rsidRPr="00376C2F">
        <w:rPr>
          <w:rFonts w:cs="Arial"/>
          <w:szCs w:val="22"/>
        </w:rPr>
        <w:t>Paxon</w:t>
      </w:r>
      <w:proofErr w:type="spellEnd"/>
      <w:r w:rsidRPr="00376C2F">
        <w:rPr>
          <w:rFonts w:cs="Arial"/>
          <w:szCs w:val="22"/>
        </w:rPr>
        <w:t xml:space="preserve"> y </w:t>
      </w:r>
      <w:proofErr w:type="spellStart"/>
      <w:r w:rsidRPr="00376C2F">
        <w:rPr>
          <w:rFonts w:cs="Arial"/>
          <w:szCs w:val="22"/>
        </w:rPr>
        <w:t>Schady</w:t>
      </w:r>
      <w:proofErr w:type="spellEnd"/>
      <w:r w:rsidRPr="00376C2F">
        <w:rPr>
          <w:rFonts w:cs="Arial"/>
          <w:szCs w:val="22"/>
        </w:rPr>
        <w:t xml:space="preserve"> (2002) encontraron que la construcción y renovación de escuelas en zonas pobres llevan a mejoras en asistencia de los estudiantes en Perú; Duarte, Gargiulo y Moreno (2011) hicieron una revisión del estado de la infraestructura en las escuelas primarias de 16 países en la región latinoamericana y del Caribe, y de la potencial relación que existe entre las condiciones de infraestructura y los resultados de las pruebas de lenguaje y matemática para el tercer y sexto grado usando la base de datos del Segundo Estudio Regional Comparativo y Explicativo (SERCE)</w:t>
      </w:r>
      <w:r w:rsidRPr="00376C2F">
        <w:rPr>
          <w:rStyle w:val="FootnoteReference"/>
          <w:rFonts w:cs="Arial"/>
          <w:szCs w:val="22"/>
          <w:lang w:val="es-MX"/>
        </w:rPr>
        <w:footnoteReference w:id="4"/>
      </w:r>
      <w:r w:rsidRPr="00376C2F">
        <w:rPr>
          <w:rFonts w:cs="Arial"/>
          <w:szCs w:val="22"/>
        </w:rPr>
        <w:t xml:space="preserve"> de la UNESCO. Los autores encontraron que los factores con una asociación fuerte a los aprendizajes son el acceso a agua potable, drenaje, baños, bibliotecas, laboratorios de ciencia y computación, así como conexiones eléctricas y telefónicas. Cabe mencionar que si bien existe la relación positiva entre mejoras en infraestructura y resultados estudiantiles, los efectos no serían inmediatos. Así, </w:t>
      </w:r>
      <w:proofErr w:type="spellStart"/>
      <w:r w:rsidRPr="00376C2F">
        <w:rPr>
          <w:rFonts w:cs="Arial"/>
          <w:szCs w:val="22"/>
        </w:rPr>
        <w:t>Cellini</w:t>
      </w:r>
      <w:proofErr w:type="spellEnd"/>
      <w:r w:rsidRPr="00376C2F">
        <w:rPr>
          <w:rFonts w:cs="Arial"/>
          <w:szCs w:val="22"/>
        </w:rPr>
        <w:t xml:space="preserve">, Ferreira y </w:t>
      </w:r>
      <w:proofErr w:type="spellStart"/>
      <w:r w:rsidRPr="00376C2F">
        <w:rPr>
          <w:rFonts w:cs="Arial"/>
          <w:szCs w:val="22"/>
        </w:rPr>
        <w:t>Rothstein</w:t>
      </w:r>
      <w:proofErr w:type="spellEnd"/>
      <w:r w:rsidRPr="00376C2F">
        <w:rPr>
          <w:rFonts w:cs="Arial"/>
          <w:szCs w:val="22"/>
        </w:rPr>
        <w:t xml:space="preserve"> (2010) observaron mejoras académicas en lectura y matemática en el sexto año de inversión en escuelas de California en los Estados Unidos. </w:t>
      </w:r>
      <w:proofErr w:type="spellStart"/>
      <w:r w:rsidRPr="00376C2F">
        <w:rPr>
          <w:rFonts w:cs="Arial"/>
          <w:szCs w:val="22"/>
        </w:rPr>
        <w:t>Neilson</w:t>
      </w:r>
      <w:proofErr w:type="spellEnd"/>
      <w:r w:rsidRPr="00376C2F">
        <w:rPr>
          <w:rFonts w:cs="Arial"/>
          <w:szCs w:val="22"/>
        </w:rPr>
        <w:t xml:space="preserve"> y </w:t>
      </w:r>
      <w:proofErr w:type="spellStart"/>
      <w:r w:rsidRPr="00376C2F">
        <w:rPr>
          <w:rFonts w:cs="Arial"/>
          <w:szCs w:val="22"/>
        </w:rPr>
        <w:t>Zimmerman</w:t>
      </w:r>
      <w:proofErr w:type="spellEnd"/>
      <w:r w:rsidRPr="00376C2F">
        <w:rPr>
          <w:rFonts w:cs="Arial"/>
          <w:szCs w:val="22"/>
        </w:rPr>
        <w:t xml:space="preserve"> (2014) encontraron mejoras en lectura también después de seis años en alumnos de Connecticut. En México Bando (2010) encontró que el Programa de Escuelas de Calidad en México, que destina un alto porcentaje de los recursos a mantenimiento e infraestructura, observó resultados positivos en los estudiantes después de cinco años. </w:t>
      </w:r>
    </w:p>
    <w:p w14:paraId="5E9E14BC" w14:textId="77777777" w:rsidR="00D803DD" w:rsidRPr="00B2077E" w:rsidRDefault="00D803DD">
      <w:pPr>
        <w:rPr>
          <w:rFonts w:ascii="Arial" w:hAnsi="Arial" w:cs="Arial"/>
          <w:b/>
          <w:sz w:val="22"/>
        </w:rPr>
      </w:pPr>
    </w:p>
    <w:p w14:paraId="718E6841" w14:textId="77777777" w:rsidR="002D6E01" w:rsidRPr="00B2077E" w:rsidRDefault="28D31204" w:rsidP="001C49AB">
      <w:pPr>
        <w:pStyle w:val="Heading1"/>
        <w:tabs>
          <w:tab w:val="clear" w:pos="2088"/>
          <w:tab w:val="num" w:pos="1134"/>
        </w:tabs>
        <w:ind w:left="0" w:firstLine="567"/>
        <w:rPr>
          <w:rFonts w:ascii="Arial" w:hAnsi="Arial" w:cs="Arial"/>
        </w:rPr>
      </w:pPr>
      <w:bookmarkStart w:id="55" w:name="_Toc499617479"/>
      <w:r w:rsidRPr="28D31204">
        <w:rPr>
          <w:rFonts w:ascii="Arial" w:hAnsi="Arial" w:cs="Arial"/>
        </w:rPr>
        <w:t>Estructura de costos y beneficios</w:t>
      </w:r>
      <w:bookmarkEnd w:id="55"/>
      <w:r w:rsidRPr="28D31204">
        <w:rPr>
          <w:rFonts w:ascii="Arial" w:hAnsi="Arial" w:cs="Arial"/>
        </w:rPr>
        <w:t xml:space="preserve"> </w:t>
      </w:r>
    </w:p>
    <w:p w14:paraId="7F427E65" w14:textId="77777777" w:rsidR="004778F3" w:rsidRPr="00B2077E" w:rsidRDefault="28D31204" w:rsidP="28D31204">
      <w:pPr>
        <w:pStyle w:val="Heading2"/>
        <w:numPr>
          <w:ilvl w:val="0"/>
          <w:numId w:val="4"/>
        </w:numPr>
        <w:tabs>
          <w:tab w:val="num" w:pos="720"/>
        </w:tabs>
        <w:spacing w:line="276" w:lineRule="auto"/>
        <w:ind w:hanging="720"/>
        <w:rPr>
          <w:rFonts w:cs="Arial"/>
          <w:color w:val="365F91"/>
          <w:lang w:val="es-MX"/>
        </w:rPr>
      </w:pPr>
      <w:r w:rsidRPr="28D31204">
        <w:rPr>
          <w:rFonts w:cs="Arial"/>
          <w:color w:val="365F91"/>
          <w:lang w:val="es-MX"/>
        </w:rPr>
        <w:t>Beneficios (parámetros y supuestos):</w:t>
      </w:r>
    </w:p>
    <w:p w14:paraId="34F7E167" w14:textId="77777777" w:rsidR="004778F3" w:rsidRPr="007F08CB"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Los beneficios económicos son los que se producen cuando, gracias a la ejecución de las acciones apoyadas por el proyecto, se generan flujos económicos </w:t>
      </w:r>
      <w:r w:rsidRPr="28D31204">
        <w:rPr>
          <w:rFonts w:eastAsia="Calibri" w:cs="Arial"/>
          <w:lang w:val="es-MX"/>
        </w:rPr>
        <w:lastRenderedPageBreak/>
        <w:t xml:space="preserve">positivos sociales, derivados de relaciones de causalidad (directas o indirectas), que además pueden ser monetizadas. </w:t>
      </w:r>
    </w:p>
    <w:p w14:paraId="248EF7DF" w14:textId="54F64EB4" w:rsidR="004778F3" w:rsidRPr="007F08CB"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Los beneficios son diferenciales (marginales) y se estiman como incrementos entre la </w:t>
      </w:r>
      <w:r w:rsidRPr="28D31204">
        <w:rPr>
          <w:rFonts w:eastAsia="Calibri" w:cs="Arial"/>
          <w:i/>
          <w:iCs/>
          <w:lang w:val="es-MX"/>
        </w:rPr>
        <w:t>Alternativa Sin Proyecto</w:t>
      </w:r>
      <w:r w:rsidRPr="28D31204">
        <w:rPr>
          <w:rFonts w:eastAsia="Calibri" w:cs="Arial"/>
          <w:lang w:val="es-MX"/>
        </w:rPr>
        <w:t xml:space="preserve"> y </w:t>
      </w:r>
      <w:r w:rsidRPr="28D31204">
        <w:rPr>
          <w:rFonts w:eastAsia="Calibri" w:cs="Arial"/>
          <w:i/>
          <w:iCs/>
          <w:lang w:val="es-MX"/>
        </w:rPr>
        <w:t>la Alternativa Con Proyecto</w:t>
      </w:r>
      <w:r w:rsidRPr="28D31204">
        <w:rPr>
          <w:rFonts w:eastAsia="Calibri" w:cs="Arial"/>
          <w:lang w:val="es-MX"/>
        </w:rPr>
        <w:t>. Estos beneficios reflejan en cuánto podrían aumentar los flujos económicos positivos en la alternativa con el modelo de intervención propuesto por el proyecto, respecto a la alternativa sin proyecto en los indicadores de la Matriz de Resultados</w:t>
      </w:r>
      <w:r w:rsidR="006E0B92">
        <w:rPr>
          <w:rFonts w:eastAsia="Calibri" w:cs="Arial"/>
          <w:lang w:val="es-MX"/>
        </w:rPr>
        <w:t xml:space="preserve"> –en particular sobre la tasa de promoción</w:t>
      </w:r>
      <w:r w:rsidRPr="28D31204">
        <w:rPr>
          <w:rFonts w:eastAsia="Calibri" w:cs="Arial"/>
          <w:lang w:val="es-MX"/>
        </w:rPr>
        <w:t xml:space="preserve">. </w:t>
      </w:r>
    </w:p>
    <w:p w14:paraId="1BC7FC7B" w14:textId="77777777" w:rsidR="004778F3" w:rsidRPr="007F08CB"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Los beneficios se calculan bajo los siguientes supuestos:</w:t>
      </w:r>
    </w:p>
    <w:p w14:paraId="622DC5AF" w14:textId="4EF28F97" w:rsidR="00BE3D8B"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 xml:space="preserve">Se considera para el análisis los costos </w:t>
      </w:r>
      <w:r w:rsidR="00CB533B">
        <w:rPr>
          <w:rFonts w:ascii="Arial" w:eastAsia="Calibri" w:hAnsi="Arial" w:cs="Arial"/>
          <w:sz w:val="22"/>
          <w:szCs w:val="22"/>
        </w:rPr>
        <w:t xml:space="preserve">totales </w:t>
      </w:r>
      <w:r w:rsidRPr="28D31204">
        <w:rPr>
          <w:rFonts w:ascii="Arial" w:eastAsia="Calibri" w:hAnsi="Arial" w:cs="Arial"/>
          <w:sz w:val="22"/>
          <w:szCs w:val="22"/>
        </w:rPr>
        <w:t xml:space="preserve">relativos a la operación (ver tabla de costos en </w:t>
      </w:r>
      <w:r w:rsidRPr="00B22354">
        <w:rPr>
          <w:rFonts w:ascii="Arial" w:eastAsia="Calibri" w:hAnsi="Arial" w:cs="Arial"/>
          <w:sz w:val="22"/>
          <w:szCs w:val="22"/>
        </w:rPr>
        <w:t>Anexo</w:t>
      </w:r>
      <w:r w:rsidRPr="28D31204">
        <w:rPr>
          <w:rFonts w:ascii="Arial" w:eastAsia="Calibri" w:hAnsi="Arial" w:cs="Arial"/>
          <w:sz w:val="22"/>
          <w:szCs w:val="22"/>
        </w:rPr>
        <w:t xml:space="preserve"> I), más aquellos </w:t>
      </w:r>
      <w:r w:rsidR="002B19D2">
        <w:rPr>
          <w:rFonts w:ascii="Arial" w:eastAsia="Calibri" w:hAnsi="Arial" w:cs="Arial"/>
          <w:sz w:val="22"/>
          <w:szCs w:val="22"/>
        </w:rPr>
        <w:t xml:space="preserve">adicionales relativos a la contrapartida y los </w:t>
      </w:r>
      <w:r w:rsidRPr="28D31204">
        <w:rPr>
          <w:rFonts w:ascii="Arial" w:eastAsia="Calibri" w:hAnsi="Arial" w:cs="Arial"/>
          <w:sz w:val="22"/>
          <w:szCs w:val="22"/>
        </w:rPr>
        <w:t xml:space="preserve">generados para la operación y manutención de </w:t>
      </w:r>
      <w:r w:rsidR="00CB533B">
        <w:rPr>
          <w:rFonts w:ascii="Arial" w:eastAsia="Calibri" w:hAnsi="Arial" w:cs="Arial"/>
          <w:sz w:val="22"/>
          <w:szCs w:val="22"/>
        </w:rPr>
        <w:t>las escuelas construidas</w:t>
      </w:r>
      <w:r w:rsidRPr="28D31204">
        <w:rPr>
          <w:rFonts w:ascii="Arial" w:eastAsia="Calibri" w:hAnsi="Arial" w:cs="Arial"/>
          <w:sz w:val="22"/>
          <w:szCs w:val="22"/>
        </w:rPr>
        <w:t xml:space="preserve">. </w:t>
      </w:r>
    </w:p>
    <w:p w14:paraId="1105C3F6" w14:textId="77777777" w:rsidR="004778F3"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 xml:space="preserve">Se asume que la intervención es uniforme entre las escuelas beneficiadas. </w:t>
      </w:r>
    </w:p>
    <w:p w14:paraId="253B71BC" w14:textId="77777777" w:rsidR="006511DE"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Se asume que los flujos de beneficiarios son constantes a lo largo de la intervención y sus efectos.</w:t>
      </w:r>
    </w:p>
    <w:p w14:paraId="03098809" w14:textId="72554358" w:rsidR="00CB533B" w:rsidRPr="007F08CB" w:rsidRDefault="00CB533B" w:rsidP="28D31204">
      <w:pPr>
        <w:pStyle w:val="subpar"/>
        <w:tabs>
          <w:tab w:val="clear" w:pos="2592"/>
        </w:tabs>
        <w:spacing w:line="276" w:lineRule="auto"/>
        <w:ind w:left="1276"/>
        <w:rPr>
          <w:rFonts w:ascii="Arial" w:eastAsia="Calibri" w:hAnsi="Arial" w:cs="Arial"/>
          <w:sz w:val="22"/>
          <w:szCs w:val="22"/>
        </w:rPr>
      </w:pPr>
      <w:r>
        <w:rPr>
          <w:rFonts w:ascii="Arial" w:eastAsia="Calibri" w:hAnsi="Arial" w:cs="Arial"/>
          <w:sz w:val="22"/>
          <w:szCs w:val="22"/>
        </w:rPr>
        <w:t xml:space="preserve">Se asume que las mejoras en tasas de promoción no se limitaron a beneficiar a los dos grados observados en la Matriz de Resultados, pero también </w:t>
      </w:r>
      <w:r w:rsidR="001E4425">
        <w:rPr>
          <w:rFonts w:ascii="Arial" w:eastAsia="Calibri" w:hAnsi="Arial" w:cs="Arial"/>
          <w:sz w:val="22"/>
          <w:szCs w:val="22"/>
        </w:rPr>
        <w:t>al resto de los grados de primaria y media.</w:t>
      </w:r>
    </w:p>
    <w:p w14:paraId="74870A11" w14:textId="78B71A8B" w:rsidR="004778F3" w:rsidRPr="007F08CB" w:rsidRDefault="001E4425" w:rsidP="28D31204">
      <w:pPr>
        <w:pStyle w:val="subpar"/>
        <w:tabs>
          <w:tab w:val="clear" w:pos="2592"/>
        </w:tabs>
        <w:spacing w:line="276" w:lineRule="auto"/>
        <w:ind w:left="1276"/>
        <w:rPr>
          <w:rFonts w:ascii="Arial" w:eastAsia="Calibri" w:hAnsi="Arial" w:cs="Arial"/>
          <w:sz w:val="22"/>
          <w:szCs w:val="22"/>
        </w:rPr>
      </w:pPr>
      <w:r>
        <w:rPr>
          <w:rFonts w:ascii="Arial" w:eastAsia="Calibri" w:hAnsi="Arial" w:cs="Arial"/>
          <w:sz w:val="22"/>
          <w:szCs w:val="22"/>
        </w:rPr>
        <w:t>Se asume</w:t>
      </w:r>
      <w:r w:rsidR="00210A0C">
        <w:rPr>
          <w:rFonts w:ascii="Arial" w:eastAsia="Calibri" w:hAnsi="Arial" w:cs="Arial"/>
          <w:sz w:val="22"/>
          <w:szCs w:val="22"/>
        </w:rPr>
        <w:t xml:space="preserve"> de manera conservadora</w:t>
      </w:r>
      <w:r>
        <w:rPr>
          <w:rFonts w:ascii="Arial" w:eastAsia="Calibri" w:hAnsi="Arial" w:cs="Arial"/>
          <w:sz w:val="22"/>
          <w:szCs w:val="22"/>
        </w:rPr>
        <w:t xml:space="preserve"> que no habrá impacto </w:t>
      </w:r>
      <w:r w:rsidR="00210A0C">
        <w:rPr>
          <w:rFonts w:ascii="Arial" w:eastAsia="Calibri" w:hAnsi="Arial" w:cs="Arial"/>
          <w:sz w:val="22"/>
          <w:szCs w:val="22"/>
        </w:rPr>
        <w:t xml:space="preserve">positivo </w:t>
      </w:r>
      <w:r>
        <w:rPr>
          <w:rFonts w:ascii="Arial" w:eastAsia="Calibri" w:hAnsi="Arial" w:cs="Arial"/>
          <w:sz w:val="22"/>
          <w:szCs w:val="22"/>
        </w:rPr>
        <w:t>en los indicadores de salud o criminalidad del país a partir de los beneficiados por la operación.</w:t>
      </w:r>
    </w:p>
    <w:p w14:paraId="7B9A2708" w14:textId="4C86785D" w:rsidR="005F7B02"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 xml:space="preserve">Se asume de manera conservadora que la distribución del nivel educativo de la </w:t>
      </w:r>
      <w:r w:rsidR="001E4425">
        <w:rPr>
          <w:rFonts w:ascii="Arial" w:eastAsia="Calibri" w:hAnsi="Arial" w:cs="Arial"/>
          <w:sz w:val="22"/>
          <w:szCs w:val="22"/>
        </w:rPr>
        <w:t>población</w:t>
      </w:r>
      <w:r w:rsidRPr="28D31204">
        <w:rPr>
          <w:rFonts w:ascii="Arial" w:eastAsia="Calibri" w:hAnsi="Arial" w:cs="Arial"/>
          <w:sz w:val="22"/>
          <w:szCs w:val="22"/>
        </w:rPr>
        <w:t xml:space="preserve"> con ingresos positivos en el país será constante.</w:t>
      </w:r>
    </w:p>
    <w:p w14:paraId="63D85DA8" w14:textId="71E4168A" w:rsidR="00A6132E" w:rsidRPr="007F08CB" w:rsidRDefault="00A6132E" w:rsidP="28D31204">
      <w:pPr>
        <w:pStyle w:val="subpar"/>
        <w:tabs>
          <w:tab w:val="clear" w:pos="2592"/>
        </w:tabs>
        <w:spacing w:line="276" w:lineRule="auto"/>
        <w:ind w:left="1276"/>
        <w:rPr>
          <w:rFonts w:ascii="Arial" w:eastAsia="Calibri" w:hAnsi="Arial" w:cs="Arial"/>
          <w:sz w:val="22"/>
          <w:szCs w:val="22"/>
        </w:rPr>
      </w:pPr>
      <w:r w:rsidRPr="007F08CB">
        <w:rPr>
          <w:rFonts w:ascii="Arial" w:eastAsia="Calibri" w:hAnsi="Arial" w:cs="Arial"/>
          <w:sz w:val="22"/>
          <w:szCs w:val="22"/>
        </w:rPr>
        <w:t>Se asume que la imputación del ingreso esperado del beneficiario se extiende a un perí</w:t>
      </w:r>
      <w:r w:rsidR="00B1793C">
        <w:rPr>
          <w:rFonts w:ascii="Arial" w:eastAsia="Calibri" w:hAnsi="Arial" w:cs="Arial"/>
          <w:sz w:val="22"/>
          <w:szCs w:val="22"/>
        </w:rPr>
        <w:t>odo máximo de vida laboral de 47</w:t>
      </w:r>
      <w:r w:rsidRPr="007F08CB">
        <w:rPr>
          <w:rFonts w:ascii="Arial" w:eastAsia="Calibri" w:hAnsi="Arial" w:cs="Arial"/>
          <w:sz w:val="22"/>
          <w:szCs w:val="22"/>
        </w:rPr>
        <w:t xml:space="preserve"> años</w:t>
      </w:r>
      <w:r w:rsidR="00766A07">
        <w:rPr>
          <w:rFonts w:ascii="Arial" w:eastAsia="Calibri" w:hAnsi="Arial" w:cs="Arial"/>
          <w:sz w:val="22"/>
          <w:szCs w:val="22"/>
        </w:rPr>
        <w:t>.</w:t>
      </w:r>
      <w:r w:rsidR="00766A07">
        <w:rPr>
          <w:rStyle w:val="FootnoteReference"/>
          <w:rFonts w:ascii="Arial" w:eastAsia="Calibri" w:hAnsi="Arial" w:cs="Arial"/>
          <w:sz w:val="22"/>
          <w:szCs w:val="22"/>
        </w:rPr>
        <w:footnoteReference w:id="5"/>
      </w:r>
    </w:p>
    <w:p w14:paraId="7E8DEAB1" w14:textId="77777777" w:rsidR="00766A07"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Se asume que los alumnos salen al mercado laboral con una función de distribución uniforme a lo largo del tiempo y de acuerdo a su nivel educativo alcanzado.</w:t>
      </w:r>
    </w:p>
    <w:p w14:paraId="23823F95" w14:textId="1C4474E2" w:rsidR="00210A0C" w:rsidRDefault="001F5B68" w:rsidP="28D31204">
      <w:pPr>
        <w:pStyle w:val="subpar"/>
        <w:tabs>
          <w:tab w:val="clear" w:pos="2592"/>
        </w:tabs>
        <w:spacing w:line="276" w:lineRule="auto"/>
        <w:ind w:left="1276"/>
        <w:rPr>
          <w:rFonts w:ascii="Arial" w:eastAsia="Calibri" w:hAnsi="Arial" w:cs="Arial"/>
          <w:sz w:val="22"/>
          <w:szCs w:val="22"/>
        </w:rPr>
      </w:pPr>
      <w:r>
        <w:rPr>
          <w:rFonts w:ascii="Arial" w:eastAsia="Calibri" w:hAnsi="Arial" w:cs="Arial"/>
          <w:sz w:val="22"/>
          <w:szCs w:val="22"/>
        </w:rPr>
        <w:t>Se asume una tasa de crecimiento de productividad laboral de</w:t>
      </w:r>
      <w:r w:rsidR="00BB2998">
        <w:rPr>
          <w:rFonts w:ascii="Arial" w:eastAsia="Calibri" w:hAnsi="Arial" w:cs="Arial"/>
          <w:sz w:val="22"/>
          <w:szCs w:val="22"/>
        </w:rPr>
        <w:t>l 0.5</w:t>
      </w:r>
      <w:r>
        <w:rPr>
          <w:rFonts w:ascii="Arial" w:eastAsia="Calibri" w:hAnsi="Arial" w:cs="Arial"/>
          <w:sz w:val="22"/>
          <w:szCs w:val="22"/>
        </w:rPr>
        <w:t>%</w:t>
      </w:r>
      <w:r w:rsidR="00B37292">
        <w:rPr>
          <w:rFonts w:ascii="Arial" w:eastAsia="Calibri" w:hAnsi="Arial" w:cs="Arial"/>
          <w:sz w:val="22"/>
          <w:szCs w:val="22"/>
        </w:rPr>
        <w:t xml:space="preserve"> (Michel, Diaz, Pérez 2016)</w:t>
      </w:r>
      <w:r>
        <w:rPr>
          <w:rFonts w:ascii="Arial" w:eastAsia="Calibri" w:hAnsi="Arial" w:cs="Arial"/>
          <w:sz w:val="22"/>
          <w:szCs w:val="22"/>
        </w:rPr>
        <w:t>.</w:t>
      </w:r>
    </w:p>
    <w:p w14:paraId="0E7D7AD3" w14:textId="007DFB14" w:rsidR="00AB4D8C"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 xml:space="preserve">Se asume </w:t>
      </w:r>
      <w:r w:rsidR="001C49AB">
        <w:rPr>
          <w:rFonts w:ascii="Arial" w:eastAsia="Calibri" w:hAnsi="Arial" w:cs="Arial"/>
          <w:sz w:val="22"/>
          <w:szCs w:val="22"/>
        </w:rPr>
        <w:t xml:space="preserve">de manera conservadora </w:t>
      </w:r>
      <w:r w:rsidRPr="28D31204">
        <w:rPr>
          <w:rFonts w:ascii="Arial" w:eastAsia="Calibri" w:hAnsi="Arial" w:cs="Arial"/>
          <w:sz w:val="22"/>
          <w:szCs w:val="22"/>
        </w:rPr>
        <w:t xml:space="preserve">que la vida útil de las </w:t>
      </w:r>
      <w:r w:rsidR="00210A0C">
        <w:rPr>
          <w:rFonts w:ascii="Arial" w:eastAsia="Calibri" w:hAnsi="Arial" w:cs="Arial"/>
          <w:sz w:val="22"/>
          <w:szCs w:val="22"/>
        </w:rPr>
        <w:t>escuelas</w:t>
      </w:r>
      <w:r w:rsidRPr="28D31204">
        <w:rPr>
          <w:rFonts w:ascii="Arial" w:eastAsia="Calibri" w:hAnsi="Arial" w:cs="Arial"/>
          <w:sz w:val="22"/>
          <w:szCs w:val="22"/>
        </w:rPr>
        <w:t xml:space="preserve"> </w:t>
      </w:r>
      <w:r w:rsidR="00210A0C">
        <w:rPr>
          <w:rFonts w:ascii="Arial" w:eastAsia="Calibri" w:hAnsi="Arial" w:cs="Arial"/>
          <w:sz w:val="22"/>
          <w:szCs w:val="22"/>
        </w:rPr>
        <w:t xml:space="preserve">construidas será de no más del </w:t>
      </w:r>
      <w:r w:rsidR="001F5B68">
        <w:rPr>
          <w:rFonts w:ascii="Arial" w:eastAsia="Calibri" w:hAnsi="Arial" w:cs="Arial"/>
          <w:sz w:val="22"/>
          <w:szCs w:val="22"/>
        </w:rPr>
        <w:t>60% (30 a</w:t>
      </w:r>
      <w:proofErr w:type="spellStart"/>
      <w:r w:rsidR="001F5B68">
        <w:rPr>
          <w:rFonts w:ascii="Arial" w:eastAsia="Calibri" w:hAnsi="Arial" w:cs="Arial"/>
          <w:sz w:val="22"/>
          <w:szCs w:val="22"/>
          <w:lang w:val="es-MX"/>
        </w:rPr>
        <w:t>ños</w:t>
      </w:r>
      <w:proofErr w:type="spellEnd"/>
      <w:r w:rsidR="001F5B68">
        <w:rPr>
          <w:rFonts w:ascii="Arial" w:eastAsia="Calibri" w:hAnsi="Arial" w:cs="Arial"/>
          <w:sz w:val="22"/>
          <w:szCs w:val="22"/>
        </w:rPr>
        <w:t xml:space="preserve">) </w:t>
      </w:r>
      <w:r w:rsidR="00210A0C">
        <w:rPr>
          <w:rFonts w:ascii="Arial" w:eastAsia="Calibri" w:hAnsi="Arial" w:cs="Arial"/>
          <w:sz w:val="22"/>
          <w:szCs w:val="22"/>
        </w:rPr>
        <w:t xml:space="preserve">de la vida útil </w:t>
      </w:r>
      <w:r w:rsidR="001F5B68">
        <w:rPr>
          <w:rFonts w:ascii="Arial" w:eastAsia="Calibri" w:hAnsi="Arial" w:cs="Arial"/>
          <w:sz w:val="22"/>
          <w:szCs w:val="22"/>
        </w:rPr>
        <w:t xml:space="preserve">esperada bajo un mantenimiento </w:t>
      </w:r>
      <w:r w:rsidRPr="28D31204">
        <w:rPr>
          <w:rFonts w:ascii="Arial" w:eastAsia="Calibri" w:hAnsi="Arial" w:cs="Arial"/>
          <w:sz w:val="22"/>
          <w:szCs w:val="22"/>
        </w:rPr>
        <w:t>regular.</w:t>
      </w:r>
    </w:p>
    <w:p w14:paraId="0359798A" w14:textId="611AA82E" w:rsidR="006306FE" w:rsidRPr="007F08CB" w:rsidRDefault="006306FE" w:rsidP="28D31204">
      <w:pPr>
        <w:pStyle w:val="subpar"/>
        <w:tabs>
          <w:tab w:val="clear" w:pos="2592"/>
        </w:tabs>
        <w:spacing w:line="276" w:lineRule="auto"/>
        <w:ind w:left="1276"/>
        <w:rPr>
          <w:rFonts w:ascii="Arial" w:eastAsia="Calibri" w:hAnsi="Arial" w:cs="Arial"/>
          <w:sz w:val="22"/>
          <w:szCs w:val="22"/>
        </w:rPr>
      </w:pPr>
      <w:r>
        <w:rPr>
          <w:rFonts w:ascii="Arial" w:eastAsia="Calibri" w:hAnsi="Arial" w:cs="Arial"/>
          <w:sz w:val="22"/>
          <w:szCs w:val="22"/>
        </w:rPr>
        <w:lastRenderedPageBreak/>
        <w:t>Se asume que</w:t>
      </w:r>
      <w:r w:rsidR="000A7112">
        <w:rPr>
          <w:rFonts w:ascii="Arial" w:eastAsia="Calibri" w:hAnsi="Arial" w:cs="Arial"/>
          <w:sz w:val="22"/>
          <w:szCs w:val="22"/>
        </w:rPr>
        <w:t xml:space="preserve"> sólo el 4</w:t>
      </w:r>
      <w:r w:rsidR="005D0F9D">
        <w:rPr>
          <w:rFonts w:ascii="Arial" w:eastAsia="Calibri" w:hAnsi="Arial" w:cs="Arial"/>
          <w:sz w:val="22"/>
          <w:szCs w:val="22"/>
        </w:rPr>
        <w:t>0% de</w:t>
      </w:r>
      <w:r>
        <w:rPr>
          <w:rFonts w:ascii="Arial" w:eastAsia="Calibri" w:hAnsi="Arial" w:cs="Arial"/>
          <w:sz w:val="22"/>
          <w:szCs w:val="22"/>
        </w:rPr>
        <w:t xml:space="preserve"> la matrícula </w:t>
      </w:r>
      <w:r w:rsidR="005D0F9D">
        <w:rPr>
          <w:rFonts w:ascii="Arial" w:eastAsia="Calibri" w:hAnsi="Arial" w:cs="Arial"/>
          <w:sz w:val="22"/>
          <w:szCs w:val="22"/>
        </w:rPr>
        <w:t>de alumnos que asisten a las escuelas recién construidas con financiamiento de la operación, representan nuevos cupos y el resto son alumnos que provienen de otras tandas</w:t>
      </w:r>
    </w:p>
    <w:p w14:paraId="7EDDAB8B" w14:textId="7B0762B2" w:rsidR="002530C0" w:rsidRPr="007F08CB" w:rsidRDefault="004778F3" w:rsidP="28D31204">
      <w:pPr>
        <w:pStyle w:val="Paragraph"/>
        <w:tabs>
          <w:tab w:val="num" w:pos="720"/>
        </w:tabs>
        <w:spacing w:line="276" w:lineRule="auto"/>
        <w:ind w:left="720" w:hanging="720"/>
        <w:rPr>
          <w:rFonts w:eastAsia="Calibri" w:cs="Arial"/>
          <w:u w:val="single"/>
          <w:lang w:val="es-MX"/>
        </w:rPr>
      </w:pPr>
      <w:r w:rsidRPr="28D31204">
        <w:rPr>
          <w:rFonts w:eastAsia="Calibri" w:cs="Arial"/>
          <w:b/>
          <w:bCs/>
          <w:lang w:val="es-MX"/>
        </w:rPr>
        <w:t xml:space="preserve">Beneficios </w:t>
      </w:r>
      <w:r w:rsidR="00CE4E4C" w:rsidRPr="28D31204">
        <w:rPr>
          <w:rFonts w:eastAsia="Calibri" w:cs="Arial"/>
          <w:b/>
          <w:bCs/>
          <w:lang w:val="es-MX"/>
        </w:rPr>
        <w:t>d</w:t>
      </w:r>
      <w:r w:rsidR="00CA126E" w:rsidRPr="28D31204">
        <w:rPr>
          <w:rFonts w:eastAsia="Calibri" w:cs="Arial"/>
          <w:b/>
          <w:bCs/>
          <w:lang w:val="es-MX"/>
        </w:rPr>
        <w:t>irectos</w:t>
      </w:r>
      <w:r w:rsidR="00BA1165" w:rsidRPr="28D31204">
        <w:rPr>
          <w:rFonts w:eastAsia="Calibri" w:cs="Arial"/>
          <w:b/>
          <w:bCs/>
          <w:lang w:val="es-MX"/>
        </w:rPr>
        <w:t>:</w:t>
      </w:r>
      <w:r w:rsidR="00BA1165" w:rsidRPr="28D31204">
        <w:rPr>
          <w:rFonts w:eastAsia="Calibri" w:cs="Arial"/>
          <w:lang w:val="es-MX"/>
        </w:rPr>
        <w:t xml:space="preserve"> </w:t>
      </w:r>
      <w:r w:rsidR="002530C0" w:rsidRPr="28D31204">
        <w:rPr>
          <w:rFonts w:eastAsia="Calibri" w:cs="Arial"/>
          <w:b/>
          <w:bCs/>
          <w:lang w:val="es-MX"/>
        </w:rPr>
        <w:t>Ingresos futuros esperados de un año adicional de educación</w:t>
      </w:r>
      <w:r w:rsidR="00BA1165" w:rsidRPr="28D31204">
        <w:rPr>
          <w:rFonts w:eastAsia="Calibri" w:cs="Arial"/>
          <w:lang w:val="es-MX"/>
        </w:rPr>
        <w:t>.</w:t>
      </w:r>
      <w:r w:rsidR="00174E54" w:rsidRPr="28D31204">
        <w:rPr>
          <w:rFonts w:eastAsia="Calibri" w:cs="Arial"/>
          <w:lang w:val="es-MX"/>
        </w:rPr>
        <w:t xml:space="preserve"> En general, se </w:t>
      </w:r>
      <w:r w:rsidR="00413E1C" w:rsidRPr="28D31204">
        <w:rPr>
          <w:rFonts w:eastAsia="Calibri" w:cs="Arial"/>
          <w:lang w:val="es-MX"/>
        </w:rPr>
        <w:t>asume</w:t>
      </w:r>
      <w:r w:rsidR="00174E54" w:rsidRPr="28D31204">
        <w:rPr>
          <w:rFonts w:eastAsia="Calibri" w:cs="Arial"/>
          <w:lang w:val="es-MX"/>
        </w:rPr>
        <w:t xml:space="preserve"> que los beneficiarios alcanzarán ciertos niveles de escolaridad, y de acuerdo a estos se les imputa el diferencial de ingresos esperados utilizando una estimación de los rendimientos de la educación. Los beneficios directos son la suma del diferencial de ingresos anual de todos los beneficiarios en un horizonte de </w:t>
      </w:r>
      <w:r w:rsidR="006306FE">
        <w:rPr>
          <w:rFonts w:eastAsia="Calibri" w:cs="Arial"/>
          <w:lang w:val="es-MX"/>
        </w:rPr>
        <w:t>un máximo de 47</w:t>
      </w:r>
      <w:r w:rsidR="00174E54" w:rsidRPr="28D31204">
        <w:rPr>
          <w:rFonts w:eastAsia="Calibri" w:cs="Arial"/>
          <w:lang w:val="es-MX"/>
        </w:rPr>
        <w:t xml:space="preserve"> años</w:t>
      </w:r>
      <w:r w:rsidR="00996FAB" w:rsidRPr="28D31204">
        <w:rPr>
          <w:rFonts w:eastAsia="Calibri" w:cs="Arial"/>
          <w:lang w:val="es-MX"/>
        </w:rPr>
        <w:t xml:space="preserve"> por cohorte hasta su retiro</w:t>
      </w:r>
      <w:r w:rsidR="00174E54" w:rsidRPr="28D31204">
        <w:rPr>
          <w:rFonts w:eastAsia="Calibri" w:cs="Arial"/>
          <w:lang w:val="es-MX"/>
        </w:rPr>
        <w:t xml:space="preserve">. A </w:t>
      </w:r>
      <w:r w:rsidR="00837DF7" w:rsidRPr="28D31204">
        <w:rPr>
          <w:rFonts w:eastAsia="Calibri" w:cs="Arial"/>
          <w:lang w:val="es-MX"/>
        </w:rPr>
        <w:t>continuación,</w:t>
      </w:r>
      <w:r w:rsidR="00174E54" w:rsidRPr="28D31204">
        <w:rPr>
          <w:rFonts w:eastAsia="Calibri" w:cs="Arial"/>
          <w:lang w:val="es-MX"/>
        </w:rPr>
        <w:t xml:space="preserve"> se explica detalladamente los pasos para el cálculo de los beneficios</w:t>
      </w:r>
      <w:r w:rsidR="002530C0" w:rsidRPr="28D31204">
        <w:rPr>
          <w:rFonts w:eastAsia="Calibri" w:cs="Arial"/>
          <w:lang w:val="es-MX"/>
        </w:rPr>
        <w:t>.</w:t>
      </w:r>
    </w:p>
    <w:p w14:paraId="190AEADC" w14:textId="7BB5F79F" w:rsidR="00996FAB" w:rsidRPr="00CF25A8" w:rsidRDefault="00174E54" w:rsidP="28D31204">
      <w:pPr>
        <w:pStyle w:val="Paragraph"/>
        <w:tabs>
          <w:tab w:val="clear" w:pos="1579"/>
          <w:tab w:val="num" w:pos="720"/>
          <w:tab w:val="num" w:pos="2016"/>
        </w:tabs>
        <w:spacing w:line="276" w:lineRule="auto"/>
        <w:ind w:left="720" w:hanging="720"/>
        <w:rPr>
          <w:rFonts w:eastAsia="Calibri" w:cs="Arial"/>
          <w:szCs w:val="22"/>
          <w:lang w:val="es-MX"/>
        </w:rPr>
      </w:pPr>
      <w:r w:rsidRPr="28D31204">
        <w:rPr>
          <w:rFonts w:eastAsia="Calibri" w:cs="Arial"/>
          <w:lang w:val="es-MX"/>
        </w:rPr>
        <w:t xml:space="preserve">Para calcular </w:t>
      </w:r>
      <w:r w:rsidR="00C22129" w:rsidRPr="28D31204">
        <w:rPr>
          <w:rFonts w:eastAsia="Calibri" w:cs="Arial"/>
          <w:lang w:val="es-MX"/>
        </w:rPr>
        <w:t>los efectos</w:t>
      </w:r>
      <w:r w:rsidRPr="28D31204">
        <w:rPr>
          <w:rFonts w:eastAsia="Calibri" w:cs="Arial"/>
          <w:lang w:val="es-MX"/>
        </w:rPr>
        <w:t xml:space="preserve"> del </w:t>
      </w:r>
      <w:r w:rsidR="001E4639" w:rsidRPr="28D31204">
        <w:rPr>
          <w:rFonts w:eastAsia="Calibri" w:cs="Arial"/>
          <w:lang w:val="es-MX"/>
        </w:rPr>
        <w:t>Proyecto</w:t>
      </w:r>
      <w:r w:rsidRPr="28D31204">
        <w:rPr>
          <w:rFonts w:eastAsia="Calibri" w:cs="Arial"/>
          <w:lang w:val="es-MX"/>
        </w:rPr>
        <w:t xml:space="preserve">, se empleó la tasa de impacto sobre </w:t>
      </w:r>
      <w:r w:rsidR="006306FE">
        <w:rPr>
          <w:rFonts w:eastAsia="Calibri" w:cs="Arial"/>
          <w:lang w:val="es-MX"/>
        </w:rPr>
        <w:t xml:space="preserve">la promoción </w:t>
      </w:r>
      <w:r w:rsidR="00384ABD" w:rsidRPr="28D31204">
        <w:rPr>
          <w:rFonts w:eastAsia="Calibri" w:cs="Arial"/>
          <w:lang w:val="es-MX"/>
        </w:rPr>
        <w:t xml:space="preserve">en </w:t>
      </w:r>
      <w:r w:rsidRPr="28D31204">
        <w:rPr>
          <w:rFonts w:eastAsia="Calibri" w:cs="Arial"/>
          <w:lang w:val="es-MX"/>
        </w:rPr>
        <w:t>el número de beneficiarios que se piensa afectar</w:t>
      </w:r>
      <w:r w:rsidR="00384ABD" w:rsidRPr="28D31204">
        <w:rPr>
          <w:rFonts w:eastAsia="Calibri" w:cs="Arial"/>
          <w:lang w:val="es-MX"/>
        </w:rPr>
        <w:t xml:space="preserve"> con la operación</w:t>
      </w:r>
      <w:r w:rsidR="00971221" w:rsidRPr="28D31204">
        <w:rPr>
          <w:rFonts w:eastAsia="Calibri" w:cs="Arial"/>
          <w:lang w:val="es-MX"/>
        </w:rPr>
        <w:t xml:space="preserve">, y las cohortes beneficiadas </w:t>
      </w:r>
      <w:r w:rsidR="00971221" w:rsidRPr="00CF25A8">
        <w:rPr>
          <w:rFonts w:eastAsia="Calibri" w:cs="Arial"/>
          <w:szCs w:val="22"/>
          <w:lang w:val="es-MX"/>
        </w:rPr>
        <w:t>por la generación de oferta, y por ende de nuevos cupos</w:t>
      </w:r>
      <w:r w:rsidRPr="00CF25A8">
        <w:rPr>
          <w:rFonts w:eastAsia="Calibri" w:cs="Arial"/>
          <w:szCs w:val="22"/>
          <w:lang w:val="es-MX"/>
        </w:rPr>
        <w:t xml:space="preserve">. Se asume que la diferencia positiva de las tasas equivale al número de beneficiarios que, gracias al </w:t>
      </w:r>
      <w:r w:rsidR="00996FAB" w:rsidRPr="00CF25A8">
        <w:rPr>
          <w:rFonts w:eastAsia="Calibri" w:cs="Arial"/>
          <w:szCs w:val="22"/>
          <w:lang w:val="es-MX"/>
        </w:rPr>
        <w:t>Proyecto</w:t>
      </w:r>
      <w:r w:rsidRPr="00CF25A8">
        <w:rPr>
          <w:rFonts w:eastAsia="Calibri" w:cs="Arial"/>
          <w:szCs w:val="22"/>
          <w:lang w:val="es-MX"/>
        </w:rPr>
        <w:t xml:space="preserve">, </w:t>
      </w:r>
      <w:r w:rsidR="00996FAB" w:rsidRPr="00CF25A8">
        <w:rPr>
          <w:rFonts w:eastAsia="Calibri" w:cs="Arial"/>
          <w:szCs w:val="22"/>
          <w:lang w:val="es-MX"/>
        </w:rPr>
        <w:t>mejoraron su</w:t>
      </w:r>
      <w:r w:rsidR="00AB4D8C" w:rsidRPr="00CF25A8">
        <w:rPr>
          <w:rFonts w:eastAsia="Calibri" w:cs="Arial"/>
          <w:szCs w:val="22"/>
          <w:lang w:val="es-MX"/>
        </w:rPr>
        <w:t xml:space="preserve"> probabilidad de </w:t>
      </w:r>
      <w:r w:rsidR="00971221" w:rsidRPr="00CF25A8">
        <w:rPr>
          <w:rFonts w:eastAsia="Calibri" w:cs="Arial"/>
          <w:szCs w:val="22"/>
          <w:lang w:val="es-MX"/>
        </w:rPr>
        <w:t xml:space="preserve">ingresar y </w:t>
      </w:r>
      <w:r w:rsidR="00AB4D8C" w:rsidRPr="00CF25A8">
        <w:rPr>
          <w:rFonts w:eastAsia="Calibri" w:cs="Arial"/>
          <w:szCs w:val="22"/>
          <w:lang w:val="es-MX"/>
        </w:rPr>
        <w:t>mantenerse dentro del sistema educativo</w:t>
      </w:r>
      <w:r w:rsidR="00996FAB" w:rsidRPr="00CF25A8">
        <w:rPr>
          <w:rFonts w:cs="Arial"/>
          <w:spacing w:val="-3"/>
          <w:szCs w:val="22"/>
        </w:rPr>
        <w:t>.</w:t>
      </w:r>
      <w:r w:rsidR="007B2C27" w:rsidRPr="00CF25A8">
        <w:rPr>
          <w:rFonts w:cs="Arial"/>
          <w:spacing w:val="-3"/>
          <w:szCs w:val="22"/>
        </w:rPr>
        <w:t xml:space="preserve"> De acuerdo a</w:t>
      </w:r>
      <w:r w:rsidR="00AD57D4" w:rsidRPr="00CF25A8">
        <w:rPr>
          <w:rFonts w:cs="Arial"/>
          <w:spacing w:val="-3"/>
          <w:szCs w:val="22"/>
        </w:rPr>
        <w:t>l PMR</w:t>
      </w:r>
      <w:r w:rsidR="007B2C27" w:rsidRPr="00CF25A8">
        <w:rPr>
          <w:rFonts w:cs="Arial"/>
          <w:spacing w:val="-3"/>
          <w:szCs w:val="22"/>
        </w:rPr>
        <w:t xml:space="preserve"> la t</w:t>
      </w:r>
      <w:r w:rsidR="0020631F" w:rsidRPr="00CF25A8">
        <w:rPr>
          <w:rFonts w:cs="Arial"/>
          <w:spacing w:val="-3"/>
          <w:szCs w:val="22"/>
        </w:rPr>
        <w:t xml:space="preserve">asa de </w:t>
      </w:r>
      <w:r w:rsidR="00AD57D4" w:rsidRPr="00CF25A8">
        <w:rPr>
          <w:rFonts w:cs="Arial"/>
          <w:spacing w:val="-3"/>
          <w:szCs w:val="22"/>
        </w:rPr>
        <w:t>promoción se incrementó entre 3.8 y 3.9 puntos en escuelas de Jornada Escolar Extendida y 8.18 y 8.77 puntos en escuelas asistidas por las Instituciones Aliadas (</w:t>
      </w:r>
      <w:r w:rsidR="00AD57D4" w:rsidRPr="00CF25A8">
        <w:rPr>
          <w:szCs w:val="22"/>
        </w:rPr>
        <w:t>Centro Cultural Poveda, PUCMM y OEI</w:t>
      </w:r>
      <w:r w:rsidR="00AD57D4" w:rsidRPr="00CF25A8">
        <w:rPr>
          <w:rFonts w:cs="Arial"/>
          <w:spacing w:val="-3"/>
          <w:szCs w:val="22"/>
        </w:rPr>
        <w:t>)</w:t>
      </w:r>
      <w:r w:rsidR="007B2C27" w:rsidRPr="00CF25A8">
        <w:rPr>
          <w:rFonts w:cs="Arial"/>
          <w:spacing w:val="-3"/>
          <w:szCs w:val="22"/>
        </w:rPr>
        <w:t>.</w:t>
      </w:r>
    </w:p>
    <w:p w14:paraId="52E0BB09" w14:textId="6FBCE401" w:rsidR="001A40DA" w:rsidRPr="00B2077E" w:rsidRDefault="00174E54" w:rsidP="28D31204">
      <w:pPr>
        <w:pStyle w:val="Paragraph"/>
        <w:tabs>
          <w:tab w:val="clear" w:pos="1579"/>
          <w:tab w:val="num" w:pos="720"/>
          <w:tab w:val="num" w:pos="2016"/>
        </w:tabs>
        <w:spacing w:line="276" w:lineRule="auto"/>
        <w:ind w:left="720" w:hanging="720"/>
        <w:rPr>
          <w:rFonts w:eastAsia="Calibri" w:cs="Arial"/>
          <w:lang w:val="es-MX"/>
        </w:rPr>
      </w:pPr>
      <w:r w:rsidRPr="00CF25A8">
        <w:rPr>
          <w:rFonts w:eastAsia="Calibri" w:cs="Arial"/>
          <w:szCs w:val="22"/>
          <w:lang w:val="es-MX"/>
        </w:rPr>
        <w:t xml:space="preserve">Una vez </w:t>
      </w:r>
      <w:r w:rsidR="00996FAB" w:rsidRPr="00CF25A8">
        <w:rPr>
          <w:rFonts w:eastAsia="Calibri" w:cs="Arial"/>
          <w:szCs w:val="22"/>
          <w:lang w:val="es-MX"/>
        </w:rPr>
        <w:t>calculado</w:t>
      </w:r>
      <w:r w:rsidRPr="00CF25A8">
        <w:rPr>
          <w:rFonts w:eastAsia="Calibri" w:cs="Arial"/>
          <w:szCs w:val="22"/>
          <w:lang w:val="es-MX"/>
        </w:rPr>
        <w:t xml:space="preserve"> el número de beneficiarios</w:t>
      </w:r>
      <w:r w:rsidR="00996FAB" w:rsidRPr="00CF25A8">
        <w:rPr>
          <w:rFonts w:eastAsia="Calibri" w:cs="Arial"/>
          <w:szCs w:val="22"/>
          <w:lang w:val="es-MX"/>
        </w:rPr>
        <w:t xml:space="preserve"> en</w:t>
      </w:r>
      <w:r w:rsidR="00996FAB" w:rsidRPr="00B2077E">
        <w:rPr>
          <w:rFonts w:eastAsia="Calibri" w:cs="Arial"/>
          <w:lang w:val="es-MX"/>
        </w:rPr>
        <w:t xml:space="preserve"> función </w:t>
      </w:r>
      <w:r w:rsidR="00CF25A8">
        <w:rPr>
          <w:rFonts w:eastAsia="Calibri" w:cs="Arial"/>
          <w:lang w:val="es-MX"/>
        </w:rPr>
        <w:t xml:space="preserve">un incremento </w:t>
      </w:r>
      <w:r w:rsidR="00AB4D8C" w:rsidRPr="00B2077E">
        <w:rPr>
          <w:rFonts w:eastAsia="Calibri" w:cs="Arial"/>
          <w:lang w:val="es-MX"/>
        </w:rPr>
        <w:t xml:space="preserve">de la tasa de </w:t>
      </w:r>
      <w:r w:rsidR="00CF25A8">
        <w:rPr>
          <w:rFonts w:eastAsia="Calibri" w:cs="Arial"/>
          <w:lang w:val="es-MX"/>
        </w:rPr>
        <w:t>promoción</w:t>
      </w:r>
      <w:r w:rsidR="00971221">
        <w:rPr>
          <w:rFonts w:eastAsia="Calibri" w:cs="Arial"/>
          <w:lang w:val="es-MX"/>
        </w:rPr>
        <w:t xml:space="preserve"> e incremento de la oferta educativa</w:t>
      </w:r>
      <w:r w:rsidRPr="00B2077E">
        <w:rPr>
          <w:rFonts w:eastAsia="Calibri" w:cs="Arial"/>
          <w:lang w:val="es-MX"/>
        </w:rPr>
        <w:t xml:space="preserve">, se debe proyectar o predecir cuál será el nivel educativo que alcanzará cada beneficiario en el futuro, antes de </w:t>
      </w:r>
      <w:r w:rsidR="00AB4D8C" w:rsidRPr="00B2077E">
        <w:rPr>
          <w:rFonts w:eastAsia="Calibri" w:cs="Arial"/>
          <w:lang w:val="es-MX"/>
        </w:rPr>
        <w:t>iniciar</w:t>
      </w:r>
      <w:r w:rsidRPr="00B2077E">
        <w:rPr>
          <w:rFonts w:eastAsia="Calibri" w:cs="Arial"/>
          <w:lang w:val="es-MX"/>
        </w:rPr>
        <w:t xml:space="preserve"> su vida laboral. Para imputar la probabilidad de obtener un cierto nivel educativo a cada beneficiario, se asume una distribución</w:t>
      </w:r>
      <w:r w:rsidR="006511DE" w:rsidRPr="00B2077E">
        <w:rPr>
          <w:rFonts w:eastAsia="Calibri" w:cs="Arial"/>
          <w:lang w:val="es-MX"/>
        </w:rPr>
        <w:t xml:space="preserve"> del “nivel educativo aprobado”</w:t>
      </w:r>
      <w:r w:rsidRPr="00B2077E">
        <w:rPr>
          <w:rFonts w:eastAsia="Calibri" w:cs="Arial"/>
          <w:lang w:val="es-MX"/>
        </w:rPr>
        <w:t xml:space="preserve"> que parte de la distribución del nivel educativo de </w:t>
      </w:r>
      <w:r w:rsidR="00AB4D8C" w:rsidRPr="00B2077E">
        <w:rPr>
          <w:rFonts w:eastAsia="Calibri" w:cs="Arial"/>
          <w:lang w:val="es-MX"/>
        </w:rPr>
        <w:t xml:space="preserve">la </w:t>
      </w:r>
      <w:r w:rsidR="00CF25A8">
        <w:rPr>
          <w:rFonts w:eastAsia="Calibri" w:cs="Arial"/>
          <w:lang w:val="es-MX"/>
        </w:rPr>
        <w:t>población del país</w:t>
      </w:r>
      <w:r w:rsidRPr="00B2077E">
        <w:rPr>
          <w:rFonts w:eastAsia="Calibri" w:cs="Arial"/>
          <w:lang w:val="es-MX"/>
        </w:rPr>
        <w:t>, con ingresos positivos, para el año 201</w:t>
      </w:r>
      <w:r w:rsidR="00CF25A8">
        <w:rPr>
          <w:rFonts w:eastAsia="Calibri" w:cs="Arial"/>
          <w:lang w:val="es-MX"/>
        </w:rPr>
        <w:t>5</w:t>
      </w:r>
      <w:r w:rsidRPr="00B2077E">
        <w:rPr>
          <w:rStyle w:val="FootnoteReference"/>
          <w:rFonts w:eastAsia="Calibri" w:cs="Arial"/>
          <w:lang w:val="es-MX"/>
        </w:rPr>
        <w:footnoteReference w:id="6"/>
      </w:r>
      <w:r w:rsidRPr="00B2077E">
        <w:rPr>
          <w:rFonts w:eastAsia="Calibri" w:cs="Arial"/>
          <w:lang w:val="es-MX"/>
        </w:rPr>
        <w:t xml:space="preserve"> (</w:t>
      </w:r>
      <w:r w:rsidR="00CF25A8">
        <w:rPr>
          <w:rFonts w:eastAsia="Calibri" w:cs="Arial"/>
          <w:lang w:val="es-MX"/>
        </w:rPr>
        <w:t>ENFT 2015</w:t>
      </w:r>
      <w:r w:rsidRPr="00B2077E">
        <w:rPr>
          <w:rFonts w:eastAsia="Calibri" w:cs="Arial"/>
          <w:lang w:val="es-MX"/>
        </w:rPr>
        <w:t>)</w:t>
      </w:r>
      <w:r w:rsidR="006E1AA6">
        <w:rPr>
          <w:rFonts w:eastAsia="Calibri" w:cs="Arial"/>
          <w:lang w:val="es-MX"/>
        </w:rPr>
        <w:t xml:space="preserve">. </w:t>
      </w:r>
      <w:r w:rsidR="00384ABD" w:rsidRPr="00B2077E">
        <w:rPr>
          <w:rFonts w:eastAsia="Calibri" w:cs="Arial"/>
          <w:lang w:val="es-MX"/>
        </w:rPr>
        <w:t>De manera que</w:t>
      </w:r>
      <w:r w:rsidR="00996FAB" w:rsidRPr="00B2077E">
        <w:rPr>
          <w:rFonts w:eastAsia="Calibri" w:cs="Arial"/>
          <w:lang w:val="es-MX"/>
        </w:rPr>
        <w:t xml:space="preserve"> para el cálculo de los retornos monetarios se mantiene esta</w:t>
      </w:r>
      <w:r w:rsidR="006511DE" w:rsidRPr="00B2077E">
        <w:rPr>
          <w:rFonts w:eastAsia="Calibri" w:cs="Arial"/>
          <w:lang w:val="es-MX"/>
        </w:rPr>
        <w:t xml:space="preserve"> distribución de nivel aprobado. S</w:t>
      </w:r>
      <w:r w:rsidR="00996FAB" w:rsidRPr="00B2077E">
        <w:rPr>
          <w:rFonts w:eastAsia="Calibri" w:cs="Arial"/>
          <w:lang w:val="es-MX"/>
        </w:rPr>
        <w:t>in embargo</w:t>
      </w:r>
      <w:r w:rsidR="006511DE" w:rsidRPr="00B2077E">
        <w:rPr>
          <w:rFonts w:eastAsia="Calibri" w:cs="Arial"/>
          <w:lang w:val="es-MX"/>
        </w:rPr>
        <w:t>,</w:t>
      </w:r>
      <w:r w:rsidR="00996FAB" w:rsidRPr="00B2077E">
        <w:rPr>
          <w:rFonts w:eastAsia="Calibri" w:cs="Arial"/>
          <w:lang w:val="es-MX"/>
        </w:rPr>
        <w:t xml:space="preserve"> </w:t>
      </w:r>
      <w:r w:rsidR="002C050D" w:rsidRPr="00B2077E">
        <w:rPr>
          <w:rFonts w:eastAsia="Calibri" w:cs="Arial"/>
          <w:lang w:val="es-MX"/>
        </w:rPr>
        <w:t xml:space="preserve">pudiéramos </w:t>
      </w:r>
      <w:r w:rsidR="00996FAB" w:rsidRPr="00B2077E">
        <w:rPr>
          <w:rFonts w:eastAsia="Calibri" w:cs="Arial"/>
          <w:lang w:val="es-MX"/>
        </w:rPr>
        <w:t>argumentar que debiera uno asumir una mejora en promedio en dicha distribución</w:t>
      </w:r>
      <w:r w:rsidRPr="00B2077E">
        <w:rPr>
          <w:rFonts w:eastAsia="Calibri" w:cs="Arial"/>
          <w:lang w:val="es-MX"/>
        </w:rPr>
        <w:t>, sesgándola a niveles superiores de escolaridad</w:t>
      </w:r>
      <w:r w:rsidR="00996FAB" w:rsidRPr="00B2077E">
        <w:rPr>
          <w:rFonts w:eastAsia="Calibri" w:cs="Arial"/>
          <w:lang w:val="es-MX"/>
        </w:rPr>
        <w:t xml:space="preserve">, debido a </w:t>
      </w:r>
      <w:r w:rsidRPr="00B2077E">
        <w:rPr>
          <w:rFonts w:eastAsia="Calibri" w:cs="Arial"/>
          <w:lang w:val="es-MX"/>
        </w:rPr>
        <w:t>que cohortes subsiguientes de beneficiarios tendrán una mayor probabilidad de lograr niveles superiores de escolaridad.</w:t>
      </w:r>
      <w:r w:rsidR="00996FAB" w:rsidRPr="00B2077E">
        <w:rPr>
          <w:rFonts w:eastAsia="Calibri" w:cs="Arial"/>
          <w:lang w:val="es-MX"/>
        </w:rPr>
        <w:t xml:space="preserve"> Con esta decisión</w:t>
      </w:r>
      <w:r w:rsidR="002C050D" w:rsidRPr="00B2077E">
        <w:rPr>
          <w:rFonts w:eastAsia="Calibri" w:cs="Arial"/>
          <w:lang w:val="es-MX"/>
        </w:rPr>
        <w:t xml:space="preserve"> de no mejorar la distribución,</w:t>
      </w:r>
      <w:r w:rsidR="00996FAB" w:rsidRPr="00B2077E">
        <w:rPr>
          <w:rFonts w:eastAsia="Calibri" w:cs="Arial"/>
          <w:lang w:val="es-MX"/>
        </w:rPr>
        <w:t xml:space="preserve"> mantenemos nuevamente un escenario conservador con respecto a los potenciales retornos económicos del </w:t>
      </w:r>
      <w:r w:rsidR="006511DE" w:rsidRPr="00B2077E">
        <w:rPr>
          <w:rFonts w:eastAsia="Calibri" w:cs="Arial"/>
          <w:lang w:val="es-MX"/>
        </w:rPr>
        <w:t>proyecto</w:t>
      </w:r>
      <w:r w:rsidR="00996FAB" w:rsidRPr="00B2077E">
        <w:rPr>
          <w:rFonts w:eastAsia="Calibri" w:cs="Arial"/>
          <w:lang w:val="es-MX"/>
        </w:rPr>
        <w:t>. Se espera así que en la práctica los beneficios superen a los determinado</w:t>
      </w:r>
      <w:r w:rsidR="002C050D" w:rsidRPr="00B2077E">
        <w:rPr>
          <w:rFonts w:eastAsia="Calibri" w:cs="Arial"/>
          <w:lang w:val="es-MX"/>
        </w:rPr>
        <w:t>s en el presente análisis</w:t>
      </w:r>
      <w:r w:rsidR="00996FAB" w:rsidRPr="00B2077E">
        <w:rPr>
          <w:rFonts w:eastAsia="Calibri" w:cs="Arial"/>
          <w:lang w:val="es-MX"/>
        </w:rPr>
        <w:t>.</w:t>
      </w:r>
    </w:p>
    <w:p w14:paraId="12741C31" w14:textId="2F4DB15A" w:rsidR="001A40DA" w:rsidRPr="00B2077E" w:rsidRDefault="005F7B02" w:rsidP="28D31204">
      <w:pPr>
        <w:pStyle w:val="Paragraph"/>
        <w:tabs>
          <w:tab w:val="clear" w:pos="1579"/>
          <w:tab w:val="num" w:pos="720"/>
          <w:tab w:val="num" w:pos="2016"/>
        </w:tabs>
        <w:spacing w:line="276" w:lineRule="auto"/>
        <w:ind w:left="720" w:hanging="720"/>
        <w:rPr>
          <w:rFonts w:eastAsia="Calibri" w:cs="Arial"/>
          <w:lang w:val="es-MX"/>
        </w:rPr>
      </w:pPr>
      <w:r w:rsidRPr="00B2077E">
        <w:rPr>
          <w:rFonts w:eastAsia="Calibri" w:cs="Arial"/>
          <w:lang w:val="es-MX"/>
        </w:rPr>
        <w:t xml:space="preserve">De acuerdo al </w:t>
      </w:r>
      <w:r w:rsidR="00CF25A8">
        <w:rPr>
          <w:rFonts w:eastAsia="Calibri" w:cs="Arial"/>
          <w:lang w:val="es-MX"/>
        </w:rPr>
        <w:t>ENFT</w:t>
      </w:r>
      <w:r w:rsidRPr="00B2077E">
        <w:rPr>
          <w:rFonts w:eastAsia="Calibri" w:cs="Arial"/>
          <w:lang w:val="es-MX"/>
        </w:rPr>
        <w:t xml:space="preserve">, </w:t>
      </w:r>
      <w:r w:rsidR="00CF25A8">
        <w:rPr>
          <w:rFonts w:eastAsia="Calibri" w:cs="Arial"/>
          <w:lang w:val="es-MX"/>
        </w:rPr>
        <w:t>2015</w:t>
      </w:r>
      <w:r w:rsidR="00565E3F">
        <w:rPr>
          <w:rFonts w:eastAsia="Calibri" w:cs="Arial"/>
          <w:lang w:val="es-MX"/>
        </w:rPr>
        <w:t xml:space="preserve"> (Parodi, Ramirez y Thompson 2017)</w:t>
      </w:r>
      <w:r w:rsidR="00CF25A8">
        <w:rPr>
          <w:rFonts w:eastAsia="Calibri" w:cs="Arial"/>
          <w:lang w:val="es-MX"/>
        </w:rPr>
        <w:t xml:space="preserve">, </w:t>
      </w:r>
      <w:r w:rsidRPr="00B2077E">
        <w:rPr>
          <w:rFonts w:eastAsia="Calibri" w:cs="Arial"/>
          <w:lang w:val="es-MX"/>
        </w:rPr>
        <w:t>la distribución en</w:t>
      </w:r>
      <w:r w:rsidR="00174E54" w:rsidRPr="00B2077E">
        <w:rPr>
          <w:rFonts w:eastAsia="Calibri" w:cs="Arial"/>
          <w:lang w:val="es-MX"/>
        </w:rPr>
        <w:t xml:space="preserve"> </w:t>
      </w:r>
      <w:r w:rsidRPr="00B2077E">
        <w:rPr>
          <w:rFonts w:eastAsia="Calibri" w:cs="Arial"/>
          <w:lang w:val="es-MX"/>
        </w:rPr>
        <w:t xml:space="preserve">los </w:t>
      </w:r>
      <w:r w:rsidR="00174E54" w:rsidRPr="00B2077E">
        <w:rPr>
          <w:rFonts w:eastAsia="Calibri" w:cs="Arial"/>
          <w:lang w:val="es-MX"/>
        </w:rPr>
        <w:t>nivel</w:t>
      </w:r>
      <w:r w:rsidRPr="00B2077E">
        <w:rPr>
          <w:rFonts w:eastAsia="Calibri" w:cs="Arial"/>
          <w:lang w:val="es-MX"/>
        </w:rPr>
        <w:t>es</w:t>
      </w:r>
      <w:r w:rsidR="00174E54" w:rsidRPr="00B2077E">
        <w:rPr>
          <w:rFonts w:eastAsia="Calibri" w:cs="Arial"/>
          <w:lang w:val="es-MX"/>
        </w:rPr>
        <w:t xml:space="preserve"> educativo</w:t>
      </w:r>
      <w:r w:rsidRPr="00B2077E">
        <w:rPr>
          <w:rFonts w:eastAsia="Calibri" w:cs="Arial"/>
          <w:lang w:val="es-MX"/>
        </w:rPr>
        <w:t>s</w:t>
      </w:r>
      <w:r w:rsidR="00174E54" w:rsidRPr="00B2077E">
        <w:rPr>
          <w:rFonts w:eastAsia="Calibri" w:cs="Arial"/>
          <w:lang w:val="es-MX"/>
        </w:rPr>
        <w:t xml:space="preserve"> alcanzado</w:t>
      </w:r>
      <w:r w:rsidRPr="00B2077E">
        <w:rPr>
          <w:rFonts w:eastAsia="Calibri" w:cs="Arial"/>
          <w:lang w:val="es-MX"/>
        </w:rPr>
        <w:t>s</w:t>
      </w:r>
      <w:r w:rsidR="00174E54" w:rsidRPr="00B2077E">
        <w:rPr>
          <w:rFonts w:eastAsia="Calibri" w:cs="Arial"/>
          <w:lang w:val="es-MX"/>
        </w:rPr>
        <w:t xml:space="preserve"> por </w:t>
      </w:r>
      <w:r w:rsidRPr="00B2077E">
        <w:rPr>
          <w:rFonts w:eastAsia="Calibri" w:cs="Arial"/>
          <w:lang w:val="es-MX"/>
        </w:rPr>
        <w:t>dichos</w:t>
      </w:r>
      <w:r w:rsidR="00174E54" w:rsidRPr="00B2077E">
        <w:rPr>
          <w:rFonts w:eastAsia="Calibri" w:cs="Arial"/>
          <w:lang w:val="es-MX"/>
        </w:rPr>
        <w:t xml:space="preserve"> trabajadores fue </w:t>
      </w:r>
      <w:r w:rsidR="00384ABD" w:rsidRPr="00B2077E">
        <w:rPr>
          <w:rFonts w:eastAsia="Calibri" w:cs="Arial"/>
          <w:lang w:val="es-MX"/>
        </w:rPr>
        <w:t>la</w:t>
      </w:r>
      <w:r w:rsidR="00174E54" w:rsidRPr="00B2077E">
        <w:rPr>
          <w:rFonts w:eastAsia="Calibri" w:cs="Arial"/>
          <w:lang w:val="es-MX"/>
        </w:rPr>
        <w:t xml:space="preserve"> siguiente:</w:t>
      </w:r>
      <w:r w:rsidR="00CE1D3F">
        <w:rPr>
          <w:rFonts w:eastAsia="Calibri" w:cs="Arial"/>
          <w:lang w:val="es-MX"/>
        </w:rPr>
        <w:t xml:space="preserve"> 33.9% primaria incompleta, 11.2</w:t>
      </w:r>
      <w:r w:rsidR="00F24E40">
        <w:rPr>
          <w:rFonts w:eastAsia="Calibri" w:cs="Arial"/>
          <w:lang w:val="es-MX"/>
        </w:rPr>
        <w:t>% primaria</w:t>
      </w:r>
      <w:r w:rsidR="0020631F">
        <w:rPr>
          <w:rFonts w:eastAsia="Calibri" w:cs="Arial"/>
          <w:lang w:val="es-MX"/>
        </w:rPr>
        <w:t xml:space="preserve"> completa, </w:t>
      </w:r>
      <w:r w:rsidR="00CE1D3F">
        <w:rPr>
          <w:rFonts w:eastAsia="Calibri" w:cs="Arial"/>
          <w:lang w:val="es-MX"/>
        </w:rPr>
        <w:t>13.8</w:t>
      </w:r>
      <w:r w:rsidR="00174E54" w:rsidRPr="00B2077E">
        <w:rPr>
          <w:rFonts w:eastAsia="Calibri" w:cs="Arial"/>
          <w:lang w:val="es-MX"/>
        </w:rPr>
        <w:t>% secundaria</w:t>
      </w:r>
      <w:r w:rsidR="00CE1D3F">
        <w:rPr>
          <w:rFonts w:eastAsia="Calibri" w:cs="Arial"/>
          <w:lang w:val="es-MX"/>
        </w:rPr>
        <w:t xml:space="preserve"> incompleta</w:t>
      </w:r>
      <w:r w:rsidR="00174E54" w:rsidRPr="00B2077E">
        <w:rPr>
          <w:rFonts w:eastAsia="Calibri" w:cs="Arial"/>
          <w:lang w:val="es-MX"/>
        </w:rPr>
        <w:t xml:space="preserve">, </w:t>
      </w:r>
      <w:r w:rsidR="00CE1D3F">
        <w:rPr>
          <w:rFonts w:eastAsia="Calibri" w:cs="Arial"/>
          <w:lang w:val="es-MX"/>
        </w:rPr>
        <w:t>19.3</w:t>
      </w:r>
      <w:r w:rsidR="00174E54" w:rsidRPr="00B2077E">
        <w:rPr>
          <w:rFonts w:eastAsia="Calibri" w:cs="Arial"/>
          <w:lang w:val="es-MX"/>
        </w:rPr>
        <w:t xml:space="preserve">% </w:t>
      </w:r>
      <w:r w:rsidR="00CE1D3F" w:rsidRPr="00B2077E">
        <w:rPr>
          <w:rFonts w:eastAsia="Calibri" w:cs="Arial"/>
          <w:lang w:val="es-MX"/>
        </w:rPr>
        <w:t>secundaria</w:t>
      </w:r>
      <w:r w:rsidR="00CE1D3F">
        <w:rPr>
          <w:rFonts w:eastAsia="Calibri" w:cs="Arial"/>
          <w:lang w:val="es-MX"/>
        </w:rPr>
        <w:t xml:space="preserve"> completa</w:t>
      </w:r>
      <w:r w:rsidR="005428C6" w:rsidRPr="00B2077E">
        <w:rPr>
          <w:rFonts w:eastAsia="Calibri" w:cs="Arial"/>
          <w:lang w:val="es-MX"/>
        </w:rPr>
        <w:t xml:space="preserve">, </w:t>
      </w:r>
      <w:r w:rsidR="00CE1D3F">
        <w:rPr>
          <w:rFonts w:eastAsia="Calibri" w:cs="Arial"/>
          <w:lang w:val="es-MX"/>
        </w:rPr>
        <w:t xml:space="preserve">8.4% universidad incompleta </w:t>
      </w:r>
      <w:r w:rsidR="0020631F">
        <w:rPr>
          <w:rFonts w:eastAsia="Calibri" w:cs="Arial"/>
          <w:lang w:val="es-MX"/>
        </w:rPr>
        <w:t xml:space="preserve">y </w:t>
      </w:r>
      <w:r w:rsidR="00CE1D3F">
        <w:rPr>
          <w:rFonts w:eastAsia="Calibri" w:cs="Arial"/>
          <w:lang w:val="es-MX"/>
        </w:rPr>
        <w:t>13.4</w:t>
      </w:r>
      <w:r w:rsidR="005428C6" w:rsidRPr="00B2077E">
        <w:rPr>
          <w:rFonts w:eastAsia="Calibri" w:cs="Arial"/>
          <w:lang w:val="es-MX"/>
        </w:rPr>
        <w:t xml:space="preserve">% </w:t>
      </w:r>
      <w:r w:rsidR="00CE1D3F">
        <w:rPr>
          <w:rFonts w:eastAsia="Calibri" w:cs="Arial"/>
          <w:lang w:val="es-MX"/>
        </w:rPr>
        <w:t xml:space="preserve">universidad </w:t>
      </w:r>
      <w:r w:rsidR="00CE1D3F">
        <w:rPr>
          <w:rFonts w:eastAsia="Calibri" w:cs="Arial"/>
          <w:lang w:val="es-MX"/>
        </w:rPr>
        <w:lastRenderedPageBreak/>
        <w:t>completa</w:t>
      </w:r>
      <w:r w:rsidR="00174E54" w:rsidRPr="00B2077E">
        <w:rPr>
          <w:rFonts w:eastAsia="Calibri" w:cs="Arial"/>
          <w:vertAlign w:val="superscript"/>
          <w:lang w:val="es-MX"/>
        </w:rPr>
        <w:footnoteReference w:id="7"/>
      </w:r>
      <w:r w:rsidR="00174E54" w:rsidRPr="00B2077E">
        <w:rPr>
          <w:rFonts w:eastAsia="Calibri" w:cs="Arial"/>
          <w:lang w:val="es-MX"/>
        </w:rPr>
        <w:t xml:space="preserve">. </w:t>
      </w:r>
      <w:r w:rsidR="006511DE" w:rsidRPr="00B2077E">
        <w:rPr>
          <w:rFonts w:eastAsia="Calibri" w:cs="Arial"/>
          <w:lang w:val="es-MX"/>
        </w:rPr>
        <w:t>De manera que l</w:t>
      </w:r>
      <w:r w:rsidR="00174E54" w:rsidRPr="00B2077E">
        <w:rPr>
          <w:rFonts w:eastAsia="Calibri" w:cs="Arial"/>
          <w:lang w:val="es-MX"/>
        </w:rPr>
        <w:t xml:space="preserve">os beneficiarios </w:t>
      </w:r>
      <w:r w:rsidR="002C050D" w:rsidRPr="00B2077E">
        <w:rPr>
          <w:rFonts w:eastAsia="Calibri" w:cs="Arial"/>
          <w:lang w:val="es-MX"/>
        </w:rPr>
        <w:t xml:space="preserve">del </w:t>
      </w:r>
      <w:r w:rsidR="00D45980">
        <w:rPr>
          <w:rFonts w:eastAsia="Calibri" w:cs="Arial"/>
          <w:lang w:val="es-MX"/>
        </w:rPr>
        <w:t>proyecto</w:t>
      </w:r>
      <w:r w:rsidR="00174E54" w:rsidRPr="00B2077E">
        <w:rPr>
          <w:rFonts w:eastAsia="Calibri" w:cs="Arial"/>
          <w:lang w:val="es-MX"/>
        </w:rPr>
        <w:t xml:space="preserve"> serán distribuidos entre esas categorías</w:t>
      </w:r>
      <w:r w:rsidR="00D45980">
        <w:rPr>
          <w:rFonts w:eastAsia="Calibri" w:cs="Arial"/>
          <w:lang w:val="es-MX"/>
        </w:rPr>
        <w:t xml:space="preserve"> para luego calcular el año adicional correspondiente</w:t>
      </w:r>
      <w:r w:rsidR="001A40DA" w:rsidRPr="00B2077E">
        <w:rPr>
          <w:rFonts w:eastAsia="Calibri" w:cs="Arial"/>
          <w:lang w:val="es-MX"/>
        </w:rPr>
        <w:t>.</w:t>
      </w:r>
      <w:r w:rsidR="001E4545" w:rsidRPr="00B2077E">
        <w:rPr>
          <w:rFonts w:eastAsia="Calibri" w:cs="Arial"/>
          <w:lang w:val="es-MX"/>
        </w:rPr>
        <w:t xml:space="preserve"> </w:t>
      </w:r>
    </w:p>
    <w:p w14:paraId="0B6A4810" w14:textId="1FFEA2B7" w:rsidR="007E4D82" w:rsidRPr="00B2077E" w:rsidRDefault="00174E54" w:rsidP="28D31204">
      <w:pPr>
        <w:pStyle w:val="Paragraph"/>
        <w:tabs>
          <w:tab w:val="clear" w:pos="1579"/>
          <w:tab w:val="num" w:pos="720"/>
          <w:tab w:val="num" w:pos="2016"/>
        </w:tabs>
        <w:spacing w:line="276" w:lineRule="auto"/>
        <w:ind w:left="720" w:hanging="720"/>
        <w:rPr>
          <w:rFonts w:eastAsia="Calibri" w:cs="Arial"/>
          <w:lang w:val="es-MX"/>
        </w:rPr>
      </w:pPr>
      <w:r w:rsidRPr="00B2077E">
        <w:rPr>
          <w:rFonts w:eastAsia="Calibri" w:cs="Arial"/>
          <w:lang w:val="es-MX"/>
        </w:rPr>
        <w:t>Una vez distribu</w:t>
      </w:r>
      <w:r w:rsidR="00C96328" w:rsidRPr="00B2077E">
        <w:rPr>
          <w:rFonts w:eastAsia="Calibri" w:cs="Arial"/>
          <w:lang w:val="es-MX"/>
        </w:rPr>
        <w:t xml:space="preserve">idos los beneficiarios </w:t>
      </w:r>
      <w:r w:rsidR="00D45980">
        <w:rPr>
          <w:rFonts w:eastAsia="Calibri" w:cs="Arial"/>
          <w:lang w:val="es-MX"/>
        </w:rPr>
        <w:t xml:space="preserve">de los efectos del </w:t>
      </w:r>
      <w:r w:rsidR="00C96328" w:rsidRPr="00B2077E">
        <w:rPr>
          <w:rFonts w:eastAsia="Calibri" w:cs="Arial"/>
          <w:lang w:val="es-MX"/>
        </w:rPr>
        <w:t>proyecto</w:t>
      </w:r>
      <w:r w:rsidR="006511DE" w:rsidRPr="00B2077E">
        <w:rPr>
          <w:rFonts w:eastAsia="Calibri" w:cs="Arial"/>
          <w:lang w:val="es-MX"/>
        </w:rPr>
        <w:t>,</w:t>
      </w:r>
      <w:r w:rsidRPr="00B2077E">
        <w:rPr>
          <w:rFonts w:eastAsia="Calibri" w:cs="Arial"/>
          <w:lang w:val="es-MX"/>
        </w:rPr>
        <w:t xml:space="preserve"> bajo los supuestos anteriores, se procede a la imputación del diferencial del ingreso esperado a estos alumnos según dos factores: (i) el diferencial de ingresos generado por un nivel de escolaridad mayor, y (ii) el año que empieza a trabajar. En cuanto al diferencial de ingresos, se calcula el ingreso esperado a futuro de los alumnos beneficiarios utilizando una estimación de los retornos a la educación basada en la ecuación de </w:t>
      </w:r>
      <w:proofErr w:type="spellStart"/>
      <w:r w:rsidRPr="00B2077E">
        <w:rPr>
          <w:rFonts w:eastAsia="Calibri" w:cs="Arial"/>
          <w:lang w:val="es-MX"/>
        </w:rPr>
        <w:t>Mincer</w:t>
      </w:r>
      <w:proofErr w:type="spellEnd"/>
      <w:r w:rsidRPr="00B2077E">
        <w:rPr>
          <w:rFonts w:eastAsia="Calibri" w:cs="Arial"/>
          <w:vertAlign w:val="superscript"/>
          <w:lang w:val="es-MX"/>
        </w:rPr>
        <w:footnoteReference w:id="8"/>
      </w:r>
      <w:r w:rsidRPr="00B2077E">
        <w:rPr>
          <w:rFonts w:eastAsia="Calibri" w:cs="Arial"/>
          <w:lang w:val="es-MX"/>
        </w:rPr>
        <w:t>. Para llevar a cabo la estimación se utiliza</w:t>
      </w:r>
      <w:r w:rsidR="00C96328" w:rsidRPr="00B2077E">
        <w:rPr>
          <w:rFonts w:eastAsia="Calibri" w:cs="Arial"/>
          <w:lang w:val="es-MX"/>
        </w:rPr>
        <w:t>n</w:t>
      </w:r>
      <w:r w:rsidRPr="00B2077E">
        <w:rPr>
          <w:rFonts w:eastAsia="Calibri" w:cs="Arial"/>
          <w:lang w:val="es-MX"/>
        </w:rPr>
        <w:t xml:space="preserve"> los datos de la </w:t>
      </w:r>
      <w:r w:rsidR="00565E3F">
        <w:rPr>
          <w:rFonts w:eastAsia="Calibri" w:cs="Arial"/>
          <w:lang w:val="es-MX"/>
        </w:rPr>
        <w:t>ENFT en 2014</w:t>
      </w:r>
      <w:r w:rsidR="00FF698B">
        <w:rPr>
          <w:rFonts w:eastAsia="Calibri" w:cs="Arial"/>
          <w:lang w:val="es-MX"/>
        </w:rPr>
        <w:t xml:space="preserve"> (Domínguez, García y Gómez 2016)</w:t>
      </w:r>
      <w:r w:rsidRPr="00B2077E">
        <w:rPr>
          <w:rFonts w:eastAsia="Calibri" w:cs="Arial"/>
          <w:lang w:val="es-MX"/>
        </w:rPr>
        <w:t xml:space="preserve">. La variable de educación se desagrega en las categorías de </w:t>
      </w:r>
      <w:r w:rsidR="001844BB">
        <w:rPr>
          <w:rFonts w:eastAsia="Calibri" w:cs="Arial"/>
          <w:lang w:val="es-MX"/>
        </w:rPr>
        <w:t>primaria incompleta, primaria completa,</w:t>
      </w:r>
      <w:r w:rsidR="001844BB" w:rsidRPr="00B2077E">
        <w:rPr>
          <w:rFonts w:eastAsia="Calibri" w:cs="Arial"/>
          <w:lang w:val="es-MX"/>
        </w:rPr>
        <w:t xml:space="preserve"> secundaria</w:t>
      </w:r>
      <w:r w:rsidR="001844BB">
        <w:rPr>
          <w:rFonts w:eastAsia="Calibri" w:cs="Arial"/>
          <w:lang w:val="es-MX"/>
        </w:rPr>
        <w:t xml:space="preserve"> incompleta</w:t>
      </w:r>
      <w:r w:rsidR="001844BB" w:rsidRPr="00B2077E">
        <w:rPr>
          <w:rFonts w:eastAsia="Calibri" w:cs="Arial"/>
          <w:lang w:val="es-MX"/>
        </w:rPr>
        <w:t>, secundaria</w:t>
      </w:r>
      <w:r w:rsidR="001844BB">
        <w:rPr>
          <w:rFonts w:eastAsia="Calibri" w:cs="Arial"/>
          <w:lang w:val="es-MX"/>
        </w:rPr>
        <w:t xml:space="preserve"> completa</w:t>
      </w:r>
      <w:r w:rsidR="001844BB" w:rsidRPr="00B2077E">
        <w:rPr>
          <w:rFonts w:eastAsia="Calibri" w:cs="Arial"/>
          <w:lang w:val="es-MX"/>
        </w:rPr>
        <w:t xml:space="preserve">, </w:t>
      </w:r>
      <w:r w:rsidR="001844BB">
        <w:rPr>
          <w:rFonts w:eastAsia="Calibri" w:cs="Arial"/>
          <w:lang w:val="es-MX"/>
        </w:rPr>
        <w:t>universidad incompleta y universidad completa</w:t>
      </w:r>
      <w:r w:rsidRPr="00B2077E">
        <w:rPr>
          <w:rFonts w:eastAsia="Calibri" w:cs="Arial"/>
          <w:lang w:val="es-MX"/>
        </w:rPr>
        <w:t>, quedando como grupo de referencia los individuos sin nivel de escolaridad. El ingreso mensual</w:t>
      </w:r>
      <w:r w:rsidR="008E45AF" w:rsidRPr="00B2077E">
        <w:rPr>
          <w:rFonts w:eastAsia="Calibri" w:cs="Arial"/>
          <w:vertAlign w:val="superscript"/>
          <w:lang w:val="es-MX"/>
        </w:rPr>
        <w:t xml:space="preserve"> </w:t>
      </w:r>
      <w:r w:rsidRPr="00B2077E">
        <w:rPr>
          <w:rFonts w:eastAsia="Calibri" w:cs="Arial"/>
          <w:lang w:val="es-MX"/>
        </w:rPr>
        <w:t>promedio de un trabajador</w:t>
      </w:r>
      <w:r w:rsidR="008E45AF" w:rsidRPr="00B2077E">
        <w:rPr>
          <w:rFonts w:eastAsia="Calibri" w:cs="Arial"/>
          <w:lang w:val="es-MX"/>
        </w:rPr>
        <w:t xml:space="preserve"> sin nivel de escolaridad es de </w:t>
      </w:r>
      <w:r w:rsidRPr="00B2077E">
        <w:rPr>
          <w:rFonts w:eastAsia="Calibri" w:cs="Arial"/>
          <w:lang w:val="es-MX"/>
        </w:rPr>
        <w:t>$</w:t>
      </w:r>
      <w:r w:rsidR="001844BB">
        <w:rPr>
          <w:rFonts w:eastAsia="Calibri" w:cs="Arial"/>
          <w:lang w:val="es-MX"/>
        </w:rPr>
        <w:t>3,688 pesos dominicanos en 2015</w:t>
      </w:r>
      <w:r w:rsidRPr="00B2077E">
        <w:rPr>
          <w:rFonts w:eastAsia="Calibri" w:cs="Arial"/>
          <w:lang w:val="es-MX"/>
        </w:rPr>
        <w:t xml:space="preserve"> según </w:t>
      </w:r>
      <w:r w:rsidRPr="006E1AA6">
        <w:rPr>
          <w:rFonts w:eastAsia="Calibri" w:cs="Arial"/>
          <w:lang w:val="es-MX"/>
        </w:rPr>
        <w:t>la encuesta</w:t>
      </w:r>
      <w:r w:rsidR="001844BB">
        <w:rPr>
          <w:rFonts w:eastAsia="Calibri" w:cs="Arial"/>
          <w:lang w:val="es-MX"/>
        </w:rPr>
        <w:t xml:space="preserve"> ENFT</w:t>
      </w:r>
      <w:r w:rsidR="00381429" w:rsidRPr="006E1AA6">
        <w:rPr>
          <w:rFonts w:eastAsia="Calibri" w:cs="Arial"/>
          <w:lang w:val="es-MX"/>
        </w:rPr>
        <w:t xml:space="preserve"> (ver salarios promedio </w:t>
      </w:r>
      <w:r w:rsidR="008E45AF" w:rsidRPr="00D7474D">
        <w:rPr>
          <w:rFonts w:eastAsia="Calibri" w:cs="Arial"/>
          <w:lang w:val="es-MX"/>
        </w:rPr>
        <w:t>mensuales</w:t>
      </w:r>
      <w:r w:rsidR="006E1AA6" w:rsidRPr="00D7474D">
        <w:rPr>
          <w:rFonts w:eastAsia="Calibri" w:cs="Arial"/>
          <w:lang w:val="es-MX"/>
        </w:rPr>
        <w:t xml:space="preserve"> en Anexo </w:t>
      </w:r>
      <w:r w:rsidR="00381429" w:rsidRPr="00D7474D">
        <w:rPr>
          <w:rFonts w:eastAsia="Calibri" w:cs="Arial"/>
          <w:lang w:val="es-MX"/>
        </w:rPr>
        <w:t>I</w:t>
      </w:r>
      <w:r w:rsidR="00F24E40" w:rsidRPr="00D7474D">
        <w:rPr>
          <w:rFonts w:eastAsia="Calibri" w:cs="Arial"/>
          <w:lang w:val="es-MX"/>
        </w:rPr>
        <w:t>I</w:t>
      </w:r>
      <w:r w:rsidR="00381429" w:rsidRPr="00D7474D">
        <w:rPr>
          <w:rFonts w:eastAsia="Calibri" w:cs="Arial"/>
          <w:lang w:val="es-MX"/>
        </w:rPr>
        <w:t>)</w:t>
      </w:r>
      <w:r w:rsidRPr="00D7474D">
        <w:rPr>
          <w:rFonts w:eastAsia="Calibri" w:cs="Arial"/>
          <w:lang w:val="es-MX"/>
        </w:rPr>
        <w:t xml:space="preserve">, y los multiplicadores de la estimación de </w:t>
      </w:r>
      <w:proofErr w:type="spellStart"/>
      <w:r w:rsidRPr="00D7474D">
        <w:rPr>
          <w:rFonts w:eastAsia="Calibri" w:cs="Arial"/>
          <w:lang w:val="es-MX"/>
        </w:rPr>
        <w:t>Mincer</w:t>
      </w:r>
      <w:proofErr w:type="spellEnd"/>
      <w:r w:rsidRPr="00D7474D">
        <w:rPr>
          <w:rFonts w:eastAsia="Calibri" w:cs="Arial"/>
          <w:lang w:val="es-MX"/>
        </w:rPr>
        <w:t xml:space="preserve"> para cada nivel de educación serán</w:t>
      </w:r>
      <w:r w:rsidRPr="00B2077E">
        <w:rPr>
          <w:rFonts w:eastAsia="Calibri" w:cs="Arial"/>
          <w:lang w:val="es-MX"/>
        </w:rPr>
        <w:t xml:space="preserve"> aplicados a este ingreso de referencia</w:t>
      </w:r>
      <w:r w:rsidR="004863D9" w:rsidRPr="00B2077E">
        <w:rPr>
          <w:rFonts w:eastAsia="Calibri" w:cs="Arial"/>
          <w:lang w:val="es-MX"/>
        </w:rPr>
        <w:t xml:space="preserve"> (ver tabla 5.1).</w:t>
      </w:r>
      <w:r w:rsidR="007E4D82" w:rsidRPr="00B2077E">
        <w:rPr>
          <w:rFonts w:eastAsia="Calibri" w:cs="Arial"/>
          <w:lang w:val="es-MX"/>
        </w:rPr>
        <w:t xml:space="preserve"> </w:t>
      </w:r>
      <w:r w:rsidR="00C96328" w:rsidRPr="00B2077E">
        <w:rPr>
          <w:rFonts w:eastAsia="Calibri" w:cs="Arial"/>
          <w:lang w:val="es-MX"/>
        </w:rPr>
        <w:t xml:space="preserve">Cabe mencionar que en las estimaciones no se están ajustando los ingresos por inflación o incrementos que afectan </w:t>
      </w:r>
      <w:r w:rsidR="0008362C" w:rsidRPr="00B2077E">
        <w:rPr>
          <w:rFonts w:eastAsia="Calibri" w:cs="Arial"/>
          <w:lang w:val="es-MX"/>
        </w:rPr>
        <w:t>a los salarios mínimos del país.</w:t>
      </w:r>
    </w:p>
    <w:p w14:paraId="075B5380" w14:textId="382516BC" w:rsidR="00174E54" w:rsidRPr="007340C9" w:rsidRDefault="004863D9" w:rsidP="28D31204">
      <w:pPr>
        <w:pStyle w:val="Paragraph"/>
        <w:tabs>
          <w:tab w:val="clear" w:pos="1579"/>
          <w:tab w:val="num" w:pos="720"/>
          <w:tab w:val="num" w:pos="2016"/>
        </w:tabs>
        <w:spacing w:line="276" w:lineRule="auto"/>
        <w:ind w:left="720" w:hanging="720"/>
        <w:rPr>
          <w:rFonts w:eastAsia="Calibri" w:cs="Arial"/>
          <w:lang w:val="es-MX"/>
        </w:rPr>
      </w:pPr>
      <w:r w:rsidRPr="00B2077E">
        <w:rPr>
          <w:rFonts w:eastAsia="Calibri" w:cs="Arial"/>
          <w:spacing w:val="-3"/>
          <w:lang w:val="es-MX"/>
        </w:rPr>
        <w:t>Seguidamente</w:t>
      </w:r>
      <w:r w:rsidR="00174E54" w:rsidRPr="00B2077E">
        <w:rPr>
          <w:rFonts w:eastAsia="Calibri" w:cs="Arial"/>
          <w:spacing w:val="-3"/>
          <w:lang w:val="es-MX"/>
        </w:rPr>
        <w:t xml:space="preserve"> se multiplica el diferencial de ingresos mensual por la cantidad de beneficiarios proyec</w:t>
      </w:r>
      <w:r w:rsidR="001844BB">
        <w:rPr>
          <w:rFonts w:eastAsia="Calibri" w:cs="Arial"/>
          <w:spacing w:val="-3"/>
          <w:lang w:val="es-MX"/>
        </w:rPr>
        <w:t>tados cada año a partir del 2019</w:t>
      </w:r>
      <w:r w:rsidR="00E553BF">
        <w:rPr>
          <w:rFonts w:eastAsia="Calibri" w:cs="Arial"/>
          <w:spacing w:val="-3"/>
          <w:lang w:val="es-MX"/>
        </w:rPr>
        <w:t xml:space="preserve"> </w:t>
      </w:r>
      <w:r w:rsidR="00E553BF" w:rsidRPr="00B2077E">
        <w:rPr>
          <w:rFonts w:eastAsia="Calibri" w:cs="Arial"/>
          <w:spacing w:val="-3"/>
          <w:lang w:val="es-MX"/>
        </w:rPr>
        <w:t>(ver tabla 5.2)</w:t>
      </w:r>
      <w:r w:rsidR="00174E54" w:rsidRPr="00B2077E">
        <w:rPr>
          <w:rFonts w:eastAsia="Calibri" w:cs="Arial"/>
          <w:spacing w:val="-3"/>
          <w:lang w:val="es-MX"/>
        </w:rPr>
        <w:t>, de acuerdo a su</w:t>
      </w:r>
      <w:r w:rsidR="001844BB">
        <w:rPr>
          <w:rFonts w:eastAsia="Calibri" w:cs="Arial"/>
          <w:spacing w:val="-3"/>
          <w:lang w:val="es-MX"/>
        </w:rPr>
        <w:t xml:space="preserve"> edad y</w:t>
      </w:r>
      <w:r w:rsidR="00174E54" w:rsidRPr="00B2077E">
        <w:rPr>
          <w:rFonts w:eastAsia="Calibri" w:cs="Arial"/>
          <w:spacing w:val="-3"/>
          <w:lang w:val="es-MX"/>
        </w:rPr>
        <w:t xml:space="preserve"> nivel educativo alcanzado al final </w:t>
      </w:r>
      <w:r w:rsidRPr="00B2077E">
        <w:rPr>
          <w:rFonts w:eastAsia="Calibri" w:cs="Arial"/>
          <w:spacing w:val="-3"/>
          <w:lang w:val="es-MX"/>
        </w:rPr>
        <w:t xml:space="preserve">de su vida escolar. </w:t>
      </w:r>
      <w:r w:rsidR="00AF1F9C" w:rsidRPr="00B2077E">
        <w:rPr>
          <w:rFonts w:eastAsia="Calibri" w:cs="Arial"/>
          <w:spacing w:val="-3"/>
          <w:lang w:val="es-MX"/>
        </w:rPr>
        <w:t>Finalmente,</w:t>
      </w:r>
      <w:r w:rsidRPr="00B2077E">
        <w:rPr>
          <w:rFonts w:eastAsia="Calibri" w:cs="Arial"/>
          <w:spacing w:val="-3"/>
          <w:lang w:val="es-MX"/>
        </w:rPr>
        <w:t xml:space="preserve"> dicho resultado </w:t>
      </w:r>
      <w:r w:rsidR="00174E54" w:rsidRPr="00B2077E">
        <w:rPr>
          <w:rFonts w:eastAsia="Calibri" w:cs="Arial"/>
          <w:spacing w:val="-3"/>
          <w:lang w:val="es-MX"/>
        </w:rPr>
        <w:t xml:space="preserve">se multiplica por 12 para llevar la cifra a términos anuales y tener los ingresos agregados de </w:t>
      </w:r>
      <w:r w:rsidR="004D381F" w:rsidRPr="00B2077E">
        <w:rPr>
          <w:rFonts w:eastAsia="Calibri" w:cs="Arial"/>
          <w:spacing w:val="-3"/>
          <w:lang w:val="es-MX"/>
        </w:rPr>
        <w:t>las cohortes beneficiadas</w:t>
      </w:r>
      <w:r w:rsidR="00174E54" w:rsidRPr="00B2077E">
        <w:rPr>
          <w:rFonts w:eastAsia="Calibri" w:cs="Arial"/>
          <w:spacing w:val="-3"/>
          <w:lang w:val="es-MX"/>
        </w:rPr>
        <w:t xml:space="preserve"> por el </w:t>
      </w:r>
      <w:r w:rsidR="00C96328" w:rsidRPr="00B2077E">
        <w:rPr>
          <w:rFonts w:eastAsia="Calibri" w:cs="Arial"/>
          <w:spacing w:val="-3"/>
          <w:lang w:val="es-MX"/>
        </w:rPr>
        <w:t>Proyecto en</w:t>
      </w:r>
      <w:r w:rsidR="00174E54" w:rsidRPr="00B2077E">
        <w:rPr>
          <w:rFonts w:eastAsia="Calibri" w:cs="Arial"/>
          <w:spacing w:val="-3"/>
          <w:lang w:val="es-MX"/>
        </w:rPr>
        <w:t xml:space="preserve"> los próximos años</w:t>
      </w:r>
      <w:r w:rsidR="00270093" w:rsidRPr="00B2077E">
        <w:rPr>
          <w:rFonts w:eastAsia="Calibri" w:cs="Arial"/>
          <w:spacing w:val="-3"/>
          <w:lang w:val="es-MX"/>
        </w:rPr>
        <w:t>.</w:t>
      </w:r>
    </w:p>
    <w:p w14:paraId="65042D3C" w14:textId="2E6E4C46" w:rsidR="007340C9" w:rsidRPr="00B2077E" w:rsidRDefault="007340C9" w:rsidP="007340C9">
      <w:pPr>
        <w:pStyle w:val="Paragraph"/>
        <w:tabs>
          <w:tab w:val="clear" w:pos="1579"/>
          <w:tab w:val="num" w:pos="720"/>
          <w:tab w:val="num" w:pos="2016"/>
        </w:tabs>
        <w:spacing w:line="276" w:lineRule="auto"/>
        <w:ind w:left="720" w:hanging="720"/>
        <w:rPr>
          <w:rFonts w:eastAsia="Calibri" w:cs="Arial"/>
          <w:lang w:val="es-MX"/>
        </w:rPr>
      </w:pPr>
      <w:r w:rsidRPr="28D31204">
        <w:rPr>
          <w:rFonts w:eastAsia="Calibri" w:cs="Arial"/>
          <w:lang w:val="es-MX"/>
        </w:rPr>
        <w:t xml:space="preserve">Los resultados de la regresión de </w:t>
      </w:r>
      <w:proofErr w:type="spellStart"/>
      <w:r w:rsidRPr="28D31204">
        <w:rPr>
          <w:rFonts w:eastAsia="Calibri" w:cs="Arial"/>
          <w:lang w:val="es-MX"/>
        </w:rPr>
        <w:t>Mincer</w:t>
      </w:r>
      <w:proofErr w:type="spellEnd"/>
      <w:r w:rsidRPr="28D31204">
        <w:rPr>
          <w:rFonts w:eastAsia="Calibri" w:cs="Arial"/>
          <w:lang w:val="es-MX"/>
        </w:rPr>
        <w:t xml:space="preserve"> son presentados en el Anexo I</w:t>
      </w:r>
      <w:r w:rsidR="00BA6B46">
        <w:rPr>
          <w:rFonts w:eastAsia="Calibri" w:cs="Arial"/>
          <w:lang w:val="es-MX"/>
        </w:rPr>
        <w:t>II</w:t>
      </w:r>
      <w:r w:rsidRPr="28D31204">
        <w:rPr>
          <w:rFonts w:eastAsia="Calibri" w:cs="Arial"/>
          <w:lang w:val="es-MX"/>
        </w:rPr>
        <w:t>. La ecuación de los rendimientos a la educación estimada fue la siguiente.</w:t>
      </w:r>
    </w:p>
    <w:p w14:paraId="2E2D2D73" w14:textId="77777777" w:rsidR="007340C9" w:rsidRPr="002C7E7C" w:rsidRDefault="002B19D2" w:rsidP="007340C9">
      <w:pPr>
        <w:pStyle w:val="Chapter"/>
        <w:numPr>
          <w:ilvl w:val="0"/>
          <w:numId w:val="0"/>
        </w:numPr>
        <w:ind w:left="1728"/>
        <w:jc w:val="both"/>
        <w:rPr>
          <w:rFonts w:ascii="Arial" w:eastAsia="Calibri" w:hAnsi="Arial" w:cs="Arial"/>
          <w:lang w:val="es-MX"/>
        </w:rPr>
      </w:pPr>
      <m:oMathPara>
        <m:oMath>
          <m:sSub>
            <m:sSubPr>
              <m:ctrlPr>
                <w:rPr>
                  <w:rFonts w:ascii="Cambria Math" w:eastAsia="Calibri" w:hAnsi="Cambria Math"/>
                </w:rPr>
              </m:ctrlPr>
            </m:sSubPr>
            <m:e>
              <m:r>
                <m:rPr>
                  <m:sty m:val="bi"/>
                </m:rPr>
                <w:rPr>
                  <w:rFonts w:ascii="Cambria Math" w:eastAsia="Calibri" w:hAnsi="Cambria Math"/>
                </w:rPr>
                <m:t>Ln</m:t>
              </m:r>
              <m:r>
                <m:rPr>
                  <m:sty m:val="b"/>
                </m:rPr>
                <w:rPr>
                  <w:rFonts w:ascii="Cambria Math" w:eastAsia="Calibri" w:hAnsi="Cambria Math"/>
                </w:rPr>
                <m:t>(</m:t>
              </m:r>
              <m:r>
                <m:rPr>
                  <m:sty m:val="bi"/>
                </m:rPr>
                <w:rPr>
                  <w:rFonts w:ascii="Cambria Math" w:eastAsia="Calibri" w:hAnsi="Cambria Math"/>
                </w:rPr>
                <m:t>ingreso</m:t>
              </m:r>
              <m:r>
                <m:rPr>
                  <m:sty m:val="b"/>
                </m:rPr>
                <w:rPr>
                  <w:rFonts w:ascii="Cambria Math" w:eastAsia="Calibri" w:hAnsi="Cambria Math"/>
                </w:rPr>
                <m:t xml:space="preserve"> </m:t>
              </m:r>
              <m:r>
                <m:rPr>
                  <m:sty m:val="bi"/>
                </m:rPr>
                <w:rPr>
                  <w:rFonts w:ascii="Cambria Math" w:eastAsia="Calibri" w:hAnsi="Cambria Math"/>
                </w:rPr>
                <m:t>por</m:t>
              </m:r>
              <m:r>
                <m:rPr>
                  <m:sty m:val="b"/>
                </m:rPr>
                <w:rPr>
                  <w:rFonts w:ascii="Cambria Math" w:eastAsia="Calibri" w:hAnsi="Cambria Math"/>
                </w:rPr>
                <m:t xml:space="preserve"> </m:t>
              </m:r>
              <m:r>
                <m:rPr>
                  <m:sty m:val="bi"/>
                </m:rPr>
                <w:rPr>
                  <w:rFonts w:ascii="Cambria Math" w:eastAsia="Calibri" w:hAnsi="Cambria Math"/>
                </w:rPr>
                <m:t>hora</m:t>
              </m:r>
            </m:e>
            <m:sub>
              <m:r>
                <m:rPr>
                  <m:sty m:val="bi"/>
                </m:rPr>
                <w:rPr>
                  <w:rFonts w:ascii="Cambria Math" w:eastAsia="Calibri" w:hAnsi="Cambria Math"/>
                </w:rPr>
                <m:t>i</m:t>
              </m:r>
            </m:sub>
          </m:sSub>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0</m:t>
              </m:r>
            </m:sub>
          </m:sSub>
          <m:r>
            <m:rPr>
              <m:sty m:val="b"/>
            </m:rPr>
            <w:rPr>
              <w:rFonts w:ascii="Cambria Math" w:eastAsia="Calibri" w:hAnsi="Cambria Math"/>
            </w:rPr>
            <m:t xml:space="preserve">+ </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1</m:t>
              </m:r>
            </m:sub>
          </m:sSub>
          <m:d>
            <m:dPr>
              <m:ctrlPr>
                <w:rPr>
                  <w:rFonts w:ascii="Cambria Math" w:eastAsia="Calibri" w:hAnsi="Cambria Math"/>
                </w:rPr>
              </m:ctrlPr>
            </m:dPr>
            <m:e>
              <m:sSub>
                <m:sSubPr>
                  <m:ctrlPr>
                    <w:rPr>
                      <w:rFonts w:ascii="Cambria Math" w:eastAsia="Calibri" w:hAnsi="Cambria Math"/>
                    </w:rPr>
                  </m:ctrlPr>
                </m:sSubPr>
                <m:e>
                  <m:r>
                    <m:rPr>
                      <m:sty m:val="bi"/>
                    </m:rPr>
                    <w:rPr>
                      <w:rFonts w:ascii="Cambria Math" w:eastAsia="Calibri" w:hAnsi="Cambria Math"/>
                    </w:rPr>
                    <m:t>nivel</m:t>
                  </m:r>
                  <m:r>
                    <m:rPr>
                      <m:sty m:val="b"/>
                    </m:rPr>
                    <w:rPr>
                      <w:rFonts w:ascii="Cambria Math" w:eastAsia="Calibri" w:hAnsi="Cambria Math"/>
                    </w:rPr>
                    <m:t xml:space="preserve"> </m:t>
                  </m:r>
                  <m:r>
                    <m:rPr>
                      <m:sty m:val="bi"/>
                    </m:rPr>
                    <w:rPr>
                      <w:rFonts w:ascii="Cambria Math" w:eastAsia="Calibri" w:hAnsi="Cambria Math"/>
                    </w:rPr>
                    <m:t>educativo</m:t>
                  </m:r>
                </m:e>
                <m:sub>
                  <m:r>
                    <m:rPr>
                      <m:sty m:val="bi"/>
                    </m:rPr>
                    <w:rPr>
                      <w:rFonts w:ascii="Cambria Math" w:eastAsia="Calibri" w:hAnsi="Cambria Math"/>
                    </w:rPr>
                    <m:t>i</m:t>
                  </m:r>
                </m:sub>
              </m:sSub>
            </m:e>
          </m:d>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2</m:t>
              </m:r>
            </m:sub>
          </m:sSub>
          <m:d>
            <m:dPr>
              <m:ctrlPr>
                <w:rPr>
                  <w:rFonts w:ascii="Cambria Math" w:eastAsia="Calibri" w:hAnsi="Cambria Math"/>
                </w:rPr>
              </m:ctrlPr>
            </m:dPr>
            <m:e>
              <m:sSub>
                <m:sSubPr>
                  <m:ctrlPr>
                    <w:rPr>
                      <w:rFonts w:ascii="Cambria Math" w:eastAsia="Calibri" w:hAnsi="Cambria Math"/>
                    </w:rPr>
                  </m:ctrlPr>
                </m:sSubPr>
                <m:e>
                  <m:r>
                    <m:rPr>
                      <m:sty m:val="bi"/>
                    </m:rPr>
                    <w:rPr>
                      <w:rFonts w:ascii="Cambria Math" w:eastAsia="Calibri" w:hAnsi="Cambria Math"/>
                    </w:rPr>
                    <m:t>experiencia</m:t>
                  </m:r>
                </m:e>
                <m:sub>
                  <m:r>
                    <m:rPr>
                      <m:sty m:val="bi"/>
                    </m:rPr>
                    <w:rPr>
                      <w:rFonts w:ascii="Cambria Math" w:eastAsia="Calibri" w:hAnsi="Cambria Math"/>
                    </w:rPr>
                    <m:t>i</m:t>
                  </m:r>
                </m:sub>
              </m:sSub>
            </m:e>
          </m:d>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3</m:t>
              </m:r>
            </m:sub>
          </m:sSub>
          <m:d>
            <m:dPr>
              <m:ctrlPr>
                <w:rPr>
                  <w:rFonts w:ascii="Cambria Math" w:eastAsia="Calibri" w:hAnsi="Cambria Math"/>
                </w:rPr>
              </m:ctrlPr>
            </m:dPr>
            <m:e>
              <m:sSubSup>
                <m:sSubSupPr>
                  <m:ctrlPr>
                    <w:rPr>
                      <w:rFonts w:ascii="Cambria Math" w:eastAsia="Calibri" w:hAnsi="Cambria Math"/>
                    </w:rPr>
                  </m:ctrlPr>
                </m:sSubSupPr>
                <m:e>
                  <m:r>
                    <m:rPr>
                      <m:sty m:val="bi"/>
                    </m:rPr>
                    <w:rPr>
                      <w:rFonts w:ascii="Cambria Math" w:eastAsia="Calibri" w:hAnsi="Cambria Math"/>
                    </w:rPr>
                    <m:t>experiencia</m:t>
                  </m:r>
                </m:e>
                <m:sub>
                  <m:r>
                    <m:rPr>
                      <m:sty m:val="bi"/>
                    </m:rPr>
                    <w:rPr>
                      <w:rFonts w:ascii="Cambria Math" w:eastAsia="Calibri" w:hAnsi="Cambria Math"/>
                    </w:rPr>
                    <m:t>i</m:t>
                  </m:r>
                </m:sub>
                <m:sup>
                  <m:r>
                    <m:rPr>
                      <m:sty m:val="b"/>
                    </m:rPr>
                    <w:rPr>
                      <w:rFonts w:ascii="Cambria Math" w:eastAsia="Calibri" w:hAnsi="Cambria Math"/>
                    </w:rPr>
                    <m:t>2</m:t>
                  </m:r>
                </m:sup>
              </m:sSubSup>
            </m:e>
          </m:d>
          <m:r>
            <m:rPr>
              <m:sty m:val="b"/>
            </m:rPr>
            <w:rPr>
              <w:rFonts w:ascii="Cambria Math" w:eastAsia="Calibri" w:hAnsi="Cambria Math"/>
            </w:rPr>
            <m:t>+</m:t>
          </m:r>
          <m:r>
            <m:rPr>
              <m:sty m:val="bi"/>
            </m:rPr>
            <w:rPr>
              <w:rFonts w:ascii="Cambria Math" w:eastAsia="Calibri" w:hAnsi="Cambria Math"/>
            </w:rPr>
            <m:t>controles</m:t>
          </m:r>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ε</m:t>
              </m:r>
            </m:e>
            <m:sub>
              <m:r>
                <m:rPr>
                  <m:sty m:val="bi"/>
                </m:rPr>
                <w:rPr>
                  <w:rFonts w:ascii="Cambria Math" w:eastAsia="Calibri" w:hAnsi="Cambria Math"/>
                </w:rPr>
                <m:t>i</m:t>
              </m:r>
            </m:sub>
          </m:sSub>
        </m:oMath>
      </m:oMathPara>
    </w:p>
    <w:p w14:paraId="16356088" w14:textId="77777777" w:rsidR="007340C9" w:rsidRDefault="007340C9" w:rsidP="007340C9">
      <w:pPr>
        <w:pStyle w:val="Paragraph"/>
        <w:numPr>
          <w:ilvl w:val="0"/>
          <w:numId w:val="0"/>
        </w:numPr>
        <w:tabs>
          <w:tab w:val="num" w:pos="2088"/>
        </w:tabs>
        <w:spacing w:line="276" w:lineRule="auto"/>
        <w:ind w:left="720"/>
        <w:rPr>
          <w:rFonts w:eastAsia="Calibri" w:cs="Arial"/>
          <w:lang w:val="es-MX"/>
        </w:rPr>
      </w:pPr>
    </w:p>
    <w:p w14:paraId="5A9F497C" w14:textId="77777777" w:rsidR="007340C9" w:rsidRPr="00B2077E" w:rsidRDefault="007340C9" w:rsidP="007340C9">
      <w:pPr>
        <w:pStyle w:val="Paragraph"/>
        <w:numPr>
          <w:ilvl w:val="1"/>
          <w:numId w:val="0"/>
        </w:numPr>
        <w:tabs>
          <w:tab w:val="num" w:pos="2088"/>
        </w:tabs>
        <w:spacing w:line="276" w:lineRule="auto"/>
        <w:ind w:left="720"/>
        <w:jc w:val="center"/>
        <w:rPr>
          <w:rFonts w:eastAsia="Calibri" w:cs="Arial"/>
          <w:lang w:val="es-MX"/>
        </w:rPr>
      </w:pPr>
      <w:r w:rsidRPr="28D31204">
        <w:rPr>
          <w:rFonts w:eastAsia="Calibri" w:cs="Arial"/>
          <w:lang w:val="es-MX"/>
        </w:rPr>
        <w:t>Donde i=1,2,…, n y representa a los trabajadores con ingresos positivos</w:t>
      </w:r>
    </w:p>
    <w:p w14:paraId="2BD2EE91" w14:textId="77777777" w:rsidR="007340C9" w:rsidRDefault="007340C9" w:rsidP="007340C9">
      <w:pPr>
        <w:pStyle w:val="Paragraph"/>
        <w:numPr>
          <w:ilvl w:val="0"/>
          <w:numId w:val="0"/>
        </w:numPr>
        <w:tabs>
          <w:tab w:val="num" w:pos="2088"/>
        </w:tabs>
        <w:spacing w:line="276" w:lineRule="auto"/>
        <w:ind w:left="720"/>
        <w:jc w:val="center"/>
        <w:rPr>
          <w:rFonts w:eastAsia="Calibri" w:cs="Arial"/>
          <w:lang w:val="es-MX"/>
        </w:rPr>
      </w:pPr>
    </w:p>
    <w:p w14:paraId="67B5FB87" w14:textId="77777777" w:rsidR="007340C9" w:rsidRDefault="007340C9" w:rsidP="007340C9">
      <w:pPr>
        <w:pStyle w:val="Paragraph"/>
        <w:numPr>
          <w:ilvl w:val="0"/>
          <w:numId w:val="0"/>
        </w:numPr>
        <w:tabs>
          <w:tab w:val="num" w:pos="2088"/>
        </w:tabs>
        <w:spacing w:line="276" w:lineRule="auto"/>
        <w:ind w:left="720"/>
        <w:rPr>
          <w:rFonts w:eastAsia="Calibri" w:cs="Arial"/>
          <w:lang w:val="es-MX"/>
        </w:rPr>
      </w:pPr>
    </w:p>
    <w:p w14:paraId="50BAF568" w14:textId="77777777" w:rsidR="0072635A" w:rsidRPr="00B2077E" w:rsidRDefault="28D31204" w:rsidP="28D31204">
      <w:pPr>
        <w:pStyle w:val="Paragraph"/>
        <w:numPr>
          <w:ilvl w:val="1"/>
          <w:numId w:val="0"/>
        </w:numPr>
        <w:tabs>
          <w:tab w:val="num" w:pos="2088"/>
        </w:tabs>
        <w:spacing w:after="0" w:line="276" w:lineRule="auto"/>
        <w:ind w:left="284"/>
        <w:rPr>
          <w:rFonts w:eastAsia="Calibri" w:cs="Arial"/>
          <w:b/>
          <w:bCs/>
          <w:sz w:val="20"/>
          <w:szCs w:val="20"/>
          <w:lang w:val="es-MX"/>
        </w:rPr>
      </w:pPr>
      <w:r w:rsidRPr="28D31204">
        <w:rPr>
          <w:rFonts w:eastAsia="Calibri" w:cs="Arial"/>
          <w:b/>
          <w:bCs/>
          <w:sz w:val="20"/>
          <w:szCs w:val="20"/>
          <w:lang w:val="es-MX"/>
        </w:rPr>
        <w:t xml:space="preserve">Tabla 5.1: Resultados estimación </w:t>
      </w:r>
      <w:proofErr w:type="spellStart"/>
      <w:r w:rsidRPr="28D31204">
        <w:rPr>
          <w:rFonts w:eastAsia="Calibri" w:cs="Arial"/>
          <w:b/>
          <w:bCs/>
          <w:sz w:val="20"/>
          <w:szCs w:val="20"/>
          <w:lang w:val="es-MX"/>
        </w:rPr>
        <w:t>Mincer</w:t>
      </w:r>
      <w:proofErr w:type="spellEnd"/>
    </w:p>
    <w:tbl>
      <w:tblPr>
        <w:tblW w:w="0" w:type="auto"/>
        <w:jc w:val="center"/>
        <w:tblLayout w:type="fixed"/>
        <w:tblLook w:val="04A0" w:firstRow="1" w:lastRow="0" w:firstColumn="1" w:lastColumn="0" w:noHBand="0" w:noVBand="1"/>
      </w:tblPr>
      <w:tblGrid>
        <w:gridCol w:w="2689"/>
        <w:gridCol w:w="2126"/>
        <w:gridCol w:w="2268"/>
      </w:tblGrid>
      <w:tr w:rsidR="00DC4473" w:rsidRPr="00B2077E" w14:paraId="6205D0C7" w14:textId="77777777" w:rsidTr="0024789D">
        <w:trPr>
          <w:trHeight w:val="315"/>
          <w:jc w:val="center"/>
        </w:trPr>
        <w:tc>
          <w:tcPr>
            <w:tcW w:w="7083" w:type="dxa"/>
            <w:gridSpan w:val="3"/>
            <w:tcBorders>
              <w:top w:val="single" w:sz="4" w:space="0" w:color="auto"/>
              <w:left w:val="single" w:sz="4" w:space="0" w:color="auto"/>
              <w:bottom w:val="single" w:sz="4" w:space="0" w:color="auto"/>
              <w:right w:val="single" w:sz="4" w:space="0" w:color="000000"/>
            </w:tcBorders>
            <w:shd w:val="clear" w:color="auto" w:fill="F2F2F2"/>
            <w:noWrap/>
            <w:vAlign w:val="bottom"/>
            <w:hideMark/>
          </w:tcPr>
          <w:p w14:paraId="2F657352" w14:textId="77777777" w:rsidR="00DC4473" w:rsidRPr="004D5B21" w:rsidRDefault="28D31204"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RESULTADOS ESTIMACIÓN MINCER</w:t>
            </w:r>
          </w:p>
        </w:tc>
      </w:tr>
      <w:tr w:rsidR="0024789D" w:rsidRPr="00B2077E" w14:paraId="5FB7CCAE" w14:textId="77777777" w:rsidTr="0024789D">
        <w:trPr>
          <w:trHeight w:val="532"/>
          <w:jc w:val="center"/>
        </w:trPr>
        <w:tc>
          <w:tcPr>
            <w:tcW w:w="2689" w:type="dxa"/>
            <w:vMerge w:val="restart"/>
            <w:tcBorders>
              <w:top w:val="nil"/>
              <w:left w:val="single" w:sz="4" w:space="0" w:color="auto"/>
              <w:bottom w:val="single" w:sz="8" w:space="0" w:color="000000"/>
              <w:right w:val="single" w:sz="4" w:space="0" w:color="auto"/>
            </w:tcBorders>
            <w:shd w:val="clear" w:color="auto" w:fill="F2F2F2"/>
            <w:vAlign w:val="center"/>
            <w:hideMark/>
          </w:tcPr>
          <w:p w14:paraId="142740C8" w14:textId="77777777" w:rsidR="0024789D" w:rsidRPr="004D5B21" w:rsidRDefault="0024789D"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NIVEL APROBADO</w:t>
            </w:r>
          </w:p>
        </w:tc>
        <w:tc>
          <w:tcPr>
            <w:tcW w:w="2126" w:type="dxa"/>
            <w:vMerge w:val="restart"/>
            <w:tcBorders>
              <w:top w:val="nil"/>
              <w:left w:val="single" w:sz="4" w:space="0" w:color="auto"/>
              <w:bottom w:val="single" w:sz="8" w:space="0" w:color="000000"/>
              <w:right w:val="single" w:sz="4" w:space="0" w:color="auto"/>
            </w:tcBorders>
            <w:shd w:val="clear" w:color="auto" w:fill="F2F2F2"/>
            <w:vAlign w:val="center"/>
            <w:hideMark/>
          </w:tcPr>
          <w:p w14:paraId="40ECEE01" w14:textId="735E08BD" w:rsidR="0024789D" w:rsidRPr="004D5B21" w:rsidRDefault="0024789D" w:rsidP="007340C9">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SALARIO PROMEDIO MENSUAL (</w:t>
            </w:r>
            <w:r>
              <w:rPr>
                <w:rFonts w:ascii="Arial" w:hAnsi="Arial" w:cs="Arial"/>
                <w:b/>
                <w:bCs/>
                <w:color w:val="000000"/>
                <w:sz w:val="16"/>
                <w:szCs w:val="16"/>
                <w:lang w:eastAsia="en-US"/>
              </w:rPr>
              <w:t>pesos dominicano</w:t>
            </w:r>
            <w:r w:rsidRPr="004D5B21">
              <w:rPr>
                <w:rFonts w:ascii="Arial" w:hAnsi="Arial" w:cs="Arial"/>
                <w:b/>
                <w:bCs/>
                <w:color w:val="000000"/>
                <w:sz w:val="16"/>
                <w:szCs w:val="16"/>
                <w:lang w:eastAsia="en-US"/>
              </w:rPr>
              <w:t xml:space="preserve">, </w:t>
            </w:r>
            <w:r>
              <w:rPr>
                <w:rFonts w:ascii="Arial" w:hAnsi="Arial" w:cs="Arial"/>
                <w:b/>
                <w:bCs/>
                <w:color w:val="000000"/>
                <w:sz w:val="16"/>
                <w:szCs w:val="16"/>
                <w:lang w:eastAsia="en-US"/>
              </w:rPr>
              <w:t>ENFT 2015</w:t>
            </w:r>
            <w:r w:rsidRPr="004D5B21">
              <w:rPr>
                <w:rFonts w:ascii="Arial" w:hAnsi="Arial" w:cs="Arial"/>
                <w:b/>
                <w:bCs/>
                <w:color w:val="000000"/>
                <w:sz w:val="16"/>
                <w:szCs w:val="16"/>
                <w:lang w:eastAsia="en-US"/>
              </w:rPr>
              <w:t>)</w:t>
            </w:r>
          </w:p>
        </w:tc>
        <w:tc>
          <w:tcPr>
            <w:tcW w:w="2268" w:type="dxa"/>
            <w:tcBorders>
              <w:top w:val="nil"/>
              <w:left w:val="single" w:sz="4" w:space="0" w:color="auto"/>
              <w:bottom w:val="nil"/>
              <w:right w:val="single" w:sz="4" w:space="0" w:color="auto"/>
            </w:tcBorders>
            <w:shd w:val="clear" w:color="auto" w:fill="F2F2F2"/>
            <w:vAlign w:val="center"/>
            <w:hideMark/>
          </w:tcPr>
          <w:p w14:paraId="5C7382CA" w14:textId="77777777" w:rsidR="0024789D" w:rsidRPr="004D5B21" w:rsidRDefault="0024789D"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RENDIMIENTO DEL NIVEL EDUCATIVO</w:t>
            </w:r>
          </w:p>
        </w:tc>
      </w:tr>
      <w:tr w:rsidR="0024789D" w:rsidRPr="00B05BC3" w14:paraId="5F6EC929" w14:textId="77777777" w:rsidTr="0024789D">
        <w:trPr>
          <w:trHeight w:val="330"/>
          <w:jc w:val="center"/>
        </w:trPr>
        <w:tc>
          <w:tcPr>
            <w:tcW w:w="2689" w:type="dxa"/>
            <w:vMerge/>
            <w:tcBorders>
              <w:top w:val="nil"/>
              <w:left w:val="single" w:sz="4" w:space="0" w:color="auto"/>
              <w:bottom w:val="single" w:sz="8" w:space="0" w:color="000000"/>
              <w:right w:val="single" w:sz="4" w:space="0" w:color="auto"/>
            </w:tcBorders>
            <w:vAlign w:val="center"/>
            <w:hideMark/>
          </w:tcPr>
          <w:p w14:paraId="29341125" w14:textId="77777777" w:rsidR="0024789D" w:rsidRPr="00B2077E" w:rsidRDefault="0024789D" w:rsidP="00755D57">
            <w:pPr>
              <w:spacing w:before="40" w:after="40"/>
              <w:ind w:left="0" w:firstLine="0"/>
              <w:jc w:val="left"/>
              <w:rPr>
                <w:rFonts w:ascii="Arial" w:hAnsi="Arial" w:cs="Arial"/>
                <w:b/>
                <w:bCs/>
                <w:color w:val="000000"/>
                <w:sz w:val="16"/>
                <w:szCs w:val="16"/>
                <w:lang w:eastAsia="en-US"/>
              </w:rPr>
            </w:pPr>
          </w:p>
        </w:tc>
        <w:tc>
          <w:tcPr>
            <w:tcW w:w="2126" w:type="dxa"/>
            <w:vMerge/>
            <w:tcBorders>
              <w:top w:val="nil"/>
              <w:left w:val="single" w:sz="4" w:space="0" w:color="auto"/>
              <w:bottom w:val="single" w:sz="8" w:space="0" w:color="000000"/>
              <w:right w:val="single" w:sz="4" w:space="0" w:color="auto"/>
            </w:tcBorders>
            <w:vAlign w:val="center"/>
            <w:hideMark/>
          </w:tcPr>
          <w:p w14:paraId="4D827B6D" w14:textId="77777777" w:rsidR="0024789D" w:rsidRPr="00B2077E" w:rsidRDefault="0024789D" w:rsidP="00755D57">
            <w:pPr>
              <w:spacing w:before="40" w:after="40"/>
              <w:ind w:left="0" w:firstLine="0"/>
              <w:jc w:val="left"/>
              <w:rPr>
                <w:rFonts w:ascii="Arial" w:hAnsi="Arial" w:cs="Arial"/>
                <w:b/>
                <w:bCs/>
                <w:color w:val="000000"/>
                <w:sz w:val="16"/>
                <w:szCs w:val="16"/>
                <w:lang w:eastAsia="en-US"/>
              </w:rPr>
            </w:pPr>
          </w:p>
        </w:tc>
        <w:tc>
          <w:tcPr>
            <w:tcW w:w="2268" w:type="dxa"/>
            <w:tcBorders>
              <w:top w:val="nil"/>
              <w:left w:val="nil"/>
              <w:bottom w:val="single" w:sz="8" w:space="0" w:color="auto"/>
              <w:right w:val="single" w:sz="4" w:space="0" w:color="auto"/>
            </w:tcBorders>
            <w:shd w:val="clear" w:color="auto" w:fill="F2F2F2"/>
            <w:vAlign w:val="center"/>
            <w:hideMark/>
          </w:tcPr>
          <w:p w14:paraId="21C5ED46" w14:textId="03DBF27F" w:rsidR="0024789D" w:rsidRPr="004D5B21" w:rsidRDefault="0024789D" w:rsidP="28D31204">
            <w:pPr>
              <w:spacing w:before="40" w:after="40"/>
              <w:ind w:left="0" w:firstLine="0"/>
              <w:jc w:val="center"/>
              <w:rPr>
                <w:rFonts w:ascii="Arial" w:hAnsi="Arial" w:cs="Arial"/>
                <w:b/>
                <w:bCs/>
                <w:color w:val="000000"/>
                <w:sz w:val="16"/>
                <w:szCs w:val="16"/>
                <w:lang w:val="fr-FR" w:eastAsia="en-US"/>
              </w:rPr>
            </w:pPr>
            <w:r>
              <w:rPr>
                <w:rFonts w:ascii="Arial" w:hAnsi="Arial" w:cs="Arial"/>
                <w:b/>
                <w:bCs/>
                <w:color w:val="000000"/>
                <w:sz w:val="16"/>
                <w:szCs w:val="16"/>
                <w:lang w:val="fr-FR" w:eastAsia="en-US"/>
              </w:rPr>
              <w:t>(COEF(X) DE MINCER : EXP(X)</w:t>
            </w:r>
            <w:r w:rsidRPr="004D5B21">
              <w:rPr>
                <w:rFonts w:ascii="Arial" w:hAnsi="Arial" w:cs="Arial"/>
                <w:b/>
                <w:bCs/>
                <w:color w:val="000000"/>
                <w:sz w:val="16"/>
                <w:szCs w:val="16"/>
                <w:lang w:val="fr-FR" w:eastAsia="en-US"/>
              </w:rPr>
              <w:t>)</w:t>
            </w:r>
          </w:p>
        </w:tc>
      </w:tr>
      <w:tr w:rsidR="003F0892" w:rsidRPr="00B2077E" w14:paraId="64EFBB5E" w14:textId="77777777" w:rsidTr="0024789D">
        <w:trPr>
          <w:trHeight w:val="221"/>
          <w:jc w:val="center"/>
        </w:trPr>
        <w:tc>
          <w:tcPr>
            <w:tcW w:w="2689" w:type="dxa"/>
            <w:tcBorders>
              <w:top w:val="single" w:sz="8" w:space="0" w:color="auto"/>
              <w:left w:val="single" w:sz="4" w:space="0" w:color="auto"/>
              <w:bottom w:val="nil"/>
              <w:right w:val="single" w:sz="4" w:space="0" w:color="auto"/>
            </w:tcBorders>
            <w:shd w:val="clear" w:color="auto" w:fill="FFFFFF"/>
            <w:vAlign w:val="center"/>
            <w:hideMark/>
          </w:tcPr>
          <w:p w14:paraId="38281BF0" w14:textId="77777777" w:rsidR="003F0892" w:rsidRPr="004D5B21" w:rsidRDefault="003F0892" w:rsidP="003F0892">
            <w:pPr>
              <w:spacing w:before="40" w:after="40"/>
              <w:ind w:left="0" w:firstLine="0"/>
              <w:jc w:val="left"/>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Ningun</w:t>
            </w:r>
            <w:proofErr w:type="spellEnd"/>
            <w:r w:rsidRPr="004D5B21">
              <w:rPr>
                <w:rFonts w:ascii="Arial" w:hAnsi="Arial" w:cs="Arial"/>
                <w:b/>
                <w:bCs/>
                <w:color w:val="000000"/>
                <w:sz w:val="16"/>
                <w:szCs w:val="16"/>
                <w:lang w:val="en-US" w:eastAsia="en-US"/>
              </w:rPr>
              <w:t xml:space="preserve"> </w:t>
            </w:r>
            <w:proofErr w:type="spellStart"/>
            <w:r w:rsidRPr="004D5B21">
              <w:rPr>
                <w:rFonts w:ascii="Arial" w:hAnsi="Arial" w:cs="Arial"/>
                <w:b/>
                <w:bCs/>
                <w:color w:val="000000"/>
                <w:sz w:val="16"/>
                <w:szCs w:val="16"/>
                <w:lang w:val="en-US" w:eastAsia="en-US"/>
              </w:rPr>
              <w:t>nivel</w:t>
            </w:r>
            <w:proofErr w:type="spellEnd"/>
            <w:r w:rsidRPr="004D5B21">
              <w:rPr>
                <w:rFonts w:ascii="Arial" w:hAnsi="Arial" w:cs="Arial"/>
                <w:b/>
                <w:bCs/>
                <w:color w:val="000000"/>
                <w:sz w:val="16"/>
                <w:szCs w:val="16"/>
                <w:lang w:val="en-US" w:eastAsia="en-US"/>
              </w:rPr>
              <w:t xml:space="preserve"> </w:t>
            </w:r>
            <w:proofErr w:type="spellStart"/>
            <w:r w:rsidRPr="004D5B21">
              <w:rPr>
                <w:rFonts w:ascii="Arial" w:hAnsi="Arial" w:cs="Arial"/>
                <w:b/>
                <w:bCs/>
                <w:color w:val="000000"/>
                <w:sz w:val="16"/>
                <w:szCs w:val="16"/>
                <w:lang w:val="en-US" w:eastAsia="en-US"/>
              </w:rPr>
              <w:t>aprobado</w:t>
            </w:r>
            <w:proofErr w:type="spellEnd"/>
          </w:p>
        </w:tc>
        <w:tc>
          <w:tcPr>
            <w:tcW w:w="2126" w:type="dxa"/>
            <w:tcBorders>
              <w:top w:val="single" w:sz="8" w:space="0" w:color="auto"/>
              <w:left w:val="nil"/>
              <w:bottom w:val="nil"/>
              <w:right w:val="single" w:sz="4" w:space="0" w:color="auto"/>
            </w:tcBorders>
            <w:shd w:val="clear" w:color="auto" w:fill="FFFFFF"/>
            <w:noWrap/>
            <w:vAlign w:val="center"/>
            <w:hideMark/>
          </w:tcPr>
          <w:p w14:paraId="75C48B32" w14:textId="18C1C837" w:rsidR="003F0892" w:rsidRPr="003F0892" w:rsidRDefault="003F0892" w:rsidP="003F0892">
            <w:pPr>
              <w:spacing w:before="40" w:after="40"/>
              <w:ind w:left="0" w:right="594" w:firstLine="0"/>
              <w:jc w:val="right"/>
              <w:rPr>
                <w:rFonts w:ascii="Arial" w:hAnsi="Arial" w:cs="Arial"/>
                <w:color w:val="000000"/>
                <w:sz w:val="16"/>
                <w:szCs w:val="16"/>
                <w:lang w:val="en-US" w:eastAsia="en-US"/>
              </w:rPr>
            </w:pPr>
            <w:r w:rsidRPr="003F0892">
              <w:rPr>
                <w:rFonts w:ascii="Arial" w:hAnsi="Arial" w:cs="Arial"/>
                <w:color w:val="000000"/>
                <w:sz w:val="16"/>
                <w:szCs w:val="16"/>
              </w:rPr>
              <w:t>$</w:t>
            </w:r>
            <w:r>
              <w:rPr>
                <w:rFonts w:ascii="Arial" w:hAnsi="Arial" w:cs="Arial"/>
                <w:color w:val="000000"/>
                <w:sz w:val="16"/>
                <w:szCs w:val="16"/>
              </w:rPr>
              <w:t xml:space="preserve"> </w:t>
            </w:r>
            <w:r w:rsidRPr="003F0892">
              <w:rPr>
                <w:rFonts w:ascii="Arial" w:hAnsi="Arial" w:cs="Arial"/>
                <w:color w:val="000000"/>
                <w:sz w:val="16"/>
                <w:szCs w:val="16"/>
              </w:rPr>
              <w:t xml:space="preserve">3,688 </w:t>
            </w:r>
          </w:p>
        </w:tc>
        <w:tc>
          <w:tcPr>
            <w:tcW w:w="2268" w:type="dxa"/>
            <w:tcBorders>
              <w:top w:val="single" w:sz="8" w:space="0" w:color="auto"/>
              <w:left w:val="nil"/>
              <w:bottom w:val="nil"/>
              <w:right w:val="single" w:sz="4" w:space="0" w:color="auto"/>
            </w:tcBorders>
            <w:shd w:val="clear" w:color="auto" w:fill="FFFFFF"/>
            <w:vAlign w:val="center"/>
            <w:hideMark/>
          </w:tcPr>
          <w:p w14:paraId="101CE22C" w14:textId="77777777" w:rsidR="003F0892" w:rsidRPr="004D5B21" w:rsidRDefault="003F0892" w:rsidP="003F0892">
            <w:pPr>
              <w:spacing w:before="40" w:after="40"/>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 </w:t>
            </w:r>
          </w:p>
        </w:tc>
      </w:tr>
      <w:tr w:rsidR="003F0892" w:rsidRPr="00B2077E" w14:paraId="6C46C52E" w14:textId="77777777" w:rsidTr="0024789D">
        <w:trPr>
          <w:trHeight w:val="135"/>
          <w:jc w:val="center"/>
        </w:trPr>
        <w:tc>
          <w:tcPr>
            <w:tcW w:w="2689" w:type="dxa"/>
            <w:tcBorders>
              <w:top w:val="nil"/>
              <w:left w:val="single" w:sz="4" w:space="0" w:color="auto"/>
              <w:bottom w:val="nil"/>
              <w:right w:val="single" w:sz="4" w:space="0" w:color="auto"/>
            </w:tcBorders>
            <w:shd w:val="clear" w:color="auto" w:fill="FFFFFF"/>
            <w:noWrap/>
            <w:vAlign w:val="center"/>
            <w:hideMark/>
          </w:tcPr>
          <w:p w14:paraId="5BF3E4D5" w14:textId="798224C1" w:rsidR="003F0892" w:rsidRPr="004D5B21" w:rsidRDefault="003F0892" w:rsidP="003F0892">
            <w:pPr>
              <w:spacing w:before="40" w:after="40"/>
              <w:ind w:left="0" w:firstLine="0"/>
              <w:jc w:val="left"/>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Primaria</w:t>
            </w:r>
            <w:proofErr w:type="spellEnd"/>
            <w:r w:rsidRPr="004D5B21">
              <w:rPr>
                <w:rFonts w:ascii="Arial" w:hAnsi="Arial" w:cs="Arial"/>
                <w:b/>
                <w:bCs/>
                <w:color w:val="000000"/>
                <w:sz w:val="16"/>
                <w:szCs w:val="16"/>
                <w:lang w:val="en-US" w:eastAsia="en-US"/>
              </w:rPr>
              <w:t xml:space="preserve"> </w:t>
            </w:r>
            <w:proofErr w:type="spellStart"/>
            <w:r>
              <w:rPr>
                <w:rFonts w:ascii="Arial" w:hAnsi="Arial" w:cs="Arial"/>
                <w:b/>
                <w:bCs/>
                <w:color w:val="000000"/>
                <w:sz w:val="16"/>
                <w:szCs w:val="16"/>
                <w:lang w:val="en-US" w:eastAsia="en-US"/>
              </w:rPr>
              <w:t>in</w:t>
            </w:r>
            <w:r w:rsidRPr="004D5B21">
              <w:rPr>
                <w:rFonts w:ascii="Arial" w:hAnsi="Arial" w:cs="Arial"/>
                <w:b/>
                <w:bCs/>
                <w:color w:val="000000"/>
                <w:sz w:val="16"/>
                <w:szCs w:val="16"/>
                <w:lang w:val="en-US" w:eastAsia="en-US"/>
              </w:rPr>
              <w:t>completa</w:t>
            </w:r>
            <w:proofErr w:type="spellEnd"/>
          </w:p>
        </w:tc>
        <w:tc>
          <w:tcPr>
            <w:tcW w:w="2126" w:type="dxa"/>
            <w:tcBorders>
              <w:top w:val="nil"/>
              <w:left w:val="nil"/>
              <w:bottom w:val="nil"/>
              <w:right w:val="single" w:sz="4" w:space="0" w:color="auto"/>
            </w:tcBorders>
            <w:shd w:val="clear" w:color="auto" w:fill="FFFFFF"/>
            <w:noWrap/>
            <w:vAlign w:val="center"/>
            <w:hideMark/>
          </w:tcPr>
          <w:p w14:paraId="369E977F" w14:textId="45F56E24" w:rsidR="003F0892" w:rsidRPr="003F0892" w:rsidRDefault="003F0892" w:rsidP="003F0892">
            <w:pPr>
              <w:spacing w:before="40" w:after="40"/>
              <w:ind w:left="0" w:right="594" w:firstLine="0"/>
              <w:jc w:val="right"/>
              <w:rPr>
                <w:rFonts w:ascii="Arial" w:hAnsi="Arial" w:cs="Arial"/>
                <w:color w:val="000000"/>
                <w:sz w:val="16"/>
                <w:szCs w:val="16"/>
                <w:lang w:val="en-US" w:eastAsia="en-US"/>
              </w:rPr>
            </w:pPr>
            <w:r w:rsidRPr="003F0892">
              <w:rPr>
                <w:rFonts w:ascii="Arial" w:hAnsi="Arial" w:cs="Arial"/>
                <w:color w:val="000000"/>
                <w:sz w:val="16"/>
                <w:szCs w:val="16"/>
              </w:rPr>
              <w:t>$</w:t>
            </w:r>
            <w:r>
              <w:rPr>
                <w:rFonts w:ascii="Arial" w:hAnsi="Arial" w:cs="Arial"/>
                <w:color w:val="000000"/>
                <w:sz w:val="16"/>
                <w:szCs w:val="16"/>
              </w:rPr>
              <w:t xml:space="preserve"> </w:t>
            </w:r>
            <w:r w:rsidRPr="003F0892">
              <w:rPr>
                <w:rFonts w:ascii="Arial" w:hAnsi="Arial" w:cs="Arial"/>
                <w:color w:val="000000"/>
                <w:sz w:val="16"/>
                <w:szCs w:val="16"/>
              </w:rPr>
              <w:t xml:space="preserve">5,372 </w:t>
            </w:r>
          </w:p>
        </w:tc>
        <w:tc>
          <w:tcPr>
            <w:tcW w:w="2268" w:type="dxa"/>
            <w:tcBorders>
              <w:top w:val="nil"/>
              <w:left w:val="nil"/>
              <w:bottom w:val="nil"/>
              <w:right w:val="single" w:sz="4" w:space="0" w:color="auto"/>
            </w:tcBorders>
            <w:shd w:val="clear" w:color="auto" w:fill="FFFFFF"/>
            <w:noWrap/>
            <w:vAlign w:val="bottom"/>
            <w:hideMark/>
          </w:tcPr>
          <w:p w14:paraId="7D26ADFD" w14:textId="149783F1" w:rsidR="003F0892" w:rsidRPr="00B2077E" w:rsidRDefault="003F0892" w:rsidP="003F0892">
            <w:pPr>
              <w:spacing w:before="40" w:after="40"/>
              <w:ind w:left="0" w:firstLine="0"/>
              <w:jc w:val="center"/>
              <w:rPr>
                <w:rFonts w:ascii="Arial" w:hAnsi="Arial" w:cs="Arial"/>
                <w:sz w:val="16"/>
                <w:szCs w:val="16"/>
              </w:rPr>
            </w:pPr>
            <w:r>
              <w:rPr>
                <w:rFonts w:ascii="Calibri" w:hAnsi="Calibri" w:cs="Calibri"/>
                <w:color w:val="000000"/>
                <w:sz w:val="18"/>
                <w:szCs w:val="18"/>
              </w:rPr>
              <w:t>1.010050</w:t>
            </w:r>
          </w:p>
        </w:tc>
      </w:tr>
      <w:tr w:rsidR="003F0892" w:rsidRPr="00B2077E" w14:paraId="7ADB4B66" w14:textId="77777777" w:rsidTr="0024789D">
        <w:trPr>
          <w:trHeight w:val="223"/>
          <w:jc w:val="center"/>
        </w:trPr>
        <w:tc>
          <w:tcPr>
            <w:tcW w:w="2689" w:type="dxa"/>
            <w:tcBorders>
              <w:top w:val="nil"/>
              <w:left w:val="single" w:sz="4" w:space="0" w:color="auto"/>
              <w:bottom w:val="nil"/>
              <w:right w:val="single" w:sz="4" w:space="0" w:color="auto"/>
            </w:tcBorders>
            <w:shd w:val="clear" w:color="auto" w:fill="FFFFFF"/>
            <w:noWrap/>
            <w:vAlign w:val="center"/>
            <w:hideMark/>
          </w:tcPr>
          <w:p w14:paraId="720753AB" w14:textId="27113410" w:rsidR="003F0892" w:rsidRPr="004D5B21" w:rsidRDefault="003F0892" w:rsidP="003F0892">
            <w:pPr>
              <w:spacing w:before="40" w:after="40"/>
              <w:ind w:left="0" w:firstLine="0"/>
              <w:jc w:val="left"/>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Primaria</w:t>
            </w:r>
            <w:proofErr w:type="spellEnd"/>
            <w:r w:rsidRPr="004D5B21">
              <w:rPr>
                <w:rFonts w:ascii="Arial" w:hAnsi="Arial" w:cs="Arial"/>
                <w:b/>
                <w:bCs/>
                <w:color w:val="000000"/>
                <w:sz w:val="16"/>
                <w:szCs w:val="16"/>
                <w:lang w:val="en-US" w:eastAsia="en-US"/>
              </w:rPr>
              <w:t xml:space="preserve"> </w:t>
            </w:r>
            <w:r>
              <w:rPr>
                <w:rFonts w:ascii="Arial" w:hAnsi="Arial" w:cs="Arial"/>
                <w:b/>
                <w:bCs/>
                <w:color w:val="000000"/>
                <w:sz w:val="16"/>
                <w:szCs w:val="16"/>
                <w:lang w:val="en-US" w:eastAsia="en-US"/>
              </w:rPr>
              <w:t>complete</w:t>
            </w:r>
          </w:p>
        </w:tc>
        <w:tc>
          <w:tcPr>
            <w:tcW w:w="2126" w:type="dxa"/>
            <w:tcBorders>
              <w:top w:val="nil"/>
              <w:left w:val="nil"/>
              <w:bottom w:val="nil"/>
              <w:right w:val="single" w:sz="4" w:space="0" w:color="auto"/>
            </w:tcBorders>
            <w:shd w:val="clear" w:color="auto" w:fill="FFFFFF"/>
            <w:noWrap/>
            <w:vAlign w:val="center"/>
            <w:hideMark/>
          </w:tcPr>
          <w:p w14:paraId="1E21BEEF" w14:textId="3E06344C" w:rsidR="003F0892" w:rsidRPr="003F0892" w:rsidRDefault="003F0892" w:rsidP="003F0892">
            <w:pPr>
              <w:spacing w:before="40" w:after="40"/>
              <w:ind w:left="0" w:right="594" w:firstLine="0"/>
              <w:jc w:val="right"/>
              <w:rPr>
                <w:rFonts w:ascii="Arial" w:hAnsi="Arial" w:cs="Arial"/>
                <w:color w:val="000000"/>
                <w:sz w:val="16"/>
                <w:szCs w:val="16"/>
                <w:lang w:val="en-US" w:eastAsia="en-US"/>
              </w:rPr>
            </w:pPr>
            <w:r w:rsidRPr="003F0892">
              <w:rPr>
                <w:rFonts w:ascii="Arial" w:hAnsi="Arial" w:cs="Arial"/>
                <w:color w:val="000000"/>
                <w:sz w:val="16"/>
                <w:szCs w:val="16"/>
              </w:rPr>
              <w:t>$</w:t>
            </w:r>
            <w:r>
              <w:rPr>
                <w:rFonts w:ascii="Arial" w:hAnsi="Arial" w:cs="Arial"/>
                <w:color w:val="000000"/>
                <w:sz w:val="16"/>
                <w:szCs w:val="16"/>
              </w:rPr>
              <w:t xml:space="preserve"> </w:t>
            </w:r>
            <w:r w:rsidRPr="003F0892">
              <w:rPr>
                <w:rFonts w:ascii="Arial" w:hAnsi="Arial" w:cs="Arial"/>
                <w:color w:val="000000"/>
                <w:sz w:val="16"/>
                <w:szCs w:val="16"/>
              </w:rPr>
              <w:t xml:space="preserve">6,655 </w:t>
            </w:r>
          </w:p>
        </w:tc>
        <w:tc>
          <w:tcPr>
            <w:tcW w:w="2268" w:type="dxa"/>
            <w:tcBorders>
              <w:top w:val="nil"/>
              <w:left w:val="nil"/>
              <w:bottom w:val="nil"/>
              <w:right w:val="single" w:sz="4" w:space="0" w:color="auto"/>
            </w:tcBorders>
            <w:shd w:val="clear" w:color="auto" w:fill="FFFFFF"/>
            <w:noWrap/>
            <w:vAlign w:val="bottom"/>
            <w:hideMark/>
          </w:tcPr>
          <w:p w14:paraId="0FA69B63" w14:textId="0131670D" w:rsidR="003F0892" w:rsidRPr="00B2077E" w:rsidRDefault="003F0892" w:rsidP="003F0892">
            <w:pPr>
              <w:spacing w:before="40" w:after="40"/>
              <w:ind w:left="0" w:firstLine="0"/>
              <w:jc w:val="center"/>
              <w:rPr>
                <w:rFonts w:ascii="Arial" w:hAnsi="Arial" w:cs="Arial"/>
                <w:sz w:val="16"/>
                <w:szCs w:val="16"/>
              </w:rPr>
            </w:pPr>
            <w:r>
              <w:rPr>
                <w:rFonts w:ascii="Calibri" w:hAnsi="Calibri" w:cs="Calibri"/>
                <w:color w:val="000000"/>
                <w:sz w:val="18"/>
                <w:szCs w:val="18"/>
              </w:rPr>
              <w:t>1.173511</w:t>
            </w:r>
          </w:p>
        </w:tc>
      </w:tr>
      <w:tr w:rsidR="003F0892" w:rsidRPr="00B2077E" w14:paraId="5CC30AEE" w14:textId="77777777" w:rsidTr="0024789D">
        <w:trPr>
          <w:trHeight w:val="283"/>
          <w:jc w:val="center"/>
        </w:trPr>
        <w:tc>
          <w:tcPr>
            <w:tcW w:w="2689" w:type="dxa"/>
            <w:tcBorders>
              <w:top w:val="nil"/>
              <w:left w:val="single" w:sz="4" w:space="0" w:color="auto"/>
              <w:bottom w:val="nil"/>
              <w:right w:val="single" w:sz="4" w:space="0" w:color="auto"/>
            </w:tcBorders>
            <w:shd w:val="clear" w:color="auto" w:fill="FFFFFF"/>
            <w:noWrap/>
            <w:vAlign w:val="center"/>
            <w:hideMark/>
          </w:tcPr>
          <w:p w14:paraId="49E88556" w14:textId="5A0708C0" w:rsidR="003F0892" w:rsidRPr="004D5B21" w:rsidRDefault="003F0892" w:rsidP="003F0892">
            <w:pPr>
              <w:spacing w:before="40" w:after="40"/>
              <w:ind w:left="0" w:firstLine="0"/>
              <w:jc w:val="left"/>
              <w:rPr>
                <w:rFonts w:ascii="Arial" w:hAnsi="Arial" w:cs="Arial"/>
                <w:b/>
                <w:bCs/>
                <w:color w:val="000000"/>
                <w:sz w:val="16"/>
                <w:szCs w:val="16"/>
                <w:lang w:val="en-US" w:eastAsia="en-US"/>
              </w:rPr>
            </w:pPr>
            <w:proofErr w:type="spellStart"/>
            <w:r>
              <w:rPr>
                <w:rFonts w:ascii="Arial" w:hAnsi="Arial" w:cs="Arial"/>
                <w:b/>
                <w:bCs/>
                <w:color w:val="000000"/>
                <w:sz w:val="16"/>
                <w:szCs w:val="16"/>
                <w:lang w:val="en-US" w:eastAsia="en-US"/>
              </w:rPr>
              <w:t>Secundaria</w:t>
            </w:r>
            <w:proofErr w:type="spellEnd"/>
            <w:r>
              <w:rPr>
                <w:rFonts w:ascii="Arial" w:hAnsi="Arial" w:cs="Arial"/>
                <w:b/>
                <w:bCs/>
                <w:color w:val="000000"/>
                <w:sz w:val="16"/>
                <w:szCs w:val="16"/>
                <w:lang w:val="en-US" w:eastAsia="en-US"/>
              </w:rPr>
              <w:t xml:space="preserve"> </w:t>
            </w:r>
            <w:proofErr w:type="spellStart"/>
            <w:r>
              <w:rPr>
                <w:rFonts w:ascii="Arial" w:hAnsi="Arial" w:cs="Arial"/>
                <w:b/>
                <w:bCs/>
                <w:color w:val="000000"/>
                <w:sz w:val="16"/>
                <w:szCs w:val="16"/>
                <w:lang w:val="en-US" w:eastAsia="en-US"/>
              </w:rPr>
              <w:t>in</w:t>
            </w:r>
            <w:r w:rsidRPr="004D5B21">
              <w:rPr>
                <w:rFonts w:ascii="Arial" w:hAnsi="Arial" w:cs="Arial"/>
                <w:b/>
                <w:bCs/>
                <w:color w:val="000000"/>
                <w:sz w:val="16"/>
                <w:szCs w:val="16"/>
                <w:lang w:val="en-US" w:eastAsia="en-US"/>
              </w:rPr>
              <w:t>completa</w:t>
            </w:r>
            <w:proofErr w:type="spellEnd"/>
          </w:p>
        </w:tc>
        <w:tc>
          <w:tcPr>
            <w:tcW w:w="2126" w:type="dxa"/>
            <w:tcBorders>
              <w:top w:val="nil"/>
              <w:left w:val="nil"/>
              <w:bottom w:val="nil"/>
              <w:right w:val="single" w:sz="4" w:space="0" w:color="auto"/>
            </w:tcBorders>
            <w:shd w:val="clear" w:color="auto" w:fill="FFFFFF"/>
            <w:noWrap/>
            <w:vAlign w:val="center"/>
            <w:hideMark/>
          </w:tcPr>
          <w:p w14:paraId="785002B0" w14:textId="1415DDA5" w:rsidR="003F0892" w:rsidRPr="003F0892" w:rsidRDefault="003F0892" w:rsidP="003F0892">
            <w:pPr>
              <w:spacing w:before="40" w:after="40"/>
              <w:ind w:left="0" w:right="594" w:firstLine="0"/>
              <w:jc w:val="right"/>
              <w:rPr>
                <w:rFonts w:ascii="Arial" w:hAnsi="Arial" w:cs="Arial"/>
                <w:color w:val="000000"/>
                <w:sz w:val="16"/>
                <w:szCs w:val="16"/>
                <w:lang w:val="en-US" w:eastAsia="en-US"/>
              </w:rPr>
            </w:pPr>
            <w:r w:rsidRPr="003F0892">
              <w:rPr>
                <w:rFonts w:ascii="Arial" w:hAnsi="Arial" w:cs="Arial"/>
                <w:color w:val="000000"/>
                <w:sz w:val="16"/>
                <w:szCs w:val="16"/>
              </w:rPr>
              <w:t>$</w:t>
            </w:r>
            <w:r>
              <w:rPr>
                <w:rFonts w:ascii="Arial" w:hAnsi="Arial" w:cs="Arial"/>
                <w:color w:val="000000"/>
                <w:sz w:val="16"/>
                <w:szCs w:val="16"/>
              </w:rPr>
              <w:t xml:space="preserve"> </w:t>
            </w:r>
            <w:r w:rsidRPr="003F0892">
              <w:rPr>
                <w:rFonts w:ascii="Arial" w:hAnsi="Arial" w:cs="Arial"/>
                <w:color w:val="000000"/>
                <w:sz w:val="16"/>
                <w:szCs w:val="16"/>
              </w:rPr>
              <w:t xml:space="preserve">5,312 </w:t>
            </w:r>
          </w:p>
        </w:tc>
        <w:tc>
          <w:tcPr>
            <w:tcW w:w="2268" w:type="dxa"/>
            <w:tcBorders>
              <w:top w:val="nil"/>
              <w:left w:val="nil"/>
              <w:bottom w:val="nil"/>
              <w:right w:val="single" w:sz="4" w:space="0" w:color="auto"/>
            </w:tcBorders>
            <w:shd w:val="clear" w:color="auto" w:fill="FFFFFF"/>
            <w:noWrap/>
            <w:vAlign w:val="bottom"/>
            <w:hideMark/>
          </w:tcPr>
          <w:p w14:paraId="308420F6" w14:textId="5E723C9A" w:rsidR="003F0892" w:rsidRPr="00B2077E" w:rsidRDefault="003F0892" w:rsidP="003F0892">
            <w:pPr>
              <w:spacing w:before="40" w:after="40"/>
              <w:ind w:left="0" w:firstLine="0"/>
              <w:jc w:val="center"/>
              <w:rPr>
                <w:rFonts w:ascii="Arial" w:hAnsi="Arial" w:cs="Arial"/>
                <w:sz w:val="16"/>
                <w:szCs w:val="16"/>
              </w:rPr>
            </w:pPr>
            <w:r>
              <w:rPr>
                <w:rFonts w:ascii="Calibri" w:hAnsi="Calibri" w:cs="Calibri"/>
                <w:color w:val="000000"/>
                <w:sz w:val="18"/>
                <w:szCs w:val="18"/>
              </w:rPr>
              <w:t>0.980199</w:t>
            </w:r>
          </w:p>
        </w:tc>
      </w:tr>
      <w:tr w:rsidR="003F0892" w:rsidRPr="00B2077E" w14:paraId="1396469E" w14:textId="77777777" w:rsidTr="0024789D">
        <w:trPr>
          <w:trHeight w:val="283"/>
          <w:jc w:val="center"/>
        </w:trPr>
        <w:tc>
          <w:tcPr>
            <w:tcW w:w="2689" w:type="dxa"/>
            <w:tcBorders>
              <w:top w:val="nil"/>
              <w:left w:val="single" w:sz="4" w:space="0" w:color="auto"/>
              <w:bottom w:val="nil"/>
              <w:right w:val="single" w:sz="4" w:space="0" w:color="auto"/>
            </w:tcBorders>
            <w:shd w:val="clear" w:color="auto" w:fill="FFFFFF"/>
            <w:noWrap/>
            <w:vAlign w:val="center"/>
          </w:tcPr>
          <w:p w14:paraId="41873489" w14:textId="0F40DE34" w:rsidR="003F0892" w:rsidRPr="004D5B21" w:rsidRDefault="003F0892" w:rsidP="003F0892">
            <w:pPr>
              <w:spacing w:before="40" w:after="40"/>
              <w:ind w:left="0" w:firstLine="0"/>
              <w:jc w:val="left"/>
              <w:rPr>
                <w:rFonts w:ascii="Arial" w:hAnsi="Arial" w:cs="Arial"/>
                <w:b/>
                <w:bCs/>
                <w:color w:val="000000"/>
                <w:sz w:val="16"/>
                <w:szCs w:val="16"/>
                <w:lang w:eastAsia="en-US"/>
              </w:rPr>
            </w:pPr>
            <w:proofErr w:type="spellStart"/>
            <w:r>
              <w:rPr>
                <w:rFonts w:ascii="Arial" w:hAnsi="Arial" w:cs="Arial"/>
                <w:b/>
                <w:bCs/>
                <w:color w:val="000000"/>
                <w:sz w:val="16"/>
                <w:szCs w:val="16"/>
                <w:lang w:val="en-US" w:eastAsia="en-US"/>
              </w:rPr>
              <w:t>Secundaria</w:t>
            </w:r>
            <w:proofErr w:type="spellEnd"/>
            <w:r>
              <w:rPr>
                <w:rFonts w:ascii="Arial" w:hAnsi="Arial" w:cs="Arial"/>
                <w:b/>
                <w:bCs/>
                <w:color w:val="000000"/>
                <w:sz w:val="16"/>
                <w:szCs w:val="16"/>
                <w:lang w:val="en-US" w:eastAsia="en-US"/>
              </w:rPr>
              <w:t xml:space="preserve"> </w:t>
            </w:r>
            <w:proofErr w:type="spellStart"/>
            <w:r w:rsidRPr="004D5B21">
              <w:rPr>
                <w:rFonts w:ascii="Arial" w:hAnsi="Arial" w:cs="Arial"/>
                <w:b/>
                <w:bCs/>
                <w:color w:val="000000"/>
                <w:sz w:val="16"/>
                <w:szCs w:val="16"/>
                <w:lang w:val="en-US" w:eastAsia="en-US"/>
              </w:rPr>
              <w:t>completa</w:t>
            </w:r>
            <w:proofErr w:type="spellEnd"/>
          </w:p>
        </w:tc>
        <w:tc>
          <w:tcPr>
            <w:tcW w:w="2126" w:type="dxa"/>
            <w:tcBorders>
              <w:top w:val="nil"/>
              <w:left w:val="nil"/>
              <w:bottom w:val="nil"/>
              <w:right w:val="single" w:sz="4" w:space="0" w:color="auto"/>
            </w:tcBorders>
            <w:shd w:val="clear" w:color="auto" w:fill="FFFFFF"/>
            <w:noWrap/>
            <w:vAlign w:val="center"/>
          </w:tcPr>
          <w:p w14:paraId="7AF75112" w14:textId="554EC141" w:rsidR="003F0892" w:rsidRPr="003F0892" w:rsidRDefault="003F0892" w:rsidP="003F0892">
            <w:pPr>
              <w:spacing w:before="40" w:after="40"/>
              <w:ind w:left="0" w:right="594" w:firstLine="0"/>
              <w:jc w:val="right"/>
              <w:rPr>
                <w:rFonts w:ascii="Arial" w:hAnsi="Arial" w:cs="Arial"/>
                <w:color w:val="000000"/>
                <w:sz w:val="16"/>
                <w:szCs w:val="16"/>
                <w:lang w:eastAsia="en-US"/>
              </w:rPr>
            </w:pPr>
            <w:r w:rsidRPr="003F0892">
              <w:rPr>
                <w:rFonts w:ascii="Arial" w:hAnsi="Arial" w:cs="Arial"/>
                <w:color w:val="000000"/>
                <w:sz w:val="16"/>
                <w:szCs w:val="16"/>
              </w:rPr>
              <w:t>$</w:t>
            </w:r>
            <w:r>
              <w:rPr>
                <w:rFonts w:ascii="Arial" w:hAnsi="Arial" w:cs="Arial"/>
                <w:color w:val="000000"/>
                <w:sz w:val="16"/>
                <w:szCs w:val="16"/>
              </w:rPr>
              <w:t xml:space="preserve"> </w:t>
            </w:r>
            <w:r w:rsidRPr="003F0892">
              <w:rPr>
                <w:rFonts w:ascii="Arial" w:hAnsi="Arial" w:cs="Arial"/>
                <w:color w:val="000000"/>
                <w:sz w:val="16"/>
                <w:szCs w:val="16"/>
              </w:rPr>
              <w:t xml:space="preserve">8,231 </w:t>
            </w:r>
          </w:p>
        </w:tc>
        <w:tc>
          <w:tcPr>
            <w:tcW w:w="2268" w:type="dxa"/>
            <w:tcBorders>
              <w:top w:val="nil"/>
              <w:left w:val="nil"/>
              <w:bottom w:val="nil"/>
              <w:right w:val="single" w:sz="4" w:space="0" w:color="auto"/>
            </w:tcBorders>
            <w:shd w:val="clear" w:color="auto" w:fill="FFFFFF"/>
            <w:noWrap/>
            <w:vAlign w:val="bottom"/>
          </w:tcPr>
          <w:p w14:paraId="7CEE0F8E" w14:textId="13093027" w:rsidR="003F0892" w:rsidRPr="00B2077E" w:rsidRDefault="003F0892" w:rsidP="003F0892">
            <w:pPr>
              <w:spacing w:before="40" w:after="40"/>
              <w:ind w:left="0" w:firstLine="0"/>
              <w:jc w:val="center"/>
              <w:rPr>
                <w:rFonts w:ascii="Arial" w:hAnsi="Arial" w:cs="Arial"/>
                <w:sz w:val="16"/>
                <w:szCs w:val="16"/>
              </w:rPr>
            </w:pPr>
            <w:r>
              <w:rPr>
                <w:rFonts w:ascii="Calibri" w:hAnsi="Calibri" w:cs="Calibri"/>
                <w:color w:val="000000"/>
                <w:sz w:val="18"/>
                <w:szCs w:val="18"/>
              </w:rPr>
              <w:t>1.323130</w:t>
            </w:r>
          </w:p>
        </w:tc>
      </w:tr>
      <w:tr w:rsidR="003F0892" w:rsidRPr="00B2077E" w14:paraId="4EB3EDC8" w14:textId="77777777" w:rsidTr="0024789D">
        <w:trPr>
          <w:trHeight w:val="283"/>
          <w:jc w:val="center"/>
        </w:trPr>
        <w:tc>
          <w:tcPr>
            <w:tcW w:w="2689" w:type="dxa"/>
            <w:tcBorders>
              <w:top w:val="nil"/>
              <w:left w:val="single" w:sz="4" w:space="0" w:color="auto"/>
              <w:bottom w:val="nil"/>
              <w:right w:val="single" w:sz="4" w:space="0" w:color="auto"/>
            </w:tcBorders>
            <w:shd w:val="clear" w:color="auto" w:fill="FFFFFF"/>
            <w:noWrap/>
            <w:vAlign w:val="center"/>
          </w:tcPr>
          <w:p w14:paraId="302C2DCB" w14:textId="48341C82" w:rsidR="003F0892" w:rsidRDefault="003F0892" w:rsidP="003F0892">
            <w:pPr>
              <w:spacing w:before="40" w:after="40"/>
              <w:ind w:left="0" w:firstLine="0"/>
              <w:jc w:val="left"/>
              <w:rPr>
                <w:rFonts w:ascii="Arial" w:hAnsi="Arial" w:cs="Arial"/>
                <w:b/>
                <w:bCs/>
                <w:color w:val="000000"/>
                <w:sz w:val="16"/>
                <w:szCs w:val="16"/>
                <w:lang w:val="en-US" w:eastAsia="en-US"/>
              </w:rPr>
            </w:pPr>
            <w:r>
              <w:rPr>
                <w:rFonts w:ascii="Arial" w:hAnsi="Arial" w:cs="Arial"/>
                <w:b/>
                <w:bCs/>
                <w:color w:val="000000"/>
                <w:sz w:val="16"/>
                <w:szCs w:val="16"/>
                <w:lang w:val="en-US" w:eastAsia="en-US"/>
              </w:rPr>
              <w:t xml:space="preserve">Universidad </w:t>
            </w:r>
            <w:proofErr w:type="spellStart"/>
            <w:r>
              <w:rPr>
                <w:rFonts w:ascii="Arial" w:hAnsi="Arial" w:cs="Arial"/>
                <w:b/>
                <w:bCs/>
                <w:color w:val="000000"/>
                <w:sz w:val="16"/>
                <w:szCs w:val="16"/>
                <w:lang w:val="en-US" w:eastAsia="en-US"/>
              </w:rPr>
              <w:t>incompleta</w:t>
            </w:r>
            <w:proofErr w:type="spellEnd"/>
          </w:p>
        </w:tc>
        <w:tc>
          <w:tcPr>
            <w:tcW w:w="2126" w:type="dxa"/>
            <w:tcBorders>
              <w:top w:val="nil"/>
              <w:left w:val="nil"/>
              <w:bottom w:val="nil"/>
              <w:right w:val="single" w:sz="4" w:space="0" w:color="auto"/>
            </w:tcBorders>
            <w:shd w:val="clear" w:color="auto" w:fill="FFFFFF"/>
            <w:noWrap/>
            <w:vAlign w:val="center"/>
          </w:tcPr>
          <w:p w14:paraId="29E58A5B" w14:textId="263E3BCC" w:rsidR="003F0892" w:rsidRPr="003F0892" w:rsidRDefault="003F0892" w:rsidP="003F0892">
            <w:pPr>
              <w:spacing w:before="40" w:after="40"/>
              <w:ind w:left="0" w:right="594" w:firstLine="0"/>
              <w:jc w:val="right"/>
              <w:rPr>
                <w:rFonts w:ascii="Arial" w:hAnsi="Arial" w:cs="Arial"/>
                <w:color w:val="000000"/>
                <w:sz w:val="16"/>
                <w:szCs w:val="16"/>
                <w:lang w:val="en-US" w:eastAsia="en-US"/>
              </w:rPr>
            </w:pPr>
            <w:r w:rsidRPr="003F0892">
              <w:rPr>
                <w:rFonts w:ascii="Arial" w:hAnsi="Arial" w:cs="Arial"/>
                <w:color w:val="000000"/>
                <w:sz w:val="16"/>
                <w:szCs w:val="16"/>
              </w:rPr>
              <w:t>$</w:t>
            </w:r>
            <w:r>
              <w:rPr>
                <w:rFonts w:ascii="Arial" w:hAnsi="Arial" w:cs="Arial"/>
                <w:color w:val="000000"/>
                <w:sz w:val="16"/>
                <w:szCs w:val="16"/>
              </w:rPr>
              <w:t xml:space="preserve"> </w:t>
            </w:r>
            <w:r w:rsidRPr="003F0892">
              <w:rPr>
                <w:rFonts w:ascii="Arial" w:hAnsi="Arial" w:cs="Arial"/>
                <w:color w:val="000000"/>
                <w:sz w:val="16"/>
                <w:szCs w:val="16"/>
              </w:rPr>
              <w:t xml:space="preserve">8,568 </w:t>
            </w:r>
          </w:p>
        </w:tc>
        <w:tc>
          <w:tcPr>
            <w:tcW w:w="2268" w:type="dxa"/>
            <w:tcBorders>
              <w:top w:val="nil"/>
              <w:left w:val="nil"/>
              <w:bottom w:val="nil"/>
              <w:right w:val="single" w:sz="4" w:space="0" w:color="auto"/>
            </w:tcBorders>
            <w:shd w:val="clear" w:color="auto" w:fill="FFFFFF"/>
            <w:noWrap/>
            <w:vAlign w:val="bottom"/>
          </w:tcPr>
          <w:p w14:paraId="65F99514" w14:textId="62890F6C" w:rsidR="003F0892" w:rsidRPr="28D31204" w:rsidRDefault="003F0892" w:rsidP="003F0892">
            <w:pPr>
              <w:spacing w:before="40" w:after="40"/>
              <w:ind w:left="0" w:firstLine="0"/>
              <w:jc w:val="center"/>
              <w:rPr>
                <w:rFonts w:ascii="Arial" w:hAnsi="Arial" w:cs="Arial"/>
                <w:sz w:val="16"/>
                <w:szCs w:val="16"/>
              </w:rPr>
            </w:pPr>
            <w:r>
              <w:rPr>
                <w:rFonts w:ascii="Calibri" w:hAnsi="Calibri" w:cs="Calibri"/>
                <w:color w:val="000000"/>
                <w:sz w:val="18"/>
                <w:szCs w:val="18"/>
              </w:rPr>
              <w:t>1.221403</w:t>
            </w:r>
          </w:p>
        </w:tc>
      </w:tr>
      <w:tr w:rsidR="003F0892" w:rsidRPr="00B2077E" w14:paraId="508585A9" w14:textId="77777777" w:rsidTr="0024789D">
        <w:trPr>
          <w:trHeight w:val="287"/>
          <w:jc w:val="center"/>
        </w:trPr>
        <w:tc>
          <w:tcPr>
            <w:tcW w:w="2689" w:type="dxa"/>
            <w:tcBorders>
              <w:top w:val="nil"/>
              <w:left w:val="single" w:sz="4" w:space="0" w:color="auto"/>
              <w:bottom w:val="single" w:sz="8" w:space="0" w:color="auto"/>
              <w:right w:val="single" w:sz="4" w:space="0" w:color="auto"/>
            </w:tcBorders>
            <w:shd w:val="clear" w:color="auto" w:fill="FFFFFF"/>
            <w:noWrap/>
            <w:vAlign w:val="center"/>
            <w:hideMark/>
          </w:tcPr>
          <w:p w14:paraId="071FE847" w14:textId="46F34756" w:rsidR="003F0892" w:rsidRPr="004D5B21" w:rsidRDefault="003F0892" w:rsidP="003F0892">
            <w:pPr>
              <w:spacing w:before="40" w:after="40"/>
              <w:ind w:left="0" w:firstLine="0"/>
              <w:jc w:val="left"/>
              <w:rPr>
                <w:rFonts w:ascii="Arial" w:hAnsi="Arial" w:cs="Arial"/>
                <w:b/>
                <w:bCs/>
                <w:color w:val="000000"/>
                <w:sz w:val="16"/>
                <w:szCs w:val="16"/>
                <w:lang w:eastAsia="en-US"/>
              </w:rPr>
            </w:pPr>
            <w:r>
              <w:rPr>
                <w:rFonts w:ascii="Arial" w:hAnsi="Arial" w:cs="Arial"/>
                <w:b/>
                <w:bCs/>
                <w:color w:val="000000"/>
                <w:sz w:val="16"/>
                <w:szCs w:val="16"/>
                <w:lang w:val="en-US" w:eastAsia="en-US"/>
              </w:rPr>
              <w:t xml:space="preserve">Universidad </w:t>
            </w:r>
            <w:proofErr w:type="spellStart"/>
            <w:r>
              <w:rPr>
                <w:rFonts w:ascii="Arial" w:hAnsi="Arial" w:cs="Arial"/>
                <w:b/>
                <w:bCs/>
                <w:color w:val="000000"/>
                <w:sz w:val="16"/>
                <w:szCs w:val="16"/>
                <w:lang w:val="en-US" w:eastAsia="en-US"/>
              </w:rPr>
              <w:t>completa</w:t>
            </w:r>
            <w:proofErr w:type="spellEnd"/>
          </w:p>
        </w:tc>
        <w:tc>
          <w:tcPr>
            <w:tcW w:w="2126" w:type="dxa"/>
            <w:tcBorders>
              <w:top w:val="nil"/>
              <w:left w:val="nil"/>
              <w:bottom w:val="single" w:sz="8" w:space="0" w:color="auto"/>
              <w:right w:val="single" w:sz="4" w:space="0" w:color="auto"/>
            </w:tcBorders>
            <w:shd w:val="clear" w:color="auto" w:fill="FFFFFF"/>
            <w:noWrap/>
            <w:vAlign w:val="center"/>
            <w:hideMark/>
          </w:tcPr>
          <w:p w14:paraId="6E1EAD34" w14:textId="13CE3E87" w:rsidR="003F0892" w:rsidRPr="003F0892" w:rsidRDefault="003F0892" w:rsidP="003F0892">
            <w:pPr>
              <w:spacing w:before="40" w:after="40"/>
              <w:ind w:left="0" w:right="594" w:firstLine="0"/>
              <w:jc w:val="right"/>
              <w:rPr>
                <w:rFonts w:ascii="Arial" w:hAnsi="Arial" w:cs="Arial"/>
                <w:color w:val="000000"/>
                <w:sz w:val="16"/>
                <w:szCs w:val="16"/>
                <w:lang w:eastAsia="en-US"/>
              </w:rPr>
            </w:pPr>
            <w:r w:rsidRPr="003F0892">
              <w:rPr>
                <w:rFonts w:ascii="Arial" w:hAnsi="Arial" w:cs="Arial"/>
                <w:color w:val="000000"/>
                <w:sz w:val="16"/>
                <w:szCs w:val="16"/>
              </w:rPr>
              <w:t>$</w:t>
            </w:r>
            <w:r>
              <w:rPr>
                <w:rFonts w:ascii="Arial" w:hAnsi="Arial" w:cs="Arial"/>
                <w:color w:val="000000"/>
                <w:sz w:val="16"/>
                <w:szCs w:val="16"/>
              </w:rPr>
              <w:t xml:space="preserve"> </w:t>
            </w:r>
            <w:r w:rsidRPr="003F0892">
              <w:rPr>
                <w:rFonts w:ascii="Arial" w:hAnsi="Arial" w:cs="Arial"/>
                <w:color w:val="000000"/>
                <w:sz w:val="16"/>
                <w:szCs w:val="16"/>
              </w:rPr>
              <w:t xml:space="preserve">30,672 </w:t>
            </w:r>
          </w:p>
        </w:tc>
        <w:tc>
          <w:tcPr>
            <w:tcW w:w="2268" w:type="dxa"/>
            <w:tcBorders>
              <w:top w:val="nil"/>
              <w:left w:val="nil"/>
              <w:bottom w:val="single" w:sz="8" w:space="0" w:color="auto"/>
              <w:right w:val="single" w:sz="4" w:space="0" w:color="auto"/>
            </w:tcBorders>
            <w:shd w:val="clear" w:color="auto" w:fill="FFFFFF"/>
            <w:noWrap/>
            <w:vAlign w:val="bottom"/>
            <w:hideMark/>
          </w:tcPr>
          <w:p w14:paraId="29E793AF" w14:textId="06E32590" w:rsidR="003F0892" w:rsidRPr="00B2077E" w:rsidRDefault="003F0892" w:rsidP="003F0892">
            <w:pPr>
              <w:spacing w:before="40" w:after="40"/>
              <w:ind w:left="0" w:firstLine="0"/>
              <w:jc w:val="center"/>
              <w:rPr>
                <w:rFonts w:ascii="Arial" w:hAnsi="Arial" w:cs="Arial"/>
                <w:sz w:val="16"/>
                <w:szCs w:val="16"/>
              </w:rPr>
            </w:pPr>
            <w:r>
              <w:rPr>
                <w:rFonts w:ascii="Calibri" w:hAnsi="Calibri" w:cs="Calibri"/>
                <w:color w:val="000000"/>
                <w:sz w:val="18"/>
                <w:szCs w:val="18"/>
              </w:rPr>
              <w:t>2.054433</w:t>
            </w:r>
          </w:p>
        </w:tc>
      </w:tr>
      <w:tr w:rsidR="000A7112" w:rsidRPr="00B2077E" w14:paraId="0E7D2CC4" w14:textId="77777777" w:rsidTr="000A7112">
        <w:trPr>
          <w:trHeight w:val="315"/>
          <w:jc w:val="center"/>
        </w:trPr>
        <w:tc>
          <w:tcPr>
            <w:tcW w:w="7083" w:type="dxa"/>
            <w:gridSpan w:val="3"/>
            <w:tcBorders>
              <w:top w:val="nil"/>
              <w:left w:val="nil"/>
              <w:bottom w:val="nil"/>
              <w:right w:val="nil"/>
            </w:tcBorders>
            <w:shd w:val="clear" w:color="auto" w:fill="FFFFFF"/>
            <w:noWrap/>
            <w:vAlign w:val="center"/>
            <w:hideMark/>
          </w:tcPr>
          <w:p w14:paraId="2E3F2D64" w14:textId="6EEE7CD2" w:rsidR="000A7112" w:rsidRPr="004D5B21" w:rsidRDefault="000A7112" w:rsidP="000A7112">
            <w:pPr>
              <w:spacing w:before="40" w:after="40"/>
              <w:ind w:left="0" w:firstLine="0"/>
              <w:rPr>
                <w:rFonts w:ascii="Arial" w:hAnsi="Arial" w:cs="Arial"/>
                <w:i/>
                <w:iCs/>
                <w:color w:val="000000"/>
                <w:sz w:val="16"/>
                <w:szCs w:val="16"/>
                <w:lang w:eastAsia="en-US"/>
              </w:rPr>
            </w:pPr>
            <w:r w:rsidRPr="0024789D">
              <w:rPr>
                <w:rFonts w:ascii="Arial" w:hAnsi="Arial" w:cs="Arial"/>
                <w:i/>
                <w:iCs/>
                <w:color w:val="000000"/>
                <w:sz w:val="16"/>
                <w:szCs w:val="16"/>
                <w:lang w:eastAsia="en-US"/>
              </w:rPr>
              <w:t>Fuente: ENFT  2015,</w:t>
            </w:r>
            <w:r>
              <w:rPr>
                <w:rFonts w:ascii="Arial" w:hAnsi="Arial" w:cs="Arial"/>
                <w:i/>
                <w:iCs/>
                <w:color w:val="000000"/>
                <w:sz w:val="16"/>
                <w:szCs w:val="16"/>
                <w:lang w:eastAsia="en-US"/>
              </w:rPr>
              <w:t xml:space="preserve"> </w:t>
            </w:r>
            <w:r w:rsidRPr="0024789D">
              <w:rPr>
                <w:rFonts w:ascii="Arial" w:eastAsia="Calibri" w:hAnsi="Arial" w:cs="Arial"/>
                <w:sz w:val="16"/>
                <w:szCs w:val="16"/>
              </w:rPr>
              <w:t>Michel, Diaz, Pérez 2016</w:t>
            </w:r>
            <w:r>
              <w:rPr>
                <w:rFonts w:ascii="Arial" w:eastAsia="Calibri" w:hAnsi="Arial" w:cs="Arial"/>
                <w:sz w:val="16"/>
                <w:szCs w:val="16"/>
              </w:rPr>
              <w:t>,</w:t>
            </w:r>
            <w:r w:rsidRPr="0024789D">
              <w:rPr>
                <w:rFonts w:ascii="Arial" w:eastAsia="Calibri" w:hAnsi="Arial" w:cs="Arial"/>
                <w:sz w:val="16"/>
                <w:szCs w:val="16"/>
              </w:rPr>
              <w:t xml:space="preserve"> </w:t>
            </w:r>
            <w:r w:rsidRPr="0024789D">
              <w:rPr>
                <w:rFonts w:ascii="Arial" w:hAnsi="Arial" w:cs="Arial"/>
                <w:i/>
                <w:iCs/>
                <w:color w:val="000000"/>
                <w:sz w:val="16"/>
                <w:szCs w:val="16"/>
                <w:lang w:eastAsia="en-US"/>
              </w:rPr>
              <w:t>cálculos propios</w:t>
            </w:r>
          </w:p>
          <w:p w14:paraId="762542B6" w14:textId="0F4391DB" w:rsidR="000A7112" w:rsidRPr="004D5B21" w:rsidRDefault="000A7112" w:rsidP="28D31204">
            <w:pPr>
              <w:spacing w:before="40" w:after="40"/>
              <w:ind w:left="0" w:firstLine="0"/>
              <w:jc w:val="left"/>
              <w:rPr>
                <w:rFonts w:ascii="Arial" w:hAnsi="Arial" w:cs="Arial"/>
                <w:i/>
                <w:iCs/>
                <w:color w:val="000000"/>
                <w:sz w:val="16"/>
                <w:szCs w:val="16"/>
                <w:lang w:eastAsia="en-US"/>
              </w:rPr>
            </w:pPr>
            <w:r w:rsidRPr="004D5B21">
              <w:rPr>
                <w:rFonts w:ascii="Arial" w:hAnsi="Arial" w:cs="Arial"/>
                <w:i/>
                <w:iCs/>
                <w:color w:val="000000"/>
                <w:sz w:val="16"/>
                <w:szCs w:val="16"/>
                <w:lang w:eastAsia="en-US"/>
              </w:rPr>
              <w:t> </w:t>
            </w:r>
          </w:p>
        </w:tc>
      </w:tr>
    </w:tbl>
    <w:p w14:paraId="5FDC858E" w14:textId="77777777" w:rsidR="00471B2F" w:rsidRPr="00B2077E" w:rsidRDefault="00471B2F" w:rsidP="002A743C">
      <w:pPr>
        <w:pStyle w:val="Paragraph"/>
        <w:numPr>
          <w:ilvl w:val="0"/>
          <w:numId w:val="0"/>
        </w:numPr>
        <w:tabs>
          <w:tab w:val="num" w:pos="2088"/>
        </w:tabs>
        <w:spacing w:line="276" w:lineRule="auto"/>
        <w:ind w:left="720"/>
        <w:jc w:val="center"/>
        <w:rPr>
          <w:rFonts w:eastAsia="Calibri" w:cs="Arial"/>
          <w:lang w:val="es-MX"/>
        </w:rPr>
      </w:pPr>
    </w:p>
    <w:p w14:paraId="29FC8C5A" w14:textId="77777777" w:rsidR="004863D9" w:rsidRPr="00B2077E" w:rsidRDefault="28D31204" w:rsidP="28D31204">
      <w:pPr>
        <w:pStyle w:val="Paragraph"/>
        <w:numPr>
          <w:ilvl w:val="1"/>
          <w:numId w:val="0"/>
        </w:numPr>
        <w:tabs>
          <w:tab w:val="num" w:pos="2088"/>
        </w:tabs>
        <w:spacing w:after="0" w:line="276" w:lineRule="auto"/>
        <w:ind w:left="709"/>
        <w:rPr>
          <w:rFonts w:eastAsia="Calibri" w:cs="Arial"/>
          <w:b/>
          <w:bCs/>
          <w:sz w:val="20"/>
          <w:szCs w:val="20"/>
          <w:lang w:val="es-MX"/>
        </w:rPr>
      </w:pPr>
      <w:r w:rsidRPr="28D31204">
        <w:rPr>
          <w:rFonts w:eastAsia="Calibri" w:cs="Arial"/>
          <w:b/>
          <w:bCs/>
          <w:sz w:val="20"/>
          <w:szCs w:val="20"/>
          <w:lang w:val="es-MX"/>
        </w:rPr>
        <w:t>Tabla 5.2: Resultados diferencial de ingresos</w:t>
      </w:r>
    </w:p>
    <w:tbl>
      <w:tblPr>
        <w:tblW w:w="0" w:type="auto"/>
        <w:jc w:val="center"/>
        <w:tblLayout w:type="fixed"/>
        <w:tblLook w:val="04A0" w:firstRow="1" w:lastRow="0" w:firstColumn="1" w:lastColumn="0" w:noHBand="0" w:noVBand="1"/>
      </w:tblPr>
      <w:tblGrid>
        <w:gridCol w:w="3681"/>
        <w:gridCol w:w="3544"/>
      </w:tblGrid>
      <w:tr w:rsidR="00894D8A" w:rsidRPr="00B2077E" w14:paraId="3902FBA0" w14:textId="77777777" w:rsidTr="00E553BF">
        <w:trPr>
          <w:trHeight w:val="315"/>
          <w:jc w:val="center"/>
        </w:trPr>
        <w:tc>
          <w:tcPr>
            <w:tcW w:w="7225" w:type="dxa"/>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58A12486" w14:textId="77777777" w:rsidR="00894D8A"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CÁLCULO DEL DIFERENCIAL DE INGRESOS ANUAL (USANDO EL SALARIO INTEGRAL POR HORA)</w:t>
            </w:r>
          </w:p>
        </w:tc>
      </w:tr>
      <w:tr w:rsidR="00E553BF" w:rsidRPr="00B2077E" w14:paraId="51A4EAD1" w14:textId="77777777" w:rsidTr="00E553BF">
        <w:trPr>
          <w:trHeight w:val="1051"/>
          <w:jc w:val="center"/>
        </w:trPr>
        <w:tc>
          <w:tcPr>
            <w:tcW w:w="3681" w:type="dxa"/>
            <w:tcBorders>
              <w:top w:val="nil"/>
              <w:left w:val="single" w:sz="4" w:space="0" w:color="auto"/>
              <w:bottom w:val="single" w:sz="4" w:space="0" w:color="000000"/>
              <w:right w:val="single" w:sz="4" w:space="0" w:color="auto"/>
            </w:tcBorders>
            <w:shd w:val="clear" w:color="auto" w:fill="F2F2F2"/>
            <w:vAlign w:val="center"/>
            <w:hideMark/>
          </w:tcPr>
          <w:p w14:paraId="427C05E3" w14:textId="77777777" w:rsidR="00E553BF" w:rsidRPr="004D5B21" w:rsidRDefault="00E553BF"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NIVEL APROBADO</w:t>
            </w:r>
          </w:p>
        </w:tc>
        <w:tc>
          <w:tcPr>
            <w:tcW w:w="3544" w:type="dxa"/>
            <w:tcBorders>
              <w:top w:val="nil"/>
              <w:left w:val="single" w:sz="4" w:space="0" w:color="auto"/>
              <w:bottom w:val="single" w:sz="4" w:space="0" w:color="auto"/>
              <w:right w:val="single" w:sz="4" w:space="0" w:color="auto"/>
            </w:tcBorders>
            <w:shd w:val="clear" w:color="auto" w:fill="F2F2F2"/>
            <w:vAlign w:val="center"/>
            <w:hideMark/>
          </w:tcPr>
          <w:p w14:paraId="0B1F7A56" w14:textId="7D714BC5" w:rsidR="00E553BF" w:rsidRPr="004D5B21" w:rsidRDefault="00E553BF"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 xml:space="preserve">PRONÓSTICO DE BENEFICIARIOS </w:t>
            </w:r>
            <w:r w:rsidRPr="004D5B21">
              <w:rPr>
                <w:rFonts w:ascii="Arial" w:hAnsi="Arial" w:cs="Arial"/>
                <w:b/>
                <w:bCs/>
                <w:color w:val="000000"/>
                <w:sz w:val="16"/>
                <w:szCs w:val="16"/>
                <w:u w:val="single"/>
                <w:lang w:eastAsia="en-US"/>
              </w:rPr>
              <w:t>QUE ALCANZAN CIERTO NIVEL EDUCATIVO</w:t>
            </w:r>
          </w:p>
        </w:tc>
      </w:tr>
      <w:tr w:rsidR="000A68DC" w:rsidRPr="00B2077E" w14:paraId="6663CB2A" w14:textId="77777777" w:rsidTr="00E553BF">
        <w:trPr>
          <w:trHeight w:val="315"/>
          <w:jc w:val="center"/>
        </w:trPr>
        <w:tc>
          <w:tcPr>
            <w:tcW w:w="3681" w:type="dxa"/>
            <w:tcBorders>
              <w:top w:val="nil"/>
              <w:left w:val="single" w:sz="4" w:space="0" w:color="auto"/>
              <w:bottom w:val="nil"/>
              <w:right w:val="single" w:sz="4" w:space="0" w:color="auto"/>
            </w:tcBorders>
            <w:shd w:val="clear" w:color="auto" w:fill="FFFFFF"/>
            <w:noWrap/>
            <w:vAlign w:val="center"/>
            <w:hideMark/>
          </w:tcPr>
          <w:p w14:paraId="717CECB7" w14:textId="574B2302" w:rsidR="000A68DC" w:rsidRPr="004D5B21" w:rsidRDefault="000A68DC" w:rsidP="000A68DC">
            <w:pPr>
              <w:spacing w:before="40" w:after="40"/>
              <w:ind w:left="0" w:firstLine="0"/>
              <w:jc w:val="left"/>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Primaria</w:t>
            </w:r>
            <w:proofErr w:type="spellEnd"/>
            <w:r w:rsidRPr="004D5B21">
              <w:rPr>
                <w:rFonts w:ascii="Arial" w:hAnsi="Arial" w:cs="Arial"/>
                <w:b/>
                <w:bCs/>
                <w:color w:val="000000"/>
                <w:sz w:val="16"/>
                <w:szCs w:val="16"/>
                <w:lang w:val="en-US" w:eastAsia="en-US"/>
              </w:rPr>
              <w:t xml:space="preserve"> </w:t>
            </w:r>
            <w:proofErr w:type="spellStart"/>
            <w:r>
              <w:rPr>
                <w:rFonts w:ascii="Arial" w:hAnsi="Arial" w:cs="Arial"/>
                <w:b/>
                <w:bCs/>
                <w:color w:val="000000"/>
                <w:sz w:val="16"/>
                <w:szCs w:val="16"/>
                <w:lang w:val="en-US" w:eastAsia="en-US"/>
              </w:rPr>
              <w:t>in</w:t>
            </w:r>
            <w:r w:rsidRPr="004D5B21">
              <w:rPr>
                <w:rFonts w:ascii="Arial" w:hAnsi="Arial" w:cs="Arial"/>
                <w:b/>
                <w:bCs/>
                <w:color w:val="000000"/>
                <w:sz w:val="16"/>
                <w:szCs w:val="16"/>
                <w:lang w:val="en-US" w:eastAsia="en-US"/>
              </w:rPr>
              <w:t>completa</w:t>
            </w:r>
            <w:proofErr w:type="spellEnd"/>
          </w:p>
        </w:tc>
        <w:tc>
          <w:tcPr>
            <w:tcW w:w="3544" w:type="dxa"/>
            <w:tcBorders>
              <w:top w:val="nil"/>
              <w:left w:val="nil"/>
              <w:bottom w:val="nil"/>
              <w:right w:val="single" w:sz="4" w:space="0" w:color="auto"/>
            </w:tcBorders>
            <w:shd w:val="clear" w:color="auto" w:fill="FFFFFF"/>
            <w:noWrap/>
            <w:vAlign w:val="center"/>
          </w:tcPr>
          <w:p w14:paraId="26F6D55B" w14:textId="5F10FD93" w:rsidR="000A68DC" w:rsidRPr="003F0892" w:rsidRDefault="000A68DC" w:rsidP="000A68DC">
            <w:pPr>
              <w:spacing w:before="40" w:after="40"/>
              <w:ind w:left="0" w:right="27" w:firstLine="0"/>
              <w:jc w:val="center"/>
              <w:rPr>
                <w:rFonts w:ascii="Arial" w:hAnsi="Arial" w:cs="Arial"/>
                <w:color w:val="000000"/>
                <w:sz w:val="16"/>
                <w:szCs w:val="16"/>
              </w:rPr>
            </w:pPr>
            <w:r>
              <w:rPr>
                <w:rFonts w:ascii="Calibri" w:hAnsi="Calibri" w:cs="Calibri"/>
                <w:color w:val="000000"/>
                <w:sz w:val="22"/>
                <w:szCs w:val="22"/>
              </w:rPr>
              <w:t xml:space="preserve">                           30,230 </w:t>
            </w:r>
          </w:p>
        </w:tc>
      </w:tr>
      <w:tr w:rsidR="000A68DC" w:rsidRPr="00B2077E" w14:paraId="033BF454" w14:textId="77777777" w:rsidTr="00E553BF">
        <w:trPr>
          <w:trHeight w:val="315"/>
          <w:jc w:val="center"/>
        </w:trPr>
        <w:tc>
          <w:tcPr>
            <w:tcW w:w="3681" w:type="dxa"/>
            <w:tcBorders>
              <w:top w:val="nil"/>
              <w:left w:val="single" w:sz="4" w:space="0" w:color="auto"/>
              <w:bottom w:val="nil"/>
              <w:right w:val="single" w:sz="4" w:space="0" w:color="auto"/>
            </w:tcBorders>
            <w:shd w:val="clear" w:color="auto" w:fill="FFFFFF"/>
            <w:noWrap/>
            <w:vAlign w:val="center"/>
            <w:hideMark/>
          </w:tcPr>
          <w:p w14:paraId="1D75F28F" w14:textId="14709161" w:rsidR="000A68DC" w:rsidRPr="004D5B21" w:rsidRDefault="000A68DC" w:rsidP="000A68DC">
            <w:pPr>
              <w:spacing w:before="40" w:after="40"/>
              <w:ind w:left="0" w:firstLine="0"/>
              <w:jc w:val="left"/>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Primaria</w:t>
            </w:r>
            <w:proofErr w:type="spellEnd"/>
            <w:r w:rsidRPr="004D5B21">
              <w:rPr>
                <w:rFonts w:ascii="Arial" w:hAnsi="Arial" w:cs="Arial"/>
                <w:b/>
                <w:bCs/>
                <w:color w:val="000000"/>
                <w:sz w:val="16"/>
                <w:szCs w:val="16"/>
                <w:lang w:val="en-US" w:eastAsia="en-US"/>
              </w:rPr>
              <w:t xml:space="preserve"> </w:t>
            </w:r>
            <w:proofErr w:type="spellStart"/>
            <w:r>
              <w:rPr>
                <w:rFonts w:ascii="Arial" w:hAnsi="Arial" w:cs="Arial"/>
                <w:b/>
                <w:bCs/>
                <w:color w:val="000000"/>
                <w:sz w:val="16"/>
                <w:szCs w:val="16"/>
                <w:lang w:val="en-US" w:eastAsia="en-US"/>
              </w:rPr>
              <w:t>complet</w:t>
            </w:r>
            <w:r w:rsidR="00BC252A">
              <w:rPr>
                <w:rFonts w:ascii="Arial" w:hAnsi="Arial" w:cs="Arial"/>
                <w:b/>
                <w:bCs/>
                <w:color w:val="000000"/>
                <w:sz w:val="16"/>
                <w:szCs w:val="16"/>
                <w:lang w:val="en-US" w:eastAsia="en-US"/>
              </w:rPr>
              <w:t>a</w:t>
            </w:r>
            <w:proofErr w:type="spellEnd"/>
          </w:p>
        </w:tc>
        <w:tc>
          <w:tcPr>
            <w:tcW w:w="3544" w:type="dxa"/>
            <w:tcBorders>
              <w:top w:val="nil"/>
              <w:left w:val="nil"/>
              <w:bottom w:val="nil"/>
              <w:right w:val="single" w:sz="4" w:space="0" w:color="auto"/>
            </w:tcBorders>
            <w:shd w:val="clear" w:color="auto" w:fill="FFFFFF"/>
            <w:noWrap/>
            <w:vAlign w:val="center"/>
          </w:tcPr>
          <w:p w14:paraId="2CD1AF39" w14:textId="15D1A380" w:rsidR="000A68DC" w:rsidRPr="003F0892" w:rsidRDefault="000A68DC" w:rsidP="000A68DC">
            <w:pPr>
              <w:spacing w:before="40" w:after="40"/>
              <w:ind w:left="0" w:right="27" w:firstLine="0"/>
              <w:jc w:val="center"/>
              <w:rPr>
                <w:rFonts w:ascii="Arial" w:hAnsi="Arial" w:cs="Arial"/>
                <w:color w:val="000000"/>
                <w:sz w:val="16"/>
                <w:szCs w:val="16"/>
              </w:rPr>
            </w:pPr>
            <w:r>
              <w:rPr>
                <w:rFonts w:ascii="Calibri" w:hAnsi="Calibri" w:cs="Calibri"/>
                <w:color w:val="000000"/>
                <w:sz w:val="22"/>
                <w:szCs w:val="22"/>
              </w:rPr>
              <w:t xml:space="preserve">                           10,012 </w:t>
            </w:r>
          </w:p>
        </w:tc>
      </w:tr>
      <w:tr w:rsidR="000A68DC" w:rsidRPr="00B2077E" w14:paraId="4816B112" w14:textId="77777777" w:rsidTr="00E553BF">
        <w:trPr>
          <w:trHeight w:val="315"/>
          <w:jc w:val="center"/>
        </w:trPr>
        <w:tc>
          <w:tcPr>
            <w:tcW w:w="3681" w:type="dxa"/>
            <w:tcBorders>
              <w:top w:val="nil"/>
              <w:left w:val="single" w:sz="4" w:space="0" w:color="auto"/>
              <w:bottom w:val="nil"/>
              <w:right w:val="single" w:sz="4" w:space="0" w:color="auto"/>
            </w:tcBorders>
            <w:shd w:val="clear" w:color="auto" w:fill="FFFFFF"/>
            <w:noWrap/>
            <w:vAlign w:val="center"/>
          </w:tcPr>
          <w:p w14:paraId="2E18ED18" w14:textId="1B78962E" w:rsidR="000A68DC" w:rsidRPr="004D5B21" w:rsidRDefault="000A68DC" w:rsidP="000A68DC">
            <w:pPr>
              <w:spacing w:before="40" w:after="40"/>
              <w:ind w:left="0" w:firstLine="0"/>
              <w:jc w:val="left"/>
              <w:rPr>
                <w:rFonts w:ascii="Arial" w:hAnsi="Arial" w:cs="Arial"/>
                <w:b/>
                <w:bCs/>
                <w:color w:val="000000"/>
                <w:sz w:val="16"/>
                <w:szCs w:val="16"/>
                <w:lang w:val="en-US" w:eastAsia="en-US"/>
              </w:rPr>
            </w:pPr>
            <w:proofErr w:type="spellStart"/>
            <w:r>
              <w:rPr>
                <w:rFonts w:ascii="Arial" w:hAnsi="Arial" w:cs="Arial"/>
                <w:b/>
                <w:bCs/>
                <w:color w:val="000000"/>
                <w:sz w:val="16"/>
                <w:szCs w:val="16"/>
                <w:lang w:val="en-US" w:eastAsia="en-US"/>
              </w:rPr>
              <w:t>Secundaria</w:t>
            </w:r>
            <w:proofErr w:type="spellEnd"/>
            <w:r>
              <w:rPr>
                <w:rFonts w:ascii="Arial" w:hAnsi="Arial" w:cs="Arial"/>
                <w:b/>
                <w:bCs/>
                <w:color w:val="000000"/>
                <w:sz w:val="16"/>
                <w:szCs w:val="16"/>
                <w:lang w:val="en-US" w:eastAsia="en-US"/>
              </w:rPr>
              <w:t xml:space="preserve"> </w:t>
            </w:r>
            <w:proofErr w:type="spellStart"/>
            <w:r>
              <w:rPr>
                <w:rFonts w:ascii="Arial" w:hAnsi="Arial" w:cs="Arial"/>
                <w:b/>
                <w:bCs/>
                <w:color w:val="000000"/>
                <w:sz w:val="16"/>
                <w:szCs w:val="16"/>
                <w:lang w:val="en-US" w:eastAsia="en-US"/>
              </w:rPr>
              <w:t>in</w:t>
            </w:r>
            <w:r w:rsidRPr="004D5B21">
              <w:rPr>
                <w:rFonts w:ascii="Arial" w:hAnsi="Arial" w:cs="Arial"/>
                <w:b/>
                <w:bCs/>
                <w:color w:val="000000"/>
                <w:sz w:val="16"/>
                <w:szCs w:val="16"/>
                <w:lang w:val="en-US" w:eastAsia="en-US"/>
              </w:rPr>
              <w:t>completa</w:t>
            </w:r>
            <w:proofErr w:type="spellEnd"/>
          </w:p>
        </w:tc>
        <w:tc>
          <w:tcPr>
            <w:tcW w:w="3544" w:type="dxa"/>
            <w:tcBorders>
              <w:top w:val="nil"/>
              <w:left w:val="nil"/>
              <w:bottom w:val="nil"/>
              <w:right w:val="single" w:sz="4" w:space="0" w:color="auto"/>
            </w:tcBorders>
            <w:shd w:val="clear" w:color="auto" w:fill="FFFFFF"/>
            <w:noWrap/>
            <w:vAlign w:val="center"/>
          </w:tcPr>
          <w:p w14:paraId="22D1076D" w14:textId="375EC680" w:rsidR="000A68DC" w:rsidRPr="003F0892" w:rsidRDefault="000A68DC" w:rsidP="000A68DC">
            <w:pPr>
              <w:spacing w:before="40" w:after="40"/>
              <w:ind w:left="0" w:right="27" w:firstLine="0"/>
              <w:jc w:val="center"/>
              <w:rPr>
                <w:rFonts w:ascii="Arial" w:hAnsi="Arial" w:cs="Arial"/>
                <w:color w:val="000000"/>
                <w:sz w:val="16"/>
                <w:szCs w:val="16"/>
              </w:rPr>
            </w:pPr>
            <w:r>
              <w:rPr>
                <w:rFonts w:ascii="Calibri" w:hAnsi="Calibri" w:cs="Calibri"/>
                <w:color w:val="000000"/>
                <w:sz w:val="22"/>
                <w:szCs w:val="22"/>
              </w:rPr>
              <w:t xml:space="preserve">                           12,345 </w:t>
            </w:r>
          </w:p>
        </w:tc>
      </w:tr>
      <w:tr w:rsidR="000A68DC" w:rsidRPr="00B2077E" w14:paraId="775AD5FA" w14:textId="77777777" w:rsidTr="00E553BF">
        <w:trPr>
          <w:trHeight w:val="315"/>
          <w:jc w:val="center"/>
        </w:trPr>
        <w:tc>
          <w:tcPr>
            <w:tcW w:w="3681" w:type="dxa"/>
            <w:tcBorders>
              <w:top w:val="nil"/>
              <w:left w:val="single" w:sz="4" w:space="0" w:color="auto"/>
              <w:bottom w:val="nil"/>
              <w:right w:val="single" w:sz="4" w:space="0" w:color="auto"/>
            </w:tcBorders>
            <w:shd w:val="clear" w:color="auto" w:fill="FFFFFF"/>
            <w:noWrap/>
            <w:vAlign w:val="center"/>
          </w:tcPr>
          <w:p w14:paraId="4470C960" w14:textId="7C263581" w:rsidR="000A68DC" w:rsidRPr="004D5B21" w:rsidRDefault="000A68DC" w:rsidP="000A68DC">
            <w:pPr>
              <w:spacing w:before="40" w:after="40"/>
              <w:ind w:left="0" w:firstLine="0"/>
              <w:jc w:val="left"/>
              <w:rPr>
                <w:rFonts w:ascii="Arial" w:hAnsi="Arial" w:cs="Arial"/>
                <w:b/>
                <w:bCs/>
                <w:color w:val="000000"/>
                <w:sz w:val="16"/>
                <w:szCs w:val="16"/>
                <w:lang w:val="en-US" w:eastAsia="en-US"/>
              </w:rPr>
            </w:pPr>
            <w:proofErr w:type="spellStart"/>
            <w:r>
              <w:rPr>
                <w:rFonts w:ascii="Arial" w:hAnsi="Arial" w:cs="Arial"/>
                <w:b/>
                <w:bCs/>
                <w:color w:val="000000"/>
                <w:sz w:val="16"/>
                <w:szCs w:val="16"/>
                <w:lang w:val="en-US" w:eastAsia="en-US"/>
              </w:rPr>
              <w:t>Secundaria</w:t>
            </w:r>
            <w:proofErr w:type="spellEnd"/>
            <w:r>
              <w:rPr>
                <w:rFonts w:ascii="Arial" w:hAnsi="Arial" w:cs="Arial"/>
                <w:b/>
                <w:bCs/>
                <w:color w:val="000000"/>
                <w:sz w:val="16"/>
                <w:szCs w:val="16"/>
                <w:lang w:val="en-US" w:eastAsia="en-US"/>
              </w:rPr>
              <w:t xml:space="preserve"> </w:t>
            </w:r>
            <w:proofErr w:type="spellStart"/>
            <w:r w:rsidRPr="004D5B21">
              <w:rPr>
                <w:rFonts w:ascii="Arial" w:hAnsi="Arial" w:cs="Arial"/>
                <w:b/>
                <w:bCs/>
                <w:color w:val="000000"/>
                <w:sz w:val="16"/>
                <w:szCs w:val="16"/>
                <w:lang w:val="en-US" w:eastAsia="en-US"/>
              </w:rPr>
              <w:t>completa</w:t>
            </w:r>
            <w:proofErr w:type="spellEnd"/>
          </w:p>
        </w:tc>
        <w:tc>
          <w:tcPr>
            <w:tcW w:w="3544" w:type="dxa"/>
            <w:tcBorders>
              <w:top w:val="nil"/>
              <w:left w:val="nil"/>
              <w:bottom w:val="nil"/>
              <w:right w:val="single" w:sz="4" w:space="0" w:color="auto"/>
            </w:tcBorders>
            <w:shd w:val="clear" w:color="auto" w:fill="FFFFFF"/>
            <w:noWrap/>
            <w:vAlign w:val="center"/>
          </w:tcPr>
          <w:p w14:paraId="35EA44B6" w14:textId="5F0C013D" w:rsidR="000A68DC" w:rsidRPr="003F0892" w:rsidRDefault="000A68DC" w:rsidP="000A68DC">
            <w:pPr>
              <w:spacing w:before="40" w:after="40"/>
              <w:ind w:left="0" w:right="27" w:firstLine="0"/>
              <w:jc w:val="center"/>
              <w:rPr>
                <w:rFonts w:ascii="Arial" w:hAnsi="Arial" w:cs="Arial"/>
                <w:color w:val="000000"/>
                <w:sz w:val="16"/>
                <w:szCs w:val="16"/>
              </w:rPr>
            </w:pPr>
            <w:r>
              <w:rPr>
                <w:rFonts w:ascii="Calibri" w:hAnsi="Calibri" w:cs="Calibri"/>
                <w:color w:val="000000"/>
                <w:sz w:val="22"/>
                <w:szCs w:val="22"/>
              </w:rPr>
              <w:t xml:space="preserve">                           17,205 </w:t>
            </w:r>
          </w:p>
        </w:tc>
      </w:tr>
      <w:tr w:rsidR="000A68DC" w:rsidRPr="00B2077E" w14:paraId="320E47F2" w14:textId="77777777" w:rsidTr="000A68DC">
        <w:trPr>
          <w:trHeight w:val="315"/>
          <w:jc w:val="center"/>
        </w:trPr>
        <w:tc>
          <w:tcPr>
            <w:tcW w:w="3681" w:type="dxa"/>
            <w:tcBorders>
              <w:top w:val="nil"/>
              <w:left w:val="single" w:sz="4" w:space="0" w:color="auto"/>
              <w:right w:val="single" w:sz="4" w:space="0" w:color="auto"/>
            </w:tcBorders>
            <w:shd w:val="clear" w:color="auto" w:fill="FFFFFF"/>
            <w:noWrap/>
            <w:vAlign w:val="center"/>
          </w:tcPr>
          <w:p w14:paraId="7DAEB3A2" w14:textId="79EAC152" w:rsidR="000A68DC" w:rsidRDefault="000A68DC" w:rsidP="000A68DC">
            <w:pPr>
              <w:spacing w:before="40" w:after="40"/>
              <w:ind w:left="0" w:firstLine="0"/>
              <w:jc w:val="left"/>
              <w:rPr>
                <w:rFonts w:ascii="Arial" w:hAnsi="Arial" w:cs="Arial"/>
                <w:b/>
                <w:bCs/>
                <w:color w:val="000000"/>
                <w:sz w:val="16"/>
                <w:szCs w:val="16"/>
                <w:lang w:val="en-US" w:eastAsia="en-US"/>
              </w:rPr>
            </w:pPr>
            <w:r>
              <w:rPr>
                <w:rFonts w:ascii="Arial" w:hAnsi="Arial" w:cs="Arial"/>
                <w:b/>
                <w:bCs/>
                <w:color w:val="000000"/>
                <w:sz w:val="16"/>
                <w:szCs w:val="16"/>
                <w:lang w:val="en-US" w:eastAsia="en-US"/>
              </w:rPr>
              <w:t xml:space="preserve">Universidad </w:t>
            </w:r>
            <w:proofErr w:type="spellStart"/>
            <w:r>
              <w:rPr>
                <w:rFonts w:ascii="Arial" w:hAnsi="Arial" w:cs="Arial"/>
                <w:b/>
                <w:bCs/>
                <w:color w:val="000000"/>
                <w:sz w:val="16"/>
                <w:szCs w:val="16"/>
                <w:lang w:val="en-US" w:eastAsia="en-US"/>
              </w:rPr>
              <w:t>incompleta</w:t>
            </w:r>
            <w:proofErr w:type="spellEnd"/>
          </w:p>
        </w:tc>
        <w:tc>
          <w:tcPr>
            <w:tcW w:w="3544" w:type="dxa"/>
            <w:tcBorders>
              <w:top w:val="nil"/>
              <w:left w:val="nil"/>
              <w:right w:val="single" w:sz="4" w:space="0" w:color="auto"/>
            </w:tcBorders>
            <w:shd w:val="clear" w:color="auto" w:fill="FFFFFF"/>
            <w:noWrap/>
            <w:vAlign w:val="center"/>
          </w:tcPr>
          <w:p w14:paraId="322E375A" w14:textId="72F334A4" w:rsidR="000A68DC" w:rsidRPr="003F0892" w:rsidRDefault="000A68DC" w:rsidP="000A68DC">
            <w:pPr>
              <w:spacing w:before="40" w:after="40"/>
              <w:ind w:left="0" w:right="27" w:firstLine="0"/>
              <w:jc w:val="center"/>
              <w:rPr>
                <w:rFonts w:ascii="Arial" w:hAnsi="Arial" w:cs="Arial"/>
                <w:color w:val="000000"/>
                <w:sz w:val="16"/>
                <w:szCs w:val="16"/>
              </w:rPr>
            </w:pPr>
            <w:r>
              <w:rPr>
                <w:rFonts w:ascii="Calibri" w:hAnsi="Calibri" w:cs="Calibri"/>
                <w:color w:val="000000"/>
                <w:sz w:val="22"/>
                <w:szCs w:val="22"/>
              </w:rPr>
              <w:t xml:space="preserve">                             7,485 </w:t>
            </w:r>
          </w:p>
        </w:tc>
      </w:tr>
      <w:tr w:rsidR="000A68DC" w:rsidRPr="00B2077E" w14:paraId="19822364" w14:textId="77777777" w:rsidTr="00E553BF">
        <w:trPr>
          <w:trHeight w:val="315"/>
          <w:jc w:val="center"/>
        </w:trPr>
        <w:tc>
          <w:tcPr>
            <w:tcW w:w="3681" w:type="dxa"/>
            <w:tcBorders>
              <w:top w:val="nil"/>
              <w:left w:val="single" w:sz="4" w:space="0" w:color="auto"/>
              <w:bottom w:val="single" w:sz="4" w:space="0" w:color="auto"/>
              <w:right w:val="single" w:sz="4" w:space="0" w:color="auto"/>
            </w:tcBorders>
            <w:shd w:val="clear" w:color="auto" w:fill="FFFFFF"/>
            <w:noWrap/>
            <w:vAlign w:val="center"/>
            <w:hideMark/>
          </w:tcPr>
          <w:p w14:paraId="2993DC87" w14:textId="397A98E3" w:rsidR="000A68DC" w:rsidRPr="004D5B21" w:rsidRDefault="000A68DC" w:rsidP="000A68DC">
            <w:pPr>
              <w:spacing w:before="40" w:after="40"/>
              <w:ind w:left="0" w:firstLine="0"/>
              <w:jc w:val="left"/>
              <w:rPr>
                <w:rFonts w:ascii="Arial" w:hAnsi="Arial" w:cs="Arial"/>
                <w:b/>
                <w:bCs/>
                <w:color w:val="000000"/>
                <w:sz w:val="16"/>
                <w:szCs w:val="16"/>
                <w:lang w:eastAsia="en-US"/>
              </w:rPr>
            </w:pPr>
            <w:r>
              <w:rPr>
                <w:rFonts w:ascii="Arial" w:hAnsi="Arial" w:cs="Arial"/>
                <w:b/>
                <w:bCs/>
                <w:color w:val="000000"/>
                <w:sz w:val="16"/>
                <w:szCs w:val="16"/>
                <w:lang w:val="en-US" w:eastAsia="en-US"/>
              </w:rPr>
              <w:t xml:space="preserve">Universidad </w:t>
            </w:r>
            <w:proofErr w:type="spellStart"/>
            <w:r>
              <w:rPr>
                <w:rFonts w:ascii="Arial" w:hAnsi="Arial" w:cs="Arial"/>
                <w:b/>
                <w:bCs/>
                <w:color w:val="000000"/>
                <w:sz w:val="16"/>
                <w:szCs w:val="16"/>
                <w:lang w:val="en-US" w:eastAsia="en-US"/>
              </w:rPr>
              <w:t>completa</w:t>
            </w:r>
            <w:proofErr w:type="spellEnd"/>
          </w:p>
        </w:tc>
        <w:tc>
          <w:tcPr>
            <w:tcW w:w="3544" w:type="dxa"/>
            <w:tcBorders>
              <w:top w:val="nil"/>
              <w:left w:val="nil"/>
              <w:bottom w:val="single" w:sz="4" w:space="0" w:color="auto"/>
              <w:right w:val="single" w:sz="4" w:space="0" w:color="auto"/>
            </w:tcBorders>
            <w:shd w:val="clear" w:color="auto" w:fill="FFFFFF"/>
            <w:noWrap/>
            <w:vAlign w:val="center"/>
          </w:tcPr>
          <w:p w14:paraId="695C6B02" w14:textId="25F8259C" w:rsidR="000A68DC" w:rsidRPr="003F0892" w:rsidRDefault="000A68DC" w:rsidP="000A68DC">
            <w:pPr>
              <w:spacing w:before="40" w:after="40"/>
              <w:ind w:left="0" w:right="27" w:firstLine="0"/>
              <w:jc w:val="center"/>
              <w:rPr>
                <w:rFonts w:ascii="Arial" w:hAnsi="Arial" w:cs="Arial"/>
                <w:color w:val="000000"/>
                <w:sz w:val="16"/>
                <w:szCs w:val="16"/>
              </w:rPr>
            </w:pPr>
            <w:r>
              <w:rPr>
                <w:rFonts w:ascii="Calibri" w:hAnsi="Calibri" w:cs="Calibri"/>
                <w:color w:val="000000"/>
                <w:sz w:val="22"/>
                <w:szCs w:val="22"/>
              </w:rPr>
              <w:t xml:space="preserve">                           11,956 </w:t>
            </w:r>
          </w:p>
        </w:tc>
      </w:tr>
      <w:tr w:rsidR="000A68DC" w:rsidRPr="00B2077E" w14:paraId="1F5B9D15" w14:textId="77777777" w:rsidTr="00E553BF">
        <w:trPr>
          <w:trHeight w:val="315"/>
          <w:jc w:val="center"/>
        </w:trPr>
        <w:tc>
          <w:tcPr>
            <w:tcW w:w="3681" w:type="dxa"/>
            <w:tcBorders>
              <w:top w:val="nil"/>
              <w:left w:val="single" w:sz="4" w:space="0" w:color="auto"/>
              <w:bottom w:val="single" w:sz="4" w:space="0" w:color="auto"/>
              <w:right w:val="single" w:sz="4" w:space="0" w:color="auto"/>
            </w:tcBorders>
            <w:shd w:val="clear" w:color="auto" w:fill="FFFFFF"/>
            <w:noWrap/>
            <w:vAlign w:val="center"/>
            <w:hideMark/>
          </w:tcPr>
          <w:p w14:paraId="309469E1" w14:textId="77777777" w:rsidR="000A68DC" w:rsidRPr="004D5B21" w:rsidRDefault="000A68DC" w:rsidP="000A68DC">
            <w:pPr>
              <w:spacing w:before="40" w:after="40"/>
              <w:ind w:left="0" w:firstLine="0"/>
              <w:jc w:val="left"/>
              <w:rPr>
                <w:rFonts w:ascii="Arial" w:hAnsi="Arial" w:cs="Arial"/>
                <w:b/>
                <w:bCs/>
                <w:color w:val="000000"/>
                <w:sz w:val="16"/>
                <w:szCs w:val="16"/>
                <w:lang w:eastAsia="en-US"/>
              </w:rPr>
            </w:pPr>
            <w:r w:rsidRPr="004D5B21">
              <w:rPr>
                <w:rFonts w:ascii="Arial" w:hAnsi="Arial" w:cs="Arial"/>
                <w:b/>
                <w:bCs/>
                <w:color w:val="000000"/>
                <w:sz w:val="16"/>
                <w:szCs w:val="16"/>
                <w:lang w:eastAsia="en-US"/>
              </w:rPr>
              <w:t>Total</w:t>
            </w:r>
          </w:p>
        </w:tc>
        <w:tc>
          <w:tcPr>
            <w:tcW w:w="3544" w:type="dxa"/>
            <w:tcBorders>
              <w:top w:val="nil"/>
              <w:left w:val="nil"/>
              <w:bottom w:val="single" w:sz="4" w:space="0" w:color="auto"/>
              <w:right w:val="single" w:sz="4" w:space="0" w:color="auto"/>
            </w:tcBorders>
            <w:shd w:val="clear" w:color="auto" w:fill="auto"/>
            <w:noWrap/>
            <w:vAlign w:val="center"/>
          </w:tcPr>
          <w:p w14:paraId="246705F0" w14:textId="72F235F4" w:rsidR="000A68DC" w:rsidRPr="003F0892" w:rsidRDefault="000A68DC" w:rsidP="000A68DC">
            <w:pPr>
              <w:ind w:left="0" w:firstLine="0"/>
              <w:jc w:val="center"/>
              <w:rPr>
                <w:rFonts w:ascii="Arial" w:hAnsi="Arial" w:cs="Arial"/>
                <w:color w:val="000000"/>
                <w:sz w:val="16"/>
                <w:szCs w:val="16"/>
                <w:lang w:val="en-US" w:eastAsia="en-US"/>
              </w:rPr>
            </w:pPr>
            <w:r>
              <w:rPr>
                <w:rFonts w:ascii="Calibri" w:hAnsi="Calibri" w:cs="Calibri"/>
                <w:color w:val="000000"/>
                <w:sz w:val="22"/>
                <w:szCs w:val="22"/>
              </w:rPr>
              <w:t xml:space="preserve">                           89,232 </w:t>
            </w:r>
          </w:p>
        </w:tc>
      </w:tr>
      <w:tr w:rsidR="00792999" w:rsidRPr="00B2077E" w14:paraId="3377A296" w14:textId="77777777" w:rsidTr="00E553BF">
        <w:trPr>
          <w:trHeight w:val="315"/>
          <w:jc w:val="center"/>
        </w:trPr>
        <w:tc>
          <w:tcPr>
            <w:tcW w:w="7225" w:type="dxa"/>
            <w:gridSpan w:val="2"/>
            <w:tcBorders>
              <w:top w:val="nil"/>
              <w:left w:val="nil"/>
              <w:bottom w:val="nil"/>
              <w:right w:val="nil"/>
            </w:tcBorders>
            <w:shd w:val="clear" w:color="auto" w:fill="FFFFFF"/>
            <w:noWrap/>
            <w:vAlign w:val="center"/>
            <w:hideMark/>
          </w:tcPr>
          <w:p w14:paraId="18A600C1" w14:textId="77777777" w:rsidR="00792999" w:rsidRPr="004D5B21" w:rsidRDefault="28D31204" w:rsidP="28D31204">
            <w:pPr>
              <w:spacing w:before="40" w:after="40"/>
              <w:ind w:left="0" w:firstLine="0"/>
              <w:jc w:val="left"/>
              <w:rPr>
                <w:rFonts w:ascii="Arial" w:hAnsi="Arial" w:cs="Arial"/>
                <w:color w:val="000000"/>
                <w:sz w:val="16"/>
                <w:szCs w:val="16"/>
                <w:lang w:eastAsia="en-US"/>
              </w:rPr>
            </w:pPr>
            <w:r w:rsidRPr="004D5B21">
              <w:rPr>
                <w:rFonts w:ascii="Arial" w:hAnsi="Arial" w:cs="Arial"/>
                <w:color w:val="000000"/>
                <w:sz w:val="16"/>
                <w:szCs w:val="16"/>
                <w:lang w:eastAsia="en-US"/>
              </w:rPr>
              <w:t>Fuente: EPHPM 2016, cálculos propios</w:t>
            </w:r>
          </w:p>
        </w:tc>
      </w:tr>
    </w:tbl>
    <w:p w14:paraId="0FA5305C" w14:textId="7BC4A983" w:rsidR="009C15CB" w:rsidRPr="00B2077E" w:rsidRDefault="28D31204" w:rsidP="28D31204">
      <w:pPr>
        <w:pStyle w:val="Paragraph"/>
        <w:tabs>
          <w:tab w:val="clear" w:pos="1579"/>
          <w:tab w:val="num" w:pos="720"/>
          <w:tab w:val="num" w:pos="2016"/>
        </w:tabs>
        <w:spacing w:line="276" w:lineRule="auto"/>
        <w:ind w:left="720" w:hanging="720"/>
        <w:rPr>
          <w:rFonts w:eastAsia="Calibri" w:cs="Arial"/>
          <w:lang w:val="es-MX"/>
        </w:rPr>
      </w:pPr>
      <w:r w:rsidRPr="28D31204">
        <w:rPr>
          <w:rFonts w:eastAsia="Calibri" w:cs="Arial"/>
          <w:lang w:val="es-MX"/>
        </w:rPr>
        <w:t>Se asume entonces que los alumnos salen al mercado de trabajo con una función de distribución uniforme a lo largo del tiempo y de acuerdo a su nivel educativo alcanzado. La imputación del ingreso esperado del beneficiario se extiende a un perí</w:t>
      </w:r>
      <w:r w:rsidR="00CC7D6F">
        <w:rPr>
          <w:rFonts w:eastAsia="Calibri" w:cs="Arial"/>
          <w:lang w:val="es-MX"/>
        </w:rPr>
        <w:t>odo máximo de vida laboral de 47</w:t>
      </w:r>
      <w:r w:rsidRPr="28D31204">
        <w:rPr>
          <w:rFonts w:eastAsia="Calibri" w:cs="Arial"/>
          <w:lang w:val="es-MX"/>
        </w:rPr>
        <w:t xml:space="preserve"> años. La definición de este escenario también implica que el promedio de los alumnos beneficiarios no estuvo desempleado al salir de la escuela.</w:t>
      </w:r>
    </w:p>
    <w:p w14:paraId="4F3CE10F" w14:textId="2A07986A" w:rsidR="00106ED9" w:rsidRPr="00B2077E" w:rsidRDefault="28D31204" w:rsidP="28D31204">
      <w:pPr>
        <w:pStyle w:val="Paragraph"/>
        <w:tabs>
          <w:tab w:val="clear" w:pos="1579"/>
          <w:tab w:val="num" w:pos="720"/>
          <w:tab w:val="num" w:pos="2016"/>
        </w:tabs>
        <w:spacing w:line="276" w:lineRule="auto"/>
        <w:ind w:left="720" w:hanging="720"/>
        <w:rPr>
          <w:rFonts w:eastAsia="Calibri" w:cs="Arial"/>
          <w:lang w:val="es-MX"/>
        </w:rPr>
      </w:pPr>
      <w:r w:rsidRPr="28D31204">
        <w:rPr>
          <w:rFonts w:eastAsia="Calibri" w:cs="Arial"/>
          <w:b/>
          <w:bCs/>
          <w:lang w:val="es-MX"/>
        </w:rPr>
        <w:t>Beneficios Indirectos. Externalidades positivas</w:t>
      </w:r>
      <w:r w:rsidRPr="28D31204">
        <w:rPr>
          <w:rFonts w:eastAsia="Calibri" w:cs="Arial"/>
          <w:lang w:val="es-MX"/>
        </w:rPr>
        <w:t xml:space="preserve">: En este tipo de Programas se considera que las externalidades positivas van más allá de los indicadores de impacto utilizados en el presente estudio, pues, aunque difíciles de cuantificar se </w:t>
      </w:r>
      <w:r w:rsidRPr="28D31204">
        <w:rPr>
          <w:rFonts w:eastAsia="Calibri" w:cs="Arial"/>
          <w:lang w:val="es-MX"/>
        </w:rPr>
        <w:lastRenderedPageBreak/>
        <w:t>deben considerar a la hora de tomar decisiones sobre su rentabilidad social. A continuación, se mencionan algunas de ellas:</w:t>
      </w:r>
      <w:r w:rsidR="00460D81">
        <w:rPr>
          <w:rFonts w:eastAsia="Calibri" w:cs="Arial"/>
          <w:lang w:val="es-MX"/>
        </w:rPr>
        <w:t xml:space="preserve"> </w:t>
      </w:r>
      <w:r w:rsidRPr="28D31204">
        <w:rPr>
          <w:rFonts w:eastAsia="Calibri" w:cs="Arial"/>
          <w:lang w:val="es-MX"/>
        </w:rPr>
        <w:t xml:space="preserve">i) aumento de productividad del personal administrativo y docente con la implementación </w:t>
      </w:r>
      <w:r w:rsidR="00460D81">
        <w:rPr>
          <w:rFonts w:eastAsia="Calibri" w:cs="Arial"/>
          <w:lang w:val="es-MX"/>
        </w:rPr>
        <w:t xml:space="preserve">del proyecto; </w:t>
      </w:r>
      <w:r w:rsidRPr="28D31204">
        <w:rPr>
          <w:rFonts w:eastAsia="Calibri" w:cs="Arial"/>
          <w:lang w:val="es-MX"/>
        </w:rPr>
        <w:t>ii) aumento de la matrícula en los planteles atendidos al ser más atrac</w:t>
      </w:r>
      <w:r w:rsidR="00460D81">
        <w:rPr>
          <w:rFonts w:eastAsia="Calibri" w:cs="Arial"/>
          <w:lang w:val="es-MX"/>
        </w:rPr>
        <w:t>tivos, eficientes y con calidad</w:t>
      </w:r>
      <w:r w:rsidRPr="28D31204">
        <w:rPr>
          <w:rFonts w:eastAsia="Calibri" w:cs="Arial"/>
          <w:lang w:val="es-MX"/>
        </w:rPr>
        <w:t xml:space="preserve">; y </w:t>
      </w:r>
      <w:r w:rsidR="00460D81">
        <w:rPr>
          <w:rFonts w:eastAsia="Calibri" w:cs="Arial"/>
          <w:lang w:val="es-MX"/>
        </w:rPr>
        <w:t xml:space="preserve">eventualmente una </w:t>
      </w:r>
      <w:r w:rsidRPr="28D31204">
        <w:rPr>
          <w:rFonts w:eastAsia="Calibri" w:cs="Arial"/>
          <w:lang w:val="es-MX"/>
        </w:rPr>
        <w:t xml:space="preserve">v) mejora en la redistribución del ingreso en el país, etc. </w:t>
      </w:r>
    </w:p>
    <w:p w14:paraId="6D92D9A8" w14:textId="77777777" w:rsidR="007F4365" w:rsidRPr="00B2077E" w:rsidRDefault="28D31204" w:rsidP="28D31204">
      <w:pPr>
        <w:pStyle w:val="Heading2"/>
        <w:keepNext/>
        <w:numPr>
          <w:ilvl w:val="0"/>
          <w:numId w:val="4"/>
        </w:numPr>
        <w:tabs>
          <w:tab w:val="num" w:pos="720"/>
        </w:tabs>
        <w:spacing w:line="276" w:lineRule="auto"/>
        <w:ind w:hanging="720"/>
        <w:rPr>
          <w:rFonts w:cs="Arial"/>
          <w:color w:val="365F91"/>
          <w:lang w:val="es-MX"/>
        </w:rPr>
      </w:pPr>
      <w:r w:rsidRPr="28D31204">
        <w:rPr>
          <w:rFonts w:cs="Arial"/>
          <w:color w:val="365F91"/>
          <w:lang w:val="es-MX"/>
        </w:rPr>
        <w:t xml:space="preserve">Costos Económicos (parámetros y supuestos): </w:t>
      </w:r>
    </w:p>
    <w:p w14:paraId="35B500BC" w14:textId="77777777" w:rsidR="004D0B64" w:rsidRPr="00B2077E" w:rsidRDefault="006A1570" w:rsidP="28D31204">
      <w:pPr>
        <w:pStyle w:val="Paragraph"/>
        <w:tabs>
          <w:tab w:val="num" w:pos="720"/>
        </w:tabs>
        <w:spacing w:line="276" w:lineRule="auto"/>
        <w:ind w:left="720" w:hanging="720"/>
        <w:rPr>
          <w:rFonts w:eastAsia="Calibri" w:cs="Arial"/>
          <w:lang w:val="es-MX"/>
        </w:rPr>
      </w:pPr>
      <w:r w:rsidRPr="00B2077E">
        <w:rPr>
          <w:rFonts w:eastAsia="Calibri" w:cs="Arial"/>
          <w:lang w:val="es-MX"/>
        </w:rPr>
        <w:t xml:space="preserve">En la conducción de un ejercicio de </w:t>
      </w:r>
      <w:r w:rsidR="00106ED9" w:rsidRPr="00B2077E">
        <w:rPr>
          <w:rFonts w:eastAsia="Calibri" w:cs="Arial"/>
          <w:lang w:val="es-MX"/>
        </w:rPr>
        <w:t>ACB</w:t>
      </w:r>
      <w:r w:rsidR="00174E54" w:rsidRPr="00B2077E">
        <w:rPr>
          <w:rFonts w:eastAsia="Calibri" w:cs="Arial"/>
          <w:lang w:val="es-MX"/>
        </w:rPr>
        <w:t xml:space="preserve"> es necesario defini</w:t>
      </w:r>
      <w:r w:rsidR="00DC2391" w:rsidRPr="00B2077E">
        <w:rPr>
          <w:rFonts w:eastAsia="Calibri" w:cs="Arial"/>
          <w:lang w:val="es-MX"/>
        </w:rPr>
        <w:t xml:space="preserve">r todos los costos del </w:t>
      </w:r>
      <w:r w:rsidR="008A76D7" w:rsidRPr="00B2077E">
        <w:rPr>
          <w:rFonts w:eastAsia="Calibri" w:cs="Arial"/>
          <w:lang w:val="es-MX"/>
        </w:rPr>
        <w:t>Proyecto</w:t>
      </w:r>
      <w:r w:rsidR="00DC2391" w:rsidRPr="00B2077E">
        <w:rPr>
          <w:rFonts w:eastAsia="Calibri" w:cs="Arial"/>
          <w:lang w:val="es-MX"/>
        </w:rPr>
        <w:t xml:space="preserve">. El </w:t>
      </w:r>
      <w:r w:rsidR="008A76D7" w:rsidRPr="00B2077E">
        <w:rPr>
          <w:rFonts w:eastAsia="Calibri" w:cs="Arial"/>
          <w:lang w:val="es-MX"/>
        </w:rPr>
        <w:t>P</w:t>
      </w:r>
      <w:r w:rsidR="00DC2391" w:rsidRPr="00B2077E">
        <w:rPr>
          <w:rFonts w:eastAsia="Calibri" w:cs="Arial"/>
          <w:lang w:val="es-MX"/>
        </w:rPr>
        <w:t>royecto</w:t>
      </w:r>
      <w:r w:rsidR="00745DB6" w:rsidRPr="00B2077E">
        <w:rPr>
          <w:rFonts w:eastAsia="Calibri" w:cs="Arial"/>
          <w:lang w:val="es-MX"/>
        </w:rPr>
        <w:t xml:space="preserve"> </w:t>
      </w:r>
      <w:r w:rsidR="00174E54" w:rsidRPr="00B2077E">
        <w:rPr>
          <w:rFonts w:eastAsia="Calibri" w:cs="Arial"/>
          <w:lang w:val="es-MX"/>
        </w:rPr>
        <w:t>representa una inversión en capital humano a través de mejoras en la calidad de la oferta educativa</w:t>
      </w:r>
      <w:r w:rsidR="00DC2391" w:rsidRPr="00B2077E">
        <w:rPr>
          <w:rFonts w:eastAsia="Calibri" w:cs="Arial"/>
          <w:lang w:val="es-MX"/>
        </w:rPr>
        <w:t>.</w:t>
      </w:r>
      <w:r w:rsidR="00174E54" w:rsidRPr="00B2077E">
        <w:rPr>
          <w:rFonts w:eastAsia="Calibri" w:cs="Arial"/>
          <w:vertAlign w:val="superscript"/>
          <w:lang w:val="es-MX"/>
        </w:rPr>
        <w:footnoteReference w:id="9"/>
      </w:r>
      <w:r w:rsidR="00174E54" w:rsidRPr="00B2077E">
        <w:rPr>
          <w:rFonts w:eastAsia="Calibri" w:cs="Arial"/>
          <w:lang w:val="es-MX"/>
        </w:rPr>
        <w:t xml:space="preserve"> </w:t>
      </w:r>
      <w:r w:rsidR="00DC2391" w:rsidRPr="00B2077E">
        <w:rPr>
          <w:rFonts w:eastAsia="Calibri" w:cs="Arial"/>
          <w:lang w:val="es-MX"/>
        </w:rPr>
        <w:t>De manera que l</w:t>
      </w:r>
      <w:r w:rsidR="00174E54" w:rsidRPr="00B2077E">
        <w:rPr>
          <w:rFonts w:eastAsia="Calibri" w:cs="Arial"/>
          <w:lang w:val="es-MX"/>
        </w:rPr>
        <w:t>os costos se calcularon en función a los siguientes supuestos</w:t>
      </w:r>
      <w:r w:rsidR="004D0B64" w:rsidRPr="00B2077E">
        <w:rPr>
          <w:rFonts w:eastAsia="Calibri" w:cs="Arial"/>
          <w:lang w:val="es-MX"/>
        </w:rPr>
        <w:t>:</w:t>
      </w:r>
    </w:p>
    <w:p w14:paraId="7BEA0C20" w14:textId="6D0DEF57" w:rsidR="005933BB" w:rsidRPr="00B2077E" w:rsidRDefault="28D31204" w:rsidP="28D31204">
      <w:pPr>
        <w:pStyle w:val="subpar"/>
        <w:tabs>
          <w:tab w:val="clear" w:pos="2592"/>
          <w:tab w:val="num" w:pos="0"/>
        </w:tabs>
        <w:spacing w:line="276" w:lineRule="auto"/>
        <w:ind w:left="1170"/>
        <w:rPr>
          <w:rFonts w:ascii="Arial" w:eastAsia="Calibri" w:hAnsi="Arial" w:cs="Arial"/>
          <w:sz w:val="22"/>
          <w:szCs w:val="22"/>
          <w:lang w:val="es-MX"/>
        </w:rPr>
      </w:pPr>
      <w:r w:rsidRPr="28D31204">
        <w:rPr>
          <w:rFonts w:ascii="Arial" w:eastAsia="Calibri" w:hAnsi="Arial" w:cs="Arial"/>
          <w:sz w:val="22"/>
          <w:szCs w:val="22"/>
          <w:lang w:val="es-MX"/>
        </w:rPr>
        <w:t xml:space="preserve">Se considera solamente la inversión </w:t>
      </w:r>
      <w:r w:rsidR="00F736AA">
        <w:rPr>
          <w:rFonts w:ascii="Arial" w:eastAsia="Calibri" w:hAnsi="Arial" w:cs="Arial"/>
          <w:sz w:val="22"/>
          <w:szCs w:val="22"/>
          <w:lang w:val="es-MX"/>
        </w:rPr>
        <w:t>realizada</w:t>
      </w:r>
      <w:r w:rsidRPr="28D31204">
        <w:rPr>
          <w:rFonts w:ascii="Arial" w:eastAsia="Calibri" w:hAnsi="Arial" w:cs="Arial"/>
          <w:sz w:val="22"/>
          <w:szCs w:val="22"/>
          <w:lang w:val="es-MX"/>
        </w:rPr>
        <w:t xml:space="preserve"> durante la vida</w:t>
      </w:r>
      <w:r w:rsidR="00F736AA">
        <w:rPr>
          <w:rFonts w:ascii="Arial" w:eastAsia="Calibri" w:hAnsi="Arial" w:cs="Arial"/>
          <w:sz w:val="22"/>
          <w:szCs w:val="22"/>
          <w:lang w:val="es-MX"/>
        </w:rPr>
        <w:t xml:space="preserve"> del Proyecto que –</w:t>
      </w:r>
      <w:r w:rsidRPr="28D31204">
        <w:rPr>
          <w:rFonts w:ascii="Arial" w:eastAsia="Calibri" w:hAnsi="Arial" w:cs="Arial"/>
          <w:sz w:val="22"/>
          <w:szCs w:val="22"/>
          <w:lang w:val="es-MX"/>
        </w:rPr>
        <w:t xml:space="preserve">financiamiento del BID </w:t>
      </w:r>
      <w:r w:rsidR="00F736AA">
        <w:rPr>
          <w:rFonts w:ascii="Arial" w:eastAsia="Calibri" w:hAnsi="Arial" w:cs="Arial"/>
          <w:sz w:val="22"/>
          <w:szCs w:val="22"/>
          <w:lang w:val="es-MX"/>
        </w:rPr>
        <w:t xml:space="preserve">y contraparte- </w:t>
      </w:r>
      <w:r w:rsidRPr="28D31204">
        <w:rPr>
          <w:rFonts w:ascii="Arial" w:eastAsia="Calibri" w:hAnsi="Arial" w:cs="Arial"/>
          <w:sz w:val="22"/>
          <w:szCs w:val="22"/>
          <w:lang w:val="es-MX"/>
        </w:rPr>
        <w:t>y</w:t>
      </w:r>
      <w:r w:rsidR="00F736AA">
        <w:rPr>
          <w:rFonts w:ascii="Arial" w:eastAsia="Calibri" w:hAnsi="Arial" w:cs="Arial"/>
          <w:sz w:val="22"/>
          <w:szCs w:val="22"/>
          <w:lang w:val="es-MX"/>
        </w:rPr>
        <w:t xml:space="preserve"> aquella en la que incurrirá el MINERD </w:t>
      </w:r>
      <w:r w:rsidRPr="28D31204">
        <w:rPr>
          <w:rFonts w:ascii="Arial" w:eastAsia="Calibri" w:hAnsi="Arial" w:cs="Arial"/>
          <w:sz w:val="22"/>
          <w:szCs w:val="22"/>
          <w:lang w:val="es-MX"/>
        </w:rPr>
        <w:t xml:space="preserve">para financiar cohortes adicionales que se beneficiarán de la construcción de </w:t>
      </w:r>
      <w:r w:rsidR="00F736AA">
        <w:rPr>
          <w:rFonts w:ascii="Arial" w:eastAsia="Calibri" w:hAnsi="Arial" w:cs="Arial"/>
          <w:sz w:val="22"/>
          <w:szCs w:val="22"/>
          <w:lang w:val="es-MX"/>
        </w:rPr>
        <w:t>escuelas primarias</w:t>
      </w:r>
      <w:r w:rsidRPr="28D31204">
        <w:rPr>
          <w:rFonts w:ascii="Arial" w:eastAsia="Calibri" w:hAnsi="Arial" w:cs="Arial"/>
          <w:sz w:val="22"/>
          <w:szCs w:val="22"/>
          <w:lang w:val="es-MX"/>
        </w:rPr>
        <w:t>.</w:t>
      </w:r>
    </w:p>
    <w:p w14:paraId="5CE0340A" w14:textId="19F0E4B3" w:rsidR="004D0B64" w:rsidRPr="00B2077E" w:rsidRDefault="28D31204" w:rsidP="28D31204">
      <w:pPr>
        <w:pStyle w:val="subpar"/>
        <w:tabs>
          <w:tab w:val="clear" w:pos="2592"/>
          <w:tab w:val="num" w:pos="0"/>
        </w:tabs>
        <w:spacing w:line="276" w:lineRule="auto"/>
        <w:ind w:left="1170"/>
        <w:rPr>
          <w:rFonts w:ascii="Arial" w:eastAsia="Calibri" w:hAnsi="Arial" w:cs="Arial"/>
          <w:sz w:val="22"/>
          <w:szCs w:val="22"/>
          <w:lang w:val="es-MX"/>
        </w:rPr>
      </w:pPr>
      <w:r w:rsidRPr="28D31204">
        <w:rPr>
          <w:rFonts w:ascii="Arial" w:eastAsia="Calibri" w:hAnsi="Arial" w:cs="Arial"/>
          <w:sz w:val="22"/>
          <w:szCs w:val="22"/>
          <w:lang w:val="es-MX"/>
        </w:rPr>
        <w:t xml:space="preserve">Se </w:t>
      </w:r>
      <w:r w:rsidR="00F736AA">
        <w:rPr>
          <w:rFonts w:ascii="Arial" w:eastAsia="Calibri" w:hAnsi="Arial" w:cs="Arial"/>
          <w:sz w:val="22"/>
          <w:szCs w:val="22"/>
          <w:lang w:val="es-MX"/>
        </w:rPr>
        <w:t xml:space="preserve">asumió </w:t>
      </w:r>
      <w:r w:rsidRPr="28D31204">
        <w:rPr>
          <w:rFonts w:ascii="Arial" w:eastAsia="Calibri" w:hAnsi="Arial" w:cs="Arial"/>
          <w:sz w:val="22"/>
          <w:szCs w:val="22"/>
          <w:lang w:val="es-MX"/>
        </w:rPr>
        <w:t xml:space="preserve">que los </w:t>
      </w:r>
      <w:r w:rsidR="00F736AA">
        <w:rPr>
          <w:rFonts w:ascii="Arial" w:eastAsia="Calibri" w:hAnsi="Arial" w:cs="Arial"/>
          <w:sz w:val="22"/>
          <w:szCs w:val="22"/>
          <w:lang w:val="es-MX"/>
        </w:rPr>
        <w:t xml:space="preserve">recursos del proyecto se desembolsaron durante el primer </w:t>
      </w:r>
      <w:r w:rsidRPr="28D31204">
        <w:rPr>
          <w:rFonts w:ascii="Arial" w:eastAsia="Calibri" w:hAnsi="Arial" w:cs="Arial"/>
          <w:sz w:val="22"/>
          <w:szCs w:val="22"/>
          <w:lang w:val="es-MX"/>
        </w:rPr>
        <w:t>a</w:t>
      </w:r>
      <w:r w:rsidR="00F736AA">
        <w:rPr>
          <w:rFonts w:ascii="Arial" w:eastAsia="Calibri" w:hAnsi="Arial" w:cs="Arial"/>
          <w:sz w:val="22"/>
          <w:szCs w:val="22"/>
          <w:lang w:val="es-MX"/>
        </w:rPr>
        <w:t>ño</w:t>
      </w:r>
      <w:r w:rsidRPr="28D31204">
        <w:rPr>
          <w:rFonts w:ascii="Arial" w:eastAsia="Calibri" w:hAnsi="Arial" w:cs="Arial"/>
          <w:sz w:val="22"/>
          <w:szCs w:val="22"/>
          <w:lang w:val="es-MX"/>
        </w:rPr>
        <w:t xml:space="preserve"> de ejecución de la operación. </w:t>
      </w:r>
    </w:p>
    <w:p w14:paraId="20394CC2" w14:textId="77777777" w:rsidR="0034030B" w:rsidRPr="00B2077E" w:rsidRDefault="28D31204" w:rsidP="28D31204">
      <w:pPr>
        <w:pStyle w:val="subpar"/>
        <w:tabs>
          <w:tab w:val="clear" w:pos="2592"/>
          <w:tab w:val="num" w:pos="0"/>
        </w:tabs>
        <w:spacing w:line="276" w:lineRule="auto"/>
        <w:ind w:left="1170"/>
        <w:rPr>
          <w:rFonts w:ascii="Arial" w:eastAsia="Calibri" w:hAnsi="Arial" w:cs="Arial"/>
          <w:sz w:val="22"/>
          <w:szCs w:val="22"/>
          <w:lang w:val="es-MX"/>
        </w:rPr>
      </w:pPr>
      <w:r w:rsidRPr="28D31204">
        <w:rPr>
          <w:rFonts w:ascii="Arial" w:eastAsia="Calibri" w:hAnsi="Arial" w:cs="Arial"/>
          <w:sz w:val="22"/>
          <w:szCs w:val="22"/>
          <w:lang w:val="es-MX"/>
        </w:rPr>
        <w:t>Las imputaciones de cada tipo de gasto se hacen por alumno o por beneficiario por año, y luego se agregan en totales.</w:t>
      </w:r>
    </w:p>
    <w:p w14:paraId="5142823F" w14:textId="701B907D" w:rsidR="00BA1165" w:rsidRPr="00B2077E" w:rsidRDefault="28D31204" w:rsidP="28D31204">
      <w:pPr>
        <w:pStyle w:val="Paragraph"/>
        <w:tabs>
          <w:tab w:val="num" w:pos="720"/>
        </w:tabs>
        <w:spacing w:line="276" w:lineRule="auto"/>
        <w:ind w:left="720" w:hanging="720"/>
        <w:rPr>
          <w:rFonts w:eastAsia="Calibri" w:cs="Arial"/>
          <w:u w:val="single"/>
          <w:lang w:val="es-MX"/>
        </w:rPr>
      </w:pPr>
      <w:r w:rsidRPr="28D31204">
        <w:rPr>
          <w:rFonts w:eastAsia="Calibri" w:cs="Arial"/>
          <w:b/>
          <w:bCs/>
          <w:lang w:val="es-MX"/>
        </w:rPr>
        <w:t>Costos Sociales Directos: Costo fiscal del Proyecto.</w:t>
      </w:r>
      <w:r w:rsidRPr="28D31204">
        <w:rPr>
          <w:rFonts w:eastAsia="Calibri" w:cs="Arial"/>
          <w:lang w:val="es-MX"/>
        </w:rPr>
        <w:t xml:space="preserve"> Es el importe total de la inversión que el Gobierno de </w:t>
      </w:r>
      <w:r w:rsidR="00B71EB2">
        <w:rPr>
          <w:rFonts w:eastAsia="Calibri" w:cs="Arial"/>
          <w:lang w:val="es-MX"/>
        </w:rPr>
        <w:t xml:space="preserve">República Dominicana ejecutó a través del MINERD </w:t>
      </w:r>
      <w:r w:rsidRPr="28D31204">
        <w:rPr>
          <w:rFonts w:eastAsia="Calibri" w:cs="Arial"/>
          <w:lang w:val="es-MX"/>
        </w:rPr>
        <w:t>durante el período 201</w:t>
      </w:r>
      <w:r w:rsidR="00B71EB2">
        <w:rPr>
          <w:rFonts w:eastAsia="Calibri" w:cs="Arial"/>
          <w:lang w:val="es-MX"/>
        </w:rPr>
        <w:t>4 y 2017</w:t>
      </w:r>
      <w:r w:rsidRPr="28D31204">
        <w:rPr>
          <w:rFonts w:eastAsia="Calibri" w:cs="Arial"/>
          <w:lang w:val="es-MX"/>
        </w:rPr>
        <w:t xml:space="preserve"> (ver tabla de costos del proyecto en </w:t>
      </w:r>
      <w:r w:rsidRPr="00D07B86">
        <w:rPr>
          <w:rFonts w:eastAsia="Calibri" w:cs="Arial"/>
          <w:lang w:val="es-MX"/>
        </w:rPr>
        <w:t>Anexo</w:t>
      </w:r>
      <w:r w:rsidRPr="28D31204">
        <w:rPr>
          <w:rFonts w:eastAsia="Calibri" w:cs="Arial"/>
          <w:lang w:val="es-MX"/>
        </w:rPr>
        <w:t xml:space="preserve"> I). Para este análisis económico se considera la proporción financiada a través del BID </w:t>
      </w:r>
      <w:r w:rsidR="00B71EB2">
        <w:rPr>
          <w:rFonts w:eastAsia="Calibri" w:cs="Arial"/>
          <w:lang w:val="es-MX"/>
        </w:rPr>
        <w:t>y el MINERD</w:t>
      </w:r>
      <w:r w:rsidRPr="28D31204">
        <w:rPr>
          <w:rFonts w:eastAsia="Calibri" w:cs="Arial"/>
          <w:lang w:val="es-MX"/>
        </w:rPr>
        <w:t xml:space="preserve"> que cubre todo lo necesario para que el alumno beneficiado reciba la oferta mejorada, incluyendo costo del docente, los materiales didácticos y el mantenimiento de las instalaciones. Por otro lado, se proyectan costos relacionados a los cohortes beneficiados por la infraestructura que se genera</w:t>
      </w:r>
      <w:r w:rsidR="00B71EB2">
        <w:rPr>
          <w:rFonts w:eastAsia="Calibri" w:cs="Arial"/>
          <w:lang w:val="es-MX"/>
        </w:rPr>
        <w:t>rán durante 27</w:t>
      </w:r>
      <w:r w:rsidRPr="28D31204">
        <w:rPr>
          <w:rFonts w:eastAsia="Calibri" w:cs="Arial"/>
          <w:lang w:val="es-MX"/>
        </w:rPr>
        <w:t xml:space="preserve"> años después </w:t>
      </w:r>
      <w:r w:rsidR="00B71EB2">
        <w:rPr>
          <w:rFonts w:eastAsia="Calibri" w:cs="Arial"/>
          <w:lang w:val="es-MX"/>
        </w:rPr>
        <w:t>de concluida la operación (los 3 años iniciales, de los 30</w:t>
      </w:r>
      <w:r w:rsidRPr="28D31204">
        <w:rPr>
          <w:rFonts w:eastAsia="Calibri" w:cs="Arial"/>
          <w:lang w:val="es-MX"/>
        </w:rPr>
        <w:t xml:space="preserve"> años de vida útil de la infraestructura, están cubiertos por el préstamo). El costo estimado por niño por centro en un </w:t>
      </w:r>
      <w:r w:rsidR="005A60A0">
        <w:rPr>
          <w:rFonts w:eastAsia="Calibri" w:cs="Arial"/>
          <w:lang w:val="es-MX"/>
        </w:rPr>
        <w:t>año es de aproximadamente US$425.88 (Lizardo 2010)</w:t>
      </w:r>
      <w:r w:rsidRPr="28D31204">
        <w:rPr>
          <w:rFonts w:eastAsia="Calibri" w:cs="Arial"/>
          <w:lang w:val="es-MX"/>
        </w:rPr>
        <w:t>, y cubre la operación del centro incluyendo materiales y docentes entre otros.</w:t>
      </w:r>
    </w:p>
    <w:p w14:paraId="7F8B8792" w14:textId="091BDCAE" w:rsidR="007D2D60" w:rsidRPr="00B2077E" w:rsidRDefault="28D31204" w:rsidP="28D31204">
      <w:pPr>
        <w:pStyle w:val="Paragraph"/>
        <w:tabs>
          <w:tab w:val="num" w:pos="720"/>
        </w:tabs>
        <w:spacing w:line="276" w:lineRule="auto"/>
        <w:ind w:left="720" w:hanging="720"/>
        <w:rPr>
          <w:rFonts w:eastAsia="Calibri" w:cs="Arial"/>
          <w:u w:val="single"/>
          <w:lang w:val="es-MX"/>
        </w:rPr>
      </w:pPr>
      <w:r w:rsidRPr="28D31204">
        <w:rPr>
          <w:rFonts w:cs="Arial"/>
          <w:b/>
          <w:bCs/>
          <w:lang w:val="es-MX"/>
        </w:rPr>
        <w:t>Flujo de caja y selección de la tasa de descuento</w:t>
      </w:r>
      <w:r w:rsidRPr="28D31204">
        <w:rPr>
          <w:rFonts w:eastAsia="Calibri" w:cs="Arial"/>
          <w:lang w:val="es-MX"/>
        </w:rPr>
        <w:t>. En el caso del Proyecto, y en la mayoría de otras inversiones en programas sociales, los costos y los beneficios se producen en momentos distintos. Mientras que los costos del Proyecto (para los fines</w:t>
      </w:r>
      <w:r w:rsidR="0041248E">
        <w:rPr>
          <w:rFonts w:eastAsia="Calibri" w:cs="Arial"/>
          <w:lang w:val="es-MX"/>
        </w:rPr>
        <w:t xml:space="preserve"> de este análisis) se generaron entre el 2014 y el 2017</w:t>
      </w:r>
      <w:r w:rsidRPr="28D31204">
        <w:rPr>
          <w:rFonts w:eastAsia="Calibri" w:cs="Arial"/>
          <w:lang w:val="es-MX"/>
        </w:rPr>
        <w:t xml:space="preserve">, se </w:t>
      </w:r>
      <w:r w:rsidRPr="28D31204">
        <w:rPr>
          <w:rFonts w:eastAsia="Calibri" w:cs="Arial"/>
          <w:lang w:val="es-MX"/>
        </w:rPr>
        <w:lastRenderedPageBreak/>
        <w:t>espera que los beneficios ocurran en la medida que los beneficiarios vayan ingresando al mercado laboral. Cada año durante la vida del proyecto y sus efectos generados, una cohorte nueva observa mejoras en su desempeño y con ello logramos un incremento en la escolaridad de los beneficiarios comparado a la alternativa sin Proyecto.</w:t>
      </w:r>
    </w:p>
    <w:p w14:paraId="26DCE054" w14:textId="09B7C527" w:rsidR="00284840"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Los beneficios se estiman suponiendo que todos los beneficiarios se emplean y cumplen la totalidad de su ciclo de vida en el merc</w:t>
      </w:r>
      <w:r w:rsidR="0041248E">
        <w:rPr>
          <w:rFonts w:eastAsia="Calibri" w:cs="Arial"/>
          <w:lang w:val="es-MX"/>
        </w:rPr>
        <w:t>ado laboral, un aproximado de 47</w:t>
      </w:r>
      <w:r w:rsidRPr="28D31204">
        <w:rPr>
          <w:rFonts w:eastAsia="Calibri" w:cs="Arial"/>
          <w:lang w:val="es-MX"/>
        </w:rPr>
        <w:t xml:space="preserve"> años </w:t>
      </w:r>
      <w:r w:rsidR="0041248E">
        <w:rPr>
          <w:rFonts w:eastAsia="Calibri" w:cs="Arial"/>
          <w:lang w:val="es-MX"/>
        </w:rPr>
        <w:t xml:space="preserve">máximo </w:t>
      </w:r>
      <w:r w:rsidRPr="28D31204">
        <w:rPr>
          <w:rFonts w:eastAsia="Calibri" w:cs="Arial"/>
          <w:lang w:val="es-MX"/>
        </w:rPr>
        <w:t>hasta el retiro.</w:t>
      </w:r>
    </w:p>
    <w:p w14:paraId="0296CCC3" w14:textId="77777777" w:rsidR="00967EAB" w:rsidRPr="00B2077E" w:rsidRDefault="28D31204" w:rsidP="28D31204">
      <w:pPr>
        <w:pStyle w:val="Paragraph"/>
        <w:tabs>
          <w:tab w:val="num" w:pos="720"/>
        </w:tabs>
        <w:spacing w:line="276" w:lineRule="auto"/>
        <w:ind w:left="720" w:hanging="720"/>
        <w:rPr>
          <w:rFonts w:cs="Arial"/>
          <w:b/>
          <w:bCs/>
          <w:lang w:val="es-MX"/>
        </w:rPr>
      </w:pPr>
      <w:r w:rsidRPr="28D31204">
        <w:rPr>
          <w:rFonts w:cs="Arial"/>
          <w:b/>
          <w:bCs/>
          <w:lang w:val="es-MX"/>
        </w:rPr>
        <w:t xml:space="preserve">Indicadores de rentabilidad y resultados de ACB. </w:t>
      </w:r>
      <w:r w:rsidRPr="28D31204">
        <w:rPr>
          <w:rFonts w:eastAsia="Calibri" w:cs="Arial"/>
          <w:lang w:val="es-MX"/>
        </w:rPr>
        <w:t xml:space="preserve">La rentabilidad económica del Proyecto se calculó mediante los indicadores estándar utilizados en los ACB: Valor Actual Neto (VAN), Tasa Interna de Retorno (TIR) y el ratio Beneficio Costo B/C. </w:t>
      </w:r>
    </w:p>
    <w:p w14:paraId="6E3A0AF0" w14:textId="77777777" w:rsidR="00284840"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En el caso de inversiones en educación, la rentabilidad es una medida del retorno social y/o privado de los recursos invertidos en el nuevo modelo educativo. La tasa de retorno social mide la relación entre el diferencial de ingresos futuros esperados antes de impuestos de los alumnos que no abandonaron el sistema o que gracias a la oferta generada se incorporaron al sistema, y aquellos que no lo hicieron.</w:t>
      </w:r>
    </w:p>
    <w:p w14:paraId="43C27893" w14:textId="77777777" w:rsidR="00567075"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El VAN es el indicador que se utiliza como primera referencia para conocer el desempeño económico de una inversión, depende mucho de la tasa de descuento que se elija y del tiempo de la inversión. Sin embargo, el valor del VAN no es muy informativo en proyectos sociales como en educación, ya que acarrean un conjunto de externalidades positivas que difícilmente se pueden monetizar. En estos casos el VAN puede interpretarse como una cota inferior de la rentabilidad del proyecto. Si el VAN es positivo implica que los beneficios sociales del Proyecto (derivados de su indicador de impacto) compensan el costo de oportunidad de los recursos utilizados. Lo contrario si es negativo. </w:t>
      </w:r>
    </w:p>
    <w:p w14:paraId="169872A7" w14:textId="77777777" w:rsidR="00B15784" w:rsidRPr="00B2077E" w:rsidRDefault="0059683F" w:rsidP="28D31204">
      <w:pPr>
        <w:pStyle w:val="Paragraph"/>
        <w:tabs>
          <w:tab w:val="num" w:pos="720"/>
        </w:tabs>
        <w:spacing w:line="276" w:lineRule="auto"/>
        <w:ind w:left="720" w:hanging="720"/>
        <w:rPr>
          <w:rFonts w:eastAsia="Calibri" w:cs="Arial"/>
          <w:lang w:val="es-MX"/>
        </w:rPr>
      </w:pPr>
      <w:r w:rsidRPr="00B2077E">
        <w:rPr>
          <w:rFonts w:eastAsia="Calibri" w:cs="Arial"/>
          <w:lang w:val="es-MX"/>
        </w:rPr>
        <w:t>La TIR es un indicador más robusto e in</w:t>
      </w:r>
      <w:r w:rsidR="00A66789" w:rsidRPr="00B2077E">
        <w:rPr>
          <w:rFonts w:eastAsia="Calibri" w:cs="Arial"/>
          <w:lang w:val="es-MX"/>
        </w:rPr>
        <w:t>formativo de la rentabilidad de la inversión</w:t>
      </w:r>
      <w:r w:rsidRPr="00B2077E">
        <w:rPr>
          <w:rFonts w:eastAsia="Calibri" w:cs="Arial"/>
          <w:lang w:val="es-MX"/>
        </w:rPr>
        <w:t>, ya que no depende de la tasa de descuento establecida, ni del tiempo, ni del tamaño de la inversión</w:t>
      </w:r>
      <w:r w:rsidR="00006C79" w:rsidRPr="00B2077E">
        <w:rPr>
          <w:rFonts w:eastAsia="Calibri" w:cs="Arial"/>
          <w:lang w:val="es-MX"/>
        </w:rPr>
        <w:t xml:space="preserve">. </w:t>
      </w:r>
      <w:r w:rsidR="00E63653" w:rsidRPr="00B2077E">
        <w:rPr>
          <w:rFonts w:eastAsia="Calibri" w:cs="Arial"/>
          <w:lang w:val="es-MX"/>
        </w:rPr>
        <w:t xml:space="preserve">Su resultado es </w:t>
      </w:r>
      <w:r w:rsidR="00E63653" w:rsidRPr="28D31204">
        <w:rPr>
          <w:rFonts w:eastAsia="Calibri" w:cs="Arial"/>
          <w:lang w:val="es-MX"/>
        </w:rPr>
        <w:t>la</w:t>
      </w:r>
      <w:r w:rsidR="00E63653" w:rsidRPr="28D31204">
        <w:rPr>
          <w:rFonts w:eastAsia="Calibri" w:cs="Arial"/>
          <w:b/>
          <w:bCs/>
          <w:lang w:val="es-MX"/>
        </w:rPr>
        <w:t xml:space="preserve"> </w:t>
      </w:r>
      <w:r w:rsidR="00E63653" w:rsidRPr="28D31204">
        <w:rPr>
          <w:rStyle w:val="Strong"/>
          <w:rFonts w:cs="Arial"/>
          <w:b w:val="0"/>
          <w:bCs w:val="0"/>
          <w:color w:val="333333"/>
          <w:shd w:val="clear" w:color="auto" w:fill="FEFEFE"/>
        </w:rPr>
        <w:t>tasa de rentabilidad que ofrece una inversión cuando el VAN tiene valor cero.</w:t>
      </w:r>
    </w:p>
    <w:p w14:paraId="71731C93" w14:textId="77777777" w:rsidR="00006C79"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Otro indicador que se considera es proporción de beneficios a costos B/C que indica el grado de cobertura de la inversión.</w:t>
      </w:r>
    </w:p>
    <w:p w14:paraId="681C1E2C" w14:textId="77777777" w:rsidR="000A3AAA" w:rsidRPr="00B2077E" w:rsidRDefault="28D31204" w:rsidP="28D31204">
      <w:pPr>
        <w:pStyle w:val="Paragraph"/>
        <w:keepNext/>
        <w:numPr>
          <w:ilvl w:val="1"/>
          <w:numId w:val="0"/>
        </w:numPr>
        <w:spacing w:line="276" w:lineRule="auto"/>
        <w:ind w:left="720"/>
        <w:jc w:val="center"/>
        <w:rPr>
          <w:rFonts w:eastAsia="Calibri" w:cs="Arial"/>
          <w:b/>
          <w:bCs/>
          <w:sz w:val="20"/>
          <w:szCs w:val="20"/>
          <w:lang w:val="es-MX"/>
        </w:rPr>
      </w:pPr>
      <w:r w:rsidRPr="28D31204">
        <w:rPr>
          <w:rFonts w:eastAsia="Calibri" w:cs="Arial"/>
          <w:b/>
          <w:bCs/>
          <w:sz w:val="20"/>
          <w:szCs w:val="20"/>
          <w:lang w:val="es-MX"/>
        </w:rPr>
        <w:lastRenderedPageBreak/>
        <w:t xml:space="preserve">RESUMEN DE INDICADORES </w:t>
      </w:r>
    </w:p>
    <w:p w14:paraId="19BE780C" w14:textId="77777777" w:rsidR="00643E68" w:rsidRPr="00B2077E" w:rsidRDefault="28D31204" w:rsidP="28D31204">
      <w:pPr>
        <w:pStyle w:val="Paragraph"/>
        <w:keepNext/>
        <w:numPr>
          <w:ilvl w:val="1"/>
          <w:numId w:val="0"/>
        </w:numPr>
        <w:pBdr>
          <w:top w:val="single" w:sz="4" w:space="1" w:color="auto"/>
          <w:left w:val="single" w:sz="4" w:space="4" w:color="auto"/>
          <w:bottom w:val="single" w:sz="4" w:space="1" w:color="auto"/>
          <w:right w:val="single" w:sz="4" w:space="4" w:color="auto"/>
        </w:pBdr>
        <w:spacing w:line="276" w:lineRule="auto"/>
        <w:ind w:left="720"/>
        <w:rPr>
          <w:rFonts w:eastAsia="Calibri" w:cs="Arial"/>
          <w:sz w:val="20"/>
          <w:szCs w:val="20"/>
          <w:lang w:val="es-MX"/>
        </w:rPr>
      </w:pPr>
      <w:r w:rsidRPr="28D31204">
        <w:rPr>
          <w:rFonts w:eastAsia="Calibri" w:cs="Arial"/>
          <w:b/>
          <w:bCs/>
          <w:sz w:val="20"/>
          <w:szCs w:val="20"/>
          <w:lang w:val="es-MX"/>
        </w:rPr>
        <w:t>El Valor Presente Neto o VAN:</w:t>
      </w:r>
      <w:r w:rsidRPr="28D31204">
        <w:rPr>
          <w:rFonts w:eastAsia="Calibri" w:cs="Arial"/>
          <w:sz w:val="20"/>
          <w:szCs w:val="20"/>
          <w:lang w:val="es-MX"/>
        </w:rPr>
        <w:t xml:space="preserve"> Son los flujos de beneficios netos generados en tiempo, descontados a valor presente. El Proyecto se considera rentable si su VAN es positivo. </w:t>
      </w:r>
    </w:p>
    <w:p w14:paraId="3B1013B7" w14:textId="77777777" w:rsidR="005D757A" w:rsidRPr="00B2077E" w:rsidRDefault="002C7E7C" w:rsidP="002A743C">
      <w:pPr>
        <w:pStyle w:val="Paragraph"/>
        <w:keepNext/>
        <w:numPr>
          <w:ilvl w:val="0"/>
          <w:numId w:val="0"/>
        </w:numPr>
        <w:pBdr>
          <w:top w:val="single" w:sz="4" w:space="1" w:color="auto"/>
          <w:left w:val="single" w:sz="4" w:space="4" w:color="auto"/>
          <w:bottom w:val="single" w:sz="4" w:space="1" w:color="auto"/>
          <w:right w:val="single" w:sz="4" w:space="4" w:color="auto"/>
        </w:pBdr>
        <w:shd w:val="pct5" w:color="auto" w:fill="auto"/>
        <w:spacing w:line="276" w:lineRule="auto"/>
        <w:ind w:left="720"/>
        <w:rPr>
          <w:rFonts w:eastAsia="Calibri" w:cs="Arial"/>
          <w:b/>
          <w:sz w:val="20"/>
          <w:szCs w:val="20"/>
          <w:lang w:val="es-MX"/>
        </w:rPr>
      </w:pPr>
      <w:r>
        <w:rPr>
          <w:rFonts w:eastAsia="Calibri" w:cs="Arial"/>
          <w:noProof/>
          <w:sz w:val="20"/>
          <w:szCs w:val="20"/>
          <w:lang w:val="en-US" w:eastAsia="en-US"/>
        </w:rPr>
        <w:drawing>
          <wp:inline distT="0" distB="0" distL="0" distR="0" wp14:anchorId="4D5E07EB" wp14:editId="2B62A6DA">
            <wp:extent cx="5486400" cy="450850"/>
            <wp:effectExtent l="0" t="0" r="0" b="635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86400" cy="450850"/>
                    </a:xfrm>
                    <a:prstGeom prst="rect">
                      <a:avLst/>
                    </a:prstGeom>
                    <a:noFill/>
                    <a:ln>
                      <a:noFill/>
                    </a:ln>
                  </pic:spPr>
                </pic:pic>
              </a:graphicData>
            </a:graphic>
          </wp:inline>
        </w:drawing>
      </w:r>
    </w:p>
    <w:p w14:paraId="72D12586" w14:textId="77777777" w:rsidR="00B626B6" w:rsidRPr="00B2077E" w:rsidRDefault="28D31204" w:rsidP="28D31204">
      <w:pPr>
        <w:pStyle w:val="Paragraph"/>
        <w:keepNext/>
        <w:numPr>
          <w:ilvl w:val="1"/>
          <w:numId w:val="0"/>
        </w:numPr>
        <w:pBdr>
          <w:top w:val="single" w:sz="4" w:space="1" w:color="auto"/>
          <w:left w:val="single" w:sz="4" w:space="4" w:color="auto"/>
          <w:bottom w:val="single" w:sz="4" w:space="1" w:color="auto"/>
          <w:right w:val="single" w:sz="4" w:space="4" w:color="auto"/>
        </w:pBdr>
        <w:spacing w:line="276" w:lineRule="auto"/>
        <w:ind w:left="720"/>
        <w:rPr>
          <w:rFonts w:eastAsia="Calibri" w:cs="Arial"/>
          <w:sz w:val="20"/>
          <w:szCs w:val="20"/>
          <w:lang w:val="es-MX"/>
        </w:rPr>
      </w:pPr>
      <w:r w:rsidRPr="28D31204">
        <w:rPr>
          <w:rFonts w:eastAsia="Calibri" w:cs="Arial"/>
          <w:b/>
          <w:bCs/>
          <w:sz w:val="20"/>
          <w:szCs w:val="20"/>
          <w:lang w:val="es-MX"/>
        </w:rPr>
        <w:t>Tasa Interna de Retorno o TIR</w:t>
      </w:r>
      <w:r w:rsidRPr="28D31204">
        <w:rPr>
          <w:rFonts w:eastAsia="Calibri" w:cs="Arial"/>
          <w:sz w:val="20"/>
          <w:szCs w:val="20"/>
          <w:lang w:val="es-MX"/>
        </w:rPr>
        <w:t>: Es la tasa que iguala los beneficios y costos a valor presente.</w:t>
      </w:r>
    </w:p>
    <w:p w14:paraId="5C9981E9" w14:textId="77777777" w:rsidR="003E1CB2" w:rsidRPr="00B2077E" w:rsidRDefault="28D31204" w:rsidP="28D31204">
      <w:pPr>
        <w:pStyle w:val="Paragraph"/>
        <w:keepNext/>
        <w:numPr>
          <w:ilvl w:val="1"/>
          <w:numId w:val="0"/>
        </w:numPr>
        <w:pBdr>
          <w:top w:val="single" w:sz="4" w:space="1" w:color="auto"/>
          <w:left w:val="single" w:sz="4" w:space="4" w:color="auto"/>
          <w:bottom w:val="single" w:sz="4" w:space="1" w:color="auto"/>
          <w:right w:val="single" w:sz="4" w:space="4" w:color="auto"/>
        </w:pBdr>
        <w:spacing w:line="276" w:lineRule="auto"/>
        <w:ind w:left="720"/>
        <w:rPr>
          <w:rFonts w:eastAsia="Calibri" w:cs="Arial"/>
          <w:sz w:val="20"/>
          <w:szCs w:val="20"/>
          <w:lang w:val="es-MX"/>
        </w:rPr>
      </w:pPr>
      <w:r w:rsidRPr="28D31204">
        <w:rPr>
          <w:rFonts w:eastAsia="Calibri" w:cs="Arial"/>
          <w:b/>
          <w:bCs/>
          <w:sz w:val="20"/>
          <w:szCs w:val="20"/>
          <w:lang w:val="es-MX"/>
        </w:rPr>
        <w:t>Ratio beneficio/costo</w:t>
      </w:r>
      <w:r w:rsidRPr="28D31204">
        <w:rPr>
          <w:rFonts w:eastAsia="Calibri" w:cs="Arial"/>
          <w:sz w:val="20"/>
          <w:szCs w:val="20"/>
          <w:lang w:val="es-MX"/>
        </w:rPr>
        <w:t xml:space="preserve">: cociente de los valores actuales de beneficios y costos del Proyecto. </w:t>
      </w:r>
    </w:p>
    <w:p w14:paraId="0819A7C8" w14:textId="77777777" w:rsidR="00564AF8" w:rsidRDefault="00564AF8" w:rsidP="00564AF8">
      <w:pPr>
        <w:pStyle w:val="Heading2"/>
        <w:numPr>
          <w:ilvl w:val="0"/>
          <w:numId w:val="0"/>
        </w:numPr>
        <w:spacing w:line="276" w:lineRule="auto"/>
        <w:ind w:left="720"/>
        <w:rPr>
          <w:rFonts w:cs="Arial"/>
          <w:lang w:val="es-MX"/>
        </w:rPr>
      </w:pPr>
    </w:p>
    <w:p w14:paraId="5B4658DB" w14:textId="77777777" w:rsidR="0075580C" w:rsidRPr="00B2077E" w:rsidRDefault="28D31204" w:rsidP="28D31204">
      <w:pPr>
        <w:pStyle w:val="Heading2"/>
        <w:tabs>
          <w:tab w:val="num" w:pos="720"/>
        </w:tabs>
        <w:spacing w:line="276" w:lineRule="auto"/>
        <w:ind w:hanging="720"/>
        <w:rPr>
          <w:rFonts w:cs="Arial"/>
          <w:lang w:val="es-MX"/>
        </w:rPr>
      </w:pPr>
      <w:r w:rsidRPr="28D31204">
        <w:rPr>
          <w:rFonts w:cs="Arial"/>
          <w:lang w:val="es-MX"/>
        </w:rPr>
        <w:t xml:space="preserve">Resultados </w:t>
      </w:r>
    </w:p>
    <w:p w14:paraId="34CBA20D" w14:textId="77777777" w:rsidR="002E4C2A"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En función de los supuestos, parámetros y metodología antes expuesta, se concluye que el Proyecto es socialmente rentable. Los beneficios que se derivan de la operación superan el uso de los recursos sociales del proyecto. </w:t>
      </w:r>
    </w:p>
    <w:p w14:paraId="0314940F" w14:textId="77777777" w:rsidR="00D803DD" w:rsidRPr="00B2077E" w:rsidRDefault="00D803DD" w:rsidP="002A743C">
      <w:pPr>
        <w:pStyle w:val="Paragraph"/>
        <w:numPr>
          <w:ilvl w:val="0"/>
          <w:numId w:val="0"/>
        </w:numPr>
        <w:spacing w:line="276" w:lineRule="auto"/>
        <w:ind w:firstLine="720"/>
        <w:jc w:val="center"/>
        <w:rPr>
          <w:rFonts w:eastAsia="Calibri" w:cs="Arial"/>
          <w:b/>
          <w:lang w:val="es-MX"/>
        </w:rPr>
      </w:pPr>
    </w:p>
    <w:p w14:paraId="4780B3ED" w14:textId="77777777" w:rsidR="00E9403B" w:rsidRPr="00B2077E" w:rsidRDefault="28D31204" w:rsidP="28D31204">
      <w:pPr>
        <w:pStyle w:val="Paragraph"/>
        <w:numPr>
          <w:ilvl w:val="1"/>
          <w:numId w:val="0"/>
        </w:numPr>
        <w:spacing w:line="276" w:lineRule="auto"/>
        <w:ind w:firstLine="720"/>
        <w:jc w:val="center"/>
        <w:rPr>
          <w:rFonts w:eastAsia="Calibri" w:cs="Arial"/>
          <w:b/>
          <w:bCs/>
          <w:lang w:val="es-MX"/>
        </w:rPr>
      </w:pPr>
      <w:r w:rsidRPr="28D31204">
        <w:rPr>
          <w:rFonts w:eastAsia="Calibri" w:cs="Arial"/>
          <w:b/>
          <w:bCs/>
          <w:lang w:val="es-MX"/>
        </w:rPr>
        <w:t>RESULTADOS CON COSTOS SOCIALES TOTALES DEL PROYECTO</w:t>
      </w:r>
    </w:p>
    <w:p w14:paraId="2F8378F2" w14:textId="0EB08DEE" w:rsidR="00602DF6" w:rsidRPr="00B2077E" w:rsidRDefault="28D31204" w:rsidP="28D31204">
      <w:pPr>
        <w:pStyle w:val="subpar"/>
        <w:numPr>
          <w:ilvl w:val="0"/>
          <w:numId w:val="5"/>
        </w:numPr>
        <w:pBdr>
          <w:top w:val="single" w:sz="4" w:space="0" w:color="auto"/>
          <w:left w:val="single" w:sz="4" w:space="4" w:color="auto"/>
          <w:bottom w:val="single" w:sz="4" w:space="1" w:color="auto"/>
          <w:right w:val="single" w:sz="4" w:space="4" w:color="auto"/>
        </w:pBdr>
        <w:spacing w:line="276" w:lineRule="auto"/>
        <w:rPr>
          <w:rFonts w:ascii="Arial" w:eastAsia="Calibri" w:hAnsi="Arial" w:cs="Arial"/>
          <w:lang w:val="es-MX"/>
        </w:rPr>
      </w:pPr>
      <w:r w:rsidRPr="28D31204">
        <w:rPr>
          <w:rFonts w:ascii="Arial" w:eastAsia="Calibri" w:hAnsi="Arial" w:cs="Arial"/>
          <w:lang w:val="es-MX"/>
        </w:rPr>
        <w:t xml:space="preserve">El </w:t>
      </w:r>
      <w:r w:rsidRPr="28D31204">
        <w:rPr>
          <w:rFonts w:ascii="Arial" w:eastAsia="Calibri" w:hAnsi="Arial" w:cs="Arial"/>
          <w:b/>
          <w:bCs/>
          <w:lang w:val="es-MX"/>
        </w:rPr>
        <w:t>VAN es positivo</w:t>
      </w:r>
      <w:r w:rsidRPr="28D31204">
        <w:rPr>
          <w:rFonts w:ascii="Arial" w:eastAsia="Calibri" w:hAnsi="Arial" w:cs="Arial"/>
          <w:lang w:val="es-MX"/>
        </w:rPr>
        <w:t>. Alcanza US</w:t>
      </w:r>
      <w:r w:rsidRPr="28D31204">
        <w:rPr>
          <w:rFonts w:ascii="Arial" w:eastAsia="Calibri" w:hAnsi="Arial" w:cs="Arial"/>
          <w:b/>
          <w:bCs/>
          <w:lang w:val="es-MX"/>
        </w:rPr>
        <w:t>$</w:t>
      </w:r>
      <w:r w:rsidR="003D089C">
        <w:rPr>
          <w:rFonts w:ascii="Arial" w:eastAsia="Calibri" w:hAnsi="Arial" w:cs="Arial"/>
          <w:b/>
          <w:bCs/>
          <w:lang w:val="es-MX"/>
        </w:rPr>
        <w:t>17</w:t>
      </w:r>
      <w:r w:rsidR="00F82352">
        <w:rPr>
          <w:rFonts w:ascii="Arial" w:eastAsia="Calibri" w:hAnsi="Arial" w:cs="Arial"/>
          <w:b/>
          <w:bCs/>
          <w:lang w:val="es-MX"/>
        </w:rPr>
        <w:t>.</w:t>
      </w:r>
      <w:r w:rsidR="003D089C">
        <w:rPr>
          <w:rFonts w:ascii="Arial" w:eastAsia="Calibri" w:hAnsi="Arial" w:cs="Arial"/>
          <w:b/>
          <w:bCs/>
          <w:lang w:val="es-MX"/>
        </w:rPr>
        <w:t>2</w:t>
      </w:r>
      <w:r w:rsidR="000F7A34">
        <w:rPr>
          <w:rFonts w:ascii="Arial" w:hAnsi="Arial" w:cs="Arial"/>
          <w:lang w:val="es-MX"/>
        </w:rPr>
        <w:t xml:space="preserve"> </w:t>
      </w:r>
      <w:r w:rsidRPr="28D31204">
        <w:rPr>
          <w:rFonts w:ascii="Arial" w:hAnsi="Arial" w:cs="Arial"/>
          <w:lang w:val="es-MX"/>
        </w:rPr>
        <w:t>millones.</w:t>
      </w:r>
    </w:p>
    <w:p w14:paraId="61C3B155" w14:textId="2A0BC28E" w:rsidR="00E9403B" w:rsidRPr="00B2077E" w:rsidRDefault="28D31204" w:rsidP="28D31204">
      <w:pPr>
        <w:pStyle w:val="subpar"/>
        <w:numPr>
          <w:ilvl w:val="0"/>
          <w:numId w:val="5"/>
        </w:numPr>
        <w:pBdr>
          <w:top w:val="single" w:sz="4" w:space="0" w:color="auto"/>
          <w:left w:val="single" w:sz="4" w:space="4" w:color="auto"/>
          <w:bottom w:val="single" w:sz="4" w:space="1" w:color="auto"/>
          <w:right w:val="single" w:sz="4" w:space="4" w:color="auto"/>
        </w:pBdr>
        <w:spacing w:line="276" w:lineRule="auto"/>
        <w:rPr>
          <w:rFonts w:ascii="Arial" w:eastAsia="Calibri" w:hAnsi="Arial" w:cs="Arial"/>
          <w:lang w:val="es-MX"/>
        </w:rPr>
      </w:pPr>
      <w:r w:rsidRPr="28D31204">
        <w:rPr>
          <w:rFonts w:ascii="Arial" w:eastAsia="Calibri" w:hAnsi="Arial" w:cs="Arial"/>
          <w:lang w:val="es-MX"/>
        </w:rPr>
        <w:t xml:space="preserve">La </w:t>
      </w:r>
      <w:r w:rsidRPr="28D31204">
        <w:rPr>
          <w:rFonts w:ascii="Arial" w:eastAsia="Calibri" w:hAnsi="Arial" w:cs="Arial"/>
          <w:b/>
          <w:bCs/>
          <w:lang w:val="es-MX"/>
        </w:rPr>
        <w:t xml:space="preserve">TIR estimada es </w:t>
      </w:r>
      <w:r w:rsidR="003D089C">
        <w:rPr>
          <w:rFonts w:ascii="Arial" w:eastAsia="Calibri" w:hAnsi="Arial" w:cs="Arial"/>
          <w:b/>
          <w:bCs/>
          <w:lang w:val="es-MX"/>
        </w:rPr>
        <w:t>13.49</w:t>
      </w:r>
      <w:r w:rsidRPr="28D31204">
        <w:rPr>
          <w:rFonts w:ascii="Arial" w:eastAsia="Calibri" w:hAnsi="Arial" w:cs="Arial"/>
          <w:b/>
          <w:bCs/>
          <w:lang w:val="es-MX"/>
        </w:rPr>
        <w:t>%</w:t>
      </w:r>
      <w:r w:rsidRPr="28D31204">
        <w:rPr>
          <w:rFonts w:ascii="Arial" w:eastAsia="Calibri" w:hAnsi="Arial" w:cs="Arial"/>
          <w:lang w:val="es-MX"/>
        </w:rPr>
        <w:t xml:space="preserve"> superior a la tasa de descuento de la evaluación de 12%. </w:t>
      </w:r>
    </w:p>
    <w:p w14:paraId="2B76E66B" w14:textId="2F2A40F6" w:rsidR="00E9403B" w:rsidRPr="00B2077E" w:rsidRDefault="28D31204" w:rsidP="28D31204">
      <w:pPr>
        <w:pStyle w:val="subpar"/>
        <w:numPr>
          <w:ilvl w:val="0"/>
          <w:numId w:val="5"/>
        </w:numPr>
        <w:pBdr>
          <w:top w:val="single" w:sz="4" w:space="0" w:color="auto"/>
          <w:left w:val="single" w:sz="4" w:space="4" w:color="auto"/>
          <w:bottom w:val="single" w:sz="4" w:space="1" w:color="auto"/>
          <w:right w:val="single" w:sz="4" w:space="4" w:color="auto"/>
        </w:pBdr>
        <w:spacing w:line="276" w:lineRule="auto"/>
        <w:rPr>
          <w:rFonts w:ascii="Arial" w:eastAsia="Calibri" w:hAnsi="Arial" w:cs="Arial"/>
          <w:lang w:val="es-MX"/>
        </w:rPr>
      </w:pPr>
      <w:r w:rsidRPr="28D31204">
        <w:rPr>
          <w:rFonts w:ascii="Arial" w:eastAsia="Calibri" w:hAnsi="Arial" w:cs="Arial"/>
          <w:b/>
          <w:bCs/>
          <w:lang w:val="es-MX"/>
        </w:rPr>
        <w:t xml:space="preserve">Ratio B/C es </w:t>
      </w:r>
      <w:r w:rsidR="000F7A34">
        <w:rPr>
          <w:rFonts w:ascii="Arial" w:eastAsia="Calibri" w:hAnsi="Arial" w:cs="Arial"/>
          <w:b/>
          <w:bCs/>
          <w:lang w:val="es-MX"/>
        </w:rPr>
        <w:t>1.</w:t>
      </w:r>
      <w:r w:rsidR="003D089C">
        <w:rPr>
          <w:rFonts w:ascii="Arial" w:eastAsia="Calibri" w:hAnsi="Arial" w:cs="Arial"/>
          <w:b/>
          <w:bCs/>
          <w:lang w:val="es-MX"/>
        </w:rPr>
        <w:t>39</w:t>
      </w:r>
      <w:r w:rsidRPr="28D31204">
        <w:rPr>
          <w:rFonts w:ascii="Arial" w:eastAsia="Calibri" w:hAnsi="Arial" w:cs="Arial"/>
          <w:lang w:val="es-MX"/>
        </w:rPr>
        <w:t>, los beneficios cubren más de los costos.</w:t>
      </w:r>
    </w:p>
    <w:p w14:paraId="0B7256DD" w14:textId="77777777" w:rsidR="007E444E" w:rsidRPr="00B2077E" w:rsidRDefault="28D31204" w:rsidP="00986814">
      <w:pPr>
        <w:pStyle w:val="Heading1"/>
        <w:tabs>
          <w:tab w:val="clear" w:pos="2088"/>
          <w:tab w:val="num" w:pos="1134"/>
        </w:tabs>
        <w:ind w:left="0" w:firstLine="567"/>
        <w:rPr>
          <w:rFonts w:ascii="Arial" w:hAnsi="Arial" w:cs="Arial"/>
        </w:rPr>
      </w:pPr>
      <w:bookmarkStart w:id="56" w:name="_Toc499617480"/>
      <w:r w:rsidRPr="28D31204">
        <w:rPr>
          <w:rFonts w:ascii="Arial" w:hAnsi="Arial" w:cs="Arial"/>
        </w:rPr>
        <w:t>Análisis de sensibilidad y riesgo</w:t>
      </w:r>
      <w:bookmarkEnd w:id="56"/>
    </w:p>
    <w:p w14:paraId="3C7B1468" w14:textId="77777777" w:rsidR="00FB48EE"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 xml:space="preserve">El propósito de este análisis es medir la incertidumbre subyacente de las variables fundamentales que determinan el grado de rentabilidad del proyecto. Esto implica medir la sensibilidad de la VAN y la TIR del Proyecto a cambios en los parámetros y supuestos de cálculo más importantes. Si el signo de los beneficios netos no cambia ante rangos de cambios razonables de las variables, entonces el análisis es robusto. </w:t>
      </w:r>
    </w:p>
    <w:p w14:paraId="58CAB57E" w14:textId="1D296FB2" w:rsidR="00FB48EE"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 xml:space="preserve">A lo largo del presente análisis se ha señalado que para el cálculo de la rentabilidad de la operación se consideraron los supuestos más conservadores que se pudieran presentar durante la ejecución de la inversión y hasta que los beneficios subsistan. Bajo ese contexto el presente análisis de sensibilidad considera cambios en </w:t>
      </w:r>
      <w:r w:rsidR="00E434C0">
        <w:rPr>
          <w:rStyle w:val="Emphasis"/>
          <w:rFonts w:eastAsia="BatangChe" w:cs="Arial"/>
          <w:lang w:val="es-MX"/>
        </w:rPr>
        <w:t>tres</w:t>
      </w:r>
      <w:r w:rsidRPr="28D31204">
        <w:rPr>
          <w:rStyle w:val="Emphasis"/>
          <w:rFonts w:eastAsia="BatangChe" w:cs="Arial"/>
          <w:lang w:val="es-MX"/>
        </w:rPr>
        <w:t xml:space="preserve"> parámetros de cálculo.</w:t>
      </w:r>
    </w:p>
    <w:p w14:paraId="73A18933" w14:textId="335FBC46" w:rsidR="00632E7F"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 xml:space="preserve">Un primer escenario, “A”, considera una variación </w:t>
      </w:r>
      <w:r w:rsidR="00B82B4D">
        <w:rPr>
          <w:rStyle w:val="Emphasis"/>
          <w:rFonts w:eastAsia="BatangChe" w:cs="Arial"/>
          <w:lang w:val="es-MX"/>
        </w:rPr>
        <w:t xml:space="preserve">en el diferencial de ingresos para el cálculo del retorno educativo </w:t>
      </w:r>
      <w:r w:rsidRPr="28D31204">
        <w:rPr>
          <w:rStyle w:val="Emphasis"/>
          <w:rFonts w:eastAsia="BatangChe" w:cs="Arial"/>
          <w:lang w:val="es-MX"/>
        </w:rPr>
        <w:t xml:space="preserve">de </w:t>
      </w:r>
      <w:r w:rsidR="00B82B4D">
        <w:rPr>
          <w:rStyle w:val="Emphasis"/>
          <w:rFonts w:eastAsia="BatangChe" w:cs="Arial"/>
          <w:lang w:val="es-MX"/>
        </w:rPr>
        <w:t xml:space="preserve">90% y 80% </w:t>
      </w:r>
      <w:r w:rsidRPr="28D31204">
        <w:rPr>
          <w:rStyle w:val="Emphasis"/>
          <w:rFonts w:eastAsia="BatangChe" w:cs="Arial"/>
          <w:lang w:val="es-MX"/>
        </w:rPr>
        <w:t>y se mantiene fijo el universo de beneficiarios al 100%</w:t>
      </w:r>
      <w:r w:rsidR="00FB2D84">
        <w:rPr>
          <w:rStyle w:val="Emphasis"/>
          <w:rFonts w:eastAsia="BatangChe" w:cs="Arial"/>
          <w:lang w:val="es-MX"/>
        </w:rPr>
        <w:t xml:space="preserve"> y las tasas de promoción</w:t>
      </w:r>
      <w:r w:rsidRPr="28D31204">
        <w:rPr>
          <w:rStyle w:val="Emphasis"/>
          <w:rFonts w:eastAsia="BatangChe" w:cs="Arial"/>
          <w:lang w:val="es-MX"/>
        </w:rPr>
        <w:t>. La tabla 6.1 refleja los resultados de los indicadores de rentabilidad para la primera tanda de escenarios.</w:t>
      </w:r>
      <w:r w:rsidR="00461D0A">
        <w:rPr>
          <w:rStyle w:val="Emphasis"/>
          <w:rFonts w:eastAsia="BatangChe" w:cs="Arial"/>
          <w:lang w:val="es-MX"/>
        </w:rPr>
        <w:t xml:space="preserve"> </w:t>
      </w:r>
      <w:r w:rsidR="00461D0A">
        <w:rPr>
          <w:rStyle w:val="Emphasis"/>
          <w:rFonts w:eastAsia="BatangChe" w:cs="Arial"/>
          <w:lang w:val="es-MX"/>
        </w:rPr>
        <w:lastRenderedPageBreak/>
        <w:t xml:space="preserve">De </w:t>
      </w:r>
      <w:r w:rsidR="00542589">
        <w:rPr>
          <w:rStyle w:val="Emphasis"/>
          <w:rFonts w:eastAsia="BatangChe" w:cs="Arial"/>
          <w:lang w:val="es-MX"/>
        </w:rPr>
        <w:t xml:space="preserve">estos se observa que el escenario más restrictivo </w:t>
      </w:r>
      <w:r w:rsidR="00E434C0">
        <w:rPr>
          <w:rStyle w:val="Emphasis"/>
          <w:rFonts w:eastAsia="BatangChe" w:cs="Arial"/>
          <w:lang w:val="es-MX"/>
        </w:rPr>
        <w:t xml:space="preserve">aunque </w:t>
      </w:r>
      <w:r w:rsidR="00461D0A">
        <w:rPr>
          <w:rStyle w:val="Emphasis"/>
          <w:rFonts w:eastAsia="BatangChe" w:cs="Arial"/>
          <w:lang w:val="es-MX"/>
        </w:rPr>
        <w:t xml:space="preserve">demuestra un valor actual neto negativo, </w:t>
      </w:r>
      <w:r w:rsidR="00E434C0">
        <w:rPr>
          <w:rStyle w:val="Emphasis"/>
          <w:rFonts w:eastAsia="BatangChe" w:cs="Arial"/>
          <w:lang w:val="es-MX"/>
        </w:rPr>
        <w:t xml:space="preserve">mantiene una proporción beneficio-costo </w:t>
      </w:r>
      <w:r w:rsidR="00461D0A">
        <w:rPr>
          <w:rStyle w:val="Emphasis"/>
          <w:rFonts w:eastAsia="BatangChe" w:cs="Arial"/>
          <w:lang w:val="es-MX"/>
        </w:rPr>
        <w:t>positiva</w:t>
      </w:r>
      <w:r w:rsidR="00E434C0">
        <w:rPr>
          <w:rStyle w:val="Emphasis"/>
          <w:rFonts w:eastAsia="BatangChe" w:cs="Arial"/>
          <w:lang w:val="es-MX"/>
        </w:rPr>
        <w:t xml:space="preserve"> y </w:t>
      </w:r>
      <w:r w:rsidR="00461D0A">
        <w:rPr>
          <w:rStyle w:val="Emphasis"/>
          <w:rFonts w:eastAsia="BatangChe" w:cs="Arial"/>
          <w:lang w:val="es-MX"/>
        </w:rPr>
        <w:t>una TIR cercana a la del 12%</w:t>
      </w:r>
      <w:r w:rsidR="00E434C0">
        <w:rPr>
          <w:rStyle w:val="Emphasis"/>
          <w:rFonts w:eastAsia="BatangChe" w:cs="Arial"/>
          <w:lang w:val="es-MX"/>
        </w:rPr>
        <w:t>.</w:t>
      </w:r>
    </w:p>
    <w:p w14:paraId="17194EFC" w14:textId="77777777" w:rsidR="00A54DD1" w:rsidRPr="00B2077E" w:rsidRDefault="00A54DD1" w:rsidP="00A54DD1">
      <w:pPr>
        <w:pStyle w:val="Paragraph"/>
        <w:numPr>
          <w:ilvl w:val="0"/>
          <w:numId w:val="0"/>
        </w:numPr>
        <w:tabs>
          <w:tab w:val="num" w:pos="2088"/>
        </w:tabs>
        <w:spacing w:line="276" w:lineRule="auto"/>
        <w:ind w:left="720"/>
        <w:rPr>
          <w:rStyle w:val="Emphasis"/>
          <w:rFonts w:eastAsia="BatangChe" w:cs="Arial"/>
          <w:lang w:val="es-MX"/>
        </w:rPr>
      </w:pPr>
    </w:p>
    <w:p w14:paraId="40F7CAED" w14:textId="77777777" w:rsidR="00A3783E" w:rsidRPr="00B2077E" w:rsidRDefault="28D31204" w:rsidP="28D31204">
      <w:pPr>
        <w:pStyle w:val="Paragraph"/>
        <w:numPr>
          <w:ilvl w:val="1"/>
          <w:numId w:val="0"/>
        </w:numPr>
        <w:tabs>
          <w:tab w:val="num" w:pos="2088"/>
        </w:tabs>
        <w:spacing w:line="276" w:lineRule="auto"/>
        <w:ind w:left="720"/>
        <w:rPr>
          <w:rStyle w:val="Emphasis"/>
          <w:rFonts w:eastAsia="BatangChe" w:cs="Arial"/>
          <w:b/>
          <w:bCs/>
          <w:sz w:val="20"/>
          <w:szCs w:val="20"/>
          <w:lang w:val="es-MX"/>
        </w:rPr>
      </w:pPr>
      <w:r w:rsidRPr="28D31204">
        <w:rPr>
          <w:rStyle w:val="Emphasis"/>
          <w:rFonts w:eastAsia="BatangChe" w:cs="Arial"/>
          <w:b/>
          <w:bCs/>
          <w:sz w:val="20"/>
          <w:szCs w:val="20"/>
          <w:lang w:val="es-MX"/>
        </w:rPr>
        <w:t>Tabla 6.1: Escenario A.</w:t>
      </w:r>
    </w:p>
    <w:tbl>
      <w:tblPr>
        <w:tblW w:w="6478" w:type="dxa"/>
        <w:tblInd w:w="817" w:type="dxa"/>
        <w:tblLayout w:type="fixed"/>
        <w:tblLook w:val="04A0" w:firstRow="1" w:lastRow="0" w:firstColumn="1" w:lastColumn="0" w:noHBand="0" w:noVBand="1"/>
      </w:tblPr>
      <w:tblGrid>
        <w:gridCol w:w="1646"/>
        <w:gridCol w:w="1354"/>
        <w:gridCol w:w="1418"/>
        <w:gridCol w:w="900"/>
        <w:gridCol w:w="1160"/>
      </w:tblGrid>
      <w:tr w:rsidR="00542589" w:rsidRPr="00B2077E" w14:paraId="7072C66B" w14:textId="77777777" w:rsidTr="00F82352">
        <w:trPr>
          <w:trHeight w:val="957"/>
        </w:trPr>
        <w:tc>
          <w:tcPr>
            <w:tcW w:w="164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30B478" w14:textId="77777777" w:rsidR="00542589" w:rsidRPr="004D5B21" w:rsidRDefault="00542589" w:rsidP="28D31204">
            <w:pPr>
              <w:ind w:left="0" w:firstLine="0"/>
              <w:jc w:val="center"/>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Escenario</w:t>
            </w:r>
            <w:proofErr w:type="spellEnd"/>
            <w:r w:rsidRPr="004D5B21">
              <w:rPr>
                <w:rFonts w:ascii="Arial" w:hAnsi="Arial" w:cs="Arial"/>
                <w:b/>
                <w:bCs/>
                <w:color w:val="000000"/>
                <w:sz w:val="16"/>
                <w:szCs w:val="16"/>
                <w:lang w:val="en-US" w:eastAsia="en-US"/>
              </w:rPr>
              <w:t xml:space="preserve"> </w:t>
            </w:r>
            <w:proofErr w:type="spellStart"/>
            <w:r w:rsidRPr="004D5B21">
              <w:rPr>
                <w:rFonts w:ascii="Arial" w:hAnsi="Arial" w:cs="Arial"/>
                <w:b/>
                <w:bCs/>
                <w:color w:val="000000"/>
                <w:sz w:val="16"/>
                <w:szCs w:val="16"/>
                <w:lang w:val="en-US" w:eastAsia="en-US"/>
              </w:rPr>
              <w:t>sobre</w:t>
            </w:r>
            <w:proofErr w:type="spellEnd"/>
            <w:r w:rsidRPr="004D5B21">
              <w:rPr>
                <w:rFonts w:ascii="Arial" w:hAnsi="Arial" w:cs="Arial"/>
                <w:b/>
                <w:bCs/>
                <w:color w:val="000000"/>
                <w:sz w:val="16"/>
                <w:szCs w:val="16"/>
                <w:lang w:val="en-US" w:eastAsia="en-US"/>
              </w:rPr>
              <w:t xml:space="preserve"> meta original</w:t>
            </w:r>
          </w:p>
        </w:tc>
        <w:tc>
          <w:tcPr>
            <w:tcW w:w="135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ACA271E" w14:textId="36F1B8CE" w:rsidR="00542589" w:rsidRPr="004D5B21" w:rsidRDefault="007C7001" w:rsidP="28D31204">
            <w:pPr>
              <w:ind w:left="0" w:firstLine="0"/>
              <w:jc w:val="center"/>
              <w:rPr>
                <w:rFonts w:ascii="Arial" w:hAnsi="Arial" w:cs="Arial"/>
                <w:b/>
                <w:bCs/>
                <w:color w:val="000000"/>
                <w:sz w:val="16"/>
                <w:szCs w:val="16"/>
                <w:lang w:val="en-US" w:eastAsia="en-US"/>
              </w:rPr>
            </w:pPr>
            <w:proofErr w:type="spellStart"/>
            <w:r>
              <w:rPr>
                <w:rFonts w:ascii="Arial" w:hAnsi="Arial" w:cs="Arial"/>
                <w:b/>
                <w:bCs/>
                <w:color w:val="000000"/>
                <w:sz w:val="16"/>
                <w:szCs w:val="16"/>
                <w:lang w:val="en-US" w:eastAsia="en-US"/>
              </w:rPr>
              <w:t>Diferencial</w:t>
            </w:r>
            <w:proofErr w:type="spellEnd"/>
            <w:r>
              <w:rPr>
                <w:rFonts w:ascii="Arial" w:hAnsi="Arial" w:cs="Arial"/>
                <w:b/>
                <w:bCs/>
                <w:color w:val="000000"/>
                <w:sz w:val="16"/>
                <w:szCs w:val="16"/>
                <w:lang w:val="en-US" w:eastAsia="en-US"/>
              </w:rPr>
              <w:t xml:space="preserve"> de </w:t>
            </w:r>
            <w:proofErr w:type="spellStart"/>
            <w:r>
              <w:rPr>
                <w:rFonts w:ascii="Arial" w:hAnsi="Arial" w:cs="Arial"/>
                <w:b/>
                <w:bCs/>
                <w:color w:val="000000"/>
                <w:sz w:val="16"/>
                <w:szCs w:val="16"/>
                <w:lang w:val="en-US" w:eastAsia="en-US"/>
              </w:rPr>
              <w:t>Ingreso</w:t>
            </w:r>
            <w:proofErr w:type="spellEnd"/>
          </w:p>
        </w:tc>
        <w:tc>
          <w:tcPr>
            <w:tcW w:w="1418"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EF65A11" w14:textId="77777777" w:rsidR="00542589" w:rsidRDefault="00542589" w:rsidP="28D31204">
            <w:pPr>
              <w:ind w:left="0" w:firstLine="0"/>
              <w:jc w:val="center"/>
              <w:rPr>
                <w:rFonts w:ascii="Arial" w:hAnsi="Arial" w:cs="Arial"/>
                <w:b/>
                <w:bCs/>
                <w:color w:val="000000"/>
                <w:sz w:val="16"/>
                <w:szCs w:val="16"/>
                <w:lang w:val="en-US" w:eastAsia="en-US"/>
              </w:rPr>
            </w:pPr>
            <w:r>
              <w:rPr>
                <w:rFonts w:ascii="Arial" w:hAnsi="Arial" w:cs="Arial"/>
                <w:b/>
                <w:bCs/>
                <w:color w:val="000000"/>
                <w:sz w:val="16"/>
                <w:szCs w:val="16"/>
                <w:lang w:val="en-US" w:eastAsia="en-US"/>
              </w:rPr>
              <w:t>VAN</w:t>
            </w:r>
          </w:p>
          <w:p w14:paraId="40C76AAF" w14:textId="77777777" w:rsidR="00542589" w:rsidRDefault="00542589" w:rsidP="28D31204">
            <w:pPr>
              <w:ind w:left="0" w:firstLine="0"/>
              <w:jc w:val="center"/>
              <w:rPr>
                <w:rFonts w:ascii="Arial" w:hAnsi="Arial" w:cs="Arial"/>
                <w:b/>
                <w:bCs/>
                <w:color w:val="000000"/>
                <w:sz w:val="16"/>
                <w:szCs w:val="16"/>
                <w:lang w:val="en-US" w:eastAsia="en-US"/>
              </w:rPr>
            </w:pPr>
          </w:p>
          <w:p w14:paraId="584B6C22" w14:textId="6F260A00" w:rsidR="00542589" w:rsidRPr="004D5B21" w:rsidRDefault="00542589" w:rsidP="28D31204">
            <w:pPr>
              <w:ind w:left="0" w:firstLine="0"/>
              <w:jc w:val="center"/>
              <w:rPr>
                <w:rFonts w:ascii="Arial" w:hAnsi="Arial" w:cs="Arial"/>
                <w:b/>
                <w:bCs/>
                <w:color w:val="000000"/>
                <w:sz w:val="16"/>
                <w:szCs w:val="16"/>
                <w:lang w:val="en-US" w:eastAsia="en-US"/>
              </w:rPr>
            </w:pPr>
            <w:r>
              <w:rPr>
                <w:rFonts w:ascii="Arial" w:hAnsi="Arial" w:cs="Arial"/>
                <w:b/>
                <w:bCs/>
                <w:color w:val="000000"/>
                <w:sz w:val="16"/>
                <w:szCs w:val="16"/>
                <w:lang w:val="en-US" w:eastAsia="en-US"/>
              </w:rPr>
              <w:t>(US$)</w:t>
            </w:r>
          </w:p>
        </w:tc>
        <w:tc>
          <w:tcPr>
            <w:tcW w:w="900" w:type="dxa"/>
            <w:tcBorders>
              <w:top w:val="single" w:sz="8" w:space="0" w:color="auto"/>
              <w:left w:val="nil"/>
              <w:bottom w:val="single" w:sz="4" w:space="0" w:color="auto"/>
              <w:right w:val="single" w:sz="8" w:space="0" w:color="auto"/>
            </w:tcBorders>
            <w:shd w:val="clear" w:color="auto" w:fill="auto"/>
            <w:vAlign w:val="center"/>
            <w:hideMark/>
          </w:tcPr>
          <w:p w14:paraId="60804411" w14:textId="28EE8607" w:rsidR="00542589" w:rsidRPr="004D5B21" w:rsidRDefault="00542589" w:rsidP="28D31204">
            <w:pPr>
              <w:ind w:left="0" w:firstLine="0"/>
              <w:jc w:val="center"/>
              <w:rPr>
                <w:rFonts w:ascii="Arial" w:hAnsi="Arial" w:cs="Arial"/>
                <w:b/>
                <w:bCs/>
                <w:color w:val="000000"/>
                <w:sz w:val="16"/>
                <w:szCs w:val="16"/>
                <w:lang w:val="en-US" w:eastAsia="en-US"/>
              </w:rPr>
            </w:pPr>
            <w:r>
              <w:rPr>
                <w:rFonts w:ascii="Arial" w:hAnsi="Arial" w:cs="Arial"/>
                <w:b/>
                <w:bCs/>
                <w:color w:val="000000"/>
                <w:sz w:val="16"/>
                <w:szCs w:val="16"/>
                <w:lang w:val="en-US" w:eastAsia="en-US"/>
              </w:rPr>
              <w:t>TIR</w:t>
            </w:r>
          </w:p>
        </w:tc>
        <w:tc>
          <w:tcPr>
            <w:tcW w:w="116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3C039B6" w14:textId="77777777" w:rsidR="00542589" w:rsidRPr="004D5B21" w:rsidRDefault="00542589" w:rsidP="28D31204">
            <w:pPr>
              <w:ind w:left="0" w:firstLine="0"/>
              <w:jc w:val="center"/>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Beneficios</w:t>
            </w:r>
            <w:proofErr w:type="spellEnd"/>
            <w:r w:rsidRPr="004D5B21">
              <w:rPr>
                <w:rFonts w:ascii="Arial" w:hAnsi="Arial" w:cs="Arial"/>
                <w:b/>
                <w:bCs/>
                <w:color w:val="000000"/>
                <w:sz w:val="16"/>
                <w:szCs w:val="16"/>
                <w:lang w:val="en-US" w:eastAsia="en-US"/>
              </w:rPr>
              <w:t xml:space="preserve">/ </w:t>
            </w:r>
            <w:proofErr w:type="spellStart"/>
            <w:r w:rsidRPr="004D5B21">
              <w:rPr>
                <w:rFonts w:ascii="Arial" w:hAnsi="Arial" w:cs="Arial"/>
                <w:b/>
                <w:bCs/>
                <w:color w:val="000000"/>
                <w:sz w:val="16"/>
                <w:szCs w:val="16"/>
                <w:lang w:val="en-US" w:eastAsia="en-US"/>
              </w:rPr>
              <w:t>Costos</w:t>
            </w:r>
            <w:proofErr w:type="spellEnd"/>
          </w:p>
        </w:tc>
      </w:tr>
      <w:tr w:rsidR="003D089C" w:rsidRPr="00B2077E" w14:paraId="62FAAB4A" w14:textId="77777777" w:rsidTr="00F82352">
        <w:trPr>
          <w:trHeight w:val="342"/>
        </w:trPr>
        <w:tc>
          <w:tcPr>
            <w:tcW w:w="1646" w:type="dxa"/>
            <w:tcBorders>
              <w:top w:val="nil"/>
              <w:left w:val="single" w:sz="8" w:space="0" w:color="auto"/>
              <w:bottom w:val="nil"/>
              <w:right w:val="single" w:sz="8" w:space="0" w:color="auto"/>
            </w:tcBorders>
            <w:shd w:val="clear" w:color="auto" w:fill="auto"/>
            <w:noWrap/>
            <w:vAlign w:val="center"/>
            <w:hideMark/>
          </w:tcPr>
          <w:p w14:paraId="08BA77A9" w14:textId="739ACC9B" w:rsidR="003D089C" w:rsidRPr="004D5B21" w:rsidRDefault="003D089C" w:rsidP="003D089C">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Base (100%) / meta original</w:t>
            </w:r>
          </w:p>
        </w:tc>
        <w:tc>
          <w:tcPr>
            <w:tcW w:w="1354" w:type="dxa"/>
            <w:tcBorders>
              <w:top w:val="single" w:sz="4" w:space="0" w:color="auto"/>
              <w:left w:val="nil"/>
              <w:bottom w:val="nil"/>
              <w:right w:val="single" w:sz="8" w:space="0" w:color="auto"/>
            </w:tcBorders>
            <w:shd w:val="clear" w:color="auto" w:fill="auto"/>
            <w:noWrap/>
            <w:vAlign w:val="center"/>
            <w:hideMark/>
          </w:tcPr>
          <w:p w14:paraId="6B9D68BD" w14:textId="5C386A82" w:rsidR="003D089C" w:rsidRPr="004D5B21" w:rsidRDefault="003D089C" w:rsidP="003D089C">
            <w:pPr>
              <w:ind w:left="0" w:firstLine="0"/>
              <w:jc w:val="center"/>
              <w:rPr>
                <w:rFonts w:ascii="Arial" w:hAnsi="Arial" w:cs="Arial"/>
                <w:color w:val="000000"/>
                <w:sz w:val="16"/>
                <w:szCs w:val="16"/>
                <w:lang w:val="en-US" w:eastAsia="en-US"/>
              </w:rPr>
            </w:pPr>
            <w:r>
              <w:rPr>
                <w:rFonts w:ascii="Arial" w:hAnsi="Arial" w:cs="Arial"/>
                <w:color w:val="000000"/>
                <w:sz w:val="16"/>
                <w:szCs w:val="16"/>
                <w:lang w:val="en-US" w:eastAsia="en-US"/>
              </w:rPr>
              <w:t>100</w:t>
            </w:r>
            <w:r w:rsidRPr="004D5B21">
              <w:rPr>
                <w:rFonts w:ascii="Arial" w:hAnsi="Arial" w:cs="Arial"/>
                <w:color w:val="000000"/>
                <w:sz w:val="16"/>
                <w:szCs w:val="16"/>
                <w:lang w:val="en-US" w:eastAsia="en-US"/>
              </w:rPr>
              <w:t>%</w:t>
            </w:r>
          </w:p>
        </w:tc>
        <w:tc>
          <w:tcPr>
            <w:tcW w:w="1418" w:type="dxa"/>
            <w:tcBorders>
              <w:top w:val="nil"/>
              <w:left w:val="nil"/>
              <w:bottom w:val="nil"/>
              <w:right w:val="single" w:sz="8" w:space="0" w:color="auto"/>
            </w:tcBorders>
            <w:shd w:val="clear" w:color="auto" w:fill="auto"/>
            <w:noWrap/>
            <w:vAlign w:val="center"/>
          </w:tcPr>
          <w:p w14:paraId="10C817B8" w14:textId="6B2BD429" w:rsidR="003D089C" w:rsidRPr="003D089C" w:rsidRDefault="003D089C" w:rsidP="003D089C">
            <w:pPr>
              <w:ind w:left="0" w:firstLine="0"/>
              <w:jc w:val="right"/>
              <w:rPr>
                <w:rFonts w:ascii="Arial" w:hAnsi="Arial" w:cs="Arial"/>
                <w:color w:val="000000"/>
                <w:sz w:val="16"/>
                <w:szCs w:val="16"/>
                <w:lang w:val="en-US" w:eastAsia="en-US"/>
              </w:rPr>
            </w:pPr>
            <w:r w:rsidRPr="003D089C">
              <w:rPr>
                <w:rFonts w:ascii="Arial" w:hAnsi="Arial" w:cs="Arial"/>
                <w:color w:val="000000"/>
                <w:sz w:val="16"/>
                <w:szCs w:val="22"/>
              </w:rPr>
              <w:t>$</w:t>
            </w:r>
            <w:r>
              <w:rPr>
                <w:rFonts w:ascii="Arial" w:hAnsi="Arial" w:cs="Arial"/>
                <w:color w:val="000000"/>
                <w:sz w:val="16"/>
                <w:szCs w:val="22"/>
              </w:rPr>
              <w:t xml:space="preserve"> </w:t>
            </w:r>
            <w:r w:rsidRPr="003D089C">
              <w:rPr>
                <w:rFonts w:ascii="Arial" w:hAnsi="Arial" w:cs="Arial"/>
                <w:color w:val="000000"/>
                <w:sz w:val="16"/>
                <w:szCs w:val="22"/>
              </w:rPr>
              <w:t xml:space="preserve">17,193,413 </w:t>
            </w:r>
          </w:p>
        </w:tc>
        <w:tc>
          <w:tcPr>
            <w:tcW w:w="900" w:type="dxa"/>
            <w:tcBorders>
              <w:top w:val="single" w:sz="4" w:space="0" w:color="auto"/>
              <w:left w:val="nil"/>
              <w:bottom w:val="nil"/>
              <w:right w:val="single" w:sz="8" w:space="0" w:color="auto"/>
            </w:tcBorders>
            <w:shd w:val="clear" w:color="auto" w:fill="auto"/>
            <w:vAlign w:val="center"/>
          </w:tcPr>
          <w:p w14:paraId="6742A776" w14:textId="659AC587" w:rsidR="003D089C" w:rsidRPr="003D089C" w:rsidRDefault="003D089C" w:rsidP="003D089C">
            <w:pPr>
              <w:ind w:left="0" w:firstLine="0"/>
              <w:jc w:val="right"/>
              <w:rPr>
                <w:rFonts w:ascii="Arial" w:hAnsi="Arial" w:cs="Arial"/>
                <w:color w:val="000000"/>
                <w:sz w:val="16"/>
                <w:szCs w:val="16"/>
                <w:lang w:val="en-US" w:eastAsia="en-US"/>
              </w:rPr>
            </w:pPr>
            <w:r w:rsidRPr="003D089C">
              <w:rPr>
                <w:rFonts w:ascii="Arial" w:hAnsi="Arial" w:cs="Arial"/>
                <w:color w:val="000000"/>
                <w:sz w:val="16"/>
                <w:szCs w:val="22"/>
              </w:rPr>
              <w:t>13.49%</w:t>
            </w:r>
          </w:p>
        </w:tc>
        <w:tc>
          <w:tcPr>
            <w:tcW w:w="1160" w:type="dxa"/>
            <w:tcBorders>
              <w:top w:val="nil"/>
              <w:left w:val="nil"/>
              <w:bottom w:val="nil"/>
              <w:right w:val="single" w:sz="8" w:space="0" w:color="auto"/>
            </w:tcBorders>
            <w:shd w:val="clear" w:color="auto" w:fill="auto"/>
            <w:vAlign w:val="center"/>
          </w:tcPr>
          <w:p w14:paraId="031F4DDC" w14:textId="2F8C0ECF" w:rsidR="003D089C" w:rsidRPr="003D089C" w:rsidRDefault="003D089C" w:rsidP="003D089C">
            <w:pPr>
              <w:ind w:left="0" w:right="109" w:firstLine="0"/>
              <w:jc w:val="right"/>
              <w:rPr>
                <w:rFonts w:ascii="Arial" w:hAnsi="Arial" w:cs="Arial"/>
                <w:color w:val="000000"/>
                <w:sz w:val="16"/>
                <w:szCs w:val="16"/>
                <w:lang w:val="en-US" w:eastAsia="en-US"/>
              </w:rPr>
            </w:pPr>
            <w:r w:rsidRPr="003D089C">
              <w:rPr>
                <w:rFonts w:ascii="Arial" w:hAnsi="Arial" w:cs="Arial"/>
                <w:color w:val="000000"/>
                <w:sz w:val="16"/>
                <w:szCs w:val="22"/>
              </w:rPr>
              <w:t xml:space="preserve">1.39 </w:t>
            </w:r>
          </w:p>
        </w:tc>
      </w:tr>
      <w:tr w:rsidR="003D089C" w:rsidRPr="00B2077E" w14:paraId="267F84FA" w14:textId="77777777" w:rsidTr="00542589">
        <w:trPr>
          <w:trHeight w:val="300"/>
        </w:trPr>
        <w:tc>
          <w:tcPr>
            <w:tcW w:w="1646" w:type="dxa"/>
            <w:tcBorders>
              <w:top w:val="nil"/>
              <w:left w:val="single" w:sz="8" w:space="0" w:color="auto"/>
              <w:bottom w:val="nil"/>
              <w:right w:val="single" w:sz="8" w:space="0" w:color="auto"/>
            </w:tcBorders>
            <w:shd w:val="clear" w:color="auto" w:fill="auto"/>
            <w:noWrap/>
            <w:vAlign w:val="center"/>
            <w:hideMark/>
          </w:tcPr>
          <w:p w14:paraId="458A22D5" w14:textId="16D28AF2" w:rsidR="003D089C" w:rsidRPr="004D5B21" w:rsidRDefault="003D089C" w:rsidP="003D089C">
            <w:pPr>
              <w:ind w:left="0" w:firstLine="0"/>
              <w:jc w:val="center"/>
              <w:rPr>
                <w:rFonts w:ascii="Arial" w:hAnsi="Arial" w:cs="Arial"/>
                <w:b/>
                <w:bCs/>
                <w:color w:val="000000"/>
                <w:sz w:val="16"/>
                <w:szCs w:val="16"/>
                <w:lang w:val="en-US" w:eastAsia="en-US"/>
              </w:rPr>
            </w:pPr>
            <w:r>
              <w:rPr>
                <w:rFonts w:ascii="Arial" w:hAnsi="Arial" w:cs="Arial"/>
                <w:b/>
                <w:bCs/>
                <w:color w:val="000000"/>
                <w:sz w:val="16"/>
                <w:szCs w:val="16"/>
                <w:lang w:val="en-US" w:eastAsia="en-US"/>
              </w:rPr>
              <w:t>Medio</w:t>
            </w:r>
          </w:p>
        </w:tc>
        <w:tc>
          <w:tcPr>
            <w:tcW w:w="1354" w:type="dxa"/>
            <w:tcBorders>
              <w:top w:val="nil"/>
              <w:left w:val="nil"/>
              <w:bottom w:val="nil"/>
              <w:right w:val="single" w:sz="8" w:space="0" w:color="auto"/>
            </w:tcBorders>
            <w:shd w:val="clear" w:color="auto" w:fill="auto"/>
            <w:noWrap/>
            <w:vAlign w:val="center"/>
            <w:hideMark/>
          </w:tcPr>
          <w:p w14:paraId="10736C8C" w14:textId="052E9B64" w:rsidR="003D089C" w:rsidRPr="004D5B21" w:rsidRDefault="003D089C" w:rsidP="003D089C">
            <w:pPr>
              <w:ind w:left="0" w:firstLine="0"/>
              <w:jc w:val="center"/>
              <w:rPr>
                <w:rFonts w:ascii="Arial" w:hAnsi="Arial" w:cs="Arial"/>
                <w:color w:val="000000"/>
                <w:sz w:val="16"/>
                <w:szCs w:val="16"/>
                <w:lang w:val="en-US" w:eastAsia="en-US"/>
              </w:rPr>
            </w:pPr>
            <w:r>
              <w:rPr>
                <w:rFonts w:ascii="Arial" w:hAnsi="Arial" w:cs="Arial"/>
                <w:color w:val="000000"/>
                <w:sz w:val="16"/>
                <w:szCs w:val="16"/>
                <w:lang w:val="en-US" w:eastAsia="en-US"/>
              </w:rPr>
              <w:t>90</w:t>
            </w:r>
            <w:r w:rsidRPr="004D5B21">
              <w:rPr>
                <w:rFonts w:ascii="Arial" w:hAnsi="Arial" w:cs="Arial"/>
                <w:color w:val="000000"/>
                <w:sz w:val="16"/>
                <w:szCs w:val="16"/>
                <w:lang w:val="en-US" w:eastAsia="en-US"/>
              </w:rPr>
              <w:t>%</w:t>
            </w:r>
          </w:p>
        </w:tc>
        <w:tc>
          <w:tcPr>
            <w:tcW w:w="1418" w:type="dxa"/>
            <w:tcBorders>
              <w:top w:val="nil"/>
              <w:left w:val="nil"/>
              <w:bottom w:val="nil"/>
              <w:right w:val="single" w:sz="8" w:space="0" w:color="auto"/>
            </w:tcBorders>
            <w:shd w:val="clear" w:color="auto" w:fill="auto"/>
            <w:noWrap/>
            <w:vAlign w:val="center"/>
          </w:tcPr>
          <w:p w14:paraId="3717F25A" w14:textId="1094187D" w:rsidR="003D089C" w:rsidRPr="003D089C" w:rsidRDefault="003D089C" w:rsidP="003D089C">
            <w:pPr>
              <w:ind w:left="0" w:firstLine="0"/>
              <w:jc w:val="right"/>
              <w:rPr>
                <w:rFonts w:ascii="Arial" w:hAnsi="Arial" w:cs="Arial"/>
                <w:color w:val="000000"/>
                <w:sz w:val="16"/>
                <w:szCs w:val="16"/>
                <w:lang w:val="en-US" w:eastAsia="en-US"/>
              </w:rPr>
            </w:pPr>
            <w:r w:rsidRPr="003D089C">
              <w:rPr>
                <w:rFonts w:ascii="Arial" w:hAnsi="Arial" w:cs="Arial"/>
                <w:color w:val="000000"/>
                <w:sz w:val="16"/>
                <w:szCs w:val="22"/>
              </w:rPr>
              <w:t>$</w:t>
            </w:r>
            <w:r>
              <w:rPr>
                <w:rFonts w:ascii="Arial" w:hAnsi="Arial" w:cs="Arial"/>
                <w:color w:val="000000"/>
                <w:sz w:val="16"/>
                <w:szCs w:val="22"/>
              </w:rPr>
              <w:t xml:space="preserve"> </w:t>
            </w:r>
            <w:r w:rsidRPr="003D089C">
              <w:rPr>
                <w:rFonts w:ascii="Arial" w:hAnsi="Arial" w:cs="Arial"/>
                <w:color w:val="000000"/>
                <w:sz w:val="16"/>
                <w:szCs w:val="22"/>
              </w:rPr>
              <w:t xml:space="preserve">8,423,452 </w:t>
            </w:r>
          </w:p>
        </w:tc>
        <w:tc>
          <w:tcPr>
            <w:tcW w:w="900" w:type="dxa"/>
            <w:tcBorders>
              <w:top w:val="nil"/>
              <w:left w:val="nil"/>
              <w:bottom w:val="nil"/>
              <w:right w:val="single" w:sz="8" w:space="0" w:color="auto"/>
            </w:tcBorders>
            <w:shd w:val="clear" w:color="auto" w:fill="auto"/>
            <w:vAlign w:val="center"/>
          </w:tcPr>
          <w:p w14:paraId="2CB94914" w14:textId="18310B8E" w:rsidR="003D089C" w:rsidRPr="003D089C" w:rsidRDefault="003D089C" w:rsidP="003D089C">
            <w:pPr>
              <w:ind w:left="0" w:firstLine="0"/>
              <w:jc w:val="right"/>
              <w:rPr>
                <w:rFonts w:ascii="Arial" w:hAnsi="Arial" w:cs="Arial"/>
                <w:color w:val="000000"/>
                <w:sz w:val="16"/>
                <w:szCs w:val="16"/>
                <w:lang w:val="en-US" w:eastAsia="en-US"/>
              </w:rPr>
            </w:pPr>
            <w:r w:rsidRPr="003D089C">
              <w:rPr>
                <w:rFonts w:ascii="Arial" w:hAnsi="Arial" w:cs="Arial"/>
                <w:color w:val="000000"/>
                <w:sz w:val="16"/>
                <w:szCs w:val="22"/>
              </w:rPr>
              <w:t>12.76%</w:t>
            </w:r>
          </w:p>
        </w:tc>
        <w:tc>
          <w:tcPr>
            <w:tcW w:w="1160" w:type="dxa"/>
            <w:tcBorders>
              <w:top w:val="nil"/>
              <w:left w:val="nil"/>
              <w:bottom w:val="nil"/>
              <w:right w:val="single" w:sz="8" w:space="0" w:color="auto"/>
            </w:tcBorders>
            <w:shd w:val="clear" w:color="auto" w:fill="auto"/>
            <w:vAlign w:val="center"/>
          </w:tcPr>
          <w:p w14:paraId="5B354AB2" w14:textId="2B20F258" w:rsidR="003D089C" w:rsidRPr="003D089C" w:rsidRDefault="003D089C" w:rsidP="003D089C">
            <w:pPr>
              <w:ind w:left="0" w:right="109" w:firstLine="0"/>
              <w:jc w:val="right"/>
              <w:rPr>
                <w:rFonts w:ascii="Arial" w:hAnsi="Arial" w:cs="Arial"/>
                <w:color w:val="000000"/>
                <w:sz w:val="16"/>
                <w:szCs w:val="16"/>
                <w:lang w:val="en-US" w:eastAsia="en-US"/>
              </w:rPr>
            </w:pPr>
            <w:r w:rsidRPr="003D089C">
              <w:rPr>
                <w:rFonts w:ascii="Arial" w:hAnsi="Arial" w:cs="Arial"/>
                <w:color w:val="000000"/>
                <w:sz w:val="16"/>
                <w:szCs w:val="22"/>
              </w:rPr>
              <w:t xml:space="preserve">1.25 </w:t>
            </w:r>
          </w:p>
        </w:tc>
      </w:tr>
      <w:tr w:rsidR="003D089C" w:rsidRPr="00B2077E" w14:paraId="28683DC5" w14:textId="77777777" w:rsidTr="00542589">
        <w:trPr>
          <w:trHeight w:val="315"/>
        </w:trPr>
        <w:tc>
          <w:tcPr>
            <w:tcW w:w="1646" w:type="dxa"/>
            <w:tcBorders>
              <w:top w:val="nil"/>
              <w:left w:val="single" w:sz="8" w:space="0" w:color="auto"/>
              <w:bottom w:val="single" w:sz="8" w:space="0" w:color="auto"/>
              <w:right w:val="single" w:sz="8" w:space="0" w:color="auto"/>
            </w:tcBorders>
            <w:shd w:val="clear" w:color="auto" w:fill="auto"/>
            <w:noWrap/>
            <w:vAlign w:val="center"/>
            <w:hideMark/>
          </w:tcPr>
          <w:p w14:paraId="051D3D65" w14:textId="77777777" w:rsidR="003D089C" w:rsidRPr="004D5B21" w:rsidRDefault="003D089C" w:rsidP="003D089C">
            <w:pPr>
              <w:ind w:left="0" w:firstLine="0"/>
              <w:jc w:val="center"/>
              <w:rPr>
                <w:rFonts w:ascii="Arial" w:hAnsi="Arial" w:cs="Arial"/>
                <w:b/>
                <w:bCs/>
                <w:color w:val="000000"/>
                <w:sz w:val="16"/>
                <w:szCs w:val="16"/>
                <w:lang w:val="en-US" w:eastAsia="en-US"/>
              </w:rPr>
            </w:pPr>
            <w:proofErr w:type="spellStart"/>
            <w:r w:rsidRPr="004D5B21">
              <w:rPr>
                <w:rFonts w:ascii="Arial" w:hAnsi="Arial" w:cs="Arial"/>
                <w:b/>
                <w:bCs/>
                <w:color w:val="000000"/>
                <w:sz w:val="16"/>
                <w:szCs w:val="16"/>
                <w:lang w:val="en-US" w:eastAsia="en-US"/>
              </w:rPr>
              <w:t>Bajo</w:t>
            </w:r>
            <w:proofErr w:type="spellEnd"/>
          </w:p>
        </w:tc>
        <w:tc>
          <w:tcPr>
            <w:tcW w:w="1354" w:type="dxa"/>
            <w:tcBorders>
              <w:top w:val="nil"/>
              <w:left w:val="nil"/>
              <w:bottom w:val="single" w:sz="8" w:space="0" w:color="auto"/>
              <w:right w:val="single" w:sz="8" w:space="0" w:color="auto"/>
            </w:tcBorders>
            <w:shd w:val="clear" w:color="auto" w:fill="auto"/>
            <w:noWrap/>
            <w:vAlign w:val="center"/>
            <w:hideMark/>
          </w:tcPr>
          <w:p w14:paraId="33E91B2C" w14:textId="31D2F8A2" w:rsidR="003D089C" w:rsidRPr="004D5B21" w:rsidRDefault="003D089C" w:rsidP="003D089C">
            <w:pPr>
              <w:ind w:left="0" w:firstLine="0"/>
              <w:jc w:val="center"/>
              <w:rPr>
                <w:rFonts w:ascii="Arial" w:hAnsi="Arial" w:cs="Arial"/>
                <w:color w:val="000000"/>
                <w:sz w:val="16"/>
                <w:szCs w:val="16"/>
                <w:lang w:val="en-US" w:eastAsia="en-US"/>
              </w:rPr>
            </w:pPr>
            <w:r>
              <w:rPr>
                <w:rFonts w:ascii="Arial" w:hAnsi="Arial" w:cs="Arial"/>
                <w:color w:val="000000"/>
                <w:sz w:val="16"/>
                <w:szCs w:val="16"/>
                <w:lang w:val="en-US" w:eastAsia="en-US"/>
              </w:rPr>
              <w:t>80</w:t>
            </w:r>
            <w:r w:rsidRPr="004D5B21">
              <w:rPr>
                <w:rFonts w:ascii="Arial" w:hAnsi="Arial" w:cs="Arial"/>
                <w:color w:val="000000"/>
                <w:sz w:val="16"/>
                <w:szCs w:val="16"/>
                <w:lang w:val="en-US" w:eastAsia="en-US"/>
              </w:rPr>
              <w:t>%</w:t>
            </w:r>
          </w:p>
        </w:tc>
        <w:tc>
          <w:tcPr>
            <w:tcW w:w="1418" w:type="dxa"/>
            <w:tcBorders>
              <w:top w:val="nil"/>
              <w:left w:val="nil"/>
              <w:bottom w:val="single" w:sz="8" w:space="0" w:color="auto"/>
              <w:right w:val="single" w:sz="8" w:space="0" w:color="auto"/>
            </w:tcBorders>
            <w:shd w:val="clear" w:color="auto" w:fill="auto"/>
            <w:noWrap/>
            <w:vAlign w:val="center"/>
          </w:tcPr>
          <w:p w14:paraId="10C4373C" w14:textId="6B657D7D" w:rsidR="003D089C" w:rsidRPr="003D089C" w:rsidRDefault="003D089C" w:rsidP="003D089C">
            <w:pPr>
              <w:ind w:left="0" w:firstLine="0"/>
              <w:jc w:val="right"/>
              <w:rPr>
                <w:rFonts w:ascii="Arial" w:hAnsi="Arial" w:cs="Arial"/>
                <w:color w:val="000000"/>
                <w:sz w:val="16"/>
                <w:szCs w:val="16"/>
                <w:lang w:val="en-US" w:eastAsia="en-US"/>
              </w:rPr>
            </w:pPr>
            <w:r w:rsidRPr="003D089C">
              <w:rPr>
                <w:rFonts w:ascii="Arial" w:hAnsi="Arial" w:cs="Arial"/>
                <w:color w:val="000000"/>
                <w:sz w:val="16"/>
                <w:szCs w:val="22"/>
              </w:rPr>
              <w:t>$</w:t>
            </w:r>
            <w:r>
              <w:rPr>
                <w:rFonts w:ascii="Arial" w:hAnsi="Arial" w:cs="Arial"/>
                <w:color w:val="000000"/>
                <w:sz w:val="16"/>
                <w:szCs w:val="22"/>
              </w:rPr>
              <w:t xml:space="preserve"> </w:t>
            </w:r>
            <w:r w:rsidRPr="003D089C">
              <w:rPr>
                <w:rFonts w:ascii="Arial" w:hAnsi="Arial" w:cs="Arial"/>
                <w:color w:val="000000"/>
                <w:sz w:val="16"/>
                <w:szCs w:val="22"/>
              </w:rPr>
              <w:t>(346,509)</w:t>
            </w:r>
          </w:p>
        </w:tc>
        <w:tc>
          <w:tcPr>
            <w:tcW w:w="900" w:type="dxa"/>
            <w:tcBorders>
              <w:top w:val="nil"/>
              <w:left w:val="nil"/>
              <w:bottom w:val="single" w:sz="8" w:space="0" w:color="auto"/>
              <w:right w:val="single" w:sz="8" w:space="0" w:color="auto"/>
            </w:tcBorders>
            <w:shd w:val="clear" w:color="auto" w:fill="auto"/>
            <w:vAlign w:val="center"/>
          </w:tcPr>
          <w:p w14:paraId="5287C0E1" w14:textId="3C7037F7" w:rsidR="003D089C" w:rsidRPr="003D089C" w:rsidRDefault="003D089C" w:rsidP="003D089C">
            <w:pPr>
              <w:ind w:left="0" w:firstLine="0"/>
              <w:jc w:val="right"/>
              <w:rPr>
                <w:rFonts w:ascii="Arial" w:hAnsi="Arial" w:cs="Arial"/>
                <w:color w:val="000000"/>
                <w:sz w:val="16"/>
                <w:szCs w:val="16"/>
                <w:lang w:val="en-US" w:eastAsia="en-US"/>
              </w:rPr>
            </w:pPr>
            <w:r w:rsidRPr="003D089C">
              <w:rPr>
                <w:rFonts w:ascii="Arial" w:hAnsi="Arial" w:cs="Arial"/>
                <w:color w:val="000000"/>
                <w:sz w:val="16"/>
                <w:szCs w:val="22"/>
              </w:rPr>
              <w:t>11.97%</w:t>
            </w:r>
          </w:p>
        </w:tc>
        <w:tc>
          <w:tcPr>
            <w:tcW w:w="1160" w:type="dxa"/>
            <w:tcBorders>
              <w:top w:val="nil"/>
              <w:left w:val="nil"/>
              <w:bottom w:val="single" w:sz="8" w:space="0" w:color="auto"/>
              <w:right w:val="single" w:sz="8" w:space="0" w:color="auto"/>
            </w:tcBorders>
            <w:shd w:val="clear" w:color="auto" w:fill="auto"/>
            <w:vAlign w:val="center"/>
          </w:tcPr>
          <w:p w14:paraId="3CFF478A" w14:textId="29FDD6F6" w:rsidR="003D089C" w:rsidRPr="003D089C" w:rsidRDefault="003D089C" w:rsidP="003D089C">
            <w:pPr>
              <w:ind w:left="0" w:right="109" w:firstLine="0"/>
              <w:jc w:val="right"/>
              <w:rPr>
                <w:rFonts w:ascii="Arial" w:hAnsi="Arial" w:cs="Arial"/>
                <w:color w:val="000000"/>
                <w:sz w:val="16"/>
                <w:szCs w:val="16"/>
                <w:lang w:val="en-US" w:eastAsia="en-US"/>
              </w:rPr>
            </w:pPr>
            <w:r w:rsidRPr="003D089C">
              <w:rPr>
                <w:rFonts w:ascii="Arial" w:hAnsi="Arial" w:cs="Arial"/>
                <w:color w:val="000000"/>
                <w:sz w:val="16"/>
                <w:szCs w:val="22"/>
              </w:rPr>
              <w:t xml:space="preserve">1.11 </w:t>
            </w:r>
          </w:p>
        </w:tc>
      </w:tr>
    </w:tbl>
    <w:p w14:paraId="71EF7851" w14:textId="77777777" w:rsidR="00A54DD1" w:rsidRPr="00B2077E" w:rsidRDefault="00A54DD1" w:rsidP="00A3783E">
      <w:pPr>
        <w:pStyle w:val="Paragraph"/>
        <w:numPr>
          <w:ilvl w:val="0"/>
          <w:numId w:val="0"/>
        </w:numPr>
        <w:tabs>
          <w:tab w:val="num" w:pos="2088"/>
        </w:tabs>
        <w:spacing w:line="276" w:lineRule="auto"/>
        <w:ind w:left="720"/>
        <w:rPr>
          <w:rStyle w:val="Emphasis"/>
          <w:rFonts w:eastAsia="BatangChe" w:cs="Arial"/>
          <w:lang w:val="es-MX"/>
        </w:rPr>
      </w:pPr>
    </w:p>
    <w:p w14:paraId="5D69E8D6" w14:textId="40751894" w:rsidR="00E32004" w:rsidRDefault="00461D0A" w:rsidP="00DE21D7">
      <w:pPr>
        <w:pStyle w:val="Paragraph"/>
        <w:tabs>
          <w:tab w:val="num" w:pos="720"/>
          <w:tab w:val="num" w:pos="2088"/>
        </w:tabs>
        <w:spacing w:line="276" w:lineRule="auto"/>
        <w:ind w:left="720" w:hanging="720"/>
        <w:rPr>
          <w:rStyle w:val="Emphasis"/>
          <w:rFonts w:eastAsia="BatangChe" w:cs="Arial"/>
          <w:lang w:val="es-MX"/>
        </w:rPr>
      </w:pPr>
      <w:r>
        <w:rPr>
          <w:rStyle w:val="Emphasis"/>
          <w:rFonts w:eastAsia="BatangChe" w:cs="Arial"/>
          <w:lang w:val="es-MX"/>
        </w:rPr>
        <w:t>En u</w:t>
      </w:r>
      <w:r w:rsidR="00E32004" w:rsidRPr="28D31204">
        <w:rPr>
          <w:rStyle w:val="Emphasis"/>
          <w:rFonts w:eastAsia="BatangChe" w:cs="Arial"/>
          <w:lang w:val="es-MX"/>
        </w:rPr>
        <w:t>n segundo escenario, “B”,</w:t>
      </w:r>
      <w:r>
        <w:rPr>
          <w:rStyle w:val="Emphasis"/>
          <w:rFonts w:eastAsia="BatangChe" w:cs="Arial"/>
          <w:lang w:val="es-MX"/>
        </w:rPr>
        <w:t xml:space="preserve"> se considera el mantenimiento</w:t>
      </w:r>
      <w:r w:rsidR="00E32004" w:rsidRPr="28D31204">
        <w:rPr>
          <w:rStyle w:val="Emphasis"/>
          <w:rFonts w:eastAsia="BatangChe" w:cs="Arial"/>
          <w:lang w:val="es-MX"/>
        </w:rPr>
        <w:t xml:space="preserve"> </w:t>
      </w:r>
      <w:r>
        <w:rPr>
          <w:rStyle w:val="Emphasis"/>
          <w:rFonts w:eastAsia="BatangChe" w:cs="Arial"/>
          <w:lang w:val="es-MX"/>
        </w:rPr>
        <w:t xml:space="preserve">de la infraestructura escolar como un riesgo latente y un tema a resolver, y por ello </w:t>
      </w:r>
      <w:r w:rsidR="00E32004">
        <w:rPr>
          <w:rStyle w:val="Emphasis"/>
          <w:rFonts w:eastAsia="BatangChe" w:cs="Arial"/>
          <w:lang w:val="es-MX"/>
        </w:rPr>
        <w:t xml:space="preserve">se plantean dos </w:t>
      </w:r>
      <w:r w:rsidR="0008633A">
        <w:rPr>
          <w:rStyle w:val="Emphasis"/>
          <w:rFonts w:eastAsia="BatangChe" w:cs="Arial"/>
          <w:lang w:val="es-MX"/>
        </w:rPr>
        <w:t>posibilidades ajustando la ya restrictiva vida útil de las escuelas construidas</w:t>
      </w:r>
      <w:r>
        <w:rPr>
          <w:rStyle w:val="Emphasis"/>
          <w:rFonts w:eastAsia="BatangChe" w:cs="Arial"/>
          <w:lang w:val="es-MX"/>
        </w:rPr>
        <w:t xml:space="preserve"> (de 50 a 30 años)</w:t>
      </w:r>
      <w:r w:rsidR="0008633A">
        <w:rPr>
          <w:rStyle w:val="Emphasis"/>
          <w:rFonts w:eastAsia="BatangChe" w:cs="Arial"/>
          <w:lang w:val="es-MX"/>
        </w:rPr>
        <w:t xml:space="preserve">, </w:t>
      </w:r>
      <w:r w:rsidR="001B4786">
        <w:rPr>
          <w:rStyle w:val="Emphasis"/>
          <w:rFonts w:eastAsia="BatangChe" w:cs="Arial"/>
          <w:lang w:val="es-MX"/>
        </w:rPr>
        <w:t xml:space="preserve">a </w:t>
      </w:r>
      <w:r w:rsidR="0008633A">
        <w:rPr>
          <w:rStyle w:val="Emphasis"/>
          <w:rFonts w:eastAsia="BatangChe" w:cs="Arial"/>
          <w:lang w:val="es-MX"/>
        </w:rPr>
        <w:t>20 y 15 años</w:t>
      </w:r>
      <w:r w:rsidR="001B4786">
        <w:rPr>
          <w:rStyle w:val="Emphasis"/>
          <w:rFonts w:eastAsia="BatangChe" w:cs="Arial"/>
          <w:lang w:val="es-MX"/>
        </w:rPr>
        <w:t xml:space="preserve"> para un escenario medio y bajo </w:t>
      </w:r>
      <w:r w:rsidR="003D089C">
        <w:rPr>
          <w:rStyle w:val="Emphasis"/>
          <w:rFonts w:eastAsia="BatangChe" w:cs="Arial"/>
          <w:lang w:val="es-MX"/>
        </w:rPr>
        <w:t>respectivamente</w:t>
      </w:r>
      <w:r w:rsidR="0008633A">
        <w:rPr>
          <w:rStyle w:val="Emphasis"/>
          <w:rFonts w:eastAsia="BatangChe" w:cs="Arial"/>
          <w:lang w:val="es-MX"/>
        </w:rPr>
        <w:t>, ver Tabla 6.2</w:t>
      </w:r>
      <w:r w:rsidR="00E32004">
        <w:rPr>
          <w:rStyle w:val="Emphasis"/>
          <w:rFonts w:eastAsia="BatangChe" w:cs="Arial"/>
          <w:lang w:val="es-MX"/>
        </w:rPr>
        <w:t>.</w:t>
      </w:r>
      <w:r w:rsidR="001B4786">
        <w:rPr>
          <w:rStyle w:val="Emphasis"/>
          <w:rFonts w:eastAsia="BatangChe" w:cs="Arial"/>
          <w:lang w:val="es-MX"/>
        </w:rPr>
        <w:t xml:space="preserve"> A pesar de la disminución de los años de vida útil los retornos del proyecto siguen siendo positivos.</w:t>
      </w:r>
    </w:p>
    <w:p w14:paraId="7596A1D0" w14:textId="77777777" w:rsidR="00F27356" w:rsidRDefault="00F27356" w:rsidP="00F27356">
      <w:pPr>
        <w:pStyle w:val="Paragraph"/>
        <w:numPr>
          <w:ilvl w:val="0"/>
          <w:numId w:val="0"/>
        </w:numPr>
        <w:tabs>
          <w:tab w:val="num" w:pos="2088"/>
        </w:tabs>
        <w:spacing w:line="276" w:lineRule="auto"/>
        <w:ind w:left="720"/>
        <w:rPr>
          <w:rStyle w:val="Emphasis"/>
          <w:rFonts w:eastAsia="BatangChe" w:cs="Arial"/>
          <w:lang w:val="es-MX"/>
        </w:rPr>
      </w:pPr>
    </w:p>
    <w:p w14:paraId="04CFD6FA" w14:textId="5620B1EF" w:rsidR="00F27356" w:rsidRPr="00B2077E" w:rsidRDefault="00F27356" w:rsidP="00F27356">
      <w:pPr>
        <w:pStyle w:val="Paragraph"/>
        <w:numPr>
          <w:ilvl w:val="0"/>
          <w:numId w:val="0"/>
        </w:numPr>
        <w:ind w:left="1579" w:hanging="870"/>
        <w:rPr>
          <w:rStyle w:val="Emphasis"/>
          <w:rFonts w:eastAsia="BatangChe" w:cs="Arial"/>
          <w:b/>
          <w:bCs/>
          <w:sz w:val="20"/>
          <w:szCs w:val="20"/>
          <w:lang w:val="es-MX"/>
        </w:rPr>
      </w:pPr>
      <w:r>
        <w:rPr>
          <w:rStyle w:val="Emphasis"/>
          <w:rFonts w:eastAsia="BatangChe" w:cs="Arial"/>
          <w:b/>
          <w:bCs/>
          <w:sz w:val="20"/>
          <w:szCs w:val="20"/>
          <w:lang w:val="es-MX"/>
        </w:rPr>
        <w:t>Tabla 6.2: Escenario B</w:t>
      </w:r>
      <w:r w:rsidRPr="28D31204">
        <w:rPr>
          <w:rStyle w:val="Emphasis"/>
          <w:rFonts w:eastAsia="BatangChe" w:cs="Arial"/>
          <w:b/>
          <w:bCs/>
          <w:sz w:val="20"/>
          <w:szCs w:val="20"/>
          <w:lang w:val="es-MX"/>
        </w:rPr>
        <w:t>.</w:t>
      </w:r>
    </w:p>
    <w:tbl>
      <w:tblPr>
        <w:tblW w:w="6478" w:type="dxa"/>
        <w:tblInd w:w="817" w:type="dxa"/>
        <w:tblLayout w:type="fixed"/>
        <w:tblLook w:val="04A0" w:firstRow="1" w:lastRow="0" w:firstColumn="1" w:lastColumn="0" w:noHBand="0" w:noVBand="1"/>
      </w:tblPr>
      <w:tblGrid>
        <w:gridCol w:w="1646"/>
        <w:gridCol w:w="1354"/>
        <w:gridCol w:w="1418"/>
        <w:gridCol w:w="900"/>
        <w:gridCol w:w="1160"/>
      </w:tblGrid>
      <w:tr w:rsidR="00F27356" w:rsidRPr="00B2077E" w14:paraId="50D69E76" w14:textId="77777777" w:rsidTr="00565E3F">
        <w:trPr>
          <w:trHeight w:val="957"/>
        </w:trPr>
        <w:tc>
          <w:tcPr>
            <w:tcW w:w="164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476FAE1" w14:textId="7E7E6A58" w:rsidR="00F27356" w:rsidRPr="00F27356" w:rsidRDefault="00F27356" w:rsidP="00F27356">
            <w:pPr>
              <w:ind w:left="0" w:firstLine="0"/>
              <w:jc w:val="center"/>
              <w:rPr>
                <w:rFonts w:ascii="Arial" w:hAnsi="Arial" w:cs="Arial"/>
                <w:b/>
                <w:bCs/>
                <w:color w:val="000000"/>
                <w:sz w:val="16"/>
                <w:szCs w:val="16"/>
                <w:lang w:eastAsia="en-US"/>
              </w:rPr>
            </w:pPr>
            <w:r w:rsidRPr="00F27356">
              <w:rPr>
                <w:rFonts w:ascii="Arial" w:hAnsi="Arial" w:cs="Arial"/>
                <w:b/>
                <w:bCs/>
                <w:color w:val="000000"/>
                <w:sz w:val="16"/>
                <w:szCs w:val="16"/>
              </w:rPr>
              <w:t>Escenario sobre meta original</w:t>
            </w:r>
          </w:p>
        </w:tc>
        <w:tc>
          <w:tcPr>
            <w:tcW w:w="135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3835D35" w14:textId="1123405B" w:rsidR="00F27356" w:rsidRPr="00F27356" w:rsidRDefault="00F27356" w:rsidP="00F27356">
            <w:pPr>
              <w:ind w:left="0" w:firstLine="0"/>
              <w:jc w:val="center"/>
              <w:rPr>
                <w:rFonts w:ascii="Arial" w:hAnsi="Arial" w:cs="Arial"/>
                <w:b/>
                <w:bCs/>
                <w:color w:val="000000"/>
                <w:sz w:val="16"/>
                <w:szCs w:val="16"/>
                <w:lang w:eastAsia="en-US"/>
              </w:rPr>
            </w:pPr>
            <w:r w:rsidRPr="00F27356">
              <w:rPr>
                <w:rFonts w:ascii="Arial" w:hAnsi="Arial" w:cs="Arial"/>
                <w:b/>
                <w:bCs/>
                <w:color w:val="000000"/>
                <w:sz w:val="16"/>
                <w:szCs w:val="16"/>
              </w:rPr>
              <w:t>Vida Útil (años)</w:t>
            </w:r>
          </w:p>
        </w:tc>
        <w:tc>
          <w:tcPr>
            <w:tcW w:w="1418"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82F2C42" w14:textId="16138693" w:rsidR="00F27356" w:rsidRPr="00F27356" w:rsidRDefault="00F27356" w:rsidP="00F27356">
            <w:pPr>
              <w:ind w:left="0" w:firstLine="0"/>
              <w:jc w:val="center"/>
              <w:rPr>
                <w:rFonts w:ascii="Arial" w:hAnsi="Arial" w:cs="Arial"/>
                <w:b/>
                <w:bCs/>
                <w:color w:val="000000"/>
                <w:sz w:val="16"/>
                <w:szCs w:val="16"/>
                <w:lang w:eastAsia="en-US"/>
              </w:rPr>
            </w:pPr>
            <w:r w:rsidRPr="00F27356">
              <w:rPr>
                <w:rFonts w:ascii="Arial" w:hAnsi="Arial" w:cs="Arial"/>
                <w:b/>
                <w:bCs/>
                <w:color w:val="000000"/>
                <w:sz w:val="16"/>
                <w:szCs w:val="16"/>
              </w:rPr>
              <w:t>VAN</w:t>
            </w:r>
          </w:p>
        </w:tc>
        <w:tc>
          <w:tcPr>
            <w:tcW w:w="900" w:type="dxa"/>
            <w:tcBorders>
              <w:top w:val="single" w:sz="8" w:space="0" w:color="auto"/>
              <w:left w:val="nil"/>
              <w:bottom w:val="single" w:sz="4" w:space="0" w:color="auto"/>
              <w:right w:val="single" w:sz="8" w:space="0" w:color="auto"/>
            </w:tcBorders>
            <w:shd w:val="clear" w:color="auto" w:fill="auto"/>
            <w:vAlign w:val="center"/>
            <w:hideMark/>
          </w:tcPr>
          <w:p w14:paraId="14C1A43D" w14:textId="5ADD8C8D" w:rsidR="00F27356" w:rsidRPr="00F27356" w:rsidRDefault="00F27356" w:rsidP="00F27356">
            <w:pPr>
              <w:ind w:left="0" w:firstLine="0"/>
              <w:jc w:val="center"/>
              <w:rPr>
                <w:rFonts w:ascii="Arial" w:hAnsi="Arial" w:cs="Arial"/>
                <w:b/>
                <w:bCs/>
                <w:color w:val="000000"/>
                <w:sz w:val="16"/>
                <w:szCs w:val="16"/>
                <w:lang w:eastAsia="en-US"/>
              </w:rPr>
            </w:pPr>
            <w:r w:rsidRPr="00F27356">
              <w:rPr>
                <w:rFonts w:ascii="Arial" w:hAnsi="Arial" w:cs="Arial"/>
                <w:b/>
                <w:bCs/>
                <w:color w:val="000000"/>
                <w:sz w:val="16"/>
                <w:szCs w:val="16"/>
              </w:rPr>
              <w:t>TIR</w:t>
            </w:r>
          </w:p>
        </w:tc>
        <w:tc>
          <w:tcPr>
            <w:tcW w:w="116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63C67DD7" w14:textId="601D59C8" w:rsidR="00F27356" w:rsidRPr="00F27356" w:rsidRDefault="00F27356" w:rsidP="00F27356">
            <w:pPr>
              <w:ind w:left="0" w:firstLine="0"/>
              <w:jc w:val="center"/>
              <w:rPr>
                <w:rFonts w:ascii="Arial" w:hAnsi="Arial" w:cs="Arial"/>
                <w:b/>
                <w:bCs/>
                <w:color w:val="000000"/>
                <w:sz w:val="16"/>
                <w:szCs w:val="16"/>
                <w:lang w:eastAsia="en-US"/>
              </w:rPr>
            </w:pPr>
            <w:r w:rsidRPr="00F27356">
              <w:rPr>
                <w:rFonts w:ascii="Arial" w:hAnsi="Arial" w:cs="Arial"/>
                <w:b/>
                <w:bCs/>
                <w:color w:val="000000"/>
                <w:sz w:val="16"/>
                <w:szCs w:val="16"/>
              </w:rPr>
              <w:t>Beneficios/ Costos</w:t>
            </w:r>
          </w:p>
        </w:tc>
      </w:tr>
      <w:tr w:rsidR="008F7654" w:rsidRPr="00B2077E" w14:paraId="70CF7317" w14:textId="77777777" w:rsidTr="00F27356">
        <w:trPr>
          <w:trHeight w:val="342"/>
        </w:trPr>
        <w:tc>
          <w:tcPr>
            <w:tcW w:w="1646" w:type="dxa"/>
            <w:tcBorders>
              <w:top w:val="nil"/>
              <w:left w:val="single" w:sz="8" w:space="0" w:color="auto"/>
              <w:right w:val="single" w:sz="8" w:space="0" w:color="auto"/>
            </w:tcBorders>
            <w:shd w:val="clear" w:color="auto" w:fill="auto"/>
            <w:noWrap/>
            <w:vAlign w:val="center"/>
            <w:hideMark/>
          </w:tcPr>
          <w:p w14:paraId="5489EA49" w14:textId="463C1B4D" w:rsidR="008F7654" w:rsidRPr="00F27356" w:rsidRDefault="008F7654" w:rsidP="008F7654">
            <w:pPr>
              <w:ind w:left="0" w:firstLine="0"/>
              <w:jc w:val="center"/>
              <w:rPr>
                <w:rFonts w:ascii="Arial" w:hAnsi="Arial" w:cs="Arial"/>
                <w:b/>
                <w:bCs/>
                <w:color w:val="000000"/>
                <w:sz w:val="16"/>
                <w:szCs w:val="16"/>
                <w:lang w:eastAsia="en-US"/>
              </w:rPr>
            </w:pPr>
            <w:r w:rsidRPr="00F27356">
              <w:rPr>
                <w:rFonts w:ascii="Arial" w:hAnsi="Arial" w:cs="Arial"/>
                <w:b/>
                <w:bCs/>
                <w:color w:val="000000"/>
                <w:sz w:val="16"/>
                <w:szCs w:val="22"/>
              </w:rPr>
              <w:t>Medio</w:t>
            </w:r>
          </w:p>
        </w:tc>
        <w:tc>
          <w:tcPr>
            <w:tcW w:w="1354" w:type="dxa"/>
            <w:tcBorders>
              <w:top w:val="single" w:sz="4" w:space="0" w:color="auto"/>
              <w:left w:val="nil"/>
              <w:right w:val="single" w:sz="8" w:space="0" w:color="auto"/>
            </w:tcBorders>
            <w:shd w:val="clear" w:color="auto" w:fill="auto"/>
            <w:noWrap/>
            <w:vAlign w:val="center"/>
            <w:hideMark/>
          </w:tcPr>
          <w:p w14:paraId="49EDCF0E" w14:textId="3E5F324F" w:rsidR="008F7654" w:rsidRPr="001B4786" w:rsidRDefault="008F7654" w:rsidP="008F7654">
            <w:pPr>
              <w:ind w:left="0" w:firstLine="0"/>
              <w:jc w:val="center"/>
              <w:rPr>
                <w:rFonts w:ascii="Arial" w:hAnsi="Arial" w:cs="Arial"/>
                <w:color w:val="000000"/>
                <w:sz w:val="16"/>
                <w:szCs w:val="16"/>
                <w:lang w:eastAsia="en-US"/>
              </w:rPr>
            </w:pPr>
            <w:r w:rsidRPr="00F27356">
              <w:rPr>
                <w:rFonts w:ascii="Arial" w:hAnsi="Arial" w:cs="Arial"/>
                <w:color w:val="000000"/>
                <w:sz w:val="16"/>
                <w:szCs w:val="22"/>
              </w:rPr>
              <w:t xml:space="preserve">20 </w:t>
            </w:r>
          </w:p>
        </w:tc>
        <w:tc>
          <w:tcPr>
            <w:tcW w:w="1418" w:type="dxa"/>
            <w:tcBorders>
              <w:top w:val="nil"/>
              <w:left w:val="nil"/>
              <w:right w:val="single" w:sz="8" w:space="0" w:color="auto"/>
            </w:tcBorders>
            <w:shd w:val="clear" w:color="auto" w:fill="auto"/>
            <w:noWrap/>
            <w:vAlign w:val="center"/>
          </w:tcPr>
          <w:p w14:paraId="432D3270" w14:textId="2C3B67D0" w:rsidR="008F7654" w:rsidRPr="008F7654" w:rsidRDefault="008F7654" w:rsidP="008F7654">
            <w:pPr>
              <w:ind w:left="0" w:firstLine="0"/>
              <w:jc w:val="right"/>
              <w:rPr>
                <w:rFonts w:ascii="Arial" w:hAnsi="Arial" w:cs="Arial"/>
                <w:color w:val="000000"/>
                <w:sz w:val="16"/>
                <w:szCs w:val="16"/>
                <w:lang w:eastAsia="en-US"/>
              </w:rPr>
            </w:pPr>
            <w:r w:rsidRPr="008F7654">
              <w:rPr>
                <w:rFonts w:ascii="Arial" w:hAnsi="Arial" w:cs="Arial"/>
                <w:color w:val="000000"/>
                <w:sz w:val="16"/>
                <w:szCs w:val="22"/>
              </w:rPr>
              <w:t>$16,825,417</w:t>
            </w:r>
          </w:p>
        </w:tc>
        <w:tc>
          <w:tcPr>
            <w:tcW w:w="900" w:type="dxa"/>
            <w:tcBorders>
              <w:top w:val="single" w:sz="4" w:space="0" w:color="auto"/>
              <w:left w:val="nil"/>
              <w:right w:val="single" w:sz="8" w:space="0" w:color="auto"/>
            </w:tcBorders>
            <w:shd w:val="clear" w:color="auto" w:fill="auto"/>
            <w:vAlign w:val="center"/>
          </w:tcPr>
          <w:p w14:paraId="37F4D12C" w14:textId="71AB5355" w:rsidR="008F7654" w:rsidRPr="008F7654" w:rsidRDefault="008F7654" w:rsidP="008F7654">
            <w:pPr>
              <w:ind w:left="0" w:firstLine="0"/>
              <w:jc w:val="right"/>
              <w:rPr>
                <w:rFonts w:ascii="Arial" w:hAnsi="Arial" w:cs="Arial"/>
                <w:color w:val="000000"/>
                <w:sz w:val="16"/>
                <w:szCs w:val="16"/>
                <w:lang w:val="en-US" w:eastAsia="en-US"/>
              </w:rPr>
            </w:pPr>
            <w:r w:rsidRPr="008F7654">
              <w:rPr>
                <w:rFonts w:ascii="Arial" w:hAnsi="Arial" w:cs="Arial"/>
                <w:color w:val="000000"/>
                <w:sz w:val="16"/>
                <w:szCs w:val="22"/>
              </w:rPr>
              <w:t>13.46%</w:t>
            </w:r>
          </w:p>
        </w:tc>
        <w:tc>
          <w:tcPr>
            <w:tcW w:w="1160" w:type="dxa"/>
            <w:tcBorders>
              <w:top w:val="nil"/>
              <w:left w:val="nil"/>
              <w:right w:val="single" w:sz="8" w:space="0" w:color="auto"/>
            </w:tcBorders>
            <w:shd w:val="clear" w:color="auto" w:fill="auto"/>
            <w:vAlign w:val="center"/>
          </w:tcPr>
          <w:p w14:paraId="460960B2" w14:textId="6CB5C891" w:rsidR="008F7654" w:rsidRPr="008F7654" w:rsidRDefault="008F7654" w:rsidP="008F7654">
            <w:pPr>
              <w:ind w:left="0" w:right="109" w:firstLine="0"/>
              <w:jc w:val="right"/>
              <w:rPr>
                <w:rFonts w:ascii="Arial" w:hAnsi="Arial" w:cs="Arial"/>
                <w:color w:val="000000"/>
                <w:sz w:val="16"/>
                <w:szCs w:val="16"/>
                <w:lang w:val="en-US" w:eastAsia="en-US"/>
              </w:rPr>
            </w:pPr>
            <w:r w:rsidRPr="008F7654">
              <w:rPr>
                <w:rFonts w:ascii="Arial" w:hAnsi="Arial" w:cs="Arial"/>
                <w:color w:val="000000"/>
                <w:sz w:val="16"/>
                <w:szCs w:val="22"/>
              </w:rPr>
              <w:t>1.38</w:t>
            </w:r>
          </w:p>
        </w:tc>
      </w:tr>
      <w:tr w:rsidR="008F7654" w:rsidRPr="00B2077E" w14:paraId="1341A388" w14:textId="77777777" w:rsidTr="00F27356">
        <w:trPr>
          <w:trHeight w:val="300"/>
        </w:trPr>
        <w:tc>
          <w:tcPr>
            <w:tcW w:w="1646" w:type="dxa"/>
            <w:tcBorders>
              <w:top w:val="nil"/>
              <w:left w:val="single" w:sz="8" w:space="0" w:color="auto"/>
              <w:bottom w:val="single" w:sz="4" w:space="0" w:color="auto"/>
              <w:right w:val="single" w:sz="8" w:space="0" w:color="auto"/>
            </w:tcBorders>
            <w:shd w:val="clear" w:color="auto" w:fill="auto"/>
            <w:noWrap/>
            <w:vAlign w:val="center"/>
            <w:hideMark/>
          </w:tcPr>
          <w:p w14:paraId="617F1ECF" w14:textId="7F696831" w:rsidR="008F7654" w:rsidRPr="00F27356" w:rsidRDefault="008F7654" w:rsidP="008F7654">
            <w:pPr>
              <w:ind w:left="0" w:firstLine="0"/>
              <w:jc w:val="center"/>
              <w:rPr>
                <w:rFonts w:ascii="Arial" w:hAnsi="Arial" w:cs="Arial"/>
                <w:b/>
                <w:bCs/>
                <w:color w:val="000000"/>
                <w:sz w:val="16"/>
                <w:szCs w:val="16"/>
                <w:lang w:val="en-US" w:eastAsia="en-US"/>
              </w:rPr>
            </w:pPr>
            <w:r w:rsidRPr="00F27356">
              <w:rPr>
                <w:rFonts w:ascii="Arial" w:hAnsi="Arial" w:cs="Arial"/>
                <w:b/>
                <w:bCs/>
                <w:color w:val="000000"/>
                <w:sz w:val="16"/>
                <w:szCs w:val="22"/>
              </w:rPr>
              <w:t>Bajo</w:t>
            </w:r>
          </w:p>
        </w:tc>
        <w:tc>
          <w:tcPr>
            <w:tcW w:w="1354" w:type="dxa"/>
            <w:tcBorders>
              <w:top w:val="nil"/>
              <w:left w:val="nil"/>
              <w:bottom w:val="single" w:sz="4" w:space="0" w:color="auto"/>
              <w:right w:val="single" w:sz="8" w:space="0" w:color="auto"/>
            </w:tcBorders>
            <w:shd w:val="clear" w:color="auto" w:fill="auto"/>
            <w:noWrap/>
            <w:vAlign w:val="center"/>
            <w:hideMark/>
          </w:tcPr>
          <w:p w14:paraId="64CDC2F0" w14:textId="6519E94C" w:rsidR="008F7654" w:rsidRPr="00F27356" w:rsidRDefault="008F7654" w:rsidP="008F7654">
            <w:pPr>
              <w:ind w:left="0" w:firstLine="0"/>
              <w:jc w:val="center"/>
              <w:rPr>
                <w:rFonts w:ascii="Arial" w:hAnsi="Arial" w:cs="Arial"/>
                <w:color w:val="000000"/>
                <w:sz w:val="16"/>
                <w:szCs w:val="16"/>
                <w:lang w:val="en-US" w:eastAsia="en-US"/>
              </w:rPr>
            </w:pPr>
            <w:r w:rsidRPr="00F27356">
              <w:rPr>
                <w:rFonts w:ascii="Arial" w:hAnsi="Arial" w:cs="Arial"/>
                <w:color w:val="000000"/>
                <w:sz w:val="16"/>
                <w:szCs w:val="22"/>
              </w:rPr>
              <w:t xml:space="preserve">15 </w:t>
            </w:r>
          </w:p>
        </w:tc>
        <w:tc>
          <w:tcPr>
            <w:tcW w:w="1418" w:type="dxa"/>
            <w:tcBorders>
              <w:top w:val="nil"/>
              <w:left w:val="nil"/>
              <w:bottom w:val="single" w:sz="4" w:space="0" w:color="auto"/>
              <w:right w:val="single" w:sz="8" w:space="0" w:color="auto"/>
            </w:tcBorders>
            <w:shd w:val="clear" w:color="auto" w:fill="auto"/>
            <w:noWrap/>
            <w:vAlign w:val="center"/>
          </w:tcPr>
          <w:p w14:paraId="44BC65ED" w14:textId="7E0A5041" w:rsidR="008F7654" w:rsidRPr="008F7654" w:rsidRDefault="008F7654" w:rsidP="008F7654">
            <w:pPr>
              <w:ind w:left="0" w:firstLine="0"/>
              <w:jc w:val="right"/>
              <w:rPr>
                <w:rFonts w:ascii="Arial" w:hAnsi="Arial" w:cs="Arial"/>
                <w:color w:val="000000"/>
                <w:sz w:val="16"/>
                <w:szCs w:val="16"/>
                <w:lang w:val="en-US" w:eastAsia="en-US"/>
              </w:rPr>
            </w:pPr>
            <w:r w:rsidRPr="008F7654">
              <w:rPr>
                <w:rFonts w:ascii="Arial" w:hAnsi="Arial" w:cs="Arial"/>
                <w:color w:val="000000"/>
                <w:sz w:val="16"/>
                <w:szCs w:val="22"/>
              </w:rPr>
              <w:t>$16,425,505</w:t>
            </w:r>
          </w:p>
        </w:tc>
        <w:tc>
          <w:tcPr>
            <w:tcW w:w="900" w:type="dxa"/>
            <w:tcBorders>
              <w:top w:val="nil"/>
              <w:left w:val="nil"/>
              <w:bottom w:val="single" w:sz="4" w:space="0" w:color="auto"/>
              <w:right w:val="single" w:sz="8" w:space="0" w:color="auto"/>
            </w:tcBorders>
            <w:shd w:val="clear" w:color="auto" w:fill="auto"/>
            <w:vAlign w:val="center"/>
          </w:tcPr>
          <w:p w14:paraId="0A9F0ECA" w14:textId="57BBCA1B" w:rsidR="008F7654" w:rsidRPr="008F7654" w:rsidRDefault="008F7654" w:rsidP="008F7654">
            <w:pPr>
              <w:ind w:left="0" w:firstLine="0"/>
              <w:jc w:val="right"/>
              <w:rPr>
                <w:rFonts w:ascii="Arial" w:hAnsi="Arial" w:cs="Arial"/>
                <w:color w:val="000000"/>
                <w:sz w:val="16"/>
                <w:szCs w:val="16"/>
                <w:lang w:val="en-US" w:eastAsia="en-US"/>
              </w:rPr>
            </w:pPr>
            <w:r w:rsidRPr="008F7654">
              <w:rPr>
                <w:rFonts w:ascii="Arial" w:hAnsi="Arial" w:cs="Arial"/>
                <w:color w:val="000000"/>
                <w:sz w:val="16"/>
                <w:szCs w:val="22"/>
              </w:rPr>
              <w:t>13.43%</w:t>
            </w:r>
          </w:p>
        </w:tc>
        <w:tc>
          <w:tcPr>
            <w:tcW w:w="1160" w:type="dxa"/>
            <w:tcBorders>
              <w:top w:val="nil"/>
              <w:left w:val="nil"/>
              <w:bottom w:val="single" w:sz="4" w:space="0" w:color="auto"/>
              <w:right w:val="single" w:sz="8" w:space="0" w:color="auto"/>
            </w:tcBorders>
            <w:shd w:val="clear" w:color="auto" w:fill="auto"/>
            <w:vAlign w:val="center"/>
          </w:tcPr>
          <w:p w14:paraId="13071F1F" w14:textId="7533E43F" w:rsidR="008F7654" w:rsidRPr="008F7654" w:rsidRDefault="008F7654" w:rsidP="008F7654">
            <w:pPr>
              <w:ind w:left="0" w:right="109" w:firstLine="0"/>
              <w:jc w:val="right"/>
              <w:rPr>
                <w:rFonts w:ascii="Arial" w:hAnsi="Arial" w:cs="Arial"/>
                <w:color w:val="000000"/>
                <w:sz w:val="16"/>
                <w:szCs w:val="16"/>
                <w:lang w:val="en-US" w:eastAsia="en-US"/>
              </w:rPr>
            </w:pPr>
            <w:r>
              <w:rPr>
                <w:rFonts w:ascii="Arial" w:hAnsi="Arial" w:cs="Arial"/>
                <w:color w:val="000000"/>
                <w:sz w:val="16"/>
                <w:szCs w:val="22"/>
              </w:rPr>
              <w:t>1.3</w:t>
            </w:r>
            <w:r w:rsidRPr="008F7654">
              <w:rPr>
                <w:rFonts w:ascii="Arial" w:hAnsi="Arial" w:cs="Arial"/>
                <w:color w:val="000000"/>
                <w:sz w:val="16"/>
                <w:szCs w:val="22"/>
              </w:rPr>
              <w:t>8</w:t>
            </w:r>
          </w:p>
        </w:tc>
      </w:tr>
    </w:tbl>
    <w:p w14:paraId="3617E27B" w14:textId="77777777" w:rsidR="0008633A" w:rsidRDefault="0008633A" w:rsidP="0008633A">
      <w:pPr>
        <w:pStyle w:val="Paragraph"/>
        <w:numPr>
          <w:ilvl w:val="0"/>
          <w:numId w:val="0"/>
        </w:numPr>
        <w:tabs>
          <w:tab w:val="num" w:pos="2088"/>
        </w:tabs>
        <w:spacing w:line="276" w:lineRule="auto"/>
        <w:ind w:left="720"/>
        <w:rPr>
          <w:rStyle w:val="Emphasis"/>
          <w:rFonts w:eastAsia="BatangChe" w:cs="Arial"/>
          <w:lang w:val="es-MX"/>
        </w:rPr>
      </w:pPr>
    </w:p>
    <w:p w14:paraId="0AE7B916" w14:textId="6AAC2CB5" w:rsidR="00E012AB" w:rsidRPr="00DE21D7" w:rsidRDefault="28D31204" w:rsidP="0085192C">
      <w:pPr>
        <w:pStyle w:val="Paragraph"/>
        <w:tabs>
          <w:tab w:val="clear" w:pos="1579"/>
        </w:tabs>
        <w:ind w:left="709" w:hanging="709"/>
        <w:rPr>
          <w:rStyle w:val="Emphasis"/>
          <w:rFonts w:eastAsia="BatangChe" w:cs="Arial"/>
          <w:lang w:val="es-MX"/>
        </w:rPr>
      </w:pPr>
      <w:r w:rsidRPr="28D31204">
        <w:rPr>
          <w:rStyle w:val="Emphasis"/>
          <w:rFonts w:eastAsia="BatangChe" w:cs="Arial"/>
          <w:lang w:val="es-MX"/>
        </w:rPr>
        <w:t xml:space="preserve">Un </w:t>
      </w:r>
      <w:r w:rsidR="00D0452E">
        <w:rPr>
          <w:rStyle w:val="Emphasis"/>
          <w:rFonts w:eastAsia="BatangChe" w:cs="Arial"/>
          <w:lang w:val="es-MX"/>
        </w:rPr>
        <w:t xml:space="preserve">tercer escenario, “C”, en donde sólo se </w:t>
      </w:r>
      <w:r w:rsidR="00DE21D7">
        <w:rPr>
          <w:rStyle w:val="Emphasis"/>
          <w:rFonts w:eastAsia="BatangChe" w:cs="Arial"/>
          <w:lang w:val="es-MX"/>
        </w:rPr>
        <w:t>elimina la ganancia en la tasa de productividad. Los resultados son los siguientes: VAN: US</w:t>
      </w:r>
      <w:r w:rsidR="00DE21D7" w:rsidRPr="00DE21D7">
        <w:rPr>
          <w:color w:val="000000"/>
          <w:szCs w:val="22"/>
          <w:lang w:eastAsia="en-US"/>
        </w:rPr>
        <w:t>$</w:t>
      </w:r>
      <w:r w:rsidR="0085192C" w:rsidRPr="0085192C">
        <w:t xml:space="preserve"> </w:t>
      </w:r>
      <w:r w:rsidR="0085192C" w:rsidRPr="0085192C">
        <w:rPr>
          <w:rFonts w:cs="Arial"/>
          <w:color w:val="000000"/>
          <w:szCs w:val="22"/>
          <w:lang w:val="es-MX" w:eastAsia="en-US"/>
        </w:rPr>
        <w:t>1</w:t>
      </w:r>
      <w:r w:rsidR="00FD23CB">
        <w:rPr>
          <w:rFonts w:cs="Arial"/>
          <w:color w:val="000000"/>
          <w:szCs w:val="22"/>
          <w:lang w:val="es-MX" w:eastAsia="en-US"/>
        </w:rPr>
        <w:t>0</w:t>
      </w:r>
      <w:r w:rsidR="0085192C">
        <w:rPr>
          <w:rFonts w:cs="Arial"/>
          <w:color w:val="000000"/>
          <w:szCs w:val="22"/>
          <w:lang w:val="es-MX" w:eastAsia="en-US"/>
        </w:rPr>
        <w:t>,</w:t>
      </w:r>
      <w:r w:rsidR="00FD23CB">
        <w:rPr>
          <w:rFonts w:cs="Arial"/>
          <w:color w:val="000000"/>
          <w:szCs w:val="22"/>
          <w:lang w:val="es-MX" w:eastAsia="en-US"/>
        </w:rPr>
        <w:t>539,093</w:t>
      </w:r>
      <w:r w:rsidR="00DE21D7" w:rsidRPr="00DE21D7">
        <w:rPr>
          <w:rStyle w:val="Emphasis"/>
          <w:rFonts w:eastAsia="BatangChe" w:cs="Arial"/>
          <w:lang w:val="es-MX"/>
        </w:rPr>
        <w:t>; TIR:</w:t>
      </w:r>
      <w:r w:rsidR="00FD23CB">
        <w:rPr>
          <w:rStyle w:val="Emphasis"/>
          <w:rFonts w:eastAsia="BatangChe" w:cs="Arial"/>
          <w:lang w:val="es-MX"/>
        </w:rPr>
        <w:t xml:space="preserve"> 12</w:t>
      </w:r>
      <w:r w:rsidR="0085192C">
        <w:rPr>
          <w:rStyle w:val="Emphasis"/>
          <w:rFonts w:eastAsia="BatangChe" w:cs="Arial"/>
          <w:lang w:val="es-MX"/>
        </w:rPr>
        <w:t>.</w:t>
      </w:r>
      <w:r w:rsidR="00FD23CB">
        <w:rPr>
          <w:rStyle w:val="Emphasis"/>
          <w:rFonts w:eastAsia="BatangChe" w:cs="Arial"/>
          <w:lang w:val="es-MX"/>
        </w:rPr>
        <w:t>96</w:t>
      </w:r>
      <w:r w:rsidR="00DE21D7">
        <w:rPr>
          <w:rStyle w:val="Emphasis"/>
          <w:rFonts w:eastAsia="BatangChe" w:cs="Arial"/>
          <w:lang w:val="es-MX"/>
        </w:rPr>
        <w:t>%</w:t>
      </w:r>
      <w:r w:rsidR="00DE21D7" w:rsidRPr="00DE21D7">
        <w:rPr>
          <w:rStyle w:val="Emphasis"/>
          <w:rFonts w:eastAsia="BatangChe" w:cs="Arial"/>
          <w:lang w:val="es-MX"/>
        </w:rPr>
        <w:t xml:space="preserve"> y B/C:</w:t>
      </w:r>
      <w:r w:rsidR="00FD23CB">
        <w:rPr>
          <w:rStyle w:val="Emphasis"/>
          <w:rFonts w:eastAsia="BatangChe" w:cs="Arial"/>
          <w:lang w:val="es-MX"/>
        </w:rPr>
        <w:t xml:space="preserve"> 1.29</w:t>
      </w:r>
      <w:r w:rsidR="001B4786">
        <w:rPr>
          <w:rStyle w:val="Emphasis"/>
          <w:rFonts w:eastAsia="BatangChe" w:cs="Arial"/>
          <w:lang w:val="es-MX"/>
        </w:rPr>
        <w:t>, de manera que en este caso tampoco hay sensibilidad suficiente para afectar de forma significativa la rentabilidad de la operación.</w:t>
      </w:r>
    </w:p>
    <w:p w14:paraId="00463D80" w14:textId="01B40D20" w:rsidR="005F0222"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 xml:space="preserve">De los resultados anteriores se </w:t>
      </w:r>
      <w:r w:rsidR="00DE21D7">
        <w:rPr>
          <w:rStyle w:val="Emphasis"/>
          <w:rFonts w:eastAsia="BatangChe" w:cs="Arial"/>
          <w:lang w:val="es-MX"/>
        </w:rPr>
        <w:t>observa</w:t>
      </w:r>
      <w:r w:rsidRPr="28D31204">
        <w:rPr>
          <w:rStyle w:val="Emphasis"/>
          <w:rFonts w:eastAsia="BatangChe" w:cs="Arial"/>
          <w:lang w:val="es-MX"/>
        </w:rPr>
        <w:t xml:space="preserve"> que las variaciones </w:t>
      </w:r>
      <w:r w:rsidR="00DE21D7">
        <w:rPr>
          <w:rStyle w:val="Emphasis"/>
          <w:rFonts w:eastAsia="BatangChe" w:cs="Arial"/>
          <w:lang w:val="es-MX"/>
        </w:rPr>
        <w:t>propuestas</w:t>
      </w:r>
      <w:r w:rsidRPr="28D31204">
        <w:rPr>
          <w:rStyle w:val="Emphasis"/>
          <w:rFonts w:eastAsia="BatangChe" w:cs="Arial"/>
          <w:lang w:val="es-MX"/>
        </w:rPr>
        <w:t>, en escenarios restrictivos y supuestos conservadores,</w:t>
      </w:r>
      <w:r w:rsidR="00DE21D7">
        <w:rPr>
          <w:rStyle w:val="Emphasis"/>
          <w:rFonts w:eastAsia="BatangChe" w:cs="Arial"/>
          <w:lang w:val="es-MX"/>
        </w:rPr>
        <w:t xml:space="preserve"> salvo en un caso,</w:t>
      </w:r>
      <w:r w:rsidRPr="28D31204">
        <w:rPr>
          <w:rStyle w:val="Emphasis"/>
          <w:rFonts w:eastAsia="BatangChe" w:cs="Arial"/>
          <w:lang w:val="es-MX"/>
        </w:rPr>
        <w:t xml:space="preserve"> mantienen un VAN y TIR positivas, y en el caso de la TIR por arriba del 12% esperado.</w:t>
      </w:r>
    </w:p>
    <w:p w14:paraId="21B20F06" w14:textId="77777777" w:rsidR="00A54DD1" w:rsidRPr="00B2077E" w:rsidRDefault="00A54DD1" w:rsidP="00A54DD1">
      <w:pPr>
        <w:pStyle w:val="Paragraph"/>
        <w:numPr>
          <w:ilvl w:val="0"/>
          <w:numId w:val="0"/>
        </w:numPr>
        <w:tabs>
          <w:tab w:val="num" w:pos="2088"/>
        </w:tabs>
        <w:spacing w:line="276" w:lineRule="auto"/>
        <w:ind w:left="720"/>
        <w:rPr>
          <w:rStyle w:val="Emphasis"/>
          <w:rFonts w:eastAsia="BatangChe" w:cs="Arial"/>
          <w:lang w:val="es-MX"/>
        </w:rPr>
      </w:pPr>
    </w:p>
    <w:p w14:paraId="46F72383" w14:textId="77777777" w:rsidR="007E444E" w:rsidRPr="00B2077E" w:rsidRDefault="28D31204" w:rsidP="005219CD">
      <w:pPr>
        <w:pStyle w:val="Heading1"/>
        <w:tabs>
          <w:tab w:val="clear" w:pos="2088"/>
        </w:tabs>
        <w:rPr>
          <w:rStyle w:val="Emphasis"/>
          <w:rFonts w:ascii="Arial" w:eastAsia="BatangChe" w:hAnsi="Arial" w:cs="Arial"/>
          <w:lang w:val="es-MX"/>
        </w:rPr>
      </w:pPr>
      <w:bookmarkStart w:id="57" w:name="_Toc499617481"/>
      <w:r w:rsidRPr="28D31204">
        <w:rPr>
          <w:rFonts w:ascii="Arial" w:hAnsi="Arial" w:cs="Arial"/>
        </w:rPr>
        <w:t>Comentarios finales</w:t>
      </w:r>
      <w:bookmarkEnd w:id="57"/>
      <w:r w:rsidRPr="28D31204">
        <w:rPr>
          <w:rFonts w:ascii="Arial" w:hAnsi="Arial" w:cs="Arial"/>
        </w:rPr>
        <w:t xml:space="preserve"> </w:t>
      </w:r>
    </w:p>
    <w:p w14:paraId="121A21A6" w14:textId="00A1AA99" w:rsidR="00B631D2"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Los resultados obtenidos del ACB del Proyecto indican que el retorno social de la inversión en el modelo de intervención propuesto </w:t>
      </w:r>
      <w:r w:rsidR="00DE21D7">
        <w:rPr>
          <w:rFonts w:eastAsia="Calibri" w:cs="Arial"/>
          <w:lang w:val="es-MX"/>
        </w:rPr>
        <w:t>fue</w:t>
      </w:r>
      <w:r w:rsidRPr="28D31204">
        <w:rPr>
          <w:rFonts w:eastAsia="Calibri" w:cs="Arial"/>
          <w:lang w:val="es-MX"/>
        </w:rPr>
        <w:t xml:space="preserve"> positivo, bajo los escenarios </w:t>
      </w:r>
      <w:r w:rsidRPr="28D31204">
        <w:rPr>
          <w:rFonts w:eastAsia="Calibri" w:cs="Arial"/>
          <w:lang w:val="es-MX"/>
        </w:rPr>
        <w:lastRenderedPageBreak/>
        <w:t xml:space="preserve">base y aquellos que requirieron de cambios en los parámetros para demostrar la sensibilidad de los indicadores de rentabilidad. Es importante notar nuevamente que el ACB se realizó considerando escenarios conservadores, por lo que los resultados de los indicadores de rentabilidad se consideran un límite inferior. </w:t>
      </w:r>
    </w:p>
    <w:p w14:paraId="0F89949B" w14:textId="77777777" w:rsidR="00E93BCD" w:rsidRPr="00E50254" w:rsidRDefault="00765ACD" w:rsidP="00BB7914">
      <w:pPr>
        <w:pStyle w:val="Heading1"/>
        <w:tabs>
          <w:tab w:val="clear" w:pos="2088"/>
        </w:tabs>
        <w:ind w:left="0"/>
        <w:rPr>
          <w:rStyle w:val="Emphasis"/>
          <w:rFonts w:ascii="Arial" w:eastAsia="BatangChe" w:hAnsi="Arial" w:cs="Arial"/>
          <w:b w:val="0"/>
          <w:lang w:val="es-AR"/>
        </w:rPr>
      </w:pPr>
      <w:r w:rsidRPr="28D31204">
        <w:rPr>
          <w:rFonts w:ascii="Arial" w:eastAsia="BatangChe" w:hAnsi="Arial" w:cs="Arial"/>
        </w:rPr>
        <w:br w:type="page"/>
      </w:r>
      <w:bookmarkStart w:id="58" w:name="_Toc499617482"/>
      <w:r w:rsidR="28D31204" w:rsidRPr="28D31204">
        <w:rPr>
          <w:rStyle w:val="Emphasis"/>
          <w:rFonts w:ascii="Arial" w:eastAsia="BatangChe" w:hAnsi="Arial" w:cs="Arial"/>
          <w:lang w:val="es-AR"/>
        </w:rPr>
        <w:lastRenderedPageBreak/>
        <w:t>Bibliografía</w:t>
      </w:r>
      <w:bookmarkEnd w:id="51"/>
      <w:bookmarkEnd w:id="52"/>
      <w:bookmarkEnd w:id="53"/>
      <w:bookmarkEnd w:id="58"/>
    </w:p>
    <w:p w14:paraId="528964A5"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en-US"/>
        </w:rPr>
      </w:pPr>
      <w:proofErr w:type="spellStart"/>
      <w:r w:rsidRPr="0065714C">
        <w:rPr>
          <w:rFonts w:ascii="Arial" w:hAnsi="Arial" w:cs="Arial"/>
          <w:bCs/>
          <w:sz w:val="22"/>
          <w:szCs w:val="22"/>
          <w:lang w:val="en-US"/>
        </w:rPr>
        <w:t>Abadzi</w:t>
      </w:r>
      <w:proofErr w:type="spellEnd"/>
      <w:r w:rsidRPr="0065714C">
        <w:rPr>
          <w:rFonts w:ascii="Arial" w:hAnsi="Arial" w:cs="Arial"/>
          <w:bCs/>
          <w:sz w:val="22"/>
          <w:szCs w:val="22"/>
          <w:lang w:val="en-US"/>
        </w:rPr>
        <w:t xml:space="preserve">, Helen (2009). </w:t>
      </w:r>
      <w:r w:rsidRPr="0065714C">
        <w:rPr>
          <w:rFonts w:ascii="Arial" w:hAnsi="Arial" w:cs="Arial"/>
          <w:bCs/>
          <w:i/>
          <w:sz w:val="22"/>
          <w:szCs w:val="22"/>
          <w:lang w:val="en-US"/>
        </w:rPr>
        <w:t>Instructional Time Loss in Developing Countries: Concepts, Measurement, and Implications.</w:t>
      </w:r>
      <w:r w:rsidRPr="0065714C">
        <w:rPr>
          <w:rFonts w:ascii="Arial" w:hAnsi="Arial" w:cs="Arial"/>
          <w:bCs/>
          <w:sz w:val="22"/>
          <w:szCs w:val="22"/>
          <w:lang w:val="en-US"/>
        </w:rPr>
        <w:t xml:space="preserve"> Oxford University Press.</w:t>
      </w:r>
    </w:p>
    <w:p w14:paraId="7BE6E90D"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en-US"/>
        </w:rPr>
      </w:pPr>
      <w:r w:rsidRPr="0065714C">
        <w:rPr>
          <w:rFonts w:ascii="Arial" w:hAnsi="Arial" w:cs="Arial"/>
          <w:bCs/>
          <w:sz w:val="22"/>
          <w:szCs w:val="22"/>
          <w:lang w:val="en-US"/>
        </w:rPr>
        <w:t xml:space="preserve">Angrist, Joshua y Victor </w:t>
      </w:r>
      <w:proofErr w:type="spellStart"/>
      <w:r w:rsidRPr="0065714C">
        <w:rPr>
          <w:rFonts w:ascii="Arial" w:hAnsi="Arial" w:cs="Arial"/>
          <w:bCs/>
          <w:sz w:val="22"/>
          <w:szCs w:val="22"/>
          <w:lang w:val="en-US"/>
        </w:rPr>
        <w:t>Lavy</w:t>
      </w:r>
      <w:proofErr w:type="spellEnd"/>
      <w:r w:rsidRPr="0065714C">
        <w:rPr>
          <w:rFonts w:ascii="Arial" w:hAnsi="Arial" w:cs="Arial"/>
          <w:bCs/>
          <w:sz w:val="22"/>
          <w:szCs w:val="22"/>
          <w:lang w:val="en-US"/>
        </w:rPr>
        <w:t xml:space="preserve"> (2009). </w:t>
      </w:r>
      <w:r w:rsidRPr="0065714C">
        <w:rPr>
          <w:rFonts w:ascii="Arial" w:hAnsi="Arial" w:cs="Arial"/>
          <w:bCs/>
          <w:i/>
          <w:sz w:val="22"/>
          <w:szCs w:val="22"/>
          <w:lang w:val="en-US"/>
        </w:rPr>
        <w:t>Using Maimonides' Rule to Estimate the Effect of Class Size on Student Achievement.</w:t>
      </w:r>
      <w:r w:rsidRPr="0065714C">
        <w:rPr>
          <w:rFonts w:ascii="Arial" w:hAnsi="Arial" w:cs="Arial"/>
          <w:bCs/>
          <w:sz w:val="22"/>
          <w:szCs w:val="22"/>
          <w:lang w:val="en-US"/>
        </w:rPr>
        <w:t xml:space="preserve"> The Quarterly Journal of Economics. MIT y Harvard.</w:t>
      </w:r>
    </w:p>
    <w:p w14:paraId="4024391F" w14:textId="77777777" w:rsidR="0065714C" w:rsidRPr="0065714C" w:rsidRDefault="0065714C" w:rsidP="00BB7914">
      <w:pPr>
        <w:pStyle w:val="NormalWeb"/>
        <w:spacing w:before="60" w:beforeAutospacing="0" w:after="60" w:line="276" w:lineRule="auto"/>
        <w:ind w:left="567" w:hanging="567"/>
        <w:rPr>
          <w:rStyle w:val="Hyperlink"/>
          <w:rFonts w:ascii="Arial" w:hAnsi="Arial" w:cs="Arial"/>
          <w:sz w:val="22"/>
          <w:szCs w:val="22"/>
          <w:lang w:val="en-US"/>
        </w:rPr>
      </w:pPr>
      <w:r w:rsidRPr="0065714C">
        <w:rPr>
          <w:rFonts w:ascii="Arial" w:hAnsi="Arial" w:cs="Arial"/>
          <w:sz w:val="22"/>
          <w:szCs w:val="22"/>
          <w:lang w:val="en-US"/>
        </w:rPr>
        <w:t xml:space="preserve">Bando, R. 2010. “The Effects of School Based Management on Parent Behavior and the Quality of Education in Mexico”. PhD dissertation.  University of California, Berkeley. </w:t>
      </w:r>
      <w:hyperlink r:id="rId17" w:anchor="page-1" w:history="1">
        <w:r w:rsidRPr="0065714C">
          <w:rPr>
            <w:rStyle w:val="Hyperlink"/>
            <w:rFonts w:ascii="Arial" w:hAnsi="Arial" w:cs="Arial"/>
            <w:sz w:val="22"/>
            <w:szCs w:val="22"/>
            <w:lang w:val="en-US"/>
          </w:rPr>
          <w:t>https://escholarship.org/uc/item/26w050rc#page-1</w:t>
        </w:r>
      </w:hyperlink>
      <w:r w:rsidRPr="0065714C">
        <w:rPr>
          <w:rStyle w:val="Hyperlink"/>
          <w:rFonts w:ascii="Arial" w:hAnsi="Arial" w:cs="Arial"/>
          <w:sz w:val="22"/>
          <w:szCs w:val="22"/>
          <w:lang w:val="en-US"/>
        </w:rPr>
        <w:t>.</w:t>
      </w:r>
    </w:p>
    <w:p w14:paraId="56D25111" w14:textId="77777777" w:rsidR="007712E6" w:rsidRPr="0065714C" w:rsidRDefault="007712E6" w:rsidP="00BB7914">
      <w:pPr>
        <w:pStyle w:val="NormalWeb"/>
        <w:spacing w:before="60" w:beforeAutospacing="0" w:after="60" w:line="276" w:lineRule="auto"/>
        <w:ind w:left="567" w:hanging="567"/>
        <w:rPr>
          <w:rFonts w:ascii="Arial" w:hAnsi="Arial" w:cs="Arial"/>
          <w:bCs/>
          <w:sz w:val="22"/>
          <w:szCs w:val="22"/>
          <w:lang w:val="en-US"/>
        </w:rPr>
      </w:pPr>
      <w:proofErr w:type="spellStart"/>
      <w:r w:rsidRPr="0065714C">
        <w:rPr>
          <w:rFonts w:ascii="Arial" w:hAnsi="Arial" w:cs="Arial"/>
          <w:bCs/>
          <w:sz w:val="22"/>
          <w:szCs w:val="22"/>
          <w:lang w:val="en-US"/>
        </w:rPr>
        <w:t>Bellei</w:t>
      </w:r>
      <w:proofErr w:type="spellEnd"/>
      <w:r w:rsidRPr="0065714C">
        <w:rPr>
          <w:rFonts w:ascii="Arial" w:hAnsi="Arial" w:cs="Arial"/>
          <w:bCs/>
          <w:sz w:val="22"/>
          <w:szCs w:val="22"/>
          <w:lang w:val="en-US"/>
        </w:rPr>
        <w:t>,</w:t>
      </w:r>
      <w:r>
        <w:rPr>
          <w:rFonts w:ascii="Arial" w:hAnsi="Arial" w:cs="Arial"/>
          <w:bCs/>
          <w:sz w:val="22"/>
          <w:szCs w:val="22"/>
          <w:lang w:val="en-US"/>
        </w:rPr>
        <w:t xml:space="preserve"> </w:t>
      </w:r>
      <w:proofErr w:type="spellStart"/>
      <w:r w:rsidRPr="0065714C">
        <w:rPr>
          <w:rFonts w:ascii="Arial" w:hAnsi="Arial" w:cs="Arial"/>
          <w:bCs/>
          <w:sz w:val="22"/>
          <w:szCs w:val="22"/>
          <w:lang w:val="en-US"/>
        </w:rPr>
        <w:t>Cristián</w:t>
      </w:r>
      <w:proofErr w:type="spellEnd"/>
      <w:r w:rsidRPr="0065714C">
        <w:rPr>
          <w:rFonts w:ascii="Arial" w:hAnsi="Arial" w:cs="Arial"/>
          <w:bCs/>
          <w:sz w:val="22"/>
          <w:szCs w:val="22"/>
          <w:lang w:val="en-US"/>
        </w:rPr>
        <w:t xml:space="preserve"> C. (2009). “Does Lengthening the School Day Increase Students Academic </w:t>
      </w:r>
      <w:proofErr w:type="spellStart"/>
      <w:r w:rsidRPr="0065714C">
        <w:rPr>
          <w:rFonts w:ascii="Arial" w:hAnsi="Arial" w:cs="Arial"/>
          <w:bCs/>
          <w:sz w:val="22"/>
          <w:szCs w:val="22"/>
          <w:lang w:val="en-US"/>
        </w:rPr>
        <w:t>Achivement</w:t>
      </w:r>
      <w:proofErr w:type="spellEnd"/>
      <w:r w:rsidRPr="0065714C">
        <w:rPr>
          <w:rFonts w:ascii="Arial" w:hAnsi="Arial" w:cs="Arial"/>
          <w:bCs/>
          <w:sz w:val="22"/>
          <w:szCs w:val="22"/>
          <w:lang w:val="en-US"/>
        </w:rPr>
        <w:t>? Results from a natural experiment in Chile”. Economics of Education Review 28 (5):269-40.</w:t>
      </w:r>
    </w:p>
    <w:p w14:paraId="485E2AC6"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en-US"/>
        </w:rPr>
      </w:pPr>
      <w:r w:rsidRPr="0065714C">
        <w:rPr>
          <w:rFonts w:ascii="Arial" w:hAnsi="Arial" w:cs="Arial"/>
          <w:sz w:val="22"/>
          <w:szCs w:val="22"/>
          <w:lang w:val="en-US"/>
        </w:rPr>
        <w:t xml:space="preserve">Cellini, S.R., Ferreira, F. &amp; Rothstein, J. 2010 “The value of school facility investments: Evidence dynamic regression discontinuity design”. The </w:t>
      </w:r>
      <w:proofErr w:type="spellStart"/>
      <w:r w:rsidRPr="0065714C">
        <w:rPr>
          <w:rFonts w:ascii="Arial" w:hAnsi="Arial" w:cs="Arial"/>
          <w:sz w:val="22"/>
          <w:szCs w:val="22"/>
          <w:lang w:val="en-US"/>
        </w:rPr>
        <w:t>Quaterly</w:t>
      </w:r>
      <w:proofErr w:type="spellEnd"/>
      <w:r w:rsidRPr="0065714C">
        <w:rPr>
          <w:rFonts w:ascii="Arial" w:hAnsi="Arial" w:cs="Arial"/>
          <w:sz w:val="22"/>
          <w:szCs w:val="22"/>
          <w:lang w:val="en-US"/>
        </w:rPr>
        <w:t xml:space="preserve"> Journal of Economics, 125 (1), 215.</w:t>
      </w:r>
    </w:p>
    <w:p w14:paraId="16E39221" w14:textId="36CA0523" w:rsidR="0065714C" w:rsidRPr="00142680" w:rsidRDefault="0065714C" w:rsidP="00BB7914">
      <w:pPr>
        <w:spacing w:before="60" w:after="60" w:line="276" w:lineRule="auto"/>
        <w:ind w:left="567" w:hanging="567"/>
        <w:rPr>
          <w:rFonts w:ascii="Arial" w:hAnsi="Arial" w:cs="Arial"/>
          <w:sz w:val="22"/>
          <w:szCs w:val="22"/>
          <w:lang w:val="en-US"/>
        </w:rPr>
      </w:pPr>
      <w:r w:rsidRPr="00142680">
        <w:rPr>
          <w:rFonts w:ascii="Arial" w:hAnsi="Arial" w:cs="Arial"/>
          <w:sz w:val="22"/>
          <w:szCs w:val="22"/>
          <w:lang w:val="en-US"/>
        </w:rPr>
        <w:t>Cellini S</w:t>
      </w:r>
      <w:r>
        <w:rPr>
          <w:rFonts w:ascii="Arial" w:hAnsi="Arial" w:cs="Arial"/>
          <w:sz w:val="22"/>
          <w:szCs w:val="22"/>
          <w:lang w:val="en-US"/>
        </w:rPr>
        <w:t>.R., &amp;</w:t>
      </w:r>
      <w:r w:rsidRPr="00142680">
        <w:rPr>
          <w:rFonts w:ascii="Arial" w:hAnsi="Arial" w:cs="Arial"/>
          <w:sz w:val="22"/>
          <w:szCs w:val="22"/>
          <w:lang w:val="en-US"/>
        </w:rPr>
        <w:t xml:space="preserve"> </w:t>
      </w:r>
      <w:proofErr w:type="spellStart"/>
      <w:r w:rsidRPr="00142680">
        <w:rPr>
          <w:rFonts w:ascii="Arial" w:hAnsi="Arial" w:cs="Arial"/>
          <w:sz w:val="22"/>
          <w:szCs w:val="22"/>
          <w:lang w:val="en-US"/>
        </w:rPr>
        <w:t>Kee</w:t>
      </w:r>
      <w:proofErr w:type="spellEnd"/>
      <w:r w:rsidRPr="00142680">
        <w:rPr>
          <w:rFonts w:ascii="Arial" w:hAnsi="Arial" w:cs="Arial"/>
          <w:sz w:val="22"/>
          <w:szCs w:val="22"/>
          <w:lang w:val="en-US"/>
        </w:rPr>
        <w:t xml:space="preserve"> E. </w:t>
      </w:r>
      <w:r w:rsidR="00BB7914" w:rsidRPr="00142680">
        <w:rPr>
          <w:rFonts w:ascii="Arial" w:hAnsi="Arial" w:cs="Arial"/>
          <w:sz w:val="22"/>
          <w:szCs w:val="22"/>
          <w:lang w:val="en-US"/>
        </w:rPr>
        <w:t xml:space="preserve">(2010) </w:t>
      </w:r>
      <w:r w:rsidRPr="00142680">
        <w:rPr>
          <w:rFonts w:ascii="Arial" w:hAnsi="Arial" w:cs="Arial"/>
          <w:sz w:val="22"/>
          <w:szCs w:val="22"/>
          <w:lang w:val="en-US"/>
        </w:rPr>
        <w:t>“</w:t>
      </w:r>
      <w:r w:rsidRPr="00142680">
        <w:rPr>
          <w:rFonts w:ascii="Arial" w:hAnsi="Arial" w:cs="Arial"/>
          <w:i/>
          <w:iCs/>
          <w:sz w:val="22"/>
          <w:szCs w:val="22"/>
          <w:lang w:val="en-US"/>
        </w:rPr>
        <w:t>Cost -effectiveness and cost -benefit analysis”</w:t>
      </w:r>
      <w:r w:rsidRPr="00142680">
        <w:rPr>
          <w:rFonts w:ascii="Arial" w:hAnsi="Arial" w:cs="Arial"/>
          <w:sz w:val="22"/>
          <w:szCs w:val="22"/>
          <w:lang w:val="en-US"/>
        </w:rPr>
        <w:t xml:space="preserve"> Handbook of Practical Program Evaluation.</w:t>
      </w:r>
    </w:p>
    <w:p w14:paraId="25E3E2A5" w14:textId="77777777" w:rsidR="0065714C" w:rsidRPr="0065714C" w:rsidRDefault="0065714C" w:rsidP="00BB7914">
      <w:pPr>
        <w:pStyle w:val="NormalWeb"/>
        <w:spacing w:before="60" w:beforeAutospacing="0" w:after="60" w:line="276" w:lineRule="auto"/>
        <w:ind w:left="567" w:hanging="567"/>
        <w:rPr>
          <w:rFonts w:ascii="Arial" w:hAnsi="Arial" w:cs="Arial"/>
          <w:sz w:val="22"/>
          <w:szCs w:val="22"/>
          <w:lang w:val="es-MX"/>
        </w:rPr>
      </w:pPr>
      <w:r w:rsidRPr="0065714C">
        <w:rPr>
          <w:rFonts w:ascii="Arial" w:hAnsi="Arial" w:cs="Arial"/>
          <w:sz w:val="22"/>
          <w:szCs w:val="22"/>
          <w:lang w:val="es-MX"/>
        </w:rPr>
        <w:t xml:space="preserve">Duarte, J.; Gargiulo, C. y Moreno, M. 2011. </w:t>
      </w:r>
      <w:r w:rsidRPr="0065714C">
        <w:rPr>
          <w:rFonts w:ascii="Arial" w:hAnsi="Arial" w:cs="Arial"/>
          <w:sz w:val="22"/>
          <w:szCs w:val="22"/>
          <w:lang w:val="en-US"/>
        </w:rPr>
        <w:t xml:space="preserve">“School Infrastructure and Learning in Latin American Elementary Education: An Analysis based on the SERCE”. Inter-American Development Bank. Education Division (SCL\EDU). Technical Notes No. </w:t>
      </w:r>
      <w:r w:rsidRPr="0065714C">
        <w:rPr>
          <w:rFonts w:ascii="Arial" w:hAnsi="Arial" w:cs="Arial"/>
          <w:sz w:val="22"/>
          <w:szCs w:val="22"/>
          <w:lang w:val="es-MX"/>
        </w:rPr>
        <w:t>IDB-TN-277.</w:t>
      </w:r>
    </w:p>
    <w:p w14:paraId="327A8805" w14:textId="06463DA8" w:rsidR="0065714C" w:rsidRDefault="007712E6" w:rsidP="00BB7914">
      <w:pPr>
        <w:pStyle w:val="NormalWeb"/>
        <w:spacing w:before="60" w:beforeAutospacing="0" w:after="60" w:line="276" w:lineRule="auto"/>
        <w:ind w:left="567" w:hanging="567"/>
        <w:rPr>
          <w:rFonts w:ascii="Arial" w:hAnsi="Arial" w:cs="Arial"/>
          <w:sz w:val="22"/>
          <w:szCs w:val="22"/>
          <w:lang w:val="es-MX"/>
        </w:rPr>
      </w:pPr>
      <w:r>
        <w:rPr>
          <w:rFonts w:ascii="Arial" w:hAnsi="Arial" w:cs="Arial"/>
          <w:sz w:val="22"/>
          <w:szCs w:val="22"/>
          <w:lang w:val="es-MX"/>
        </w:rPr>
        <w:t>Duarte, Jesús;</w:t>
      </w:r>
      <w:r w:rsidR="0065714C" w:rsidRPr="0065714C">
        <w:rPr>
          <w:rFonts w:ascii="Arial" w:hAnsi="Arial" w:cs="Arial"/>
          <w:sz w:val="22"/>
          <w:szCs w:val="22"/>
          <w:lang w:val="es-MX"/>
        </w:rPr>
        <w:t xml:space="preserve"> </w:t>
      </w:r>
      <w:proofErr w:type="spellStart"/>
      <w:r w:rsidR="0065714C" w:rsidRPr="0065714C">
        <w:rPr>
          <w:rFonts w:ascii="Arial" w:hAnsi="Arial" w:cs="Arial"/>
          <w:sz w:val="22"/>
          <w:szCs w:val="22"/>
          <w:lang w:val="es-MX"/>
        </w:rPr>
        <w:t>Jaureguiberry</w:t>
      </w:r>
      <w:proofErr w:type="spellEnd"/>
      <w:r w:rsidR="0065714C" w:rsidRPr="0065714C">
        <w:rPr>
          <w:rFonts w:ascii="Arial" w:hAnsi="Arial" w:cs="Arial"/>
          <w:sz w:val="22"/>
          <w:szCs w:val="22"/>
          <w:lang w:val="es-MX"/>
        </w:rPr>
        <w:t>, Florencia; Racimo, Mariana. (2017). Suficiencia, equidad y efectividad de la infraestructura escolar en América Latina según el TERCE.  Santiago, Chile. BID y la OREALC/UNESCO.</w:t>
      </w:r>
    </w:p>
    <w:p w14:paraId="0F4FA28A" w14:textId="2C8DE8F9" w:rsidR="007712E6" w:rsidRPr="007712E6" w:rsidRDefault="007712E6" w:rsidP="00BB7914">
      <w:pPr>
        <w:pStyle w:val="NormalWeb"/>
        <w:spacing w:before="60" w:beforeAutospacing="0" w:after="60" w:line="276" w:lineRule="auto"/>
        <w:ind w:left="567" w:hanging="567"/>
        <w:rPr>
          <w:rFonts w:ascii="Arial" w:hAnsi="Arial" w:cs="Arial"/>
          <w:bCs/>
          <w:sz w:val="22"/>
          <w:szCs w:val="22"/>
          <w:lang w:val="es-MX"/>
        </w:rPr>
      </w:pPr>
      <w:r>
        <w:rPr>
          <w:rFonts w:ascii="Arial" w:hAnsi="Arial" w:cs="Arial"/>
          <w:sz w:val="22"/>
          <w:szCs w:val="22"/>
          <w:lang w:val="es-MX"/>
        </w:rPr>
        <w:t xml:space="preserve">Dominguez R., Boanerges; García, Carmen </w:t>
      </w:r>
      <w:r w:rsidRPr="007712E6">
        <w:rPr>
          <w:rFonts w:ascii="Arial" w:hAnsi="Arial" w:cs="Arial"/>
          <w:sz w:val="22"/>
          <w:szCs w:val="22"/>
          <w:lang w:val="es-MX"/>
        </w:rPr>
        <w:t>&amp; G</w:t>
      </w:r>
      <w:r>
        <w:rPr>
          <w:rFonts w:ascii="Arial" w:hAnsi="Arial" w:cs="Arial"/>
          <w:sz w:val="22"/>
          <w:szCs w:val="22"/>
          <w:lang w:val="es-MX"/>
        </w:rPr>
        <w:t xml:space="preserve">ómez, </w:t>
      </w:r>
      <w:proofErr w:type="spellStart"/>
      <w:r>
        <w:rPr>
          <w:rFonts w:ascii="Arial" w:hAnsi="Arial" w:cs="Arial"/>
          <w:sz w:val="22"/>
          <w:szCs w:val="22"/>
          <w:lang w:val="es-MX"/>
        </w:rPr>
        <w:t>Evalina</w:t>
      </w:r>
      <w:proofErr w:type="spellEnd"/>
      <w:r>
        <w:rPr>
          <w:rFonts w:ascii="Arial" w:hAnsi="Arial" w:cs="Arial"/>
          <w:sz w:val="22"/>
          <w:szCs w:val="22"/>
          <w:lang w:val="es-MX"/>
        </w:rPr>
        <w:t xml:space="preserve"> (2016). República Dominicana: Tasa de Retorno de la Educación 2000-2014</w:t>
      </w:r>
      <w:r w:rsidR="00BB7914">
        <w:rPr>
          <w:rFonts w:ascii="Arial" w:hAnsi="Arial" w:cs="Arial"/>
          <w:sz w:val="22"/>
          <w:szCs w:val="22"/>
          <w:lang w:val="es-MX"/>
        </w:rPr>
        <w:t>. Santo Domingo, República Dominicana</w:t>
      </w:r>
    </w:p>
    <w:p w14:paraId="21C0E483"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pt-BR"/>
        </w:rPr>
      </w:pPr>
      <w:r w:rsidRPr="0065714C">
        <w:rPr>
          <w:rFonts w:ascii="Arial" w:hAnsi="Arial" w:cs="Arial"/>
          <w:bCs/>
          <w:sz w:val="22"/>
          <w:szCs w:val="22"/>
          <w:lang w:val="es-ES_tradnl"/>
        </w:rPr>
        <w:t xml:space="preserve">EDUCA-GALUP Acción para la Educación Básica, </w:t>
      </w:r>
      <w:proofErr w:type="spellStart"/>
      <w:r w:rsidRPr="0065714C">
        <w:rPr>
          <w:rFonts w:ascii="Arial" w:hAnsi="Arial" w:cs="Arial"/>
          <w:bCs/>
          <w:sz w:val="22"/>
          <w:szCs w:val="22"/>
          <w:lang w:val="es-ES_tradnl"/>
        </w:rPr>
        <w:t>Inc</w:t>
      </w:r>
      <w:proofErr w:type="spellEnd"/>
      <w:r w:rsidRPr="0065714C">
        <w:rPr>
          <w:rFonts w:ascii="Arial" w:hAnsi="Arial" w:cs="Arial"/>
          <w:bCs/>
          <w:sz w:val="22"/>
          <w:szCs w:val="22"/>
          <w:lang w:val="es-ES_tradnl"/>
        </w:rPr>
        <w:t xml:space="preserve"> (2008). </w:t>
      </w:r>
      <w:r w:rsidRPr="0065714C">
        <w:rPr>
          <w:rFonts w:ascii="Arial" w:hAnsi="Arial" w:cs="Arial"/>
          <w:bCs/>
          <w:i/>
          <w:sz w:val="22"/>
          <w:szCs w:val="22"/>
          <w:lang w:val="es-ES_tradnl"/>
        </w:rPr>
        <w:t>Uso del Tiempo en la Escuela Dominicana</w:t>
      </w:r>
      <w:r w:rsidRPr="0065714C">
        <w:rPr>
          <w:rFonts w:ascii="Arial" w:hAnsi="Arial" w:cs="Arial"/>
          <w:bCs/>
          <w:sz w:val="22"/>
          <w:szCs w:val="22"/>
          <w:lang w:val="es-ES_tradnl"/>
        </w:rPr>
        <w:t xml:space="preserve">. </w:t>
      </w:r>
      <w:r w:rsidRPr="0065714C">
        <w:rPr>
          <w:rFonts w:ascii="Arial" w:hAnsi="Arial" w:cs="Arial"/>
          <w:bCs/>
          <w:sz w:val="22"/>
          <w:szCs w:val="22"/>
          <w:lang w:val="pt-BR"/>
        </w:rPr>
        <w:t>Santo Domingo, República Dominicana.</w:t>
      </w:r>
    </w:p>
    <w:p w14:paraId="000B2E04"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pt-BR"/>
        </w:rPr>
      </w:pPr>
      <w:r w:rsidRPr="0065714C">
        <w:rPr>
          <w:rFonts w:ascii="Arial" w:hAnsi="Arial" w:cs="Arial"/>
          <w:bCs/>
          <w:sz w:val="22"/>
          <w:szCs w:val="22"/>
          <w:lang w:val="pt-BR"/>
        </w:rPr>
        <w:t xml:space="preserve">EDUCA MINERD (2012). Centros Educativos de Jornada Extendida. Santo Domingo, República Dominincana. </w:t>
      </w:r>
    </w:p>
    <w:p w14:paraId="47F0FA50" w14:textId="77777777" w:rsidR="0065714C" w:rsidRPr="0012656D" w:rsidRDefault="0065714C" w:rsidP="00BB7914">
      <w:pPr>
        <w:pStyle w:val="NormalWeb"/>
        <w:spacing w:before="60" w:beforeAutospacing="0" w:after="60" w:line="276" w:lineRule="auto"/>
        <w:ind w:left="567" w:hanging="567"/>
        <w:rPr>
          <w:rFonts w:ascii="Arial" w:hAnsi="Arial" w:cs="Arial"/>
          <w:bCs/>
          <w:sz w:val="22"/>
          <w:szCs w:val="22"/>
          <w:lang w:val="en-US"/>
        </w:rPr>
      </w:pPr>
      <w:r w:rsidRPr="0065714C">
        <w:rPr>
          <w:rFonts w:ascii="Arial" w:hAnsi="Arial" w:cs="Arial"/>
          <w:bCs/>
          <w:sz w:val="22"/>
          <w:szCs w:val="22"/>
          <w:lang w:val="pt-BR"/>
        </w:rPr>
        <w:t xml:space="preserve">Fidler, Brian (2001). </w:t>
      </w:r>
      <w:r w:rsidRPr="0065714C">
        <w:rPr>
          <w:rFonts w:ascii="Arial" w:hAnsi="Arial" w:cs="Arial"/>
          <w:bCs/>
          <w:sz w:val="22"/>
          <w:szCs w:val="22"/>
          <w:lang w:val="en-US"/>
        </w:rPr>
        <w:t xml:space="preserve">A structural critique of school effectiveness and school improvement. </w:t>
      </w:r>
      <w:r w:rsidRPr="0012656D">
        <w:rPr>
          <w:rFonts w:ascii="Arial" w:hAnsi="Arial" w:cs="Arial"/>
          <w:bCs/>
          <w:sz w:val="22"/>
          <w:szCs w:val="22"/>
          <w:lang w:val="en-US"/>
        </w:rPr>
        <w:t>New York.</w:t>
      </w:r>
    </w:p>
    <w:p w14:paraId="02BFA503" w14:textId="77777777" w:rsidR="0065714C" w:rsidRPr="007712E6" w:rsidRDefault="0065714C" w:rsidP="00BB7914">
      <w:pPr>
        <w:pStyle w:val="NormalWeb"/>
        <w:spacing w:before="60" w:beforeAutospacing="0" w:after="60" w:line="276" w:lineRule="auto"/>
        <w:ind w:left="567" w:hanging="567"/>
        <w:rPr>
          <w:rFonts w:ascii="Arial" w:hAnsi="Arial" w:cs="Arial"/>
          <w:bCs/>
          <w:sz w:val="22"/>
          <w:szCs w:val="22"/>
          <w:lang w:val="en-US"/>
        </w:rPr>
      </w:pPr>
      <w:proofErr w:type="spellStart"/>
      <w:r w:rsidRPr="0065714C">
        <w:rPr>
          <w:rFonts w:ascii="Arial" w:hAnsi="Arial" w:cs="Arial"/>
          <w:sz w:val="22"/>
          <w:szCs w:val="22"/>
          <w:shd w:val="clear" w:color="auto" w:fill="FFFFFF"/>
          <w:lang w:val="en-US"/>
        </w:rPr>
        <w:t>Jago</w:t>
      </w:r>
      <w:proofErr w:type="spellEnd"/>
      <w:r w:rsidRPr="0065714C">
        <w:rPr>
          <w:rFonts w:ascii="Arial" w:hAnsi="Arial" w:cs="Arial"/>
          <w:sz w:val="22"/>
          <w:szCs w:val="22"/>
          <w:shd w:val="clear" w:color="auto" w:fill="FFFFFF"/>
          <w:lang w:val="en-US"/>
        </w:rPr>
        <w:t xml:space="preserve">, E., &amp; Tanner, K. (1999). Influence of the school facility on student achievement: Lighting; color. </w:t>
      </w:r>
      <w:r w:rsidRPr="007712E6">
        <w:rPr>
          <w:rFonts w:ascii="Arial" w:hAnsi="Arial" w:cs="Arial"/>
          <w:sz w:val="22"/>
          <w:szCs w:val="22"/>
          <w:shd w:val="clear" w:color="auto" w:fill="FFFFFF"/>
          <w:lang w:val="en-US"/>
        </w:rPr>
        <w:t>Athens, GA: Dept. of Educational Leadership, University of Georgia.</w:t>
      </w:r>
    </w:p>
    <w:p w14:paraId="0D2A0BF5" w14:textId="28218ADF" w:rsidR="0065714C" w:rsidRPr="0065714C" w:rsidRDefault="0065714C" w:rsidP="00BB7914">
      <w:pPr>
        <w:spacing w:before="60" w:after="60" w:line="276" w:lineRule="auto"/>
        <w:ind w:left="567" w:hanging="567"/>
        <w:rPr>
          <w:rFonts w:ascii="Arial" w:hAnsi="Arial" w:cs="Arial"/>
          <w:sz w:val="22"/>
          <w:szCs w:val="22"/>
          <w:lang w:val="en-US"/>
        </w:rPr>
      </w:pPr>
      <w:r w:rsidRPr="0065714C">
        <w:rPr>
          <w:rFonts w:ascii="Arial" w:hAnsi="Arial" w:cs="Arial"/>
          <w:sz w:val="22"/>
          <w:szCs w:val="22"/>
          <w:shd w:val="clear" w:color="auto" w:fill="FAFAFA"/>
          <w:lang w:val="en-US"/>
        </w:rPr>
        <w:t>Krueger</w:t>
      </w:r>
      <w:r w:rsidR="007712E6">
        <w:rPr>
          <w:rFonts w:ascii="Arial" w:hAnsi="Arial" w:cs="Arial"/>
          <w:sz w:val="22"/>
          <w:szCs w:val="22"/>
          <w:shd w:val="clear" w:color="auto" w:fill="FAFAFA"/>
          <w:lang w:val="en-US"/>
        </w:rPr>
        <w:t xml:space="preserve">, </w:t>
      </w:r>
      <w:r w:rsidR="007712E6" w:rsidRPr="0065714C">
        <w:rPr>
          <w:rFonts w:ascii="Arial" w:hAnsi="Arial" w:cs="Arial"/>
          <w:sz w:val="22"/>
          <w:szCs w:val="22"/>
          <w:shd w:val="clear" w:color="auto" w:fill="FAFAFA"/>
          <w:lang w:val="en-US"/>
        </w:rPr>
        <w:t>Alan B.</w:t>
      </w:r>
      <w:r w:rsidRPr="0065714C">
        <w:rPr>
          <w:rFonts w:ascii="Arial" w:hAnsi="Arial" w:cs="Arial"/>
          <w:sz w:val="22"/>
          <w:szCs w:val="22"/>
          <w:shd w:val="clear" w:color="auto" w:fill="FAFAFA"/>
          <w:lang w:val="en-US"/>
        </w:rPr>
        <w:t>. 1999. “Experimental Estimates of Education Production Functions,” </w:t>
      </w:r>
      <w:r w:rsidRPr="0065714C">
        <w:rPr>
          <w:rFonts w:ascii="Arial" w:hAnsi="Arial" w:cs="Arial"/>
          <w:i/>
          <w:iCs/>
          <w:sz w:val="22"/>
          <w:szCs w:val="22"/>
          <w:bdr w:val="none" w:sz="0" w:space="0" w:color="auto" w:frame="1"/>
          <w:shd w:val="clear" w:color="auto" w:fill="FAFAFA"/>
          <w:lang w:val="en-US"/>
        </w:rPr>
        <w:t>Quarterly Journal of Economics</w:t>
      </w:r>
      <w:r w:rsidRPr="0065714C">
        <w:rPr>
          <w:rFonts w:ascii="Arial" w:hAnsi="Arial" w:cs="Arial"/>
          <w:sz w:val="22"/>
          <w:szCs w:val="22"/>
          <w:shd w:val="clear" w:color="auto" w:fill="FAFAFA"/>
          <w:lang w:val="en-US"/>
        </w:rPr>
        <w:t>, 115(2): 497–532.</w:t>
      </w:r>
    </w:p>
    <w:p w14:paraId="21195B66" w14:textId="77777777" w:rsidR="0065714C" w:rsidRPr="0065714C" w:rsidRDefault="0065714C" w:rsidP="00BB7914">
      <w:pPr>
        <w:spacing w:before="60" w:after="60" w:line="276" w:lineRule="auto"/>
        <w:ind w:left="567" w:hanging="567"/>
        <w:rPr>
          <w:rFonts w:ascii="Arial" w:hAnsi="Arial" w:cs="Arial"/>
          <w:sz w:val="22"/>
          <w:szCs w:val="22"/>
          <w:lang w:val="en-US"/>
        </w:rPr>
      </w:pPr>
      <w:r w:rsidRPr="0065714C">
        <w:rPr>
          <w:rFonts w:ascii="Arial" w:hAnsi="Arial" w:cs="Arial"/>
          <w:sz w:val="22"/>
          <w:szCs w:val="22"/>
          <w:lang w:val="en-US"/>
        </w:rPr>
        <w:t>Krueger, Alan (2001). “Would smaller classes help close the Black-White achievement gap?”. Princeton University Education Working Paper 451.</w:t>
      </w:r>
    </w:p>
    <w:p w14:paraId="64D414A9" w14:textId="77777777" w:rsidR="0065714C" w:rsidRPr="0065714C" w:rsidRDefault="0065714C" w:rsidP="00BB7914">
      <w:pPr>
        <w:spacing w:before="60" w:after="60" w:line="276" w:lineRule="auto"/>
        <w:ind w:left="567" w:hanging="567"/>
        <w:rPr>
          <w:rFonts w:ascii="Arial" w:hAnsi="Arial" w:cs="Arial"/>
          <w:sz w:val="22"/>
          <w:szCs w:val="22"/>
          <w:lang w:val="en-US"/>
        </w:rPr>
      </w:pPr>
      <w:r w:rsidRPr="0065714C">
        <w:rPr>
          <w:rFonts w:ascii="Arial" w:hAnsi="Arial" w:cs="Arial"/>
          <w:sz w:val="22"/>
          <w:szCs w:val="22"/>
          <w:lang w:val="en-US"/>
        </w:rPr>
        <w:lastRenderedPageBreak/>
        <w:t xml:space="preserve">Krueger, Alan (2003). “Economic considerations and class size”. The Economic Journal 113. </w:t>
      </w:r>
    </w:p>
    <w:p w14:paraId="37298654" w14:textId="77777777" w:rsidR="0065714C" w:rsidRPr="0012656D" w:rsidRDefault="0065714C" w:rsidP="00BB7914">
      <w:pPr>
        <w:spacing w:before="60" w:after="60" w:line="276" w:lineRule="auto"/>
        <w:ind w:left="567" w:hanging="567"/>
        <w:rPr>
          <w:rFonts w:ascii="Arial" w:hAnsi="Arial" w:cs="Arial"/>
          <w:sz w:val="22"/>
          <w:szCs w:val="22"/>
        </w:rPr>
      </w:pPr>
      <w:r w:rsidRPr="0065714C">
        <w:rPr>
          <w:rFonts w:ascii="Arial" w:hAnsi="Arial" w:cs="Arial"/>
          <w:sz w:val="22"/>
          <w:szCs w:val="22"/>
          <w:lang w:val="en-US"/>
        </w:rPr>
        <w:t xml:space="preserve">Lewis, M. 2000. Where children learn: Facility condition and student test performance in Milwaukee public schools . </w:t>
      </w:r>
      <w:r w:rsidRPr="0012656D">
        <w:rPr>
          <w:rFonts w:ascii="Arial" w:hAnsi="Arial" w:cs="Arial"/>
          <w:sz w:val="22"/>
          <w:szCs w:val="22"/>
        </w:rPr>
        <w:t xml:space="preserve">Scottsdale, AZ: Council of </w:t>
      </w:r>
      <w:proofErr w:type="spellStart"/>
      <w:r w:rsidRPr="0012656D">
        <w:rPr>
          <w:rFonts w:ascii="Arial" w:hAnsi="Arial" w:cs="Arial"/>
          <w:sz w:val="22"/>
          <w:szCs w:val="22"/>
        </w:rPr>
        <w:t>Educational</w:t>
      </w:r>
      <w:proofErr w:type="spellEnd"/>
      <w:r w:rsidRPr="0012656D">
        <w:rPr>
          <w:rFonts w:ascii="Arial" w:hAnsi="Arial" w:cs="Arial"/>
          <w:sz w:val="22"/>
          <w:szCs w:val="22"/>
        </w:rPr>
        <w:t xml:space="preserve"> </w:t>
      </w:r>
      <w:proofErr w:type="spellStart"/>
      <w:r w:rsidRPr="0012656D">
        <w:rPr>
          <w:rFonts w:ascii="Arial" w:hAnsi="Arial" w:cs="Arial"/>
          <w:sz w:val="22"/>
          <w:szCs w:val="22"/>
        </w:rPr>
        <w:t>Facility</w:t>
      </w:r>
      <w:proofErr w:type="spellEnd"/>
      <w:r w:rsidRPr="0012656D">
        <w:rPr>
          <w:rFonts w:ascii="Arial" w:hAnsi="Arial" w:cs="Arial"/>
          <w:sz w:val="22"/>
          <w:szCs w:val="22"/>
        </w:rPr>
        <w:t xml:space="preserve"> </w:t>
      </w:r>
      <w:proofErr w:type="spellStart"/>
      <w:r w:rsidRPr="0012656D">
        <w:rPr>
          <w:rFonts w:ascii="Arial" w:hAnsi="Arial" w:cs="Arial"/>
          <w:sz w:val="22"/>
          <w:szCs w:val="22"/>
        </w:rPr>
        <w:t>Planners</w:t>
      </w:r>
      <w:proofErr w:type="spellEnd"/>
      <w:r w:rsidRPr="0012656D">
        <w:rPr>
          <w:rFonts w:ascii="Arial" w:hAnsi="Arial" w:cs="Arial"/>
          <w:sz w:val="22"/>
          <w:szCs w:val="22"/>
        </w:rPr>
        <w:t>.</w:t>
      </w:r>
    </w:p>
    <w:p w14:paraId="1E2A1B34" w14:textId="6F8DE618" w:rsidR="005A60A0" w:rsidRPr="005A60A0" w:rsidRDefault="005A60A0" w:rsidP="005A60A0">
      <w:pPr>
        <w:spacing w:before="60" w:after="60" w:line="276" w:lineRule="auto"/>
        <w:ind w:left="567" w:hanging="567"/>
        <w:rPr>
          <w:rFonts w:ascii="Arial" w:hAnsi="Arial" w:cs="Arial"/>
          <w:sz w:val="22"/>
          <w:szCs w:val="22"/>
        </w:rPr>
      </w:pPr>
      <w:r w:rsidRPr="005A60A0">
        <w:rPr>
          <w:rFonts w:ascii="Arial" w:hAnsi="Arial" w:cs="Arial"/>
          <w:sz w:val="22"/>
          <w:szCs w:val="22"/>
        </w:rPr>
        <w:t xml:space="preserve">Lizardo, </w:t>
      </w:r>
      <w:proofErr w:type="spellStart"/>
      <w:r w:rsidRPr="005A60A0">
        <w:rPr>
          <w:rFonts w:ascii="Arial" w:hAnsi="Arial" w:cs="Arial"/>
          <w:sz w:val="22"/>
          <w:szCs w:val="22"/>
        </w:rPr>
        <w:t>Jefrey</w:t>
      </w:r>
      <w:proofErr w:type="spellEnd"/>
      <w:r w:rsidRPr="005A60A0">
        <w:rPr>
          <w:rFonts w:ascii="Arial" w:hAnsi="Arial" w:cs="Arial"/>
          <w:sz w:val="22"/>
          <w:szCs w:val="22"/>
        </w:rPr>
        <w:t xml:space="preserve"> (2010).</w:t>
      </w:r>
      <w:r>
        <w:rPr>
          <w:rFonts w:ascii="Arial" w:hAnsi="Arial" w:cs="Arial"/>
          <w:sz w:val="22"/>
          <w:szCs w:val="22"/>
        </w:rPr>
        <w:t xml:space="preserve"> </w:t>
      </w:r>
      <w:r>
        <w:t>Evaluación de costos de la educación básica en la República Dominicana: Insumos para una canasta de costos mínimos para una educación de calidad.</w:t>
      </w:r>
      <w:r w:rsidR="00997F04">
        <w:t xml:space="preserve"> Programa de Promoción de la Reforma Educativa en América Latina (PREAL)</w:t>
      </w:r>
      <w:r>
        <w:t xml:space="preserve"> </w:t>
      </w:r>
      <w:r w:rsidR="00997F04">
        <w:t>República Dominicana.</w:t>
      </w:r>
    </w:p>
    <w:p w14:paraId="4F13081A" w14:textId="77777777" w:rsidR="0065714C" w:rsidRPr="0012656D" w:rsidRDefault="0065714C" w:rsidP="00BB7914">
      <w:pPr>
        <w:spacing w:before="60" w:after="60" w:line="276" w:lineRule="auto"/>
        <w:ind w:left="567" w:hanging="567"/>
        <w:rPr>
          <w:rFonts w:ascii="Arial" w:hAnsi="Arial" w:cs="Arial"/>
          <w:sz w:val="22"/>
          <w:szCs w:val="22"/>
          <w:lang w:val="en-US"/>
        </w:rPr>
      </w:pPr>
      <w:r w:rsidRPr="0012656D">
        <w:rPr>
          <w:rFonts w:ascii="Arial" w:hAnsi="Arial" w:cs="Arial"/>
          <w:sz w:val="22"/>
          <w:szCs w:val="22"/>
          <w:lang w:val="en-US"/>
        </w:rPr>
        <w:t xml:space="preserve">Mandel, Philipp (2011). </w:t>
      </w:r>
      <w:r w:rsidRPr="0065714C">
        <w:rPr>
          <w:rFonts w:ascii="Arial" w:hAnsi="Arial" w:cs="Arial"/>
          <w:sz w:val="22"/>
          <w:szCs w:val="22"/>
          <w:lang w:val="en-US"/>
        </w:rPr>
        <w:t xml:space="preserve">“Total instructional time exposure and student achievement: an extreme bounds analysis based on </w:t>
      </w:r>
      <w:proofErr w:type="spellStart"/>
      <w:r w:rsidRPr="0065714C">
        <w:rPr>
          <w:rFonts w:ascii="Arial" w:hAnsi="Arial" w:cs="Arial"/>
          <w:sz w:val="22"/>
          <w:szCs w:val="22"/>
          <w:lang w:val="en-US"/>
        </w:rPr>
        <w:t>german</w:t>
      </w:r>
      <w:proofErr w:type="spellEnd"/>
      <w:r w:rsidRPr="0065714C">
        <w:rPr>
          <w:rFonts w:ascii="Arial" w:hAnsi="Arial" w:cs="Arial"/>
          <w:sz w:val="22"/>
          <w:szCs w:val="22"/>
          <w:lang w:val="en-US"/>
        </w:rPr>
        <w:t xml:space="preserve"> state-level variation”. </w:t>
      </w:r>
      <w:proofErr w:type="spellStart"/>
      <w:r w:rsidRPr="0012656D">
        <w:rPr>
          <w:rFonts w:ascii="Arial" w:hAnsi="Arial" w:cs="Arial"/>
          <w:sz w:val="22"/>
          <w:szCs w:val="22"/>
          <w:lang w:val="en-US"/>
        </w:rPr>
        <w:t>CESifo</w:t>
      </w:r>
      <w:proofErr w:type="spellEnd"/>
      <w:r w:rsidRPr="0012656D">
        <w:rPr>
          <w:rFonts w:ascii="Arial" w:hAnsi="Arial" w:cs="Arial"/>
          <w:sz w:val="22"/>
          <w:szCs w:val="22"/>
          <w:lang w:val="en-US"/>
        </w:rPr>
        <w:t xml:space="preserve"> Working Paper Series 3580.</w:t>
      </w:r>
    </w:p>
    <w:p w14:paraId="282AA124" w14:textId="77777777" w:rsidR="0065714C" w:rsidRPr="0065714C" w:rsidRDefault="0065714C" w:rsidP="00BB7914">
      <w:pPr>
        <w:spacing w:before="60" w:after="60" w:line="276" w:lineRule="auto"/>
        <w:ind w:left="567" w:hanging="567"/>
        <w:rPr>
          <w:rFonts w:ascii="Arial" w:hAnsi="Arial" w:cs="Arial"/>
          <w:sz w:val="22"/>
          <w:szCs w:val="22"/>
        </w:rPr>
      </w:pPr>
      <w:r w:rsidRPr="0065714C">
        <w:rPr>
          <w:rFonts w:ascii="Arial" w:hAnsi="Arial" w:cs="Arial"/>
          <w:sz w:val="22"/>
          <w:szCs w:val="22"/>
          <w:lang w:val="en-US"/>
        </w:rPr>
        <w:t xml:space="preserve">Mason, Andrew D., and Scott D. </w:t>
      </w:r>
      <w:proofErr w:type="spellStart"/>
      <w:r w:rsidRPr="0065714C">
        <w:rPr>
          <w:rFonts w:ascii="Arial" w:hAnsi="Arial" w:cs="Arial"/>
          <w:sz w:val="22"/>
          <w:szCs w:val="22"/>
          <w:lang w:val="en-US"/>
        </w:rPr>
        <w:t>Rozelle</w:t>
      </w:r>
      <w:proofErr w:type="spellEnd"/>
      <w:r w:rsidRPr="0065714C">
        <w:rPr>
          <w:rFonts w:ascii="Arial" w:hAnsi="Arial" w:cs="Arial"/>
          <w:sz w:val="22"/>
          <w:szCs w:val="22"/>
          <w:lang w:val="en-US"/>
        </w:rPr>
        <w:t xml:space="preserve">. (1998). Schooling Decisions, Basic Education, and the Poor in Rural Java. </w:t>
      </w:r>
      <w:r w:rsidRPr="0065714C">
        <w:rPr>
          <w:rFonts w:ascii="Arial" w:hAnsi="Arial" w:cs="Arial"/>
          <w:sz w:val="22"/>
          <w:szCs w:val="22"/>
        </w:rPr>
        <w:t xml:space="preserve">Washington, DC: </w:t>
      </w:r>
      <w:proofErr w:type="spellStart"/>
      <w:r w:rsidRPr="0065714C">
        <w:rPr>
          <w:rFonts w:ascii="Arial" w:hAnsi="Arial" w:cs="Arial"/>
          <w:sz w:val="22"/>
          <w:szCs w:val="22"/>
        </w:rPr>
        <w:t>World</w:t>
      </w:r>
      <w:proofErr w:type="spellEnd"/>
      <w:r w:rsidRPr="0065714C">
        <w:rPr>
          <w:rFonts w:ascii="Arial" w:hAnsi="Arial" w:cs="Arial"/>
          <w:sz w:val="22"/>
          <w:szCs w:val="22"/>
        </w:rPr>
        <w:t xml:space="preserve"> Bank</w:t>
      </w:r>
    </w:p>
    <w:p w14:paraId="0674B7CD"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en-US"/>
        </w:rPr>
      </w:pPr>
      <w:r w:rsidRPr="0065714C">
        <w:rPr>
          <w:rFonts w:ascii="Arial" w:hAnsi="Arial" w:cs="Arial"/>
          <w:bCs/>
          <w:sz w:val="22"/>
          <w:szCs w:val="22"/>
          <w:lang w:val="pt-BR"/>
        </w:rPr>
        <w:t xml:space="preserve">MINERD (2011). </w:t>
      </w:r>
      <w:r w:rsidRPr="0065714C">
        <w:rPr>
          <w:rFonts w:ascii="Arial" w:hAnsi="Arial" w:cs="Arial"/>
          <w:bCs/>
          <w:i/>
          <w:sz w:val="22"/>
          <w:szCs w:val="22"/>
          <w:lang w:val="es-ES_tradnl"/>
        </w:rPr>
        <w:t>Evaluación Diagnóstica de Inicio del 4to Grado de la Educación Básica.</w:t>
      </w:r>
      <w:r w:rsidRPr="0065714C">
        <w:rPr>
          <w:rFonts w:ascii="Arial" w:hAnsi="Arial" w:cs="Arial"/>
          <w:bCs/>
          <w:sz w:val="22"/>
          <w:szCs w:val="22"/>
          <w:lang w:val="es-ES_tradnl"/>
        </w:rPr>
        <w:t xml:space="preserve"> </w:t>
      </w:r>
      <w:r w:rsidRPr="0065714C">
        <w:rPr>
          <w:rFonts w:ascii="Arial" w:hAnsi="Arial" w:cs="Arial"/>
          <w:bCs/>
          <w:sz w:val="22"/>
          <w:szCs w:val="22"/>
          <w:lang w:val="en-US"/>
        </w:rPr>
        <w:t xml:space="preserve">Santo Domingo, </w:t>
      </w:r>
      <w:proofErr w:type="spellStart"/>
      <w:r w:rsidRPr="0065714C">
        <w:rPr>
          <w:rFonts w:ascii="Arial" w:hAnsi="Arial" w:cs="Arial"/>
          <w:bCs/>
          <w:sz w:val="22"/>
          <w:szCs w:val="22"/>
          <w:lang w:val="en-US"/>
        </w:rPr>
        <w:t>República</w:t>
      </w:r>
      <w:proofErr w:type="spellEnd"/>
      <w:r w:rsidRPr="0065714C">
        <w:rPr>
          <w:rFonts w:ascii="Arial" w:hAnsi="Arial" w:cs="Arial"/>
          <w:bCs/>
          <w:sz w:val="22"/>
          <w:szCs w:val="22"/>
          <w:lang w:val="en-US"/>
        </w:rPr>
        <w:t xml:space="preserve"> </w:t>
      </w:r>
      <w:proofErr w:type="spellStart"/>
      <w:r w:rsidRPr="0065714C">
        <w:rPr>
          <w:rFonts w:ascii="Arial" w:hAnsi="Arial" w:cs="Arial"/>
          <w:bCs/>
          <w:sz w:val="22"/>
          <w:szCs w:val="22"/>
          <w:lang w:val="en-US"/>
        </w:rPr>
        <w:t>Dominicana</w:t>
      </w:r>
      <w:proofErr w:type="spellEnd"/>
      <w:r w:rsidRPr="0065714C">
        <w:rPr>
          <w:rFonts w:ascii="Arial" w:hAnsi="Arial" w:cs="Arial"/>
          <w:bCs/>
          <w:sz w:val="22"/>
          <w:szCs w:val="22"/>
          <w:lang w:val="en-US"/>
        </w:rPr>
        <w:t>.</w:t>
      </w:r>
    </w:p>
    <w:p w14:paraId="46BBDF28" w14:textId="77777777" w:rsidR="0065714C" w:rsidRPr="0065714C" w:rsidRDefault="0065714C" w:rsidP="00BB7914">
      <w:pPr>
        <w:pStyle w:val="NormalWeb"/>
        <w:spacing w:before="60" w:beforeAutospacing="0" w:after="60" w:line="276" w:lineRule="auto"/>
        <w:ind w:left="567" w:hanging="567"/>
        <w:rPr>
          <w:rFonts w:ascii="Arial" w:hAnsi="Arial" w:cs="Arial"/>
          <w:sz w:val="22"/>
          <w:szCs w:val="22"/>
        </w:rPr>
      </w:pPr>
      <w:r w:rsidRPr="0065714C">
        <w:rPr>
          <w:rFonts w:ascii="Arial" w:hAnsi="Arial" w:cs="Arial"/>
          <w:sz w:val="22"/>
          <w:szCs w:val="22"/>
          <w:lang w:val="en-US"/>
        </w:rPr>
        <w:t xml:space="preserve">Neilson, Christopher A., Seth D. Zimmerman, 2014 “The effect of school construction on test scores, school enrollment, and home prices, Journal of Public Economics” Volume 120, Pages 18-31, ISSN 0047-2727, </w:t>
      </w:r>
      <w:hyperlink r:id="rId18" w:history="1">
        <w:r w:rsidRPr="0065714C">
          <w:rPr>
            <w:rStyle w:val="Hyperlink"/>
            <w:rFonts w:ascii="Arial" w:hAnsi="Arial" w:cs="Arial"/>
            <w:sz w:val="22"/>
            <w:szCs w:val="22"/>
            <w:lang w:val="en-US"/>
          </w:rPr>
          <w:t>http://dx.doi.org/10.1016/j.jpubeco.2014.08.002</w:t>
        </w:r>
      </w:hyperlink>
      <w:r w:rsidRPr="0065714C">
        <w:rPr>
          <w:rFonts w:ascii="Arial" w:hAnsi="Arial" w:cs="Arial"/>
          <w:sz w:val="22"/>
          <w:szCs w:val="22"/>
          <w:lang w:val="en-US"/>
        </w:rPr>
        <w:t xml:space="preserve">. </w:t>
      </w:r>
      <w:r w:rsidRPr="0065714C">
        <w:rPr>
          <w:rFonts w:ascii="Arial" w:hAnsi="Arial" w:cs="Arial"/>
          <w:sz w:val="22"/>
          <w:szCs w:val="22"/>
        </w:rPr>
        <w:t>(</w:t>
      </w:r>
      <w:hyperlink r:id="rId19" w:history="1">
        <w:r w:rsidRPr="0065714C">
          <w:rPr>
            <w:rStyle w:val="Hyperlink"/>
            <w:rFonts w:ascii="Arial" w:hAnsi="Arial" w:cs="Arial"/>
            <w:sz w:val="22"/>
            <w:szCs w:val="22"/>
          </w:rPr>
          <w:t>http://www.sciencedirect.com/science/article/pii/S0047272714001765</w:t>
        </w:r>
      </w:hyperlink>
      <w:r w:rsidRPr="0065714C">
        <w:rPr>
          <w:rFonts w:ascii="Arial" w:hAnsi="Arial" w:cs="Arial"/>
          <w:sz w:val="22"/>
          <w:szCs w:val="22"/>
        </w:rPr>
        <w:t>).</w:t>
      </w:r>
    </w:p>
    <w:p w14:paraId="306CD766" w14:textId="77777777" w:rsidR="0065714C" w:rsidRPr="0012656D" w:rsidRDefault="0065714C" w:rsidP="00BB7914">
      <w:pPr>
        <w:pStyle w:val="NormalWeb"/>
        <w:spacing w:before="60" w:beforeAutospacing="0" w:after="60" w:line="276" w:lineRule="auto"/>
        <w:ind w:left="567" w:hanging="567"/>
        <w:rPr>
          <w:rFonts w:ascii="Arial" w:hAnsi="Arial" w:cs="Arial"/>
          <w:bCs/>
          <w:sz w:val="22"/>
          <w:szCs w:val="22"/>
          <w:lang w:val="en-US"/>
        </w:rPr>
      </w:pPr>
      <w:r w:rsidRPr="0065714C">
        <w:rPr>
          <w:rFonts w:ascii="Arial" w:hAnsi="Arial" w:cs="Arial"/>
          <w:sz w:val="22"/>
          <w:szCs w:val="22"/>
          <w:lang w:val="es-MX"/>
        </w:rPr>
        <w:t xml:space="preserve">OCI, MINERD (2015) </w:t>
      </w:r>
      <w:r w:rsidRPr="0065714C">
        <w:rPr>
          <w:rFonts w:ascii="Arial" w:hAnsi="Arial" w:cs="Arial"/>
          <w:i/>
          <w:sz w:val="22"/>
          <w:szCs w:val="22"/>
          <w:lang w:val="es-MX"/>
        </w:rPr>
        <w:t>“Informe Anual Mantenimiento Obras construidas con fondos de Préstamo 2293 OC/DR y 2844 OC/DR, Período 2013-2015”</w:t>
      </w:r>
      <w:r w:rsidRPr="0065714C">
        <w:rPr>
          <w:rFonts w:ascii="Arial" w:hAnsi="Arial" w:cs="Arial"/>
          <w:sz w:val="22"/>
          <w:szCs w:val="22"/>
          <w:lang w:val="es-MX"/>
        </w:rPr>
        <w:t xml:space="preserve"> Unidad de Infraestructura. </w:t>
      </w:r>
      <w:r w:rsidRPr="0012656D">
        <w:rPr>
          <w:rFonts w:ascii="Arial" w:hAnsi="Arial" w:cs="Arial"/>
          <w:sz w:val="22"/>
          <w:szCs w:val="22"/>
          <w:lang w:val="en-US"/>
        </w:rPr>
        <w:t xml:space="preserve">Santo Domingo, </w:t>
      </w:r>
      <w:proofErr w:type="spellStart"/>
      <w:r w:rsidRPr="0012656D">
        <w:rPr>
          <w:rFonts w:ascii="Arial" w:hAnsi="Arial" w:cs="Arial"/>
          <w:sz w:val="22"/>
          <w:szCs w:val="22"/>
          <w:lang w:val="en-US"/>
        </w:rPr>
        <w:t>República</w:t>
      </w:r>
      <w:proofErr w:type="spellEnd"/>
      <w:r w:rsidRPr="0012656D">
        <w:rPr>
          <w:rFonts w:ascii="Arial" w:hAnsi="Arial" w:cs="Arial"/>
          <w:sz w:val="22"/>
          <w:szCs w:val="22"/>
          <w:lang w:val="en-US"/>
        </w:rPr>
        <w:t xml:space="preserve"> </w:t>
      </w:r>
      <w:proofErr w:type="spellStart"/>
      <w:r w:rsidRPr="0012656D">
        <w:rPr>
          <w:rFonts w:ascii="Arial" w:hAnsi="Arial" w:cs="Arial"/>
          <w:sz w:val="22"/>
          <w:szCs w:val="22"/>
          <w:lang w:val="en-US"/>
        </w:rPr>
        <w:t>Dominicana</w:t>
      </w:r>
      <w:proofErr w:type="spellEnd"/>
    </w:p>
    <w:p w14:paraId="5A904409" w14:textId="1A677DBE" w:rsidR="0065714C" w:rsidRPr="0065714C" w:rsidRDefault="007712E6" w:rsidP="00BB7914">
      <w:pPr>
        <w:pStyle w:val="NormalWeb"/>
        <w:spacing w:before="60" w:beforeAutospacing="0" w:after="60" w:line="276" w:lineRule="auto"/>
        <w:ind w:left="567" w:hanging="567"/>
        <w:rPr>
          <w:rFonts w:ascii="Arial" w:hAnsi="Arial" w:cs="Arial"/>
          <w:bCs/>
          <w:sz w:val="22"/>
          <w:szCs w:val="22"/>
          <w:lang w:val="en-US"/>
        </w:rPr>
      </w:pPr>
      <w:proofErr w:type="spellStart"/>
      <w:r>
        <w:rPr>
          <w:rFonts w:ascii="Arial" w:hAnsi="Arial" w:cs="Arial"/>
          <w:sz w:val="22"/>
          <w:szCs w:val="22"/>
          <w:lang w:val="en-US"/>
        </w:rPr>
        <w:t>Pax</w:t>
      </w:r>
      <w:r w:rsidR="0065714C" w:rsidRPr="0065714C">
        <w:rPr>
          <w:rFonts w:ascii="Arial" w:hAnsi="Arial" w:cs="Arial"/>
          <w:sz w:val="22"/>
          <w:szCs w:val="22"/>
          <w:lang w:val="en-US"/>
        </w:rPr>
        <w:t>on</w:t>
      </w:r>
      <w:proofErr w:type="spellEnd"/>
      <w:r w:rsidR="0065714C" w:rsidRPr="0065714C">
        <w:rPr>
          <w:rFonts w:ascii="Arial" w:hAnsi="Arial" w:cs="Arial"/>
          <w:sz w:val="22"/>
          <w:szCs w:val="22"/>
          <w:lang w:val="en-US"/>
        </w:rPr>
        <w:t xml:space="preserve">, C., &amp; </w:t>
      </w:r>
      <w:proofErr w:type="spellStart"/>
      <w:r w:rsidR="0065714C" w:rsidRPr="0065714C">
        <w:rPr>
          <w:rFonts w:ascii="Arial" w:hAnsi="Arial" w:cs="Arial"/>
          <w:sz w:val="22"/>
          <w:szCs w:val="22"/>
          <w:lang w:val="en-US"/>
        </w:rPr>
        <w:t>Schady</w:t>
      </w:r>
      <w:proofErr w:type="spellEnd"/>
      <w:r w:rsidR="0065714C" w:rsidRPr="0065714C">
        <w:rPr>
          <w:rFonts w:ascii="Arial" w:hAnsi="Arial" w:cs="Arial"/>
          <w:sz w:val="22"/>
          <w:szCs w:val="22"/>
          <w:lang w:val="en-US"/>
        </w:rPr>
        <w:t>, N. R. 2002. “The Allocation and Impact of Social Funds: Spending on School Infrastructure in Peru” The World Bank Economic Review, Vol 16-2, pp. 297-319.</w:t>
      </w:r>
    </w:p>
    <w:p w14:paraId="6B8F0142" w14:textId="77777777" w:rsidR="0065714C" w:rsidRPr="0012656D" w:rsidRDefault="0065714C" w:rsidP="00BB7914">
      <w:pPr>
        <w:pStyle w:val="NormalWeb"/>
        <w:spacing w:before="60" w:beforeAutospacing="0" w:after="60" w:line="276" w:lineRule="auto"/>
        <w:ind w:left="567" w:hanging="567"/>
        <w:rPr>
          <w:rFonts w:ascii="Arial" w:hAnsi="Arial" w:cs="Arial"/>
          <w:bCs/>
          <w:sz w:val="22"/>
          <w:szCs w:val="22"/>
          <w:lang w:val="en-US"/>
        </w:rPr>
      </w:pPr>
      <w:r w:rsidRPr="0065714C">
        <w:rPr>
          <w:rFonts w:ascii="Arial" w:hAnsi="Arial" w:cs="Arial"/>
          <w:bCs/>
          <w:sz w:val="22"/>
          <w:szCs w:val="22"/>
          <w:lang w:val="es-ES_tradnl"/>
        </w:rPr>
        <w:t xml:space="preserve">Prado, Carlos (2011). </w:t>
      </w:r>
      <w:r w:rsidRPr="0065714C">
        <w:rPr>
          <w:rFonts w:ascii="Arial" w:hAnsi="Arial" w:cs="Arial"/>
          <w:bCs/>
          <w:i/>
          <w:sz w:val="22"/>
          <w:szCs w:val="22"/>
          <w:lang w:val="es-ES_tradnl"/>
        </w:rPr>
        <w:t>Análisis de los Datos de las  Pruebas Aplicadas a los Estudiantes de 4to Grado de Nivel Básico en Lengua y Matemática para Determinar los Niveles de Desempeño.</w:t>
      </w:r>
      <w:r w:rsidRPr="0065714C">
        <w:rPr>
          <w:rFonts w:ascii="Arial" w:hAnsi="Arial" w:cs="Arial"/>
          <w:bCs/>
          <w:sz w:val="22"/>
          <w:szCs w:val="22"/>
          <w:lang w:val="es-ES_tradnl"/>
        </w:rPr>
        <w:t xml:space="preserve"> </w:t>
      </w:r>
      <w:r w:rsidRPr="0012656D">
        <w:rPr>
          <w:rFonts w:ascii="Arial" w:hAnsi="Arial" w:cs="Arial"/>
          <w:bCs/>
          <w:sz w:val="22"/>
          <w:szCs w:val="22"/>
          <w:lang w:val="en-US"/>
        </w:rPr>
        <w:t xml:space="preserve">MINERD. Santo Domingo, </w:t>
      </w:r>
      <w:proofErr w:type="spellStart"/>
      <w:r w:rsidRPr="0012656D">
        <w:rPr>
          <w:rFonts w:ascii="Arial" w:hAnsi="Arial" w:cs="Arial"/>
          <w:bCs/>
          <w:sz w:val="22"/>
          <w:szCs w:val="22"/>
          <w:lang w:val="en-US"/>
        </w:rPr>
        <w:t>República</w:t>
      </w:r>
      <w:proofErr w:type="spellEnd"/>
      <w:r w:rsidRPr="0012656D">
        <w:rPr>
          <w:rFonts w:ascii="Arial" w:hAnsi="Arial" w:cs="Arial"/>
          <w:bCs/>
          <w:sz w:val="22"/>
          <w:szCs w:val="22"/>
          <w:lang w:val="en-US"/>
        </w:rPr>
        <w:t xml:space="preserve"> </w:t>
      </w:r>
      <w:proofErr w:type="spellStart"/>
      <w:r w:rsidRPr="0012656D">
        <w:rPr>
          <w:rFonts w:ascii="Arial" w:hAnsi="Arial" w:cs="Arial"/>
          <w:bCs/>
          <w:sz w:val="22"/>
          <w:szCs w:val="22"/>
          <w:lang w:val="en-US"/>
        </w:rPr>
        <w:t>Dominicana</w:t>
      </w:r>
      <w:proofErr w:type="spellEnd"/>
      <w:r w:rsidRPr="0012656D">
        <w:rPr>
          <w:rFonts w:ascii="Arial" w:hAnsi="Arial" w:cs="Arial"/>
          <w:bCs/>
          <w:sz w:val="22"/>
          <w:szCs w:val="22"/>
          <w:lang w:val="en-US"/>
        </w:rPr>
        <w:t>.</w:t>
      </w:r>
    </w:p>
    <w:p w14:paraId="5FA5D5C8"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pt-BR"/>
        </w:rPr>
      </w:pPr>
      <w:r w:rsidRPr="0065714C">
        <w:rPr>
          <w:rFonts w:ascii="Arial" w:hAnsi="Arial" w:cs="Arial"/>
          <w:sz w:val="22"/>
          <w:szCs w:val="22"/>
          <w:shd w:val="clear" w:color="auto" w:fill="FFFFFF"/>
          <w:lang w:val="en-US"/>
        </w:rPr>
        <w:t>Schneider, M. (2002).</w:t>
      </w:r>
      <w:r w:rsidRPr="0065714C">
        <w:rPr>
          <w:rStyle w:val="apple-converted-space"/>
          <w:rFonts w:ascii="Arial" w:hAnsi="Arial" w:cs="Arial"/>
          <w:sz w:val="22"/>
          <w:szCs w:val="22"/>
          <w:shd w:val="clear" w:color="auto" w:fill="FFFFFF"/>
          <w:lang w:val="en-US"/>
        </w:rPr>
        <w:t> </w:t>
      </w:r>
      <w:r w:rsidRPr="0065714C">
        <w:rPr>
          <w:rStyle w:val="Emphasis"/>
          <w:rFonts w:ascii="Arial" w:hAnsi="Arial" w:cs="Arial"/>
          <w:sz w:val="22"/>
          <w:szCs w:val="22"/>
          <w:shd w:val="clear" w:color="auto" w:fill="FFFFFF"/>
          <w:lang w:val="en-US"/>
        </w:rPr>
        <w:t>Do school facilities affect academic outcomes?</w:t>
      </w:r>
      <w:r w:rsidRPr="0065714C">
        <w:rPr>
          <w:rStyle w:val="apple-converted-space"/>
          <w:rFonts w:ascii="Arial" w:hAnsi="Arial" w:cs="Arial"/>
          <w:i/>
          <w:iCs/>
          <w:sz w:val="22"/>
          <w:szCs w:val="22"/>
          <w:shd w:val="clear" w:color="auto" w:fill="FFFFFF"/>
          <w:lang w:val="en-US"/>
        </w:rPr>
        <w:t> </w:t>
      </w:r>
      <w:r w:rsidRPr="0065714C">
        <w:rPr>
          <w:rFonts w:ascii="Arial" w:hAnsi="Arial" w:cs="Arial"/>
          <w:sz w:val="22"/>
          <w:szCs w:val="22"/>
          <w:shd w:val="clear" w:color="auto" w:fill="FFFFFF"/>
          <w:lang w:val="en-US"/>
        </w:rPr>
        <w:t xml:space="preserve">Washington, D.C.: National Clearinghouse for Educational Facilities. Retrieved from </w:t>
      </w:r>
      <w:hyperlink r:id="rId20" w:history="1">
        <w:r w:rsidRPr="0065714C">
          <w:rPr>
            <w:rStyle w:val="Hyperlink"/>
            <w:rFonts w:ascii="Arial" w:hAnsi="Arial" w:cs="Arial"/>
            <w:sz w:val="22"/>
            <w:szCs w:val="22"/>
            <w:shd w:val="clear" w:color="auto" w:fill="FFFFFF"/>
            <w:lang w:val="en-US"/>
          </w:rPr>
          <w:t>http://www.ncef.org/pubs/outcomes.pdf</w:t>
        </w:r>
      </w:hyperlink>
    </w:p>
    <w:p w14:paraId="78074639" w14:textId="77777777" w:rsidR="0065714C" w:rsidRPr="0065714C" w:rsidRDefault="0065714C" w:rsidP="00BB7914">
      <w:pPr>
        <w:spacing w:before="60" w:after="60" w:line="276" w:lineRule="auto"/>
        <w:ind w:left="567" w:hanging="567"/>
        <w:rPr>
          <w:rFonts w:ascii="Arial" w:hAnsi="Arial" w:cs="Arial"/>
          <w:sz w:val="22"/>
          <w:szCs w:val="22"/>
          <w:lang w:val="es-ES_tradnl"/>
        </w:rPr>
      </w:pPr>
      <w:proofErr w:type="spellStart"/>
      <w:r w:rsidRPr="0065714C">
        <w:rPr>
          <w:rFonts w:ascii="Arial" w:hAnsi="Arial" w:cs="Arial"/>
          <w:sz w:val="22"/>
          <w:szCs w:val="22"/>
        </w:rPr>
        <w:t>Tenti</w:t>
      </w:r>
      <w:proofErr w:type="spellEnd"/>
      <w:r w:rsidRPr="0065714C">
        <w:rPr>
          <w:rFonts w:ascii="Arial" w:hAnsi="Arial" w:cs="Arial"/>
          <w:sz w:val="22"/>
          <w:szCs w:val="22"/>
        </w:rPr>
        <w:t xml:space="preserve"> et al. </w:t>
      </w:r>
      <w:r w:rsidRPr="0065714C">
        <w:rPr>
          <w:rFonts w:ascii="Arial" w:hAnsi="Arial" w:cs="Arial"/>
          <w:sz w:val="22"/>
          <w:szCs w:val="22"/>
          <w:lang w:val="es-ES_tradnl"/>
        </w:rPr>
        <w:t>(2010).  “Estado del arte: Escolaridad primaria y jornada escolar en el contexto internacional.  Estudio de casos en Europa y América Latina”. Instituto Internacional de Planeamiento de la Educación.</w:t>
      </w:r>
    </w:p>
    <w:p w14:paraId="4A1E007A" w14:textId="77777777" w:rsidR="0065714C" w:rsidRPr="0065714C" w:rsidRDefault="0065714C" w:rsidP="00BB7914">
      <w:pPr>
        <w:pStyle w:val="NormalWeb"/>
        <w:spacing w:before="60" w:beforeAutospacing="0" w:after="60" w:line="276" w:lineRule="auto"/>
        <w:ind w:left="567" w:hanging="567"/>
        <w:rPr>
          <w:rFonts w:ascii="Arial" w:hAnsi="Arial" w:cs="Arial"/>
          <w:bCs/>
          <w:sz w:val="22"/>
          <w:szCs w:val="22"/>
          <w:lang w:val="es-ES_tradnl"/>
        </w:rPr>
      </w:pPr>
      <w:proofErr w:type="spellStart"/>
      <w:r w:rsidRPr="0065714C">
        <w:rPr>
          <w:rFonts w:ascii="Arial" w:hAnsi="Arial" w:cs="Arial"/>
          <w:bCs/>
          <w:sz w:val="22"/>
          <w:szCs w:val="22"/>
          <w:lang w:val="es-ES_tradnl"/>
        </w:rPr>
        <w:t>Urquiola</w:t>
      </w:r>
      <w:proofErr w:type="spellEnd"/>
      <w:r w:rsidRPr="0065714C">
        <w:rPr>
          <w:rFonts w:ascii="Arial" w:hAnsi="Arial" w:cs="Arial"/>
          <w:bCs/>
          <w:sz w:val="22"/>
          <w:szCs w:val="22"/>
          <w:lang w:val="es-ES_tradnl"/>
        </w:rPr>
        <w:t xml:space="preserve">, Miguel y Valentina Calderón (2005). </w:t>
      </w:r>
      <w:r w:rsidRPr="0065714C">
        <w:rPr>
          <w:rFonts w:ascii="Arial" w:hAnsi="Arial" w:cs="Arial"/>
          <w:bCs/>
          <w:i/>
          <w:sz w:val="22"/>
          <w:szCs w:val="22"/>
          <w:lang w:val="en-US"/>
        </w:rPr>
        <w:t>Apples and Oranges: Educational Enrollment and Attainment across Countries in Latin America and the Caribbean</w:t>
      </w:r>
      <w:r w:rsidRPr="0065714C">
        <w:rPr>
          <w:rFonts w:ascii="Arial" w:hAnsi="Arial" w:cs="Arial"/>
          <w:bCs/>
          <w:sz w:val="22"/>
          <w:szCs w:val="22"/>
          <w:lang w:val="en-US"/>
        </w:rPr>
        <w:t xml:space="preserve">. </w:t>
      </w:r>
      <w:r w:rsidRPr="0065714C">
        <w:rPr>
          <w:rFonts w:ascii="Arial" w:hAnsi="Arial" w:cs="Arial"/>
          <w:bCs/>
          <w:sz w:val="22"/>
          <w:szCs w:val="22"/>
          <w:lang w:val="es-ES"/>
        </w:rPr>
        <w:t xml:space="preserve">Serie Estudios de Dialogo de Política Regional, </w:t>
      </w:r>
      <w:r w:rsidRPr="0065714C">
        <w:rPr>
          <w:rFonts w:ascii="Arial" w:hAnsi="Arial" w:cs="Arial"/>
          <w:bCs/>
          <w:sz w:val="22"/>
          <w:szCs w:val="22"/>
          <w:lang w:val="es-ES_tradnl"/>
        </w:rPr>
        <w:t>Banco Interamericano de Desarrollo, Washington, DC.</w:t>
      </w:r>
    </w:p>
    <w:p w14:paraId="7C052740" w14:textId="77777777" w:rsidR="0065714C" w:rsidRPr="0012656D" w:rsidRDefault="0065714C" w:rsidP="00BB7914">
      <w:pPr>
        <w:pStyle w:val="NormalWeb"/>
        <w:spacing w:before="60" w:beforeAutospacing="0" w:after="60" w:line="276" w:lineRule="auto"/>
        <w:ind w:left="567" w:hanging="567"/>
        <w:rPr>
          <w:rFonts w:ascii="Arial" w:hAnsi="Arial" w:cs="Arial"/>
          <w:bCs/>
          <w:sz w:val="22"/>
          <w:szCs w:val="22"/>
          <w:lang w:val="en-US"/>
        </w:rPr>
      </w:pPr>
      <w:r w:rsidRPr="0065714C">
        <w:rPr>
          <w:rFonts w:ascii="Arial" w:hAnsi="Arial" w:cs="Arial"/>
          <w:bCs/>
          <w:sz w:val="22"/>
          <w:szCs w:val="22"/>
          <w:lang w:val="es-ES_tradnl"/>
        </w:rPr>
        <w:t xml:space="preserve">Valverde, Gilbert, Eduardo, Luna y Rosa </w:t>
      </w:r>
      <w:proofErr w:type="spellStart"/>
      <w:r w:rsidRPr="0065714C">
        <w:rPr>
          <w:rFonts w:ascii="Arial" w:hAnsi="Arial" w:cs="Arial"/>
          <w:bCs/>
          <w:sz w:val="22"/>
          <w:szCs w:val="22"/>
          <w:lang w:val="es-ES_tradnl"/>
        </w:rPr>
        <w:t>Rocangliolo</w:t>
      </w:r>
      <w:proofErr w:type="spellEnd"/>
      <w:r w:rsidRPr="0065714C">
        <w:rPr>
          <w:rFonts w:ascii="Arial" w:hAnsi="Arial" w:cs="Arial"/>
          <w:bCs/>
          <w:sz w:val="22"/>
          <w:szCs w:val="22"/>
          <w:lang w:val="es-ES_tradnl"/>
        </w:rPr>
        <w:t xml:space="preserve"> (2011) </w:t>
      </w:r>
      <w:r w:rsidRPr="0065714C">
        <w:rPr>
          <w:rFonts w:ascii="Arial" w:hAnsi="Arial" w:cs="Arial"/>
          <w:bCs/>
          <w:i/>
          <w:sz w:val="22"/>
          <w:szCs w:val="22"/>
          <w:lang w:val="es-ES_tradnl"/>
        </w:rPr>
        <w:t>Informe de Evaluación 3º y 4º en lectoescritura y matemática</w:t>
      </w:r>
      <w:r w:rsidRPr="0065714C">
        <w:rPr>
          <w:rFonts w:ascii="Arial" w:hAnsi="Arial" w:cs="Arial"/>
          <w:bCs/>
          <w:sz w:val="22"/>
          <w:szCs w:val="22"/>
          <w:lang w:val="es-ES_tradnl"/>
        </w:rPr>
        <w:t xml:space="preserve">. </w:t>
      </w:r>
      <w:r w:rsidRPr="0012656D">
        <w:rPr>
          <w:rFonts w:ascii="Arial" w:hAnsi="Arial" w:cs="Arial"/>
          <w:bCs/>
          <w:sz w:val="22"/>
          <w:szCs w:val="22"/>
          <w:lang w:val="en-US"/>
        </w:rPr>
        <w:t xml:space="preserve">Santo Domingo </w:t>
      </w:r>
      <w:proofErr w:type="spellStart"/>
      <w:r w:rsidRPr="0012656D">
        <w:rPr>
          <w:rFonts w:ascii="Arial" w:hAnsi="Arial" w:cs="Arial"/>
          <w:bCs/>
          <w:sz w:val="22"/>
          <w:szCs w:val="22"/>
          <w:lang w:val="en-US"/>
        </w:rPr>
        <w:t>República</w:t>
      </w:r>
      <w:proofErr w:type="spellEnd"/>
      <w:r w:rsidRPr="0012656D">
        <w:rPr>
          <w:rFonts w:ascii="Arial" w:hAnsi="Arial" w:cs="Arial"/>
          <w:bCs/>
          <w:sz w:val="22"/>
          <w:szCs w:val="22"/>
          <w:lang w:val="en-US"/>
        </w:rPr>
        <w:t xml:space="preserve"> </w:t>
      </w:r>
      <w:proofErr w:type="spellStart"/>
      <w:r w:rsidRPr="0012656D">
        <w:rPr>
          <w:rFonts w:ascii="Arial" w:hAnsi="Arial" w:cs="Arial"/>
          <w:bCs/>
          <w:sz w:val="22"/>
          <w:szCs w:val="22"/>
          <w:lang w:val="en-US"/>
        </w:rPr>
        <w:t>Dominicana</w:t>
      </w:r>
      <w:proofErr w:type="spellEnd"/>
      <w:r w:rsidRPr="0012656D">
        <w:rPr>
          <w:rFonts w:ascii="Arial" w:hAnsi="Arial" w:cs="Arial"/>
          <w:bCs/>
          <w:sz w:val="22"/>
          <w:szCs w:val="22"/>
          <w:lang w:val="en-US"/>
        </w:rPr>
        <w:t>.</w:t>
      </w:r>
    </w:p>
    <w:p w14:paraId="35B742C6" w14:textId="77777777" w:rsidR="0065714C" w:rsidRPr="0065714C" w:rsidRDefault="0065714C" w:rsidP="00BB7914">
      <w:pPr>
        <w:spacing w:before="60" w:after="60" w:line="276" w:lineRule="auto"/>
        <w:ind w:left="567" w:hanging="567"/>
        <w:rPr>
          <w:rFonts w:ascii="Arial" w:hAnsi="Arial" w:cs="Arial"/>
          <w:sz w:val="22"/>
          <w:szCs w:val="22"/>
          <w:lang w:val="en-US"/>
        </w:rPr>
      </w:pPr>
    </w:p>
    <w:p w14:paraId="37EEE1E0" w14:textId="77777777" w:rsidR="00E9403B" w:rsidRPr="0065714C" w:rsidRDefault="28D31204" w:rsidP="00BB7914">
      <w:pPr>
        <w:spacing w:before="60" w:after="60" w:line="276" w:lineRule="auto"/>
        <w:ind w:left="567" w:hanging="567"/>
        <w:rPr>
          <w:rFonts w:ascii="Arial" w:hAnsi="Arial" w:cs="Arial"/>
          <w:sz w:val="22"/>
          <w:szCs w:val="22"/>
          <w:lang w:val="en-US"/>
        </w:rPr>
      </w:pPr>
      <w:r w:rsidRPr="0065714C">
        <w:rPr>
          <w:rFonts w:ascii="Arial" w:hAnsi="Arial" w:cs="Arial"/>
          <w:sz w:val="22"/>
          <w:szCs w:val="22"/>
          <w:lang w:val="en-US"/>
        </w:rPr>
        <w:t>European Commission. “</w:t>
      </w:r>
      <w:r w:rsidRPr="0065714C">
        <w:rPr>
          <w:rFonts w:ascii="Arial" w:hAnsi="Arial" w:cs="Arial"/>
          <w:i/>
          <w:iCs/>
          <w:sz w:val="22"/>
          <w:szCs w:val="22"/>
          <w:lang w:val="en-US"/>
        </w:rPr>
        <w:t xml:space="preserve">Guide to cost-benefit analysis of investment projects” </w:t>
      </w:r>
      <w:r w:rsidRPr="0065714C">
        <w:rPr>
          <w:rFonts w:ascii="Arial" w:hAnsi="Arial" w:cs="Arial"/>
          <w:sz w:val="22"/>
          <w:szCs w:val="22"/>
          <w:lang w:val="en-US"/>
        </w:rPr>
        <w:t>Structural Funds, Cohesion Fund and Instrument for Pre-</w:t>
      </w:r>
      <w:proofErr w:type="spellStart"/>
      <w:r w:rsidRPr="0065714C">
        <w:rPr>
          <w:rFonts w:ascii="Arial" w:hAnsi="Arial" w:cs="Arial"/>
          <w:sz w:val="22"/>
          <w:szCs w:val="22"/>
          <w:lang w:val="en-US"/>
        </w:rPr>
        <w:t>Accessio</w:t>
      </w:r>
      <w:proofErr w:type="spellEnd"/>
      <w:r w:rsidRPr="0065714C">
        <w:rPr>
          <w:rFonts w:ascii="Arial" w:hAnsi="Arial" w:cs="Arial"/>
          <w:sz w:val="22"/>
          <w:szCs w:val="22"/>
          <w:lang w:val="en-US"/>
        </w:rPr>
        <w:t>. (2008).</w:t>
      </w:r>
    </w:p>
    <w:p w14:paraId="625C1255" w14:textId="77777777" w:rsidR="00522AB3" w:rsidRPr="0065714C" w:rsidRDefault="00522AB3" w:rsidP="00BB7914">
      <w:pPr>
        <w:spacing w:before="60" w:after="60" w:line="276" w:lineRule="auto"/>
        <w:ind w:left="567" w:hanging="567"/>
        <w:rPr>
          <w:rFonts w:ascii="Arial" w:hAnsi="Arial" w:cs="Arial"/>
          <w:sz w:val="22"/>
          <w:szCs w:val="22"/>
          <w:lang w:val="en-US"/>
        </w:rPr>
      </w:pPr>
    </w:p>
    <w:p w14:paraId="01383D6B" w14:textId="77777777" w:rsidR="00E9403B" w:rsidRPr="0065714C" w:rsidRDefault="28D31204" w:rsidP="00BB7914">
      <w:pPr>
        <w:spacing w:before="60" w:after="60" w:line="276" w:lineRule="auto"/>
        <w:ind w:left="567" w:hanging="567"/>
        <w:rPr>
          <w:rFonts w:ascii="Arial" w:hAnsi="Arial" w:cs="Arial"/>
          <w:sz w:val="22"/>
          <w:szCs w:val="22"/>
          <w:lang w:val="en-US"/>
        </w:rPr>
      </w:pPr>
      <w:r w:rsidRPr="0065714C">
        <w:rPr>
          <w:rFonts w:ascii="Arial" w:hAnsi="Arial" w:cs="Arial"/>
          <w:sz w:val="22"/>
          <w:szCs w:val="22"/>
          <w:lang w:val="en-US"/>
        </w:rPr>
        <w:t xml:space="preserve">Jimenez E y </w:t>
      </w:r>
      <w:proofErr w:type="spellStart"/>
      <w:r w:rsidRPr="0065714C">
        <w:rPr>
          <w:rFonts w:ascii="Arial" w:hAnsi="Arial" w:cs="Arial"/>
          <w:sz w:val="22"/>
          <w:szCs w:val="22"/>
          <w:lang w:val="en-US"/>
        </w:rPr>
        <w:t>Patrinos</w:t>
      </w:r>
      <w:proofErr w:type="spellEnd"/>
      <w:r w:rsidRPr="0065714C">
        <w:rPr>
          <w:rFonts w:ascii="Arial" w:hAnsi="Arial" w:cs="Arial"/>
          <w:sz w:val="22"/>
          <w:szCs w:val="22"/>
          <w:lang w:val="en-US"/>
        </w:rPr>
        <w:t xml:space="preserve"> H. </w:t>
      </w:r>
      <w:r w:rsidRPr="0065714C">
        <w:rPr>
          <w:rFonts w:ascii="Arial" w:hAnsi="Arial" w:cs="Arial"/>
          <w:i/>
          <w:iCs/>
          <w:sz w:val="22"/>
          <w:szCs w:val="22"/>
          <w:lang w:val="en-US"/>
        </w:rPr>
        <w:t>“Can Cost-Benefit Analysis Guide Education Policy in Developing Countries?”</w:t>
      </w:r>
      <w:r w:rsidRPr="0065714C">
        <w:rPr>
          <w:rFonts w:ascii="Arial" w:hAnsi="Arial" w:cs="Arial"/>
          <w:sz w:val="22"/>
          <w:szCs w:val="22"/>
          <w:lang w:val="en-US"/>
        </w:rPr>
        <w:t xml:space="preserve"> Policy Research Working Paper 4568. The World Bank Human Development Network Education Team. March (2008).</w:t>
      </w:r>
    </w:p>
    <w:p w14:paraId="37AE8178" w14:textId="77777777" w:rsidR="00E9403B" w:rsidRPr="0065714C" w:rsidRDefault="28D31204" w:rsidP="00BB7914">
      <w:pPr>
        <w:spacing w:before="60" w:after="60" w:line="276" w:lineRule="auto"/>
        <w:ind w:left="567" w:hanging="567"/>
        <w:rPr>
          <w:rFonts w:ascii="Arial" w:hAnsi="Arial" w:cs="Arial"/>
          <w:sz w:val="22"/>
          <w:szCs w:val="22"/>
          <w:lang w:val="en-US"/>
        </w:rPr>
      </w:pPr>
      <w:r w:rsidRPr="0065714C">
        <w:rPr>
          <w:rFonts w:ascii="Arial" w:hAnsi="Arial" w:cs="Arial"/>
          <w:sz w:val="22"/>
          <w:szCs w:val="22"/>
          <w:lang w:val="en-US"/>
        </w:rPr>
        <w:t xml:space="preserve">Lynn A. </w:t>
      </w:r>
      <w:proofErr w:type="spellStart"/>
      <w:r w:rsidRPr="0065714C">
        <w:rPr>
          <w:rFonts w:ascii="Arial" w:hAnsi="Arial" w:cs="Arial"/>
          <w:sz w:val="22"/>
          <w:szCs w:val="22"/>
          <w:lang w:val="en-US"/>
        </w:rPr>
        <w:t>Karoly</w:t>
      </w:r>
      <w:proofErr w:type="spellEnd"/>
      <w:r w:rsidRPr="0065714C">
        <w:rPr>
          <w:rFonts w:ascii="Arial" w:hAnsi="Arial" w:cs="Arial"/>
          <w:sz w:val="22"/>
          <w:szCs w:val="22"/>
          <w:lang w:val="en-US"/>
        </w:rPr>
        <w:t>. “</w:t>
      </w:r>
      <w:r w:rsidRPr="0065714C">
        <w:rPr>
          <w:rFonts w:ascii="Arial" w:hAnsi="Arial" w:cs="Arial"/>
          <w:i/>
          <w:iCs/>
          <w:sz w:val="22"/>
          <w:szCs w:val="22"/>
          <w:lang w:val="en-US"/>
        </w:rPr>
        <w:t>Valuing Benefits in Benefit-Cost Studies of Social Programs”</w:t>
      </w:r>
      <w:r w:rsidRPr="0065714C">
        <w:rPr>
          <w:rFonts w:ascii="Arial" w:hAnsi="Arial" w:cs="Arial"/>
          <w:sz w:val="22"/>
          <w:szCs w:val="22"/>
          <w:lang w:val="en-US"/>
        </w:rPr>
        <w:t xml:space="preserve">  RAND Corporation (2008)</w:t>
      </w:r>
    </w:p>
    <w:p w14:paraId="53AB0F74" w14:textId="77777777" w:rsidR="00152E34" w:rsidRPr="0065714C" w:rsidRDefault="28D31204" w:rsidP="00BB7914">
      <w:pPr>
        <w:spacing w:before="60" w:after="60" w:line="276" w:lineRule="auto"/>
        <w:ind w:left="567" w:hanging="567"/>
        <w:rPr>
          <w:rFonts w:ascii="Arial" w:hAnsi="Arial" w:cs="Arial"/>
          <w:sz w:val="22"/>
          <w:szCs w:val="22"/>
        </w:rPr>
      </w:pPr>
      <w:proofErr w:type="spellStart"/>
      <w:r w:rsidRPr="0065714C">
        <w:rPr>
          <w:rFonts w:ascii="Arial" w:hAnsi="Arial" w:cs="Arial"/>
          <w:sz w:val="22"/>
          <w:szCs w:val="22"/>
          <w:lang w:val="en-US"/>
        </w:rPr>
        <w:t>Woodhall</w:t>
      </w:r>
      <w:proofErr w:type="spellEnd"/>
      <w:r w:rsidRPr="0065714C">
        <w:rPr>
          <w:rFonts w:ascii="Arial" w:hAnsi="Arial" w:cs="Arial"/>
          <w:sz w:val="22"/>
          <w:szCs w:val="22"/>
          <w:lang w:val="en-US"/>
        </w:rPr>
        <w:t xml:space="preserve"> M. “Cost-Benefit Analysis in education planning”. </w:t>
      </w:r>
      <w:r w:rsidRPr="0065714C">
        <w:rPr>
          <w:rFonts w:ascii="Arial" w:hAnsi="Arial" w:cs="Arial"/>
          <w:sz w:val="22"/>
          <w:szCs w:val="22"/>
        </w:rPr>
        <w:t>Unesco. 2004</w:t>
      </w:r>
    </w:p>
    <w:p w14:paraId="647CC1C9" w14:textId="77777777" w:rsidR="00152E34" w:rsidRPr="0065714C" w:rsidRDefault="28D31204" w:rsidP="00BB7914">
      <w:pPr>
        <w:spacing w:before="60" w:after="60" w:line="276" w:lineRule="auto"/>
        <w:ind w:left="567" w:hanging="567"/>
        <w:rPr>
          <w:rFonts w:ascii="Arial" w:hAnsi="Arial" w:cs="Arial"/>
          <w:sz w:val="22"/>
          <w:szCs w:val="22"/>
        </w:rPr>
      </w:pPr>
      <w:r w:rsidRPr="0065714C">
        <w:rPr>
          <w:rFonts w:ascii="Arial" w:hAnsi="Arial" w:cs="Arial"/>
          <w:sz w:val="22"/>
          <w:szCs w:val="22"/>
        </w:rPr>
        <w:t xml:space="preserve">    Morales-Ramos (2011) y CEPAL (2007).</w:t>
      </w:r>
    </w:p>
    <w:p w14:paraId="21232466" w14:textId="77777777" w:rsidR="00152E34" w:rsidRPr="0065714C" w:rsidRDefault="00152E34" w:rsidP="0065714C">
      <w:pPr>
        <w:spacing w:before="120" w:after="120" w:line="276" w:lineRule="auto"/>
        <w:rPr>
          <w:rFonts w:ascii="Arial" w:hAnsi="Arial" w:cs="Arial"/>
          <w:sz w:val="22"/>
          <w:szCs w:val="22"/>
          <w:u w:val="single"/>
        </w:rPr>
      </w:pPr>
    </w:p>
    <w:p w14:paraId="5C381181" w14:textId="77777777" w:rsidR="00152E34" w:rsidRPr="00142680" w:rsidRDefault="00152E34" w:rsidP="002A743C">
      <w:pPr>
        <w:spacing w:line="276" w:lineRule="auto"/>
        <w:rPr>
          <w:rFonts w:ascii="Arial" w:hAnsi="Arial" w:cs="Arial"/>
          <w:sz w:val="22"/>
          <w:szCs w:val="22"/>
          <w:u w:val="single"/>
        </w:rPr>
      </w:pPr>
    </w:p>
    <w:p w14:paraId="6E046165" w14:textId="77777777" w:rsidR="00C77100" w:rsidRPr="00B2077E" w:rsidRDefault="00C77100" w:rsidP="002A743C">
      <w:pPr>
        <w:spacing w:line="276" w:lineRule="auto"/>
        <w:rPr>
          <w:rFonts w:ascii="Arial" w:hAnsi="Arial" w:cs="Arial"/>
          <w:u w:val="single"/>
        </w:rPr>
      </w:pPr>
    </w:p>
    <w:p w14:paraId="3919503C" w14:textId="77777777" w:rsidR="00C77100" w:rsidRPr="00B2077E" w:rsidRDefault="00E2063C" w:rsidP="002A743C">
      <w:pPr>
        <w:spacing w:line="276" w:lineRule="auto"/>
        <w:rPr>
          <w:rFonts w:ascii="Arial" w:hAnsi="Arial" w:cs="Arial"/>
          <w:u w:val="single"/>
        </w:rPr>
      </w:pPr>
      <w:r w:rsidRPr="00B2077E">
        <w:rPr>
          <w:rFonts w:ascii="Arial" w:hAnsi="Arial" w:cs="Arial"/>
          <w:u w:val="single"/>
        </w:rPr>
        <w:br w:type="page"/>
      </w:r>
    </w:p>
    <w:p w14:paraId="1B27E10B" w14:textId="77777777" w:rsidR="00E9403B" w:rsidRPr="00B2077E" w:rsidRDefault="28D31204" w:rsidP="28D31204">
      <w:pPr>
        <w:spacing w:line="276" w:lineRule="auto"/>
        <w:rPr>
          <w:rFonts w:ascii="Arial" w:hAnsi="Arial" w:cs="Arial"/>
          <w:u w:val="single"/>
        </w:rPr>
      </w:pPr>
      <w:r w:rsidRPr="28D31204">
        <w:rPr>
          <w:rFonts w:ascii="Arial" w:hAnsi="Arial" w:cs="Arial"/>
          <w:u w:val="single"/>
        </w:rPr>
        <w:lastRenderedPageBreak/>
        <w:t xml:space="preserve">Otros recursos: </w:t>
      </w:r>
    </w:p>
    <w:p w14:paraId="63F13544" w14:textId="77777777" w:rsidR="00152E34" w:rsidRPr="00B2077E" w:rsidRDefault="00152E34" w:rsidP="002A743C">
      <w:pPr>
        <w:spacing w:line="276" w:lineRule="auto"/>
        <w:rPr>
          <w:rFonts w:ascii="Arial" w:hAnsi="Arial" w:cs="Arial"/>
          <w:u w:val="single"/>
        </w:rPr>
      </w:pPr>
    </w:p>
    <w:p w14:paraId="37955C7A" w14:textId="77777777" w:rsidR="00E9403B" w:rsidRPr="00B2077E" w:rsidRDefault="28D31204" w:rsidP="28D31204">
      <w:pPr>
        <w:spacing w:line="276" w:lineRule="auto"/>
        <w:rPr>
          <w:rFonts w:ascii="Arial" w:hAnsi="Arial" w:cs="Arial"/>
        </w:rPr>
      </w:pPr>
      <w:r w:rsidRPr="28D31204">
        <w:rPr>
          <w:rFonts w:ascii="Arial" w:hAnsi="Arial" w:cs="Arial"/>
        </w:rPr>
        <w:t>Bases de Datos:</w:t>
      </w:r>
    </w:p>
    <w:p w14:paraId="75314F01" w14:textId="77777777" w:rsidR="00FA4E91" w:rsidRPr="00FA4E91" w:rsidRDefault="00FA4E91" w:rsidP="00FB2D84">
      <w:pPr>
        <w:pStyle w:val="ListParagraph"/>
        <w:numPr>
          <w:ilvl w:val="0"/>
          <w:numId w:val="26"/>
        </w:numPr>
        <w:spacing w:line="276" w:lineRule="auto"/>
        <w:rPr>
          <w:rFonts w:ascii="Arial" w:hAnsi="Arial" w:cs="Arial"/>
        </w:rPr>
      </w:pPr>
      <w:r w:rsidRPr="00FC19B2">
        <w:rPr>
          <w:rFonts w:ascii="Arial" w:hAnsi="Arial" w:cs="Arial"/>
          <w:sz w:val="22"/>
          <w:szCs w:val="22"/>
        </w:rPr>
        <w:t xml:space="preserve">Sistema de Gestión de Centros Educativos </w:t>
      </w:r>
    </w:p>
    <w:p w14:paraId="400C1B37" w14:textId="7FB0C209" w:rsidR="00B30550" w:rsidRPr="00FB2D84" w:rsidRDefault="001E490E" w:rsidP="00FB2D84">
      <w:pPr>
        <w:pStyle w:val="ListParagraph"/>
        <w:numPr>
          <w:ilvl w:val="0"/>
          <w:numId w:val="26"/>
        </w:numPr>
        <w:spacing w:line="276" w:lineRule="auto"/>
        <w:rPr>
          <w:rFonts w:ascii="Arial" w:hAnsi="Arial" w:cs="Arial"/>
        </w:rPr>
      </w:pPr>
      <w:r>
        <w:rPr>
          <w:rFonts w:ascii="Arial" w:hAnsi="Arial" w:cs="Arial"/>
          <w:sz w:val="24"/>
        </w:rPr>
        <w:t>ENFT</w:t>
      </w:r>
      <w:r w:rsidR="00F45CF7">
        <w:rPr>
          <w:rFonts w:ascii="Arial" w:hAnsi="Arial" w:cs="Arial"/>
          <w:sz w:val="24"/>
        </w:rPr>
        <w:t xml:space="preserve"> - </w:t>
      </w:r>
      <w:r w:rsidR="28D31204" w:rsidRPr="00FB2D84">
        <w:rPr>
          <w:rFonts w:ascii="Arial" w:hAnsi="Arial" w:cs="Arial"/>
          <w:sz w:val="24"/>
        </w:rPr>
        <w:t xml:space="preserve">Encuesta </w:t>
      </w:r>
      <w:r>
        <w:rPr>
          <w:rFonts w:ascii="Arial" w:hAnsi="Arial" w:cs="Arial"/>
          <w:sz w:val="24"/>
        </w:rPr>
        <w:t xml:space="preserve">Nacional de Fuerza de Trabajo </w:t>
      </w:r>
      <w:r w:rsidR="28D31204" w:rsidRPr="00FB2D84">
        <w:rPr>
          <w:rFonts w:ascii="Arial" w:hAnsi="Arial" w:cs="Arial"/>
          <w:sz w:val="24"/>
        </w:rPr>
        <w:t>201</w:t>
      </w:r>
      <w:r>
        <w:rPr>
          <w:rFonts w:ascii="Arial" w:hAnsi="Arial" w:cs="Arial"/>
          <w:sz w:val="24"/>
        </w:rPr>
        <w:t>5</w:t>
      </w:r>
    </w:p>
    <w:p w14:paraId="2B7CE972" w14:textId="77777777" w:rsidR="00E9403B" w:rsidRPr="00B2077E" w:rsidRDefault="00B30550" w:rsidP="002A743C">
      <w:pPr>
        <w:spacing w:line="276" w:lineRule="auto"/>
        <w:rPr>
          <w:rFonts w:ascii="Arial" w:hAnsi="Arial" w:cs="Arial"/>
          <w:u w:val="single"/>
        </w:rPr>
      </w:pPr>
      <w:r w:rsidRPr="00B2077E">
        <w:rPr>
          <w:rFonts w:ascii="Arial" w:hAnsi="Arial" w:cs="Arial"/>
          <w:u w:val="single"/>
        </w:rPr>
        <w:br w:type="page"/>
      </w:r>
    </w:p>
    <w:p w14:paraId="7214736F" w14:textId="77777777" w:rsidR="0030372B" w:rsidRPr="00B2077E" w:rsidRDefault="28D31204" w:rsidP="28D31204">
      <w:pPr>
        <w:pStyle w:val="Heading1"/>
        <w:numPr>
          <w:ilvl w:val="0"/>
          <w:numId w:val="0"/>
        </w:numPr>
        <w:spacing w:line="276" w:lineRule="auto"/>
        <w:rPr>
          <w:rFonts w:ascii="Arial" w:hAnsi="Arial" w:cs="Arial"/>
          <w:lang w:val="es-MX"/>
        </w:rPr>
      </w:pPr>
      <w:bookmarkStart w:id="59" w:name="_anexos"/>
      <w:bookmarkStart w:id="60" w:name="_Toc416351773"/>
      <w:bookmarkStart w:id="61" w:name="_Toc486573804"/>
      <w:bookmarkStart w:id="62" w:name="_Toc499617483"/>
      <w:bookmarkEnd w:id="59"/>
      <w:r w:rsidRPr="28D31204">
        <w:rPr>
          <w:rFonts w:ascii="Arial" w:hAnsi="Arial" w:cs="Arial"/>
          <w:lang w:val="es-MX"/>
        </w:rPr>
        <w:lastRenderedPageBreak/>
        <w:t>anexos</w:t>
      </w:r>
      <w:bookmarkEnd w:id="60"/>
      <w:bookmarkEnd w:id="61"/>
      <w:bookmarkEnd w:id="62"/>
    </w:p>
    <w:p w14:paraId="22CC0377" w14:textId="1C6B8647" w:rsidR="00442339" w:rsidRPr="00442339" w:rsidRDefault="28D31204" w:rsidP="00442339">
      <w:pPr>
        <w:pStyle w:val="ListParagraph"/>
        <w:numPr>
          <w:ilvl w:val="0"/>
          <w:numId w:val="28"/>
        </w:numPr>
        <w:jc w:val="center"/>
        <w:rPr>
          <w:rFonts w:ascii="Arial" w:hAnsi="Arial" w:cs="Arial"/>
          <w:b/>
          <w:bCs/>
        </w:rPr>
      </w:pPr>
      <w:r w:rsidRPr="00442339">
        <w:rPr>
          <w:rFonts w:ascii="Arial" w:hAnsi="Arial" w:cs="Arial"/>
          <w:b/>
          <w:bCs/>
        </w:rPr>
        <w:t>Tabla de costos</w:t>
      </w:r>
      <w:r w:rsidR="00442339">
        <w:rPr>
          <w:rFonts w:ascii="Arial" w:hAnsi="Arial" w:cs="Arial"/>
          <w:b/>
          <w:bCs/>
        </w:rPr>
        <w:t xml:space="preserve"> </w:t>
      </w:r>
      <w:r w:rsidR="00442339" w:rsidRPr="00442339">
        <w:rPr>
          <w:rFonts w:ascii="Arial" w:hAnsi="Arial" w:cs="Arial"/>
          <w:b/>
          <w:bCs/>
        </w:rPr>
        <w:t>(US$ miles)</w:t>
      </w:r>
    </w:p>
    <w:p w14:paraId="12F9D1BA" w14:textId="77777777" w:rsidR="00442339" w:rsidRPr="00442339" w:rsidRDefault="00442339" w:rsidP="00442339">
      <w:pPr>
        <w:jc w:val="center"/>
        <w:rPr>
          <w:rFonts w:ascii="Arial" w:hAnsi="Arial" w:cs="Arial"/>
          <w:b/>
          <w:bCs/>
        </w:rPr>
      </w:pPr>
    </w:p>
    <w:tbl>
      <w:tblPr>
        <w:tblW w:w="8816" w:type="dxa"/>
        <w:jc w:val="center"/>
        <w:tblLook w:val="04A0" w:firstRow="1" w:lastRow="0" w:firstColumn="1" w:lastColumn="0" w:noHBand="0" w:noVBand="1"/>
      </w:tblPr>
      <w:tblGrid>
        <w:gridCol w:w="4282"/>
        <w:gridCol w:w="1477"/>
        <w:gridCol w:w="978"/>
        <w:gridCol w:w="1093"/>
        <w:gridCol w:w="986"/>
      </w:tblGrid>
      <w:tr w:rsidR="00C917C3" w:rsidRPr="00AE08D4" w14:paraId="2C0E897F" w14:textId="77777777" w:rsidTr="00442339">
        <w:trPr>
          <w:trHeight w:val="315"/>
          <w:jc w:val="center"/>
        </w:trPr>
        <w:tc>
          <w:tcPr>
            <w:tcW w:w="42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76C4CC" w14:textId="77777777" w:rsidR="00C917C3" w:rsidRPr="00AE08D4" w:rsidRDefault="28D31204" w:rsidP="00AE08D4">
            <w:pPr>
              <w:spacing w:line="276" w:lineRule="auto"/>
              <w:ind w:left="0" w:firstLine="0"/>
              <w:jc w:val="center"/>
              <w:rPr>
                <w:rFonts w:ascii="Arial Narrow" w:hAnsi="Arial Narrow" w:cs="Calibri"/>
                <w:b/>
                <w:bCs/>
                <w:color w:val="000000"/>
                <w:sz w:val="16"/>
                <w:szCs w:val="16"/>
                <w:lang w:val="en-US" w:eastAsia="en-US"/>
              </w:rPr>
            </w:pPr>
            <w:proofErr w:type="spellStart"/>
            <w:r w:rsidRPr="00AE08D4">
              <w:rPr>
                <w:rFonts w:ascii="Arial Narrow" w:hAnsi="Arial Narrow" w:cs="Calibri"/>
                <w:b/>
                <w:bCs/>
                <w:color w:val="000000"/>
                <w:sz w:val="16"/>
                <w:szCs w:val="16"/>
                <w:lang w:val="en-US" w:eastAsia="en-US"/>
              </w:rPr>
              <w:t>Componente</w:t>
            </w:r>
            <w:proofErr w:type="spellEnd"/>
          </w:p>
        </w:tc>
        <w:tc>
          <w:tcPr>
            <w:tcW w:w="1477" w:type="dxa"/>
            <w:tcBorders>
              <w:top w:val="single" w:sz="4" w:space="0" w:color="auto"/>
              <w:left w:val="nil"/>
              <w:bottom w:val="single" w:sz="4" w:space="0" w:color="auto"/>
              <w:right w:val="single" w:sz="4" w:space="0" w:color="auto"/>
            </w:tcBorders>
            <w:shd w:val="clear" w:color="auto" w:fill="FFFFFF"/>
            <w:vAlign w:val="center"/>
            <w:hideMark/>
          </w:tcPr>
          <w:p w14:paraId="3D68B00F" w14:textId="77777777" w:rsidR="00C917C3" w:rsidRPr="00AE08D4" w:rsidRDefault="28D31204" w:rsidP="00AE08D4">
            <w:pPr>
              <w:spacing w:line="276" w:lineRule="auto"/>
              <w:ind w:left="0" w:firstLine="0"/>
              <w:jc w:val="center"/>
              <w:rPr>
                <w:rFonts w:ascii="Arial Narrow" w:hAnsi="Arial Narrow" w:cs="Calibri"/>
                <w:b/>
                <w:bCs/>
                <w:color w:val="000000"/>
                <w:sz w:val="16"/>
                <w:szCs w:val="16"/>
                <w:lang w:val="en-US" w:eastAsia="en-US"/>
              </w:rPr>
            </w:pPr>
            <w:r w:rsidRPr="00AE08D4">
              <w:rPr>
                <w:rFonts w:ascii="Arial Narrow" w:hAnsi="Arial Narrow" w:cs="Calibri"/>
                <w:b/>
                <w:bCs/>
                <w:color w:val="000000"/>
                <w:sz w:val="16"/>
                <w:szCs w:val="16"/>
                <w:lang w:val="en-US" w:eastAsia="en-US"/>
              </w:rPr>
              <w:t>BID</w:t>
            </w:r>
          </w:p>
        </w:tc>
        <w:tc>
          <w:tcPr>
            <w:tcW w:w="978" w:type="dxa"/>
            <w:tcBorders>
              <w:top w:val="single" w:sz="4" w:space="0" w:color="auto"/>
              <w:left w:val="nil"/>
              <w:bottom w:val="single" w:sz="4" w:space="0" w:color="auto"/>
              <w:right w:val="single" w:sz="4" w:space="0" w:color="auto"/>
            </w:tcBorders>
            <w:shd w:val="clear" w:color="auto" w:fill="FFFFFF"/>
            <w:vAlign w:val="center"/>
            <w:hideMark/>
          </w:tcPr>
          <w:p w14:paraId="74370324" w14:textId="77777777" w:rsidR="00C917C3" w:rsidRPr="00AE08D4" w:rsidRDefault="28D31204" w:rsidP="00AE08D4">
            <w:pPr>
              <w:spacing w:line="276" w:lineRule="auto"/>
              <w:ind w:left="0" w:firstLine="0"/>
              <w:jc w:val="center"/>
              <w:rPr>
                <w:rFonts w:ascii="Arial Narrow" w:hAnsi="Arial Narrow" w:cs="Calibri"/>
                <w:b/>
                <w:bCs/>
                <w:color w:val="000000"/>
                <w:sz w:val="16"/>
                <w:szCs w:val="16"/>
                <w:lang w:val="en-US" w:eastAsia="en-US"/>
              </w:rPr>
            </w:pPr>
            <w:r w:rsidRPr="00AE08D4">
              <w:rPr>
                <w:rFonts w:ascii="Arial Narrow" w:hAnsi="Arial Narrow" w:cs="Calibri"/>
                <w:b/>
                <w:bCs/>
                <w:color w:val="000000"/>
                <w:sz w:val="16"/>
                <w:szCs w:val="16"/>
                <w:lang w:val="en-US" w:eastAsia="en-US"/>
              </w:rPr>
              <w:t>Local</w:t>
            </w:r>
          </w:p>
        </w:tc>
        <w:tc>
          <w:tcPr>
            <w:tcW w:w="1093" w:type="dxa"/>
            <w:tcBorders>
              <w:top w:val="single" w:sz="4" w:space="0" w:color="auto"/>
              <w:left w:val="nil"/>
              <w:bottom w:val="single" w:sz="4" w:space="0" w:color="auto"/>
              <w:right w:val="single" w:sz="4" w:space="0" w:color="auto"/>
            </w:tcBorders>
            <w:shd w:val="clear" w:color="auto" w:fill="FFFFFF"/>
            <w:vAlign w:val="center"/>
            <w:hideMark/>
          </w:tcPr>
          <w:p w14:paraId="7D807828" w14:textId="77777777" w:rsidR="00C917C3" w:rsidRPr="00AE08D4" w:rsidRDefault="28D31204" w:rsidP="00AE08D4">
            <w:pPr>
              <w:spacing w:line="276" w:lineRule="auto"/>
              <w:ind w:left="0" w:firstLine="0"/>
              <w:jc w:val="center"/>
              <w:rPr>
                <w:rFonts w:ascii="Arial Narrow" w:hAnsi="Arial Narrow" w:cs="Calibri"/>
                <w:b/>
                <w:bCs/>
                <w:color w:val="000000"/>
                <w:sz w:val="16"/>
                <w:szCs w:val="16"/>
                <w:lang w:val="en-US" w:eastAsia="en-US"/>
              </w:rPr>
            </w:pPr>
            <w:r w:rsidRPr="00AE08D4">
              <w:rPr>
                <w:rFonts w:ascii="Arial Narrow" w:hAnsi="Arial Narrow" w:cs="Calibri"/>
                <w:b/>
                <w:bCs/>
                <w:color w:val="000000"/>
                <w:sz w:val="16"/>
                <w:szCs w:val="16"/>
                <w:lang w:val="en-US" w:eastAsia="en-US"/>
              </w:rPr>
              <w:t>Total</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448E8EF1" w14:textId="77777777" w:rsidR="00C917C3" w:rsidRPr="00AE08D4" w:rsidRDefault="28D31204" w:rsidP="00AE08D4">
            <w:pPr>
              <w:spacing w:line="276" w:lineRule="auto"/>
              <w:ind w:left="0" w:firstLine="0"/>
              <w:jc w:val="center"/>
              <w:rPr>
                <w:rFonts w:ascii="Arial Narrow" w:hAnsi="Arial Narrow" w:cs="Calibri"/>
                <w:b/>
                <w:bCs/>
                <w:color w:val="000000"/>
                <w:sz w:val="16"/>
                <w:szCs w:val="16"/>
                <w:lang w:val="en-US" w:eastAsia="en-US"/>
              </w:rPr>
            </w:pPr>
            <w:r w:rsidRPr="00AE08D4">
              <w:rPr>
                <w:rFonts w:ascii="Arial Narrow" w:hAnsi="Arial Narrow" w:cs="Calibri"/>
                <w:b/>
                <w:bCs/>
                <w:color w:val="000000"/>
                <w:sz w:val="16"/>
                <w:szCs w:val="16"/>
                <w:lang w:val="en-US" w:eastAsia="en-US"/>
              </w:rPr>
              <w:t>%</w:t>
            </w:r>
          </w:p>
        </w:tc>
      </w:tr>
      <w:tr w:rsidR="009B1CB3" w:rsidRPr="00AE08D4" w14:paraId="70DD0EFA" w14:textId="77777777" w:rsidTr="00442339">
        <w:trPr>
          <w:trHeight w:val="49"/>
          <w:jc w:val="center"/>
        </w:trPr>
        <w:tc>
          <w:tcPr>
            <w:tcW w:w="4282" w:type="dxa"/>
            <w:tcBorders>
              <w:top w:val="nil"/>
              <w:left w:val="single" w:sz="4" w:space="0" w:color="auto"/>
              <w:bottom w:val="single" w:sz="4" w:space="0" w:color="auto"/>
              <w:right w:val="single" w:sz="4" w:space="0" w:color="auto"/>
            </w:tcBorders>
            <w:shd w:val="clear" w:color="auto" w:fill="F2F2F2"/>
            <w:vAlign w:val="center"/>
          </w:tcPr>
          <w:p w14:paraId="44BD8DBA" w14:textId="6AD45F83" w:rsidR="009B1CB3" w:rsidRPr="00AE08D4" w:rsidRDefault="009B1CB3" w:rsidP="00AE08D4">
            <w:pPr>
              <w:spacing w:line="276" w:lineRule="auto"/>
              <w:ind w:left="0" w:firstLine="0"/>
              <w:jc w:val="left"/>
              <w:rPr>
                <w:rFonts w:ascii="Arial Narrow" w:hAnsi="Arial Narrow" w:cs="Calibri"/>
                <w:b/>
                <w:bCs/>
                <w:color w:val="000000"/>
                <w:sz w:val="16"/>
                <w:szCs w:val="16"/>
                <w:lang w:eastAsia="en-US"/>
              </w:rPr>
            </w:pPr>
            <w:r w:rsidRPr="00AE08D4">
              <w:rPr>
                <w:rFonts w:ascii="Arial Narrow" w:hAnsi="Arial Narrow"/>
                <w:b/>
                <w:bCs/>
                <w:sz w:val="16"/>
                <w:szCs w:val="16"/>
              </w:rPr>
              <w:t xml:space="preserve">Componente 1. Ampliación y equipamiento de la infraestructura escolar </w:t>
            </w:r>
          </w:p>
        </w:tc>
        <w:tc>
          <w:tcPr>
            <w:tcW w:w="1477" w:type="dxa"/>
            <w:tcBorders>
              <w:top w:val="nil"/>
              <w:left w:val="nil"/>
              <w:bottom w:val="single" w:sz="4" w:space="0" w:color="auto"/>
              <w:right w:val="single" w:sz="4" w:space="0" w:color="auto"/>
            </w:tcBorders>
            <w:shd w:val="clear" w:color="auto" w:fill="F2F2F2"/>
            <w:vAlign w:val="center"/>
          </w:tcPr>
          <w:p w14:paraId="36F2E213" w14:textId="70611BE0"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39.984 </w:t>
            </w:r>
          </w:p>
        </w:tc>
        <w:tc>
          <w:tcPr>
            <w:tcW w:w="978" w:type="dxa"/>
            <w:tcBorders>
              <w:top w:val="nil"/>
              <w:left w:val="nil"/>
              <w:bottom w:val="single" w:sz="4" w:space="0" w:color="auto"/>
              <w:right w:val="single" w:sz="4" w:space="0" w:color="auto"/>
            </w:tcBorders>
            <w:shd w:val="clear" w:color="auto" w:fill="F2F2F2"/>
            <w:vAlign w:val="center"/>
          </w:tcPr>
          <w:p w14:paraId="1ED7D403" w14:textId="587740CE"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10.425 </w:t>
            </w:r>
          </w:p>
        </w:tc>
        <w:tc>
          <w:tcPr>
            <w:tcW w:w="1093" w:type="dxa"/>
            <w:tcBorders>
              <w:top w:val="nil"/>
              <w:left w:val="nil"/>
              <w:bottom w:val="single" w:sz="4" w:space="0" w:color="auto"/>
              <w:right w:val="single" w:sz="4" w:space="0" w:color="auto"/>
            </w:tcBorders>
            <w:shd w:val="clear" w:color="auto" w:fill="F2F2F2"/>
            <w:vAlign w:val="center"/>
          </w:tcPr>
          <w:p w14:paraId="58ED3A26" w14:textId="71FE1658"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50.409 </w:t>
            </w:r>
          </w:p>
        </w:tc>
        <w:tc>
          <w:tcPr>
            <w:tcW w:w="986" w:type="dxa"/>
            <w:tcBorders>
              <w:top w:val="nil"/>
              <w:left w:val="nil"/>
              <w:bottom w:val="single" w:sz="4" w:space="0" w:color="auto"/>
              <w:right w:val="single" w:sz="4" w:space="0" w:color="auto"/>
            </w:tcBorders>
            <w:shd w:val="clear" w:color="auto" w:fill="F2F2F2"/>
            <w:vAlign w:val="center"/>
          </w:tcPr>
          <w:p w14:paraId="1FDCB373" w14:textId="3BAC234F"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77,6 </w:t>
            </w:r>
          </w:p>
        </w:tc>
      </w:tr>
      <w:tr w:rsidR="009B1CB3" w:rsidRPr="00AE08D4" w14:paraId="2152A783" w14:textId="77777777" w:rsidTr="00442339">
        <w:trPr>
          <w:trHeight w:val="303"/>
          <w:jc w:val="center"/>
        </w:trPr>
        <w:tc>
          <w:tcPr>
            <w:tcW w:w="4282" w:type="dxa"/>
            <w:tcBorders>
              <w:top w:val="nil"/>
              <w:left w:val="single" w:sz="4" w:space="0" w:color="auto"/>
              <w:bottom w:val="single" w:sz="4" w:space="0" w:color="auto"/>
              <w:right w:val="single" w:sz="4" w:space="0" w:color="auto"/>
            </w:tcBorders>
            <w:shd w:val="clear" w:color="auto" w:fill="FFFFFF"/>
            <w:vAlign w:val="center"/>
          </w:tcPr>
          <w:p w14:paraId="6B94829B" w14:textId="682B169E" w:rsidR="009B1CB3" w:rsidRPr="00AE08D4" w:rsidRDefault="009B1CB3" w:rsidP="00AE08D4">
            <w:pPr>
              <w:spacing w:line="276" w:lineRule="auto"/>
              <w:ind w:leftChars="144" w:left="346" w:firstLine="0"/>
              <w:jc w:val="left"/>
              <w:rPr>
                <w:rFonts w:ascii="Arial Narrow" w:hAnsi="Arial Narrow" w:cs="Calibri"/>
                <w:color w:val="000000"/>
                <w:sz w:val="16"/>
                <w:szCs w:val="16"/>
                <w:lang w:eastAsia="en-US"/>
              </w:rPr>
            </w:pPr>
            <w:r w:rsidRPr="00AE08D4">
              <w:rPr>
                <w:rFonts w:ascii="Arial Narrow" w:hAnsi="Arial Narrow"/>
                <w:sz w:val="16"/>
                <w:szCs w:val="16"/>
              </w:rPr>
              <w:t xml:space="preserve">1.1. Adecuación de los centros para jornada extendida </w:t>
            </w:r>
          </w:p>
        </w:tc>
        <w:tc>
          <w:tcPr>
            <w:tcW w:w="1477" w:type="dxa"/>
            <w:tcBorders>
              <w:top w:val="nil"/>
              <w:left w:val="nil"/>
              <w:bottom w:val="single" w:sz="4" w:space="0" w:color="auto"/>
              <w:right w:val="single" w:sz="4" w:space="0" w:color="auto"/>
            </w:tcBorders>
            <w:shd w:val="clear" w:color="auto" w:fill="FFFFFF"/>
            <w:vAlign w:val="center"/>
          </w:tcPr>
          <w:p w14:paraId="3B6362D4" w14:textId="6F7E1537"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4.984 </w:t>
            </w:r>
          </w:p>
        </w:tc>
        <w:tc>
          <w:tcPr>
            <w:tcW w:w="978" w:type="dxa"/>
            <w:tcBorders>
              <w:top w:val="nil"/>
              <w:left w:val="nil"/>
              <w:bottom w:val="single" w:sz="4" w:space="0" w:color="auto"/>
              <w:right w:val="single" w:sz="4" w:space="0" w:color="auto"/>
            </w:tcBorders>
            <w:shd w:val="clear" w:color="auto" w:fill="FFFFFF"/>
            <w:vAlign w:val="center"/>
          </w:tcPr>
          <w:p w14:paraId="6ED335DB" w14:textId="5300CD93"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0.625 </w:t>
            </w:r>
          </w:p>
        </w:tc>
        <w:tc>
          <w:tcPr>
            <w:tcW w:w="1093" w:type="dxa"/>
            <w:tcBorders>
              <w:top w:val="nil"/>
              <w:left w:val="nil"/>
              <w:bottom w:val="single" w:sz="4" w:space="0" w:color="auto"/>
              <w:right w:val="single" w:sz="4" w:space="0" w:color="auto"/>
            </w:tcBorders>
            <w:shd w:val="clear" w:color="auto" w:fill="FFFFFF"/>
            <w:vAlign w:val="center"/>
          </w:tcPr>
          <w:p w14:paraId="37C60068" w14:textId="60DB5E23"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5.609 </w:t>
            </w:r>
          </w:p>
        </w:tc>
        <w:tc>
          <w:tcPr>
            <w:tcW w:w="986" w:type="dxa"/>
            <w:tcBorders>
              <w:top w:val="nil"/>
              <w:left w:val="nil"/>
              <w:bottom w:val="single" w:sz="4" w:space="0" w:color="auto"/>
              <w:right w:val="single" w:sz="4" w:space="0" w:color="auto"/>
            </w:tcBorders>
            <w:shd w:val="clear" w:color="auto" w:fill="FFFFFF"/>
            <w:vAlign w:val="center"/>
          </w:tcPr>
          <w:p w14:paraId="420A5459" w14:textId="6C40E5B5"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p>
        </w:tc>
      </w:tr>
      <w:tr w:rsidR="009B1CB3" w:rsidRPr="00AE08D4" w14:paraId="7B6766B7" w14:textId="77777777" w:rsidTr="00442339">
        <w:trPr>
          <w:trHeight w:val="303"/>
          <w:jc w:val="center"/>
        </w:trPr>
        <w:tc>
          <w:tcPr>
            <w:tcW w:w="4282" w:type="dxa"/>
            <w:tcBorders>
              <w:top w:val="nil"/>
              <w:left w:val="single" w:sz="4" w:space="0" w:color="auto"/>
              <w:bottom w:val="single" w:sz="4" w:space="0" w:color="auto"/>
              <w:right w:val="single" w:sz="4" w:space="0" w:color="auto"/>
            </w:tcBorders>
            <w:shd w:val="clear" w:color="auto" w:fill="FFFFFF"/>
            <w:vAlign w:val="center"/>
          </w:tcPr>
          <w:p w14:paraId="4C0EF9F5" w14:textId="580F9BA4" w:rsidR="009B1CB3" w:rsidRPr="00AE08D4" w:rsidRDefault="009B1CB3" w:rsidP="00AE08D4">
            <w:pPr>
              <w:spacing w:line="276" w:lineRule="auto"/>
              <w:ind w:leftChars="144" w:left="346" w:firstLine="0"/>
              <w:jc w:val="left"/>
              <w:rPr>
                <w:rFonts w:ascii="Arial Narrow" w:hAnsi="Arial Narrow" w:cs="Calibri"/>
                <w:color w:val="000000"/>
                <w:sz w:val="16"/>
                <w:szCs w:val="16"/>
                <w:lang w:eastAsia="en-US"/>
              </w:rPr>
            </w:pPr>
            <w:r w:rsidRPr="00AE08D4">
              <w:rPr>
                <w:rFonts w:ascii="Arial Narrow" w:hAnsi="Arial Narrow"/>
                <w:sz w:val="16"/>
                <w:szCs w:val="16"/>
              </w:rPr>
              <w:t xml:space="preserve">1.2. Construcción y equipamiento de aulas de educación básica </w:t>
            </w:r>
          </w:p>
        </w:tc>
        <w:tc>
          <w:tcPr>
            <w:tcW w:w="1477" w:type="dxa"/>
            <w:tcBorders>
              <w:top w:val="nil"/>
              <w:left w:val="nil"/>
              <w:bottom w:val="single" w:sz="4" w:space="0" w:color="auto"/>
              <w:right w:val="single" w:sz="4" w:space="0" w:color="auto"/>
            </w:tcBorders>
            <w:shd w:val="clear" w:color="auto" w:fill="FFFFFF"/>
            <w:vAlign w:val="center"/>
          </w:tcPr>
          <w:p w14:paraId="75981979" w14:textId="443DAFDE"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12.320 </w:t>
            </w:r>
          </w:p>
        </w:tc>
        <w:tc>
          <w:tcPr>
            <w:tcW w:w="978" w:type="dxa"/>
            <w:tcBorders>
              <w:top w:val="nil"/>
              <w:left w:val="nil"/>
              <w:bottom w:val="single" w:sz="4" w:space="0" w:color="auto"/>
              <w:right w:val="single" w:sz="4" w:space="0" w:color="auto"/>
            </w:tcBorders>
            <w:shd w:val="clear" w:color="auto" w:fill="FFFFFF"/>
            <w:vAlign w:val="center"/>
          </w:tcPr>
          <w:p w14:paraId="67161F41" w14:textId="0D90B95C"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2.552 </w:t>
            </w:r>
          </w:p>
        </w:tc>
        <w:tc>
          <w:tcPr>
            <w:tcW w:w="1093" w:type="dxa"/>
            <w:tcBorders>
              <w:top w:val="nil"/>
              <w:left w:val="nil"/>
              <w:bottom w:val="single" w:sz="4" w:space="0" w:color="auto"/>
              <w:right w:val="single" w:sz="4" w:space="0" w:color="auto"/>
            </w:tcBorders>
            <w:shd w:val="clear" w:color="auto" w:fill="FFFFFF"/>
            <w:vAlign w:val="center"/>
          </w:tcPr>
          <w:p w14:paraId="56B9FAD2" w14:textId="0423AC82"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14.872 </w:t>
            </w:r>
          </w:p>
        </w:tc>
        <w:tc>
          <w:tcPr>
            <w:tcW w:w="986" w:type="dxa"/>
            <w:tcBorders>
              <w:top w:val="nil"/>
              <w:left w:val="nil"/>
              <w:bottom w:val="single" w:sz="4" w:space="0" w:color="auto"/>
              <w:right w:val="single" w:sz="4" w:space="0" w:color="auto"/>
            </w:tcBorders>
            <w:shd w:val="clear" w:color="auto" w:fill="FFFFFF"/>
            <w:vAlign w:val="center"/>
          </w:tcPr>
          <w:p w14:paraId="37D82DF2" w14:textId="77777777"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p>
        </w:tc>
      </w:tr>
      <w:tr w:rsidR="009B1CB3" w:rsidRPr="00AE08D4" w14:paraId="09794642" w14:textId="77777777" w:rsidTr="00442339">
        <w:trPr>
          <w:trHeight w:val="67"/>
          <w:jc w:val="center"/>
        </w:trPr>
        <w:tc>
          <w:tcPr>
            <w:tcW w:w="4282" w:type="dxa"/>
            <w:tcBorders>
              <w:top w:val="nil"/>
              <w:left w:val="single" w:sz="4" w:space="0" w:color="auto"/>
              <w:bottom w:val="single" w:sz="4" w:space="0" w:color="auto"/>
              <w:right w:val="single" w:sz="4" w:space="0" w:color="auto"/>
            </w:tcBorders>
            <w:shd w:val="clear" w:color="auto" w:fill="FFFFFF"/>
            <w:vAlign w:val="center"/>
          </w:tcPr>
          <w:p w14:paraId="7AF10382" w14:textId="69D2C029" w:rsidR="009B1CB3" w:rsidRPr="00AE08D4" w:rsidRDefault="009B1CB3" w:rsidP="00AE08D4">
            <w:pPr>
              <w:spacing w:line="276" w:lineRule="auto"/>
              <w:ind w:leftChars="144" w:left="346" w:firstLine="0"/>
              <w:jc w:val="left"/>
              <w:rPr>
                <w:rFonts w:ascii="Arial Narrow" w:hAnsi="Arial Narrow" w:cs="Calibri"/>
                <w:color w:val="000000"/>
                <w:sz w:val="16"/>
                <w:szCs w:val="16"/>
                <w:lang w:eastAsia="en-US"/>
              </w:rPr>
            </w:pPr>
            <w:r w:rsidRPr="00AE08D4">
              <w:rPr>
                <w:rFonts w:ascii="Arial Narrow" w:hAnsi="Arial Narrow"/>
                <w:sz w:val="16"/>
                <w:szCs w:val="16"/>
              </w:rPr>
              <w:t xml:space="preserve">1.3. Construcción y equipamiento de aulas de educación media </w:t>
            </w:r>
          </w:p>
        </w:tc>
        <w:tc>
          <w:tcPr>
            <w:tcW w:w="1477" w:type="dxa"/>
            <w:tcBorders>
              <w:top w:val="nil"/>
              <w:left w:val="nil"/>
              <w:bottom w:val="single" w:sz="4" w:space="0" w:color="auto"/>
              <w:right w:val="single" w:sz="4" w:space="0" w:color="auto"/>
            </w:tcBorders>
            <w:shd w:val="clear" w:color="auto" w:fill="FFFFFF"/>
            <w:vAlign w:val="center"/>
          </w:tcPr>
          <w:p w14:paraId="0B2097E7" w14:textId="24FE4056"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22.680 </w:t>
            </w:r>
          </w:p>
        </w:tc>
        <w:tc>
          <w:tcPr>
            <w:tcW w:w="978" w:type="dxa"/>
            <w:tcBorders>
              <w:top w:val="nil"/>
              <w:left w:val="nil"/>
              <w:bottom w:val="single" w:sz="4" w:space="0" w:color="auto"/>
              <w:right w:val="single" w:sz="4" w:space="0" w:color="auto"/>
            </w:tcBorders>
            <w:shd w:val="clear" w:color="auto" w:fill="FFFFFF"/>
            <w:vAlign w:val="center"/>
          </w:tcPr>
          <w:p w14:paraId="7C702E30" w14:textId="48F6D67E"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7.248 </w:t>
            </w:r>
          </w:p>
        </w:tc>
        <w:tc>
          <w:tcPr>
            <w:tcW w:w="1093" w:type="dxa"/>
            <w:tcBorders>
              <w:top w:val="nil"/>
              <w:left w:val="nil"/>
              <w:bottom w:val="single" w:sz="4" w:space="0" w:color="auto"/>
              <w:right w:val="single" w:sz="4" w:space="0" w:color="auto"/>
            </w:tcBorders>
            <w:shd w:val="clear" w:color="auto" w:fill="FFFFFF"/>
            <w:vAlign w:val="center"/>
          </w:tcPr>
          <w:p w14:paraId="76A8ED42" w14:textId="408F82E7"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sz w:val="16"/>
                <w:szCs w:val="16"/>
              </w:rPr>
              <w:t xml:space="preserve">29.928 </w:t>
            </w:r>
          </w:p>
        </w:tc>
        <w:tc>
          <w:tcPr>
            <w:tcW w:w="986" w:type="dxa"/>
            <w:tcBorders>
              <w:top w:val="nil"/>
              <w:left w:val="nil"/>
              <w:bottom w:val="single" w:sz="4" w:space="0" w:color="auto"/>
              <w:right w:val="single" w:sz="4" w:space="0" w:color="auto"/>
            </w:tcBorders>
            <w:shd w:val="clear" w:color="auto" w:fill="FFFFFF"/>
            <w:vAlign w:val="center"/>
          </w:tcPr>
          <w:p w14:paraId="49A2E6B3" w14:textId="079CEB0B" w:rsidR="009B1CB3" w:rsidRPr="00AE08D4" w:rsidRDefault="009B1CB3" w:rsidP="00AE08D4">
            <w:pPr>
              <w:spacing w:line="276" w:lineRule="auto"/>
              <w:ind w:left="0" w:firstLine="0"/>
              <w:jc w:val="right"/>
              <w:rPr>
                <w:rFonts w:ascii="Arial Narrow" w:hAnsi="Arial Narrow" w:cs="Calibri"/>
                <w:color w:val="000000"/>
                <w:sz w:val="16"/>
                <w:szCs w:val="16"/>
                <w:lang w:val="en-US" w:eastAsia="en-US"/>
              </w:rPr>
            </w:pPr>
          </w:p>
        </w:tc>
      </w:tr>
      <w:tr w:rsidR="00C917C3" w:rsidRPr="00AE08D4" w14:paraId="2D98B7B3" w14:textId="77777777" w:rsidTr="00442339">
        <w:trPr>
          <w:trHeight w:val="90"/>
          <w:jc w:val="center"/>
        </w:trPr>
        <w:tc>
          <w:tcPr>
            <w:tcW w:w="4282" w:type="dxa"/>
            <w:tcBorders>
              <w:top w:val="nil"/>
              <w:left w:val="nil"/>
              <w:bottom w:val="nil"/>
              <w:right w:val="nil"/>
            </w:tcBorders>
            <w:shd w:val="clear" w:color="auto" w:fill="FFFFFF"/>
            <w:vAlign w:val="center"/>
          </w:tcPr>
          <w:p w14:paraId="0C8914AB" w14:textId="50482E30" w:rsidR="00C917C3" w:rsidRPr="00AE08D4" w:rsidRDefault="00C917C3" w:rsidP="00AE08D4">
            <w:pPr>
              <w:spacing w:line="276" w:lineRule="auto"/>
              <w:ind w:left="0" w:firstLine="0"/>
              <w:jc w:val="left"/>
              <w:rPr>
                <w:rFonts w:ascii="Arial Narrow" w:hAnsi="Arial Narrow" w:cs="Calibri"/>
                <w:b/>
                <w:bCs/>
                <w:color w:val="000000"/>
                <w:sz w:val="16"/>
                <w:szCs w:val="16"/>
                <w:lang w:val="en-US" w:eastAsia="en-US"/>
              </w:rPr>
            </w:pPr>
          </w:p>
        </w:tc>
        <w:tc>
          <w:tcPr>
            <w:tcW w:w="1477" w:type="dxa"/>
            <w:tcBorders>
              <w:top w:val="nil"/>
              <w:left w:val="nil"/>
              <w:bottom w:val="nil"/>
              <w:right w:val="nil"/>
            </w:tcBorders>
            <w:shd w:val="clear" w:color="auto" w:fill="FFFFFF"/>
            <w:vAlign w:val="center"/>
          </w:tcPr>
          <w:p w14:paraId="01EA8A90" w14:textId="22346D0C"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978" w:type="dxa"/>
            <w:tcBorders>
              <w:top w:val="nil"/>
              <w:left w:val="nil"/>
              <w:bottom w:val="nil"/>
              <w:right w:val="nil"/>
            </w:tcBorders>
            <w:shd w:val="clear" w:color="auto" w:fill="FFFFFF"/>
            <w:vAlign w:val="center"/>
          </w:tcPr>
          <w:p w14:paraId="1DD270C2" w14:textId="5E349491"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1093" w:type="dxa"/>
            <w:tcBorders>
              <w:top w:val="nil"/>
              <w:left w:val="nil"/>
              <w:bottom w:val="nil"/>
              <w:right w:val="nil"/>
            </w:tcBorders>
            <w:shd w:val="clear" w:color="auto" w:fill="FFFFFF"/>
            <w:vAlign w:val="center"/>
          </w:tcPr>
          <w:p w14:paraId="2D3C9008" w14:textId="7547CA9B"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986" w:type="dxa"/>
            <w:tcBorders>
              <w:top w:val="nil"/>
              <w:left w:val="nil"/>
              <w:bottom w:val="nil"/>
              <w:right w:val="nil"/>
            </w:tcBorders>
            <w:shd w:val="clear" w:color="auto" w:fill="FFFFFF"/>
            <w:vAlign w:val="center"/>
          </w:tcPr>
          <w:p w14:paraId="076E4D50" w14:textId="7EBB5F66"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r>
      <w:tr w:rsidR="009B1CB3" w:rsidRPr="00AE08D4" w14:paraId="02C5FDCF" w14:textId="77777777" w:rsidTr="00442339">
        <w:trPr>
          <w:trHeight w:val="101"/>
          <w:jc w:val="center"/>
        </w:trPr>
        <w:tc>
          <w:tcPr>
            <w:tcW w:w="4282" w:type="dxa"/>
            <w:tcBorders>
              <w:top w:val="single" w:sz="4" w:space="0" w:color="auto"/>
              <w:left w:val="single" w:sz="4" w:space="0" w:color="auto"/>
              <w:bottom w:val="single" w:sz="4" w:space="0" w:color="auto"/>
              <w:right w:val="single" w:sz="4" w:space="0" w:color="auto"/>
            </w:tcBorders>
            <w:shd w:val="clear" w:color="auto" w:fill="F2F2F2"/>
            <w:vAlign w:val="center"/>
          </w:tcPr>
          <w:p w14:paraId="56CC2C5C" w14:textId="3285C79A" w:rsidR="009B1CB3" w:rsidRPr="00AE08D4" w:rsidRDefault="009B1CB3" w:rsidP="00AE08D4">
            <w:pPr>
              <w:spacing w:line="276" w:lineRule="auto"/>
              <w:ind w:left="0" w:firstLine="0"/>
              <w:jc w:val="left"/>
              <w:rPr>
                <w:rFonts w:ascii="Arial Narrow" w:hAnsi="Arial Narrow" w:cs="Calibri"/>
                <w:b/>
                <w:bCs/>
                <w:color w:val="000000"/>
                <w:sz w:val="16"/>
                <w:szCs w:val="16"/>
                <w:lang w:eastAsia="en-US"/>
              </w:rPr>
            </w:pPr>
            <w:r w:rsidRPr="00AE08D4">
              <w:rPr>
                <w:rFonts w:ascii="Arial Narrow" w:hAnsi="Arial Narrow"/>
                <w:b/>
                <w:bCs/>
                <w:sz w:val="16"/>
                <w:szCs w:val="16"/>
              </w:rPr>
              <w:t xml:space="preserve">Componente 2. Mejora de la calidad de la educación básica </w:t>
            </w:r>
          </w:p>
        </w:tc>
        <w:tc>
          <w:tcPr>
            <w:tcW w:w="1477" w:type="dxa"/>
            <w:tcBorders>
              <w:top w:val="single" w:sz="4" w:space="0" w:color="auto"/>
              <w:left w:val="nil"/>
              <w:bottom w:val="single" w:sz="4" w:space="0" w:color="auto"/>
              <w:right w:val="single" w:sz="4" w:space="0" w:color="auto"/>
            </w:tcBorders>
            <w:shd w:val="clear" w:color="auto" w:fill="F2F2F2"/>
            <w:vAlign w:val="center"/>
          </w:tcPr>
          <w:p w14:paraId="71CEB98F" w14:textId="51473AE2"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9.040 </w:t>
            </w:r>
          </w:p>
        </w:tc>
        <w:tc>
          <w:tcPr>
            <w:tcW w:w="978" w:type="dxa"/>
            <w:tcBorders>
              <w:top w:val="single" w:sz="4" w:space="0" w:color="auto"/>
              <w:left w:val="nil"/>
              <w:bottom w:val="single" w:sz="4" w:space="0" w:color="auto"/>
              <w:right w:val="single" w:sz="4" w:space="0" w:color="auto"/>
            </w:tcBorders>
            <w:shd w:val="clear" w:color="auto" w:fill="F2F2F2"/>
            <w:vAlign w:val="center"/>
          </w:tcPr>
          <w:p w14:paraId="22B1919F" w14:textId="34AAC512"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2.980 </w:t>
            </w:r>
          </w:p>
        </w:tc>
        <w:tc>
          <w:tcPr>
            <w:tcW w:w="1093" w:type="dxa"/>
            <w:tcBorders>
              <w:top w:val="single" w:sz="4" w:space="0" w:color="auto"/>
              <w:left w:val="nil"/>
              <w:bottom w:val="single" w:sz="4" w:space="0" w:color="auto"/>
              <w:right w:val="single" w:sz="4" w:space="0" w:color="auto"/>
            </w:tcBorders>
            <w:shd w:val="clear" w:color="auto" w:fill="F2F2F2"/>
            <w:vAlign w:val="center"/>
          </w:tcPr>
          <w:p w14:paraId="112C3F2E" w14:textId="16571CA2"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12.020 </w:t>
            </w:r>
          </w:p>
        </w:tc>
        <w:tc>
          <w:tcPr>
            <w:tcW w:w="986" w:type="dxa"/>
            <w:tcBorders>
              <w:top w:val="single" w:sz="4" w:space="0" w:color="auto"/>
              <w:left w:val="nil"/>
              <w:bottom w:val="single" w:sz="4" w:space="0" w:color="auto"/>
              <w:right w:val="single" w:sz="4" w:space="0" w:color="auto"/>
            </w:tcBorders>
            <w:shd w:val="clear" w:color="auto" w:fill="F2F2F2"/>
            <w:vAlign w:val="center"/>
          </w:tcPr>
          <w:p w14:paraId="698086F3" w14:textId="26F22535" w:rsidR="009B1CB3" w:rsidRPr="00AE08D4" w:rsidRDefault="009B1CB3"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18,5 </w:t>
            </w:r>
          </w:p>
        </w:tc>
      </w:tr>
      <w:tr w:rsidR="00C917C3" w:rsidRPr="00AE08D4" w14:paraId="20196DD0" w14:textId="77777777" w:rsidTr="00442339">
        <w:trPr>
          <w:trHeight w:val="90"/>
          <w:jc w:val="center"/>
        </w:trPr>
        <w:tc>
          <w:tcPr>
            <w:tcW w:w="4282" w:type="dxa"/>
            <w:tcBorders>
              <w:top w:val="nil"/>
              <w:left w:val="nil"/>
              <w:bottom w:val="nil"/>
              <w:right w:val="nil"/>
            </w:tcBorders>
            <w:shd w:val="clear" w:color="auto" w:fill="FFFFFF"/>
            <w:vAlign w:val="center"/>
          </w:tcPr>
          <w:p w14:paraId="7BB48134" w14:textId="73E8150A" w:rsidR="00C917C3" w:rsidRPr="00AE08D4" w:rsidRDefault="00C917C3" w:rsidP="00AE08D4">
            <w:pPr>
              <w:spacing w:line="276" w:lineRule="auto"/>
              <w:ind w:left="0" w:firstLine="0"/>
              <w:jc w:val="left"/>
              <w:rPr>
                <w:rFonts w:ascii="Arial Narrow" w:hAnsi="Arial Narrow" w:cs="Calibri"/>
                <w:color w:val="000000"/>
                <w:sz w:val="16"/>
                <w:szCs w:val="16"/>
                <w:lang w:val="en-US" w:eastAsia="en-US"/>
              </w:rPr>
            </w:pPr>
          </w:p>
        </w:tc>
        <w:tc>
          <w:tcPr>
            <w:tcW w:w="1477" w:type="dxa"/>
            <w:tcBorders>
              <w:top w:val="nil"/>
              <w:left w:val="nil"/>
              <w:bottom w:val="nil"/>
              <w:right w:val="nil"/>
            </w:tcBorders>
            <w:shd w:val="clear" w:color="auto" w:fill="FFFFFF"/>
            <w:vAlign w:val="center"/>
          </w:tcPr>
          <w:p w14:paraId="56CDA10C" w14:textId="4E00130F"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978" w:type="dxa"/>
            <w:tcBorders>
              <w:top w:val="nil"/>
              <w:left w:val="nil"/>
              <w:bottom w:val="nil"/>
              <w:right w:val="nil"/>
            </w:tcBorders>
            <w:shd w:val="clear" w:color="auto" w:fill="FFFFFF"/>
            <w:vAlign w:val="center"/>
          </w:tcPr>
          <w:p w14:paraId="29A83EA0" w14:textId="32A062EE"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1093" w:type="dxa"/>
            <w:tcBorders>
              <w:top w:val="nil"/>
              <w:left w:val="nil"/>
              <w:bottom w:val="nil"/>
              <w:right w:val="nil"/>
            </w:tcBorders>
            <w:shd w:val="clear" w:color="auto" w:fill="FFFFFF"/>
            <w:vAlign w:val="center"/>
          </w:tcPr>
          <w:p w14:paraId="36773DDE" w14:textId="3E0A77BD"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986" w:type="dxa"/>
            <w:tcBorders>
              <w:top w:val="nil"/>
              <w:left w:val="nil"/>
              <w:bottom w:val="nil"/>
              <w:right w:val="nil"/>
            </w:tcBorders>
            <w:shd w:val="clear" w:color="auto" w:fill="FFFFFF"/>
            <w:vAlign w:val="center"/>
          </w:tcPr>
          <w:p w14:paraId="178D3AE7" w14:textId="5F0AD7ED"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r>
      <w:tr w:rsidR="00AE08D4" w:rsidRPr="00AE08D4" w14:paraId="62CD2294" w14:textId="77777777" w:rsidTr="00442339">
        <w:trPr>
          <w:trHeight w:val="231"/>
          <w:jc w:val="center"/>
        </w:trPr>
        <w:tc>
          <w:tcPr>
            <w:tcW w:w="4282" w:type="dxa"/>
            <w:tcBorders>
              <w:top w:val="single" w:sz="4" w:space="0" w:color="auto"/>
              <w:left w:val="single" w:sz="4" w:space="0" w:color="auto"/>
              <w:bottom w:val="single" w:sz="4" w:space="0" w:color="auto"/>
              <w:right w:val="single" w:sz="4" w:space="0" w:color="auto"/>
            </w:tcBorders>
            <w:shd w:val="clear" w:color="auto" w:fill="F2F2F2"/>
            <w:vAlign w:val="center"/>
          </w:tcPr>
          <w:p w14:paraId="0A967964" w14:textId="3DEA8091" w:rsidR="00AE08D4" w:rsidRPr="00AE08D4" w:rsidRDefault="00AE08D4" w:rsidP="00AE08D4">
            <w:pPr>
              <w:spacing w:line="276" w:lineRule="auto"/>
              <w:ind w:left="0" w:firstLine="0"/>
              <w:jc w:val="left"/>
              <w:rPr>
                <w:rFonts w:ascii="Arial Narrow" w:hAnsi="Arial Narrow" w:cs="Calibri"/>
                <w:b/>
                <w:bCs/>
                <w:color w:val="000000"/>
                <w:sz w:val="16"/>
                <w:szCs w:val="16"/>
                <w:lang w:eastAsia="en-US"/>
              </w:rPr>
            </w:pPr>
            <w:r w:rsidRPr="00AE08D4">
              <w:rPr>
                <w:rFonts w:ascii="Arial Narrow" w:hAnsi="Arial Narrow"/>
                <w:b/>
                <w:bCs/>
                <w:sz w:val="16"/>
                <w:szCs w:val="16"/>
              </w:rPr>
              <w:t xml:space="preserve">Administración, monitoreo y evaluación </w:t>
            </w:r>
          </w:p>
        </w:tc>
        <w:tc>
          <w:tcPr>
            <w:tcW w:w="1477" w:type="dxa"/>
            <w:tcBorders>
              <w:top w:val="single" w:sz="4" w:space="0" w:color="auto"/>
              <w:left w:val="nil"/>
              <w:bottom w:val="single" w:sz="4" w:space="0" w:color="auto"/>
              <w:right w:val="single" w:sz="4" w:space="0" w:color="auto"/>
            </w:tcBorders>
            <w:shd w:val="clear" w:color="auto" w:fill="F2F2F2"/>
            <w:vAlign w:val="center"/>
          </w:tcPr>
          <w:p w14:paraId="49BBA6FA" w14:textId="68530F45"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0.976 </w:t>
            </w:r>
          </w:p>
        </w:tc>
        <w:tc>
          <w:tcPr>
            <w:tcW w:w="978" w:type="dxa"/>
            <w:tcBorders>
              <w:top w:val="single" w:sz="4" w:space="0" w:color="auto"/>
              <w:left w:val="nil"/>
              <w:bottom w:val="single" w:sz="4" w:space="0" w:color="auto"/>
              <w:right w:val="single" w:sz="4" w:space="0" w:color="auto"/>
            </w:tcBorders>
            <w:shd w:val="clear" w:color="auto" w:fill="F2F2F2"/>
            <w:vAlign w:val="center"/>
          </w:tcPr>
          <w:p w14:paraId="3F01A0C2" w14:textId="557DA6AD"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1.070 </w:t>
            </w:r>
          </w:p>
        </w:tc>
        <w:tc>
          <w:tcPr>
            <w:tcW w:w="1093" w:type="dxa"/>
            <w:tcBorders>
              <w:top w:val="single" w:sz="4" w:space="0" w:color="auto"/>
              <w:left w:val="nil"/>
              <w:bottom w:val="single" w:sz="4" w:space="0" w:color="auto"/>
              <w:right w:val="single" w:sz="4" w:space="0" w:color="auto"/>
            </w:tcBorders>
            <w:shd w:val="clear" w:color="auto" w:fill="F2F2F2"/>
            <w:vAlign w:val="center"/>
          </w:tcPr>
          <w:p w14:paraId="3C810772" w14:textId="5070282B"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2.046 </w:t>
            </w:r>
          </w:p>
        </w:tc>
        <w:tc>
          <w:tcPr>
            <w:tcW w:w="986" w:type="dxa"/>
            <w:tcBorders>
              <w:top w:val="single" w:sz="4" w:space="0" w:color="auto"/>
              <w:left w:val="nil"/>
              <w:bottom w:val="single" w:sz="4" w:space="0" w:color="auto"/>
              <w:right w:val="single" w:sz="4" w:space="0" w:color="auto"/>
            </w:tcBorders>
            <w:shd w:val="clear" w:color="auto" w:fill="F2F2F2"/>
            <w:vAlign w:val="center"/>
          </w:tcPr>
          <w:p w14:paraId="3D077981" w14:textId="79C1D3FB"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3,1 </w:t>
            </w:r>
          </w:p>
        </w:tc>
      </w:tr>
      <w:tr w:rsidR="00C917C3" w:rsidRPr="00AE08D4" w14:paraId="37A5CB96" w14:textId="77777777" w:rsidTr="00442339">
        <w:trPr>
          <w:trHeight w:val="90"/>
          <w:jc w:val="center"/>
        </w:trPr>
        <w:tc>
          <w:tcPr>
            <w:tcW w:w="4282" w:type="dxa"/>
            <w:tcBorders>
              <w:top w:val="nil"/>
              <w:left w:val="nil"/>
              <w:bottom w:val="nil"/>
              <w:right w:val="nil"/>
            </w:tcBorders>
            <w:shd w:val="clear" w:color="auto" w:fill="FFFFFF"/>
            <w:vAlign w:val="center"/>
          </w:tcPr>
          <w:p w14:paraId="223559FF" w14:textId="5E6C67F7" w:rsidR="00C917C3" w:rsidRPr="00AE08D4" w:rsidRDefault="00C917C3" w:rsidP="00AE08D4">
            <w:pPr>
              <w:spacing w:line="276" w:lineRule="auto"/>
              <w:ind w:left="0" w:firstLine="0"/>
              <w:jc w:val="left"/>
              <w:rPr>
                <w:rFonts w:ascii="Arial Narrow" w:hAnsi="Arial Narrow" w:cs="Calibri"/>
                <w:color w:val="000000"/>
                <w:sz w:val="16"/>
                <w:szCs w:val="16"/>
                <w:lang w:val="en-US" w:eastAsia="en-US"/>
              </w:rPr>
            </w:pPr>
          </w:p>
        </w:tc>
        <w:tc>
          <w:tcPr>
            <w:tcW w:w="1477" w:type="dxa"/>
            <w:tcBorders>
              <w:top w:val="nil"/>
              <w:left w:val="nil"/>
              <w:bottom w:val="nil"/>
              <w:right w:val="nil"/>
            </w:tcBorders>
            <w:shd w:val="clear" w:color="auto" w:fill="FFFFFF"/>
            <w:vAlign w:val="center"/>
          </w:tcPr>
          <w:p w14:paraId="73CA621A" w14:textId="03FB655E"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978" w:type="dxa"/>
            <w:tcBorders>
              <w:top w:val="nil"/>
              <w:left w:val="nil"/>
              <w:bottom w:val="nil"/>
              <w:right w:val="nil"/>
            </w:tcBorders>
            <w:shd w:val="clear" w:color="auto" w:fill="FFFFFF"/>
            <w:vAlign w:val="center"/>
          </w:tcPr>
          <w:p w14:paraId="362270D0" w14:textId="3294728D"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1093" w:type="dxa"/>
            <w:tcBorders>
              <w:top w:val="nil"/>
              <w:left w:val="nil"/>
              <w:bottom w:val="nil"/>
              <w:right w:val="nil"/>
            </w:tcBorders>
            <w:shd w:val="clear" w:color="auto" w:fill="FFFFFF"/>
            <w:vAlign w:val="center"/>
          </w:tcPr>
          <w:p w14:paraId="624EAEA8" w14:textId="53139DAA"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c>
          <w:tcPr>
            <w:tcW w:w="986" w:type="dxa"/>
            <w:tcBorders>
              <w:top w:val="nil"/>
              <w:left w:val="nil"/>
              <w:bottom w:val="nil"/>
              <w:right w:val="nil"/>
            </w:tcBorders>
            <w:shd w:val="clear" w:color="auto" w:fill="FFFFFF"/>
            <w:vAlign w:val="center"/>
          </w:tcPr>
          <w:p w14:paraId="7F8F4DBA" w14:textId="446ADFAC" w:rsidR="00C917C3" w:rsidRPr="00AE08D4" w:rsidRDefault="00C917C3" w:rsidP="00AE08D4">
            <w:pPr>
              <w:spacing w:line="276" w:lineRule="auto"/>
              <w:ind w:left="0" w:firstLine="0"/>
              <w:jc w:val="right"/>
              <w:rPr>
                <w:rFonts w:ascii="Arial Narrow" w:hAnsi="Arial Narrow" w:cs="Calibri"/>
                <w:color w:val="000000"/>
                <w:sz w:val="16"/>
                <w:szCs w:val="16"/>
                <w:lang w:val="en-US" w:eastAsia="en-US"/>
              </w:rPr>
            </w:pPr>
          </w:p>
        </w:tc>
      </w:tr>
      <w:tr w:rsidR="00AE08D4" w:rsidRPr="00AE08D4" w14:paraId="72BEDBB5" w14:textId="77777777" w:rsidTr="00442339">
        <w:trPr>
          <w:trHeight w:val="49"/>
          <w:jc w:val="center"/>
        </w:trPr>
        <w:tc>
          <w:tcPr>
            <w:tcW w:w="4282" w:type="dxa"/>
            <w:tcBorders>
              <w:top w:val="single" w:sz="4" w:space="0" w:color="auto"/>
              <w:left w:val="single" w:sz="4" w:space="0" w:color="auto"/>
              <w:bottom w:val="single" w:sz="4" w:space="0" w:color="auto"/>
              <w:right w:val="single" w:sz="4" w:space="0" w:color="auto"/>
            </w:tcBorders>
            <w:shd w:val="clear" w:color="auto" w:fill="F2F2F2"/>
            <w:vAlign w:val="center"/>
          </w:tcPr>
          <w:p w14:paraId="6E800C6F" w14:textId="17F54AEC" w:rsidR="00AE08D4" w:rsidRPr="00AE08D4" w:rsidRDefault="00AE08D4" w:rsidP="00AE08D4">
            <w:pPr>
              <w:spacing w:line="276" w:lineRule="auto"/>
              <w:ind w:left="0" w:firstLine="0"/>
              <w:jc w:val="left"/>
              <w:rPr>
                <w:rFonts w:ascii="Arial Narrow" w:hAnsi="Arial Narrow" w:cs="Calibri"/>
                <w:b/>
                <w:bCs/>
                <w:color w:val="000000"/>
                <w:sz w:val="16"/>
                <w:szCs w:val="16"/>
                <w:lang w:eastAsia="en-US"/>
              </w:rPr>
            </w:pPr>
            <w:r w:rsidRPr="00AE08D4">
              <w:rPr>
                <w:rFonts w:ascii="Arial Narrow" w:hAnsi="Arial Narrow"/>
                <w:b/>
                <w:bCs/>
                <w:sz w:val="16"/>
                <w:szCs w:val="16"/>
              </w:rPr>
              <w:t xml:space="preserve">Imprevistos </w:t>
            </w:r>
          </w:p>
        </w:tc>
        <w:tc>
          <w:tcPr>
            <w:tcW w:w="1477" w:type="dxa"/>
            <w:tcBorders>
              <w:top w:val="single" w:sz="4" w:space="0" w:color="auto"/>
              <w:left w:val="nil"/>
              <w:bottom w:val="single" w:sz="4" w:space="0" w:color="auto"/>
              <w:right w:val="single" w:sz="4" w:space="0" w:color="auto"/>
            </w:tcBorders>
            <w:shd w:val="clear" w:color="auto" w:fill="F2F2F2"/>
            <w:vAlign w:val="center"/>
          </w:tcPr>
          <w:p w14:paraId="416A0173" w14:textId="3847F2D6"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0 </w:t>
            </w:r>
          </w:p>
        </w:tc>
        <w:tc>
          <w:tcPr>
            <w:tcW w:w="978" w:type="dxa"/>
            <w:tcBorders>
              <w:top w:val="single" w:sz="4" w:space="0" w:color="auto"/>
              <w:left w:val="nil"/>
              <w:bottom w:val="single" w:sz="4" w:space="0" w:color="auto"/>
              <w:right w:val="single" w:sz="4" w:space="0" w:color="auto"/>
            </w:tcBorders>
            <w:shd w:val="clear" w:color="auto" w:fill="F2F2F2"/>
            <w:vAlign w:val="center"/>
          </w:tcPr>
          <w:p w14:paraId="1AC66DD3" w14:textId="3B3BD0F0"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0.525 </w:t>
            </w:r>
          </w:p>
        </w:tc>
        <w:tc>
          <w:tcPr>
            <w:tcW w:w="1093" w:type="dxa"/>
            <w:tcBorders>
              <w:top w:val="single" w:sz="4" w:space="0" w:color="auto"/>
              <w:left w:val="nil"/>
              <w:bottom w:val="single" w:sz="4" w:space="0" w:color="auto"/>
              <w:right w:val="single" w:sz="4" w:space="0" w:color="auto"/>
            </w:tcBorders>
            <w:shd w:val="clear" w:color="auto" w:fill="F2F2F2"/>
            <w:vAlign w:val="center"/>
          </w:tcPr>
          <w:p w14:paraId="496FF159" w14:textId="00CB4ED3"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0.525 </w:t>
            </w:r>
          </w:p>
        </w:tc>
        <w:tc>
          <w:tcPr>
            <w:tcW w:w="986" w:type="dxa"/>
            <w:tcBorders>
              <w:top w:val="single" w:sz="4" w:space="0" w:color="auto"/>
              <w:left w:val="nil"/>
              <w:bottom w:val="single" w:sz="4" w:space="0" w:color="auto"/>
              <w:right w:val="single" w:sz="4" w:space="0" w:color="auto"/>
            </w:tcBorders>
            <w:shd w:val="clear" w:color="auto" w:fill="F2F2F2"/>
            <w:vAlign w:val="center"/>
          </w:tcPr>
          <w:p w14:paraId="668AB7ED" w14:textId="129B9AA5" w:rsidR="00AE08D4" w:rsidRPr="00AE08D4" w:rsidRDefault="00AE08D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0,8 </w:t>
            </w:r>
          </w:p>
        </w:tc>
      </w:tr>
      <w:tr w:rsidR="00C917C3" w:rsidRPr="00AE08D4" w14:paraId="7E8BA1C0" w14:textId="77777777" w:rsidTr="00442339">
        <w:trPr>
          <w:trHeight w:val="90"/>
          <w:jc w:val="center"/>
        </w:trPr>
        <w:tc>
          <w:tcPr>
            <w:tcW w:w="4282" w:type="dxa"/>
            <w:tcBorders>
              <w:top w:val="nil"/>
              <w:left w:val="nil"/>
              <w:bottom w:val="nil"/>
              <w:right w:val="nil"/>
            </w:tcBorders>
            <w:shd w:val="clear" w:color="auto" w:fill="FFFFFF"/>
            <w:vAlign w:val="center"/>
            <w:hideMark/>
          </w:tcPr>
          <w:p w14:paraId="10B2B33E" w14:textId="77777777" w:rsidR="00C917C3" w:rsidRPr="00AE08D4" w:rsidRDefault="28D31204" w:rsidP="00AE08D4">
            <w:pPr>
              <w:spacing w:line="276" w:lineRule="auto"/>
              <w:ind w:left="0" w:firstLineChars="100" w:firstLine="160"/>
              <w:jc w:val="lef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c>
          <w:tcPr>
            <w:tcW w:w="1477" w:type="dxa"/>
            <w:tcBorders>
              <w:top w:val="nil"/>
              <w:left w:val="nil"/>
              <w:bottom w:val="nil"/>
              <w:right w:val="nil"/>
            </w:tcBorders>
            <w:shd w:val="clear" w:color="auto" w:fill="FFFFFF"/>
            <w:vAlign w:val="center"/>
            <w:hideMark/>
          </w:tcPr>
          <w:p w14:paraId="32931A21" w14:textId="77777777" w:rsidR="00C917C3" w:rsidRPr="00AE08D4" w:rsidRDefault="28D31204"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c>
          <w:tcPr>
            <w:tcW w:w="978" w:type="dxa"/>
            <w:tcBorders>
              <w:top w:val="nil"/>
              <w:left w:val="nil"/>
              <w:bottom w:val="nil"/>
              <w:right w:val="nil"/>
            </w:tcBorders>
            <w:shd w:val="clear" w:color="auto" w:fill="FFFFFF"/>
            <w:vAlign w:val="center"/>
            <w:hideMark/>
          </w:tcPr>
          <w:p w14:paraId="505E3E34" w14:textId="77777777" w:rsidR="00C917C3" w:rsidRPr="00AE08D4" w:rsidRDefault="28D3120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cs="Calibri"/>
                <w:b/>
                <w:bCs/>
                <w:color w:val="000000"/>
                <w:sz w:val="16"/>
                <w:szCs w:val="16"/>
                <w:lang w:val="en-US" w:eastAsia="en-US"/>
              </w:rPr>
              <w:t> </w:t>
            </w:r>
          </w:p>
        </w:tc>
        <w:tc>
          <w:tcPr>
            <w:tcW w:w="1093" w:type="dxa"/>
            <w:tcBorders>
              <w:top w:val="nil"/>
              <w:left w:val="nil"/>
              <w:bottom w:val="nil"/>
              <w:right w:val="nil"/>
            </w:tcBorders>
            <w:shd w:val="clear" w:color="auto" w:fill="FFFFFF"/>
            <w:vAlign w:val="center"/>
            <w:hideMark/>
          </w:tcPr>
          <w:p w14:paraId="4A851F0A" w14:textId="77777777" w:rsidR="00C917C3" w:rsidRPr="00AE08D4" w:rsidRDefault="28D31204"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c>
          <w:tcPr>
            <w:tcW w:w="986" w:type="dxa"/>
            <w:tcBorders>
              <w:top w:val="nil"/>
              <w:left w:val="nil"/>
              <w:bottom w:val="nil"/>
              <w:right w:val="nil"/>
            </w:tcBorders>
            <w:shd w:val="clear" w:color="auto" w:fill="FFFFFF"/>
            <w:vAlign w:val="center"/>
            <w:hideMark/>
          </w:tcPr>
          <w:p w14:paraId="7004ADC7" w14:textId="77777777" w:rsidR="00C917C3" w:rsidRPr="00AE08D4" w:rsidRDefault="28D31204"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r>
      <w:tr w:rsidR="00C917C3" w:rsidRPr="00AE08D4" w14:paraId="1E495DB8" w14:textId="77777777" w:rsidTr="00442339">
        <w:trPr>
          <w:trHeight w:val="57"/>
          <w:jc w:val="center"/>
        </w:trPr>
        <w:tc>
          <w:tcPr>
            <w:tcW w:w="428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C949B2" w14:textId="77777777" w:rsidR="00C917C3" w:rsidRPr="00AE08D4" w:rsidRDefault="28D31204" w:rsidP="00AE08D4">
            <w:pPr>
              <w:spacing w:line="276" w:lineRule="auto"/>
              <w:ind w:left="0" w:firstLine="0"/>
              <w:jc w:val="left"/>
              <w:rPr>
                <w:rFonts w:ascii="Arial Narrow" w:hAnsi="Arial Narrow" w:cs="Calibri"/>
                <w:b/>
                <w:bCs/>
                <w:color w:val="000000"/>
                <w:sz w:val="16"/>
                <w:szCs w:val="16"/>
                <w:lang w:val="en-US" w:eastAsia="en-US"/>
              </w:rPr>
            </w:pPr>
            <w:proofErr w:type="spellStart"/>
            <w:r w:rsidRPr="00AE08D4">
              <w:rPr>
                <w:rFonts w:ascii="Arial Narrow" w:hAnsi="Arial Narrow" w:cs="Calibri"/>
                <w:b/>
                <w:bCs/>
                <w:color w:val="000000"/>
                <w:sz w:val="16"/>
                <w:szCs w:val="16"/>
                <w:lang w:val="en-US" w:eastAsia="en-US"/>
              </w:rPr>
              <w:t>Contingencia</w:t>
            </w:r>
            <w:proofErr w:type="spellEnd"/>
          </w:p>
        </w:tc>
        <w:tc>
          <w:tcPr>
            <w:tcW w:w="1477" w:type="dxa"/>
            <w:tcBorders>
              <w:top w:val="single" w:sz="4" w:space="0" w:color="auto"/>
              <w:left w:val="nil"/>
              <w:bottom w:val="single" w:sz="4" w:space="0" w:color="auto"/>
              <w:right w:val="single" w:sz="4" w:space="0" w:color="auto"/>
            </w:tcBorders>
            <w:shd w:val="clear" w:color="auto" w:fill="F2F2F2"/>
            <w:vAlign w:val="center"/>
            <w:hideMark/>
          </w:tcPr>
          <w:p w14:paraId="3E1D10C0" w14:textId="095760C8" w:rsidR="00C917C3" w:rsidRPr="00AE08D4" w:rsidRDefault="00AE0CDA"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cs="Calibri"/>
                <w:b/>
                <w:bCs/>
                <w:color w:val="000000"/>
                <w:sz w:val="16"/>
                <w:szCs w:val="16"/>
              </w:rPr>
              <w:t>$ 2,436</w:t>
            </w:r>
          </w:p>
        </w:tc>
        <w:tc>
          <w:tcPr>
            <w:tcW w:w="978" w:type="dxa"/>
            <w:tcBorders>
              <w:top w:val="single" w:sz="4" w:space="0" w:color="auto"/>
              <w:left w:val="nil"/>
              <w:bottom w:val="single" w:sz="4" w:space="0" w:color="auto"/>
              <w:right w:val="single" w:sz="4" w:space="0" w:color="auto"/>
            </w:tcBorders>
            <w:shd w:val="clear" w:color="auto" w:fill="F2F2F2"/>
            <w:vAlign w:val="center"/>
            <w:hideMark/>
          </w:tcPr>
          <w:p w14:paraId="7C185C7B" w14:textId="77777777" w:rsidR="00C917C3" w:rsidRPr="00AE08D4" w:rsidRDefault="28D31204" w:rsidP="00AE08D4">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cs="Calibri"/>
                <w:b/>
                <w:bCs/>
                <w:color w:val="000000"/>
                <w:sz w:val="16"/>
                <w:szCs w:val="16"/>
                <w:lang w:val="en-US" w:eastAsia="en-US"/>
              </w:rPr>
              <w:t xml:space="preserve"> $        -   </w:t>
            </w:r>
          </w:p>
        </w:tc>
        <w:tc>
          <w:tcPr>
            <w:tcW w:w="1093" w:type="dxa"/>
            <w:tcBorders>
              <w:top w:val="single" w:sz="4" w:space="0" w:color="auto"/>
              <w:left w:val="nil"/>
              <w:bottom w:val="single" w:sz="4" w:space="0" w:color="auto"/>
              <w:right w:val="single" w:sz="4" w:space="0" w:color="auto"/>
            </w:tcBorders>
            <w:shd w:val="clear" w:color="auto" w:fill="F2F2F2"/>
            <w:vAlign w:val="center"/>
            <w:hideMark/>
          </w:tcPr>
          <w:p w14:paraId="4DA0C681" w14:textId="4801D599" w:rsidR="00C917C3" w:rsidRPr="00AE08D4" w:rsidRDefault="00AE0CDA"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cs="Calibri"/>
                <w:b/>
                <w:bCs/>
                <w:color w:val="000000"/>
                <w:sz w:val="16"/>
                <w:szCs w:val="16"/>
              </w:rPr>
              <w:t>$ 2,436</w:t>
            </w:r>
          </w:p>
        </w:tc>
        <w:tc>
          <w:tcPr>
            <w:tcW w:w="986" w:type="dxa"/>
            <w:tcBorders>
              <w:top w:val="single" w:sz="4" w:space="0" w:color="auto"/>
              <w:left w:val="nil"/>
              <w:bottom w:val="single" w:sz="4" w:space="0" w:color="auto"/>
              <w:right w:val="single" w:sz="4" w:space="0" w:color="auto"/>
            </w:tcBorders>
            <w:shd w:val="clear" w:color="auto" w:fill="F2F2F2"/>
            <w:vAlign w:val="center"/>
            <w:hideMark/>
          </w:tcPr>
          <w:p w14:paraId="2BEC2B64" w14:textId="096C35C3" w:rsidR="00C917C3" w:rsidRPr="00AE08D4" w:rsidRDefault="00AE0CDA" w:rsidP="00AE08D4">
            <w:pPr>
              <w:spacing w:line="276" w:lineRule="auto"/>
              <w:ind w:left="0" w:firstLine="0"/>
              <w:jc w:val="right"/>
              <w:rPr>
                <w:rFonts w:ascii="Arial Narrow" w:hAnsi="Arial Narrow" w:cs="Calibri"/>
                <w:color w:val="000000"/>
                <w:sz w:val="16"/>
                <w:szCs w:val="16"/>
                <w:lang w:val="en-US" w:eastAsia="en-US"/>
              </w:rPr>
            </w:pPr>
            <w:r w:rsidRPr="00AE08D4">
              <w:rPr>
                <w:rFonts w:ascii="Arial Narrow" w:hAnsi="Arial Narrow" w:cs="Calibri"/>
                <w:color w:val="000000"/>
                <w:sz w:val="16"/>
                <w:szCs w:val="16"/>
              </w:rPr>
              <w:t>4.1%</w:t>
            </w:r>
          </w:p>
        </w:tc>
      </w:tr>
      <w:tr w:rsidR="00C917C3" w:rsidRPr="00AE08D4" w14:paraId="772A7919" w14:textId="77777777" w:rsidTr="00442339">
        <w:trPr>
          <w:trHeight w:val="90"/>
          <w:jc w:val="center"/>
        </w:trPr>
        <w:tc>
          <w:tcPr>
            <w:tcW w:w="4282" w:type="dxa"/>
            <w:tcBorders>
              <w:top w:val="nil"/>
              <w:left w:val="nil"/>
              <w:bottom w:val="nil"/>
              <w:right w:val="nil"/>
            </w:tcBorders>
            <w:shd w:val="clear" w:color="auto" w:fill="FFFFFF"/>
            <w:vAlign w:val="center"/>
            <w:hideMark/>
          </w:tcPr>
          <w:p w14:paraId="7F9D0CC5" w14:textId="77777777" w:rsidR="00C917C3" w:rsidRPr="00AE08D4" w:rsidRDefault="28D31204" w:rsidP="00AE08D4">
            <w:pPr>
              <w:spacing w:line="276" w:lineRule="auto"/>
              <w:ind w:left="0" w:firstLine="0"/>
              <w:jc w:val="lef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c>
          <w:tcPr>
            <w:tcW w:w="1477" w:type="dxa"/>
            <w:tcBorders>
              <w:top w:val="nil"/>
              <w:left w:val="nil"/>
              <w:bottom w:val="nil"/>
              <w:right w:val="nil"/>
            </w:tcBorders>
            <w:shd w:val="clear" w:color="auto" w:fill="FFFFFF"/>
            <w:vAlign w:val="center"/>
            <w:hideMark/>
          </w:tcPr>
          <w:p w14:paraId="46FFD2DC" w14:textId="77777777" w:rsidR="00C917C3" w:rsidRPr="00AE08D4" w:rsidRDefault="28D31204" w:rsidP="00AE08D4">
            <w:pPr>
              <w:spacing w:line="276" w:lineRule="auto"/>
              <w:ind w:left="0" w:firstLine="0"/>
              <w:jc w:val="lef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c>
          <w:tcPr>
            <w:tcW w:w="978" w:type="dxa"/>
            <w:tcBorders>
              <w:top w:val="nil"/>
              <w:left w:val="nil"/>
              <w:bottom w:val="nil"/>
              <w:right w:val="nil"/>
            </w:tcBorders>
            <w:shd w:val="clear" w:color="auto" w:fill="FFFFFF"/>
            <w:vAlign w:val="center"/>
            <w:hideMark/>
          </w:tcPr>
          <w:p w14:paraId="5F490DF9" w14:textId="77777777" w:rsidR="00C917C3" w:rsidRPr="00AE08D4" w:rsidRDefault="28D31204" w:rsidP="00AE08D4">
            <w:pPr>
              <w:spacing w:line="276" w:lineRule="auto"/>
              <w:ind w:left="0" w:firstLine="0"/>
              <w:jc w:val="lef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c>
          <w:tcPr>
            <w:tcW w:w="1093" w:type="dxa"/>
            <w:tcBorders>
              <w:top w:val="nil"/>
              <w:left w:val="nil"/>
              <w:bottom w:val="nil"/>
              <w:right w:val="nil"/>
            </w:tcBorders>
            <w:shd w:val="clear" w:color="auto" w:fill="FFFFFF"/>
            <w:vAlign w:val="center"/>
            <w:hideMark/>
          </w:tcPr>
          <w:p w14:paraId="10A9F150" w14:textId="77777777" w:rsidR="00C917C3" w:rsidRPr="00AE08D4" w:rsidRDefault="28D31204" w:rsidP="00AE08D4">
            <w:pPr>
              <w:spacing w:line="276" w:lineRule="auto"/>
              <w:ind w:left="0" w:firstLine="0"/>
              <w:jc w:val="lef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c>
          <w:tcPr>
            <w:tcW w:w="986" w:type="dxa"/>
            <w:tcBorders>
              <w:top w:val="nil"/>
              <w:left w:val="nil"/>
              <w:bottom w:val="nil"/>
              <w:right w:val="nil"/>
            </w:tcBorders>
            <w:shd w:val="clear" w:color="auto" w:fill="FFFFFF"/>
            <w:vAlign w:val="center"/>
            <w:hideMark/>
          </w:tcPr>
          <w:p w14:paraId="629B3418" w14:textId="77777777" w:rsidR="00C917C3" w:rsidRPr="00AE08D4" w:rsidRDefault="28D31204" w:rsidP="00AE08D4">
            <w:pPr>
              <w:spacing w:line="276" w:lineRule="auto"/>
              <w:ind w:left="0" w:firstLine="0"/>
              <w:jc w:val="left"/>
              <w:rPr>
                <w:rFonts w:ascii="Arial Narrow" w:hAnsi="Arial Narrow" w:cs="Calibri"/>
                <w:color w:val="000000"/>
                <w:sz w:val="16"/>
                <w:szCs w:val="16"/>
                <w:lang w:val="en-US" w:eastAsia="en-US"/>
              </w:rPr>
            </w:pPr>
            <w:r w:rsidRPr="00AE08D4">
              <w:rPr>
                <w:rFonts w:ascii="Arial Narrow" w:hAnsi="Arial Narrow" w:cs="Calibri"/>
                <w:color w:val="000000"/>
                <w:sz w:val="16"/>
                <w:szCs w:val="16"/>
                <w:lang w:val="en-US" w:eastAsia="en-US"/>
              </w:rPr>
              <w:t> </w:t>
            </w:r>
          </w:p>
        </w:tc>
      </w:tr>
      <w:tr w:rsidR="00AE08D4" w:rsidRPr="00AE08D4" w14:paraId="4C938AC9" w14:textId="77777777" w:rsidTr="00442339">
        <w:trPr>
          <w:trHeight w:val="92"/>
          <w:jc w:val="center"/>
        </w:trPr>
        <w:tc>
          <w:tcPr>
            <w:tcW w:w="428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374A201" w14:textId="3BE8962E" w:rsidR="00AE08D4" w:rsidRPr="00AE08D4" w:rsidRDefault="00AE08D4" w:rsidP="00AE08D4">
            <w:pPr>
              <w:spacing w:line="276" w:lineRule="auto"/>
              <w:ind w:left="0" w:firstLine="0"/>
              <w:jc w:val="center"/>
              <w:rPr>
                <w:rFonts w:ascii="Arial Narrow" w:hAnsi="Arial Narrow" w:cs="Calibri"/>
                <w:b/>
                <w:bCs/>
                <w:color w:val="000000"/>
                <w:sz w:val="16"/>
                <w:szCs w:val="16"/>
                <w:lang w:val="en-US" w:eastAsia="en-US"/>
              </w:rPr>
            </w:pPr>
            <w:r w:rsidRPr="00AE08D4">
              <w:rPr>
                <w:rFonts w:ascii="Arial Narrow" w:hAnsi="Arial Narrow"/>
                <w:b/>
                <w:bCs/>
                <w:sz w:val="16"/>
                <w:szCs w:val="16"/>
              </w:rPr>
              <w:t xml:space="preserve">Total </w:t>
            </w:r>
          </w:p>
        </w:tc>
        <w:tc>
          <w:tcPr>
            <w:tcW w:w="1477" w:type="dxa"/>
            <w:tcBorders>
              <w:top w:val="single" w:sz="4" w:space="0" w:color="auto"/>
              <w:left w:val="nil"/>
              <w:bottom w:val="single" w:sz="4" w:space="0" w:color="auto"/>
              <w:right w:val="single" w:sz="4" w:space="0" w:color="auto"/>
            </w:tcBorders>
            <w:shd w:val="clear" w:color="auto" w:fill="F2F2F2"/>
            <w:vAlign w:val="center"/>
            <w:hideMark/>
          </w:tcPr>
          <w:p w14:paraId="1C77C5D3" w14:textId="0A425A5F" w:rsidR="00AE08D4" w:rsidRPr="00AE08D4" w:rsidRDefault="00AE08D4" w:rsidP="00442339">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50.000 </w:t>
            </w:r>
          </w:p>
        </w:tc>
        <w:tc>
          <w:tcPr>
            <w:tcW w:w="978" w:type="dxa"/>
            <w:tcBorders>
              <w:top w:val="single" w:sz="4" w:space="0" w:color="auto"/>
              <w:left w:val="nil"/>
              <w:bottom w:val="single" w:sz="4" w:space="0" w:color="auto"/>
              <w:right w:val="single" w:sz="4" w:space="0" w:color="auto"/>
            </w:tcBorders>
            <w:shd w:val="clear" w:color="auto" w:fill="F2F2F2"/>
            <w:vAlign w:val="center"/>
            <w:hideMark/>
          </w:tcPr>
          <w:p w14:paraId="39ECF1BD" w14:textId="25508974" w:rsidR="00AE08D4" w:rsidRPr="00AE08D4" w:rsidRDefault="00AE08D4" w:rsidP="00442339">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15.000 </w:t>
            </w:r>
          </w:p>
        </w:tc>
        <w:tc>
          <w:tcPr>
            <w:tcW w:w="1093" w:type="dxa"/>
            <w:tcBorders>
              <w:top w:val="single" w:sz="4" w:space="0" w:color="auto"/>
              <w:left w:val="nil"/>
              <w:bottom w:val="single" w:sz="4" w:space="0" w:color="auto"/>
              <w:right w:val="single" w:sz="4" w:space="0" w:color="auto"/>
            </w:tcBorders>
            <w:shd w:val="clear" w:color="auto" w:fill="F2F2F2"/>
            <w:vAlign w:val="center"/>
            <w:hideMark/>
          </w:tcPr>
          <w:p w14:paraId="5202C171" w14:textId="66FAB543" w:rsidR="00AE08D4" w:rsidRPr="00AE08D4" w:rsidRDefault="00AE08D4" w:rsidP="00442339">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65.000 </w:t>
            </w:r>
          </w:p>
        </w:tc>
        <w:tc>
          <w:tcPr>
            <w:tcW w:w="986" w:type="dxa"/>
            <w:tcBorders>
              <w:top w:val="single" w:sz="4" w:space="0" w:color="auto"/>
              <w:left w:val="nil"/>
              <w:bottom w:val="single" w:sz="4" w:space="0" w:color="auto"/>
              <w:right w:val="single" w:sz="4" w:space="0" w:color="auto"/>
            </w:tcBorders>
            <w:shd w:val="clear" w:color="auto" w:fill="F2F2F2"/>
            <w:vAlign w:val="center"/>
            <w:hideMark/>
          </w:tcPr>
          <w:p w14:paraId="4EC3E776" w14:textId="5AD74C48" w:rsidR="00AE08D4" w:rsidRPr="00AE08D4" w:rsidRDefault="00AE08D4" w:rsidP="00442339">
            <w:pPr>
              <w:spacing w:line="276" w:lineRule="auto"/>
              <w:ind w:left="0" w:firstLine="0"/>
              <w:jc w:val="right"/>
              <w:rPr>
                <w:rFonts w:ascii="Arial Narrow" w:hAnsi="Arial Narrow" w:cs="Calibri"/>
                <w:b/>
                <w:bCs/>
                <w:color w:val="000000"/>
                <w:sz w:val="16"/>
                <w:szCs w:val="16"/>
                <w:lang w:val="en-US" w:eastAsia="en-US"/>
              </w:rPr>
            </w:pPr>
            <w:r w:rsidRPr="00AE08D4">
              <w:rPr>
                <w:rFonts w:ascii="Arial Narrow" w:hAnsi="Arial Narrow"/>
                <w:b/>
                <w:bCs/>
                <w:sz w:val="16"/>
                <w:szCs w:val="16"/>
              </w:rPr>
              <w:t xml:space="preserve">100,0 </w:t>
            </w:r>
          </w:p>
        </w:tc>
      </w:tr>
    </w:tbl>
    <w:p w14:paraId="53401098" w14:textId="418E0C63" w:rsidR="00195651" w:rsidRPr="007A7D3F" w:rsidRDefault="007A7D3F" w:rsidP="007A7D3F">
      <w:pPr>
        <w:pStyle w:val="Heading1"/>
        <w:numPr>
          <w:ilvl w:val="0"/>
          <w:numId w:val="0"/>
        </w:numPr>
        <w:spacing w:line="276" w:lineRule="auto"/>
        <w:jc w:val="left"/>
        <w:rPr>
          <w:rFonts w:ascii="Arial" w:hAnsi="Arial" w:cs="Arial"/>
          <w:smallCaps w:val="0"/>
          <w:lang w:val="es-MX"/>
        </w:rPr>
      </w:pPr>
      <w:r w:rsidRPr="007A7D3F">
        <w:rPr>
          <w:rFonts w:ascii="Arial" w:hAnsi="Arial" w:cs="Arial"/>
          <w:smallCaps w:val="0"/>
          <w:u w:val="single"/>
          <w:lang w:val="es-MX"/>
        </w:rPr>
        <w:t>NOTA: Durante la ejecución la contrapartida superó los US$15 millones para ubicarse en US$18.7 millones</w:t>
      </w:r>
      <w:r>
        <w:rPr>
          <w:rFonts w:ascii="Arial" w:hAnsi="Arial" w:cs="Arial"/>
          <w:smallCaps w:val="0"/>
          <w:lang w:val="es-MX"/>
        </w:rPr>
        <w:t xml:space="preserve">. </w:t>
      </w:r>
      <w:r w:rsidRPr="007A7D3F">
        <w:rPr>
          <w:rFonts w:ascii="Arial" w:hAnsi="Arial" w:cs="Arial"/>
          <w:smallCaps w:val="0"/>
          <w:u w:val="single"/>
          <w:lang w:val="es-MX"/>
        </w:rPr>
        <w:t>De manera que el costo considerado para los cálculos del presente ACB fue de US$68.7 millones</w:t>
      </w:r>
      <w:r>
        <w:rPr>
          <w:rFonts w:ascii="Arial" w:hAnsi="Arial" w:cs="Arial"/>
          <w:smallCaps w:val="0"/>
          <w:u w:val="single"/>
          <w:lang w:val="es-MX"/>
        </w:rPr>
        <w:t>.</w:t>
      </w:r>
      <w:bookmarkStart w:id="63" w:name="_GoBack"/>
      <w:bookmarkEnd w:id="63"/>
      <w:r w:rsidR="00DB684B" w:rsidRPr="007A7D3F">
        <w:rPr>
          <w:rFonts w:ascii="Arial" w:hAnsi="Arial" w:cs="Arial"/>
          <w:smallCaps w:val="0"/>
          <w:lang w:val="es-MX"/>
        </w:rPr>
        <w:br w:type="page"/>
      </w:r>
    </w:p>
    <w:p w14:paraId="7F11C6B2" w14:textId="0B34D52F" w:rsidR="00B76FAB" w:rsidRDefault="00B76FAB" w:rsidP="00FD6521">
      <w:pPr>
        <w:pStyle w:val="ListParagraph"/>
        <w:spacing w:before="120" w:after="120" w:line="276" w:lineRule="auto"/>
        <w:ind w:left="360" w:firstLine="0"/>
        <w:rPr>
          <w:rFonts w:ascii="Arial" w:hAnsi="Arial" w:cs="Arial"/>
          <w:b/>
          <w:sz w:val="24"/>
        </w:rPr>
      </w:pPr>
    </w:p>
    <w:p w14:paraId="68009A44" w14:textId="60ABD740" w:rsidR="001B408C" w:rsidRDefault="28D31204" w:rsidP="00442339">
      <w:pPr>
        <w:pStyle w:val="ListParagraph"/>
        <w:numPr>
          <w:ilvl w:val="0"/>
          <w:numId w:val="28"/>
        </w:numPr>
        <w:jc w:val="center"/>
        <w:rPr>
          <w:rFonts w:ascii="Arial" w:hAnsi="Arial" w:cs="Arial"/>
          <w:b/>
          <w:bCs/>
          <w:sz w:val="24"/>
        </w:rPr>
      </w:pPr>
      <w:r w:rsidRPr="28D31204">
        <w:rPr>
          <w:rFonts w:ascii="Arial" w:hAnsi="Arial" w:cs="Arial"/>
          <w:b/>
          <w:bCs/>
          <w:sz w:val="24"/>
        </w:rPr>
        <w:t>Salarios Promedio Mensual (</w:t>
      </w:r>
      <w:r w:rsidR="00442339">
        <w:rPr>
          <w:rFonts w:ascii="Arial" w:hAnsi="Arial" w:cs="Arial"/>
          <w:b/>
          <w:bCs/>
          <w:sz w:val="24"/>
        </w:rPr>
        <w:t>pesos</w:t>
      </w:r>
      <w:r w:rsidRPr="28D31204">
        <w:rPr>
          <w:rFonts w:ascii="Arial" w:hAnsi="Arial" w:cs="Arial"/>
          <w:b/>
          <w:bCs/>
          <w:sz w:val="24"/>
        </w:rPr>
        <w:t xml:space="preserve"> reales, 201</w:t>
      </w:r>
      <w:r w:rsidR="00442339">
        <w:rPr>
          <w:rFonts w:ascii="Arial" w:hAnsi="Arial" w:cs="Arial"/>
          <w:b/>
          <w:bCs/>
          <w:sz w:val="24"/>
        </w:rPr>
        <w:t>5</w:t>
      </w:r>
      <w:r w:rsidRPr="28D31204">
        <w:rPr>
          <w:rFonts w:ascii="Arial" w:hAnsi="Arial" w:cs="Arial"/>
          <w:b/>
          <w:bCs/>
          <w:sz w:val="24"/>
        </w:rPr>
        <w:t>)</w:t>
      </w:r>
    </w:p>
    <w:p w14:paraId="7A2B096D" w14:textId="77777777" w:rsidR="00043BF6" w:rsidRPr="00B2077E" w:rsidRDefault="00043BF6" w:rsidP="005F0E96">
      <w:pPr>
        <w:jc w:val="center"/>
        <w:rPr>
          <w:rFonts w:ascii="Arial" w:hAnsi="Arial" w:cs="Arial"/>
        </w:rPr>
      </w:pPr>
    </w:p>
    <w:p w14:paraId="60159BEC" w14:textId="2FD40F3C" w:rsidR="005F0E96" w:rsidRPr="003B4FE4" w:rsidRDefault="00442339" w:rsidP="005F0E96">
      <w:pPr>
        <w:jc w:val="center"/>
        <w:rPr>
          <w:rFonts w:ascii="Arial" w:hAnsi="Arial" w:cs="Arial"/>
          <w:b/>
        </w:rPr>
      </w:pPr>
      <w:r>
        <w:rPr>
          <w:noProof/>
          <w:lang w:val="en-US" w:eastAsia="en-US"/>
        </w:rPr>
        <w:drawing>
          <wp:inline distT="0" distB="0" distL="0" distR="0" wp14:anchorId="75594949" wp14:editId="02B40BD4">
            <wp:extent cx="4572000" cy="275272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40D75D3" w14:textId="12431AEE" w:rsidR="00043BF6" w:rsidRDefault="00043BF6" w:rsidP="00D7474D">
      <w:pPr>
        <w:ind w:left="0" w:firstLine="0"/>
        <w:rPr>
          <w:rFonts w:ascii="Arial" w:hAnsi="Arial" w:cs="Arial"/>
          <w:b/>
        </w:rPr>
      </w:pPr>
    </w:p>
    <w:p w14:paraId="5870E854" w14:textId="77777777" w:rsidR="00BA6B46" w:rsidRDefault="00BA6B46" w:rsidP="00D7474D">
      <w:pPr>
        <w:ind w:left="0" w:firstLine="0"/>
        <w:rPr>
          <w:rFonts w:ascii="Arial" w:hAnsi="Arial" w:cs="Arial"/>
          <w:b/>
        </w:rPr>
      </w:pPr>
    </w:p>
    <w:p w14:paraId="7E8DC29E" w14:textId="77777777" w:rsidR="00BA6B46" w:rsidRDefault="00BA6B46" w:rsidP="00D7474D">
      <w:pPr>
        <w:ind w:left="0" w:firstLine="0"/>
        <w:rPr>
          <w:rFonts w:ascii="Arial" w:hAnsi="Arial" w:cs="Arial"/>
          <w:b/>
        </w:rPr>
      </w:pPr>
    </w:p>
    <w:p w14:paraId="1F701B04" w14:textId="77777777" w:rsidR="00BA6B46" w:rsidRDefault="00BA6B46" w:rsidP="00D7474D">
      <w:pPr>
        <w:ind w:left="0" w:firstLine="0"/>
        <w:rPr>
          <w:rFonts w:ascii="Arial" w:hAnsi="Arial" w:cs="Arial"/>
          <w:b/>
        </w:rPr>
      </w:pPr>
    </w:p>
    <w:p w14:paraId="2AC9266C" w14:textId="77777777" w:rsidR="00BA6B46" w:rsidRDefault="00BA6B46" w:rsidP="00D7474D">
      <w:pPr>
        <w:ind w:left="0" w:firstLine="0"/>
        <w:rPr>
          <w:rFonts w:ascii="Arial" w:hAnsi="Arial" w:cs="Arial"/>
          <w:b/>
        </w:rPr>
      </w:pPr>
    </w:p>
    <w:p w14:paraId="01D3B908" w14:textId="77777777" w:rsidR="00BA6B46" w:rsidRDefault="00BA6B46" w:rsidP="00D7474D">
      <w:pPr>
        <w:ind w:left="0" w:firstLine="0"/>
        <w:rPr>
          <w:rFonts w:ascii="Arial" w:hAnsi="Arial" w:cs="Arial"/>
          <w:b/>
        </w:rPr>
      </w:pPr>
    </w:p>
    <w:p w14:paraId="326E196F" w14:textId="77777777" w:rsidR="00BA6B46" w:rsidRDefault="00BA6B46" w:rsidP="00D7474D">
      <w:pPr>
        <w:ind w:left="0" w:firstLine="0"/>
        <w:rPr>
          <w:rFonts w:ascii="Arial" w:hAnsi="Arial" w:cs="Arial"/>
          <w:b/>
        </w:rPr>
      </w:pPr>
    </w:p>
    <w:p w14:paraId="44D293A3" w14:textId="77777777" w:rsidR="00BA6B46" w:rsidRDefault="00BA6B46" w:rsidP="00D7474D">
      <w:pPr>
        <w:ind w:left="0" w:firstLine="0"/>
        <w:rPr>
          <w:rFonts w:ascii="Arial" w:hAnsi="Arial" w:cs="Arial"/>
          <w:b/>
        </w:rPr>
      </w:pPr>
    </w:p>
    <w:p w14:paraId="5D76BCAA" w14:textId="77777777" w:rsidR="00BA6B46" w:rsidRDefault="00BA6B46" w:rsidP="00D7474D">
      <w:pPr>
        <w:ind w:left="0" w:firstLine="0"/>
        <w:rPr>
          <w:rFonts w:ascii="Arial" w:hAnsi="Arial" w:cs="Arial"/>
          <w:b/>
        </w:rPr>
      </w:pPr>
    </w:p>
    <w:p w14:paraId="2F30A78A" w14:textId="77777777" w:rsidR="00BA6B46" w:rsidRDefault="00BA6B46" w:rsidP="00D7474D">
      <w:pPr>
        <w:ind w:left="0" w:firstLine="0"/>
        <w:rPr>
          <w:rFonts w:ascii="Arial" w:hAnsi="Arial" w:cs="Arial"/>
          <w:b/>
        </w:rPr>
      </w:pPr>
    </w:p>
    <w:p w14:paraId="7898348B" w14:textId="77777777" w:rsidR="00BA6B46" w:rsidRDefault="00BA6B46" w:rsidP="00D7474D">
      <w:pPr>
        <w:ind w:left="0" w:firstLine="0"/>
        <w:rPr>
          <w:rFonts w:ascii="Arial" w:hAnsi="Arial" w:cs="Arial"/>
          <w:b/>
        </w:rPr>
      </w:pPr>
    </w:p>
    <w:p w14:paraId="0224A96B" w14:textId="77777777" w:rsidR="00BA6B46" w:rsidRDefault="00BA6B46" w:rsidP="00D7474D">
      <w:pPr>
        <w:ind w:left="0" w:firstLine="0"/>
        <w:rPr>
          <w:rFonts w:ascii="Arial" w:hAnsi="Arial" w:cs="Arial"/>
          <w:b/>
        </w:rPr>
      </w:pPr>
    </w:p>
    <w:p w14:paraId="53841728" w14:textId="77777777" w:rsidR="00BA6B46" w:rsidRDefault="00BA6B46" w:rsidP="00D7474D">
      <w:pPr>
        <w:ind w:left="0" w:firstLine="0"/>
        <w:rPr>
          <w:rFonts w:ascii="Arial" w:hAnsi="Arial" w:cs="Arial"/>
          <w:b/>
        </w:rPr>
      </w:pPr>
    </w:p>
    <w:p w14:paraId="0D793699" w14:textId="77777777" w:rsidR="00BA6B46" w:rsidRDefault="00BA6B46" w:rsidP="00D7474D">
      <w:pPr>
        <w:ind w:left="0" w:firstLine="0"/>
        <w:rPr>
          <w:rFonts w:ascii="Arial" w:hAnsi="Arial" w:cs="Arial"/>
          <w:b/>
        </w:rPr>
      </w:pPr>
    </w:p>
    <w:p w14:paraId="7E30469F" w14:textId="77777777" w:rsidR="00BA6B46" w:rsidRDefault="00BA6B46" w:rsidP="00D7474D">
      <w:pPr>
        <w:ind w:left="0" w:firstLine="0"/>
        <w:rPr>
          <w:rFonts w:ascii="Arial" w:hAnsi="Arial" w:cs="Arial"/>
          <w:b/>
        </w:rPr>
      </w:pPr>
    </w:p>
    <w:p w14:paraId="1D124710" w14:textId="77777777" w:rsidR="00BA6B46" w:rsidRDefault="00BA6B46" w:rsidP="00D7474D">
      <w:pPr>
        <w:ind w:left="0" w:firstLine="0"/>
        <w:rPr>
          <w:rFonts w:ascii="Arial" w:hAnsi="Arial" w:cs="Arial"/>
          <w:b/>
        </w:rPr>
      </w:pPr>
    </w:p>
    <w:p w14:paraId="613CE9AE" w14:textId="77777777" w:rsidR="00BA6B46" w:rsidRDefault="00BA6B46" w:rsidP="00D7474D">
      <w:pPr>
        <w:ind w:left="0" w:firstLine="0"/>
        <w:rPr>
          <w:rFonts w:ascii="Arial" w:hAnsi="Arial" w:cs="Arial"/>
          <w:b/>
        </w:rPr>
      </w:pPr>
    </w:p>
    <w:p w14:paraId="78DDB33D" w14:textId="77777777" w:rsidR="00BA6B46" w:rsidRDefault="00BA6B46" w:rsidP="00D7474D">
      <w:pPr>
        <w:ind w:left="0" w:firstLine="0"/>
        <w:rPr>
          <w:rFonts w:ascii="Arial" w:hAnsi="Arial" w:cs="Arial"/>
          <w:b/>
        </w:rPr>
      </w:pPr>
    </w:p>
    <w:p w14:paraId="6C32351A" w14:textId="77777777" w:rsidR="00BA6B46" w:rsidRDefault="00BA6B46" w:rsidP="00D7474D">
      <w:pPr>
        <w:ind w:left="0" w:firstLine="0"/>
        <w:rPr>
          <w:rFonts w:ascii="Arial" w:hAnsi="Arial" w:cs="Arial"/>
          <w:b/>
        </w:rPr>
      </w:pPr>
    </w:p>
    <w:p w14:paraId="5D2C0FB8" w14:textId="77777777" w:rsidR="00BA6B46" w:rsidRDefault="00BA6B46" w:rsidP="00D7474D">
      <w:pPr>
        <w:ind w:left="0" w:firstLine="0"/>
        <w:rPr>
          <w:rFonts w:ascii="Arial" w:hAnsi="Arial" w:cs="Arial"/>
          <w:b/>
        </w:rPr>
      </w:pPr>
    </w:p>
    <w:p w14:paraId="7E63E79F" w14:textId="77777777" w:rsidR="00BA6B46" w:rsidRDefault="00BA6B46" w:rsidP="00D7474D">
      <w:pPr>
        <w:ind w:left="0" w:firstLine="0"/>
        <w:rPr>
          <w:rFonts w:ascii="Arial" w:hAnsi="Arial" w:cs="Arial"/>
          <w:b/>
        </w:rPr>
      </w:pPr>
    </w:p>
    <w:p w14:paraId="59B9C089" w14:textId="77777777" w:rsidR="00BA6B46" w:rsidRDefault="00BA6B46" w:rsidP="00D7474D">
      <w:pPr>
        <w:ind w:left="0" w:firstLine="0"/>
        <w:rPr>
          <w:rFonts w:ascii="Arial" w:hAnsi="Arial" w:cs="Arial"/>
          <w:b/>
        </w:rPr>
      </w:pPr>
    </w:p>
    <w:p w14:paraId="461C38B0" w14:textId="77777777" w:rsidR="00BA6B46" w:rsidRDefault="00BA6B46" w:rsidP="00D7474D">
      <w:pPr>
        <w:ind w:left="0" w:firstLine="0"/>
        <w:rPr>
          <w:rFonts w:ascii="Arial" w:hAnsi="Arial" w:cs="Arial"/>
          <w:b/>
        </w:rPr>
      </w:pPr>
    </w:p>
    <w:p w14:paraId="43B78783" w14:textId="77777777" w:rsidR="00BA6B46" w:rsidRDefault="00BA6B46" w:rsidP="00D7474D">
      <w:pPr>
        <w:ind w:left="0" w:firstLine="0"/>
        <w:rPr>
          <w:rFonts w:ascii="Arial" w:hAnsi="Arial" w:cs="Arial"/>
          <w:b/>
        </w:rPr>
      </w:pPr>
    </w:p>
    <w:p w14:paraId="72D682AE" w14:textId="77777777" w:rsidR="00BA6B46" w:rsidRDefault="00BA6B46" w:rsidP="00D7474D">
      <w:pPr>
        <w:ind w:left="0" w:firstLine="0"/>
        <w:rPr>
          <w:rFonts w:ascii="Arial" w:hAnsi="Arial" w:cs="Arial"/>
          <w:b/>
        </w:rPr>
      </w:pPr>
    </w:p>
    <w:p w14:paraId="2A60421A" w14:textId="77777777" w:rsidR="00BA6B46" w:rsidRDefault="00BA6B46" w:rsidP="00D7474D">
      <w:pPr>
        <w:ind w:left="0" w:firstLine="0"/>
        <w:rPr>
          <w:rFonts w:ascii="Arial" w:hAnsi="Arial" w:cs="Arial"/>
          <w:b/>
        </w:rPr>
      </w:pPr>
    </w:p>
    <w:p w14:paraId="49D4A0B5" w14:textId="77777777" w:rsidR="00BA6B46" w:rsidRDefault="00BA6B46" w:rsidP="00D7474D">
      <w:pPr>
        <w:ind w:left="0" w:firstLine="0"/>
        <w:rPr>
          <w:rFonts w:ascii="Arial" w:hAnsi="Arial" w:cs="Arial"/>
          <w:b/>
        </w:rPr>
      </w:pPr>
    </w:p>
    <w:p w14:paraId="42A7A194" w14:textId="5EC68011" w:rsidR="00BA6B46" w:rsidRDefault="00BA6B46" w:rsidP="002A2B9E">
      <w:pPr>
        <w:pStyle w:val="ListParagraph"/>
        <w:numPr>
          <w:ilvl w:val="0"/>
          <w:numId w:val="28"/>
        </w:numPr>
        <w:ind w:left="567" w:hanging="578"/>
        <w:jc w:val="center"/>
        <w:rPr>
          <w:rFonts w:ascii="Arial" w:hAnsi="Arial" w:cs="Arial"/>
          <w:b/>
          <w:bCs/>
          <w:sz w:val="24"/>
        </w:rPr>
      </w:pPr>
      <w:r>
        <w:rPr>
          <w:rFonts w:ascii="Arial" w:hAnsi="Arial" w:cs="Arial"/>
          <w:b/>
          <w:bCs/>
          <w:sz w:val="24"/>
        </w:rPr>
        <w:lastRenderedPageBreak/>
        <w:t xml:space="preserve">Resultados </w:t>
      </w:r>
      <w:proofErr w:type="spellStart"/>
      <w:r>
        <w:rPr>
          <w:rFonts w:ascii="Arial" w:hAnsi="Arial" w:cs="Arial"/>
          <w:b/>
          <w:bCs/>
          <w:sz w:val="24"/>
        </w:rPr>
        <w:t>Mincer</w:t>
      </w:r>
      <w:proofErr w:type="spellEnd"/>
    </w:p>
    <w:p w14:paraId="25ABDBD4" w14:textId="77777777" w:rsidR="000A68DC" w:rsidRPr="00F13E91" w:rsidRDefault="000A68DC" w:rsidP="000A68DC">
      <w:pPr>
        <w:pStyle w:val="ListParagraph"/>
        <w:ind w:left="1080" w:firstLine="0"/>
        <w:rPr>
          <w:rFonts w:ascii="Arial" w:hAnsi="Arial" w:cs="Arial"/>
          <w:b/>
          <w:bCs/>
          <w:sz w:val="24"/>
        </w:rPr>
      </w:pPr>
    </w:p>
    <w:tbl>
      <w:tblPr>
        <w:tblStyle w:val="TableGrid"/>
        <w:tblW w:w="0" w:type="auto"/>
        <w:jc w:val="center"/>
        <w:tblLook w:val="04A0" w:firstRow="1" w:lastRow="0" w:firstColumn="1" w:lastColumn="0" w:noHBand="0" w:noVBand="1"/>
      </w:tblPr>
      <w:tblGrid>
        <w:gridCol w:w="2405"/>
        <w:gridCol w:w="1843"/>
      </w:tblGrid>
      <w:tr w:rsidR="000315FF" w:rsidRPr="00460DA2" w14:paraId="6E40A6AC" w14:textId="77777777" w:rsidTr="00565E3F">
        <w:trPr>
          <w:jc w:val="center"/>
        </w:trPr>
        <w:tc>
          <w:tcPr>
            <w:tcW w:w="2405" w:type="dxa"/>
            <w:vAlign w:val="center"/>
          </w:tcPr>
          <w:p w14:paraId="4087EEF5" w14:textId="1036C73C" w:rsidR="000315FF" w:rsidRPr="00460DA2" w:rsidRDefault="000315FF" w:rsidP="000315FF">
            <w:pPr>
              <w:ind w:left="0" w:firstLine="0"/>
              <w:jc w:val="left"/>
              <w:rPr>
                <w:rFonts w:ascii="Arial" w:hAnsi="Arial" w:cs="Arial"/>
                <w:b/>
                <w:sz w:val="18"/>
                <w:szCs w:val="18"/>
              </w:rPr>
            </w:pPr>
            <w:r w:rsidRPr="00460DA2">
              <w:rPr>
                <w:rFonts w:ascii="Arial" w:hAnsi="Arial" w:cs="Arial"/>
                <w:color w:val="000000"/>
                <w:sz w:val="18"/>
                <w:szCs w:val="18"/>
              </w:rPr>
              <w:t>Primaria incompleta</w:t>
            </w:r>
          </w:p>
        </w:tc>
        <w:tc>
          <w:tcPr>
            <w:tcW w:w="1843" w:type="dxa"/>
            <w:vAlign w:val="bottom"/>
          </w:tcPr>
          <w:p w14:paraId="39E701E6" w14:textId="773D2E40" w:rsidR="000315FF" w:rsidRPr="00460DA2" w:rsidRDefault="000315FF" w:rsidP="000315FF">
            <w:pPr>
              <w:ind w:left="0" w:firstLine="0"/>
              <w:jc w:val="center"/>
              <w:rPr>
                <w:rFonts w:ascii="Arial" w:hAnsi="Arial" w:cs="Arial"/>
                <w:b/>
                <w:sz w:val="18"/>
                <w:szCs w:val="18"/>
              </w:rPr>
            </w:pPr>
            <w:r w:rsidRPr="00460DA2">
              <w:rPr>
                <w:rFonts w:ascii="Arial" w:hAnsi="Arial" w:cs="Arial"/>
                <w:b/>
                <w:bCs/>
                <w:color w:val="000000"/>
                <w:sz w:val="18"/>
                <w:szCs w:val="18"/>
              </w:rPr>
              <w:t>0.01</w:t>
            </w:r>
          </w:p>
        </w:tc>
      </w:tr>
      <w:tr w:rsidR="00460DA2" w:rsidRPr="00460DA2" w14:paraId="5FBC6FA2" w14:textId="77777777" w:rsidTr="00565E3F">
        <w:trPr>
          <w:jc w:val="center"/>
        </w:trPr>
        <w:tc>
          <w:tcPr>
            <w:tcW w:w="2405" w:type="dxa"/>
            <w:vAlign w:val="center"/>
          </w:tcPr>
          <w:p w14:paraId="5066E294" w14:textId="77777777" w:rsidR="00460DA2" w:rsidRPr="00460DA2" w:rsidRDefault="00460DA2" w:rsidP="000315FF">
            <w:pPr>
              <w:ind w:left="0" w:firstLine="0"/>
              <w:jc w:val="left"/>
              <w:rPr>
                <w:rFonts w:ascii="Arial" w:hAnsi="Arial" w:cs="Arial"/>
                <w:color w:val="000000"/>
                <w:sz w:val="18"/>
                <w:szCs w:val="18"/>
              </w:rPr>
            </w:pPr>
          </w:p>
        </w:tc>
        <w:tc>
          <w:tcPr>
            <w:tcW w:w="1843" w:type="dxa"/>
            <w:vAlign w:val="bottom"/>
          </w:tcPr>
          <w:p w14:paraId="160F304B" w14:textId="411C839F" w:rsidR="00460DA2" w:rsidRPr="00460DA2" w:rsidRDefault="00460DA2" w:rsidP="000315FF">
            <w:pPr>
              <w:ind w:left="0" w:firstLine="0"/>
              <w:jc w:val="center"/>
              <w:rPr>
                <w:rFonts w:ascii="Arial" w:hAnsi="Arial" w:cs="Arial"/>
                <w:bCs/>
                <w:color w:val="000000"/>
                <w:sz w:val="18"/>
                <w:szCs w:val="18"/>
              </w:rPr>
            </w:pPr>
            <w:r w:rsidRPr="00460DA2">
              <w:rPr>
                <w:rFonts w:ascii="Arial" w:hAnsi="Arial" w:cs="Arial"/>
                <w:sz w:val="18"/>
                <w:szCs w:val="18"/>
              </w:rPr>
              <w:t>0.00</w:t>
            </w:r>
          </w:p>
        </w:tc>
      </w:tr>
      <w:tr w:rsidR="000315FF" w:rsidRPr="00460DA2" w14:paraId="2B3D268F" w14:textId="77777777" w:rsidTr="00565E3F">
        <w:trPr>
          <w:jc w:val="center"/>
        </w:trPr>
        <w:tc>
          <w:tcPr>
            <w:tcW w:w="2405" w:type="dxa"/>
            <w:vAlign w:val="center"/>
          </w:tcPr>
          <w:p w14:paraId="414717AF" w14:textId="2086026B" w:rsidR="000315FF" w:rsidRPr="00460DA2" w:rsidRDefault="000315FF" w:rsidP="000315FF">
            <w:pPr>
              <w:ind w:left="0" w:firstLine="0"/>
              <w:jc w:val="left"/>
              <w:rPr>
                <w:rFonts w:ascii="Arial" w:hAnsi="Arial" w:cs="Arial"/>
                <w:b/>
                <w:sz w:val="18"/>
                <w:szCs w:val="18"/>
              </w:rPr>
            </w:pPr>
            <w:r w:rsidRPr="00460DA2">
              <w:rPr>
                <w:rFonts w:ascii="Arial" w:hAnsi="Arial" w:cs="Arial"/>
                <w:color w:val="000000"/>
                <w:sz w:val="18"/>
                <w:szCs w:val="18"/>
              </w:rPr>
              <w:t>Primaria completa</w:t>
            </w:r>
          </w:p>
        </w:tc>
        <w:tc>
          <w:tcPr>
            <w:tcW w:w="1843" w:type="dxa"/>
            <w:vAlign w:val="bottom"/>
          </w:tcPr>
          <w:p w14:paraId="5F647082" w14:textId="01244A4F" w:rsidR="000315FF" w:rsidRPr="00460DA2" w:rsidRDefault="000315FF" w:rsidP="000315FF">
            <w:pPr>
              <w:ind w:left="0" w:firstLine="0"/>
              <w:jc w:val="center"/>
              <w:rPr>
                <w:rFonts w:ascii="Arial" w:hAnsi="Arial" w:cs="Arial"/>
                <w:b/>
                <w:sz w:val="18"/>
                <w:szCs w:val="18"/>
              </w:rPr>
            </w:pPr>
            <w:r w:rsidRPr="00460DA2">
              <w:rPr>
                <w:rFonts w:ascii="Arial" w:hAnsi="Arial" w:cs="Arial"/>
                <w:b/>
                <w:bCs/>
                <w:color w:val="000000"/>
                <w:sz w:val="18"/>
                <w:szCs w:val="18"/>
              </w:rPr>
              <w:t>0.16</w:t>
            </w:r>
          </w:p>
        </w:tc>
      </w:tr>
      <w:tr w:rsidR="00460DA2" w:rsidRPr="00460DA2" w14:paraId="54055EA8" w14:textId="77777777" w:rsidTr="00565E3F">
        <w:trPr>
          <w:jc w:val="center"/>
        </w:trPr>
        <w:tc>
          <w:tcPr>
            <w:tcW w:w="2405" w:type="dxa"/>
            <w:vAlign w:val="center"/>
          </w:tcPr>
          <w:p w14:paraId="5538FF90" w14:textId="77777777" w:rsidR="00460DA2" w:rsidRPr="00460DA2" w:rsidRDefault="00460DA2" w:rsidP="000315FF">
            <w:pPr>
              <w:ind w:left="0" w:firstLine="0"/>
              <w:jc w:val="left"/>
              <w:rPr>
                <w:rFonts w:ascii="Arial" w:hAnsi="Arial" w:cs="Arial"/>
                <w:color w:val="000000"/>
                <w:sz w:val="18"/>
                <w:szCs w:val="18"/>
              </w:rPr>
            </w:pPr>
          </w:p>
        </w:tc>
        <w:tc>
          <w:tcPr>
            <w:tcW w:w="1843" w:type="dxa"/>
            <w:vAlign w:val="bottom"/>
          </w:tcPr>
          <w:p w14:paraId="06B11F2B" w14:textId="5EC10CCE" w:rsidR="00460DA2" w:rsidRPr="00460DA2" w:rsidRDefault="00460DA2" w:rsidP="000315FF">
            <w:pPr>
              <w:ind w:left="0" w:firstLine="0"/>
              <w:jc w:val="center"/>
              <w:rPr>
                <w:rFonts w:ascii="Arial" w:hAnsi="Arial" w:cs="Arial"/>
                <w:bCs/>
                <w:color w:val="000000"/>
                <w:sz w:val="18"/>
                <w:szCs w:val="18"/>
              </w:rPr>
            </w:pPr>
            <w:r w:rsidRPr="00460DA2">
              <w:rPr>
                <w:rFonts w:ascii="Arial" w:hAnsi="Arial" w:cs="Arial"/>
                <w:sz w:val="18"/>
                <w:szCs w:val="18"/>
              </w:rPr>
              <w:t>0.03</w:t>
            </w:r>
          </w:p>
        </w:tc>
      </w:tr>
      <w:tr w:rsidR="000315FF" w:rsidRPr="00460DA2" w14:paraId="1596A792" w14:textId="77777777" w:rsidTr="00565E3F">
        <w:trPr>
          <w:jc w:val="center"/>
        </w:trPr>
        <w:tc>
          <w:tcPr>
            <w:tcW w:w="2405" w:type="dxa"/>
            <w:vAlign w:val="center"/>
          </w:tcPr>
          <w:p w14:paraId="63FD1509" w14:textId="5017907F" w:rsidR="000315FF" w:rsidRPr="00460DA2" w:rsidRDefault="000315FF" w:rsidP="000315FF">
            <w:pPr>
              <w:ind w:left="0" w:firstLine="0"/>
              <w:jc w:val="left"/>
              <w:rPr>
                <w:rFonts w:ascii="Arial" w:hAnsi="Arial" w:cs="Arial"/>
                <w:b/>
                <w:sz w:val="18"/>
                <w:szCs w:val="18"/>
              </w:rPr>
            </w:pPr>
            <w:r w:rsidRPr="00460DA2">
              <w:rPr>
                <w:rFonts w:ascii="Arial" w:hAnsi="Arial" w:cs="Arial"/>
                <w:color w:val="000000"/>
                <w:sz w:val="18"/>
                <w:szCs w:val="18"/>
              </w:rPr>
              <w:t>Secundaria incompleta</w:t>
            </w:r>
          </w:p>
        </w:tc>
        <w:tc>
          <w:tcPr>
            <w:tcW w:w="1843" w:type="dxa"/>
            <w:vAlign w:val="bottom"/>
          </w:tcPr>
          <w:p w14:paraId="7F1CF958" w14:textId="68437251" w:rsidR="000315FF" w:rsidRPr="00460DA2" w:rsidRDefault="000315FF" w:rsidP="000315FF">
            <w:pPr>
              <w:ind w:left="0" w:firstLine="0"/>
              <w:jc w:val="center"/>
              <w:rPr>
                <w:rFonts w:ascii="Arial" w:hAnsi="Arial" w:cs="Arial"/>
                <w:b/>
                <w:sz w:val="18"/>
                <w:szCs w:val="18"/>
              </w:rPr>
            </w:pPr>
            <w:r w:rsidRPr="00460DA2">
              <w:rPr>
                <w:rFonts w:ascii="Arial" w:hAnsi="Arial" w:cs="Arial"/>
                <w:b/>
                <w:bCs/>
                <w:color w:val="000000"/>
                <w:sz w:val="18"/>
                <w:szCs w:val="18"/>
              </w:rPr>
              <w:t>-0.02</w:t>
            </w:r>
          </w:p>
        </w:tc>
      </w:tr>
      <w:tr w:rsidR="00460DA2" w:rsidRPr="00460DA2" w14:paraId="04BF2BD5" w14:textId="77777777" w:rsidTr="00565E3F">
        <w:trPr>
          <w:jc w:val="center"/>
        </w:trPr>
        <w:tc>
          <w:tcPr>
            <w:tcW w:w="2405" w:type="dxa"/>
            <w:vAlign w:val="center"/>
          </w:tcPr>
          <w:p w14:paraId="0CA7529E" w14:textId="77777777" w:rsidR="00460DA2" w:rsidRPr="00460DA2" w:rsidRDefault="00460DA2" w:rsidP="000315FF">
            <w:pPr>
              <w:ind w:left="0" w:firstLine="0"/>
              <w:jc w:val="left"/>
              <w:rPr>
                <w:rFonts w:ascii="Arial" w:hAnsi="Arial" w:cs="Arial"/>
                <w:color w:val="000000"/>
                <w:sz w:val="18"/>
                <w:szCs w:val="18"/>
              </w:rPr>
            </w:pPr>
          </w:p>
        </w:tc>
        <w:tc>
          <w:tcPr>
            <w:tcW w:w="1843" w:type="dxa"/>
            <w:vAlign w:val="bottom"/>
          </w:tcPr>
          <w:p w14:paraId="0A19397D" w14:textId="370D6DB5" w:rsidR="00460DA2" w:rsidRPr="00460DA2" w:rsidRDefault="00460DA2" w:rsidP="000315FF">
            <w:pPr>
              <w:ind w:left="0" w:firstLine="0"/>
              <w:jc w:val="center"/>
              <w:rPr>
                <w:rFonts w:ascii="Arial" w:hAnsi="Arial" w:cs="Arial"/>
                <w:bCs/>
                <w:color w:val="000000"/>
                <w:sz w:val="18"/>
                <w:szCs w:val="18"/>
              </w:rPr>
            </w:pPr>
            <w:r w:rsidRPr="00460DA2">
              <w:rPr>
                <w:rFonts w:ascii="Arial" w:hAnsi="Arial" w:cs="Arial"/>
                <w:sz w:val="18"/>
                <w:szCs w:val="18"/>
              </w:rPr>
              <w:t>0.01</w:t>
            </w:r>
          </w:p>
        </w:tc>
      </w:tr>
      <w:tr w:rsidR="000315FF" w:rsidRPr="00460DA2" w14:paraId="7E3D45D6" w14:textId="77777777" w:rsidTr="00565E3F">
        <w:trPr>
          <w:jc w:val="center"/>
        </w:trPr>
        <w:tc>
          <w:tcPr>
            <w:tcW w:w="2405" w:type="dxa"/>
            <w:vAlign w:val="center"/>
          </w:tcPr>
          <w:p w14:paraId="4FA75698" w14:textId="330F38DF" w:rsidR="000315FF" w:rsidRPr="00460DA2" w:rsidRDefault="000315FF" w:rsidP="000315FF">
            <w:pPr>
              <w:ind w:left="0" w:firstLine="0"/>
              <w:jc w:val="left"/>
              <w:rPr>
                <w:rFonts w:ascii="Arial" w:hAnsi="Arial" w:cs="Arial"/>
                <w:b/>
                <w:sz w:val="18"/>
                <w:szCs w:val="18"/>
              </w:rPr>
            </w:pPr>
            <w:r w:rsidRPr="00460DA2">
              <w:rPr>
                <w:rFonts w:ascii="Arial" w:hAnsi="Arial" w:cs="Arial"/>
                <w:color w:val="000000"/>
                <w:sz w:val="18"/>
                <w:szCs w:val="18"/>
              </w:rPr>
              <w:t>Secundaria completa</w:t>
            </w:r>
          </w:p>
        </w:tc>
        <w:tc>
          <w:tcPr>
            <w:tcW w:w="1843" w:type="dxa"/>
            <w:vAlign w:val="bottom"/>
          </w:tcPr>
          <w:p w14:paraId="61B1D4CA" w14:textId="7E85816A" w:rsidR="000315FF" w:rsidRPr="00460DA2" w:rsidRDefault="000315FF" w:rsidP="000315FF">
            <w:pPr>
              <w:ind w:left="0" w:firstLine="0"/>
              <w:jc w:val="center"/>
              <w:rPr>
                <w:rFonts w:ascii="Arial" w:hAnsi="Arial" w:cs="Arial"/>
                <w:b/>
                <w:sz w:val="18"/>
                <w:szCs w:val="18"/>
              </w:rPr>
            </w:pPr>
            <w:r w:rsidRPr="00460DA2">
              <w:rPr>
                <w:rFonts w:ascii="Arial" w:hAnsi="Arial" w:cs="Arial"/>
                <w:b/>
                <w:bCs/>
                <w:color w:val="000000"/>
                <w:sz w:val="18"/>
                <w:szCs w:val="18"/>
              </w:rPr>
              <w:t>0.28</w:t>
            </w:r>
          </w:p>
        </w:tc>
      </w:tr>
      <w:tr w:rsidR="00460DA2" w:rsidRPr="00460DA2" w14:paraId="224C963E" w14:textId="77777777" w:rsidTr="00565E3F">
        <w:trPr>
          <w:jc w:val="center"/>
        </w:trPr>
        <w:tc>
          <w:tcPr>
            <w:tcW w:w="2405" w:type="dxa"/>
            <w:vAlign w:val="center"/>
          </w:tcPr>
          <w:p w14:paraId="57A47C87" w14:textId="77777777" w:rsidR="00460DA2" w:rsidRPr="00460DA2" w:rsidRDefault="00460DA2" w:rsidP="000315FF">
            <w:pPr>
              <w:ind w:left="0" w:firstLine="0"/>
              <w:jc w:val="left"/>
              <w:rPr>
                <w:rFonts w:ascii="Arial" w:hAnsi="Arial" w:cs="Arial"/>
                <w:color w:val="000000"/>
                <w:sz w:val="18"/>
                <w:szCs w:val="18"/>
              </w:rPr>
            </w:pPr>
          </w:p>
        </w:tc>
        <w:tc>
          <w:tcPr>
            <w:tcW w:w="1843" w:type="dxa"/>
            <w:vAlign w:val="bottom"/>
          </w:tcPr>
          <w:p w14:paraId="5C4A1D22" w14:textId="193690A6" w:rsidR="00460DA2" w:rsidRPr="00460DA2" w:rsidRDefault="00460DA2" w:rsidP="000315FF">
            <w:pPr>
              <w:ind w:left="0" w:firstLine="0"/>
              <w:jc w:val="center"/>
              <w:rPr>
                <w:rFonts w:ascii="Arial" w:hAnsi="Arial" w:cs="Arial"/>
                <w:bCs/>
                <w:color w:val="000000"/>
                <w:sz w:val="18"/>
                <w:szCs w:val="18"/>
              </w:rPr>
            </w:pPr>
            <w:r w:rsidRPr="00460DA2">
              <w:rPr>
                <w:rFonts w:ascii="Arial" w:hAnsi="Arial" w:cs="Arial"/>
                <w:sz w:val="18"/>
                <w:szCs w:val="18"/>
              </w:rPr>
              <w:t>0.03</w:t>
            </w:r>
          </w:p>
        </w:tc>
      </w:tr>
      <w:tr w:rsidR="000315FF" w:rsidRPr="00460DA2" w14:paraId="38973164" w14:textId="77777777" w:rsidTr="00565E3F">
        <w:trPr>
          <w:jc w:val="center"/>
        </w:trPr>
        <w:tc>
          <w:tcPr>
            <w:tcW w:w="2405" w:type="dxa"/>
            <w:vAlign w:val="center"/>
          </w:tcPr>
          <w:p w14:paraId="0FAD17A2" w14:textId="6A058998" w:rsidR="000315FF" w:rsidRPr="00460DA2" w:rsidRDefault="000315FF" w:rsidP="000315FF">
            <w:pPr>
              <w:ind w:left="0" w:firstLine="0"/>
              <w:jc w:val="left"/>
              <w:rPr>
                <w:rFonts w:ascii="Arial" w:hAnsi="Arial" w:cs="Arial"/>
                <w:b/>
                <w:sz w:val="18"/>
                <w:szCs w:val="18"/>
              </w:rPr>
            </w:pPr>
            <w:r w:rsidRPr="00460DA2">
              <w:rPr>
                <w:rFonts w:ascii="Arial" w:hAnsi="Arial" w:cs="Arial"/>
                <w:color w:val="000000"/>
                <w:sz w:val="18"/>
                <w:szCs w:val="18"/>
              </w:rPr>
              <w:t>Universidad incompleta</w:t>
            </w:r>
          </w:p>
        </w:tc>
        <w:tc>
          <w:tcPr>
            <w:tcW w:w="1843" w:type="dxa"/>
            <w:vAlign w:val="bottom"/>
          </w:tcPr>
          <w:p w14:paraId="7E70631C" w14:textId="62C2ABB4" w:rsidR="000315FF" w:rsidRPr="00460DA2" w:rsidRDefault="000315FF" w:rsidP="000315FF">
            <w:pPr>
              <w:ind w:left="0" w:firstLine="0"/>
              <w:jc w:val="center"/>
              <w:rPr>
                <w:rFonts w:ascii="Arial" w:hAnsi="Arial" w:cs="Arial"/>
                <w:b/>
                <w:sz w:val="18"/>
                <w:szCs w:val="18"/>
              </w:rPr>
            </w:pPr>
            <w:r w:rsidRPr="00460DA2">
              <w:rPr>
                <w:rFonts w:ascii="Arial" w:hAnsi="Arial" w:cs="Arial"/>
                <w:b/>
                <w:bCs/>
                <w:color w:val="000000"/>
                <w:sz w:val="18"/>
                <w:szCs w:val="18"/>
              </w:rPr>
              <w:t>0.2</w:t>
            </w:r>
          </w:p>
        </w:tc>
      </w:tr>
      <w:tr w:rsidR="00460DA2" w:rsidRPr="00460DA2" w14:paraId="69B12A5F" w14:textId="77777777" w:rsidTr="00565E3F">
        <w:trPr>
          <w:jc w:val="center"/>
        </w:trPr>
        <w:tc>
          <w:tcPr>
            <w:tcW w:w="2405" w:type="dxa"/>
            <w:vAlign w:val="center"/>
          </w:tcPr>
          <w:p w14:paraId="3DEA04E8" w14:textId="77777777" w:rsidR="00460DA2" w:rsidRPr="00460DA2" w:rsidRDefault="00460DA2" w:rsidP="000315FF">
            <w:pPr>
              <w:ind w:left="0" w:firstLine="0"/>
              <w:jc w:val="left"/>
              <w:rPr>
                <w:rFonts w:ascii="Arial" w:hAnsi="Arial" w:cs="Arial"/>
                <w:color w:val="000000"/>
                <w:sz w:val="18"/>
                <w:szCs w:val="18"/>
              </w:rPr>
            </w:pPr>
          </w:p>
        </w:tc>
        <w:tc>
          <w:tcPr>
            <w:tcW w:w="1843" w:type="dxa"/>
            <w:vAlign w:val="bottom"/>
          </w:tcPr>
          <w:p w14:paraId="55CB0CA6" w14:textId="144CB34D" w:rsidR="00460DA2" w:rsidRPr="00460DA2" w:rsidRDefault="00460DA2" w:rsidP="000315FF">
            <w:pPr>
              <w:ind w:left="0" w:firstLine="0"/>
              <w:jc w:val="center"/>
              <w:rPr>
                <w:rFonts w:ascii="Arial" w:hAnsi="Arial" w:cs="Arial"/>
                <w:bCs/>
                <w:color w:val="000000"/>
                <w:sz w:val="18"/>
                <w:szCs w:val="18"/>
              </w:rPr>
            </w:pPr>
            <w:r w:rsidRPr="00460DA2">
              <w:rPr>
                <w:rFonts w:ascii="Arial" w:hAnsi="Arial" w:cs="Arial"/>
                <w:sz w:val="18"/>
                <w:szCs w:val="18"/>
              </w:rPr>
              <w:t>0.02</w:t>
            </w:r>
          </w:p>
        </w:tc>
      </w:tr>
      <w:tr w:rsidR="000315FF" w:rsidRPr="00460DA2" w14:paraId="610663F3" w14:textId="77777777" w:rsidTr="00565E3F">
        <w:trPr>
          <w:jc w:val="center"/>
        </w:trPr>
        <w:tc>
          <w:tcPr>
            <w:tcW w:w="2405" w:type="dxa"/>
            <w:vAlign w:val="center"/>
          </w:tcPr>
          <w:p w14:paraId="1B4EABDD" w14:textId="717C6A1A" w:rsidR="000315FF" w:rsidRPr="00460DA2" w:rsidRDefault="000315FF" w:rsidP="000315FF">
            <w:pPr>
              <w:ind w:left="0" w:firstLine="0"/>
              <w:jc w:val="left"/>
              <w:rPr>
                <w:rFonts w:ascii="Arial" w:hAnsi="Arial" w:cs="Arial"/>
                <w:b/>
                <w:sz w:val="18"/>
                <w:szCs w:val="18"/>
              </w:rPr>
            </w:pPr>
            <w:r w:rsidRPr="00460DA2">
              <w:rPr>
                <w:rFonts w:ascii="Arial" w:hAnsi="Arial" w:cs="Arial"/>
                <w:color w:val="000000"/>
                <w:sz w:val="18"/>
                <w:szCs w:val="18"/>
              </w:rPr>
              <w:t>Universidad completa</w:t>
            </w:r>
          </w:p>
        </w:tc>
        <w:tc>
          <w:tcPr>
            <w:tcW w:w="1843" w:type="dxa"/>
            <w:vAlign w:val="bottom"/>
          </w:tcPr>
          <w:p w14:paraId="3423EB4B" w14:textId="6141FD51" w:rsidR="000315FF" w:rsidRPr="00460DA2" w:rsidRDefault="000315FF" w:rsidP="000315FF">
            <w:pPr>
              <w:ind w:left="0" w:firstLine="0"/>
              <w:jc w:val="center"/>
              <w:rPr>
                <w:rFonts w:ascii="Arial" w:hAnsi="Arial" w:cs="Arial"/>
                <w:b/>
                <w:sz w:val="18"/>
                <w:szCs w:val="18"/>
              </w:rPr>
            </w:pPr>
            <w:r w:rsidRPr="00460DA2">
              <w:rPr>
                <w:rFonts w:ascii="Arial" w:hAnsi="Arial" w:cs="Arial"/>
                <w:b/>
                <w:bCs/>
                <w:color w:val="000000"/>
                <w:sz w:val="18"/>
                <w:szCs w:val="18"/>
              </w:rPr>
              <w:t>0.72</w:t>
            </w:r>
          </w:p>
        </w:tc>
      </w:tr>
      <w:tr w:rsidR="00460DA2" w:rsidRPr="00460DA2" w14:paraId="10913200" w14:textId="77777777" w:rsidTr="000315FF">
        <w:trPr>
          <w:jc w:val="center"/>
        </w:trPr>
        <w:tc>
          <w:tcPr>
            <w:tcW w:w="2405" w:type="dxa"/>
            <w:vAlign w:val="center"/>
          </w:tcPr>
          <w:p w14:paraId="36EB2912" w14:textId="77777777" w:rsidR="00460DA2" w:rsidRPr="00460DA2" w:rsidRDefault="00460DA2" w:rsidP="000315FF">
            <w:pPr>
              <w:ind w:left="0" w:firstLine="0"/>
              <w:jc w:val="left"/>
              <w:rPr>
                <w:rFonts w:ascii="Arial" w:hAnsi="Arial" w:cs="Arial"/>
                <w:color w:val="000000"/>
                <w:sz w:val="18"/>
                <w:szCs w:val="18"/>
              </w:rPr>
            </w:pPr>
          </w:p>
        </w:tc>
        <w:tc>
          <w:tcPr>
            <w:tcW w:w="1843" w:type="dxa"/>
            <w:vAlign w:val="center"/>
          </w:tcPr>
          <w:p w14:paraId="76936B88" w14:textId="421F5513" w:rsidR="00460DA2" w:rsidRPr="00460DA2" w:rsidRDefault="00460DA2" w:rsidP="000315FF">
            <w:pPr>
              <w:ind w:left="0" w:firstLine="0"/>
              <w:jc w:val="center"/>
              <w:rPr>
                <w:rFonts w:ascii="Arial" w:hAnsi="Arial" w:cs="Arial"/>
                <w:sz w:val="18"/>
                <w:szCs w:val="18"/>
              </w:rPr>
            </w:pPr>
            <w:r w:rsidRPr="00460DA2">
              <w:rPr>
                <w:rFonts w:ascii="Arial" w:hAnsi="Arial" w:cs="Arial"/>
                <w:sz w:val="18"/>
                <w:szCs w:val="18"/>
              </w:rPr>
              <w:t>0.02</w:t>
            </w:r>
          </w:p>
        </w:tc>
      </w:tr>
      <w:tr w:rsidR="000315FF" w:rsidRPr="00460DA2" w14:paraId="058CE8F7" w14:textId="77777777" w:rsidTr="000315FF">
        <w:trPr>
          <w:jc w:val="center"/>
        </w:trPr>
        <w:tc>
          <w:tcPr>
            <w:tcW w:w="2405" w:type="dxa"/>
            <w:vAlign w:val="center"/>
          </w:tcPr>
          <w:p w14:paraId="4D355AF6" w14:textId="06CBA63E" w:rsidR="000315FF" w:rsidRPr="00460DA2" w:rsidRDefault="000315FF" w:rsidP="000315FF">
            <w:pPr>
              <w:ind w:left="0" w:firstLine="0"/>
              <w:jc w:val="left"/>
              <w:rPr>
                <w:rFonts w:ascii="Arial" w:hAnsi="Arial" w:cs="Arial"/>
                <w:b/>
                <w:sz w:val="18"/>
                <w:szCs w:val="18"/>
              </w:rPr>
            </w:pPr>
            <w:proofErr w:type="spellStart"/>
            <w:r w:rsidRPr="00460DA2">
              <w:rPr>
                <w:rFonts w:ascii="Arial" w:hAnsi="Arial" w:cs="Arial"/>
                <w:color w:val="000000"/>
                <w:sz w:val="18"/>
                <w:szCs w:val="18"/>
              </w:rPr>
              <w:t>exp</w:t>
            </w:r>
            <w:proofErr w:type="spellEnd"/>
          </w:p>
        </w:tc>
        <w:tc>
          <w:tcPr>
            <w:tcW w:w="1843" w:type="dxa"/>
            <w:vAlign w:val="center"/>
          </w:tcPr>
          <w:p w14:paraId="12EF689C" w14:textId="26AD71CC" w:rsidR="000315FF" w:rsidRPr="00460DA2" w:rsidRDefault="000315FF" w:rsidP="000315FF">
            <w:pPr>
              <w:ind w:left="0" w:firstLine="0"/>
              <w:jc w:val="center"/>
              <w:rPr>
                <w:rFonts w:ascii="Arial" w:hAnsi="Arial" w:cs="Arial"/>
                <w:b/>
                <w:sz w:val="18"/>
                <w:szCs w:val="18"/>
              </w:rPr>
            </w:pPr>
            <w:r w:rsidRPr="00460DA2">
              <w:rPr>
                <w:rFonts w:ascii="Arial" w:hAnsi="Arial" w:cs="Arial"/>
                <w:b/>
                <w:sz w:val="18"/>
                <w:szCs w:val="18"/>
              </w:rPr>
              <w:t>0.0</w:t>
            </w:r>
            <w:r w:rsidR="00460DA2" w:rsidRPr="00460DA2">
              <w:rPr>
                <w:rFonts w:ascii="Arial" w:hAnsi="Arial" w:cs="Arial"/>
                <w:b/>
                <w:sz w:val="18"/>
                <w:szCs w:val="18"/>
              </w:rPr>
              <w:t>3</w:t>
            </w:r>
          </w:p>
        </w:tc>
      </w:tr>
      <w:tr w:rsidR="00460DA2" w:rsidRPr="00460DA2" w14:paraId="3F6A5EAC" w14:textId="77777777" w:rsidTr="000315FF">
        <w:trPr>
          <w:jc w:val="center"/>
        </w:trPr>
        <w:tc>
          <w:tcPr>
            <w:tcW w:w="2405" w:type="dxa"/>
            <w:vAlign w:val="center"/>
          </w:tcPr>
          <w:p w14:paraId="30F0471C" w14:textId="77777777" w:rsidR="00460DA2" w:rsidRPr="00460DA2" w:rsidRDefault="00460DA2" w:rsidP="000315FF">
            <w:pPr>
              <w:ind w:left="0" w:firstLine="0"/>
              <w:jc w:val="left"/>
              <w:rPr>
                <w:rFonts w:ascii="Arial" w:hAnsi="Arial" w:cs="Arial"/>
                <w:color w:val="000000"/>
                <w:sz w:val="18"/>
                <w:szCs w:val="18"/>
              </w:rPr>
            </w:pPr>
          </w:p>
        </w:tc>
        <w:tc>
          <w:tcPr>
            <w:tcW w:w="1843" w:type="dxa"/>
            <w:vAlign w:val="center"/>
          </w:tcPr>
          <w:p w14:paraId="0CE4C51B" w14:textId="0451D327" w:rsidR="00460DA2" w:rsidRPr="00460DA2" w:rsidRDefault="00460DA2" w:rsidP="000315FF">
            <w:pPr>
              <w:ind w:left="0" w:firstLine="0"/>
              <w:jc w:val="center"/>
              <w:rPr>
                <w:rFonts w:ascii="Arial" w:hAnsi="Arial" w:cs="Arial"/>
                <w:sz w:val="18"/>
                <w:szCs w:val="18"/>
              </w:rPr>
            </w:pPr>
            <w:r w:rsidRPr="00460DA2">
              <w:rPr>
                <w:rFonts w:ascii="Arial" w:hAnsi="Arial" w:cs="Arial"/>
                <w:sz w:val="18"/>
                <w:szCs w:val="18"/>
              </w:rPr>
              <w:t>0.00</w:t>
            </w:r>
          </w:p>
        </w:tc>
      </w:tr>
      <w:tr w:rsidR="000315FF" w:rsidRPr="00460DA2" w14:paraId="6D36CB03" w14:textId="77777777" w:rsidTr="000315FF">
        <w:trPr>
          <w:jc w:val="center"/>
        </w:trPr>
        <w:tc>
          <w:tcPr>
            <w:tcW w:w="2405" w:type="dxa"/>
            <w:vAlign w:val="center"/>
          </w:tcPr>
          <w:p w14:paraId="09D1F95E" w14:textId="4DB53FEF" w:rsidR="000315FF" w:rsidRPr="00460DA2" w:rsidRDefault="000315FF" w:rsidP="000315FF">
            <w:pPr>
              <w:ind w:left="0" w:firstLine="0"/>
              <w:jc w:val="left"/>
              <w:rPr>
                <w:rFonts w:ascii="Arial" w:hAnsi="Arial" w:cs="Arial"/>
                <w:b/>
                <w:sz w:val="18"/>
                <w:szCs w:val="18"/>
              </w:rPr>
            </w:pPr>
            <w:r w:rsidRPr="00460DA2">
              <w:rPr>
                <w:rFonts w:ascii="Arial" w:hAnsi="Arial" w:cs="Arial"/>
                <w:color w:val="000000"/>
                <w:sz w:val="18"/>
                <w:szCs w:val="18"/>
              </w:rPr>
              <w:t>exp2</w:t>
            </w:r>
          </w:p>
        </w:tc>
        <w:tc>
          <w:tcPr>
            <w:tcW w:w="1843" w:type="dxa"/>
            <w:vAlign w:val="center"/>
          </w:tcPr>
          <w:p w14:paraId="57583003" w14:textId="042B8405" w:rsidR="000315FF" w:rsidRPr="00460DA2" w:rsidRDefault="000315FF" w:rsidP="000315FF">
            <w:pPr>
              <w:ind w:left="0" w:firstLine="0"/>
              <w:jc w:val="center"/>
              <w:rPr>
                <w:rFonts w:ascii="Arial" w:hAnsi="Arial" w:cs="Arial"/>
                <w:b/>
                <w:sz w:val="18"/>
                <w:szCs w:val="18"/>
              </w:rPr>
            </w:pPr>
            <w:r w:rsidRPr="00460DA2">
              <w:rPr>
                <w:rFonts w:ascii="Arial" w:hAnsi="Arial" w:cs="Arial"/>
                <w:b/>
                <w:sz w:val="18"/>
                <w:szCs w:val="18"/>
              </w:rPr>
              <w:t>0.00</w:t>
            </w:r>
          </w:p>
        </w:tc>
      </w:tr>
      <w:tr w:rsidR="00460DA2" w:rsidRPr="00460DA2" w14:paraId="7B547C83" w14:textId="77777777" w:rsidTr="000315FF">
        <w:trPr>
          <w:jc w:val="center"/>
        </w:trPr>
        <w:tc>
          <w:tcPr>
            <w:tcW w:w="2405" w:type="dxa"/>
            <w:vAlign w:val="center"/>
          </w:tcPr>
          <w:p w14:paraId="3360FC08" w14:textId="77777777" w:rsidR="00460DA2" w:rsidRPr="00460DA2" w:rsidRDefault="00460DA2" w:rsidP="000315FF">
            <w:pPr>
              <w:ind w:left="0" w:firstLine="0"/>
              <w:jc w:val="left"/>
              <w:rPr>
                <w:rFonts w:ascii="Arial" w:hAnsi="Arial" w:cs="Arial"/>
                <w:color w:val="000000"/>
                <w:sz w:val="18"/>
                <w:szCs w:val="18"/>
              </w:rPr>
            </w:pPr>
          </w:p>
        </w:tc>
        <w:tc>
          <w:tcPr>
            <w:tcW w:w="1843" w:type="dxa"/>
            <w:vAlign w:val="center"/>
          </w:tcPr>
          <w:p w14:paraId="2AB1A004" w14:textId="521E363D" w:rsidR="00460DA2" w:rsidRPr="00460DA2" w:rsidRDefault="00460DA2" w:rsidP="000315FF">
            <w:pPr>
              <w:ind w:left="0" w:firstLine="0"/>
              <w:jc w:val="center"/>
              <w:rPr>
                <w:rFonts w:ascii="Arial" w:hAnsi="Arial" w:cs="Arial"/>
                <w:sz w:val="18"/>
                <w:szCs w:val="18"/>
              </w:rPr>
            </w:pPr>
            <w:r w:rsidRPr="00460DA2">
              <w:rPr>
                <w:rFonts w:ascii="Arial" w:hAnsi="Arial" w:cs="Arial"/>
                <w:sz w:val="18"/>
                <w:szCs w:val="18"/>
              </w:rPr>
              <w:t>0.00</w:t>
            </w:r>
          </w:p>
        </w:tc>
      </w:tr>
      <w:tr w:rsidR="000315FF" w:rsidRPr="00460DA2" w14:paraId="3B435195" w14:textId="77777777" w:rsidTr="000315FF">
        <w:trPr>
          <w:jc w:val="center"/>
        </w:trPr>
        <w:tc>
          <w:tcPr>
            <w:tcW w:w="2405" w:type="dxa"/>
            <w:vAlign w:val="center"/>
          </w:tcPr>
          <w:p w14:paraId="41CCDCD8" w14:textId="63C28B92" w:rsidR="000315FF" w:rsidRPr="00460DA2" w:rsidRDefault="000315FF" w:rsidP="000315FF">
            <w:pPr>
              <w:ind w:left="0" w:firstLine="0"/>
              <w:jc w:val="left"/>
              <w:rPr>
                <w:rFonts w:ascii="Arial" w:hAnsi="Arial" w:cs="Arial"/>
                <w:color w:val="000000"/>
                <w:sz w:val="18"/>
                <w:szCs w:val="18"/>
              </w:rPr>
            </w:pPr>
            <w:proofErr w:type="spellStart"/>
            <w:r w:rsidRPr="00460DA2">
              <w:rPr>
                <w:rFonts w:ascii="Arial" w:hAnsi="Arial" w:cs="Arial"/>
                <w:color w:val="000000"/>
                <w:sz w:val="18"/>
                <w:szCs w:val="18"/>
              </w:rPr>
              <w:t>Const</w:t>
            </w:r>
            <w:proofErr w:type="spellEnd"/>
          </w:p>
        </w:tc>
        <w:tc>
          <w:tcPr>
            <w:tcW w:w="1843" w:type="dxa"/>
            <w:vAlign w:val="center"/>
          </w:tcPr>
          <w:p w14:paraId="6B411804" w14:textId="14746CC4" w:rsidR="000315FF" w:rsidRPr="00460DA2" w:rsidRDefault="000315FF" w:rsidP="000315FF">
            <w:pPr>
              <w:ind w:left="0" w:firstLine="0"/>
              <w:jc w:val="center"/>
              <w:rPr>
                <w:rFonts w:ascii="Arial" w:hAnsi="Arial" w:cs="Arial"/>
                <w:b/>
                <w:sz w:val="18"/>
                <w:szCs w:val="18"/>
              </w:rPr>
            </w:pPr>
            <w:r w:rsidRPr="00460DA2">
              <w:rPr>
                <w:rFonts w:ascii="Arial" w:hAnsi="Arial" w:cs="Arial"/>
                <w:b/>
                <w:sz w:val="18"/>
                <w:szCs w:val="18"/>
              </w:rPr>
              <w:t>8.52</w:t>
            </w:r>
          </w:p>
        </w:tc>
      </w:tr>
      <w:tr w:rsidR="00460DA2" w:rsidRPr="00460DA2" w14:paraId="631AF928" w14:textId="77777777" w:rsidTr="000315FF">
        <w:trPr>
          <w:jc w:val="center"/>
        </w:trPr>
        <w:tc>
          <w:tcPr>
            <w:tcW w:w="2405" w:type="dxa"/>
            <w:vAlign w:val="center"/>
          </w:tcPr>
          <w:p w14:paraId="20A32AA2" w14:textId="77777777" w:rsidR="00460DA2" w:rsidRPr="00460DA2" w:rsidRDefault="00460DA2" w:rsidP="000315FF">
            <w:pPr>
              <w:ind w:left="0" w:firstLine="0"/>
              <w:jc w:val="left"/>
              <w:rPr>
                <w:rFonts w:ascii="Arial" w:hAnsi="Arial" w:cs="Arial"/>
                <w:color w:val="000000"/>
                <w:sz w:val="18"/>
                <w:szCs w:val="18"/>
              </w:rPr>
            </w:pPr>
          </w:p>
        </w:tc>
        <w:tc>
          <w:tcPr>
            <w:tcW w:w="1843" w:type="dxa"/>
            <w:vAlign w:val="center"/>
          </w:tcPr>
          <w:p w14:paraId="2EA74BFD" w14:textId="1CD561FA" w:rsidR="00460DA2" w:rsidRPr="00460DA2" w:rsidRDefault="00460DA2" w:rsidP="000315FF">
            <w:pPr>
              <w:ind w:left="0" w:firstLine="0"/>
              <w:jc w:val="center"/>
              <w:rPr>
                <w:rFonts w:ascii="Arial" w:hAnsi="Arial" w:cs="Arial"/>
                <w:b/>
                <w:sz w:val="18"/>
                <w:szCs w:val="18"/>
              </w:rPr>
            </w:pPr>
            <w:r w:rsidRPr="00460DA2">
              <w:rPr>
                <w:rFonts w:ascii="Arial" w:hAnsi="Arial" w:cs="Arial"/>
                <w:b/>
                <w:sz w:val="18"/>
                <w:szCs w:val="18"/>
              </w:rPr>
              <w:t>0.03</w:t>
            </w:r>
          </w:p>
        </w:tc>
      </w:tr>
    </w:tbl>
    <w:p w14:paraId="77C78DEA" w14:textId="77777777" w:rsidR="00BA6B46" w:rsidRPr="00D7474D" w:rsidRDefault="00BA6B46" w:rsidP="00D7474D">
      <w:pPr>
        <w:ind w:left="0" w:firstLine="0"/>
        <w:rPr>
          <w:rFonts w:ascii="Arial" w:hAnsi="Arial" w:cs="Arial"/>
          <w:b/>
        </w:rPr>
      </w:pPr>
    </w:p>
    <w:sectPr w:rsidR="00BA6B46" w:rsidRPr="00D7474D" w:rsidSect="00E837EB">
      <w:pgSz w:w="12240" w:h="15840" w:code="1"/>
      <w:pgMar w:top="1440" w:right="1800" w:bottom="1440" w:left="1800" w:header="706" w:footer="706" w:gutter="0"/>
      <w:pgNumType w:start="1"/>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98894" w14:textId="77777777" w:rsidR="002C4D8B" w:rsidRDefault="002C4D8B">
      <w:r>
        <w:separator/>
      </w:r>
    </w:p>
    <w:p w14:paraId="09097E98" w14:textId="77777777" w:rsidR="002C4D8B" w:rsidRDefault="002C4D8B"/>
  </w:endnote>
  <w:endnote w:type="continuationSeparator" w:id="0">
    <w:p w14:paraId="584D3693" w14:textId="77777777" w:rsidR="002C4D8B" w:rsidRDefault="002C4D8B">
      <w:r>
        <w:continuationSeparator/>
      </w:r>
    </w:p>
    <w:p w14:paraId="25339413" w14:textId="77777777" w:rsidR="002C4D8B" w:rsidRDefault="002C4D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FB52A" w14:textId="77777777" w:rsidR="002B19D2" w:rsidRDefault="002B19D2">
    <w:pPr>
      <w:pStyle w:val="Footer"/>
      <w:framePr w:wrap="around" w:vAnchor="text" w:hAnchor="margin" w:xAlign="right" w:y="1"/>
      <w:rPr>
        <w:rStyle w:val="PageNumber"/>
      </w:rPr>
    </w:pPr>
  </w:p>
  <w:p w14:paraId="5855F648" w14:textId="77777777" w:rsidR="002B19D2" w:rsidRDefault="002B1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703E3" w14:textId="77777777" w:rsidR="002B19D2" w:rsidRPr="00EC08AF" w:rsidRDefault="002B19D2" w:rsidP="00EC08AF">
    <w:pPr>
      <w:pStyle w:val="Footer"/>
      <w:jc w:val="center"/>
      <w:rPr>
        <w:rFonts w:ascii="Arial" w:hAnsi="Arial" w:cs="Arial"/>
        <w:sz w:val="18"/>
        <w:szCs w:val="18"/>
      </w:rPr>
    </w:pPr>
    <w:r w:rsidRPr="00EC08AF">
      <w:rPr>
        <w:rFonts w:ascii="Arial" w:hAnsi="Arial" w:cs="Arial"/>
        <w:sz w:val="18"/>
        <w:szCs w:val="18"/>
      </w:rPr>
      <w:fldChar w:fldCharType="begin"/>
    </w:r>
    <w:r w:rsidRPr="00EC08AF">
      <w:rPr>
        <w:rFonts w:ascii="Arial" w:hAnsi="Arial" w:cs="Arial"/>
        <w:sz w:val="18"/>
        <w:szCs w:val="18"/>
      </w:rPr>
      <w:instrText>PAGE   \* MERGEFORMAT</w:instrText>
    </w:r>
    <w:r w:rsidRPr="00EC08AF">
      <w:rPr>
        <w:rFonts w:ascii="Arial" w:hAnsi="Arial" w:cs="Arial"/>
        <w:sz w:val="18"/>
        <w:szCs w:val="18"/>
      </w:rPr>
      <w:fldChar w:fldCharType="separate"/>
    </w:r>
    <w:r w:rsidR="007A7D3F" w:rsidRPr="007A7D3F">
      <w:rPr>
        <w:rFonts w:ascii="Arial" w:hAnsi="Arial" w:cs="Arial"/>
        <w:noProof/>
        <w:sz w:val="18"/>
        <w:szCs w:val="18"/>
        <w:lang w:val="es-ES"/>
      </w:rPr>
      <w:t>21</w:t>
    </w:r>
    <w:r w:rsidRPr="00EC08AF">
      <w:rPr>
        <w:rFonts w:ascii="Arial" w:hAnsi="Arial" w:cs="Arial"/>
        <w:sz w:val="18"/>
        <w:szCs w:val="18"/>
      </w:rPr>
      <w:fldChar w:fldCharType="end"/>
    </w:r>
  </w:p>
  <w:p w14:paraId="469CEDF6" w14:textId="77777777" w:rsidR="002B19D2" w:rsidRDefault="002B19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A59F0" w14:textId="77777777" w:rsidR="002C4D8B" w:rsidRDefault="002C4D8B">
      <w:r>
        <w:separator/>
      </w:r>
    </w:p>
    <w:p w14:paraId="079904E9" w14:textId="77777777" w:rsidR="002C4D8B" w:rsidRDefault="002C4D8B"/>
  </w:footnote>
  <w:footnote w:type="continuationSeparator" w:id="0">
    <w:p w14:paraId="7ACCBFB2" w14:textId="77777777" w:rsidR="002C4D8B" w:rsidRDefault="002C4D8B">
      <w:r>
        <w:continuationSeparator/>
      </w:r>
    </w:p>
    <w:p w14:paraId="1BE2F81E" w14:textId="77777777" w:rsidR="002C4D8B" w:rsidRDefault="002C4D8B"/>
  </w:footnote>
  <w:footnote w:id="1">
    <w:p w14:paraId="5929A3A4" w14:textId="77777777" w:rsidR="002B19D2" w:rsidRPr="00944BAF" w:rsidRDefault="002B19D2" w:rsidP="00AB3DB0">
      <w:pPr>
        <w:ind w:left="567" w:hanging="567"/>
        <w:rPr>
          <w:sz w:val="20"/>
          <w:szCs w:val="20"/>
        </w:rPr>
      </w:pPr>
      <w:r w:rsidRPr="00944BAF">
        <w:rPr>
          <w:rStyle w:val="FootnoteReference"/>
          <w:sz w:val="20"/>
          <w:szCs w:val="20"/>
        </w:rPr>
        <w:footnoteRef/>
      </w:r>
      <w:r w:rsidRPr="00944BAF">
        <w:rPr>
          <w:sz w:val="20"/>
          <w:szCs w:val="20"/>
        </w:rPr>
        <w:t xml:space="preserve"> </w:t>
      </w:r>
      <w:r>
        <w:rPr>
          <w:sz w:val="20"/>
          <w:szCs w:val="20"/>
        </w:rPr>
        <w:tab/>
      </w:r>
      <w:r w:rsidRPr="00944BAF">
        <w:rPr>
          <w:sz w:val="20"/>
          <w:szCs w:val="20"/>
        </w:rPr>
        <w:t>Data pre-proyecto para el período 2009-2010</w:t>
      </w:r>
    </w:p>
  </w:footnote>
  <w:footnote w:id="2">
    <w:p w14:paraId="2D77BBF2" w14:textId="77777777" w:rsidR="002B19D2" w:rsidRPr="00944BAF" w:rsidRDefault="002B19D2" w:rsidP="005F0FC1">
      <w:pPr>
        <w:pStyle w:val="NormalWeb"/>
        <w:spacing w:before="0" w:beforeAutospacing="0" w:after="0" w:line="276" w:lineRule="auto"/>
        <w:ind w:left="567" w:hanging="567"/>
        <w:rPr>
          <w:bCs/>
          <w:sz w:val="20"/>
          <w:lang w:val="es-ES_tradnl"/>
        </w:rPr>
      </w:pPr>
      <w:r w:rsidRPr="00944BAF">
        <w:rPr>
          <w:rStyle w:val="FootnoteReference"/>
          <w:sz w:val="20"/>
        </w:rPr>
        <w:footnoteRef/>
      </w:r>
      <w:r w:rsidRPr="00944BAF">
        <w:rPr>
          <w:sz w:val="20"/>
          <w:lang w:val="es-MX"/>
        </w:rPr>
        <w:t xml:space="preserve"> </w:t>
      </w:r>
      <w:r w:rsidRPr="00944BAF">
        <w:rPr>
          <w:sz w:val="20"/>
          <w:lang w:val="es-MX"/>
        </w:rPr>
        <w:tab/>
      </w:r>
      <w:r w:rsidRPr="00944BAF">
        <w:rPr>
          <w:bCs/>
          <w:sz w:val="20"/>
          <w:lang w:val="pt-BR"/>
        </w:rPr>
        <w:t xml:space="preserve">MINERD (2011). </w:t>
      </w:r>
      <w:r w:rsidRPr="00944BAF">
        <w:rPr>
          <w:bCs/>
          <w:i/>
          <w:sz w:val="20"/>
          <w:lang w:val="es-ES_tradnl"/>
        </w:rPr>
        <w:t>Evaluación Diagnóstica de Inicio del 4to Grado de la Educación Básica.</w:t>
      </w:r>
      <w:r w:rsidRPr="00944BAF">
        <w:rPr>
          <w:bCs/>
          <w:sz w:val="20"/>
          <w:lang w:val="es-ES_tradnl"/>
        </w:rPr>
        <w:t xml:space="preserve"> Santo Domingo, República Dominicana.</w:t>
      </w:r>
    </w:p>
  </w:footnote>
  <w:footnote w:id="3">
    <w:p w14:paraId="2AD463BD" w14:textId="77777777" w:rsidR="002B19D2" w:rsidRPr="00E70B3E" w:rsidRDefault="002B19D2" w:rsidP="005F0FC1">
      <w:pPr>
        <w:pStyle w:val="NormalWeb"/>
        <w:spacing w:before="0" w:beforeAutospacing="0" w:after="0" w:line="276" w:lineRule="auto"/>
        <w:ind w:left="567" w:hanging="567"/>
        <w:rPr>
          <w:bCs/>
          <w:sz w:val="20"/>
          <w:szCs w:val="20"/>
          <w:lang w:val="pt-BR"/>
        </w:rPr>
      </w:pPr>
      <w:r w:rsidRPr="00E70B3E">
        <w:rPr>
          <w:rStyle w:val="FootnoteReference"/>
          <w:sz w:val="20"/>
          <w:szCs w:val="20"/>
        </w:rPr>
        <w:footnoteRef/>
      </w:r>
      <w:r w:rsidRPr="00E70B3E">
        <w:rPr>
          <w:sz w:val="20"/>
          <w:szCs w:val="20"/>
          <w:lang w:val="es-MX"/>
        </w:rPr>
        <w:t xml:space="preserve"> </w:t>
      </w:r>
      <w:r>
        <w:rPr>
          <w:sz w:val="20"/>
          <w:szCs w:val="20"/>
          <w:lang w:val="es-MX"/>
        </w:rPr>
        <w:tab/>
      </w:r>
      <w:r w:rsidRPr="00E70B3E">
        <w:rPr>
          <w:bCs/>
          <w:sz w:val="20"/>
          <w:szCs w:val="20"/>
          <w:lang w:val="es-ES_tradnl"/>
        </w:rPr>
        <w:t xml:space="preserve">EDUCA-GALUP Acción para la Educación Básica, </w:t>
      </w:r>
      <w:proofErr w:type="spellStart"/>
      <w:r w:rsidRPr="00E70B3E">
        <w:rPr>
          <w:bCs/>
          <w:sz w:val="20"/>
          <w:szCs w:val="20"/>
          <w:lang w:val="es-ES_tradnl"/>
        </w:rPr>
        <w:t>Inc</w:t>
      </w:r>
      <w:proofErr w:type="spellEnd"/>
      <w:r w:rsidRPr="00E70B3E">
        <w:rPr>
          <w:bCs/>
          <w:sz w:val="20"/>
          <w:szCs w:val="20"/>
          <w:lang w:val="es-ES_tradnl"/>
        </w:rPr>
        <w:t xml:space="preserve"> (2008). </w:t>
      </w:r>
      <w:r w:rsidRPr="00E70B3E">
        <w:rPr>
          <w:bCs/>
          <w:i/>
          <w:sz w:val="20"/>
          <w:szCs w:val="20"/>
          <w:lang w:val="es-ES_tradnl"/>
        </w:rPr>
        <w:t>Uso del Tiempo en la Escuela Dominicana</w:t>
      </w:r>
      <w:r w:rsidRPr="00E70B3E">
        <w:rPr>
          <w:bCs/>
          <w:sz w:val="20"/>
          <w:szCs w:val="20"/>
          <w:lang w:val="es-ES_tradnl"/>
        </w:rPr>
        <w:t xml:space="preserve">. </w:t>
      </w:r>
      <w:r w:rsidRPr="00E70B3E">
        <w:rPr>
          <w:bCs/>
          <w:sz w:val="20"/>
          <w:szCs w:val="20"/>
          <w:lang w:val="pt-BR"/>
        </w:rPr>
        <w:t>Santo Domingo, República Dominicana.</w:t>
      </w:r>
    </w:p>
  </w:footnote>
  <w:footnote w:id="4">
    <w:p w14:paraId="1BCCD933" w14:textId="77777777" w:rsidR="002B19D2" w:rsidRPr="000B3EF3" w:rsidRDefault="002B19D2" w:rsidP="00376C2F">
      <w:pPr>
        <w:pStyle w:val="FootnoteText"/>
        <w:spacing w:before="120"/>
        <w:ind w:left="567" w:hanging="567"/>
        <w:jc w:val="left"/>
        <w:rPr>
          <w:rFonts w:ascii="Arial" w:hAnsi="Arial" w:cs="Arial"/>
          <w:sz w:val="18"/>
          <w:szCs w:val="18"/>
        </w:rPr>
      </w:pPr>
      <w:r w:rsidRPr="000B3EF3">
        <w:rPr>
          <w:rStyle w:val="FootnoteReference"/>
          <w:rFonts w:ascii="Arial" w:hAnsi="Arial" w:cs="Arial"/>
          <w:sz w:val="18"/>
          <w:szCs w:val="18"/>
        </w:rPr>
        <w:footnoteRef/>
      </w:r>
      <w:r w:rsidRPr="000B3EF3">
        <w:rPr>
          <w:rFonts w:ascii="Arial" w:hAnsi="Arial" w:cs="Arial"/>
          <w:sz w:val="18"/>
          <w:szCs w:val="18"/>
        </w:rPr>
        <w:t xml:space="preserve"> </w:t>
      </w:r>
      <w:r w:rsidRPr="000B3EF3">
        <w:rPr>
          <w:rFonts w:ascii="Arial" w:hAnsi="Arial" w:cs="Arial"/>
          <w:sz w:val="18"/>
          <w:szCs w:val="18"/>
        </w:rPr>
        <w:tab/>
      </w:r>
      <w:r w:rsidRPr="000B3EF3">
        <w:rPr>
          <w:rFonts w:ascii="Arial" w:hAnsi="Arial" w:cs="Arial"/>
          <w:sz w:val="18"/>
          <w:szCs w:val="18"/>
          <w:shd w:val="clear" w:color="auto" w:fill="FFFFFF"/>
        </w:rPr>
        <w:t xml:space="preserve">El SERCE evaluó el logro de aprendizaje de 100.752 estudiantes de tercer grado y 95.288 de sexto grado de 16 países más el Estado mexicano de Nuevo León, en matemática, lectura y escritura y ciencias de la naturaleza. Por su magnitud se considera al SERCE como el estudio de calidad de la educación más grande implementado en América Latina y el Caribe a la fecha. </w:t>
      </w:r>
      <w:hyperlink r:id="rId1" w:history="1">
        <w:r w:rsidRPr="000B3EF3">
          <w:rPr>
            <w:rStyle w:val="Hyperlink"/>
            <w:rFonts w:ascii="Arial" w:hAnsi="Arial" w:cs="Arial"/>
            <w:sz w:val="18"/>
            <w:szCs w:val="18"/>
            <w:shd w:val="clear" w:color="auto" w:fill="FFFFFF"/>
          </w:rPr>
          <w:t>http://www.unesco.org/new/es/santiago/education/education-assessment-llece/second-regional-comparative-and-explanatory-study-serce/</w:t>
        </w:r>
      </w:hyperlink>
      <w:r w:rsidRPr="000B3EF3">
        <w:rPr>
          <w:rStyle w:val="Hyperlink"/>
          <w:rFonts w:ascii="Arial" w:hAnsi="Arial" w:cs="Arial"/>
          <w:sz w:val="18"/>
          <w:szCs w:val="18"/>
          <w:shd w:val="clear" w:color="auto" w:fill="FFFFFF"/>
        </w:rPr>
        <w:t>.</w:t>
      </w:r>
    </w:p>
  </w:footnote>
  <w:footnote w:id="5">
    <w:p w14:paraId="4974746D" w14:textId="321A265C" w:rsidR="002B19D2" w:rsidRDefault="002B19D2" w:rsidP="00CE5D05">
      <w:pPr>
        <w:pStyle w:val="FootnoteText"/>
      </w:pPr>
      <w:r>
        <w:rPr>
          <w:rStyle w:val="FootnoteReference"/>
        </w:rPr>
        <w:footnoteRef/>
      </w:r>
      <w:r>
        <w:t xml:space="preserve"> </w:t>
      </w:r>
      <w:r>
        <w:tab/>
        <w:t>La edad oficial de jubilación en República dominicana es de 65 años.</w:t>
      </w:r>
    </w:p>
  </w:footnote>
  <w:footnote w:id="6">
    <w:p w14:paraId="6F245E01" w14:textId="594062CF" w:rsidR="002B19D2" w:rsidRPr="00D803DD" w:rsidRDefault="002B19D2" w:rsidP="003C5188">
      <w:pPr>
        <w:pStyle w:val="FootnoteText"/>
        <w:spacing w:after="0"/>
        <w:ind w:left="284" w:hanging="284"/>
        <w:rPr>
          <w:rFonts w:ascii="Arial" w:hAnsi="Arial" w:cs="Arial"/>
          <w:sz w:val="18"/>
          <w:szCs w:val="18"/>
        </w:rPr>
      </w:pPr>
      <w:r w:rsidRPr="00DB46E4">
        <w:rPr>
          <w:rStyle w:val="FootnoteReference"/>
          <w:rFonts w:ascii="Arial" w:hAnsi="Arial" w:cs="Arial"/>
          <w:sz w:val="18"/>
          <w:szCs w:val="18"/>
        </w:rPr>
        <w:footnoteRef/>
      </w:r>
      <w:r w:rsidRPr="00DB46E4">
        <w:rPr>
          <w:rFonts w:ascii="Arial" w:hAnsi="Arial" w:cs="Arial"/>
          <w:sz w:val="18"/>
          <w:szCs w:val="18"/>
        </w:rPr>
        <w:t xml:space="preserve"> </w:t>
      </w:r>
      <w:r w:rsidRPr="00DB46E4">
        <w:rPr>
          <w:rFonts w:ascii="Arial" w:hAnsi="Arial" w:cs="Arial"/>
          <w:sz w:val="18"/>
          <w:szCs w:val="18"/>
        </w:rPr>
        <w:tab/>
        <w:t xml:space="preserve">Se obtiene de tabulaciones de los </w:t>
      </w:r>
      <w:proofErr w:type="spellStart"/>
      <w:r w:rsidRPr="00DB46E4">
        <w:rPr>
          <w:rFonts w:ascii="Arial" w:hAnsi="Arial" w:cs="Arial"/>
          <w:sz w:val="18"/>
          <w:szCs w:val="18"/>
        </w:rPr>
        <w:t>microdatos</w:t>
      </w:r>
      <w:proofErr w:type="spellEnd"/>
      <w:r w:rsidRPr="00DB46E4">
        <w:rPr>
          <w:rFonts w:ascii="Arial" w:hAnsi="Arial" w:cs="Arial"/>
          <w:sz w:val="18"/>
          <w:szCs w:val="18"/>
        </w:rPr>
        <w:t xml:space="preserve"> de la </w:t>
      </w:r>
      <w:r>
        <w:rPr>
          <w:rFonts w:ascii="Arial" w:hAnsi="Arial" w:cs="Arial"/>
          <w:sz w:val="18"/>
          <w:szCs w:val="18"/>
        </w:rPr>
        <w:t>ENFT 2015</w:t>
      </w:r>
      <w:r w:rsidRPr="00DB46E4">
        <w:rPr>
          <w:rFonts w:ascii="Arial" w:hAnsi="Arial" w:cs="Arial"/>
          <w:sz w:val="18"/>
          <w:szCs w:val="18"/>
        </w:rPr>
        <w:t>.</w:t>
      </w:r>
    </w:p>
  </w:footnote>
  <w:footnote w:id="7">
    <w:p w14:paraId="61374CB7" w14:textId="77777777" w:rsidR="002B19D2" w:rsidRPr="00D803DD" w:rsidRDefault="002B19D2" w:rsidP="003C5188">
      <w:pPr>
        <w:pStyle w:val="FootnoteText"/>
        <w:spacing w:after="0"/>
        <w:ind w:left="284" w:hanging="284"/>
        <w:rPr>
          <w:rFonts w:ascii="Arial" w:hAnsi="Arial" w:cs="Arial"/>
          <w:sz w:val="18"/>
          <w:szCs w:val="18"/>
          <w:lang w:val="es-VE"/>
        </w:rPr>
      </w:pPr>
      <w:r w:rsidRPr="00D803DD">
        <w:rPr>
          <w:rStyle w:val="FootnoteReference"/>
          <w:rFonts w:ascii="Arial" w:hAnsi="Arial" w:cs="Arial"/>
          <w:sz w:val="18"/>
          <w:szCs w:val="18"/>
        </w:rPr>
        <w:footnoteRef/>
      </w:r>
      <w:r w:rsidRPr="00D803DD">
        <w:rPr>
          <w:rFonts w:ascii="Arial" w:hAnsi="Arial" w:cs="Arial"/>
          <w:sz w:val="18"/>
          <w:szCs w:val="18"/>
          <w:lang w:val="es-VE"/>
        </w:rPr>
        <w:t xml:space="preserve"> </w:t>
      </w:r>
      <w:r w:rsidRPr="00D803DD">
        <w:rPr>
          <w:rFonts w:ascii="Arial" w:hAnsi="Arial" w:cs="Arial"/>
          <w:sz w:val="18"/>
          <w:szCs w:val="18"/>
          <w:lang w:val="es-VE"/>
        </w:rPr>
        <w:tab/>
        <w:t xml:space="preserve">Al tomar en cuenta esta distribución estamos asumiendo que la distribución del nivel educativo de los trabajadores será constante </w:t>
      </w:r>
      <w:r>
        <w:rPr>
          <w:rFonts w:ascii="Arial" w:hAnsi="Arial" w:cs="Arial"/>
          <w:sz w:val="18"/>
          <w:szCs w:val="18"/>
          <w:lang w:val="es-VE"/>
        </w:rPr>
        <w:t>en el tiempo</w:t>
      </w:r>
      <w:r w:rsidRPr="00D803DD">
        <w:rPr>
          <w:rFonts w:ascii="Arial" w:hAnsi="Arial" w:cs="Arial"/>
          <w:sz w:val="18"/>
          <w:szCs w:val="18"/>
          <w:lang w:val="es-VE"/>
        </w:rPr>
        <w:t>. En caso de que la distribución del nivel educativo alcanzado en la población de trabajadores llegase a mejorar (es decir, un desplazamiento de la distribución hacia la derecha) en el corto plazo, los beneficios de este estudio estarían subestimados.</w:t>
      </w:r>
    </w:p>
  </w:footnote>
  <w:footnote w:id="8">
    <w:p w14:paraId="2186E82B" w14:textId="7A6B84B7" w:rsidR="002B19D2" w:rsidRPr="001022B0" w:rsidRDefault="002B19D2" w:rsidP="003C5188">
      <w:pPr>
        <w:pStyle w:val="FootnoteText"/>
        <w:spacing w:after="0"/>
        <w:ind w:left="284" w:hanging="284"/>
        <w:rPr>
          <w:rFonts w:ascii="Arial" w:hAnsi="Arial" w:cs="Arial"/>
          <w:sz w:val="18"/>
          <w:szCs w:val="18"/>
          <w:highlight w:val="yellow"/>
        </w:rPr>
      </w:pPr>
      <w:r w:rsidRPr="00872791">
        <w:rPr>
          <w:rStyle w:val="FootnoteReference"/>
          <w:rFonts w:ascii="Calibri" w:hAnsi="Calibri" w:cs="Calibri"/>
          <w:sz w:val="18"/>
          <w:szCs w:val="18"/>
        </w:rPr>
        <w:footnoteRef/>
      </w:r>
      <w:r w:rsidRPr="00872791">
        <w:rPr>
          <w:rFonts w:ascii="Calibri" w:hAnsi="Calibri" w:cs="Calibri"/>
          <w:sz w:val="18"/>
          <w:szCs w:val="18"/>
        </w:rPr>
        <w:t xml:space="preserve"> </w:t>
      </w:r>
      <w:r w:rsidRPr="00872791">
        <w:rPr>
          <w:rFonts w:ascii="Calibri" w:hAnsi="Calibri" w:cs="Calibri"/>
          <w:sz w:val="18"/>
          <w:szCs w:val="18"/>
        </w:rPr>
        <w:tab/>
      </w:r>
      <w:r w:rsidRPr="00755D57">
        <w:rPr>
          <w:rFonts w:ascii="Arial" w:hAnsi="Arial" w:cs="Arial"/>
          <w:sz w:val="18"/>
          <w:szCs w:val="18"/>
        </w:rPr>
        <w:t xml:space="preserve">Para </w:t>
      </w:r>
      <w:r>
        <w:rPr>
          <w:rFonts w:ascii="Arial" w:hAnsi="Arial" w:cs="Arial"/>
          <w:sz w:val="18"/>
          <w:szCs w:val="18"/>
        </w:rPr>
        <w:t>República Dominicana</w:t>
      </w:r>
      <w:r w:rsidRPr="00755D57">
        <w:rPr>
          <w:rFonts w:ascii="Arial" w:hAnsi="Arial" w:cs="Arial"/>
          <w:sz w:val="18"/>
          <w:szCs w:val="18"/>
        </w:rPr>
        <w:t xml:space="preserve"> los resultados por nivel de escolaridad sugieren que a mayor educación mayores rendimientos.</w:t>
      </w:r>
    </w:p>
  </w:footnote>
  <w:footnote w:id="9">
    <w:p w14:paraId="4F856B5F" w14:textId="77777777" w:rsidR="002B19D2" w:rsidRPr="00D803DD" w:rsidRDefault="002B19D2" w:rsidP="003C5188">
      <w:pPr>
        <w:pStyle w:val="FootnoteText"/>
        <w:spacing w:after="0"/>
        <w:ind w:left="284" w:hanging="284"/>
        <w:rPr>
          <w:rFonts w:ascii="Arial" w:hAnsi="Arial" w:cs="Arial"/>
          <w:sz w:val="18"/>
          <w:szCs w:val="18"/>
        </w:rPr>
      </w:pPr>
      <w:r w:rsidRPr="00872791">
        <w:rPr>
          <w:rStyle w:val="FootnoteReference"/>
          <w:rFonts w:ascii="Calibri" w:hAnsi="Calibri" w:cs="Calibri"/>
          <w:sz w:val="18"/>
          <w:szCs w:val="18"/>
        </w:rPr>
        <w:footnoteRef/>
      </w:r>
      <w:r w:rsidRPr="00872791">
        <w:rPr>
          <w:rFonts w:ascii="Calibri" w:hAnsi="Calibri" w:cs="Calibri"/>
          <w:sz w:val="18"/>
          <w:szCs w:val="18"/>
        </w:rPr>
        <w:t xml:space="preserve"> </w:t>
      </w:r>
      <w:r w:rsidRPr="00872791">
        <w:rPr>
          <w:rFonts w:ascii="Calibri" w:hAnsi="Calibri" w:cs="Calibri"/>
          <w:sz w:val="18"/>
          <w:szCs w:val="18"/>
        </w:rPr>
        <w:tab/>
      </w:r>
      <w:r w:rsidRPr="00D803DD">
        <w:rPr>
          <w:rFonts w:ascii="Arial" w:hAnsi="Arial" w:cs="Arial"/>
          <w:sz w:val="18"/>
          <w:szCs w:val="18"/>
        </w:rPr>
        <w:t>Todos los gastos en educación que haga la sociedad y los privados, intencionales o no, pueden contribuir a incrementar la productividad de la economía. Como lo explica el enfoque del capital humano cuando las personas adquieren mayor educación se desarrollan habilidades y destrezas, que son redituadas por el mercado a través de un mayor ingreso.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BE6CB" w14:textId="77777777" w:rsidR="002B19D2" w:rsidRDefault="002B19D2" w:rsidP="28D31204">
    <w:pPr>
      <w:pStyle w:val="Header"/>
      <w:ind w:right="360"/>
      <w:rPr>
        <w:rStyle w:val="PageNumber"/>
      </w:rPr>
    </w:pPr>
    <w:r>
      <w:rPr>
        <w:rStyle w:val="PageNumber"/>
        <w:snapToGrid w:val="0"/>
      </w:rPr>
      <w:tab/>
      <w:t xml:space="preserve">- </w:t>
    </w:r>
    <w:r w:rsidRPr="28D31204">
      <w:rPr>
        <w:rStyle w:val="PageNumber"/>
        <w:noProof/>
        <w:snapToGrid w:val="0"/>
      </w:rPr>
      <w:fldChar w:fldCharType="begin"/>
    </w:r>
    <w:r>
      <w:rPr>
        <w:rStyle w:val="PageNumber"/>
        <w:snapToGrid w:val="0"/>
      </w:rPr>
      <w:instrText xml:space="preserve"> PAGE </w:instrText>
    </w:r>
    <w:r w:rsidRPr="28D31204">
      <w:rPr>
        <w:rStyle w:val="PageNumber"/>
        <w:snapToGrid w:val="0"/>
      </w:rPr>
      <w:fldChar w:fldCharType="separate"/>
    </w:r>
    <w:r>
      <w:rPr>
        <w:rStyle w:val="PageNumber"/>
        <w:noProof/>
        <w:snapToGrid w:val="0"/>
      </w:rPr>
      <w:t>iii</w:t>
    </w:r>
    <w:r w:rsidRPr="28D31204">
      <w:rPr>
        <w:rStyle w:val="PageNumber"/>
        <w:noProof/>
        <w:snapToGrid w:val="0"/>
      </w:rPr>
      <w:fldChar w:fldCharType="end"/>
    </w:r>
    <w:r>
      <w:rPr>
        <w:rStyle w:val="PageNumber"/>
        <w:snapToGrid w:val="0"/>
      </w:rPr>
      <w:t xml:space="preserve"> -</w:t>
    </w:r>
  </w:p>
  <w:p w14:paraId="6291C19A" w14:textId="77777777" w:rsidR="002B19D2" w:rsidRDefault="002B19D2">
    <w:pPr>
      <w:pStyle w:val="Header"/>
      <w:ind w:right="360"/>
      <w:rPr>
        <w:rStyle w:val="PageNumber"/>
        <w:snapToGrid w:val="0"/>
      </w:rPr>
    </w:pPr>
    <w:r>
      <w:rPr>
        <w:rStyle w:val="PageNumber"/>
        <w:snapToGrid w:val="0"/>
      </w:rPr>
      <w:tab/>
    </w:r>
  </w:p>
  <w:p w14:paraId="0CBD1235" w14:textId="77777777" w:rsidR="002B19D2" w:rsidRDefault="002B19D2">
    <w:pPr>
      <w:pStyle w:val="Header"/>
      <w:ind w:right="360"/>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A5CDF" w14:textId="77777777" w:rsidR="002B19D2" w:rsidRDefault="002B19D2">
    <w:pPr>
      <w:pStyle w:val="Header"/>
      <w:jc w:val="center"/>
      <w:rPr>
        <w:snapToGrid w:val="0"/>
      </w:rPr>
    </w:pPr>
    <w:r w:rsidRPr="28D31204">
      <w:t xml:space="preserve">- </w:t>
    </w:r>
    <w:r w:rsidRPr="28D31204">
      <w:rPr>
        <w:noProof/>
        <w:snapToGrid w:val="0"/>
      </w:rPr>
      <w:fldChar w:fldCharType="begin"/>
    </w:r>
    <w:r>
      <w:rPr>
        <w:snapToGrid w:val="0"/>
      </w:rPr>
      <w:instrText xml:space="preserve"> PAGE </w:instrText>
    </w:r>
    <w:r w:rsidRPr="28D31204">
      <w:rPr>
        <w:snapToGrid w:val="0"/>
      </w:rPr>
      <w:fldChar w:fldCharType="separate"/>
    </w:r>
    <w:r>
      <w:rPr>
        <w:noProof/>
        <w:snapToGrid w:val="0"/>
      </w:rPr>
      <w:t>ii</w:t>
    </w:r>
    <w:r w:rsidRPr="28D31204">
      <w:rPr>
        <w:noProof/>
        <w:snapToGrid w:val="0"/>
      </w:rPr>
      <w:fldChar w:fldCharType="end"/>
    </w:r>
    <w:r w:rsidRPr="28D31204">
      <w:t xml:space="preserve"> - </w:t>
    </w:r>
  </w:p>
  <w:p w14:paraId="5C797D99" w14:textId="77777777" w:rsidR="002B19D2" w:rsidRDefault="002B19D2">
    <w:pPr>
      <w:pStyle w:val="Header"/>
      <w:jc w:val="center"/>
    </w:pPr>
  </w:p>
  <w:p w14:paraId="3BD44554" w14:textId="77777777" w:rsidR="002B19D2" w:rsidRDefault="002B19D2">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933D4" w14:textId="77777777" w:rsidR="002B19D2" w:rsidRDefault="002B19D2">
    <w:pPr>
      <w:pStyle w:val="Header"/>
      <w:rPr>
        <w:snapToGrid w:val="0"/>
      </w:rPr>
    </w:pPr>
  </w:p>
  <w:p w14:paraId="6AF64240" w14:textId="77777777" w:rsidR="002B19D2" w:rsidRDefault="002B19D2">
    <w:pPr>
      <w:pStyle w:val="Header"/>
      <w:jc w:val="center"/>
      <w:rPr>
        <w:snapToGrid w:val="0"/>
      </w:rPr>
    </w:pPr>
  </w:p>
  <w:p w14:paraId="0458835F" w14:textId="77777777" w:rsidR="002B19D2" w:rsidRDefault="002B19D2">
    <w:pPr>
      <w:pStyle w:val="Header"/>
      <w:jc w:val="center"/>
      <w:rPr>
        <w:snapToGrid w:val="0"/>
      </w:rPr>
    </w:pPr>
  </w:p>
  <w:p w14:paraId="52B47933" w14:textId="77777777" w:rsidR="002B19D2" w:rsidRDefault="002B19D2">
    <w:pPr>
      <w:pStyle w:val="Header"/>
      <w:jc w:val="center"/>
      <w:rPr>
        <w:snapToGrid w:val="0"/>
      </w:rPr>
    </w:pPr>
  </w:p>
  <w:p w14:paraId="709A8160" w14:textId="77777777" w:rsidR="002B19D2" w:rsidRDefault="002B19D2">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6E14F" w14:textId="77777777" w:rsidR="002B19D2" w:rsidRDefault="002B19D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DEC34" w14:textId="77777777" w:rsidR="002B19D2" w:rsidRDefault="002B19D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030E1" w14:textId="77777777" w:rsidR="002B19D2" w:rsidRDefault="002B19D2">
    <w:pPr>
      <w:pStyle w:val="Header"/>
      <w:rPr>
        <w:snapToGrid w:val="0"/>
      </w:rPr>
    </w:pPr>
  </w:p>
  <w:p w14:paraId="20B01104" w14:textId="77777777" w:rsidR="002B19D2" w:rsidRDefault="002B19D2">
    <w:pPr>
      <w:pStyle w:val="Header"/>
      <w:jc w:val="center"/>
      <w:rPr>
        <w:snapToGrid w:val="0"/>
      </w:rPr>
    </w:pPr>
  </w:p>
  <w:p w14:paraId="1D8981E0" w14:textId="77777777" w:rsidR="002B19D2" w:rsidRDefault="002B19D2">
    <w:pPr>
      <w:pStyle w:val="Header"/>
      <w:jc w:val="center"/>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8677B"/>
    <w:multiLevelType w:val="multilevel"/>
    <w:tmpl w:val="55A4EB2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79"/>
        </w:tabs>
        <w:ind w:left="1579" w:hanging="1296"/>
      </w:pPr>
      <w:rPr>
        <w:b w:val="0"/>
      </w:rPr>
    </w:lvl>
    <w:lvl w:ilvl="2">
      <w:start w:val="1"/>
      <w:numFmt w:val="lowerRoman"/>
      <w:lvlText w:val="%3."/>
      <w:lvlJc w:val="righ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0E6D2D38"/>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08604DE"/>
    <w:multiLevelType w:val="hybridMultilevel"/>
    <w:tmpl w:val="362ED374"/>
    <w:lvl w:ilvl="0" w:tplc="C0924EC6">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73E21"/>
    <w:multiLevelType w:val="hybridMultilevel"/>
    <w:tmpl w:val="88EE7E9C"/>
    <w:lvl w:ilvl="0" w:tplc="E766D9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41C93"/>
    <w:multiLevelType w:val="hybridMultilevel"/>
    <w:tmpl w:val="DDF0DED4"/>
    <w:lvl w:ilvl="0" w:tplc="36301668">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5C13F6"/>
    <w:multiLevelType w:val="multilevel"/>
    <w:tmpl w:val="428A2E6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7" w15:restartNumberingAfterBreak="0">
    <w:nsid w:val="2C6554B4"/>
    <w:multiLevelType w:val="hybridMultilevel"/>
    <w:tmpl w:val="C14C3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E67792"/>
    <w:multiLevelType w:val="hybridMultilevel"/>
    <w:tmpl w:val="E044329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3240732C"/>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3EE5F10"/>
    <w:multiLevelType w:val="hybridMultilevel"/>
    <w:tmpl w:val="A928FDDA"/>
    <w:lvl w:ilvl="0" w:tplc="E766D9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9B4991"/>
    <w:multiLevelType w:val="multilevel"/>
    <w:tmpl w:val="81287A2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569905A8"/>
    <w:multiLevelType w:val="multilevel"/>
    <w:tmpl w:val="38B04A4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4086"/>
        </w:tabs>
        <w:ind w:left="4086" w:hanging="1296"/>
      </w:pPr>
      <w:rPr>
        <w:rFonts w:ascii="Arial" w:hAnsi="Arial" w:cs="Arial" w:hint="default"/>
        <w:i w:val="0"/>
        <w:sz w:val="22"/>
        <w:szCs w:val="22"/>
        <w:lang w:val="es-MX"/>
      </w:rPr>
    </w:lvl>
    <w:lvl w:ilvl="2">
      <w:start w:val="1"/>
      <w:numFmt w:val="lowerLetter"/>
      <w:lvlText w:val="(%3)"/>
      <w:lvlJc w:val="left"/>
      <w:pPr>
        <w:tabs>
          <w:tab w:val="num" w:pos="2304"/>
        </w:tabs>
        <w:ind w:left="2304" w:hanging="432"/>
      </w:pPr>
      <w:rPr>
        <w:rFonts w:ascii="Arial" w:hAnsi="Arial" w:cs="Arial" w:hint="default"/>
        <w:sz w:val="22"/>
        <w:szCs w:val="22"/>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3" w15:restartNumberingAfterBreak="0">
    <w:nsid w:val="685A06A4"/>
    <w:multiLevelType w:val="hybridMultilevel"/>
    <w:tmpl w:val="6D281E42"/>
    <w:lvl w:ilvl="0" w:tplc="5422F4FE">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1F213DB"/>
    <w:multiLevelType w:val="hybridMultilevel"/>
    <w:tmpl w:val="CC6001E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2D8096E"/>
    <w:multiLevelType w:val="hybridMultilevel"/>
    <w:tmpl w:val="B4A4A84A"/>
    <w:lvl w:ilvl="0" w:tplc="4672FE7E">
      <w:start w:val="1"/>
      <w:numFmt w:val="upperLetter"/>
      <w:pStyle w:val="Heading2"/>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31E19FF"/>
    <w:multiLevelType w:val="multilevel"/>
    <w:tmpl w:val="2AF6A60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579"/>
        </w:tabs>
        <w:ind w:left="1579" w:hanging="1296"/>
      </w:pPr>
      <w:rPr>
        <w:b w:val="0"/>
      </w:rPr>
    </w:lvl>
    <w:lvl w:ilvl="2">
      <w:start w:val="1"/>
      <w:numFmt w:val="lowerRoman"/>
      <w:pStyle w:val="subpar"/>
      <w:lvlText w:val="%3)"/>
      <w:lvlJc w:val="right"/>
      <w:pPr>
        <w:tabs>
          <w:tab w:val="num" w:pos="2592"/>
        </w:tabs>
        <w:ind w:left="2592" w:hanging="432"/>
      </w:pPr>
      <w:rPr>
        <w:rFonts w:ascii="Arial" w:eastAsia="Calibri" w:hAnsi="Arial" w:cs="Arial"/>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15:restartNumberingAfterBreak="0">
    <w:nsid w:val="7E901BE5"/>
    <w:multiLevelType w:val="hybridMultilevel"/>
    <w:tmpl w:val="620AA2D2"/>
    <w:lvl w:ilvl="0" w:tplc="1158E15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5"/>
  </w:num>
  <w:num w:numId="4">
    <w:abstractNumId w:val="15"/>
    <w:lvlOverride w:ilvl="0">
      <w:startOverride w:val="1"/>
    </w:lvlOverride>
  </w:num>
  <w:num w:numId="5">
    <w:abstractNumId w:val="8"/>
  </w:num>
  <w:num w:numId="6">
    <w:abstractNumId w:val="15"/>
    <w:lvlOverride w:ilvl="0">
      <w:startOverride w:val="1"/>
    </w:lvlOverride>
  </w:num>
  <w:num w:numId="7">
    <w:abstractNumId w:val="15"/>
    <w:lvlOverride w:ilvl="0">
      <w:startOverride w:val="1"/>
    </w:lvlOverride>
  </w:num>
  <w:num w:numId="8">
    <w:abstractNumId w:val="12"/>
  </w:num>
  <w:num w:numId="9">
    <w:abstractNumId w:val="11"/>
  </w:num>
  <w:num w:numId="10">
    <w:abstractNumId w:val="5"/>
  </w:num>
  <w:num w:numId="11">
    <w:abstractNumId w:val="0"/>
  </w:num>
  <w:num w:numId="12">
    <w:abstractNumId w:val="16"/>
  </w:num>
  <w:num w:numId="13">
    <w:abstractNumId w:val="17"/>
  </w:num>
  <w:num w:numId="14">
    <w:abstractNumId w:val="16"/>
  </w:num>
  <w:num w:numId="15">
    <w:abstractNumId w:val="9"/>
  </w:num>
  <w:num w:numId="16">
    <w:abstractNumId w:val="14"/>
  </w:num>
  <w:num w:numId="17">
    <w:abstractNumId w:val="16"/>
  </w:num>
  <w:num w:numId="18">
    <w:abstractNumId w:val="16"/>
  </w:num>
  <w:num w:numId="19">
    <w:abstractNumId w:val="16"/>
  </w:num>
  <w:num w:numId="20">
    <w:abstractNumId w:val="16"/>
  </w:num>
  <w:num w:numId="21">
    <w:abstractNumId w:val="16"/>
  </w:num>
  <w:num w:numId="22">
    <w:abstractNumId w:val="1"/>
  </w:num>
  <w:num w:numId="23">
    <w:abstractNumId w:val="16"/>
  </w:num>
  <w:num w:numId="24">
    <w:abstractNumId w:val="2"/>
  </w:num>
  <w:num w:numId="25">
    <w:abstractNumId w:val="7"/>
  </w:num>
  <w:num w:numId="26">
    <w:abstractNumId w:val="4"/>
  </w:num>
  <w:num w:numId="27">
    <w:abstractNumId w:val="13"/>
  </w:num>
  <w:num w:numId="28">
    <w:abstractNumId w:val="3"/>
  </w:num>
  <w:num w:numId="29">
    <w:abstractNumId w:val="10"/>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activeWritingStyle w:appName="MSWord" w:lang="en-US" w:vendorID="64" w:dllVersion="5" w:nlCheck="1" w:checkStyle="1"/>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s-AR" w:vendorID="64" w:dllVersion="6" w:nlCheck="1" w:checkStyle="1"/>
  <w:activeWritingStyle w:appName="MSWord" w:lang="es-MX" w:vendorID="64" w:dllVersion="6" w:nlCheck="1" w:checkStyle="1"/>
  <w:activeWritingStyle w:appName="MSWord" w:lang="es-CO" w:vendorID="64" w:dllVersion="6" w:nlCheck="1" w:checkStyle="1"/>
  <w:activeWritingStyle w:appName="MSWord" w:lang="es-EC" w:vendorID="64" w:dllVersion="6" w:nlCheck="1" w:checkStyle="1"/>
  <w:activeWritingStyle w:appName="MSWord" w:lang="pt-BR" w:vendorID="64" w:dllVersion="6" w:nlCheck="1" w:checkStyle="0"/>
  <w:activeWritingStyle w:appName="MSWord" w:lang="es-VE" w:vendorID="64" w:dllVersion="6" w:nlCheck="1" w:checkStyle="1"/>
  <w:activeWritingStyle w:appName="MSWord" w:lang="es-UY" w:vendorID="64" w:dllVersion="6" w:nlCheck="1" w:checkStyle="1"/>
  <w:activeWritingStyle w:appName="MSWord" w:lang="es-ES" w:vendorID="64" w:dllVersion="0" w:nlCheck="1" w:checkStyle="0"/>
  <w:activeWritingStyle w:appName="MSWord" w:lang="es-MX" w:vendorID="64" w:dllVersion="0" w:nlCheck="1" w:checkStyle="0"/>
  <w:activeWritingStyle w:appName="MSWord" w:lang="fr-FR" w:vendorID="64" w:dllVersion="0" w:nlCheck="1" w:checkStyle="0"/>
  <w:activeWritingStyle w:appName="MSWord" w:lang="en-US" w:vendorID="64" w:dllVersion="0" w:nlCheck="1" w:checkStyle="0"/>
  <w:activeWritingStyle w:appName="MSWord" w:lang="es-AR" w:vendorID="64" w:dllVersion="0" w:nlCheck="1" w:checkStyle="0"/>
  <w:activeWritingStyle w:appName="MSWord" w:lang="es-VE" w:vendorID="64" w:dllVersion="0" w:nlCheck="1" w:checkStyle="0"/>
  <w:activeWritingStyle w:appName="MSWord" w:lang="es-ES_tradnl" w:vendorID="64" w:dllVersion="0" w:nlCheck="1" w:checkStyle="0"/>
  <w:activeWritingStyle w:appName="MSWord" w:lang="es-MX" w:vendorID="64" w:dllVersion="131078" w:nlCheck="1" w:checkStyle="1"/>
  <w:activeWritingStyle w:appName="MSWord" w:lang="es-AR" w:vendorID="64" w:dllVersion="131078" w:nlCheck="1" w:checkStyle="1"/>
  <w:activeWritingStyle w:appName="MSWord" w:lang="es-ES" w:vendorID="64" w:dllVersion="131078" w:nlCheck="1" w:checkStyle="1"/>
  <w:activeWritingStyle w:appName="MSWord" w:lang="es-VE"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CO"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FPR"/>
    <w:docVar w:name="LANG" w:val="SP"/>
  </w:docVars>
  <w:rsids>
    <w:rsidRoot w:val="00B54624"/>
    <w:rsid w:val="00000D78"/>
    <w:rsid w:val="00002609"/>
    <w:rsid w:val="00002C51"/>
    <w:rsid w:val="00002ECE"/>
    <w:rsid w:val="00005422"/>
    <w:rsid w:val="00006C79"/>
    <w:rsid w:val="00011400"/>
    <w:rsid w:val="00016354"/>
    <w:rsid w:val="000201BD"/>
    <w:rsid w:val="00022CA4"/>
    <w:rsid w:val="00022DC2"/>
    <w:rsid w:val="000258F6"/>
    <w:rsid w:val="00025FA9"/>
    <w:rsid w:val="00027CDD"/>
    <w:rsid w:val="00031371"/>
    <w:rsid w:val="000315FF"/>
    <w:rsid w:val="000320F7"/>
    <w:rsid w:val="00032FCE"/>
    <w:rsid w:val="0003311F"/>
    <w:rsid w:val="0003374F"/>
    <w:rsid w:val="00033B50"/>
    <w:rsid w:val="000401A7"/>
    <w:rsid w:val="00040708"/>
    <w:rsid w:val="00041DDF"/>
    <w:rsid w:val="00043129"/>
    <w:rsid w:val="00043BF6"/>
    <w:rsid w:val="000465A3"/>
    <w:rsid w:val="00047E31"/>
    <w:rsid w:val="00051906"/>
    <w:rsid w:val="00051A4C"/>
    <w:rsid w:val="00052A44"/>
    <w:rsid w:val="00054428"/>
    <w:rsid w:val="0005498E"/>
    <w:rsid w:val="00055381"/>
    <w:rsid w:val="00056450"/>
    <w:rsid w:val="00056E3D"/>
    <w:rsid w:val="000575B9"/>
    <w:rsid w:val="00057631"/>
    <w:rsid w:val="0006013D"/>
    <w:rsid w:val="00060568"/>
    <w:rsid w:val="0006057C"/>
    <w:rsid w:val="00060E3A"/>
    <w:rsid w:val="00061343"/>
    <w:rsid w:val="00061D95"/>
    <w:rsid w:val="0006272B"/>
    <w:rsid w:val="0006604A"/>
    <w:rsid w:val="000660B4"/>
    <w:rsid w:val="00066CED"/>
    <w:rsid w:val="00066F2D"/>
    <w:rsid w:val="00072E32"/>
    <w:rsid w:val="0007331B"/>
    <w:rsid w:val="0007664A"/>
    <w:rsid w:val="00077491"/>
    <w:rsid w:val="00077918"/>
    <w:rsid w:val="00081F4A"/>
    <w:rsid w:val="000831C3"/>
    <w:rsid w:val="000833E9"/>
    <w:rsid w:val="0008362C"/>
    <w:rsid w:val="0008410A"/>
    <w:rsid w:val="000846D5"/>
    <w:rsid w:val="00084EFF"/>
    <w:rsid w:val="00085831"/>
    <w:rsid w:val="0008583E"/>
    <w:rsid w:val="00085D42"/>
    <w:rsid w:val="00085FBE"/>
    <w:rsid w:val="0008633A"/>
    <w:rsid w:val="00092C37"/>
    <w:rsid w:val="00093BB1"/>
    <w:rsid w:val="000958A4"/>
    <w:rsid w:val="0009625D"/>
    <w:rsid w:val="00096B3F"/>
    <w:rsid w:val="00097A76"/>
    <w:rsid w:val="000A00BD"/>
    <w:rsid w:val="000A056F"/>
    <w:rsid w:val="000A3AAA"/>
    <w:rsid w:val="000A5149"/>
    <w:rsid w:val="000A54D7"/>
    <w:rsid w:val="000A5B89"/>
    <w:rsid w:val="000A67E1"/>
    <w:rsid w:val="000A68DC"/>
    <w:rsid w:val="000A7112"/>
    <w:rsid w:val="000A746C"/>
    <w:rsid w:val="000B1E60"/>
    <w:rsid w:val="000B3D6B"/>
    <w:rsid w:val="000B6FC7"/>
    <w:rsid w:val="000C18B6"/>
    <w:rsid w:val="000C21E2"/>
    <w:rsid w:val="000C3F7D"/>
    <w:rsid w:val="000C4799"/>
    <w:rsid w:val="000C4FFD"/>
    <w:rsid w:val="000C690F"/>
    <w:rsid w:val="000C6F50"/>
    <w:rsid w:val="000C6F83"/>
    <w:rsid w:val="000C79E8"/>
    <w:rsid w:val="000D3448"/>
    <w:rsid w:val="000D3FCF"/>
    <w:rsid w:val="000D48CD"/>
    <w:rsid w:val="000D7A39"/>
    <w:rsid w:val="000E03B1"/>
    <w:rsid w:val="000E1F49"/>
    <w:rsid w:val="000E253D"/>
    <w:rsid w:val="000E3571"/>
    <w:rsid w:val="000E4E0B"/>
    <w:rsid w:val="000E6CFC"/>
    <w:rsid w:val="000E7123"/>
    <w:rsid w:val="000E71BE"/>
    <w:rsid w:val="000E79E9"/>
    <w:rsid w:val="000F14D5"/>
    <w:rsid w:val="000F2854"/>
    <w:rsid w:val="000F29EF"/>
    <w:rsid w:val="000F702D"/>
    <w:rsid w:val="000F7A34"/>
    <w:rsid w:val="00100804"/>
    <w:rsid w:val="001022B0"/>
    <w:rsid w:val="00102985"/>
    <w:rsid w:val="00105915"/>
    <w:rsid w:val="00106C13"/>
    <w:rsid w:val="00106ED9"/>
    <w:rsid w:val="0010754D"/>
    <w:rsid w:val="0011004E"/>
    <w:rsid w:val="00111A8E"/>
    <w:rsid w:val="0011252A"/>
    <w:rsid w:val="0011392E"/>
    <w:rsid w:val="00113D42"/>
    <w:rsid w:val="00113ECA"/>
    <w:rsid w:val="00115BA9"/>
    <w:rsid w:val="00117864"/>
    <w:rsid w:val="001222F5"/>
    <w:rsid w:val="0012435E"/>
    <w:rsid w:val="0012656D"/>
    <w:rsid w:val="00127259"/>
    <w:rsid w:val="0013255D"/>
    <w:rsid w:val="0013268C"/>
    <w:rsid w:val="00132FA7"/>
    <w:rsid w:val="00136AFE"/>
    <w:rsid w:val="00141AFD"/>
    <w:rsid w:val="00142680"/>
    <w:rsid w:val="00143D27"/>
    <w:rsid w:val="0014437B"/>
    <w:rsid w:val="001472D3"/>
    <w:rsid w:val="00151897"/>
    <w:rsid w:val="00151C10"/>
    <w:rsid w:val="00152713"/>
    <w:rsid w:val="00152E34"/>
    <w:rsid w:val="00153DBC"/>
    <w:rsid w:val="0015687F"/>
    <w:rsid w:val="00157518"/>
    <w:rsid w:val="0016196D"/>
    <w:rsid w:val="00163890"/>
    <w:rsid w:val="00164B88"/>
    <w:rsid w:val="0016562E"/>
    <w:rsid w:val="001678F2"/>
    <w:rsid w:val="001701BE"/>
    <w:rsid w:val="00171876"/>
    <w:rsid w:val="00173F26"/>
    <w:rsid w:val="00174E54"/>
    <w:rsid w:val="00177387"/>
    <w:rsid w:val="00177697"/>
    <w:rsid w:val="00181908"/>
    <w:rsid w:val="0018238C"/>
    <w:rsid w:val="001844BB"/>
    <w:rsid w:val="00185A55"/>
    <w:rsid w:val="00186ACF"/>
    <w:rsid w:val="00186AEE"/>
    <w:rsid w:val="0019249F"/>
    <w:rsid w:val="00192AC6"/>
    <w:rsid w:val="00193703"/>
    <w:rsid w:val="00194A4F"/>
    <w:rsid w:val="00195073"/>
    <w:rsid w:val="00195240"/>
    <w:rsid w:val="00195651"/>
    <w:rsid w:val="00195852"/>
    <w:rsid w:val="00195A19"/>
    <w:rsid w:val="00195B86"/>
    <w:rsid w:val="00197C54"/>
    <w:rsid w:val="001A13B3"/>
    <w:rsid w:val="001A2301"/>
    <w:rsid w:val="001A40DA"/>
    <w:rsid w:val="001A4986"/>
    <w:rsid w:val="001A7E34"/>
    <w:rsid w:val="001B0904"/>
    <w:rsid w:val="001B1E9A"/>
    <w:rsid w:val="001B408C"/>
    <w:rsid w:val="001B4786"/>
    <w:rsid w:val="001B4DDE"/>
    <w:rsid w:val="001B545F"/>
    <w:rsid w:val="001B583B"/>
    <w:rsid w:val="001B671D"/>
    <w:rsid w:val="001B6E32"/>
    <w:rsid w:val="001C40A1"/>
    <w:rsid w:val="001C49AB"/>
    <w:rsid w:val="001C50B6"/>
    <w:rsid w:val="001C698F"/>
    <w:rsid w:val="001C7CD7"/>
    <w:rsid w:val="001D10C3"/>
    <w:rsid w:val="001D3A77"/>
    <w:rsid w:val="001D4FE1"/>
    <w:rsid w:val="001D7BEA"/>
    <w:rsid w:val="001E02E8"/>
    <w:rsid w:val="001E100A"/>
    <w:rsid w:val="001E4425"/>
    <w:rsid w:val="001E4545"/>
    <w:rsid w:val="001E4639"/>
    <w:rsid w:val="001E490E"/>
    <w:rsid w:val="001E5628"/>
    <w:rsid w:val="001E6805"/>
    <w:rsid w:val="001F0F06"/>
    <w:rsid w:val="001F255A"/>
    <w:rsid w:val="001F3487"/>
    <w:rsid w:val="001F41E3"/>
    <w:rsid w:val="001F5579"/>
    <w:rsid w:val="001F5B68"/>
    <w:rsid w:val="001F5F96"/>
    <w:rsid w:val="001F70D3"/>
    <w:rsid w:val="00200050"/>
    <w:rsid w:val="00202985"/>
    <w:rsid w:val="0020495C"/>
    <w:rsid w:val="00204AA2"/>
    <w:rsid w:val="0020631F"/>
    <w:rsid w:val="0020666C"/>
    <w:rsid w:val="002076BA"/>
    <w:rsid w:val="00210A0C"/>
    <w:rsid w:val="00210DE7"/>
    <w:rsid w:val="00213B89"/>
    <w:rsid w:val="0021414A"/>
    <w:rsid w:val="002160D8"/>
    <w:rsid w:val="0021694B"/>
    <w:rsid w:val="0022079E"/>
    <w:rsid w:val="00221B70"/>
    <w:rsid w:val="002227CD"/>
    <w:rsid w:val="002228A4"/>
    <w:rsid w:val="002237B4"/>
    <w:rsid w:val="002243C4"/>
    <w:rsid w:val="00231199"/>
    <w:rsid w:val="00231B28"/>
    <w:rsid w:val="00232C79"/>
    <w:rsid w:val="0023439E"/>
    <w:rsid w:val="002360FC"/>
    <w:rsid w:val="00236672"/>
    <w:rsid w:val="00237A90"/>
    <w:rsid w:val="00243C6E"/>
    <w:rsid w:val="00243E2C"/>
    <w:rsid w:val="0024520E"/>
    <w:rsid w:val="0024576D"/>
    <w:rsid w:val="00245AB6"/>
    <w:rsid w:val="00246743"/>
    <w:rsid w:val="0024789D"/>
    <w:rsid w:val="00247C0A"/>
    <w:rsid w:val="00247FF4"/>
    <w:rsid w:val="002530C0"/>
    <w:rsid w:val="002570DC"/>
    <w:rsid w:val="00260859"/>
    <w:rsid w:val="002617A1"/>
    <w:rsid w:val="00264B1F"/>
    <w:rsid w:val="00270093"/>
    <w:rsid w:val="00270A05"/>
    <w:rsid w:val="00270CC1"/>
    <w:rsid w:val="0027130B"/>
    <w:rsid w:val="00273254"/>
    <w:rsid w:val="002734FA"/>
    <w:rsid w:val="00277A23"/>
    <w:rsid w:val="002814BF"/>
    <w:rsid w:val="002824F3"/>
    <w:rsid w:val="00283E2A"/>
    <w:rsid w:val="00283E69"/>
    <w:rsid w:val="002840E0"/>
    <w:rsid w:val="00284840"/>
    <w:rsid w:val="002855E2"/>
    <w:rsid w:val="0028714B"/>
    <w:rsid w:val="00287A58"/>
    <w:rsid w:val="00293FA1"/>
    <w:rsid w:val="00295FFE"/>
    <w:rsid w:val="00296358"/>
    <w:rsid w:val="0029729B"/>
    <w:rsid w:val="002A0DF5"/>
    <w:rsid w:val="002A1001"/>
    <w:rsid w:val="002A1600"/>
    <w:rsid w:val="002A1A8D"/>
    <w:rsid w:val="002A2A61"/>
    <w:rsid w:val="002A2B9E"/>
    <w:rsid w:val="002A4A11"/>
    <w:rsid w:val="002A4F1E"/>
    <w:rsid w:val="002A5764"/>
    <w:rsid w:val="002A687B"/>
    <w:rsid w:val="002A743C"/>
    <w:rsid w:val="002A7E64"/>
    <w:rsid w:val="002B17AF"/>
    <w:rsid w:val="002B19D2"/>
    <w:rsid w:val="002B2E2F"/>
    <w:rsid w:val="002B3109"/>
    <w:rsid w:val="002B3C7E"/>
    <w:rsid w:val="002B694D"/>
    <w:rsid w:val="002B6D16"/>
    <w:rsid w:val="002B6DC8"/>
    <w:rsid w:val="002B7D33"/>
    <w:rsid w:val="002C050D"/>
    <w:rsid w:val="002C0BFF"/>
    <w:rsid w:val="002C1A9B"/>
    <w:rsid w:val="002C2661"/>
    <w:rsid w:val="002C2AE6"/>
    <w:rsid w:val="002C3911"/>
    <w:rsid w:val="002C3940"/>
    <w:rsid w:val="002C3D9C"/>
    <w:rsid w:val="002C4D8B"/>
    <w:rsid w:val="002C526F"/>
    <w:rsid w:val="002C6457"/>
    <w:rsid w:val="002C74CE"/>
    <w:rsid w:val="002C7E7C"/>
    <w:rsid w:val="002D1879"/>
    <w:rsid w:val="002D2A36"/>
    <w:rsid w:val="002D5478"/>
    <w:rsid w:val="002D64AD"/>
    <w:rsid w:val="002D6A30"/>
    <w:rsid w:val="002D6E01"/>
    <w:rsid w:val="002D71DA"/>
    <w:rsid w:val="002E0270"/>
    <w:rsid w:val="002E0A45"/>
    <w:rsid w:val="002E2543"/>
    <w:rsid w:val="002E2749"/>
    <w:rsid w:val="002E32A7"/>
    <w:rsid w:val="002E3E33"/>
    <w:rsid w:val="002E4C2A"/>
    <w:rsid w:val="002E7967"/>
    <w:rsid w:val="002F0672"/>
    <w:rsid w:val="002F0D39"/>
    <w:rsid w:val="002F6AE3"/>
    <w:rsid w:val="002F7AF9"/>
    <w:rsid w:val="00300062"/>
    <w:rsid w:val="003021D5"/>
    <w:rsid w:val="003026DD"/>
    <w:rsid w:val="00302C1B"/>
    <w:rsid w:val="00302DE0"/>
    <w:rsid w:val="0030372B"/>
    <w:rsid w:val="003061FC"/>
    <w:rsid w:val="0031010F"/>
    <w:rsid w:val="00310C5A"/>
    <w:rsid w:val="003126C1"/>
    <w:rsid w:val="00312868"/>
    <w:rsid w:val="00316F59"/>
    <w:rsid w:val="00322B91"/>
    <w:rsid w:val="00322F49"/>
    <w:rsid w:val="00323761"/>
    <w:rsid w:val="00323B90"/>
    <w:rsid w:val="00324E82"/>
    <w:rsid w:val="00326CA6"/>
    <w:rsid w:val="00327C8E"/>
    <w:rsid w:val="00335820"/>
    <w:rsid w:val="00337539"/>
    <w:rsid w:val="00337C61"/>
    <w:rsid w:val="0034014E"/>
    <w:rsid w:val="003402D3"/>
    <w:rsid w:val="0034030B"/>
    <w:rsid w:val="0034342F"/>
    <w:rsid w:val="003435E8"/>
    <w:rsid w:val="00344660"/>
    <w:rsid w:val="0034471E"/>
    <w:rsid w:val="00347633"/>
    <w:rsid w:val="00350235"/>
    <w:rsid w:val="00350787"/>
    <w:rsid w:val="003519D4"/>
    <w:rsid w:val="00351AF2"/>
    <w:rsid w:val="0035488A"/>
    <w:rsid w:val="00355A2E"/>
    <w:rsid w:val="00356F8F"/>
    <w:rsid w:val="0035718B"/>
    <w:rsid w:val="003576F9"/>
    <w:rsid w:val="00357AD3"/>
    <w:rsid w:val="00367497"/>
    <w:rsid w:val="003707BD"/>
    <w:rsid w:val="003720E5"/>
    <w:rsid w:val="0037249C"/>
    <w:rsid w:val="00373DE7"/>
    <w:rsid w:val="00375F6B"/>
    <w:rsid w:val="00376C2F"/>
    <w:rsid w:val="00376ED9"/>
    <w:rsid w:val="00380FE8"/>
    <w:rsid w:val="0038118A"/>
    <w:rsid w:val="00381429"/>
    <w:rsid w:val="00382ACD"/>
    <w:rsid w:val="00382CA8"/>
    <w:rsid w:val="0038366F"/>
    <w:rsid w:val="00384ABD"/>
    <w:rsid w:val="00385804"/>
    <w:rsid w:val="00385F12"/>
    <w:rsid w:val="003866CB"/>
    <w:rsid w:val="003872ED"/>
    <w:rsid w:val="00387564"/>
    <w:rsid w:val="00387EF7"/>
    <w:rsid w:val="003915B8"/>
    <w:rsid w:val="0039206E"/>
    <w:rsid w:val="003945E8"/>
    <w:rsid w:val="00395C30"/>
    <w:rsid w:val="003961F0"/>
    <w:rsid w:val="00397F26"/>
    <w:rsid w:val="003A054E"/>
    <w:rsid w:val="003A057D"/>
    <w:rsid w:val="003A0782"/>
    <w:rsid w:val="003A0813"/>
    <w:rsid w:val="003A21D1"/>
    <w:rsid w:val="003A2963"/>
    <w:rsid w:val="003A30C9"/>
    <w:rsid w:val="003A4AD4"/>
    <w:rsid w:val="003A5366"/>
    <w:rsid w:val="003A541E"/>
    <w:rsid w:val="003A613D"/>
    <w:rsid w:val="003A65AA"/>
    <w:rsid w:val="003A6A34"/>
    <w:rsid w:val="003A73FE"/>
    <w:rsid w:val="003B0F5A"/>
    <w:rsid w:val="003B399D"/>
    <w:rsid w:val="003B4FE4"/>
    <w:rsid w:val="003B508B"/>
    <w:rsid w:val="003C2829"/>
    <w:rsid w:val="003C4DB1"/>
    <w:rsid w:val="003C5188"/>
    <w:rsid w:val="003C53D2"/>
    <w:rsid w:val="003C66FC"/>
    <w:rsid w:val="003D089C"/>
    <w:rsid w:val="003D08AA"/>
    <w:rsid w:val="003D640B"/>
    <w:rsid w:val="003D730E"/>
    <w:rsid w:val="003D7E0A"/>
    <w:rsid w:val="003E0FB5"/>
    <w:rsid w:val="003E1CB2"/>
    <w:rsid w:val="003E3009"/>
    <w:rsid w:val="003E4FD2"/>
    <w:rsid w:val="003E50EB"/>
    <w:rsid w:val="003E62E7"/>
    <w:rsid w:val="003F0892"/>
    <w:rsid w:val="003F1BB0"/>
    <w:rsid w:val="003F1F90"/>
    <w:rsid w:val="003F2B3A"/>
    <w:rsid w:val="003F320E"/>
    <w:rsid w:val="003F38B3"/>
    <w:rsid w:val="003F47FB"/>
    <w:rsid w:val="003F5B2D"/>
    <w:rsid w:val="00406BC0"/>
    <w:rsid w:val="00407CAD"/>
    <w:rsid w:val="004102FA"/>
    <w:rsid w:val="004103EA"/>
    <w:rsid w:val="00411627"/>
    <w:rsid w:val="00411BC8"/>
    <w:rsid w:val="0041230B"/>
    <w:rsid w:val="0041248E"/>
    <w:rsid w:val="004126FD"/>
    <w:rsid w:val="00412C01"/>
    <w:rsid w:val="00413E1C"/>
    <w:rsid w:val="004165C8"/>
    <w:rsid w:val="0041707B"/>
    <w:rsid w:val="0042061A"/>
    <w:rsid w:val="00420C1D"/>
    <w:rsid w:val="00421067"/>
    <w:rsid w:val="00423CBB"/>
    <w:rsid w:val="00424124"/>
    <w:rsid w:val="0042551D"/>
    <w:rsid w:val="0043116F"/>
    <w:rsid w:val="0043331D"/>
    <w:rsid w:val="00433E84"/>
    <w:rsid w:val="00434549"/>
    <w:rsid w:val="00435F51"/>
    <w:rsid w:val="00436533"/>
    <w:rsid w:val="00436E0D"/>
    <w:rsid w:val="0044179B"/>
    <w:rsid w:val="00442339"/>
    <w:rsid w:val="00442ACA"/>
    <w:rsid w:val="00447A0F"/>
    <w:rsid w:val="00450719"/>
    <w:rsid w:val="00452C2B"/>
    <w:rsid w:val="00454BD6"/>
    <w:rsid w:val="00460D81"/>
    <w:rsid w:val="00460DA2"/>
    <w:rsid w:val="004612D8"/>
    <w:rsid w:val="00461D0A"/>
    <w:rsid w:val="00462271"/>
    <w:rsid w:val="004636ED"/>
    <w:rsid w:val="004646C6"/>
    <w:rsid w:val="0046502C"/>
    <w:rsid w:val="00465DE2"/>
    <w:rsid w:val="00470255"/>
    <w:rsid w:val="00470BDD"/>
    <w:rsid w:val="00470DA1"/>
    <w:rsid w:val="00471231"/>
    <w:rsid w:val="004719EB"/>
    <w:rsid w:val="00471B2F"/>
    <w:rsid w:val="00473C9A"/>
    <w:rsid w:val="00473E74"/>
    <w:rsid w:val="00474F89"/>
    <w:rsid w:val="00475D89"/>
    <w:rsid w:val="00476BDB"/>
    <w:rsid w:val="004778F3"/>
    <w:rsid w:val="00481C2E"/>
    <w:rsid w:val="004855C8"/>
    <w:rsid w:val="004863D9"/>
    <w:rsid w:val="00491AF2"/>
    <w:rsid w:val="0049343C"/>
    <w:rsid w:val="00493936"/>
    <w:rsid w:val="00493F64"/>
    <w:rsid w:val="00494BA7"/>
    <w:rsid w:val="004956AB"/>
    <w:rsid w:val="00496BB7"/>
    <w:rsid w:val="004A0556"/>
    <w:rsid w:val="004A12D1"/>
    <w:rsid w:val="004A3A88"/>
    <w:rsid w:val="004A4168"/>
    <w:rsid w:val="004A43BC"/>
    <w:rsid w:val="004A5729"/>
    <w:rsid w:val="004A6761"/>
    <w:rsid w:val="004A6EC3"/>
    <w:rsid w:val="004A6F0E"/>
    <w:rsid w:val="004A7F78"/>
    <w:rsid w:val="004B25EC"/>
    <w:rsid w:val="004B2FC6"/>
    <w:rsid w:val="004B5647"/>
    <w:rsid w:val="004B5D0C"/>
    <w:rsid w:val="004C01E8"/>
    <w:rsid w:val="004C2E85"/>
    <w:rsid w:val="004C3CEC"/>
    <w:rsid w:val="004C7303"/>
    <w:rsid w:val="004C7852"/>
    <w:rsid w:val="004C7E30"/>
    <w:rsid w:val="004D03D4"/>
    <w:rsid w:val="004D0A3F"/>
    <w:rsid w:val="004D0B64"/>
    <w:rsid w:val="004D2184"/>
    <w:rsid w:val="004D2B8E"/>
    <w:rsid w:val="004D302C"/>
    <w:rsid w:val="004D37C0"/>
    <w:rsid w:val="004D381F"/>
    <w:rsid w:val="004D394E"/>
    <w:rsid w:val="004D4DEC"/>
    <w:rsid w:val="004D5B21"/>
    <w:rsid w:val="004D7270"/>
    <w:rsid w:val="004E0C10"/>
    <w:rsid w:val="004E3A73"/>
    <w:rsid w:val="004E64C2"/>
    <w:rsid w:val="004E7E3B"/>
    <w:rsid w:val="004F00D0"/>
    <w:rsid w:val="004F01BF"/>
    <w:rsid w:val="004F21DC"/>
    <w:rsid w:val="004F2EB4"/>
    <w:rsid w:val="004F4F68"/>
    <w:rsid w:val="004F7165"/>
    <w:rsid w:val="004F7C1B"/>
    <w:rsid w:val="005017AA"/>
    <w:rsid w:val="005044FC"/>
    <w:rsid w:val="00504711"/>
    <w:rsid w:val="00505263"/>
    <w:rsid w:val="00505D6E"/>
    <w:rsid w:val="00507084"/>
    <w:rsid w:val="00514DBD"/>
    <w:rsid w:val="00520DB7"/>
    <w:rsid w:val="005219CD"/>
    <w:rsid w:val="00522AB3"/>
    <w:rsid w:val="00523903"/>
    <w:rsid w:val="00524496"/>
    <w:rsid w:val="0052576C"/>
    <w:rsid w:val="005262A5"/>
    <w:rsid w:val="0052635B"/>
    <w:rsid w:val="00526BEC"/>
    <w:rsid w:val="005270EB"/>
    <w:rsid w:val="0053037E"/>
    <w:rsid w:val="005310F4"/>
    <w:rsid w:val="00531C38"/>
    <w:rsid w:val="005415E9"/>
    <w:rsid w:val="00542589"/>
    <w:rsid w:val="005425EE"/>
    <w:rsid w:val="005428C6"/>
    <w:rsid w:val="005430CE"/>
    <w:rsid w:val="005453C2"/>
    <w:rsid w:val="005462C8"/>
    <w:rsid w:val="005464BE"/>
    <w:rsid w:val="00546A2C"/>
    <w:rsid w:val="00546EE5"/>
    <w:rsid w:val="00550219"/>
    <w:rsid w:val="00551F56"/>
    <w:rsid w:val="00552787"/>
    <w:rsid w:val="00552F35"/>
    <w:rsid w:val="005535DF"/>
    <w:rsid w:val="00554783"/>
    <w:rsid w:val="00555EEA"/>
    <w:rsid w:val="00556328"/>
    <w:rsid w:val="00557ED4"/>
    <w:rsid w:val="00560903"/>
    <w:rsid w:val="00560E79"/>
    <w:rsid w:val="0056119A"/>
    <w:rsid w:val="00564AF8"/>
    <w:rsid w:val="00564DAD"/>
    <w:rsid w:val="00565677"/>
    <w:rsid w:val="00565E3F"/>
    <w:rsid w:val="00566C98"/>
    <w:rsid w:val="00566D69"/>
    <w:rsid w:val="00567075"/>
    <w:rsid w:val="00571E3E"/>
    <w:rsid w:val="0057331A"/>
    <w:rsid w:val="0057395A"/>
    <w:rsid w:val="00574131"/>
    <w:rsid w:val="005744E5"/>
    <w:rsid w:val="00581760"/>
    <w:rsid w:val="00582E9B"/>
    <w:rsid w:val="005844CD"/>
    <w:rsid w:val="00586549"/>
    <w:rsid w:val="00586CD0"/>
    <w:rsid w:val="00590344"/>
    <w:rsid w:val="00590DEA"/>
    <w:rsid w:val="005933BB"/>
    <w:rsid w:val="00593923"/>
    <w:rsid w:val="00594119"/>
    <w:rsid w:val="005950C4"/>
    <w:rsid w:val="00595449"/>
    <w:rsid w:val="005957C7"/>
    <w:rsid w:val="00596170"/>
    <w:rsid w:val="0059618A"/>
    <w:rsid w:val="00596296"/>
    <w:rsid w:val="0059683F"/>
    <w:rsid w:val="005A0795"/>
    <w:rsid w:val="005A423F"/>
    <w:rsid w:val="005A5D2B"/>
    <w:rsid w:val="005A60A0"/>
    <w:rsid w:val="005A6564"/>
    <w:rsid w:val="005B0235"/>
    <w:rsid w:val="005B238F"/>
    <w:rsid w:val="005B2CB4"/>
    <w:rsid w:val="005B4B59"/>
    <w:rsid w:val="005B5EC3"/>
    <w:rsid w:val="005C16E2"/>
    <w:rsid w:val="005C4DF5"/>
    <w:rsid w:val="005C72B6"/>
    <w:rsid w:val="005C74FF"/>
    <w:rsid w:val="005D0CD5"/>
    <w:rsid w:val="005D0F9D"/>
    <w:rsid w:val="005D12F5"/>
    <w:rsid w:val="005D3408"/>
    <w:rsid w:val="005D3BB7"/>
    <w:rsid w:val="005D757A"/>
    <w:rsid w:val="005E1D60"/>
    <w:rsid w:val="005E212C"/>
    <w:rsid w:val="005E22BE"/>
    <w:rsid w:val="005E45BB"/>
    <w:rsid w:val="005E4AFE"/>
    <w:rsid w:val="005E6372"/>
    <w:rsid w:val="005E6674"/>
    <w:rsid w:val="005E70D5"/>
    <w:rsid w:val="005F0222"/>
    <w:rsid w:val="005F0E96"/>
    <w:rsid w:val="005F0FC1"/>
    <w:rsid w:val="005F199E"/>
    <w:rsid w:val="005F2186"/>
    <w:rsid w:val="005F2529"/>
    <w:rsid w:val="005F2C7D"/>
    <w:rsid w:val="005F3279"/>
    <w:rsid w:val="005F6395"/>
    <w:rsid w:val="005F6889"/>
    <w:rsid w:val="005F7B02"/>
    <w:rsid w:val="005F7F0A"/>
    <w:rsid w:val="0060165C"/>
    <w:rsid w:val="00601793"/>
    <w:rsid w:val="006023FC"/>
    <w:rsid w:val="00602DF6"/>
    <w:rsid w:val="006034DD"/>
    <w:rsid w:val="00603E94"/>
    <w:rsid w:val="0060468D"/>
    <w:rsid w:val="00610072"/>
    <w:rsid w:val="006106EA"/>
    <w:rsid w:val="00611324"/>
    <w:rsid w:val="006153F6"/>
    <w:rsid w:val="00616D35"/>
    <w:rsid w:val="006171A6"/>
    <w:rsid w:val="00620591"/>
    <w:rsid w:val="00622748"/>
    <w:rsid w:val="00625D94"/>
    <w:rsid w:val="006306FE"/>
    <w:rsid w:val="00632E7F"/>
    <w:rsid w:val="006331EA"/>
    <w:rsid w:val="00634957"/>
    <w:rsid w:val="00635233"/>
    <w:rsid w:val="00635A25"/>
    <w:rsid w:val="0064000C"/>
    <w:rsid w:val="006409D3"/>
    <w:rsid w:val="0064166E"/>
    <w:rsid w:val="006421A6"/>
    <w:rsid w:val="00643E68"/>
    <w:rsid w:val="00644883"/>
    <w:rsid w:val="00646CC0"/>
    <w:rsid w:val="006511DE"/>
    <w:rsid w:val="006522F5"/>
    <w:rsid w:val="00652D80"/>
    <w:rsid w:val="006565A4"/>
    <w:rsid w:val="00656DCF"/>
    <w:rsid w:val="0065714C"/>
    <w:rsid w:val="0065763F"/>
    <w:rsid w:val="00657E8A"/>
    <w:rsid w:val="00664876"/>
    <w:rsid w:val="006651E7"/>
    <w:rsid w:val="00666671"/>
    <w:rsid w:val="0066669D"/>
    <w:rsid w:val="00666970"/>
    <w:rsid w:val="00666BED"/>
    <w:rsid w:val="00667265"/>
    <w:rsid w:val="00670F7B"/>
    <w:rsid w:val="00674719"/>
    <w:rsid w:val="00675C6C"/>
    <w:rsid w:val="00675F81"/>
    <w:rsid w:val="006765AB"/>
    <w:rsid w:val="00676DBD"/>
    <w:rsid w:val="00676FBA"/>
    <w:rsid w:val="0067701E"/>
    <w:rsid w:val="00677930"/>
    <w:rsid w:val="006828CA"/>
    <w:rsid w:val="00684E0E"/>
    <w:rsid w:val="00686590"/>
    <w:rsid w:val="00686D26"/>
    <w:rsid w:val="006914C9"/>
    <w:rsid w:val="00692F0E"/>
    <w:rsid w:val="00694B50"/>
    <w:rsid w:val="00694E84"/>
    <w:rsid w:val="00695857"/>
    <w:rsid w:val="00697F8E"/>
    <w:rsid w:val="006A0415"/>
    <w:rsid w:val="006A0CE2"/>
    <w:rsid w:val="006A1570"/>
    <w:rsid w:val="006A3BA5"/>
    <w:rsid w:val="006A500C"/>
    <w:rsid w:val="006A57BF"/>
    <w:rsid w:val="006B1ECA"/>
    <w:rsid w:val="006B2667"/>
    <w:rsid w:val="006B2DAB"/>
    <w:rsid w:val="006B3003"/>
    <w:rsid w:val="006B363E"/>
    <w:rsid w:val="006B6DC5"/>
    <w:rsid w:val="006B6E41"/>
    <w:rsid w:val="006B7853"/>
    <w:rsid w:val="006C0603"/>
    <w:rsid w:val="006C3A00"/>
    <w:rsid w:val="006C4561"/>
    <w:rsid w:val="006C64C4"/>
    <w:rsid w:val="006D28E2"/>
    <w:rsid w:val="006D40A6"/>
    <w:rsid w:val="006D43BE"/>
    <w:rsid w:val="006D4765"/>
    <w:rsid w:val="006D4E33"/>
    <w:rsid w:val="006D54A0"/>
    <w:rsid w:val="006D7058"/>
    <w:rsid w:val="006E0B92"/>
    <w:rsid w:val="006E1AA6"/>
    <w:rsid w:val="006E20A8"/>
    <w:rsid w:val="006E267F"/>
    <w:rsid w:val="006E494B"/>
    <w:rsid w:val="006E5F26"/>
    <w:rsid w:val="006E6A93"/>
    <w:rsid w:val="006F04A7"/>
    <w:rsid w:val="006F05B7"/>
    <w:rsid w:val="006F59EC"/>
    <w:rsid w:val="006F6B5D"/>
    <w:rsid w:val="006F733F"/>
    <w:rsid w:val="006F7F6F"/>
    <w:rsid w:val="00700D14"/>
    <w:rsid w:val="007065FD"/>
    <w:rsid w:val="0070666B"/>
    <w:rsid w:val="00710A9B"/>
    <w:rsid w:val="007131F9"/>
    <w:rsid w:val="007158AC"/>
    <w:rsid w:val="00716323"/>
    <w:rsid w:val="00716872"/>
    <w:rsid w:val="0071723B"/>
    <w:rsid w:val="00717C15"/>
    <w:rsid w:val="0072163D"/>
    <w:rsid w:val="0072257D"/>
    <w:rsid w:val="007225CE"/>
    <w:rsid w:val="00723497"/>
    <w:rsid w:val="00725654"/>
    <w:rsid w:val="00725DA6"/>
    <w:rsid w:val="0072635A"/>
    <w:rsid w:val="007322D2"/>
    <w:rsid w:val="00733CC7"/>
    <w:rsid w:val="007340C9"/>
    <w:rsid w:val="007361F2"/>
    <w:rsid w:val="00740B5D"/>
    <w:rsid w:val="007458E4"/>
    <w:rsid w:val="00745DB6"/>
    <w:rsid w:val="00745DF6"/>
    <w:rsid w:val="007462E2"/>
    <w:rsid w:val="007501EA"/>
    <w:rsid w:val="00751EEA"/>
    <w:rsid w:val="007524D9"/>
    <w:rsid w:val="0075580C"/>
    <w:rsid w:val="00755D57"/>
    <w:rsid w:val="00757203"/>
    <w:rsid w:val="0076007F"/>
    <w:rsid w:val="007614B6"/>
    <w:rsid w:val="00761817"/>
    <w:rsid w:val="00765ACD"/>
    <w:rsid w:val="00766159"/>
    <w:rsid w:val="00766A07"/>
    <w:rsid w:val="007712E6"/>
    <w:rsid w:val="0077494A"/>
    <w:rsid w:val="0077506C"/>
    <w:rsid w:val="00775218"/>
    <w:rsid w:val="007769EA"/>
    <w:rsid w:val="00777236"/>
    <w:rsid w:val="007779E1"/>
    <w:rsid w:val="00780143"/>
    <w:rsid w:val="00780D8F"/>
    <w:rsid w:val="007824D6"/>
    <w:rsid w:val="00782811"/>
    <w:rsid w:val="007832F2"/>
    <w:rsid w:val="00783D9A"/>
    <w:rsid w:val="00785EEB"/>
    <w:rsid w:val="00792999"/>
    <w:rsid w:val="00795ADD"/>
    <w:rsid w:val="0079647B"/>
    <w:rsid w:val="00797BA9"/>
    <w:rsid w:val="007A17C0"/>
    <w:rsid w:val="007A41E8"/>
    <w:rsid w:val="007A43D8"/>
    <w:rsid w:val="007A49D4"/>
    <w:rsid w:val="007A742E"/>
    <w:rsid w:val="007A7D3F"/>
    <w:rsid w:val="007B0C69"/>
    <w:rsid w:val="007B100D"/>
    <w:rsid w:val="007B185E"/>
    <w:rsid w:val="007B18B9"/>
    <w:rsid w:val="007B1973"/>
    <w:rsid w:val="007B1EAE"/>
    <w:rsid w:val="007B214C"/>
    <w:rsid w:val="007B2C27"/>
    <w:rsid w:val="007B2CE1"/>
    <w:rsid w:val="007B31C3"/>
    <w:rsid w:val="007B44D9"/>
    <w:rsid w:val="007B48BF"/>
    <w:rsid w:val="007B50CD"/>
    <w:rsid w:val="007B7B38"/>
    <w:rsid w:val="007C1289"/>
    <w:rsid w:val="007C21BD"/>
    <w:rsid w:val="007C7001"/>
    <w:rsid w:val="007D155A"/>
    <w:rsid w:val="007D263B"/>
    <w:rsid w:val="007D2D60"/>
    <w:rsid w:val="007E0264"/>
    <w:rsid w:val="007E1AD6"/>
    <w:rsid w:val="007E1B5E"/>
    <w:rsid w:val="007E1CA5"/>
    <w:rsid w:val="007E1D41"/>
    <w:rsid w:val="007E444E"/>
    <w:rsid w:val="007E4D82"/>
    <w:rsid w:val="007E55FC"/>
    <w:rsid w:val="007F08CB"/>
    <w:rsid w:val="007F0E9E"/>
    <w:rsid w:val="007F1F71"/>
    <w:rsid w:val="007F22B5"/>
    <w:rsid w:val="007F3269"/>
    <w:rsid w:val="007F4365"/>
    <w:rsid w:val="007F4906"/>
    <w:rsid w:val="007F5BEA"/>
    <w:rsid w:val="007F64B9"/>
    <w:rsid w:val="00802450"/>
    <w:rsid w:val="00802E41"/>
    <w:rsid w:val="008038F0"/>
    <w:rsid w:val="0080423F"/>
    <w:rsid w:val="00804C6D"/>
    <w:rsid w:val="0080516F"/>
    <w:rsid w:val="00811955"/>
    <w:rsid w:val="00812EA6"/>
    <w:rsid w:val="008148F8"/>
    <w:rsid w:val="008150D7"/>
    <w:rsid w:val="00816166"/>
    <w:rsid w:val="00816805"/>
    <w:rsid w:val="008178C4"/>
    <w:rsid w:val="00820BA7"/>
    <w:rsid w:val="00820E6A"/>
    <w:rsid w:val="00822078"/>
    <w:rsid w:val="00822E3B"/>
    <w:rsid w:val="008243BE"/>
    <w:rsid w:val="00824DCC"/>
    <w:rsid w:val="008251AE"/>
    <w:rsid w:val="00825B16"/>
    <w:rsid w:val="00825F74"/>
    <w:rsid w:val="00825FC9"/>
    <w:rsid w:val="0083400C"/>
    <w:rsid w:val="00834134"/>
    <w:rsid w:val="00834E11"/>
    <w:rsid w:val="00835FF5"/>
    <w:rsid w:val="00837DF7"/>
    <w:rsid w:val="008435FF"/>
    <w:rsid w:val="008457F3"/>
    <w:rsid w:val="00847199"/>
    <w:rsid w:val="0084724B"/>
    <w:rsid w:val="00850D28"/>
    <w:rsid w:val="008518B3"/>
    <w:rsid w:val="0085192C"/>
    <w:rsid w:val="00852C0F"/>
    <w:rsid w:val="0085335E"/>
    <w:rsid w:val="008542E2"/>
    <w:rsid w:val="0085575E"/>
    <w:rsid w:val="008560DB"/>
    <w:rsid w:val="008568CE"/>
    <w:rsid w:val="00857EA0"/>
    <w:rsid w:val="008605E1"/>
    <w:rsid w:val="00860811"/>
    <w:rsid w:val="00860D7D"/>
    <w:rsid w:val="00862782"/>
    <w:rsid w:val="00863DAA"/>
    <w:rsid w:val="00864221"/>
    <w:rsid w:val="008642C1"/>
    <w:rsid w:val="00867FB7"/>
    <w:rsid w:val="00870073"/>
    <w:rsid w:val="00871121"/>
    <w:rsid w:val="00872791"/>
    <w:rsid w:val="00872D90"/>
    <w:rsid w:val="00872DA4"/>
    <w:rsid w:val="0087644E"/>
    <w:rsid w:val="008774C6"/>
    <w:rsid w:val="00883342"/>
    <w:rsid w:val="0088390C"/>
    <w:rsid w:val="00884120"/>
    <w:rsid w:val="00884258"/>
    <w:rsid w:val="00885F5A"/>
    <w:rsid w:val="0089272A"/>
    <w:rsid w:val="0089387F"/>
    <w:rsid w:val="00893ABC"/>
    <w:rsid w:val="008948CA"/>
    <w:rsid w:val="00894D8A"/>
    <w:rsid w:val="00896E3E"/>
    <w:rsid w:val="008970ED"/>
    <w:rsid w:val="008A0C66"/>
    <w:rsid w:val="008A14AC"/>
    <w:rsid w:val="008A23CD"/>
    <w:rsid w:val="008A35D5"/>
    <w:rsid w:val="008A5216"/>
    <w:rsid w:val="008A607E"/>
    <w:rsid w:val="008A616E"/>
    <w:rsid w:val="008A652E"/>
    <w:rsid w:val="008A76D7"/>
    <w:rsid w:val="008A7724"/>
    <w:rsid w:val="008B1FFF"/>
    <w:rsid w:val="008B23D7"/>
    <w:rsid w:val="008B279F"/>
    <w:rsid w:val="008B4E32"/>
    <w:rsid w:val="008C0616"/>
    <w:rsid w:val="008C37CD"/>
    <w:rsid w:val="008C4228"/>
    <w:rsid w:val="008C4855"/>
    <w:rsid w:val="008C585A"/>
    <w:rsid w:val="008C6E40"/>
    <w:rsid w:val="008C763E"/>
    <w:rsid w:val="008C7FB9"/>
    <w:rsid w:val="008D217D"/>
    <w:rsid w:val="008D2D17"/>
    <w:rsid w:val="008D558C"/>
    <w:rsid w:val="008D625D"/>
    <w:rsid w:val="008E03AC"/>
    <w:rsid w:val="008E12F0"/>
    <w:rsid w:val="008E2104"/>
    <w:rsid w:val="008E2193"/>
    <w:rsid w:val="008E226A"/>
    <w:rsid w:val="008E31DD"/>
    <w:rsid w:val="008E45AF"/>
    <w:rsid w:val="008F104B"/>
    <w:rsid w:val="008F12BE"/>
    <w:rsid w:val="008F18E1"/>
    <w:rsid w:val="008F1900"/>
    <w:rsid w:val="008F2458"/>
    <w:rsid w:val="008F7654"/>
    <w:rsid w:val="0090019D"/>
    <w:rsid w:val="00901D22"/>
    <w:rsid w:val="00902CEA"/>
    <w:rsid w:val="0090300D"/>
    <w:rsid w:val="0090332A"/>
    <w:rsid w:val="009034F0"/>
    <w:rsid w:val="00905363"/>
    <w:rsid w:val="0091117B"/>
    <w:rsid w:val="00911BAC"/>
    <w:rsid w:val="00911C5A"/>
    <w:rsid w:val="00912533"/>
    <w:rsid w:val="0091403C"/>
    <w:rsid w:val="009165E9"/>
    <w:rsid w:val="00923B85"/>
    <w:rsid w:val="00927B6B"/>
    <w:rsid w:val="00930B67"/>
    <w:rsid w:val="00930F9F"/>
    <w:rsid w:val="00931688"/>
    <w:rsid w:val="009320A2"/>
    <w:rsid w:val="009322BB"/>
    <w:rsid w:val="00932A8C"/>
    <w:rsid w:val="00941F1E"/>
    <w:rsid w:val="0094378C"/>
    <w:rsid w:val="00944080"/>
    <w:rsid w:val="00945043"/>
    <w:rsid w:val="00952889"/>
    <w:rsid w:val="00952BAB"/>
    <w:rsid w:val="00956327"/>
    <w:rsid w:val="0095794E"/>
    <w:rsid w:val="009619C5"/>
    <w:rsid w:val="0096202F"/>
    <w:rsid w:val="00964E34"/>
    <w:rsid w:val="00965019"/>
    <w:rsid w:val="009654A0"/>
    <w:rsid w:val="00966AD0"/>
    <w:rsid w:val="00966DFF"/>
    <w:rsid w:val="00966FA6"/>
    <w:rsid w:val="00966FB5"/>
    <w:rsid w:val="00967EAB"/>
    <w:rsid w:val="00967F4C"/>
    <w:rsid w:val="00971043"/>
    <w:rsid w:val="00971221"/>
    <w:rsid w:val="00971B05"/>
    <w:rsid w:val="00973A22"/>
    <w:rsid w:val="009775DD"/>
    <w:rsid w:val="0098060E"/>
    <w:rsid w:val="009819FD"/>
    <w:rsid w:val="009837C1"/>
    <w:rsid w:val="00983C9B"/>
    <w:rsid w:val="00985937"/>
    <w:rsid w:val="00986814"/>
    <w:rsid w:val="009868F1"/>
    <w:rsid w:val="00990320"/>
    <w:rsid w:val="00990ABF"/>
    <w:rsid w:val="00990FA1"/>
    <w:rsid w:val="009922E0"/>
    <w:rsid w:val="00992BE9"/>
    <w:rsid w:val="00992CB0"/>
    <w:rsid w:val="009936EE"/>
    <w:rsid w:val="009956DF"/>
    <w:rsid w:val="00996A57"/>
    <w:rsid w:val="00996FAB"/>
    <w:rsid w:val="00997F04"/>
    <w:rsid w:val="009A049B"/>
    <w:rsid w:val="009A18A4"/>
    <w:rsid w:val="009A2C57"/>
    <w:rsid w:val="009A39C2"/>
    <w:rsid w:val="009A3EAA"/>
    <w:rsid w:val="009A5FD8"/>
    <w:rsid w:val="009A6021"/>
    <w:rsid w:val="009A756C"/>
    <w:rsid w:val="009B0138"/>
    <w:rsid w:val="009B1CB3"/>
    <w:rsid w:val="009B574A"/>
    <w:rsid w:val="009B6359"/>
    <w:rsid w:val="009B7F62"/>
    <w:rsid w:val="009C08F8"/>
    <w:rsid w:val="009C15CB"/>
    <w:rsid w:val="009C232A"/>
    <w:rsid w:val="009C2BEC"/>
    <w:rsid w:val="009C2F54"/>
    <w:rsid w:val="009C3323"/>
    <w:rsid w:val="009C4550"/>
    <w:rsid w:val="009C48B6"/>
    <w:rsid w:val="009C5FB2"/>
    <w:rsid w:val="009C6F02"/>
    <w:rsid w:val="009D0878"/>
    <w:rsid w:val="009D2D5C"/>
    <w:rsid w:val="009D70F8"/>
    <w:rsid w:val="009E2EF0"/>
    <w:rsid w:val="009E4E4F"/>
    <w:rsid w:val="009E4EF7"/>
    <w:rsid w:val="009E5D78"/>
    <w:rsid w:val="009F0102"/>
    <w:rsid w:val="009F11B9"/>
    <w:rsid w:val="009F2334"/>
    <w:rsid w:val="009F7E9A"/>
    <w:rsid w:val="00A00B96"/>
    <w:rsid w:val="00A01DD7"/>
    <w:rsid w:val="00A01FF0"/>
    <w:rsid w:val="00A02766"/>
    <w:rsid w:val="00A04779"/>
    <w:rsid w:val="00A04DAE"/>
    <w:rsid w:val="00A06514"/>
    <w:rsid w:val="00A071D8"/>
    <w:rsid w:val="00A10060"/>
    <w:rsid w:val="00A100AD"/>
    <w:rsid w:val="00A12D0A"/>
    <w:rsid w:val="00A14FF5"/>
    <w:rsid w:val="00A169FA"/>
    <w:rsid w:val="00A1764A"/>
    <w:rsid w:val="00A2216E"/>
    <w:rsid w:val="00A22EFE"/>
    <w:rsid w:val="00A2342E"/>
    <w:rsid w:val="00A23623"/>
    <w:rsid w:val="00A242E2"/>
    <w:rsid w:val="00A2601D"/>
    <w:rsid w:val="00A277F2"/>
    <w:rsid w:val="00A30109"/>
    <w:rsid w:val="00A30121"/>
    <w:rsid w:val="00A31310"/>
    <w:rsid w:val="00A32502"/>
    <w:rsid w:val="00A34E82"/>
    <w:rsid w:val="00A36532"/>
    <w:rsid w:val="00A36C11"/>
    <w:rsid w:val="00A3783E"/>
    <w:rsid w:val="00A401DF"/>
    <w:rsid w:val="00A40262"/>
    <w:rsid w:val="00A41110"/>
    <w:rsid w:val="00A41228"/>
    <w:rsid w:val="00A4454B"/>
    <w:rsid w:val="00A45E0F"/>
    <w:rsid w:val="00A46288"/>
    <w:rsid w:val="00A50A67"/>
    <w:rsid w:val="00A5168D"/>
    <w:rsid w:val="00A539F1"/>
    <w:rsid w:val="00A5400C"/>
    <w:rsid w:val="00A54526"/>
    <w:rsid w:val="00A54DD1"/>
    <w:rsid w:val="00A55C55"/>
    <w:rsid w:val="00A604B2"/>
    <w:rsid w:val="00A6132E"/>
    <w:rsid w:val="00A6241E"/>
    <w:rsid w:val="00A6328D"/>
    <w:rsid w:val="00A632AC"/>
    <w:rsid w:val="00A6360A"/>
    <w:rsid w:val="00A63754"/>
    <w:rsid w:val="00A63F1D"/>
    <w:rsid w:val="00A64E92"/>
    <w:rsid w:val="00A65FE1"/>
    <w:rsid w:val="00A66195"/>
    <w:rsid w:val="00A66789"/>
    <w:rsid w:val="00A70272"/>
    <w:rsid w:val="00A70882"/>
    <w:rsid w:val="00A7145C"/>
    <w:rsid w:val="00A749CA"/>
    <w:rsid w:val="00A74A9C"/>
    <w:rsid w:val="00A766DB"/>
    <w:rsid w:val="00A77A17"/>
    <w:rsid w:val="00A81128"/>
    <w:rsid w:val="00A81848"/>
    <w:rsid w:val="00A81C60"/>
    <w:rsid w:val="00A828AF"/>
    <w:rsid w:val="00A8389F"/>
    <w:rsid w:val="00A84084"/>
    <w:rsid w:val="00A84757"/>
    <w:rsid w:val="00A8488B"/>
    <w:rsid w:val="00A84BEB"/>
    <w:rsid w:val="00A86338"/>
    <w:rsid w:val="00A91311"/>
    <w:rsid w:val="00A91C3E"/>
    <w:rsid w:val="00A91ED4"/>
    <w:rsid w:val="00A9309A"/>
    <w:rsid w:val="00A93C3D"/>
    <w:rsid w:val="00A93C87"/>
    <w:rsid w:val="00A945A3"/>
    <w:rsid w:val="00A945D6"/>
    <w:rsid w:val="00A959A1"/>
    <w:rsid w:val="00AA1232"/>
    <w:rsid w:val="00AA1708"/>
    <w:rsid w:val="00AA242C"/>
    <w:rsid w:val="00AA2DE9"/>
    <w:rsid w:val="00AA400A"/>
    <w:rsid w:val="00AA5223"/>
    <w:rsid w:val="00AA64E3"/>
    <w:rsid w:val="00AA7EB2"/>
    <w:rsid w:val="00AB0BAD"/>
    <w:rsid w:val="00AB1A6B"/>
    <w:rsid w:val="00AB3DB0"/>
    <w:rsid w:val="00AB4641"/>
    <w:rsid w:val="00AB4D8C"/>
    <w:rsid w:val="00AB5E54"/>
    <w:rsid w:val="00AB5EF6"/>
    <w:rsid w:val="00AB6B79"/>
    <w:rsid w:val="00AC125C"/>
    <w:rsid w:val="00AC1839"/>
    <w:rsid w:val="00AC29D8"/>
    <w:rsid w:val="00AC2AD5"/>
    <w:rsid w:val="00AC2AEF"/>
    <w:rsid w:val="00AC4712"/>
    <w:rsid w:val="00AD0D06"/>
    <w:rsid w:val="00AD1850"/>
    <w:rsid w:val="00AD4C3C"/>
    <w:rsid w:val="00AD57D4"/>
    <w:rsid w:val="00AD5E1A"/>
    <w:rsid w:val="00AD6B0A"/>
    <w:rsid w:val="00AE08D4"/>
    <w:rsid w:val="00AE0CDA"/>
    <w:rsid w:val="00AE1679"/>
    <w:rsid w:val="00AE2D0F"/>
    <w:rsid w:val="00AE35EA"/>
    <w:rsid w:val="00AE37C9"/>
    <w:rsid w:val="00AE5340"/>
    <w:rsid w:val="00AE5F79"/>
    <w:rsid w:val="00AE6527"/>
    <w:rsid w:val="00AF0001"/>
    <w:rsid w:val="00AF099D"/>
    <w:rsid w:val="00AF0A1C"/>
    <w:rsid w:val="00AF1907"/>
    <w:rsid w:val="00AF1F9C"/>
    <w:rsid w:val="00AF4239"/>
    <w:rsid w:val="00AF5B7B"/>
    <w:rsid w:val="00B0001C"/>
    <w:rsid w:val="00B00E85"/>
    <w:rsid w:val="00B024C1"/>
    <w:rsid w:val="00B026F4"/>
    <w:rsid w:val="00B058BF"/>
    <w:rsid w:val="00B05BC3"/>
    <w:rsid w:val="00B067DF"/>
    <w:rsid w:val="00B06D00"/>
    <w:rsid w:val="00B12802"/>
    <w:rsid w:val="00B12EF1"/>
    <w:rsid w:val="00B15025"/>
    <w:rsid w:val="00B15784"/>
    <w:rsid w:val="00B17066"/>
    <w:rsid w:val="00B1793C"/>
    <w:rsid w:val="00B2077E"/>
    <w:rsid w:val="00B212DB"/>
    <w:rsid w:val="00B219B6"/>
    <w:rsid w:val="00B22354"/>
    <w:rsid w:val="00B2650B"/>
    <w:rsid w:val="00B2707B"/>
    <w:rsid w:val="00B3000B"/>
    <w:rsid w:val="00B30550"/>
    <w:rsid w:val="00B35803"/>
    <w:rsid w:val="00B3665E"/>
    <w:rsid w:val="00B37292"/>
    <w:rsid w:val="00B37A1E"/>
    <w:rsid w:val="00B414C6"/>
    <w:rsid w:val="00B418F9"/>
    <w:rsid w:val="00B41FCD"/>
    <w:rsid w:val="00B43320"/>
    <w:rsid w:val="00B43650"/>
    <w:rsid w:val="00B439E5"/>
    <w:rsid w:val="00B440B0"/>
    <w:rsid w:val="00B44EF5"/>
    <w:rsid w:val="00B45B56"/>
    <w:rsid w:val="00B4698E"/>
    <w:rsid w:val="00B47615"/>
    <w:rsid w:val="00B5018A"/>
    <w:rsid w:val="00B50AD5"/>
    <w:rsid w:val="00B54568"/>
    <w:rsid w:val="00B54624"/>
    <w:rsid w:val="00B610C4"/>
    <w:rsid w:val="00B623F7"/>
    <w:rsid w:val="00B626B6"/>
    <w:rsid w:val="00B631D2"/>
    <w:rsid w:val="00B6347D"/>
    <w:rsid w:val="00B643F6"/>
    <w:rsid w:val="00B65EAA"/>
    <w:rsid w:val="00B65EDF"/>
    <w:rsid w:val="00B66349"/>
    <w:rsid w:val="00B70034"/>
    <w:rsid w:val="00B71EB2"/>
    <w:rsid w:val="00B76FAB"/>
    <w:rsid w:val="00B802BB"/>
    <w:rsid w:val="00B80B6E"/>
    <w:rsid w:val="00B81625"/>
    <w:rsid w:val="00B81741"/>
    <w:rsid w:val="00B817BB"/>
    <w:rsid w:val="00B82B4D"/>
    <w:rsid w:val="00B851B4"/>
    <w:rsid w:val="00B867AE"/>
    <w:rsid w:val="00B93471"/>
    <w:rsid w:val="00B94AC3"/>
    <w:rsid w:val="00B97842"/>
    <w:rsid w:val="00BA057D"/>
    <w:rsid w:val="00BA0F70"/>
    <w:rsid w:val="00BA1165"/>
    <w:rsid w:val="00BA248D"/>
    <w:rsid w:val="00BA6486"/>
    <w:rsid w:val="00BA6B46"/>
    <w:rsid w:val="00BA6C69"/>
    <w:rsid w:val="00BB046B"/>
    <w:rsid w:val="00BB1D81"/>
    <w:rsid w:val="00BB1EDD"/>
    <w:rsid w:val="00BB2998"/>
    <w:rsid w:val="00BB299C"/>
    <w:rsid w:val="00BB2AE1"/>
    <w:rsid w:val="00BB2F24"/>
    <w:rsid w:val="00BB3982"/>
    <w:rsid w:val="00BB403E"/>
    <w:rsid w:val="00BB47B7"/>
    <w:rsid w:val="00BB5F0B"/>
    <w:rsid w:val="00BB626F"/>
    <w:rsid w:val="00BB7914"/>
    <w:rsid w:val="00BC1F0E"/>
    <w:rsid w:val="00BC252A"/>
    <w:rsid w:val="00BC4D24"/>
    <w:rsid w:val="00BC502E"/>
    <w:rsid w:val="00BD0593"/>
    <w:rsid w:val="00BD0EE1"/>
    <w:rsid w:val="00BD133F"/>
    <w:rsid w:val="00BD1C42"/>
    <w:rsid w:val="00BD2BC1"/>
    <w:rsid w:val="00BD38D8"/>
    <w:rsid w:val="00BD6C0D"/>
    <w:rsid w:val="00BD7CF1"/>
    <w:rsid w:val="00BE3D8B"/>
    <w:rsid w:val="00BE42AF"/>
    <w:rsid w:val="00BE4BE6"/>
    <w:rsid w:val="00BE5048"/>
    <w:rsid w:val="00BE512C"/>
    <w:rsid w:val="00BE5EAC"/>
    <w:rsid w:val="00BE617C"/>
    <w:rsid w:val="00BE694C"/>
    <w:rsid w:val="00BE7E90"/>
    <w:rsid w:val="00BF2DBC"/>
    <w:rsid w:val="00BF387E"/>
    <w:rsid w:val="00BF4D4B"/>
    <w:rsid w:val="00BF7FDB"/>
    <w:rsid w:val="00C00A1D"/>
    <w:rsid w:val="00C00B71"/>
    <w:rsid w:val="00C01BD5"/>
    <w:rsid w:val="00C025A5"/>
    <w:rsid w:val="00C0339D"/>
    <w:rsid w:val="00C039F5"/>
    <w:rsid w:val="00C03DE5"/>
    <w:rsid w:val="00C046AC"/>
    <w:rsid w:val="00C053B2"/>
    <w:rsid w:val="00C0560E"/>
    <w:rsid w:val="00C07074"/>
    <w:rsid w:val="00C07A18"/>
    <w:rsid w:val="00C13A72"/>
    <w:rsid w:val="00C13A93"/>
    <w:rsid w:val="00C14784"/>
    <w:rsid w:val="00C14A93"/>
    <w:rsid w:val="00C16558"/>
    <w:rsid w:val="00C16586"/>
    <w:rsid w:val="00C16E75"/>
    <w:rsid w:val="00C17346"/>
    <w:rsid w:val="00C22129"/>
    <w:rsid w:val="00C224EE"/>
    <w:rsid w:val="00C22A94"/>
    <w:rsid w:val="00C22B0D"/>
    <w:rsid w:val="00C24E39"/>
    <w:rsid w:val="00C25067"/>
    <w:rsid w:val="00C300D5"/>
    <w:rsid w:val="00C316D3"/>
    <w:rsid w:val="00C367BB"/>
    <w:rsid w:val="00C368DD"/>
    <w:rsid w:val="00C37D24"/>
    <w:rsid w:val="00C40350"/>
    <w:rsid w:val="00C416CF"/>
    <w:rsid w:val="00C4273C"/>
    <w:rsid w:val="00C436B4"/>
    <w:rsid w:val="00C44773"/>
    <w:rsid w:val="00C46875"/>
    <w:rsid w:val="00C47AB9"/>
    <w:rsid w:val="00C47F01"/>
    <w:rsid w:val="00C51398"/>
    <w:rsid w:val="00C5228C"/>
    <w:rsid w:val="00C52E4C"/>
    <w:rsid w:val="00C566BB"/>
    <w:rsid w:val="00C56974"/>
    <w:rsid w:val="00C575EC"/>
    <w:rsid w:val="00C601F3"/>
    <w:rsid w:val="00C618C0"/>
    <w:rsid w:val="00C629AB"/>
    <w:rsid w:val="00C65620"/>
    <w:rsid w:val="00C659A8"/>
    <w:rsid w:val="00C73040"/>
    <w:rsid w:val="00C7580A"/>
    <w:rsid w:val="00C76761"/>
    <w:rsid w:val="00C76D1D"/>
    <w:rsid w:val="00C77100"/>
    <w:rsid w:val="00C800A3"/>
    <w:rsid w:val="00C81571"/>
    <w:rsid w:val="00C83552"/>
    <w:rsid w:val="00C83840"/>
    <w:rsid w:val="00C8439B"/>
    <w:rsid w:val="00C845E4"/>
    <w:rsid w:val="00C854C8"/>
    <w:rsid w:val="00C859E6"/>
    <w:rsid w:val="00C86B29"/>
    <w:rsid w:val="00C87F88"/>
    <w:rsid w:val="00C90BBD"/>
    <w:rsid w:val="00C911E5"/>
    <w:rsid w:val="00C917C3"/>
    <w:rsid w:val="00C91B92"/>
    <w:rsid w:val="00C93209"/>
    <w:rsid w:val="00C941CD"/>
    <w:rsid w:val="00C9527E"/>
    <w:rsid w:val="00C955F4"/>
    <w:rsid w:val="00C95DA0"/>
    <w:rsid w:val="00C96328"/>
    <w:rsid w:val="00CA1244"/>
    <w:rsid w:val="00CA126E"/>
    <w:rsid w:val="00CA1AA9"/>
    <w:rsid w:val="00CA35EE"/>
    <w:rsid w:val="00CA399F"/>
    <w:rsid w:val="00CA6877"/>
    <w:rsid w:val="00CA6D53"/>
    <w:rsid w:val="00CA75E6"/>
    <w:rsid w:val="00CA7AD4"/>
    <w:rsid w:val="00CB3FB2"/>
    <w:rsid w:val="00CB533B"/>
    <w:rsid w:val="00CB63EF"/>
    <w:rsid w:val="00CB6AC0"/>
    <w:rsid w:val="00CB7B86"/>
    <w:rsid w:val="00CC2828"/>
    <w:rsid w:val="00CC3A13"/>
    <w:rsid w:val="00CC4DB4"/>
    <w:rsid w:val="00CC5046"/>
    <w:rsid w:val="00CC54DC"/>
    <w:rsid w:val="00CC70C6"/>
    <w:rsid w:val="00CC7871"/>
    <w:rsid w:val="00CC7D6F"/>
    <w:rsid w:val="00CD0CF2"/>
    <w:rsid w:val="00CD22B7"/>
    <w:rsid w:val="00CD23FC"/>
    <w:rsid w:val="00CD2FCA"/>
    <w:rsid w:val="00CD4159"/>
    <w:rsid w:val="00CD6759"/>
    <w:rsid w:val="00CD69AB"/>
    <w:rsid w:val="00CD765F"/>
    <w:rsid w:val="00CE0027"/>
    <w:rsid w:val="00CE1D3F"/>
    <w:rsid w:val="00CE2FDA"/>
    <w:rsid w:val="00CE3E2C"/>
    <w:rsid w:val="00CE4E4C"/>
    <w:rsid w:val="00CE5D05"/>
    <w:rsid w:val="00CE64B1"/>
    <w:rsid w:val="00CE7063"/>
    <w:rsid w:val="00CE7763"/>
    <w:rsid w:val="00CF1B21"/>
    <w:rsid w:val="00CF25A8"/>
    <w:rsid w:val="00CF3A10"/>
    <w:rsid w:val="00CF4FEE"/>
    <w:rsid w:val="00CF565F"/>
    <w:rsid w:val="00CF64BA"/>
    <w:rsid w:val="00D0134E"/>
    <w:rsid w:val="00D01429"/>
    <w:rsid w:val="00D019B1"/>
    <w:rsid w:val="00D02E8E"/>
    <w:rsid w:val="00D03FEF"/>
    <w:rsid w:val="00D0452E"/>
    <w:rsid w:val="00D04560"/>
    <w:rsid w:val="00D05D0D"/>
    <w:rsid w:val="00D06A48"/>
    <w:rsid w:val="00D07B86"/>
    <w:rsid w:val="00D10223"/>
    <w:rsid w:val="00D11E37"/>
    <w:rsid w:val="00D1449C"/>
    <w:rsid w:val="00D15BBE"/>
    <w:rsid w:val="00D16FFF"/>
    <w:rsid w:val="00D22417"/>
    <w:rsid w:val="00D249EF"/>
    <w:rsid w:val="00D25892"/>
    <w:rsid w:val="00D2615D"/>
    <w:rsid w:val="00D26673"/>
    <w:rsid w:val="00D3127F"/>
    <w:rsid w:val="00D313C3"/>
    <w:rsid w:val="00D324A4"/>
    <w:rsid w:val="00D32BFE"/>
    <w:rsid w:val="00D34118"/>
    <w:rsid w:val="00D35533"/>
    <w:rsid w:val="00D3561C"/>
    <w:rsid w:val="00D37798"/>
    <w:rsid w:val="00D37BD2"/>
    <w:rsid w:val="00D40326"/>
    <w:rsid w:val="00D42060"/>
    <w:rsid w:val="00D4290F"/>
    <w:rsid w:val="00D44798"/>
    <w:rsid w:val="00D45980"/>
    <w:rsid w:val="00D50A97"/>
    <w:rsid w:val="00D5171B"/>
    <w:rsid w:val="00D5287D"/>
    <w:rsid w:val="00D52E19"/>
    <w:rsid w:val="00D54D9F"/>
    <w:rsid w:val="00D56336"/>
    <w:rsid w:val="00D56A83"/>
    <w:rsid w:val="00D57313"/>
    <w:rsid w:val="00D579B9"/>
    <w:rsid w:val="00D57CC1"/>
    <w:rsid w:val="00D57F7A"/>
    <w:rsid w:val="00D604A7"/>
    <w:rsid w:val="00D6050C"/>
    <w:rsid w:val="00D615C8"/>
    <w:rsid w:val="00D61F25"/>
    <w:rsid w:val="00D63A47"/>
    <w:rsid w:val="00D63D0F"/>
    <w:rsid w:val="00D644F3"/>
    <w:rsid w:val="00D6467D"/>
    <w:rsid w:val="00D6584C"/>
    <w:rsid w:val="00D65A2D"/>
    <w:rsid w:val="00D67933"/>
    <w:rsid w:val="00D70B9C"/>
    <w:rsid w:val="00D70E2F"/>
    <w:rsid w:val="00D71122"/>
    <w:rsid w:val="00D71559"/>
    <w:rsid w:val="00D71719"/>
    <w:rsid w:val="00D71BCE"/>
    <w:rsid w:val="00D73353"/>
    <w:rsid w:val="00D7452D"/>
    <w:rsid w:val="00D746F3"/>
    <w:rsid w:val="00D7474D"/>
    <w:rsid w:val="00D75A29"/>
    <w:rsid w:val="00D76510"/>
    <w:rsid w:val="00D76CD8"/>
    <w:rsid w:val="00D76E2C"/>
    <w:rsid w:val="00D77357"/>
    <w:rsid w:val="00D775E4"/>
    <w:rsid w:val="00D80211"/>
    <w:rsid w:val="00D803DD"/>
    <w:rsid w:val="00D8444C"/>
    <w:rsid w:val="00D844EC"/>
    <w:rsid w:val="00D86147"/>
    <w:rsid w:val="00D86399"/>
    <w:rsid w:val="00D8706B"/>
    <w:rsid w:val="00D87E99"/>
    <w:rsid w:val="00D87FE2"/>
    <w:rsid w:val="00D93860"/>
    <w:rsid w:val="00D94A79"/>
    <w:rsid w:val="00D955AF"/>
    <w:rsid w:val="00D9562F"/>
    <w:rsid w:val="00D965E4"/>
    <w:rsid w:val="00DA23C1"/>
    <w:rsid w:val="00DA4803"/>
    <w:rsid w:val="00DA4C3C"/>
    <w:rsid w:val="00DA4FDA"/>
    <w:rsid w:val="00DA6E27"/>
    <w:rsid w:val="00DA7EE3"/>
    <w:rsid w:val="00DB03A3"/>
    <w:rsid w:val="00DB1863"/>
    <w:rsid w:val="00DB24F0"/>
    <w:rsid w:val="00DB297A"/>
    <w:rsid w:val="00DB2B3C"/>
    <w:rsid w:val="00DB3142"/>
    <w:rsid w:val="00DB46E4"/>
    <w:rsid w:val="00DB64E6"/>
    <w:rsid w:val="00DB684B"/>
    <w:rsid w:val="00DB718B"/>
    <w:rsid w:val="00DC07E1"/>
    <w:rsid w:val="00DC2391"/>
    <w:rsid w:val="00DC4473"/>
    <w:rsid w:val="00DC580C"/>
    <w:rsid w:val="00DC7A1C"/>
    <w:rsid w:val="00DD1D44"/>
    <w:rsid w:val="00DD2697"/>
    <w:rsid w:val="00DD2878"/>
    <w:rsid w:val="00DD2D45"/>
    <w:rsid w:val="00DD43F1"/>
    <w:rsid w:val="00DD469F"/>
    <w:rsid w:val="00DD519F"/>
    <w:rsid w:val="00DD5455"/>
    <w:rsid w:val="00DD5952"/>
    <w:rsid w:val="00DD605A"/>
    <w:rsid w:val="00DE1EE9"/>
    <w:rsid w:val="00DE21D7"/>
    <w:rsid w:val="00DE4360"/>
    <w:rsid w:val="00DE4634"/>
    <w:rsid w:val="00DE4DB8"/>
    <w:rsid w:val="00DE67B5"/>
    <w:rsid w:val="00DF1F7E"/>
    <w:rsid w:val="00DF209A"/>
    <w:rsid w:val="00DF2900"/>
    <w:rsid w:val="00DF2908"/>
    <w:rsid w:val="00DF4B8F"/>
    <w:rsid w:val="00DF67B6"/>
    <w:rsid w:val="00DF72B5"/>
    <w:rsid w:val="00DF7AD3"/>
    <w:rsid w:val="00E007E8"/>
    <w:rsid w:val="00E012AB"/>
    <w:rsid w:val="00E02149"/>
    <w:rsid w:val="00E06B76"/>
    <w:rsid w:val="00E10BFE"/>
    <w:rsid w:val="00E10D06"/>
    <w:rsid w:val="00E12489"/>
    <w:rsid w:val="00E12B48"/>
    <w:rsid w:val="00E14437"/>
    <w:rsid w:val="00E14E3D"/>
    <w:rsid w:val="00E15298"/>
    <w:rsid w:val="00E16407"/>
    <w:rsid w:val="00E2063C"/>
    <w:rsid w:val="00E2100C"/>
    <w:rsid w:val="00E21BAD"/>
    <w:rsid w:val="00E222D6"/>
    <w:rsid w:val="00E22545"/>
    <w:rsid w:val="00E22B57"/>
    <w:rsid w:val="00E22F0D"/>
    <w:rsid w:val="00E2301F"/>
    <w:rsid w:val="00E23884"/>
    <w:rsid w:val="00E25272"/>
    <w:rsid w:val="00E2606B"/>
    <w:rsid w:val="00E268C1"/>
    <w:rsid w:val="00E30587"/>
    <w:rsid w:val="00E31DA3"/>
    <w:rsid w:val="00E32004"/>
    <w:rsid w:val="00E32B6A"/>
    <w:rsid w:val="00E34845"/>
    <w:rsid w:val="00E34F1F"/>
    <w:rsid w:val="00E3517E"/>
    <w:rsid w:val="00E41978"/>
    <w:rsid w:val="00E428D9"/>
    <w:rsid w:val="00E434C0"/>
    <w:rsid w:val="00E43A0A"/>
    <w:rsid w:val="00E43CE3"/>
    <w:rsid w:val="00E45281"/>
    <w:rsid w:val="00E45577"/>
    <w:rsid w:val="00E50254"/>
    <w:rsid w:val="00E52767"/>
    <w:rsid w:val="00E52909"/>
    <w:rsid w:val="00E544C6"/>
    <w:rsid w:val="00E54843"/>
    <w:rsid w:val="00E54E85"/>
    <w:rsid w:val="00E553BF"/>
    <w:rsid w:val="00E55FB6"/>
    <w:rsid w:val="00E57489"/>
    <w:rsid w:val="00E576A0"/>
    <w:rsid w:val="00E63653"/>
    <w:rsid w:val="00E640A5"/>
    <w:rsid w:val="00E65BE7"/>
    <w:rsid w:val="00E6636A"/>
    <w:rsid w:val="00E71FB8"/>
    <w:rsid w:val="00E73809"/>
    <w:rsid w:val="00E7382C"/>
    <w:rsid w:val="00E75A08"/>
    <w:rsid w:val="00E767AC"/>
    <w:rsid w:val="00E76D0D"/>
    <w:rsid w:val="00E779E4"/>
    <w:rsid w:val="00E800ED"/>
    <w:rsid w:val="00E823FE"/>
    <w:rsid w:val="00E837EB"/>
    <w:rsid w:val="00E84013"/>
    <w:rsid w:val="00E865C1"/>
    <w:rsid w:val="00E87824"/>
    <w:rsid w:val="00E93BCD"/>
    <w:rsid w:val="00E93C60"/>
    <w:rsid w:val="00E93CD8"/>
    <w:rsid w:val="00E9403B"/>
    <w:rsid w:val="00E9781B"/>
    <w:rsid w:val="00E97DED"/>
    <w:rsid w:val="00EA59B7"/>
    <w:rsid w:val="00EA675B"/>
    <w:rsid w:val="00EA6F47"/>
    <w:rsid w:val="00EB0704"/>
    <w:rsid w:val="00EB0D6D"/>
    <w:rsid w:val="00EB3A8D"/>
    <w:rsid w:val="00EB3AF0"/>
    <w:rsid w:val="00EB3DBD"/>
    <w:rsid w:val="00EB3FCC"/>
    <w:rsid w:val="00EB56F8"/>
    <w:rsid w:val="00EB7441"/>
    <w:rsid w:val="00EB78AC"/>
    <w:rsid w:val="00EB7C7D"/>
    <w:rsid w:val="00EC08AF"/>
    <w:rsid w:val="00EC1B3D"/>
    <w:rsid w:val="00EC2960"/>
    <w:rsid w:val="00EC45F3"/>
    <w:rsid w:val="00EC55CF"/>
    <w:rsid w:val="00EC578F"/>
    <w:rsid w:val="00EC5B74"/>
    <w:rsid w:val="00EC7D8F"/>
    <w:rsid w:val="00ED0F95"/>
    <w:rsid w:val="00ED1407"/>
    <w:rsid w:val="00ED33CE"/>
    <w:rsid w:val="00ED5B58"/>
    <w:rsid w:val="00EE0A54"/>
    <w:rsid w:val="00EE1E69"/>
    <w:rsid w:val="00EE2871"/>
    <w:rsid w:val="00EE2BCB"/>
    <w:rsid w:val="00EE3133"/>
    <w:rsid w:val="00EE5E41"/>
    <w:rsid w:val="00EF0F86"/>
    <w:rsid w:val="00EF1527"/>
    <w:rsid w:val="00EF468D"/>
    <w:rsid w:val="00EF4910"/>
    <w:rsid w:val="00EF5053"/>
    <w:rsid w:val="00EF610D"/>
    <w:rsid w:val="00EF7189"/>
    <w:rsid w:val="00F01408"/>
    <w:rsid w:val="00F02E8B"/>
    <w:rsid w:val="00F03966"/>
    <w:rsid w:val="00F05004"/>
    <w:rsid w:val="00F06C07"/>
    <w:rsid w:val="00F06ED1"/>
    <w:rsid w:val="00F075CD"/>
    <w:rsid w:val="00F077BE"/>
    <w:rsid w:val="00F10233"/>
    <w:rsid w:val="00F12743"/>
    <w:rsid w:val="00F12EA0"/>
    <w:rsid w:val="00F1394C"/>
    <w:rsid w:val="00F13C07"/>
    <w:rsid w:val="00F13E91"/>
    <w:rsid w:val="00F146D4"/>
    <w:rsid w:val="00F152D5"/>
    <w:rsid w:val="00F15B40"/>
    <w:rsid w:val="00F164FE"/>
    <w:rsid w:val="00F17828"/>
    <w:rsid w:val="00F21D0C"/>
    <w:rsid w:val="00F233D3"/>
    <w:rsid w:val="00F24906"/>
    <w:rsid w:val="00F24E40"/>
    <w:rsid w:val="00F25480"/>
    <w:rsid w:val="00F25FEF"/>
    <w:rsid w:val="00F27356"/>
    <w:rsid w:val="00F30BAA"/>
    <w:rsid w:val="00F315B4"/>
    <w:rsid w:val="00F31640"/>
    <w:rsid w:val="00F31AB2"/>
    <w:rsid w:val="00F42772"/>
    <w:rsid w:val="00F42C44"/>
    <w:rsid w:val="00F450D1"/>
    <w:rsid w:val="00F45968"/>
    <w:rsid w:val="00F45CB9"/>
    <w:rsid w:val="00F45CF7"/>
    <w:rsid w:val="00F46EEC"/>
    <w:rsid w:val="00F47592"/>
    <w:rsid w:val="00F476AC"/>
    <w:rsid w:val="00F47F9F"/>
    <w:rsid w:val="00F52800"/>
    <w:rsid w:val="00F528A9"/>
    <w:rsid w:val="00F53BBF"/>
    <w:rsid w:val="00F53C84"/>
    <w:rsid w:val="00F56898"/>
    <w:rsid w:val="00F56C24"/>
    <w:rsid w:val="00F56C8E"/>
    <w:rsid w:val="00F56C9C"/>
    <w:rsid w:val="00F601E8"/>
    <w:rsid w:val="00F63EB7"/>
    <w:rsid w:val="00F65A07"/>
    <w:rsid w:val="00F714B7"/>
    <w:rsid w:val="00F71A2A"/>
    <w:rsid w:val="00F71DFD"/>
    <w:rsid w:val="00F736AA"/>
    <w:rsid w:val="00F73891"/>
    <w:rsid w:val="00F81382"/>
    <w:rsid w:val="00F82352"/>
    <w:rsid w:val="00F82CB2"/>
    <w:rsid w:val="00F832EB"/>
    <w:rsid w:val="00F837F1"/>
    <w:rsid w:val="00F83ABB"/>
    <w:rsid w:val="00F85229"/>
    <w:rsid w:val="00F8737C"/>
    <w:rsid w:val="00F87706"/>
    <w:rsid w:val="00F90C4B"/>
    <w:rsid w:val="00F90D24"/>
    <w:rsid w:val="00F9127B"/>
    <w:rsid w:val="00F9384A"/>
    <w:rsid w:val="00F96EEB"/>
    <w:rsid w:val="00FA043F"/>
    <w:rsid w:val="00FA25C1"/>
    <w:rsid w:val="00FA3814"/>
    <w:rsid w:val="00FA4E91"/>
    <w:rsid w:val="00FA5407"/>
    <w:rsid w:val="00FA5A45"/>
    <w:rsid w:val="00FB2D84"/>
    <w:rsid w:val="00FB489B"/>
    <w:rsid w:val="00FB48EE"/>
    <w:rsid w:val="00FB4D28"/>
    <w:rsid w:val="00FB5F3D"/>
    <w:rsid w:val="00FC15C9"/>
    <w:rsid w:val="00FC342F"/>
    <w:rsid w:val="00FC4905"/>
    <w:rsid w:val="00FD00B2"/>
    <w:rsid w:val="00FD0FFD"/>
    <w:rsid w:val="00FD23CB"/>
    <w:rsid w:val="00FD26D7"/>
    <w:rsid w:val="00FD6521"/>
    <w:rsid w:val="00FE0402"/>
    <w:rsid w:val="00FE17CD"/>
    <w:rsid w:val="00FE2176"/>
    <w:rsid w:val="00FE2D13"/>
    <w:rsid w:val="00FE3717"/>
    <w:rsid w:val="00FE4078"/>
    <w:rsid w:val="00FE40F7"/>
    <w:rsid w:val="00FE4D69"/>
    <w:rsid w:val="00FE6088"/>
    <w:rsid w:val="00FE7DA8"/>
    <w:rsid w:val="00FF4F47"/>
    <w:rsid w:val="00FF58A8"/>
    <w:rsid w:val="00FF6108"/>
    <w:rsid w:val="00FF68EF"/>
    <w:rsid w:val="00FF698B"/>
    <w:rsid w:val="28D31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544DD1"/>
  <w15:docId w15:val="{9BFAA7AA-E5A8-4E88-9C82-5261E5EF7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004"/>
    <w:pPr>
      <w:ind w:left="289" w:hanging="289"/>
      <w:jc w:val="both"/>
    </w:pPr>
    <w:rPr>
      <w:sz w:val="24"/>
      <w:szCs w:val="24"/>
      <w:lang w:val="es-MX" w:eastAsia="es-MX"/>
    </w:rPr>
  </w:style>
  <w:style w:type="paragraph" w:styleId="Heading1">
    <w:name w:val="heading 1"/>
    <w:basedOn w:val="Chapter"/>
    <w:next w:val="Normal"/>
    <w:uiPriority w:val="9"/>
    <w:qFormat/>
    <w:rsid w:val="00BA6C69"/>
    <w:pPr>
      <w:tabs>
        <w:tab w:val="clear" w:pos="1440"/>
      </w:tabs>
      <w:outlineLvl w:val="0"/>
    </w:pPr>
  </w:style>
  <w:style w:type="paragraph" w:styleId="Heading2">
    <w:name w:val="heading 2"/>
    <w:basedOn w:val="Paragraph"/>
    <w:next w:val="Normal"/>
    <w:uiPriority w:val="9"/>
    <w:qFormat/>
    <w:rsid w:val="004646C6"/>
    <w:pPr>
      <w:numPr>
        <w:ilvl w:val="0"/>
        <w:numId w:val="3"/>
      </w:numPr>
    </w:pPr>
    <w:rPr>
      <w:b/>
    </w:rPr>
  </w:style>
  <w:style w:type="paragraph" w:styleId="Heading3">
    <w:name w:val="heading 3"/>
    <w:basedOn w:val="Normal"/>
    <w:next w:val="Normal"/>
    <w:uiPriority w:val="9"/>
    <w:qFormat/>
    <w:pPr>
      <w:keepNext/>
      <w:spacing w:before="240" w:after="60"/>
      <w:outlineLvl w:val="2"/>
    </w:pPr>
    <w:rPr>
      <w:rFonts w:ascii="Arial" w:hAnsi="Arial"/>
    </w:rPr>
  </w:style>
  <w:style w:type="paragraph" w:styleId="Heading4">
    <w:name w:val="heading 4"/>
    <w:basedOn w:val="Normal"/>
    <w:next w:val="Normal"/>
    <w:uiPriority w:val="9"/>
    <w:qFormat/>
    <w:pPr>
      <w:keepNext/>
      <w:spacing w:before="240" w:after="60"/>
      <w:outlineLvl w:val="3"/>
    </w:pPr>
    <w:rPr>
      <w:rFonts w:ascii="Arial" w:hAnsi="Arial"/>
      <w:b/>
    </w:rPr>
  </w:style>
  <w:style w:type="paragraph" w:styleId="Heading5">
    <w:name w:val="heading 5"/>
    <w:basedOn w:val="Normal"/>
    <w:next w:val="Normal"/>
    <w:uiPriority w:val="9"/>
    <w:qFormat/>
    <w:rsid w:val="00264B1F"/>
    <w:pPr>
      <w:spacing w:before="240" w:after="60"/>
      <w:outlineLvl w:val="4"/>
    </w:pPr>
    <w:rPr>
      <w:sz w:val="22"/>
    </w:rPr>
  </w:style>
  <w:style w:type="paragraph" w:styleId="Heading6">
    <w:name w:val="heading 6"/>
    <w:basedOn w:val="Normal"/>
    <w:next w:val="Normal"/>
    <w:uiPriority w:val="9"/>
    <w:qFormat/>
    <w:rsid w:val="00264B1F"/>
    <w:pPr>
      <w:spacing w:before="240" w:after="60"/>
      <w:outlineLvl w:val="5"/>
    </w:pPr>
    <w:rPr>
      <w:i/>
      <w:sz w:val="22"/>
    </w:rPr>
  </w:style>
  <w:style w:type="paragraph" w:styleId="Heading7">
    <w:name w:val="heading 7"/>
    <w:basedOn w:val="Normal"/>
    <w:next w:val="Normal"/>
    <w:uiPriority w:val="9"/>
    <w:qFormat/>
    <w:rsid w:val="00264B1F"/>
    <w:pPr>
      <w:spacing w:before="240" w:after="60"/>
      <w:outlineLvl w:val="6"/>
    </w:pPr>
    <w:rPr>
      <w:rFonts w:ascii="Arial" w:hAnsi="Arial"/>
    </w:rPr>
  </w:style>
  <w:style w:type="paragraph" w:styleId="Heading8">
    <w:name w:val="heading 8"/>
    <w:basedOn w:val="Normal"/>
    <w:next w:val="Normal"/>
    <w:uiPriority w:val="9"/>
    <w:qFormat/>
    <w:rsid w:val="00264B1F"/>
    <w:pPr>
      <w:spacing w:before="240" w:after="60"/>
      <w:outlineLvl w:val="7"/>
    </w:pPr>
    <w:rPr>
      <w:rFonts w:ascii="Arial" w:hAnsi="Arial"/>
      <w:i/>
    </w:rPr>
  </w:style>
  <w:style w:type="paragraph" w:styleId="Heading9">
    <w:name w:val="heading 9"/>
    <w:basedOn w:val="Normal"/>
    <w:next w:val="Normal"/>
    <w:uiPriority w:val="9"/>
    <w:qFormat/>
    <w:rsid w:val="00264B1F"/>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pPr>
    <w:rPr>
      <w:lang w:val="es-ES_tradnl"/>
    </w:rPr>
  </w:style>
  <w:style w:type="paragraph" w:styleId="BodyText">
    <w:name w:val="Body Text"/>
    <w:basedOn w:val="Normal"/>
    <w:pPr>
      <w:tabs>
        <w:tab w:val="left" w:pos="3060"/>
      </w:tabs>
      <w:jc w:val="center"/>
    </w:pPr>
  </w:style>
  <w:style w:type="paragraph" w:styleId="BodyTextIndent">
    <w:name w:val="Body Text Indent"/>
    <w:basedOn w:val="Normal"/>
    <w:link w:val="BodyTextIndentChar"/>
    <w:pPr>
      <w:spacing w:after="120"/>
      <w:ind w:left="360"/>
    </w:pPr>
  </w:style>
  <w:style w:type="paragraph" w:styleId="BodyTextIndent3">
    <w:name w:val="Body Text Indent 3"/>
    <w:basedOn w:val="Normal"/>
    <w:pPr>
      <w:spacing w:after="120"/>
      <w:ind w:left="360"/>
    </w:pPr>
  </w:style>
  <w:style w:type="paragraph" w:customStyle="1" w:styleId="Chapter">
    <w:name w:val="Chapter"/>
    <w:basedOn w:val="Normal"/>
    <w:next w:val="Normal"/>
    <w:rsid w:val="00264B1F"/>
    <w:pPr>
      <w:keepNext/>
      <w:numPr>
        <w:numId w:val="1"/>
      </w:numPr>
      <w:tabs>
        <w:tab w:val="left" w:pos="1440"/>
      </w:tabs>
      <w:spacing w:before="240" w:after="240"/>
      <w:jc w:val="center"/>
    </w:pPr>
    <w:rPr>
      <w:b/>
      <w:smallCaps/>
      <w:lang w:val="es-ES"/>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next w:val="Normal"/>
    <w:rsid w:val="00264B1F"/>
    <w:pPr>
      <w:keepNext/>
      <w:numPr>
        <w:numId w:val="2"/>
      </w:numPr>
      <w:tabs>
        <w:tab w:val="left" w:pos="0"/>
        <w:tab w:val="left" w:pos="86"/>
      </w:tabs>
      <w:spacing w:before="120" w:after="120"/>
      <w:ind w:left="720"/>
    </w:pPr>
    <w:rPr>
      <w:b/>
      <w:lang w:val="es-ES"/>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n,footnote,single space,FOOTNOTES,footnote text,Footnote Text Char Char,ADB,Footnote Text Char Char Char Char Char Char,Footnote Text1 Char,Footnote Text Char Char Char Char,Fußnotentextr,Char,foottextfra,f,tex,F,texto de nota al pie"/>
    <w:basedOn w:val="Normal"/>
    <w:link w:val="FootnoteTextChar"/>
    <w:uiPriority w:val="99"/>
    <w:qFormat/>
    <w:pPr>
      <w:keepNext/>
      <w:keepLines/>
      <w:spacing w:after="120"/>
      <w:ind w:left="288" w:hanging="288"/>
    </w:pPr>
    <w:rPr>
      <w:spacing w:val="-3"/>
      <w:sz w:val="20"/>
    </w:rPr>
  </w:style>
  <w:style w:type="paragraph" w:styleId="Header">
    <w:name w:val="header"/>
    <w:basedOn w:val="Normal"/>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pPr>
    <w:rPr>
      <w:sz w:val="20"/>
      <w:lang w:val="es-ES_tradnl"/>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qFormat/>
    <w:rsid w:val="00EC08AF"/>
    <w:pPr>
      <w:numPr>
        <w:ilvl w:val="1"/>
        <w:numId w:val="1"/>
      </w:numPr>
      <w:spacing w:before="120"/>
      <w:outlineLvl w:val="1"/>
    </w:pPr>
    <w:rPr>
      <w:rFonts w:ascii="Arial" w:hAnsi="Arial"/>
      <w:sz w:val="22"/>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rsid w:val="00264B1F"/>
    <w:pPr>
      <w:keepNext/>
      <w:numPr>
        <w:ilvl w:val="1"/>
        <w:numId w:val="2"/>
      </w:numPr>
      <w:tabs>
        <w:tab w:val="clear" w:pos="5400"/>
        <w:tab w:val="num" w:pos="1296"/>
      </w:tabs>
      <w:spacing w:before="120" w:after="120"/>
      <w:ind w:left="1296"/>
    </w:pPr>
    <w:rPr>
      <w:b/>
      <w:lang w:val="es-ES_tradnl"/>
    </w:rPr>
  </w:style>
  <w:style w:type="paragraph" w:customStyle="1" w:styleId="SubHeading1">
    <w:name w:val="SubHeading1"/>
    <w:basedOn w:val="SecHeading"/>
    <w:rsid w:val="00264B1F"/>
    <w:pPr>
      <w:numPr>
        <w:ilvl w:val="2"/>
      </w:numPr>
      <w:tabs>
        <w:tab w:val="clear" w:pos="5976"/>
        <w:tab w:val="num" w:pos="1872"/>
      </w:tabs>
      <w:ind w:left="1872"/>
    </w:pPr>
  </w:style>
  <w:style w:type="paragraph" w:customStyle="1" w:styleId="Subheading2">
    <w:name w:val="Subheading2"/>
    <w:basedOn w:val="SecHeading"/>
    <w:rsid w:val="00264B1F"/>
    <w:pPr>
      <w:numPr>
        <w:ilvl w:val="3"/>
      </w:numPr>
      <w:tabs>
        <w:tab w:val="clear" w:pos="6480"/>
        <w:tab w:val="num" w:pos="2376"/>
      </w:tabs>
      <w:ind w:left="2376"/>
    </w:pPr>
  </w:style>
  <w:style w:type="paragraph" w:customStyle="1" w:styleId="subpar">
    <w:name w:val="subpar"/>
    <w:basedOn w:val="BodyTextIndent3"/>
    <w:rsid w:val="00264B1F"/>
    <w:pPr>
      <w:numPr>
        <w:ilvl w:val="2"/>
        <w:numId w:val="1"/>
      </w:numPr>
      <w:spacing w:before="120"/>
      <w:outlineLvl w:val="2"/>
    </w:pPr>
    <w:rPr>
      <w:lang w:val="es-ES_tradnl"/>
    </w:rPr>
  </w:style>
  <w:style w:type="paragraph" w:customStyle="1" w:styleId="SubSubPar">
    <w:name w:val="SubSubPar"/>
    <w:basedOn w:val="subpar"/>
    <w:rsid w:val="00264B1F"/>
    <w:pPr>
      <w:numPr>
        <w:ilvl w:val="3"/>
      </w:numPr>
      <w:tabs>
        <w:tab w:val="left" w:pos="0"/>
      </w:tabs>
    </w:pPr>
  </w:style>
  <w:style w:type="paragraph" w:styleId="Title">
    <w:name w:val="Title"/>
    <w:basedOn w:val="SubSubPar"/>
    <w:qFormat/>
    <w:rsid w:val="00BB046B"/>
    <w:pPr>
      <w:numPr>
        <w:ilvl w:val="0"/>
        <w:numId w:val="0"/>
      </w:numPr>
      <w:spacing w:after="0"/>
      <w:jc w:val="center"/>
    </w:pPr>
    <w:rPr>
      <w:smallCaps/>
      <w:lang w:val="es-ES"/>
    </w:rPr>
  </w:style>
  <w:style w:type="paragraph" w:styleId="TOC1">
    <w:name w:val="toc 1"/>
    <w:basedOn w:val="Chapter"/>
    <w:next w:val="Normal"/>
    <w:autoRedefine/>
    <w:uiPriority w:val="39"/>
    <w:qFormat/>
    <w:rsid w:val="00EC08AF"/>
    <w:pPr>
      <w:numPr>
        <w:numId w:val="0"/>
      </w:numPr>
      <w:tabs>
        <w:tab w:val="clear" w:pos="1440"/>
      </w:tabs>
      <w:spacing w:line="276" w:lineRule="auto"/>
      <w:ind w:left="1276"/>
      <w:jc w:val="left"/>
    </w:pPr>
    <w:rPr>
      <w:noProof/>
      <w:sz w:val="28"/>
      <w:szCs w:val="28"/>
    </w:rPr>
  </w:style>
  <w:style w:type="paragraph" w:styleId="TOC2">
    <w:name w:val="toc 2"/>
    <w:basedOn w:val="Heading2"/>
    <w:next w:val="Normal"/>
    <w:autoRedefine/>
    <w:uiPriority w:val="39"/>
    <w:qFormat/>
    <w:rsid w:val="00F53C84"/>
    <w:pPr>
      <w:numPr>
        <w:numId w:val="0"/>
      </w:numPr>
      <w:tabs>
        <w:tab w:val="left" w:pos="0"/>
      </w:tabs>
      <w:ind w:left="720"/>
    </w:pPr>
    <w:rPr>
      <w:noProof/>
    </w:rPr>
  </w:style>
  <w:style w:type="paragraph" w:styleId="TOC3">
    <w:name w:val="toc 3"/>
    <w:basedOn w:val="Normal"/>
    <w:next w:val="Normal"/>
    <w:autoRedefine/>
    <w:uiPriority w:val="39"/>
    <w:qFormat/>
    <w:rsid w:val="0072257D"/>
    <w:pPr>
      <w:tabs>
        <w:tab w:val="left" w:pos="1714"/>
        <w:tab w:val="right" w:leader="dot" w:pos="8726"/>
      </w:tabs>
      <w:ind w:left="1714" w:hanging="814"/>
    </w:pPr>
    <w:rPr>
      <w:lang w:val="es-ES"/>
    </w:rPr>
  </w:style>
  <w:style w:type="paragraph" w:styleId="TOC4">
    <w:name w:val="toc 4"/>
    <w:basedOn w:val="Normal"/>
    <w:next w:val="Normal"/>
    <w:autoRedefine/>
    <w:uiPriority w:val="39"/>
    <w:pPr>
      <w:ind w:left="400"/>
    </w:pPr>
  </w:style>
  <w:style w:type="paragraph" w:styleId="TOC5">
    <w:name w:val="toc 5"/>
    <w:basedOn w:val="Normal"/>
    <w:next w:val="Normal"/>
    <w:autoRedefine/>
    <w:uiPriority w:val="39"/>
    <w:pPr>
      <w:ind w:left="600"/>
    </w:pPr>
  </w:style>
  <w:style w:type="paragraph" w:styleId="TOC6">
    <w:name w:val="toc 6"/>
    <w:basedOn w:val="Normal"/>
    <w:next w:val="Normal"/>
    <w:autoRedefine/>
    <w:uiPriority w:val="39"/>
    <w:pPr>
      <w:ind w:left="800"/>
    </w:pPr>
  </w:style>
  <w:style w:type="paragraph" w:styleId="TOC7">
    <w:name w:val="toc 7"/>
    <w:basedOn w:val="Normal"/>
    <w:next w:val="Normal"/>
    <w:autoRedefine/>
    <w:uiPriority w:val="39"/>
    <w:pPr>
      <w:ind w:left="1000"/>
    </w:pPr>
  </w:style>
  <w:style w:type="paragraph" w:styleId="TOC8">
    <w:name w:val="toc 8"/>
    <w:basedOn w:val="Normal"/>
    <w:next w:val="Normal"/>
    <w:autoRedefine/>
    <w:uiPriority w:val="39"/>
    <w:pPr>
      <w:ind w:left="1200"/>
    </w:pPr>
  </w:style>
  <w:style w:type="paragraph" w:styleId="TOC9">
    <w:name w:val="toc 9"/>
    <w:basedOn w:val="Normal"/>
    <w:next w:val="Normal"/>
    <w:autoRedefine/>
    <w:uiPriority w:val="39"/>
    <w:pPr>
      <w:ind w:left="14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FootnoteReference">
    <w:name w:val="footnote reference"/>
    <w:aliases w:val="referencia nota al pie,Fußnotenzeichen DISS,16 Point,Superscript 6 Point,ftref,Footnote Referencefra,Ref. de nota al pie.,Ref,de nota al pie,titulo 2,Ref. de nota al pie EDEP,pie pddes,FC,Footnote Reference Number,fr,SUPERS,BVI fnr"/>
    <w:uiPriority w:val="99"/>
    <w:qFormat/>
    <w:rsid w:val="004D302C"/>
    <w:rPr>
      <w:vertAlign w:val="superscript"/>
    </w:rPr>
  </w:style>
  <w:style w:type="character" w:customStyle="1" w:styleId="FootnoteTextChar">
    <w:name w:val="Footnote Text Char"/>
    <w:aliases w:val="fn Char,footnote Char,single space Char,FOOTNOTES Char,footnote text Char,Footnote Text Char Char Char,ADB Char,Footnote Text Char Char Char Char Char Char Char,Footnote Text1 Char Char,Footnote Text Char Char Char Char Char,Char Char"/>
    <w:link w:val="FootnoteText"/>
    <w:uiPriority w:val="99"/>
    <w:locked/>
    <w:rsid w:val="008E12F0"/>
    <w:rPr>
      <w:spacing w:val="-3"/>
    </w:rPr>
  </w:style>
  <w:style w:type="paragraph" w:customStyle="1" w:styleId="Regtable">
    <w:name w:val="Regtable"/>
    <w:basedOn w:val="Normal"/>
    <w:link w:val="RegtableChar"/>
    <w:rsid w:val="00264B1F"/>
    <w:pPr>
      <w:keepLines/>
      <w:framePr w:wrap="around" w:vAnchor="text" w:hAnchor="text" w:y="1"/>
      <w:spacing w:before="20" w:after="20"/>
    </w:pPr>
    <w:rPr>
      <w:lang w:val="es-AR"/>
    </w:rPr>
  </w:style>
  <w:style w:type="character" w:customStyle="1" w:styleId="BodyTextIndentChar">
    <w:name w:val="Body Text Indent Char"/>
    <w:link w:val="BodyTextIndent"/>
    <w:rsid w:val="00264B1F"/>
    <w:rPr>
      <w:sz w:val="24"/>
    </w:rPr>
  </w:style>
  <w:style w:type="character" w:customStyle="1" w:styleId="ParagraphChar">
    <w:name w:val="Paragraph Char"/>
    <w:link w:val="Paragraph"/>
    <w:rsid w:val="00EC08AF"/>
    <w:rPr>
      <w:rFonts w:ascii="Arial" w:hAnsi="Arial"/>
      <w:sz w:val="22"/>
      <w:szCs w:val="24"/>
      <w:lang w:eastAsia="es-MX"/>
    </w:rPr>
  </w:style>
  <w:style w:type="character" w:customStyle="1" w:styleId="RegtableChar">
    <w:name w:val="Regtable Char"/>
    <w:link w:val="Regtable"/>
    <w:rsid w:val="00264B1F"/>
    <w:rPr>
      <w:sz w:val="24"/>
      <w:szCs w:val="24"/>
      <w:lang w:val="es-AR"/>
    </w:rPr>
  </w:style>
  <w:style w:type="paragraph" w:customStyle="1" w:styleId="TableTitle">
    <w:name w:val="TableTitle"/>
    <w:basedOn w:val="Normal"/>
    <w:link w:val="TableTitleChar"/>
    <w:rsid w:val="00264B1F"/>
    <w:pPr>
      <w:keepNext/>
      <w:framePr w:wrap="around" w:vAnchor="text" w:hAnchor="text" w:y="1"/>
      <w:spacing w:before="20" w:after="20"/>
      <w:jc w:val="center"/>
    </w:pPr>
    <w:rPr>
      <w:rFonts w:ascii="Times New Roman Bold" w:hAnsi="Times New Roman Bold"/>
      <w:b/>
      <w:spacing w:val="-3"/>
      <w:lang w:val="es-ES"/>
    </w:rPr>
  </w:style>
  <w:style w:type="character" w:customStyle="1" w:styleId="TableTitleChar">
    <w:name w:val="TableTitle Char"/>
    <w:link w:val="TableTitle"/>
    <w:rsid w:val="00264B1F"/>
    <w:rPr>
      <w:rFonts w:ascii="Times New Roman Bold" w:hAnsi="Times New Roman Bold"/>
      <w:b/>
      <w:spacing w:val="-3"/>
      <w:sz w:val="24"/>
      <w:lang w:val="es-ES"/>
    </w:rPr>
  </w:style>
  <w:style w:type="paragraph" w:styleId="TOCHeading">
    <w:name w:val="TOC Heading"/>
    <w:basedOn w:val="Heading1"/>
    <w:next w:val="Normal"/>
    <w:uiPriority w:val="39"/>
    <w:unhideWhenUsed/>
    <w:qFormat/>
    <w:rsid w:val="00BB046B"/>
    <w:pPr>
      <w:keepLines/>
      <w:numPr>
        <w:numId w:val="0"/>
      </w:numPr>
      <w:spacing w:before="480" w:after="0" w:line="276" w:lineRule="auto"/>
      <w:jc w:val="left"/>
      <w:outlineLvl w:val="9"/>
    </w:pPr>
    <w:rPr>
      <w:rFonts w:ascii="Cambria" w:eastAsia="MS Gothic" w:hAnsi="Cambria"/>
      <w:bCs/>
      <w:smallCaps w:val="0"/>
      <w:color w:val="365F91"/>
      <w:sz w:val="28"/>
      <w:szCs w:val="28"/>
      <w:lang w:val="en-US" w:eastAsia="ja-JP"/>
    </w:rPr>
  </w:style>
  <w:style w:type="character" w:styleId="Emphasis">
    <w:name w:val="Emphasis"/>
    <w:aliases w:val="Body"/>
    <w:qFormat/>
    <w:rsid w:val="00BA6C69"/>
  </w:style>
  <w:style w:type="paragraph" w:styleId="BalloonText">
    <w:name w:val="Balloon Text"/>
    <w:basedOn w:val="Normal"/>
    <w:link w:val="BalloonTextChar"/>
    <w:rsid w:val="009619C5"/>
    <w:rPr>
      <w:rFonts w:ascii="Tahoma" w:hAnsi="Tahoma" w:cs="Tahoma"/>
      <w:sz w:val="16"/>
      <w:szCs w:val="16"/>
    </w:rPr>
  </w:style>
  <w:style w:type="character" w:customStyle="1" w:styleId="BalloonTextChar">
    <w:name w:val="Balloon Text Char"/>
    <w:link w:val="BalloonText"/>
    <w:rsid w:val="009619C5"/>
    <w:rPr>
      <w:rFonts w:ascii="Tahoma" w:hAnsi="Tahoma" w:cs="Tahoma"/>
      <w:sz w:val="16"/>
      <w:szCs w:val="16"/>
      <w:lang w:val="en-US" w:eastAsia="en-US"/>
    </w:rPr>
  </w:style>
  <w:style w:type="paragraph" w:styleId="NormalWeb">
    <w:name w:val="Normal (Web)"/>
    <w:basedOn w:val="Normal"/>
    <w:unhideWhenUsed/>
    <w:rsid w:val="00945043"/>
    <w:pPr>
      <w:spacing w:before="100" w:beforeAutospacing="1" w:after="270" w:line="360" w:lineRule="atLeast"/>
    </w:pPr>
    <w:rPr>
      <w:sz w:val="29"/>
      <w:szCs w:val="29"/>
      <w:lang w:val="es-CO" w:eastAsia="es-CO"/>
    </w:rPr>
  </w:style>
  <w:style w:type="paragraph" w:customStyle="1" w:styleId="Default">
    <w:name w:val="Default"/>
    <w:rsid w:val="001C40A1"/>
    <w:pPr>
      <w:autoSpaceDE w:val="0"/>
      <w:autoSpaceDN w:val="0"/>
      <w:adjustRightInd w:val="0"/>
      <w:ind w:left="289" w:hanging="289"/>
      <w:jc w:val="both"/>
    </w:pPr>
    <w:rPr>
      <w:rFonts w:eastAsia="Calibri"/>
      <w:color w:val="000000"/>
      <w:sz w:val="24"/>
      <w:szCs w:val="24"/>
    </w:rPr>
  </w:style>
  <w:style w:type="paragraph" w:customStyle="1" w:styleId="BID">
    <w:name w:val="BID"/>
    <w:basedOn w:val="Paragraph"/>
    <w:link w:val="BIDCar"/>
    <w:qFormat/>
    <w:rsid w:val="00375F6B"/>
  </w:style>
  <w:style w:type="character" w:styleId="CommentReference">
    <w:name w:val="annotation reference"/>
    <w:uiPriority w:val="99"/>
    <w:unhideWhenUsed/>
    <w:rsid w:val="008970ED"/>
    <w:rPr>
      <w:sz w:val="16"/>
      <w:szCs w:val="16"/>
    </w:rPr>
  </w:style>
  <w:style w:type="character" w:customStyle="1" w:styleId="BIDCar">
    <w:name w:val="BID Car"/>
    <w:link w:val="BID"/>
    <w:rsid w:val="00375F6B"/>
    <w:rPr>
      <w:rFonts w:ascii="Arial" w:hAnsi="Arial"/>
      <w:sz w:val="24"/>
      <w:szCs w:val="24"/>
      <w:lang w:eastAsia="es-MX"/>
    </w:rPr>
  </w:style>
  <w:style w:type="paragraph" w:styleId="CommentText">
    <w:name w:val="annotation text"/>
    <w:basedOn w:val="Normal"/>
    <w:link w:val="CommentTextChar"/>
    <w:uiPriority w:val="99"/>
    <w:unhideWhenUsed/>
    <w:rsid w:val="008970ED"/>
    <w:rPr>
      <w:sz w:val="20"/>
    </w:rPr>
  </w:style>
  <w:style w:type="character" w:customStyle="1" w:styleId="CommentTextChar">
    <w:name w:val="Comment Text Char"/>
    <w:link w:val="CommentText"/>
    <w:uiPriority w:val="99"/>
    <w:rsid w:val="008970ED"/>
    <w:rPr>
      <w:lang w:val="en-US" w:eastAsia="en-US"/>
    </w:rPr>
  </w:style>
  <w:style w:type="paragraph" w:styleId="CommentSubject">
    <w:name w:val="annotation subject"/>
    <w:basedOn w:val="CommentText"/>
    <w:next w:val="CommentText"/>
    <w:link w:val="CommentSubjectChar"/>
    <w:semiHidden/>
    <w:unhideWhenUsed/>
    <w:rsid w:val="008970ED"/>
    <w:rPr>
      <w:b/>
      <w:bCs/>
    </w:rPr>
  </w:style>
  <w:style w:type="character" w:customStyle="1" w:styleId="CommentSubjectChar">
    <w:name w:val="Comment Subject Char"/>
    <w:link w:val="CommentSubject"/>
    <w:semiHidden/>
    <w:rsid w:val="008970ED"/>
    <w:rPr>
      <w:b/>
      <w:bCs/>
      <w:lang w:val="en-US" w:eastAsia="en-US"/>
    </w:rPr>
  </w:style>
  <w:style w:type="paragraph" w:styleId="ListParagraph">
    <w:name w:val="List Paragraph"/>
    <w:basedOn w:val="Normal"/>
    <w:uiPriority w:val="34"/>
    <w:qFormat/>
    <w:rsid w:val="002A7E64"/>
    <w:pPr>
      <w:ind w:left="720"/>
    </w:pPr>
    <w:rPr>
      <w:sz w:val="20"/>
    </w:rPr>
  </w:style>
  <w:style w:type="paragraph" w:styleId="Caption">
    <w:name w:val="caption"/>
    <w:basedOn w:val="Normal"/>
    <w:next w:val="Normal"/>
    <w:unhideWhenUsed/>
    <w:qFormat/>
    <w:rsid w:val="00A1764A"/>
    <w:pPr>
      <w:jc w:val="center"/>
    </w:pPr>
    <w:rPr>
      <w:b/>
      <w:bCs/>
      <w:sz w:val="20"/>
      <w:lang w:val="es-ES_tradnl" w:eastAsia="es-ES_tradnl"/>
    </w:rPr>
  </w:style>
  <w:style w:type="table" w:customStyle="1" w:styleId="GridTable1Light1">
    <w:name w:val="Grid Table 1 Light1"/>
    <w:basedOn w:val="TableNormal"/>
    <w:uiPriority w:val="46"/>
    <w:rsid w:val="004F4F68"/>
    <w:rPr>
      <w:rFonts w:ascii="Calibri" w:eastAsia="Calibri" w:hAnsi="Calibri"/>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link w:val="Footer"/>
    <w:uiPriority w:val="99"/>
    <w:rsid w:val="004A6761"/>
    <w:rPr>
      <w:sz w:val="24"/>
      <w:szCs w:val="24"/>
      <w:lang w:val="es-MX" w:eastAsia="es-MX"/>
    </w:rPr>
  </w:style>
  <w:style w:type="table" w:styleId="TableGrid">
    <w:name w:val="Table Grid"/>
    <w:basedOn w:val="TableNormal"/>
    <w:uiPriority w:val="39"/>
    <w:rsid w:val="0059392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
    <w:name w:val="Paragraph Car"/>
    <w:rsid w:val="00996A57"/>
    <w:rPr>
      <w:rFonts w:ascii="Times New Roman" w:eastAsia="Times New Roman" w:hAnsi="Times New Roman" w:cs="Times New Roman"/>
      <w:sz w:val="24"/>
      <w:szCs w:val="20"/>
      <w:lang w:val="es-ES"/>
    </w:rPr>
  </w:style>
  <w:style w:type="character" w:styleId="Strong">
    <w:name w:val="Strong"/>
    <w:uiPriority w:val="22"/>
    <w:qFormat/>
    <w:rsid w:val="00E63653"/>
    <w:rPr>
      <w:b/>
      <w:bCs/>
    </w:rPr>
  </w:style>
  <w:style w:type="character" w:customStyle="1" w:styleId="apple-converted-space">
    <w:name w:val="apple-converted-space"/>
    <w:basedOn w:val="DefaultParagraphFont"/>
    <w:rsid w:val="00657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6509">
      <w:bodyDiv w:val="1"/>
      <w:marLeft w:val="0"/>
      <w:marRight w:val="0"/>
      <w:marTop w:val="0"/>
      <w:marBottom w:val="0"/>
      <w:divBdr>
        <w:top w:val="none" w:sz="0" w:space="0" w:color="auto"/>
        <w:left w:val="none" w:sz="0" w:space="0" w:color="auto"/>
        <w:bottom w:val="none" w:sz="0" w:space="0" w:color="auto"/>
        <w:right w:val="none" w:sz="0" w:space="0" w:color="auto"/>
      </w:divBdr>
    </w:div>
    <w:div w:id="64843705">
      <w:bodyDiv w:val="1"/>
      <w:marLeft w:val="0"/>
      <w:marRight w:val="0"/>
      <w:marTop w:val="0"/>
      <w:marBottom w:val="0"/>
      <w:divBdr>
        <w:top w:val="none" w:sz="0" w:space="0" w:color="auto"/>
        <w:left w:val="none" w:sz="0" w:space="0" w:color="auto"/>
        <w:bottom w:val="none" w:sz="0" w:space="0" w:color="auto"/>
        <w:right w:val="none" w:sz="0" w:space="0" w:color="auto"/>
      </w:divBdr>
    </w:div>
    <w:div w:id="80764316">
      <w:bodyDiv w:val="1"/>
      <w:marLeft w:val="0"/>
      <w:marRight w:val="0"/>
      <w:marTop w:val="0"/>
      <w:marBottom w:val="0"/>
      <w:divBdr>
        <w:top w:val="none" w:sz="0" w:space="0" w:color="auto"/>
        <w:left w:val="none" w:sz="0" w:space="0" w:color="auto"/>
        <w:bottom w:val="none" w:sz="0" w:space="0" w:color="auto"/>
        <w:right w:val="none" w:sz="0" w:space="0" w:color="auto"/>
      </w:divBdr>
    </w:div>
    <w:div w:id="128479182">
      <w:bodyDiv w:val="1"/>
      <w:marLeft w:val="0"/>
      <w:marRight w:val="0"/>
      <w:marTop w:val="0"/>
      <w:marBottom w:val="0"/>
      <w:divBdr>
        <w:top w:val="none" w:sz="0" w:space="0" w:color="auto"/>
        <w:left w:val="none" w:sz="0" w:space="0" w:color="auto"/>
        <w:bottom w:val="none" w:sz="0" w:space="0" w:color="auto"/>
        <w:right w:val="none" w:sz="0" w:space="0" w:color="auto"/>
      </w:divBdr>
    </w:div>
    <w:div w:id="169836337">
      <w:bodyDiv w:val="1"/>
      <w:marLeft w:val="0"/>
      <w:marRight w:val="0"/>
      <w:marTop w:val="0"/>
      <w:marBottom w:val="0"/>
      <w:divBdr>
        <w:top w:val="none" w:sz="0" w:space="0" w:color="auto"/>
        <w:left w:val="none" w:sz="0" w:space="0" w:color="auto"/>
        <w:bottom w:val="none" w:sz="0" w:space="0" w:color="auto"/>
        <w:right w:val="none" w:sz="0" w:space="0" w:color="auto"/>
      </w:divBdr>
    </w:div>
    <w:div w:id="189688852">
      <w:bodyDiv w:val="1"/>
      <w:marLeft w:val="0"/>
      <w:marRight w:val="0"/>
      <w:marTop w:val="0"/>
      <w:marBottom w:val="0"/>
      <w:divBdr>
        <w:top w:val="none" w:sz="0" w:space="0" w:color="auto"/>
        <w:left w:val="none" w:sz="0" w:space="0" w:color="auto"/>
        <w:bottom w:val="none" w:sz="0" w:space="0" w:color="auto"/>
        <w:right w:val="none" w:sz="0" w:space="0" w:color="auto"/>
      </w:divBdr>
    </w:div>
    <w:div w:id="215820673">
      <w:bodyDiv w:val="1"/>
      <w:marLeft w:val="0"/>
      <w:marRight w:val="0"/>
      <w:marTop w:val="0"/>
      <w:marBottom w:val="0"/>
      <w:divBdr>
        <w:top w:val="none" w:sz="0" w:space="0" w:color="auto"/>
        <w:left w:val="none" w:sz="0" w:space="0" w:color="auto"/>
        <w:bottom w:val="none" w:sz="0" w:space="0" w:color="auto"/>
        <w:right w:val="none" w:sz="0" w:space="0" w:color="auto"/>
      </w:divBdr>
    </w:div>
    <w:div w:id="240988028">
      <w:bodyDiv w:val="1"/>
      <w:marLeft w:val="0"/>
      <w:marRight w:val="0"/>
      <w:marTop w:val="0"/>
      <w:marBottom w:val="0"/>
      <w:divBdr>
        <w:top w:val="none" w:sz="0" w:space="0" w:color="auto"/>
        <w:left w:val="none" w:sz="0" w:space="0" w:color="auto"/>
        <w:bottom w:val="none" w:sz="0" w:space="0" w:color="auto"/>
        <w:right w:val="none" w:sz="0" w:space="0" w:color="auto"/>
      </w:divBdr>
    </w:div>
    <w:div w:id="248389428">
      <w:bodyDiv w:val="1"/>
      <w:marLeft w:val="0"/>
      <w:marRight w:val="0"/>
      <w:marTop w:val="0"/>
      <w:marBottom w:val="0"/>
      <w:divBdr>
        <w:top w:val="none" w:sz="0" w:space="0" w:color="auto"/>
        <w:left w:val="none" w:sz="0" w:space="0" w:color="auto"/>
        <w:bottom w:val="none" w:sz="0" w:space="0" w:color="auto"/>
        <w:right w:val="none" w:sz="0" w:space="0" w:color="auto"/>
      </w:divBdr>
    </w:div>
    <w:div w:id="290792176">
      <w:bodyDiv w:val="1"/>
      <w:marLeft w:val="0"/>
      <w:marRight w:val="0"/>
      <w:marTop w:val="0"/>
      <w:marBottom w:val="0"/>
      <w:divBdr>
        <w:top w:val="none" w:sz="0" w:space="0" w:color="auto"/>
        <w:left w:val="none" w:sz="0" w:space="0" w:color="auto"/>
        <w:bottom w:val="none" w:sz="0" w:space="0" w:color="auto"/>
        <w:right w:val="none" w:sz="0" w:space="0" w:color="auto"/>
      </w:divBdr>
    </w:div>
    <w:div w:id="404376360">
      <w:bodyDiv w:val="1"/>
      <w:marLeft w:val="0"/>
      <w:marRight w:val="0"/>
      <w:marTop w:val="0"/>
      <w:marBottom w:val="0"/>
      <w:divBdr>
        <w:top w:val="none" w:sz="0" w:space="0" w:color="auto"/>
        <w:left w:val="none" w:sz="0" w:space="0" w:color="auto"/>
        <w:bottom w:val="none" w:sz="0" w:space="0" w:color="auto"/>
        <w:right w:val="none" w:sz="0" w:space="0" w:color="auto"/>
      </w:divBdr>
    </w:div>
    <w:div w:id="430661237">
      <w:bodyDiv w:val="1"/>
      <w:marLeft w:val="0"/>
      <w:marRight w:val="0"/>
      <w:marTop w:val="0"/>
      <w:marBottom w:val="0"/>
      <w:divBdr>
        <w:top w:val="none" w:sz="0" w:space="0" w:color="auto"/>
        <w:left w:val="none" w:sz="0" w:space="0" w:color="auto"/>
        <w:bottom w:val="none" w:sz="0" w:space="0" w:color="auto"/>
        <w:right w:val="none" w:sz="0" w:space="0" w:color="auto"/>
      </w:divBdr>
    </w:div>
    <w:div w:id="433521147">
      <w:bodyDiv w:val="1"/>
      <w:marLeft w:val="0"/>
      <w:marRight w:val="0"/>
      <w:marTop w:val="0"/>
      <w:marBottom w:val="0"/>
      <w:divBdr>
        <w:top w:val="none" w:sz="0" w:space="0" w:color="auto"/>
        <w:left w:val="none" w:sz="0" w:space="0" w:color="auto"/>
        <w:bottom w:val="none" w:sz="0" w:space="0" w:color="auto"/>
        <w:right w:val="none" w:sz="0" w:space="0" w:color="auto"/>
      </w:divBdr>
    </w:div>
    <w:div w:id="439495592">
      <w:bodyDiv w:val="1"/>
      <w:marLeft w:val="0"/>
      <w:marRight w:val="0"/>
      <w:marTop w:val="0"/>
      <w:marBottom w:val="0"/>
      <w:divBdr>
        <w:top w:val="none" w:sz="0" w:space="0" w:color="auto"/>
        <w:left w:val="none" w:sz="0" w:space="0" w:color="auto"/>
        <w:bottom w:val="none" w:sz="0" w:space="0" w:color="auto"/>
        <w:right w:val="none" w:sz="0" w:space="0" w:color="auto"/>
      </w:divBdr>
    </w:div>
    <w:div w:id="478965003">
      <w:bodyDiv w:val="1"/>
      <w:marLeft w:val="0"/>
      <w:marRight w:val="0"/>
      <w:marTop w:val="0"/>
      <w:marBottom w:val="0"/>
      <w:divBdr>
        <w:top w:val="none" w:sz="0" w:space="0" w:color="auto"/>
        <w:left w:val="none" w:sz="0" w:space="0" w:color="auto"/>
        <w:bottom w:val="none" w:sz="0" w:space="0" w:color="auto"/>
        <w:right w:val="none" w:sz="0" w:space="0" w:color="auto"/>
      </w:divBdr>
    </w:div>
    <w:div w:id="486015673">
      <w:bodyDiv w:val="1"/>
      <w:marLeft w:val="0"/>
      <w:marRight w:val="0"/>
      <w:marTop w:val="0"/>
      <w:marBottom w:val="0"/>
      <w:divBdr>
        <w:top w:val="none" w:sz="0" w:space="0" w:color="auto"/>
        <w:left w:val="none" w:sz="0" w:space="0" w:color="auto"/>
        <w:bottom w:val="none" w:sz="0" w:space="0" w:color="auto"/>
        <w:right w:val="none" w:sz="0" w:space="0" w:color="auto"/>
      </w:divBdr>
    </w:div>
    <w:div w:id="617181740">
      <w:bodyDiv w:val="1"/>
      <w:marLeft w:val="0"/>
      <w:marRight w:val="0"/>
      <w:marTop w:val="0"/>
      <w:marBottom w:val="0"/>
      <w:divBdr>
        <w:top w:val="none" w:sz="0" w:space="0" w:color="auto"/>
        <w:left w:val="none" w:sz="0" w:space="0" w:color="auto"/>
        <w:bottom w:val="none" w:sz="0" w:space="0" w:color="auto"/>
        <w:right w:val="none" w:sz="0" w:space="0" w:color="auto"/>
      </w:divBdr>
    </w:div>
    <w:div w:id="627202689">
      <w:bodyDiv w:val="1"/>
      <w:marLeft w:val="0"/>
      <w:marRight w:val="0"/>
      <w:marTop w:val="0"/>
      <w:marBottom w:val="0"/>
      <w:divBdr>
        <w:top w:val="none" w:sz="0" w:space="0" w:color="auto"/>
        <w:left w:val="none" w:sz="0" w:space="0" w:color="auto"/>
        <w:bottom w:val="none" w:sz="0" w:space="0" w:color="auto"/>
        <w:right w:val="none" w:sz="0" w:space="0" w:color="auto"/>
      </w:divBdr>
    </w:div>
    <w:div w:id="627588012">
      <w:bodyDiv w:val="1"/>
      <w:marLeft w:val="0"/>
      <w:marRight w:val="0"/>
      <w:marTop w:val="0"/>
      <w:marBottom w:val="0"/>
      <w:divBdr>
        <w:top w:val="none" w:sz="0" w:space="0" w:color="auto"/>
        <w:left w:val="none" w:sz="0" w:space="0" w:color="auto"/>
        <w:bottom w:val="none" w:sz="0" w:space="0" w:color="auto"/>
        <w:right w:val="none" w:sz="0" w:space="0" w:color="auto"/>
      </w:divBdr>
    </w:div>
    <w:div w:id="681934268">
      <w:bodyDiv w:val="1"/>
      <w:marLeft w:val="0"/>
      <w:marRight w:val="0"/>
      <w:marTop w:val="0"/>
      <w:marBottom w:val="0"/>
      <w:divBdr>
        <w:top w:val="none" w:sz="0" w:space="0" w:color="auto"/>
        <w:left w:val="none" w:sz="0" w:space="0" w:color="auto"/>
        <w:bottom w:val="none" w:sz="0" w:space="0" w:color="auto"/>
        <w:right w:val="none" w:sz="0" w:space="0" w:color="auto"/>
      </w:divBdr>
    </w:div>
    <w:div w:id="701783759">
      <w:bodyDiv w:val="1"/>
      <w:marLeft w:val="0"/>
      <w:marRight w:val="0"/>
      <w:marTop w:val="0"/>
      <w:marBottom w:val="0"/>
      <w:divBdr>
        <w:top w:val="none" w:sz="0" w:space="0" w:color="auto"/>
        <w:left w:val="none" w:sz="0" w:space="0" w:color="auto"/>
        <w:bottom w:val="none" w:sz="0" w:space="0" w:color="auto"/>
        <w:right w:val="none" w:sz="0" w:space="0" w:color="auto"/>
      </w:divBdr>
    </w:div>
    <w:div w:id="712731092">
      <w:bodyDiv w:val="1"/>
      <w:marLeft w:val="0"/>
      <w:marRight w:val="0"/>
      <w:marTop w:val="0"/>
      <w:marBottom w:val="0"/>
      <w:divBdr>
        <w:top w:val="none" w:sz="0" w:space="0" w:color="auto"/>
        <w:left w:val="none" w:sz="0" w:space="0" w:color="auto"/>
        <w:bottom w:val="none" w:sz="0" w:space="0" w:color="auto"/>
        <w:right w:val="none" w:sz="0" w:space="0" w:color="auto"/>
      </w:divBdr>
    </w:div>
    <w:div w:id="742142306">
      <w:bodyDiv w:val="1"/>
      <w:marLeft w:val="0"/>
      <w:marRight w:val="0"/>
      <w:marTop w:val="0"/>
      <w:marBottom w:val="0"/>
      <w:divBdr>
        <w:top w:val="none" w:sz="0" w:space="0" w:color="auto"/>
        <w:left w:val="none" w:sz="0" w:space="0" w:color="auto"/>
        <w:bottom w:val="none" w:sz="0" w:space="0" w:color="auto"/>
        <w:right w:val="none" w:sz="0" w:space="0" w:color="auto"/>
      </w:divBdr>
    </w:div>
    <w:div w:id="781345568">
      <w:bodyDiv w:val="1"/>
      <w:marLeft w:val="0"/>
      <w:marRight w:val="0"/>
      <w:marTop w:val="0"/>
      <w:marBottom w:val="0"/>
      <w:divBdr>
        <w:top w:val="none" w:sz="0" w:space="0" w:color="auto"/>
        <w:left w:val="none" w:sz="0" w:space="0" w:color="auto"/>
        <w:bottom w:val="none" w:sz="0" w:space="0" w:color="auto"/>
        <w:right w:val="none" w:sz="0" w:space="0" w:color="auto"/>
      </w:divBdr>
    </w:div>
    <w:div w:id="805396669">
      <w:bodyDiv w:val="1"/>
      <w:marLeft w:val="0"/>
      <w:marRight w:val="0"/>
      <w:marTop w:val="0"/>
      <w:marBottom w:val="0"/>
      <w:divBdr>
        <w:top w:val="none" w:sz="0" w:space="0" w:color="auto"/>
        <w:left w:val="none" w:sz="0" w:space="0" w:color="auto"/>
        <w:bottom w:val="none" w:sz="0" w:space="0" w:color="auto"/>
        <w:right w:val="none" w:sz="0" w:space="0" w:color="auto"/>
      </w:divBdr>
    </w:div>
    <w:div w:id="815335540">
      <w:bodyDiv w:val="1"/>
      <w:marLeft w:val="0"/>
      <w:marRight w:val="0"/>
      <w:marTop w:val="0"/>
      <w:marBottom w:val="0"/>
      <w:divBdr>
        <w:top w:val="none" w:sz="0" w:space="0" w:color="auto"/>
        <w:left w:val="none" w:sz="0" w:space="0" w:color="auto"/>
        <w:bottom w:val="none" w:sz="0" w:space="0" w:color="auto"/>
        <w:right w:val="none" w:sz="0" w:space="0" w:color="auto"/>
      </w:divBdr>
    </w:div>
    <w:div w:id="872769577">
      <w:bodyDiv w:val="1"/>
      <w:marLeft w:val="0"/>
      <w:marRight w:val="0"/>
      <w:marTop w:val="0"/>
      <w:marBottom w:val="0"/>
      <w:divBdr>
        <w:top w:val="none" w:sz="0" w:space="0" w:color="auto"/>
        <w:left w:val="none" w:sz="0" w:space="0" w:color="auto"/>
        <w:bottom w:val="none" w:sz="0" w:space="0" w:color="auto"/>
        <w:right w:val="none" w:sz="0" w:space="0" w:color="auto"/>
      </w:divBdr>
    </w:div>
    <w:div w:id="909736204">
      <w:bodyDiv w:val="1"/>
      <w:marLeft w:val="0"/>
      <w:marRight w:val="0"/>
      <w:marTop w:val="0"/>
      <w:marBottom w:val="0"/>
      <w:divBdr>
        <w:top w:val="none" w:sz="0" w:space="0" w:color="auto"/>
        <w:left w:val="none" w:sz="0" w:space="0" w:color="auto"/>
        <w:bottom w:val="none" w:sz="0" w:space="0" w:color="auto"/>
        <w:right w:val="none" w:sz="0" w:space="0" w:color="auto"/>
      </w:divBdr>
    </w:div>
    <w:div w:id="932397953">
      <w:bodyDiv w:val="1"/>
      <w:marLeft w:val="0"/>
      <w:marRight w:val="0"/>
      <w:marTop w:val="0"/>
      <w:marBottom w:val="0"/>
      <w:divBdr>
        <w:top w:val="none" w:sz="0" w:space="0" w:color="auto"/>
        <w:left w:val="none" w:sz="0" w:space="0" w:color="auto"/>
        <w:bottom w:val="none" w:sz="0" w:space="0" w:color="auto"/>
        <w:right w:val="none" w:sz="0" w:space="0" w:color="auto"/>
      </w:divBdr>
    </w:div>
    <w:div w:id="935475957">
      <w:bodyDiv w:val="1"/>
      <w:marLeft w:val="0"/>
      <w:marRight w:val="0"/>
      <w:marTop w:val="0"/>
      <w:marBottom w:val="0"/>
      <w:divBdr>
        <w:top w:val="none" w:sz="0" w:space="0" w:color="auto"/>
        <w:left w:val="none" w:sz="0" w:space="0" w:color="auto"/>
        <w:bottom w:val="none" w:sz="0" w:space="0" w:color="auto"/>
        <w:right w:val="none" w:sz="0" w:space="0" w:color="auto"/>
      </w:divBdr>
    </w:div>
    <w:div w:id="983850193">
      <w:bodyDiv w:val="1"/>
      <w:marLeft w:val="0"/>
      <w:marRight w:val="0"/>
      <w:marTop w:val="0"/>
      <w:marBottom w:val="0"/>
      <w:divBdr>
        <w:top w:val="none" w:sz="0" w:space="0" w:color="auto"/>
        <w:left w:val="none" w:sz="0" w:space="0" w:color="auto"/>
        <w:bottom w:val="none" w:sz="0" w:space="0" w:color="auto"/>
        <w:right w:val="none" w:sz="0" w:space="0" w:color="auto"/>
      </w:divBdr>
    </w:div>
    <w:div w:id="999773687">
      <w:bodyDiv w:val="1"/>
      <w:marLeft w:val="0"/>
      <w:marRight w:val="0"/>
      <w:marTop w:val="0"/>
      <w:marBottom w:val="0"/>
      <w:divBdr>
        <w:top w:val="none" w:sz="0" w:space="0" w:color="auto"/>
        <w:left w:val="none" w:sz="0" w:space="0" w:color="auto"/>
        <w:bottom w:val="none" w:sz="0" w:space="0" w:color="auto"/>
        <w:right w:val="none" w:sz="0" w:space="0" w:color="auto"/>
      </w:divBdr>
    </w:div>
    <w:div w:id="1007515452">
      <w:bodyDiv w:val="1"/>
      <w:marLeft w:val="0"/>
      <w:marRight w:val="0"/>
      <w:marTop w:val="0"/>
      <w:marBottom w:val="0"/>
      <w:divBdr>
        <w:top w:val="none" w:sz="0" w:space="0" w:color="auto"/>
        <w:left w:val="none" w:sz="0" w:space="0" w:color="auto"/>
        <w:bottom w:val="none" w:sz="0" w:space="0" w:color="auto"/>
        <w:right w:val="none" w:sz="0" w:space="0" w:color="auto"/>
      </w:divBdr>
    </w:div>
    <w:div w:id="1013386069">
      <w:bodyDiv w:val="1"/>
      <w:marLeft w:val="0"/>
      <w:marRight w:val="0"/>
      <w:marTop w:val="0"/>
      <w:marBottom w:val="0"/>
      <w:divBdr>
        <w:top w:val="none" w:sz="0" w:space="0" w:color="auto"/>
        <w:left w:val="none" w:sz="0" w:space="0" w:color="auto"/>
        <w:bottom w:val="none" w:sz="0" w:space="0" w:color="auto"/>
        <w:right w:val="none" w:sz="0" w:space="0" w:color="auto"/>
      </w:divBdr>
    </w:div>
    <w:div w:id="1017003062">
      <w:bodyDiv w:val="1"/>
      <w:marLeft w:val="0"/>
      <w:marRight w:val="0"/>
      <w:marTop w:val="0"/>
      <w:marBottom w:val="0"/>
      <w:divBdr>
        <w:top w:val="none" w:sz="0" w:space="0" w:color="auto"/>
        <w:left w:val="none" w:sz="0" w:space="0" w:color="auto"/>
        <w:bottom w:val="none" w:sz="0" w:space="0" w:color="auto"/>
        <w:right w:val="none" w:sz="0" w:space="0" w:color="auto"/>
      </w:divBdr>
      <w:divsChild>
        <w:div w:id="565192314">
          <w:marLeft w:val="0"/>
          <w:marRight w:val="0"/>
          <w:marTop w:val="100"/>
          <w:marBottom w:val="100"/>
          <w:divBdr>
            <w:top w:val="none" w:sz="0" w:space="0" w:color="auto"/>
            <w:left w:val="none" w:sz="0" w:space="0" w:color="auto"/>
            <w:bottom w:val="none" w:sz="0" w:space="0" w:color="auto"/>
            <w:right w:val="none" w:sz="0" w:space="0" w:color="auto"/>
          </w:divBdr>
          <w:divsChild>
            <w:div w:id="640231074">
              <w:marLeft w:val="0"/>
              <w:marRight w:val="0"/>
              <w:marTop w:val="100"/>
              <w:marBottom w:val="100"/>
              <w:divBdr>
                <w:top w:val="none" w:sz="0" w:space="0" w:color="auto"/>
                <w:left w:val="none" w:sz="0" w:space="0" w:color="auto"/>
                <w:bottom w:val="none" w:sz="0" w:space="0" w:color="auto"/>
                <w:right w:val="none" w:sz="0" w:space="0" w:color="auto"/>
              </w:divBdr>
              <w:divsChild>
                <w:div w:id="325284413">
                  <w:marLeft w:val="0"/>
                  <w:marRight w:val="0"/>
                  <w:marTop w:val="0"/>
                  <w:marBottom w:val="0"/>
                  <w:divBdr>
                    <w:top w:val="none" w:sz="0" w:space="0" w:color="auto"/>
                    <w:left w:val="none" w:sz="0" w:space="0" w:color="auto"/>
                    <w:bottom w:val="none" w:sz="0" w:space="0" w:color="auto"/>
                    <w:right w:val="none" w:sz="0" w:space="0" w:color="auto"/>
                  </w:divBdr>
                  <w:divsChild>
                    <w:div w:id="1765109648">
                      <w:marLeft w:val="0"/>
                      <w:marRight w:val="0"/>
                      <w:marTop w:val="0"/>
                      <w:marBottom w:val="0"/>
                      <w:divBdr>
                        <w:top w:val="none" w:sz="0" w:space="0" w:color="auto"/>
                        <w:left w:val="none" w:sz="0" w:space="0" w:color="auto"/>
                        <w:bottom w:val="none" w:sz="0" w:space="0" w:color="auto"/>
                        <w:right w:val="none" w:sz="0" w:space="0" w:color="auto"/>
                      </w:divBdr>
                      <w:divsChild>
                        <w:div w:id="1885368811">
                          <w:marLeft w:val="0"/>
                          <w:marRight w:val="0"/>
                          <w:marTop w:val="0"/>
                          <w:marBottom w:val="0"/>
                          <w:divBdr>
                            <w:top w:val="none" w:sz="0" w:space="0" w:color="auto"/>
                            <w:left w:val="none" w:sz="0" w:space="0" w:color="auto"/>
                            <w:bottom w:val="none" w:sz="0" w:space="0" w:color="auto"/>
                            <w:right w:val="none" w:sz="0" w:space="0" w:color="auto"/>
                          </w:divBdr>
                          <w:divsChild>
                            <w:div w:id="914702196">
                              <w:marLeft w:val="0"/>
                              <w:marRight w:val="0"/>
                              <w:marTop w:val="0"/>
                              <w:marBottom w:val="0"/>
                              <w:divBdr>
                                <w:top w:val="none" w:sz="0" w:space="0" w:color="auto"/>
                                <w:left w:val="none" w:sz="0" w:space="0" w:color="auto"/>
                                <w:bottom w:val="none" w:sz="0" w:space="0" w:color="auto"/>
                                <w:right w:val="none" w:sz="0" w:space="0" w:color="auto"/>
                              </w:divBdr>
                              <w:divsChild>
                                <w:div w:id="2118597958">
                                  <w:marLeft w:val="135"/>
                                  <w:marRight w:val="135"/>
                                  <w:marTop w:val="0"/>
                                  <w:marBottom w:val="270"/>
                                  <w:divBdr>
                                    <w:top w:val="none" w:sz="0" w:space="0" w:color="auto"/>
                                    <w:left w:val="none" w:sz="0" w:space="0" w:color="auto"/>
                                    <w:bottom w:val="none" w:sz="0" w:space="0" w:color="auto"/>
                                    <w:right w:val="none" w:sz="0" w:space="0" w:color="auto"/>
                                  </w:divBdr>
                                  <w:divsChild>
                                    <w:div w:id="203387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169063">
      <w:bodyDiv w:val="1"/>
      <w:marLeft w:val="0"/>
      <w:marRight w:val="0"/>
      <w:marTop w:val="0"/>
      <w:marBottom w:val="0"/>
      <w:divBdr>
        <w:top w:val="none" w:sz="0" w:space="0" w:color="auto"/>
        <w:left w:val="none" w:sz="0" w:space="0" w:color="auto"/>
        <w:bottom w:val="none" w:sz="0" w:space="0" w:color="auto"/>
        <w:right w:val="none" w:sz="0" w:space="0" w:color="auto"/>
      </w:divBdr>
    </w:div>
    <w:div w:id="1051417550">
      <w:bodyDiv w:val="1"/>
      <w:marLeft w:val="0"/>
      <w:marRight w:val="0"/>
      <w:marTop w:val="0"/>
      <w:marBottom w:val="0"/>
      <w:divBdr>
        <w:top w:val="none" w:sz="0" w:space="0" w:color="auto"/>
        <w:left w:val="none" w:sz="0" w:space="0" w:color="auto"/>
        <w:bottom w:val="none" w:sz="0" w:space="0" w:color="auto"/>
        <w:right w:val="none" w:sz="0" w:space="0" w:color="auto"/>
      </w:divBdr>
    </w:div>
    <w:div w:id="1076171889">
      <w:bodyDiv w:val="1"/>
      <w:marLeft w:val="0"/>
      <w:marRight w:val="0"/>
      <w:marTop w:val="0"/>
      <w:marBottom w:val="0"/>
      <w:divBdr>
        <w:top w:val="none" w:sz="0" w:space="0" w:color="auto"/>
        <w:left w:val="none" w:sz="0" w:space="0" w:color="auto"/>
        <w:bottom w:val="none" w:sz="0" w:space="0" w:color="auto"/>
        <w:right w:val="none" w:sz="0" w:space="0" w:color="auto"/>
      </w:divBdr>
    </w:div>
    <w:div w:id="1098064256">
      <w:bodyDiv w:val="1"/>
      <w:marLeft w:val="0"/>
      <w:marRight w:val="0"/>
      <w:marTop w:val="0"/>
      <w:marBottom w:val="0"/>
      <w:divBdr>
        <w:top w:val="none" w:sz="0" w:space="0" w:color="auto"/>
        <w:left w:val="none" w:sz="0" w:space="0" w:color="auto"/>
        <w:bottom w:val="none" w:sz="0" w:space="0" w:color="auto"/>
        <w:right w:val="none" w:sz="0" w:space="0" w:color="auto"/>
      </w:divBdr>
    </w:div>
    <w:div w:id="1098864068">
      <w:bodyDiv w:val="1"/>
      <w:marLeft w:val="0"/>
      <w:marRight w:val="0"/>
      <w:marTop w:val="0"/>
      <w:marBottom w:val="0"/>
      <w:divBdr>
        <w:top w:val="none" w:sz="0" w:space="0" w:color="auto"/>
        <w:left w:val="none" w:sz="0" w:space="0" w:color="auto"/>
        <w:bottom w:val="none" w:sz="0" w:space="0" w:color="auto"/>
        <w:right w:val="none" w:sz="0" w:space="0" w:color="auto"/>
      </w:divBdr>
    </w:div>
    <w:div w:id="1153066589">
      <w:bodyDiv w:val="1"/>
      <w:marLeft w:val="0"/>
      <w:marRight w:val="0"/>
      <w:marTop w:val="0"/>
      <w:marBottom w:val="0"/>
      <w:divBdr>
        <w:top w:val="none" w:sz="0" w:space="0" w:color="auto"/>
        <w:left w:val="none" w:sz="0" w:space="0" w:color="auto"/>
        <w:bottom w:val="none" w:sz="0" w:space="0" w:color="auto"/>
        <w:right w:val="none" w:sz="0" w:space="0" w:color="auto"/>
      </w:divBdr>
    </w:div>
    <w:div w:id="1221596944">
      <w:bodyDiv w:val="1"/>
      <w:marLeft w:val="0"/>
      <w:marRight w:val="0"/>
      <w:marTop w:val="0"/>
      <w:marBottom w:val="0"/>
      <w:divBdr>
        <w:top w:val="none" w:sz="0" w:space="0" w:color="auto"/>
        <w:left w:val="none" w:sz="0" w:space="0" w:color="auto"/>
        <w:bottom w:val="none" w:sz="0" w:space="0" w:color="auto"/>
        <w:right w:val="none" w:sz="0" w:space="0" w:color="auto"/>
      </w:divBdr>
    </w:div>
    <w:div w:id="1277836452">
      <w:bodyDiv w:val="1"/>
      <w:marLeft w:val="0"/>
      <w:marRight w:val="0"/>
      <w:marTop w:val="0"/>
      <w:marBottom w:val="0"/>
      <w:divBdr>
        <w:top w:val="none" w:sz="0" w:space="0" w:color="auto"/>
        <w:left w:val="none" w:sz="0" w:space="0" w:color="auto"/>
        <w:bottom w:val="none" w:sz="0" w:space="0" w:color="auto"/>
        <w:right w:val="none" w:sz="0" w:space="0" w:color="auto"/>
      </w:divBdr>
    </w:div>
    <w:div w:id="1305937998">
      <w:bodyDiv w:val="1"/>
      <w:marLeft w:val="0"/>
      <w:marRight w:val="0"/>
      <w:marTop w:val="0"/>
      <w:marBottom w:val="0"/>
      <w:divBdr>
        <w:top w:val="none" w:sz="0" w:space="0" w:color="auto"/>
        <w:left w:val="none" w:sz="0" w:space="0" w:color="auto"/>
        <w:bottom w:val="none" w:sz="0" w:space="0" w:color="auto"/>
        <w:right w:val="none" w:sz="0" w:space="0" w:color="auto"/>
      </w:divBdr>
    </w:div>
    <w:div w:id="1316489966">
      <w:bodyDiv w:val="1"/>
      <w:marLeft w:val="0"/>
      <w:marRight w:val="0"/>
      <w:marTop w:val="0"/>
      <w:marBottom w:val="0"/>
      <w:divBdr>
        <w:top w:val="none" w:sz="0" w:space="0" w:color="auto"/>
        <w:left w:val="none" w:sz="0" w:space="0" w:color="auto"/>
        <w:bottom w:val="none" w:sz="0" w:space="0" w:color="auto"/>
        <w:right w:val="none" w:sz="0" w:space="0" w:color="auto"/>
      </w:divBdr>
    </w:div>
    <w:div w:id="1348942897">
      <w:bodyDiv w:val="1"/>
      <w:marLeft w:val="0"/>
      <w:marRight w:val="0"/>
      <w:marTop w:val="0"/>
      <w:marBottom w:val="0"/>
      <w:divBdr>
        <w:top w:val="none" w:sz="0" w:space="0" w:color="auto"/>
        <w:left w:val="none" w:sz="0" w:space="0" w:color="auto"/>
        <w:bottom w:val="none" w:sz="0" w:space="0" w:color="auto"/>
        <w:right w:val="none" w:sz="0" w:space="0" w:color="auto"/>
      </w:divBdr>
    </w:div>
    <w:div w:id="1378894888">
      <w:bodyDiv w:val="1"/>
      <w:marLeft w:val="0"/>
      <w:marRight w:val="0"/>
      <w:marTop w:val="0"/>
      <w:marBottom w:val="0"/>
      <w:divBdr>
        <w:top w:val="none" w:sz="0" w:space="0" w:color="auto"/>
        <w:left w:val="none" w:sz="0" w:space="0" w:color="auto"/>
        <w:bottom w:val="none" w:sz="0" w:space="0" w:color="auto"/>
        <w:right w:val="none" w:sz="0" w:space="0" w:color="auto"/>
      </w:divBdr>
    </w:div>
    <w:div w:id="1405496511">
      <w:bodyDiv w:val="1"/>
      <w:marLeft w:val="0"/>
      <w:marRight w:val="0"/>
      <w:marTop w:val="0"/>
      <w:marBottom w:val="0"/>
      <w:divBdr>
        <w:top w:val="none" w:sz="0" w:space="0" w:color="auto"/>
        <w:left w:val="none" w:sz="0" w:space="0" w:color="auto"/>
        <w:bottom w:val="none" w:sz="0" w:space="0" w:color="auto"/>
        <w:right w:val="none" w:sz="0" w:space="0" w:color="auto"/>
      </w:divBdr>
    </w:div>
    <w:div w:id="1409155282">
      <w:bodyDiv w:val="1"/>
      <w:marLeft w:val="0"/>
      <w:marRight w:val="0"/>
      <w:marTop w:val="0"/>
      <w:marBottom w:val="0"/>
      <w:divBdr>
        <w:top w:val="none" w:sz="0" w:space="0" w:color="auto"/>
        <w:left w:val="none" w:sz="0" w:space="0" w:color="auto"/>
        <w:bottom w:val="none" w:sz="0" w:space="0" w:color="auto"/>
        <w:right w:val="none" w:sz="0" w:space="0" w:color="auto"/>
      </w:divBdr>
    </w:div>
    <w:div w:id="1418669191">
      <w:bodyDiv w:val="1"/>
      <w:marLeft w:val="0"/>
      <w:marRight w:val="0"/>
      <w:marTop w:val="0"/>
      <w:marBottom w:val="0"/>
      <w:divBdr>
        <w:top w:val="none" w:sz="0" w:space="0" w:color="auto"/>
        <w:left w:val="none" w:sz="0" w:space="0" w:color="auto"/>
        <w:bottom w:val="none" w:sz="0" w:space="0" w:color="auto"/>
        <w:right w:val="none" w:sz="0" w:space="0" w:color="auto"/>
      </w:divBdr>
    </w:div>
    <w:div w:id="1422218175">
      <w:bodyDiv w:val="1"/>
      <w:marLeft w:val="0"/>
      <w:marRight w:val="0"/>
      <w:marTop w:val="0"/>
      <w:marBottom w:val="0"/>
      <w:divBdr>
        <w:top w:val="none" w:sz="0" w:space="0" w:color="auto"/>
        <w:left w:val="none" w:sz="0" w:space="0" w:color="auto"/>
        <w:bottom w:val="none" w:sz="0" w:space="0" w:color="auto"/>
        <w:right w:val="none" w:sz="0" w:space="0" w:color="auto"/>
      </w:divBdr>
    </w:div>
    <w:div w:id="1423064422">
      <w:bodyDiv w:val="1"/>
      <w:marLeft w:val="0"/>
      <w:marRight w:val="0"/>
      <w:marTop w:val="0"/>
      <w:marBottom w:val="0"/>
      <w:divBdr>
        <w:top w:val="none" w:sz="0" w:space="0" w:color="auto"/>
        <w:left w:val="none" w:sz="0" w:space="0" w:color="auto"/>
        <w:bottom w:val="none" w:sz="0" w:space="0" w:color="auto"/>
        <w:right w:val="none" w:sz="0" w:space="0" w:color="auto"/>
      </w:divBdr>
    </w:div>
    <w:div w:id="1479885591">
      <w:bodyDiv w:val="1"/>
      <w:marLeft w:val="0"/>
      <w:marRight w:val="0"/>
      <w:marTop w:val="0"/>
      <w:marBottom w:val="0"/>
      <w:divBdr>
        <w:top w:val="none" w:sz="0" w:space="0" w:color="auto"/>
        <w:left w:val="none" w:sz="0" w:space="0" w:color="auto"/>
        <w:bottom w:val="none" w:sz="0" w:space="0" w:color="auto"/>
        <w:right w:val="none" w:sz="0" w:space="0" w:color="auto"/>
      </w:divBdr>
    </w:div>
    <w:div w:id="1485467405">
      <w:bodyDiv w:val="1"/>
      <w:marLeft w:val="0"/>
      <w:marRight w:val="0"/>
      <w:marTop w:val="0"/>
      <w:marBottom w:val="0"/>
      <w:divBdr>
        <w:top w:val="none" w:sz="0" w:space="0" w:color="auto"/>
        <w:left w:val="none" w:sz="0" w:space="0" w:color="auto"/>
        <w:bottom w:val="none" w:sz="0" w:space="0" w:color="auto"/>
        <w:right w:val="none" w:sz="0" w:space="0" w:color="auto"/>
      </w:divBdr>
    </w:div>
    <w:div w:id="1637251129">
      <w:bodyDiv w:val="1"/>
      <w:marLeft w:val="0"/>
      <w:marRight w:val="0"/>
      <w:marTop w:val="0"/>
      <w:marBottom w:val="0"/>
      <w:divBdr>
        <w:top w:val="none" w:sz="0" w:space="0" w:color="auto"/>
        <w:left w:val="none" w:sz="0" w:space="0" w:color="auto"/>
        <w:bottom w:val="none" w:sz="0" w:space="0" w:color="auto"/>
        <w:right w:val="none" w:sz="0" w:space="0" w:color="auto"/>
      </w:divBdr>
    </w:div>
    <w:div w:id="1681854021">
      <w:bodyDiv w:val="1"/>
      <w:marLeft w:val="0"/>
      <w:marRight w:val="0"/>
      <w:marTop w:val="0"/>
      <w:marBottom w:val="0"/>
      <w:divBdr>
        <w:top w:val="none" w:sz="0" w:space="0" w:color="auto"/>
        <w:left w:val="none" w:sz="0" w:space="0" w:color="auto"/>
        <w:bottom w:val="none" w:sz="0" w:space="0" w:color="auto"/>
        <w:right w:val="none" w:sz="0" w:space="0" w:color="auto"/>
      </w:divBdr>
    </w:div>
    <w:div w:id="1689217539">
      <w:bodyDiv w:val="1"/>
      <w:marLeft w:val="0"/>
      <w:marRight w:val="0"/>
      <w:marTop w:val="0"/>
      <w:marBottom w:val="0"/>
      <w:divBdr>
        <w:top w:val="none" w:sz="0" w:space="0" w:color="auto"/>
        <w:left w:val="none" w:sz="0" w:space="0" w:color="auto"/>
        <w:bottom w:val="none" w:sz="0" w:space="0" w:color="auto"/>
        <w:right w:val="none" w:sz="0" w:space="0" w:color="auto"/>
      </w:divBdr>
    </w:div>
    <w:div w:id="1726445210">
      <w:bodyDiv w:val="1"/>
      <w:marLeft w:val="0"/>
      <w:marRight w:val="0"/>
      <w:marTop w:val="0"/>
      <w:marBottom w:val="0"/>
      <w:divBdr>
        <w:top w:val="none" w:sz="0" w:space="0" w:color="auto"/>
        <w:left w:val="none" w:sz="0" w:space="0" w:color="auto"/>
        <w:bottom w:val="none" w:sz="0" w:space="0" w:color="auto"/>
        <w:right w:val="none" w:sz="0" w:space="0" w:color="auto"/>
      </w:divBdr>
    </w:div>
    <w:div w:id="1731683736">
      <w:bodyDiv w:val="1"/>
      <w:marLeft w:val="0"/>
      <w:marRight w:val="0"/>
      <w:marTop w:val="0"/>
      <w:marBottom w:val="0"/>
      <w:divBdr>
        <w:top w:val="none" w:sz="0" w:space="0" w:color="auto"/>
        <w:left w:val="none" w:sz="0" w:space="0" w:color="auto"/>
        <w:bottom w:val="none" w:sz="0" w:space="0" w:color="auto"/>
        <w:right w:val="none" w:sz="0" w:space="0" w:color="auto"/>
      </w:divBdr>
    </w:div>
    <w:div w:id="1731921205">
      <w:bodyDiv w:val="1"/>
      <w:marLeft w:val="0"/>
      <w:marRight w:val="0"/>
      <w:marTop w:val="0"/>
      <w:marBottom w:val="0"/>
      <w:divBdr>
        <w:top w:val="none" w:sz="0" w:space="0" w:color="auto"/>
        <w:left w:val="none" w:sz="0" w:space="0" w:color="auto"/>
        <w:bottom w:val="none" w:sz="0" w:space="0" w:color="auto"/>
        <w:right w:val="none" w:sz="0" w:space="0" w:color="auto"/>
      </w:divBdr>
    </w:div>
    <w:div w:id="1799182419">
      <w:bodyDiv w:val="1"/>
      <w:marLeft w:val="0"/>
      <w:marRight w:val="0"/>
      <w:marTop w:val="0"/>
      <w:marBottom w:val="0"/>
      <w:divBdr>
        <w:top w:val="none" w:sz="0" w:space="0" w:color="auto"/>
        <w:left w:val="none" w:sz="0" w:space="0" w:color="auto"/>
        <w:bottom w:val="none" w:sz="0" w:space="0" w:color="auto"/>
        <w:right w:val="none" w:sz="0" w:space="0" w:color="auto"/>
      </w:divBdr>
    </w:div>
    <w:div w:id="1820734048">
      <w:bodyDiv w:val="1"/>
      <w:marLeft w:val="0"/>
      <w:marRight w:val="0"/>
      <w:marTop w:val="0"/>
      <w:marBottom w:val="0"/>
      <w:divBdr>
        <w:top w:val="none" w:sz="0" w:space="0" w:color="auto"/>
        <w:left w:val="none" w:sz="0" w:space="0" w:color="auto"/>
        <w:bottom w:val="none" w:sz="0" w:space="0" w:color="auto"/>
        <w:right w:val="none" w:sz="0" w:space="0" w:color="auto"/>
      </w:divBdr>
    </w:div>
    <w:div w:id="1842969497">
      <w:bodyDiv w:val="1"/>
      <w:marLeft w:val="0"/>
      <w:marRight w:val="0"/>
      <w:marTop w:val="0"/>
      <w:marBottom w:val="0"/>
      <w:divBdr>
        <w:top w:val="none" w:sz="0" w:space="0" w:color="auto"/>
        <w:left w:val="none" w:sz="0" w:space="0" w:color="auto"/>
        <w:bottom w:val="none" w:sz="0" w:space="0" w:color="auto"/>
        <w:right w:val="none" w:sz="0" w:space="0" w:color="auto"/>
      </w:divBdr>
    </w:div>
    <w:div w:id="1895311413">
      <w:bodyDiv w:val="1"/>
      <w:marLeft w:val="0"/>
      <w:marRight w:val="0"/>
      <w:marTop w:val="0"/>
      <w:marBottom w:val="0"/>
      <w:divBdr>
        <w:top w:val="none" w:sz="0" w:space="0" w:color="auto"/>
        <w:left w:val="none" w:sz="0" w:space="0" w:color="auto"/>
        <w:bottom w:val="none" w:sz="0" w:space="0" w:color="auto"/>
        <w:right w:val="none" w:sz="0" w:space="0" w:color="auto"/>
      </w:divBdr>
    </w:div>
    <w:div w:id="1902398392">
      <w:bodyDiv w:val="1"/>
      <w:marLeft w:val="0"/>
      <w:marRight w:val="0"/>
      <w:marTop w:val="0"/>
      <w:marBottom w:val="0"/>
      <w:divBdr>
        <w:top w:val="none" w:sz="0" w:space="0" w:color="auto"/>
        <w:left w:val="none" w:sz="0" w:space="0" w:color="auto"/>
        <w:bottom w:val="none" w:sz="0" w:space="0" w:color="auto"/>
        <w:right w:val="none" w:sz="0" w:space="0" w:color="auto"/>
      </w:divBdr>
    </w:div>
    <w:div w:id="1905405001">
      <w:bodyDiv w:val="1"/>
      <w:marLeft w:val="0"/>
      <w:marRight w:val="0"/>
      <w:marTop w:val="0"/>
      <w:marBottom w:val="0"/>
      <w:divBdr>
        <w:top w:val="none" w:sz="0" w:space="0" w:color="auto"/>
        <w:left w:val="none" w:sz="0" w:space="0" w:color="auto"/>
        <w:bottom w:val="none" w:sz="0" w:space="0" w:color="auto"/>
        <w:right w:val="none" w:sz="0" w:space="0" w:color="auto"/>
      </w:divBdr>
    </w:div>
    <w:div w:id="1916086513">
      <w:bodyDiv w:val="1"/>
      <w:marLeft w:val="0"/>
      <w:marRight w:val="0"/>
      <w:marTop w:val="0"/>
      <w:marBottom w:val="0"/>
      <w:divBdr>
        <w:top w:val="none" w:sz="0" w:space="0" w:color="auto"/>
        <w:left w:val="none" w:sz="0" w:space="0" w:color="auto"/>
        <w:bottom w:val="none" w:sz="0" w:space="0" w:color="auto"/>
        <w:right w:val="none" w:sz="0" w:space="0" w:color="auto"/>
      </w:divBdr>
    </w:div>
    <w:div w:id="1950311060">
      <w:bodyDiv w:val="1"/>
      <w:marLeft w:val="0"/>
      <w:marRight w:val="0"/>
      <w:marTop w:val="0"/>
      <w:marBottom w:val="0"/>
      <w:divBdr>
        <w:top w:val="none" w:sz="0" w:space="0" w:color="auto"/>
        <w:left w:val="none" w:sz="0" w:space="0" w:color="auto"/>
        <w:bottom w:val="none" w:sz="0" w:space="0" w:color="auto"/>
        <w:right w:val="none" w:sz="0" w:space="0" w:color="auto"/>
      </w:divBdr>
    </w:div>
    <w:div w:id="1991136193">
      <w:bodyDiv w:val="1"/>
      <w:marLeft w:val="0"/>
      <w:marRight w:val="0"/>
      <w:marTop w:val="0"/>
      <w:marBottom w:val="0"/>
      <w:divBdr>
        <w:top w:val="none" w:sz="0" w:space="0" w:color="auto"/>
        <w:left w:val="none" w:sz="0" w:space="0" w:color="auto"/>
        <w:bottom w:val="none" w:sz="0" w:space="0" w:color="auto"/>
        <w:right w:val="none" w:sz="0" w:space="0" w:color="auto"/>
      </w:divBdr>
    </w:div>
    <w:div w:id="2025210795">
      <w:bodyDiv w:val="1"/>
      <w:marLeft w:val="0"/>
      <w:marRight w:val="0"/>
      <w:marTop w:val="0"/>
      <w:marBottom w:val="0"/>
      <w:divBdr>
        <w:top w:val="none" w:sz="0" w:space="0" w:color="auto"/>
        <w:left w:val="none" w:sz="0" w:space="0" w:color="auto"/>
        <w:bottom w:val="none" w:sz="0" w:space="0" w:color="auto"/>
        <w:right w:val="none" w:sz="0" w:space="0" w:color="auto"/>
      </w:divBdr>
    </w:div>
    <w:div w:id="21430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dx.doi.org/10.1016/j.jpubeco.2014.08.002" TargetMode="Externa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scholarship.org/uc/item/26w050rc" TargetMode="Externa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yperlink" Target="http://www.ncef.org/pubs/outcom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sciencedirect.com/science/article/pii/S0047272714001765"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sco.org/new/es/santiago/education/education-assessment-llece/second-regional-comparative-and-explanatory-study-ser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CFA\Documents\BID\DR\PCR%20DR-L1056\ACB\Calculos%20Nov%202017%20v1b.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'Flujos Económicos'!$B$16:$B$22</c:f>
              <c:strCache>
                <c:ptCount val="7"/>
                <c:pt idx="0">
                  <c:v>Ningún nivel aprobado</c:v>
                </c:pt>
                <c:pt idx="1">
                  <c:v>Primaria incompleta</c:v>
                </c:pt>
                <c:pt idx="2">
                  <c:v>Primaria completa</c:v>
                </c:pt>
                <c:pt idx="3">
                  <c:v>Secundaria incompleta</c:v>
                </c:pt>
                <c:pt idx="4">
                  <c:v>Secundaria completa</c:v>
                </c:pt>
                <c:pt idx="5">
                  <c:v>Universidad incompleta</c:v>
                </c:pt>
                <c:pt idx="6">
                  <c:v>Universidad completa</c:v>
                </c:pt>
              </c:strCache>
            </c:strRef>
          </c:cat>
          <c:val>
            <c:numRef>
              <c:f>'Flujos Económicos'!$C$16:$C$22</c:f>
              <c:numCache>
                <c:formatCode>_("$"* #,##0_);_("$"* \(#,##0\);_("$"* "-"??_);_(@_)</c:formatCode>
                <c:ptCount val="7"/>
                <c:pt idx="0">
                  <c:v>3687.5619999999999</c:v>
                </c:pt>
                <c:pt idx="1">
                  <c:v>5371.9049999999997</c:v>
                </c:pt>
                <c:pt idx="2">
                  <c:v>6654.683</c:v>
                </c:pt>
                <c:pt idx="3">
                  <c:v>5312.2380000000003</c:v>
                </c:pt>
                <c:pt idx="4">
                  <c:v>8231.384</c:v>
                </c:pt>
                <c:pt idx="5">
                  <c:v>8567.8459999999995</c:v>
                </c:pt>
                <c:pt idx="6">
                  <c:v>30671.68</c:v>
                </c:pt>
              </c:numCache>
            </c:numRef>
          </c:val>
        </c:ser>
        <c:dLbls>
          <c:showLegendKey val="0"/>
          <c:showVal val="0"/>
          <c:showCatName val="0"/>
          <c:showSerName val="0"/>
          <c:showPercent val="0"/>
          <c:showBubbleSize val="0"/>
        </c:dLbls>
        <c:gapWidth val="79"/>
        <c:overlap val="-27"/>
        <c:axId val="1775729680"/>
        <c:axId val="1775726416"/>
      </c:barChart>
      <c:catAx>
        <c:axId val="1775729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75726416"/>
        <c:crosses val="autoZero"/>
        <c:auto val="1"/>
        <c:lblAlgn val="ctr"/>
        <c:lblOffset val="100"/>
        <c:noMultiLvlLbl val="0"/>
      </c:catAx>
      <c:valAx>
        <c:axId val="1775726416"/>
        <c:scaling>
          <c:orientation val="minMax"/>
        </c:scaling>
        <c:delete val="0"/>
        <c:axPos val="l"/>
        <c:majorGridlines>
          <c:spPr>
            <a:ln w="9525" cap="flat" cmpd="sng" algn="ctr">
              <a:solidFill>
                <a:schemeClr val="tx1">
                  <a:lumMod val="15000"/>
                  <a:lumOff val="85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75729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B46A2-32FF-4FA3-B3D3-73B78A80B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INVsp.dot</Template>
  <TotalTime>1394</TotalTime>
  <Pages>26</Pages>
  <Words>7067</Words>
  <Characters>40287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47260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Elizabeth  Ochoa Arrivillaga</dc:creator>
  <cp:keywords/>
  <cp:lastModifiedBy>AC Fano</cp:lastModifiedBy>
  <cp:revision>41</cp:revision>
  <cp:lastPrinted>2015-03-19T19:41:00Z</cp:lastPrinted>
  <dcterms:created xsi:type="dcterms:W3CDTF">2017-11-27T09:04:00Z</dcterms:created>
  <dcterms:modified xsi:type="dcterms:W3CDTF">2018-01-23T16:09:00Z</dcterms:modified>
</cp:coreProperties>
</file>