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C2C" w:rsidRPr="00430ED5" w:rsidRDefault="00430ED5" w:rsidP="00D10C2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30ED5">
        <w:rPr>
          <w:rFonts w:asciiTheme="minorHAnsi" w:hAnsiTheme="minorHAnsi" w:cstheme="minorHAnsi"/>
          <w:b/>
          <w:sz w:val="22"/>
          <w:szCs w:val="22"/>
        </w:rPr>
        <w:t>CONCLUSIONS REPORT</w:t>
      </w:r>
    </w:p>
    <w:p w:rsidR="00D10C2C" w:rsidRPr="00430ED5" w:rsidRDefault="00430ED5" w:rsidP="00D10C2C">
      <w:pPr>
        <w:jc w:val="center"/>
        <w:rPr>
          <w:rFonts w:asciiTheme="minorHAnsi" w:hAnsiTheme="minorHAnsi" w:cstheme="minorHAnsi"/>
          <w:b/>
          <w:szCs w:val="24"/>
        </w:rPr>
      </w:pPr>
      <w:r w:rsidRPr="00430ED5">
        <w:rPr>
          <w:rFonts w:asciiTheme="minorHAnsi" w:hAnsiTheme="minorHAnsi" w:cstheme="minorHAnsi"/>
          <w:b/>
          <w:szCs w:val="24"/>
        </w:rPr>
        <w:t>Panel of Experts</w:t>
      </w:r>
      <w:r w:rsidR="00D10C2C" w:rsidRPr="00430ED5">
        <w:rPr>
          <w:rFonts w:asciiTheme="minorHAnsi" w:hAnsiTheme="minorHAnsi" w:cstheme="minorHAnsi"/>
          <w:b/>
          <w:szCs w:val="24"/>
        </w:rPr>
        <w:t>:</w:t>
      </w:r>
    </w:p>
    <w:p w:rsidR="00D10C2C" w:rsidRPr="00430ED5" w:rsidRDefault="00430ED5" w:rsidP="00D10C2C">
      <w:pPr>
        <w:jc w:val="center"/>
        <w:rPr>
          <w:rFonts w:asciiTheme="minorHAnsi" w:hAnsiTheme="minorHAnsi" w:cstheme="minorHAnsi"/>
          <w:b/>
          <w:szCs w:val="24"/>
        </w:rPr>
      </w:pPr>
      <w:r w:rsidRPr="00430ED5">
        <w:rPr>
          <w:rFonts w:asciiTheme="minorHAnsi" w:hAnsiTheme="minorHAnsi" w:cstheme="minorHAnsi"/>
          <w:b/>
          <w:szCs w:val="24"/>
        </w:rPr>
        <w:t>Can Payments for Ecosystem Services Mitigate Climate Change?</w:t>
      </w:r>
    </w:p>
    <w:p w:rsidR="00D10C2C" w:rsidRPr="00430ED5" w:rsidRDefault="00430ED5" w:rsidP="00D10C2C">
      <w:pPr>
        <w:jc w:val="center"/>
        <w:rPr>
          <w:rFonts w:asciiTheme="minorHAnsi" w:hAnsiTheme="minorHAnsi" w:cstheme="minorHAnsi"/>
          <w:i/>
          <w:szCs w:val="24"/>
        </w:rPr>
      </w:pPr>
      <w:r w:rsidRPr="00430ED5">
        <w:rPr>
          <w:rFonts w:asciiTheme="minorHAnsi" w:hAnsiTheme="minorHAnsi" w:cstheme="minorHAnsi"/>
          <w:i/>
          <w:szCs w:val="24"/>
        </w:rPr>
        <w:t>Inter-American Development Bank</w:t>
      </w:r>
      <w:r w:rsidR="00D10C2C" w:rsidRPr="00430ED5">
        <w:rPr>
          <w:rFonts w:asciiTheme="minorHAnsi" w:hAnsiTheme="minorHAnsi" w:cstheme="minorHAnsi"/>
          <w:i/>
          <w:szCs w:val="24"/>
        </w:rPr>
        <w:t xml:space="preserve"> </w:t>
      </w:r>
      <w:r w:rsidRPr="00430ED5">
        <w:rPr>
          <w:rFonts w:asciiTheme="minorHAnsi" w:hAnsiTheme="minorHAnsi" w:cstheme="minorHAnsi"/>
          <w:i/>
          <w:szCs w:val="24"/>
        </w:rPr>
        <w:t>(IDB</w:t>
      </w:r>
      <w:proofErr w:type="gramStart"/>
      <w:r w:rsidR="00D10C2C" w:rsidRPr="00430ED5">
        <w:rPr>
          <w:rFonts w:asciiTheme="minorHAnsi" w:hAnsiTheme="minorHAnsi" w:cstheme="minorHAnsi"/>
          <w:i/>
          <w:szCs w:val="24"/>
        </w:rPr>
        <w:t>)</w:t>
      </w:r>
      <w:proofErr w:type="gramEnd"/>
      <w:r w:rsidR="00D10C2C" w:rsidRPr="00430ED5">
        <w:rPr>
          <w:rFonts w:asciiTheme="minorHAnsi" w:hAnsiTheme="minorHAnsi" w:cstheme="minorHAnsi"/>
          <w:i/>
          <w:szCs w:val="24"/>
        </w:rPr>
        <w:br/>
      </w:r>
      <w:bookmarkStart w:id="0" w:name="_GoBack"/>
      <w:bookmarkEnd w:id="0"/>
      <w:r w:rsidR="00D10C2C" w:rsidRPr="00430ED5">
        <w:rPr>
          <w:rFonts w:asciiTheme="minorHAnsi" w:hAnsiTheme="minorHAnsi" w:cstheme="minorHAnsi"/>
          <w:i/>
          <w:szCs w:val="24"/>
        </w:rPr>
        <w:t>1300 New York Avenue.</w:t>
      </w:r>
      <w:r>
        <w:rPr>
          <w:rFonts w:asciiTheme="minorHAnsi" w:hAnsiTheme="minorHAnsi" w:cstheme="minorHAnsi"/>
          <w:i/>
          <w:szCs w:val="24"/>
        </w:rPr>
        <w:t xml:space="preserve"> </w:t>
      </w:r>
      <w:proofErr w:type="gramStart"/>
      <w:r>
        <w:rPr>
          <w:rFonts w:asciiTheme="minorHAnsi" w:hAnsiTheme="minorHAnsi" w:cstheme="minorHAnsi"/>
          <w:i/>
          <w:szCs w:val="24"/>
        </w:rPr>
        <w:t xml:space="preserve">N.W, Washington DC 20577 </w:t>
      </w:r>
      <w:r>
        <w:rPr>
          <w:rFonts w:asciiTheme="minorHAnsi" w:hAnsiTheme="minorHAnsi" w:cstheme="minorHAnsi"/>
          <w:i/>
          <w:szCs w:val="24"/>
        </w:rPr>
        <w:br/>
        <w:t>Auditorium</w:t>
      </w:r>
      <w:r w:rsidR="00D10C2C" w:rsidRPr="00430ED5">
        <w:rPr>
          <w:rFonts w:asciiTheme="minorHAnsi" w:hAnsiTheme="minorHAnsi" w:cstheme="minorHAnsi"/>
          <w:i/>
          <w:szCs w:val="24"/>
        </w:rPr>
        <w:t xml:space="preserve"> Andrés Bello </w:t>
      </w:r>
      <w:r>
        <w:rPr>
          <w:rFonts w:asciiTheme="minorHAnsi" w:hAnsiTheme="minorHAnsi" w:cstheme="minorHAnsi"/>
          <w:i/>
          <w:szCs w:val="24"/>
        </w:rPr>
        <w:t>III</w:t>
      </w:r>
      <w:r w:rsidR="00D10C2C" w:rsidRPr="00430ED5">
        <w:rPr>
          <w:rFonts w:asciiTheme="minorHAnsi" w:hAnsiTheme="minorHAnsi" w:cstheme="minorHAnsi"/>
          <w:i/>
          <w:szCs w:val="24"/>
        </w:rPr>
        <w:t>.</w:t>
      </w:r>
      <w:proofErr w:type="gramEnd"/>
      <w:r w:rsidR="00D10C2C" w:rsidRPr="00430ED5">
        <w:rPr>
          <w:rFonts w:asciiTheme="minorHAnsi" w:hAnsiTheme="minorHAnsi" w:cstheme="minorHAnsi"/>
          <w:i/>
          <w:szCs w:val="24"/>
        </w:rPr>
        <w:t xml:space="preserve"> </w:t>
      </w:r>
      <w:r w:rsidRPr="00430ED5">
        <w:rPr>
          <w:rFonts w:asciiTheme="minorHAnsi" w:hAnsiTheme="minorHAnsi" w:cstheme="minorHAnsi"/>
          <w:i/>
          <w:szCs w:val="24"/>
        </w:rPr>
        <w:br/>
      </w:r>
      <w:r>
        <w:rPr>
          <w:rFonts w:asciiTheme="minorHAnsi" w:hAnsiTheme="minorHAnsi" w:cstheme="minorHAnsi"/>
          <w:i/>
          <w:szCs w:val="24"/>
        </w:rPr>
        <w:t>May 16th</w:t>
      </w:r>
      <w:r w:rsidR="00D10C2C" w:rsidRPr="00430ED5">
        <w:rPr>
          <w:rFonts w:asciiTheme="minorHAnsi" w:hAnsiTheme="minorHAnsi" w:cstheme="minorHAnsi"/>
          <w:i/>
          <w:szCs w:val="24"/>
        </w:rPr>
        <w:t xml:space="preserve"> 2013</w:t>
      </w:r>
    </w:p>
    <w:p w:rsidR="00E87ADE" w:rsidRPr="00430ED5" w:rsidRDefault="00E87ADE" w:rsidP="00D10C2C">
      <w:pPr>
        <w:rPr>
          <w:szCs w:val="24"/>
        </w:rPr>
      </w:pPr>
    </w:p>
    <w:p w:rsidR="001B4131" w:rsidRPr="001B4131" w:rsidRDefault="00430ED5" w:rsidP="00D040C7">
      <w:pPr>
        <w:jc w:val="both"/>
        <w:rPr>
          <w:szCs w:val="24"/>
        </w:rPr>
      </w:pPr>
      <w:r>
        <w:rPr>
          <w:szCs w:val="24"/>
        </w:rPr>
        <w:t>T</w:t>
      </w:r>
      <w:r w:rsidRPr="001B4131">
        <w:rPr>
          <w:szCs w:val="24"/>
        </w:rPr>
        <w:t>he panel</w:t>
      </w:r>
      <w:r>
        <w:rPr>
          <w:szCs w:val="24"/>
        </w:rPr>
        <w:t xml:space="preserve"> of experts </w:t>
      </w:r>
      <w:r w:rsidRPr="001B4131">
        <w:rPr>
          <w:szCs w:val="24"/>
        </w:rPr>
        <w:t xml:space="preserve">on payments for environmental services </w:t>
      </w:r>
      <w:r>
        <w:rPr>
          <w:szCs w:val="24"/>
        </w:rPr>
        <w:t xml:space="preserve">(PES) </w:t>
      </w:r>
      <w:r w:rsidRPr="001B4131">
        <w:rPr>
          <w:szCs w:val="24"/>
        </w:rPr>
        <w:t>was held</w:t>
      </w:r>
      <w:r>
        <w:rPr>
          <w:szCs w:val="24"/>
        </w:rPr>
        <w:t xml:space="preserve"> o</w:t>
      </w:r>
      <w:r w:rsidR="00670714">
        <w:rPr>
          <w:szCs w:val="24"/>
        </w:rPr>
        <w:t>n</w:t>
      </w:r>
      <w:r w:rsidR="001B4131" w:rsidRPr="001B4131">
        <w:rPr>
          <w:szCs w:val="24"/>
        </w:rPr>
        <w:t xml:space="preserve"> May 16, 2013</w:t>
      </w:r>
      <w:r>
        <w:rPr>
          <w:szCs w:val="24"/>
        </w:rPr>
        <w:t>, seeking to answer:</w:t>
      </w:r>
      <w:r w:rsidR="001B4131" w:rsidRPr="001B4131">
        <w:rPr>
          <w:szCs w:val="24"/>
        </w:rPr>
        <w:t xml:space="preserve"> </w:t>
      </w:r>
      <w:r w:rsidR="001B4131" w:rsidRPr="00670714">
        <w:rPr>
          <w:i/>
          <w:szCs w:val="24"/>
        </w:rPr>
        <w:t>Can Payments for Environmental Services Mitigate Climate Change?</w:t>
      </w:r>
      <w:r w:rsidR="001B4131" w:rsidRPr="001B4131">
        <w:rPr>
          <w:szCs w:val="24"/>
        </w:rPr>
        <w:t xml:space="preserve"> </w:t>
      </w:r>
      <w:r w:rsidR="00670714">
        <w:rPr>
          <w:szCs w:val="24"/>
        </w:rPr>
        <w:t>In order to</w:t>
      </w:r>
      <w:r w:rsidR="001B4131" w:rsidRPr="001B4131">
        <w:rPr>
          <w:szCs w:val="24"/>
        </w:rPr>
        <w:t xml:space="preserve"> answer this question </w:t>
      </w:r>
      <w:r w:rsidR="00670714">
        <w:rPr>
          <w:szCs w:val="24"/>
        </w:rPr>
        <w:t>the panel focused on</w:t>
      </w:r>
      <w:r w:rsidR="001B4131" w:rsidRPr="001B4131">
        <w:rPr>
          <w:szCs w:val="24"/>
        </w:rPr>
        <w:t xml:space="preserve"> identify</w:t>
      </w:r>
      <w:r w:rsidR="00670714">
        <w:rPr>
          <w:szCs w:val="24"/>
        </w:rPr>
        <w:t>ing</w:t>
      </w:r>
      <w:r w:rsidR="001B4131" w:rsidRPr="001B4131">
        <w:rPr>
          <w:szCs w:val="24"/>
        </w:rPr>
        <w:t xml:space="preserve"> lessons</w:t>
      </w:r>
      <w:r w:rsidR="00670714">
        <w:rPr>
          <w:szCs w:val="24"/>
        </w:rPr>
        <w:t xml:space="preserve"> learned and best practices of </w:t>
      </w:r>
      <w:r>
        <w:rPr>
          <w:szCs w:val="24"/>
        </w:rPr>
        <w:t>a series of existing</w:t>
      </w:r>
      <w:r w:rsidR="00670714">
        <w:rPr>
          <w:szCs w:val="24"/>
        </w:rPr>
        <w:t xml:space="preserve"> national and municipal PES schemes</w:t>
      </w:r>
      <w:r w:rsidR="001B4131" w:rsidRPr="001B4131">
        <w:rPr>
          <w:szCs w:val="24"/>
        </w:rPr>
        <w:t>. T</w:t>
      </w:r>
      <w:r w:rsidR="00670714">
        <w:rPr>
          <w:szCs w:val="24"/>
        </w:rPr>
        <w:t>he lessons will be used towards providing</w:t>
      </w:r>
      <w:r w:rsidR="001B4131" w:rsidRPr="001B4131">
        <w:rPr>
          <w:szCs w:val="24"/>
        </w:rPr>
        <w:t xml:space="preserve"> evidence to the IDB in the construction of </w:t>
      </w:r>
      <w:r w:rsidR="00670714">
        <w:rPr>
          <w:szCs w:val="24"/>
        </w:rPr>
        <w:t>the Bio-Climate</w:t>
      </w:r>
      <w:r>
        <w:rPr>
          <w:szCs w:val="24"/>
        </w:rPr>
        <w:t xml:space="preserve"> Fund</w:t>
      </w:r>
      <w:r w:rsidR="00670714">
        <w:rPr>
          <w:szCs w:val="24"/>
        </w:rPr>
        <w:t>.</w:t>
      </w:r>
    </w:p>
    <w:p w:rsidR="001B4131" w:rsidRPr="001B4131" w:rsidRDefault="001B4131" w:rsidP="00D040C7">
      <w:pPr>
        <w:jc w:val="both"/>
        <w:rPr>
          <w:szCs w:val="24"/>
        </w:rPr>
      </w:pPr>
    </w:p>
    <w:p w:rsidR="001B4131" w:rsidRPr="001B4131" w:rsidRDefault="00B31074" w:rsidP="00D040C7">
      <w:pPr>
        <w:jc w:val="both"/>
        <w:rPr>
          <w:szCs w:val="24"/>
        </w:rPr>
      </w:pPr>
      <w:r>
        <w:rPr>
          <w:szCs w:val="24"/>
        </w:rPr>
        <w:t>As</w:t>
      </w:r>
      <w:r w:rsidR="001B4131" w:rsidRPr="001B4131">
        <w:rPr>
          <w:szCs w:val="24"/>
        </w:rPr>
        <w:t xml:space="preserve"> general conclusions of the panel </w:t>
      </w:r>
      <w:r>
        <w:rPr>
          <w:szCs w:val="24"/>
        </w:rPr>
        <w:t>we highlight</w:t>
      </w:r>
      <w:r w:rsidR="001B4131" w:rsidRPr="001B4131">
        <w:rPr>
          <w:szCs w:val="24"/>
        </w:rPr>
        <w:t xml:space="preserve"> the importance and the role that PES schemes have been playing in different countries of the region</w:t>
      </w:r>
      <w:r w:rsidR="009348AA">
        <w:rPr>
          <w:szCs w:val="24"/>
        </w:rPr>
        <w:t xml:space="preserve"> to maintain and restore forested areas</w:t>
      </w:r>
      <w:r w:rsidR="001B4131" w:rsidRPr="001B4131">
        <w:rPr>
          <w:szCs w:val="24"/>
        </w:rPr>
        <w:t xml:space="preserve">. Although </w:t>
      </w:r>
      <w:r>
        <w:rPr>
          <w:szCs w:val="24"/>
        </w:rPr>
        <w:t>their</w:t>
      </w:r>
      <w:r w:rsidR="001B4131" w:rsidRPr="001B4131">
        <w:rPr>
          <w:szCs w:val="24"/>
        </w:rPr>
        <w:t xml:space="preserve"> structure and operating procedures </w:t>
      </w:r>
      <w:r w:rsidR="009348AA">
        <w:rPr>
          <w:szCs w:val="24"/>
        </w:rPr>
        <w:t>vary widely</w:t>
      </w:r>
      <w:r>
        <w:rPr>
          <w:szCs w:val="24"/>
        </w:rPr>
        <w:t xml:space="preserve"> from one country to another</w:t>
      </w:r>
      <w:r w:rsidR="00DF1AE3">
        <w:rPr>
          <w:szCs w:val="24"/>
        </w:rPr>
        <w:t xml:space="preserve">, there is a dynamic of </w:t>
      </w:r>
      <w:r>
        <w:rPr>
          <w:szCs w:val="24"/>
        </w:rPr>
        <w:t>learning among PES</w:t>
      </w:r>
      <w:r w:rsidR="001B4131" w:rsidRPr="001B4131">
        <w:rPr>
          <w:szCs w:val="24"/>
        </w:rPr>
        <w:t xml:space="preserve"> </w:t>
      </w:r>
      <w:r w:rsidR="002F1AD9" w:rsidRPr="001B4131">
        <w:rPr>
          <w:szCs w:val="24"/>
        </w:rPr>
        <w:t>schemes</w:t>
      </w:r>
      <w:r w:rsidR="002F1AD9">
        <w:rPr>
          <w:szCs w:val="24"/>
        </w:rPr>
        <w:t xml:space="preserve"> that</w:t>
      </w:r>
      <w:r w:rsidR="001B4131" w:rsidRPr="001B4131">
        <w:rPr>
          <w:szCs w:val="24"/>
        </w:rPr>
        <w:t xml:space="preserve"> have </w:t>
      </w:r>
      <w:r w:rsidR="00DF1AE3">
        <w:rPr>
          <w:szCs w:val="24"/>
        </w:rPr>
        <w:t>helped</w:t>
      </w:r>
      <w:r>
        <w:rPr>
          <w:szCs w:val="24"/>
        </w:rPr>
        <w:t xml:space="preserve"> them perform better</w:t>
      </w:r>
      <w:r w:rsidR="001B4131" w:rsidRPr="001B4131">
        <w:rPr>
          <w:szCs w:val="24"/>
        </w:rPr>
        <w:t xml:space="preserve">. Such is the case of </w:t>
      </w:r>
      <w:r>
        <w:rPr>
          <w:szCs w:val="24"/>
        </w:rPr>
        <w:t xml:space="preserve">the </w:t>
      </w:r>
      <w:r w:rsidR="001B4131" w:rsidRPr="001B4131">
        <w:rPr>
          <w:szCs w:val="24"/>
        </w:rPr>
        <w:t>Costa Rica scheme and</w:t>
      </w:r>
      <w:r>
        <w:rPr>
          <w:szCs w:val="24"/>
        </w:rPr>
        <w:t xml:space="preserve"> the </w:t>
      </w:r>
      <w:r w:rsidR="001B4131" w:rsidRPr="001B4131">
        <w:rPr>
          <w:szCs w:val="24"/>
        </w:rPr>
        <w:t>Mexico</w:t>
      </w:r>
      <w:r>
        <w:rPr>
          <w:szCs w:val="24"/>
        </w:rPr>
        <w:t xml:space="preserve"> one of payments for hydrological services and matching </w:t>
      </w:r>
      <w:r w:rsidR="002F1AD9">
        <w:rPr>
          <w:szCs w:val="24"/>
        </w:rPr>
        <w:t>funds that</w:t>
      </w:r>
      <w:r w:rsidR="001B4131" w:rsidRPr="001B4131">
        <w:rPr>
          <w:szCs w:val="24"/>
        </w:rPr>
        <w:t xml:space="preserve"> </w:t>
      </w:r>
      <w:r>
        <w:rPr>
          <w:szCs w:val="24"/>
        </w:rPr>
        <w:t>started</w:t>
      </w:r>
      <w:r w:rsidR="001B4131" w:rsidRPr="001B4131">
        <w:rPr>
          <w:szCs w:val="24"/>
        </w:rPr>
        <w:t xml:space="preserve"> more than a decade </w:t>
      </w:r>
      <w:r>
        <w:rPr>
          <w:szCs w:val="24"/>
        </w:rPr>
        <w:t xml:space="preserve">ago </w:t>
      </w:r>
      <w:r w:rsidR="001B4131" w:rsidRPr="001B4131">
        <w:rPr>
          <w:szCs w:val="24"/>
        </w:rPr>
        <w:t xml:space="preserve">and have been </w:t>
      </w:r>
      <w:r>
        <w:rPr>
          <w:szCs w:val="24"/>
        </w:rPr>
        <w:t xml:space="preserve">providing information to other </w:t>
      </w:r>
      <w:r w:rsidR="001B4131" w:rsidRPr="001B4131">
        <w:rPr>
          <w:szCs w:val="24"/>
        </w:rPr>
        <w:t xml:space="preserve">schemes </w:t>
      </w:r>
      <w:r>
        <w:rPr>
          <w:szCs w:val="24"/>
        </w:rPr>
        <w:t>in the region.</w:t>
      </w:r>
    </w:p>
    <w:p w:rsidR="001B4131" w:rsidRPr="001B4131" w:rsidRDefault="001B4131" w:rsidP="00D040C7">
      <w:pPr>
        <w:jc w:val="both"/>
        <w:rPr>
          <w:szCs w:val="24"/>
        </w:rPr>
      </w:pPr>
    </w:p>
    <w:p w:rsidR="001B4131" w:rsidRPr="001B4131" w:rsidRDefault="000030CD" w:rsidP="00D040C7">
      <w:pPr>
        <w:jc w:val="both"/>
        <w:rPr>
          <w:szCs w:val="24"/>
        </w:rPr>
      </w:pPr>
      <w:r>
        <w:rPr>
          <w:szCs w:val="24"/>
        </w:rPr>
        <w:t>The panel also underline</w:t>
      </w:r>
      <w:r w:rsidR="00524A38">
        <w:rPr>
          <w:szCs w:val="24"/>
        </w:rPr>
        <w:t>d</w:t>
      </w:r>
      <w:r w:rsidR="001B4131" w:rsidRPr="001B4131">
        <w:rPr>
          <w:szCs w:val="24"/>
        </w:rPr>
        <w:t xml:space="preserve"> the progress of a </w:t>
      </w:r>
      <w:r>
        <w:rPr>
          <w:szCs w:val="24"/>
        </w:rPr>
        <w:t xml:space="preserve">great </w:t>
      </w:r>
      <w:r w:rsidR="001B4131" w:rsidRPr="001B4131">
        <w:rPr>
          <w:szCs w:val="24"/>
        </w:rPr>
        <w:t xml:space="preserve">part of countries </w:t>
      </w:r>
      <w:r w:rsidR="00524A38">
        <w:rPr>
          <w:szCs w:val="24"/>
        </w:rPr>
        <w:t>in creating enabling institutional and regulatory environments</w:t>
      </w:r>
      <w:r w:rsidR="001B4131" w:rsidRPr="001B4131">
        <w:rPr>
          <w:szCs w:val="24"/>
        </w:rPr>
        <w:t xml:space="preserve"> </w:t>
      </w:r>
      <w:r>
        <w:rPr>
          <w:szCs w:val="24"/>
        </w:rPr>
        <w:t>to</w:t>
      </w:r>
      <w:r w:rsidR="001B4131" w:rsidRPr="001B4131">
        <w:rPr>
          <w:szCs w:val="24"/>
        </w:rPr>
        <w:t xml:space="preserve"> scale </w:t>
      </w:r>
      <w:r w:rsidR="00524A38">
        <w:rPr>
          <w:szCs w:val="24"/>
        </w:rPr>
        <w:t xml:space="preserve">up </w:t>
      </w:r>
      <w:r w:rsidR="001B4131" w:rsidRPr="001B4131">
        <w:rPr>
          <w:szCs w:val="24"/>
        </w:rPr>
        <w:t>PES schemes. T</w:t>
      </w:r>
      <w:r w:rsidR="00DF1AE3">
        <w:rPr>
          <w:szCs w:val="24"/>
        </w:rPr>
        <w:t>here is an increasing</w:t>
      </w:r>
      <w:r w:rsidR="001B4131" w:rsidRPr="001B4131">
        <w:rPr>
          <w:szCs w:val="24"/>
        </w:rPr>
        <w:t xml:space="preserve"> interest of national and local governments in a signi</w:t>
      </w:r>
      <w:r w:rsidR="00DF1AE3">
        <w:rPr>
          <w:szCs w:val="24"/>
        </w:rPr>
        <w:t>ficant number of countries for PES</w:t>
      </w:r>
      <w:r w:rsidR="001B4131" w:rsidRPr="001B4131">
        <w:rPr>
          <w:szCs w:val="24"/>
        </w:rPr>
        <w:t xml:space="preserve"> schemes, where the Bank has an important role to play in promoting </w:t>
      </w:r>
      <w:r w:rsidR="00DF1AE3">
        <w:rPr>
          <w:szCs w:val="24"/>
        </w:rPr>
        <w:t>them</w:t>
      </w:r>
      <w:r w:rsidR="001B4131" w:rsidRPr="001B4131">
        <w:rPr>
          <w:szCs w:val="24"/>
        </w:rPr>
        <w:t>.</w:t>
      </w:r>
    </w:p>
    <w:p w:rsidR="001B4131" w:rsidRPr="001B4131" w:rsidRDefault="001B4131" w:rsidP="00D040C7">
      <w:pPr>
        <w:jc w:val="both"/>
        <w:rPr>
          <w:szCs w:val="24"/>
        </w:rPr>
      </w:pPr>
    </w:p>
    <w:p w:rsidR="001B4131" w:rsidRPr="001B4131" w:rsidRDefault="00524A38" w:rsidP="00D040C7">
      <w:pPr>
        <w:jc w:val="both"/>
        <w:rPr>
          <w:szCs w:val="24"/>
        </w:rPr>
      </w:pPr>
      <w:r>
        <w:rPr>
          <w:szCs w:val="24"/>
        </w:rPr>
        <w:t>S</w:t>
      </w:r>
      <w:r w:rsidR="001B4131" w:rsidRPr="001B4131">
        <w:rPr>
          <w:szCs w:val="24"/>
        </w:rPr>
        <w:t>p</w:t>
      </w:r>
      <w:r>
        <w:rPr>
          <w:szCs w:val="24"/>
        </w:rPr>
        <w:t>ecific conclusions</w:t>
      </w:r>
      <w:r w:rsidR="001B4131" w:rsidRPr="001B4131">
        <w:rPr>
          <w:szCs w:val="24"/>
        </w:rPr>
        <w:t>:</w:t>
      </w:r>
    </w:p>
    <w:p w:rsidR="001B4131" w:rsidRPr="001B4131" w:rsidRDefault="001B4131" w:rsidP="00D040C7">
      <w:pPr>
        <w:jc w:val="both"/>
        <w:rPr>
          <w:szCs w:val="24"/>
        </w:rPr>
      </w:pPr>
    </w:p>
    <w:p w:rsidR="001B4131" w:rsidRPr="0013088A" w:rsidRDefault="001B4131" w:rsidP="00D040C7">
      <w:pPr>
        <w:jc w:val="both"/>
        <w:rPr>
          <w:b/>
          <w:szCs w:val="24"/>
        </w:rPr>
      </w:pPr>
      <w:r w:rsidRPr="0013088A">
        <w:rPr>
          <w:b/>
          <w:szCs w:val="24"/>
        </w:rPr>
        <w:t>Policy Conclusions</w:t>
      </w:r>
    </w:p>
    <w:p w:rsidR="001B4131" w:rsidRPr="002F3AF8" w:rsidRDefault="00DF1AE3" w:rsidP="00D040C7">
      <w:pPr>
        <w:pStyle w:val="ListParagraph"/>
        <w:numPr>
          <w:ilvl w:val="0"/>
          <w:numId w:val="8"/>
        </w:numPr>
        <w:jc w:val="both"/>
        <w:rPr>
          <w:szCs w:val="24"/>
        </w:rPr>
      </w:pPr>
      <w:r>
        <w:rPr>
          <w:szCs w:val="24"/>
        </w:rPr>
        <w:t>Progress has been made</w:t>
      </w:r>
      <w:r w:rsidR="001B4131" w:rsidRPr="002F3AF8">
        <w:rPr>
          <w:szCs w:val="24"/>
        </w:rPr>
        <w:t xml:space="preserve"> in the g</w:t>
      </w:r>
      <w:r w:rsidR="00524A38" w:rsidRPr="002F3AF8">
        <w:rPr>
          <w:szCs w:val="24"/>
        </w:rPr>
        <w:t xml:space="preserve">eneration of impacts beyond hectares </w:t>
      </w:r>
      <w:r w:rsidR="001B4131" w:rsidRPr="002F3AF8">
        <w:rPr>
          <w:szCs w:val="24"/>
        </w:rPr>
        <w:t xml:space="preserve">preserved. In particular, it </w:t>
      </w:r>
      <w:r w:rsidR="002F3AF8" w:rsidRPr="002F3AF8">
        <w:rPr>
          <w:szCs w:val="24"/>
        </w:rPr>
        <w:t xml:space="preserve">was stressed </w:t>
      </w:r>
      <w:r w:rsidR="001B4131" w:rsidRPr="002F3AF8">
        <w:rPr>
          <w:szCs w:val="24"/>
        </w:rPr>
        <w:t xml:space="preserve">the contribution of PES </w:t>
      </w:r>
      <w:r w:rsidR="002F3AF8" w:rsidRPr="002F3AF8">
        <w:rPr>
          <w:szCs w:val="24"/>
        </w:rPr>
        <w:t>schemes in bringing</w:t>
      </w:r>
      <w:r w:rsidR="001B4131" w:rsidRPr="002F3AF8">
        <w:rPr>
          <w:szCs w:val="24"/>
        </w:rPr>
        <w:t xml:space="preserve"> together the efforts of various government and civil society</w:t>
      </w:r>
      <w:r w:rsidR="002F3AF8" w:rsidRPr="002F3AF8">
        <w:rPr>
          <w:szCs w:val="24"/>
        </w:rPr>
        <w:t xml:space="preserve"> organizations</w:t>
      </w:r>
      <w:r w:rsidR="001B4131" w:rsidRPr="002F3AF8">
        <w:rPr>
          <w:szCs w:val="24"/>
        </w:rPr>
        <w:t xml:space="preserve">, </w:t>
      </w:r>
      <w:r w:rsidR="000D1B09">
        <w:rPr>
          <w:szCs w:val="24"/>
        </w:rPr>
        <w:t xml:space="preserve">aligning </w:t>
      </w:r>
      <w:r w:rsidR="001B4131" w:rsidRPr="002F3AF8">
        <w:rPr>
          <w:szCs w:val="24"/>
        </w:rPr>
        <w:t xml:space="preserve"> in a market instrument, the needs of different </w:t>
      </w:r>
      <w:r w:rsidR="002F3AF8" w:rsidRPr="002F3AF8">
        <w:rPr>
          <w:szCs w:val="24"/>
        </w:rPr>
        <w:t>sectors such as hydropower</w:t>
      </w:r>
      <w:r w:rsidR="001B4131" w:rsidRPr="002F3AF8">
        <w:rPr>
          <w:szCs w:val="24"/>
        </w:rPr>
        <w:t>, protected areas, and agr</w:t>
      </w:r>
      <w:r w:rsidR="002F3AF8" w:rsidRPr="002F3AF8">
        <w:rPr>
          <w:szCs w:val="24"/>
        </w:rPr>
        <w:t>iculture and livestock.</w:t>
      </w:r>
    </w:p>
    <w:p w:rsidR="001B4131" w:rsidRDefault="001B4131" w:rsidP="00D040C7">
      <w:pPr>
        <w:pStyle w:val="ListParagraph"/>
        <w:numPr>
          <w:ilvl w:val="0"/>
          <w:numId w:val="8"/>
        </w:numPr>
        <w:jc w:val="both"/>
        <w:rPr>
          <w:szCs w:val="24"/>
        </w:rPr>
      </w:pPr>
      <w:r w:rsidRPr="002F3AF8">
        <w:rPr>
          <w:szCs w:val="24"/>
        </w:rPr>
        <w:t xml:space="preserve">In the Case of Costa Rica, for example, </w:t>
      </w:r>
      <w:r w:rsidR="002F3AF8">
        <w:rPr>
          <w:szCs w:val="24"/>
        </w:rPr>
        <w:t xml:space="preserve">it </w:t>
      </w:r>
      <w:r w:rsidRPr="002F3AF8">
        <w:rPr>
          <w:szCs w:val="24"/>
        </w:rPr>
        <w:t>is attributed to the implementation of the P</w:t>
      </w:r>
      <w:r w:rsidR="002F3AF8">
        <w:rPr>
          <w:szCs w:val="24"/>
        </w:rPr>
        <w:t>ES,</w:t>
      </w:r>
      <w:r w:rsidRPr="002F3AF8">
        <w:rPr>
          <w:szCs w:val="24"/>
        </w:rPr>
        <w:t xml:space="preserve"> a change of mentality in government decision-makers and economic sectors of the v</w:t>
      </w:r>
      <w:r w:rsidR="0002329D">
        <w:rPr>
          <w:szCs w:val="24"/>
        </w:rPr>
        <w:t>alue of environmental services and</w:t>
      </w:r>
      <w:r w:rsidRPr="002F3AF8">
        <w:rPr>
          <w:szCs w:val="24"/>
        </w:rPr>
        <w:t xml:space="preserve"> forests. This </w:t>
      </w:r>
      <w:r w:rsidR="000D1B09">
        <w:rPr>
          <w:szCs w:val="24"/>
        </w:rPr>
        <w:t xml:space="preserve">ultimately </w:t>
      </w:r>
      <w:r w:rsidRPr="002F3AF8">
        <w:rPr>
          <w:szCs w:val="24"/>
        </w:rPr>
        <w:t>resulted in</w:t>
      </w:r>
      <w:r w:rsidR="0002329D">
        <w:rPr>
          <w:szCs w:val="24"/>
        </w:rPr>
        <w:t xml:space="preserve"> the removal of</w:t>
      </w:r>
      <w:r w:rsidRPr="002F3AF8">
        <w:rPr>
          <w:szCs w:val="24"/>
        </w:rPr>
        <w:t xml:space="preserve"> inadequate policies and incentives</w:t>
      </w:r>
      <w:r w:rsidR="000D1B09">
        <w:rPr>
          <w:szCs w:val="24"/>
        </w:rPr>
        <w:t>. It was mentioned</w:t>
      </w:r>
      <w:r w:rsidR="0002329D">
        <w:rPr>
          <w:szCs w:val="24"/>
        </w:rPr>
        <w:t xml:space="preserve"> that in</w:t>
      </w:r>
      <w:r w:rsidRPr="002F3AF8">
        <w:rPr>
          <w:szCs w:val="24"/>
        </w:rPr>
        <w:t xml:space="preserve"> this country the </w:t>
      </w:r>
      <w:r w:rsidR="000D1B09" w:rsidRPr="002F3AF8">
        <w:rPr>
          <w:szCs w:val="24"/>
        </w:rPr>
        <w:t xml:space="preserve">process </w:t>
      </w:r>
      <w:r w:rsidR="000D1B09">
        <w:rPr>
          <w:szCs w:val="24"/>
        </w:rPr>
        <w:t xml:space="preserve">of </w:t>
      </w:r>
      <w:r w:rsidRPr="002F3AF8">
        <w:rPr>
          <w:szCs w:val="24"/>
        </w:rPr>
        <w:t>P</w:t>
      </w:r>
      <w:r w:rsidR="0002329D">
        <w:rPr>
          <w:szCs w:val="24"/>
        </w:rPr>
        <w:t>ES</w:t>
      </w:r>
      <w:r w:rsidRPr="002F3AF8">
        <w:rPr>
          <w:szCs w:val="24"/>
        </w:rPr>
        <w:t xml:space="preserve"> design promoted political dialogue between different government agencies. </w:t>
      </w:r>
      <w:r w:rsidR="0002329D">
        <w:rPr>
          <w:szCs w:val="24"/>
        </w:rPr>
        <w:t>P</w:t>
      </w:r>
      <w:r w:rsidRPr="002F3AF8">
        <w:rPr>
          <w:szCs w:val="24"/>
        </w:rPr>
        <w:t>olitical will is essential to prevent efforts to remain at the level of a watershed.</w:t>
      </w:r>
    </w:p>
    <w:p w:rsidR="001B4131" w:rsidRDefault="00FE3ECB" w:rsidP="00D040C7">
      <w:pPr>
        <w:pStyle w:val="ListParagraph"/>
        <w:numPr>
          <w:ilvl w:val="0"/>
          <w:numId w:val="8"/>
        </w:numPr>
        <w:jc w:val="both"/>
        <w:rPr>
          <w:szCs w:val="24"/>
        </w:rPr>
      </w:pPr>
      <w:r>
        <w:rPr>
          <w:szCs w:val="24"/>
        </w:rPr>
        <w:t xml:space="preserve">It is important to look </w:t>
      </w:r>
      <w:r w:rsidR="001B4131" w:rsidRPr="0002329D">
        <w:rPr>
          <w:szCs w:val="24"/>
        </w:rPr>
        <w:t>at the P</w:t>
      </w:r>
      <w:r>
        <w:rPr>
          <w:szCs w:val="24"/>
        </w:rPr>
        <w:t>ES</w:t>
      </w:r>
      <w:r w:rsidR="001B4131" w:rsidRPr="0002329D">
        <w:rPr>
          <w:szCs w:val="24"/>
        </w:rPr>
        <w:t xml:space="preserve"> not only as a t</w:t>
      </w:r>
      <w:r w:rsidR="000D1B09">
        <w:rPr>
          <w:szCs w:val="24"/>
        </w:rPr>
        <w:t>ool to curb deforestation but as one that assist in the implementation</w:t>
      </w:r>
      <w:r w:rsidR="001B4131" w:rsidRPr="0002329D">
        <w:rPr>
          <w:szCs w:val="24"/>
        </w:rPr>
        <w:t xml:space="preserve"> </w:t>
      </w:r>
      <w:r w:rsidR="000D1B09">
        <w:rPr>
          <w:szCs w:val="24"/>
        </w:rPr>
        <w:t>of integrated</w:t>
      </w:r>
      <w:r w:rsidR="001B4131" w:rsidRPr="0002329D">
        <w:rPr>
          <w:szCs w:val="24"/>
        </w:rPr>
        <w:t xml:space="preserve"> policies </w:t>
      </w:r>
      <w:r>
        <w:rPr>
          <w:szCs w:val="24"/>
        </w:rPr>
        <w:t xml:space="preserve">that pursue the development of </w:t>
      </w:r>
      <w:r w:rsidR="001B4131" w:rsidRPr="0002329D">
        <w:rPr>
          <w:szCs w:val="24"/>
        </w:rPr>
        <w:t xml:space="preserve">sustainable rural </w:t>
      </w:r>
      <w:r>
        <w:rPr>
          <w:szCs w:val="24"/>
        </w:rPr>
        <w:t>initiatives</w:t>
      </w:r>
      <w:r w:rsidR="001B4131" w:rsidRPr="0002329D">
        <w:rPr>
          <w:szCs w:val="24"/>
        </w:rPr>
        <w:t xml:space="preserve">. In this regard, the Bank emphasized the purpose </w:t>
      </w:r>
      <w:r w:rsidR="000D1B09">
        <w:rPr>
          <w:szCs w:val="24"/>
        </w:rPr>
        <w:t xml:space="preserve">of the </w:t>
      </w:r>
      <w:proofErr w:type="spellStart"/>
      <w:r w:rsidR="001B4131" w:rsidRPr="0002329D">
        <w:rPr>
          <w:szCs w:val="24"/>
        </w:rPr>
        <w:t>Bioclima</w:t>
      </w:r>
      <w:r w:rsidR="000D1B09">
        <w:rPr>
          <w:szCs w:val="24"/>
        </w:rPr>
        <w:t>te</w:t>
      </w:r>
      <w:proofErr w:type="spellEnd"/>
      <w:r w:rsidR="001B4131" w:rsidRPr="0002329D">
        <w:rPr>
          <w:szCs w:val="24"/>
        </w:rPr>
        <w:t xml:space="preserve"> Fund </w:t>
      </w:r>
      <w:r w:rsidR="000D1B09">
        <w:rPr>
          <w:szCs w:val="24"/>
        </w:rPr>
        <w:t>that</w:t>
      </w:r>
      <w:r w:rsidR="001B4131" w:rsidRPr="0002329D">
        <w:rPr>
          <w:szCs w:val="24"/>
        </w:rPr>
        <w:t xml:space="preserve"> seeks to establish a PES sc</w:t>
      </w:r>
      <w:r w:rsidR="000D1B09">
        <w:rPr>
          <w:szCs w:val="24"/>
        </w:rPr>
        <w:t xml:space="preserve">heme as part of a </w:t>
      </w:r>
      <w:r w:rsidR="001B4131" w:rsidRPr="0002329D">
        <w:rPr>
          <w:szCs w:val="24"/>
        </w:rPr>
        <w:t>package of rural development policies.</w:t>
      </w:r>
    </w:p>
    <w:p w:rsidR="001B4131" w:rsidRPr="00FE3ECB" w:rsidRDefault="000D1B09" w:rsidP="00D040C7">
      <w:pPr>
        <w:pStyle w:val="ListParagraph"/>
        <w:numPr>
          <w:ilvl w:val="0"/>
          <w:numId w:val="8"/>
        </w:numPr>
        <w:jc w:val="both"/>
        <w:rPr>
          <w:szCs w:val="24"/>
        </w:rPr>
      </w:pPr>
      <w:r w:rsidRPr="00FE3ECB">
        <w:rPr>
          <w:szCs w:val="24"/>
        </w:rPr>
        <w:lastRenderedPageBreak/>
        <w:t>In very few cases</w:t>
      </w:r>
      <w:r>
        <w:rPr>
          <w:szCs w:val="24"/>
        </w:rPr>
        <w:t>, initiatives</w:t>
      </w:r>
      <w:r w:rsidRPr="00FE3ECB">
        <w:rPr>
          <w:szCs w:val="24"/>
        </w:rPr>
        <w:t xml:space="preserve"> have emerged from the will </w:t>
      </w:r>
      <w:r>
        <w:rPr>
          <w:szCs w:val="24"/>
        </w:rPr>
        <w:t>of the producer or beneficiary,</w:t>
      </w:r>
      <w:r w:rsidRPr="00FE3ECB">
        <w:rPr>
          <w:szCs w:val="24"/>
        </w:rPr>
        <w:t xml:space="preserve"> and it is unrealistic that </w:t>
      </w:r>
      <w:r>
        <w:rPr>
          <w:szCs w:val="24"/>
        </w:rPr>
        <w:t>beneficiaries</w:t>
      </w:r>
      <w:r w:rsidRPr="00FE3ECB">
        <w:rPr>
          <w:szCs w:val="24"/>
        </w:rPr>
        <w:t xml:space="preserve"> pay from the beginning.</w:t>
      </w:r>
      <w:r>
        <w:rPr>
          <w:szCs w:val="24"/>
        </w:rPr>
        <w:t xml:space="preserve"> </w:t>
      </w:r>
      <w:r w:rsidR="001B4131" w:rsidRPr="00FE3ECB">
        <w:rPr>
          <w:szCs w:val="24"/>
        </w:rPr>
        <w:t>Public resources are needed in the ear</w:t>
      </w:r>
      <w:r w:rsidR="00FE3ECB">
        <w:rPr>
          <w:szCs w:val="24"/>
        </w:rPr>
        <w:t>ly stages of implementation of PES</w:t>
      </w:r>
      <w:r w:rsidR="001B4131" w:rsidRPr="00FE3ECB">
        <w:rPr>
          <w:szCs w:val="24"/>
        </w:rPr>
        <w:t xml:space="preserve"> </w:t>
      </w:r>
      <w:r>
        <w:rPr>
          <w:szCs w:val="24"/>
        </w:rPr>
        <w:t>in order to aid the start-</w:t>
      </w:r>
      <w:r w:rsidR="00FE3ECB">
        <w:rPr>
          <w:szCs w:val="24"/>
        </w:rPr>
        <w:t>up of projects</w:t>
      </w:r>
      <w:r w:rsidR="001B4131" w:rsidRPr="00FE3ECB">
        <w:rPr>
          <w:szCs w:val="24"/>
        </w:rPr>
        <w:t xml:space="preserve">. </w:t>
      </w:r>
    </w:p>
    <w:p w:rsidR="001B4131" w:rsidRPr="001B4131" w:rsidRDefault="001B4131" w:rsidP="00D040C7">
      <w:pPr>
        <w:jc w:val="both"/>
        <w:rPr>
          <w:szCs w:val="24"/>
        </w:rPr>
      </w:pPr>
    </w:p>
    <w:p w:rsidR="001B4131" w:rsidRDefault="0013088A" w:rsidP="00D040C7">
      <w:pPr>
        <w:jc w:val="both"/>
        <w:rPr>
          <w:b/>
          <w:szCs w:val="24"/>
        </w:rPr>
      </w:pPr>
      <w:r w:rsidRPr="0013088A">
        <w:rPr>
          <w:b/>
          <w:szCs w:val="24"/>
        </w:rPr>
        <w:t>Technical Conclusions</w:t>
      </w:r>
    </w:p>
    <w:p w:rsidR="0013088A" w:rsidRPr="0013088A" w:rsidRDefault="0013088A" w:rsidP="00D040C7">
      <w:pPr>
        <w:jc w:val="both"/>
        <w:rPr>
          <w:b/>
          <w:szCs w:val="24"/>
        </w:rPr>
      </w:pPr>
    </w:p>
    <w:p w:rsidR="00D51408" w:rsidRDefault="000D1B09" w:rsidP="00D040C7">
      <w:pPr>
        <w:pStyle w:val="ListParagraph"/>
        <w:numPr>
          <w:ilvl w:val="0"/>
          <w:numId w:val="8"/>
        </w:numPr>
        <w:jc w:val="both"/>
        <w:rPr>
          <w:szCs w:val="24"/>
        </w:rPr>
      </w:pPr>
      <w:r>
        <w:rPr>
          <w:szCs w:val="24"/>
        </w:rPr>
        <w:t>Among the aspects to</w:t>
      </w:r>
      <w:r w:rsidR="001B4131" w:rsidRPr="00D51408">
        <w:rPr>
          <w:szCs w:val="24"/>
        </w:rPr>
        <w:t xml:space="preserve"> be improved</w:t>
      </w:r>
      <w:r>
        <w:rPr>
          <w:szCs w:val="24"/>
        </w:rPr>
        <w:t>,</w:t>
      </w:r>
      <w:r w:rsidR="001B4131" w:rsidRPr="00D51408">
        <w:rPr>
          <w:szCs w:val="24"/>
        </w:rPr>
        <w:t xml:space="preserve"> </w:t>
      </w:r>
      <w:r w:rsidR="00D51408">
        <w:rPr>
          <w:szCs w:val="24"/>
        </w:rPr>
        <w:t xml:space="preserve">the panel </w:t>
      </w:r>
      <w:r w:rsidR="001B4131" w:rsidRPr="00D51408">
        <w:rPr>
          <w:szCs w:val="24"/>
        </w:rPr>
        <w:t xml:space="preserve">discussed the need for randomized </w:t>
      </w:r>
      <w:r w:rsidR="00D51408">
        <w:rPr>
          <w:szCs w:val="24"/>
        </w:rPr>
        <w:t>control</w:t>
      </w:r>
      <w:r w:rsidR="001B4131" w:rsidRPr="00D51408">
        <w:rPr>
          <w:szCs w:val="24"/>
        </w:rPr>
        <w:t xml:space="preserve"> studies that allow comparative analy</w:t>
      </w:r>
      <w:r w:rsidR="00D51408">
        <w:rPr>
          <w:szCs w:val="24"/>
        </w:rPr>
        <w:t xml:space="preserve">zes between </w:t>
      </w:r>
      <w:r w:rsidR="001B4131" w:rsidRPr="00D51408">
        <w:rPr>
          <w:szCs w:val="24"/>
        </w:rPr>
        <w:t xml:space="preserve">areas </w:t>
      </w:r>
      <w:r w:rsidR="00D51408">
        <w:rPr>
          <w:szCs w:val="24"/>
        </w:rPr>
        <w:t xml:space="preserve">with PES </w:t>
      </w:r>
      <w:r>
        <w:rPr>
          <w:szCs w:val="24"/>
        </w:rPr>
        <w:t>and those without. This will permit the</w:t>
      </w:r>
      <w:r w:rsidR="001B4131" w:rsidRPr="00D51408">
        <w:rPr>
          <w:szCs w:val="24"/>
        </w:rPr>
        <w:t xml:space="preserve"> assess</w:t>
      </w:r>
      <w:r>
        <w:rPr>
          <w:szCs w:val="24"/>
        </w:rPr>
        <w:t>ment of</w:t>
      </w:r>
      <w:r w:rsidR="001B4131" w:rsidRPr="00D51408">
        <w:rPr>
          <w:szCs w:val="24"/>
        </w:rPr>
        <w:t xml:space="preserve"> the effectiveness of the schemes in different crucial aspects such as the addition of conservation areas, </w:t>
      </w:r>
      <w:r>
        <w:rPr>
          <w:szCs w:val="24"/>
        </w:rPr>
        <w:t>water quality indices, and social</w:t>
      </w:r>
      <w:r w:rsidR="001B4131" w:rsidRPr="00D51408">
        <w:rPr>
          <w:szCs w:val="24"/>
        </w:rPr>
        <w:t xml:space="preserve"> impact</w:t>
      </w:r>
      <w:r>
        <w:rPr>
          <w:szCs w:val="24"/>
        </w:rPr>
        <w:t>s</w:t>
      </w:r>
      <w:r w:rsidR="001B4131" w:rsidRPr="00D51408">
        <w:rPr>
          <w:szCs w:val="24"/>
        </w:rPr>
        <w:t>.</w:t>
      </w:r>
    </w:p>
    <w:p w:rsidR="00D51408" w:rsidRDefault="001B4131" w:rsidP="00D040C7">
      <w:pPr>
        <w:pStyle w:val="ListParagraph"/>
        <w:numPr>
          <w:ilvl w:val="0"/>
          <w:numId w:val="8"/>
        </w:numPr>
        <w:jc w:val="both"/>
        <w:rPr>
          <w:szCs w:val="24"/>
        </w:rPr>
      </w:pPr>
      <w:r w:rsidRPr="00D51408">
        <w:rPr>
          <w:szCs w:val="24"/>
        </w:rPr>
        <w:t xml:space="preserve">The panelists highlighted </w:t>
      </w:r>
      <w:r w:rsidR="000D1B09">
        <w:rPr>
          <w:szCs w:val="24"/>
        </w:rPr>
        <w:t>the importance</w:t>
      </w:r>
      <w:r w:rsidRPr="00D51408">
        <w:rPr>
          <w:szCs w:val="24"/>
        </w:rPr>
        <w:t xml:space="preserve"> to </w:t>
      </w:r>
      <w:r w:rsidR="000D1B09">
        <w:rPr>
          <w:szCs w:val="24"/>
        </w:rPr>
        <w:t>prioritize</w:t>
      </w:r>
      <w:r w:rsidRPr="00D51408">
        <w:rPr>
          <w:szCs w:val="24"/>
        </w:rPr>
        <w:t xml:space="preserve"> geographic areas</w:t>
      </w:r>
      <w:r w:rsidR="000D1B09">
        <w:rPr>
          <w:szCs w:val="24"/>
        </w:rPr>
        <w:t xml:space="preserve"> first</w:t>
      </w:r>
      <w:r w:rsidRPr="00D51408">
        <w:rPr>
          <w:szCs w:val="24"/>
        </w:rPr>
        <w:t xml:space="preserve"> that</w:t>
      </w:r>
      <w:r w:rsidR="000D1B09">
        <w:rPr>
          <w:szCs w:val="24"/>
        </w:rPr>
        <w:t xml:space="preserve"> will provide</w:t>
      </w:r>
      <w:r w:rsidRPr="00D51408">
        <w:rPr>
          <w:szCs w:val="24"/>
        </w:rPr>
        <w:t xml:space="preserve"> </w:t>
      </w:r>
      <w:r w:rsidR="000D1B09">
        <w:rPr>
          <w:szCs w:val="24"/>
        </w:rPr>
        <w:t>more</w:t>
      </w:r>
      <w:r w:rsidRPr="00D51408">
        <w:rPr>
          <w:szCs w:val="24"/>
        </w:rPr>
        <w:t xml:space="preserve"> </w:t>
      </w:r>
      <w:r w:rsidR="002F1AD9" w:rsidRPr="00D51408">
        <w:rPr>
          <w:szCs w:val="24"/>
        </w:rPr>
        <w:t>likely</w:t>
      </w:r>
      <w:r w:rsidR="002F1AD9">
        <w:rPr>
          <w:szCs w:val="24"/>
        </w:rPr>
        <w:t xml:space="preserve"> </w:t>
      </w:r>
      <w:r w:rsidR="002F1AD9" w:rsidRPr="00D51408">
        <w:rPr>
          <w:szCs w:val="24"/>
        </w:rPr>
        <w:t>the</w:t>
      </w:r>
      <w:r w:rsidRPr="00D51408">
        <w:rPr>
          <w:szCs w:val="24"/>
        </w:rPr>
        <w:t xml:space="preserve"> environmental service </w:t>
      </w:r>
      <w:r w:rsidR="000D1B09">
        <w:rPr>
          <w:szCs w:val="24"/>
        </w:rPr>
        <w:t xml:space="preserve">of interest followed by the </w:t>
      </w:r>
      <w:r w:rsidRPr="00D51408">
        <w:rPr>
          <w:szCs w:val="24"/>
        </w:rPr>
        <w:t>establish</w:t>
      </w:r>
      <w:r w:rsidR="000D1B09">
        <w:rPr>
          <w:szCs w:val="24"/>
        </w:rPr>
        <w:t>ment of</w:t>
      </w:r>
      <w:r w:rsidRPr="00D51408">
        <w:rPr>
          <w:szCs w:val="24"/>
        </w:rPr>
        <w:t xml:space="preserve"> a PES scheme</w:t>
      </w:r>
      <w:r w:rsidR="002C5AC2">
        <w:rPr>
          <w:szCs w:val="24"/>
        </w:rPr>
        <w:t>,</w:t>
      </w:r>
      <w:r w:rsidR="000D1B09">
        <w:rPr>
          <w:szCs w:val="24"/>
        </w:rPr>
        <w:t xml:space="preserve"> and not the other way around</w:t>
      </w:r>
      <w:r w:rsidR="002C5AC2">
        <w:rPr>
          <w:szCs w:val="24"/>
        </w:rPr>
        <w:t xml:space="preserve">. In many cases PES have been established  thinking on </w:t>
      </w:r>
      <w:r w:rsidRPr="00D51408">
        <w:rPr>
          <w:szCs w:val="24"/>
        </w:rPr>
        <w:t xml:space="preserve">the availability of </w:t>
      </w:r>
      <w:r w:rsidR="002C5AC2">
        <w:rPr>
          <w:szCs w:val="24"/>
        </w:rPr>
        <w:t xml:space="preserve">ecosystem </w:t>
      </w:r>
      <w:r w:rsidRPr="00D51408">
        <w:rPr>
          <w:szCs w:val="24"/>
        </w:rPr>
        <w:t>service providers</w:t>
      </w:r>
      <w:r w:rsidR="002C5AC2">
        <w:rPr>
          <w:szCs w:val="24"/>
        </w:rPr>
        <w:t xml:space="preserve"> and less on ecosystem aspects, reducing the cost-effectiveness of the mechanism</w:t>
      </w:r>
      <w:r w:rsidRPr="00D51408">
        <w:rPr>
          <w:szCs w:val="24"/>
        </w:rPr>
        <w:t xml:space="preserve">. New tools available for spatial </w:t>
      </w:r>
      <w:r w:rsidR="000D1B09" w:rsidRPr="00D51408">
        <w:rPr>
          <w:szCs w:val="24"/>
        </w:rPr>
        <w:t>analysis</w:t>
      </w:r>
      <w:r w:rsidRPr="00D51408">
        <w:rPr>
          <w:szCs w:val="24"/>
        </w:rPr>
        <w:t xml:space="preserve"> and remote sensing land cover </w:t>
      </w:r>
      <w:r w:rsidR="002C5AC2">
        <w:rPr>
          <w:szCs w:val="24"/>
        </w:rPr>
        <w:t xml:space="preserve">would </w:t>
      </w:r>
      <w:r w:rsidRPr="00D51408">
        <w:rPr>
          <w:szCs w:val="24"/>
        </w:rPr>
        <w:t xml:space="preserve">help move </w:t>
      </w:r>
      <w:r w:rsidR="002C5AC2">
        <w:rPr>
          <w:szCs w:val="24"/>
        </w:rPr>
        <w:t>better on</w:t>
      </w:r>
      <w:r w:rsidRPr="00D51408">
        <w:rPr>
          <w:szCs w:val="24"/>
        </w:rPr>
        <w:t xml:space="preserve"> th</w:t>
      </w:r>
      <w:r w:rsidR="002C5AC2">
        <w:rPr>
          <w:szCs w:val="24"/>
        </w:rPr>
        <w:t>at</w:t>
      </w:r>
      <w:r w:rsidRPr="00D51408">
        <w:rPr>
          <w:szCs w:val="24"/>
        </w:rPr>
        <w:t xml:space="preserve"> direction.</w:t>
      </w:r>
    </w:p>
    <w:p w:rsidR="00D51408" w:rsidRDefault="001B4131" w:rsidP="00D040C7">
      <w:pPr>
        <w:pStyle w:val="ListParagraph"/>
        <w:numPr>
          <w:ilvl w:val="0"/>
          <w:numId w:val="8"/>
        </w:numPr>
        <w:jc w:val="both"/>
        <w:rPr>
          <w:szCs w:val="24"/>
        </w:rPr>
      </w:pPr>
      <w:r w:rsidRPr="00D51408">
        <w:rPr>
          <w:szCs w:val="24"/>
        </w:rPr>
        <w:t xml:space="preserve"> </w:t>
      </w:r>
      <w:r w:rsidR="00436EF5">
        <w:rPr>
          <w:szCs w:val="24"/>
        </w:rPr>
        <w:t>The panel emphasize</w:t>
      </w:r>
      <w:r w:rsidRPr="00D51408">
        <w:rPr>
          <w:szCs w:val="24"/>
        </w:rPr>
        <w:t xml:space="preserve"> the need for </w:t>
      </w:r>
      <w:r w:rsidR="00436EF5">
        <w:rPr>
          <w:szCs w:val="24"/>
        </w:rPr>
        <w:t xml:space="preserve">more </w:t>
      </w:r>
      <w:r w:rsidRPr="00D51408">
        <w:rPr>
          <w:szCs w:val="24"/>
        </w:rPr>
        <w:t xml:space="preserve">progress in monitoring, reporting and verification (MRV) </w:t>
      </w:r>
      <w:r w:rsidR="00436EF5">
        <w:rPr>
          <w:szCs w:val="24"/>
        </w:rPr>
        <w:t xml:space="preserve">systems </w:t>
      </w:r>
      <w:r w:rsidRPr="00D51408">
        <w:rPr>
          <w:szCs w:val="24"/>
        </w:rPr>
        <w:t xml:space="preserve">that are robust enough to eliminate uncertainties, but </w:t>
      </w:r>
      <w:r w:rsidR="002F1AD9">
        <w:rPr>
          <w:szCs w:val="24"/>
        </w:rPr>
        <w:t>also</w:t>
      </w:r>
      <w:r w:rsidR="002F1AD9" w:rsidRPr="00D51408">
        <w:rPr>
          <w:szCs w:val="24"/>
        </w:rPr>
        <w:t xml:space="preserve"> flexible</w:t>
      </w:r>
      <w:r w:rsidRPr="00D51408">
        <w:rPr>
          <w:szCs w:val="24"/>
        </w:rPr>
        <w:t xml:space="preserve"> enough, particularly for REDD +. It is unwise </w:t>
      </w:r>
      <w:r w:rsidR="00436EF5">
        <w:rPr>
          <w:szCs w:val="24"/>
        </w:rPr>
        <w:t>seeking</w:t>
      </w:r>
      <w:r w:rsidRPr="00D51408">
        <w:rPr>
          <w:szCs w:val="24"/>
        </w:rPr>
        <w:t xml:space="preserve"> to have </w:t>
      </w:r>
      <w:r w:rsidR="00436EF5">
        <w:rPr>
          <w:szCs w:val="24"/>
        </w:rPr>
        <w:t xml:space="preserve">a perfect MRV system, because it can be an unnecessary daunting task with the risk of </w:t>
      </w:r>
      <w:r w:rsidRPr="00D51408">
        <w:rPr>
          <w:szCs w:val="24"/>
        </w:rPr>
        <w:t xml:space="preserve">become obsolete </w:t>
      </w:r>
      <w:r w:rsidR="00436EF5">
        <w:rPr>
          <w:szCs w:val="24"/>
        </w:rPr>
        <w:t>with</w:t>
      </w:r>
      <w:r w:rsidRPr="00D51408">
        <w:rPr>
          <w:szCs w:val="24"/>
        </w:rPr>
        <w:t xml:space="preserve"> new measurement technologies.</w:t>
      </w:r>
    </w:p>
    <w:p w:rsidR="00D51408" w:rsidRDefault="001B4131" w:rsidP="00D040C7">
      <w:pPr>
        <w:pStyle w:val="ListParagraph"/>
        <w:numPr>
          <w:ilvl w:val="0"/>
          <w:numId w:val="8"/>
        </w:numPr>
        <w:jc w:val="both"/>
        <w:rPr>
          <w:szCs w:val="24"/>
        </w:rPr>
      </w:pPr>
      <w:r w:rsidRPr="00D51408">
        <w:rPr>
          <w:szCs w:val="24"/>
        </w:rPr>
        <w:t xml:space="preserve"> </w:t>
      </w:r>
      <w:r w:rsidR="00436EF5">
        <w:rPr>
          <w:szCs w:val="24"/>
        </w:rPr>
        <w:t>T</w:t>
      </w:r>
      <w:r w:rsidRPr="00D51408">
        <w:rPr>
          <w:szCs w:val="24"/>
        </w:rPr>
        <w:t xml:space="preserve">he traditional approach </w:t>
      </w:r>
      <w:r w:rsidR="00436EF5">
        <w:rPr>
          <w:szCs w:val="24"/>
        </w:rPr>
        <w:t>is to concentrate excessively on</w:t>
      </w:r>
      <w:r w:rsidRPr="00D51408">
        <w:rPr>
          <w:szCs w:val="24"/>
        </w:rPr>
        <w:t xml:space="preserve"> MRV measurement, and not in understanding the institutional and local aspects that make </w:t>
      </w:r>
      <w:r w:rsidR="00436EF5">
        <w:rPr>
          <w:szCs w:val="24"/>
        </w:rPr>
        <w:t xml:space="preserve">an MRV system </w:t>
      </w:r>
      <w:r w:rsidRPr="00D51408">
        <w:rPr>
          <w:szCs w:val="24"/>
        </w:rPr>
        <w:t xml:space="preserve">sustainable and useful </w:t>
      </w:r>
    </w:p>
    <w:p w:rsidR="00D51408" w:rsidRDefault="001B4131" w:rsidP="00D040C7">
      <w:pPr>
        <w:pStyle w:val="ListParagraph"/>
        <w:numPr>
          <w:ilvl w:val="0"/>
          <w:numId w:val="8"/>
        </w:numPr>
        <w:jc w:val="both"/>
        <w:rPr>
          <w:szCs w:val="24"/>
        </w:rPr>
      </w:pPr>
      <w:r w:rsidRPr="00D51408">
        <w:rPr>
          <w:szCs w:val="24"/>
        </w:rPr>
        <w:t xml:space="preserve">The panel </w:t>
      </w:r>
      <w:r w:rsidR="000706F2" w:rsidRPr="00D51408">
        <w:rPr>
          <w:szCs w:val="24"/>
        </w:rPr>
        <w:t>underscored</w:t>
      </w:r>
      <w:r w:rsidRPr="00D51408">
        <w:rPr>
          <w:szCs w:val="24"/>
        </w:rPr>
        <w:t xml:space="preserve"> that PES schemes must begin with a solid </w:t>
      </w:r>
      <w:r w:rsidR="0001062F">
        <w:rPr>
          <w:szCs w:val="24"/>
        </w:rPr>
        <w:t xml:space="preserve">baseline so that the analysis of </w:t>
      </w:r>
      <w:r w:rsidR="0001062F" w:rsidRPr="00D51408">
        <w:rPr>
          <w:szCs w:val="24"/>
        </w:rPr>
        <w:t>impacts</w:t>
      </w:r>
      <w:r w:rsidR="0001062F">
        <w:rPr>
          <w:szCs w:val="24"/>
        </w:rPr>
        <w:t xml:space="preserve"> is feasible.</w:t>
      </w:r>
    </w:p>
    <w:p w:rsidR="00BC24B1" w:rsidRPr="00D51408" w:rsidRDefault="001B4131" w:rsidP="00D040C7">
      <w:pPr>
        <w:pStyle w:val="ListParagraph"/>
        <w:numPr>
          <w:ilvl w:val="0"/>
          <w:numId w:val="8"/>
        </w:numPr>
        <w:jc w:val="both"/>
        <w:rPr>
          <w:szCs w:val="24"/>
        </w:rPr>
      </w:pPr>
      <w:r w:rsidRPr="00D51408">
        <w:rPr>
          <w:szCs w:val="24"/>
        </w:rPr>
        <w:t xml:space="preserve">Regarding the role of the private sector, </w:t>
      </w:r>
      <w:r w:rsidR="0001062F">
        <w:rPr>
          <w:szCs w:val="24"/>
        </w:rPr>
        <w:t>the panel call attention to</w:t>
      </w:r>
      <w:r w:rsidRPr="00D51408">
        <w:rPr>
          <w:szCs w:val="24"/>
        </w:rPr>
        <w:t xml:space="preserve"> the eme</w:t>
      </w:r>
      <w:r w:rsidR="0001062F">
        <w:rPr>
          <w:szCs w:val="24"/>
        </w:rPr>
        <w:t>rging interest in ensuring the provision</w:t>
      </w:r>
      <w:r w:rsidRPr="00D51408">
        <w:rPr>
          <w:szCs w:val="24"/>
        </w:rPr>
        <w:t xml:space="preserve"> of ecosystem services </w:t>
      </w:r>
      <w:r w:rsidR="0001062F">
        <w:rPr>
          <w:szCs w:val="24"/>
        </w:rPr>
        <w:t xml:space="preserve">that are </w:t>
      </w:r>
      <w:r w:rsidRPr="00D51408">
        <w:rPr>
          <w:szCs w:val="24"/>
        </w:rPr>
        <w:t xml:space="preserve">directly linked to the production function of firms. In this regard, the panel agreed that countless opportunities </w:t>
      </w:r>
      <w:r w:rsidR="002F1AD9">
        <w:rPr>
          <w:szCs w:val="24"/>
        </w:rPr>
        <w:t xml:space="preserve">are forthcoming to invite the private sector to </w:t>
      </w:r>
      <w:r w:rsidRPr="00D51408">
        <w:rPr>
          <w:szCs w:val="24"/>
        </w:rPr>
        <w:t>lead</w:t>
      </w:r>
      <w:r w:rsidR="002F1AD9">
        <w:rPr>
          <w:szCs w:val="24"/>
        </w:rPr>
        <w:t xml:space="preserve"> the development of PES</w:t>
      </w:r>
      <w:r w:rsidRPr="00D51408">
        <w:rPr>
          <w:szCs w:val="24"/>
        </w:rPr>
        <w:t xml:space="preserve"> as a direct benefi</w:t>
      </w:r>
      <w:r w:rsidR="002F1AD9">
        <w:rPr>
          <w:szCs w:val="24"/>
        </w:rPr>
        <w:t>ciary of environmental services</w:t>
      </w:r>
      <w:r w:rsidRPr="00D51408">
        <w:rPr>
          <w:szCs w:val="24"/>
        </w:rPr>
        <w:t>. The case studies</w:t>
      </w:r>
      <w:r w:rsidR="002F1AD9">
        <w:rPr>
          <w:szCs w:val="24"/>
        </w:rPr>
        <w:t xml:space="preserve"> presented about</w:t>
      </w:r>
      <w:r w:rsidRPr="00D51408">
        <w:rPr>
          <w:szCs w:val="24"/>
        </w:rPr>
        <w:t xml:space="preserve"> integrating </w:t>
      </w:r>
      <w:proofErr w:type="spellStart"/>
      <w:r w:rsidR="002F1AD9">
        <w:rPr>
          <w:szCs w:val="24"/>
        </w:rPr>
        <w:t>sylvopastoral</w:t>
      </w:r>
      <w:proofErr w:type="spellEnd"/>
      <w:r w:rsidRPr="00D51408">
        <w:rPr>
          <w:szCs w:val="24"/>
        </w:rPr>
        <w:t xml:space="preserve"> systems, and biodiversity in </w:t>
      </w:r>
      <w:r w:rsidR="002F1AD9">
        <w:rPr>
          <w:szCs w:val="24"/>
        </w:rPr>
        <w:t xml:space="preserve">cattle ranching and </w:t>
      </w:r>
      <w:r w:rsidRPr="00D51408">
        <w:rPr>
          <w:szCs w:val="24"/>
        </w:rPr>
        <w:t xml:space="preserve">coffee landscapes, </w:t>
      </w:r>
      <w:r w:rsidR="002F1AD9">
        <w:rPr>
          <w:szCs w:val="24"/>
        </w:rPr>
        <w:t>proved</w:t>
      </w:r>
      <w:r w:rsidRPr="00D51408">
        <w:rPr>
          <w:szCs w:val="24"/>
        </w:rPr>
        <w:t xml:space="preserve"> increases in productivity and profitability of </w:t>
      </w:r>
      <w:r w:rsidR="002F1AD9">
        <w:rPr>
          <w:szCs w:val="24"/>
        </w:rPr>
        <w:t xml:space="preserve">ranchers and </w:t>
      </w:r>
      <w:r w:rsidRPr="00D51408">
        <w:rPr>
          <w:szCs w:val="24"/>
        </w:rPr>
        <w:t>farmers</w:t>
      </w:r>
      <w:r w:rsidR="002F1AD9">
        <w:rPr>
          <w:szCs w:val="24"/>
        </w:rPr>
        <w:t>. These examples are clear arguments that PES scheme may bring both benefits for the environment and return on the investments for farmers</w:t>
      </w:r>
      <w:r w:rsidRPr="00D51408">
        <w:rPr>
          <w:szCs w:val="24"/>
        </w:rPr>
        <w:t>.</w:t>
      </w:r>
    </w:p>
    <w:p w:rsidR="00BC24B1" w:rsidRPr="001B4131" w:rsidRDefault="00BC24B1" w:rsidP="00D040C7">
      <w:pPr>
        <w:jc w:val="both"/>
      </w:pPr>
    </w:p>
    <w:sectPr w:rsidR="00BC24B1" w:rsidRPr="001B413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C07" w:rsidRDefault="00E94C07" w:rsidP="00E94C07">
      <w:r>
        <w:separator/>
      </w:r>
    </w:p>
  </w:endnote>
  <w:endnote w:type="continuationSeparator" w:id="0">
    <w:p w:rsidR="00E94C07" w:rsidRDefault="00E94C07" w:rsidP="00E94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88801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94C07" w:rsidRDefault="00E94C0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40C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94C07" w:rsidRDefault="00E94C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C07" w:rsidRDefault="00E94C07" w:rsidP="00E94C07">
      <w:r>
        <w:separator/>
      </w:r>
    </w:p>
  </w:footnote>
  <w:footnote w:type="continuationSeparator" w:id="0">
    <w:p w:rsidR="00E94C07" w:rsidRDefault="00E94C07" w:rsidP="00E94C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20B9"/>
    <w:multiLevelType w:val="hybridMultilevel"/>
    <w:tmpl w:val="2F541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B0AB4"/>
    <w:multiLevelType w:val="hybridMultilevel"/>
    <w:tmpl w:val="AF2E1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757DC8"/>
    <w:multiLevelType w:val="hybridMultilevel"/>
    <w:tmpl w:val="6A0CE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B5AC3"/>
    <w:multiLevelType w:val="hybridMultilevel"/>
    <w:tmpl w:val="77765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0C030E"/>
    <w:multiLevelType w:val="hybridMultilevel"/>
    <w:tmpl w:val="9E6E5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D41833"/>
    <w:multiLevelType w:val="hybridMultilevel"/>
    <w:tmpl w:val="1AF805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5205A8"/>
    <w:multiLevelType w:val="hybridMultilevel"/>
    <w:tmpl w:val="4176B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762940"/>
    <w:multiLevelType w:val="hybridMultilevel"/>
    <w:tmpl w:val="32ECD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8A627F"/>
    <w:multiLevelType w:val="hybridMultilevel"/>
    <w:tmpl w:val="FA122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2"/>
  </w:num>
  <w:num w:numId="7">
    <w:abstractNumId w:val="3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C2C"/>
    <w:rsid w:val="000030CD"/>
    <w:rsid w:val="0001062F"/>
    <w:rsid w:val="0002329D"/>
    <w:rsid w:val="00054B5F"/>
    <w:rsid w:val="000706F2"/>
    <w:rsid w:val="000765F1"/>
    <w:rsid w:val="000B037C"/>
    <w:rsid w:val="000B1DE6"/>
    <w:rsid w:val="000D1B09"/>
    <w:rsid w:val="000F347F"/>
    <w:rsid w:val="00116016"/>
    <w:rsid w:val="0013088A"/>
    <w:rsid w:val="001B4131"/>
    <w:rsid w:val="00254795"/>
    <w:rsid w:val="002C5AC2"/>
    <w:rsid w:val="002C7693"/>
    <w:rsid w:val="002F1AD9"/>
    <w:rsid w:val="002F3AF8"/>
    <w:rsid w:val="0031586E"/>
    <w:rsid w:val="003C5688"/>
    <w:rsid w:val="003E2FA0"/>
    <w:rsid w:val="004134E7"/>
    <w:rsid w:val="00416152"/>
    <w:rsid w:val="00430ED5"/>
    <w:rsid w:val="00436EF5"/>
    <w:rsid w:val="004502C5"/>
    <w:rsid w:val="004B4B36"/>
    <w:rsid w:val="00524A38"/>
    <w:rsid w:val="00573B15"/>
    <w:rsid w:val="00670714"/>
    <w:rsid w:val="006C217D"/>
    <w:rsid w:val="00751F18"/>
    <w:rsid w:val="00757199"/>
    <w:rsid w:val="008645F5"/>
    <w:rsid w:val="008D7B36"/>
    <w:rsid w:val="00901D69"/>
    <w:rsid w:val="009348AA"/>
    <w:rsid w:val="009552BD"/>
    <w:rsid w:val="00986FD9"/>
    <w:rsid w:val="00A44F65"/>
    <w:rsid w:val="00A8682C"/>
    <w:rsid w:val="00B31074"/>
    <w:rsid w:val="00B6292E"/>
    <w:rsid w:val="00BC24B1"/>
    <w:rsid w:val="00C24754"/>
    <w:rsid w:val="00C43177"/>
    <w:rsid w:val="00C8058D"/>
    <w:rsid w:val="00CB3D7F"/>
    <w:rsid w:val="00D040C7"/>
    <w:rsid w:val="00D10C2C"/>
    <w:rsid w:val="00D51408"/>
    <w:rsid w:val="00DB1BD6"/>
    <w:rsid w:val="00DB339A"/>
    <w:rsid w:val="00DE23C6"/>
    <w:rsid w:val="00DF1AE3"/>
    <w:rsid w:val="00E64BC7"/>
    <w:rsid w:val="00E87ADE"/>
    <w:rsid w:val="00E94C07"/>
    <w:rsid w:val="00EC6460"/>
    <w:rsid w:val="00ED623A"/>
    <w:rsid w:val="00FE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C2C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339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4C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4C07"/>
    <w:rPr>
      <w:rFonts w:ascii="Times New Roman" w:eastAsia="Calibri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E94C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4C07"/>
    <w:rPr>
      <w:rFonts w:ascii="Times New Roman" w:eastAsia="Calibri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C2C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339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4C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4C07"/>
    <w:rPr>
      <w:rFonts w:ascii="Times New Roman" w:eastAsia="Calibri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E94C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4C07"/>
    <w:rPr>
      <w:rFonts w:ascii="Times New Roman" w:eastAsia="Calibri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0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37859586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INE/CCS</Division_x0020_or_x0020_Unit>
    <Approval_x0020_Number xmlns="cdc7663a-08f0-4737-9e8c-148ce897a09c" xsi:nil="true"/>
    <Document_x0020_Author xmlns="cdc7663a-08f0-4737-9e8c-148ce897a09c">RODMARTINEZ</Document_x0020_Author>
    <Fiscal_x0020_Year_x0020_IDB xmlns="cdc7663a-08f0-4737-9e8c-148ce897a09c">2013</Fiscal_x0020_Year_x0020_IDB>
    <Other_x0020_Author xmlns="cdc7663a-08f0-4737-9e8c-148ce897a09c" xsi:nil="true"/>
    <Project_x0020_Number xmlns="cdc7663a-08f0-4737-9e8c-148ce897a09c">RG-T1778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WORDTECHNOTETechnical Note0N</Migration_x0020_Info>
    <Operation_x0020_Type xmlns="cdc7663a-08f0-4737-9e8c-148ce897a09c" xsi:nil="true"/>
    <Record_x0020_Number xmlns="cdc7663a-08f0-4737-9e8c-148ce897a09c">R0002786224</Record_x0020_Number>
    <Document_x0020_Language_x0020_IDB xmlns="cdc7663a-08f0-4737-9e8c-148ce897a09c">English</Document_x0020_Language_x0020_IDB>
    <Identifier xmlns="cdc7663a-08f0-4737-9e8c-148ce897a09c">RG-T1778;ATN/MC-12188-RG 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EZSHARE-1775975722-266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https://idbg.sharepoint.com/teams/EZ-RG-TCP/RG-T1778/_layouts/15/DocIdRedir.aspx?ID=EZSHARE-1775975722-266</Url>
      <Description>EZSHARE-1775975722-266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AAEB940D5E27B841AF5DAD8EC09EB623" ma:contentTypeVersion="2034" ma:contentTypeDescription="The base project type from which other project content types inherit their information." ma:contentTypeScope="" ma:versionID="e98d03d5030af992df2bd74e31ed7942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ebd62a969ab0658bee3269b05fb97a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9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2A9EF508-AB89-4BE6-9700-7D9E6D0BFEB3}"/>
</file>

<file path=customXml/itemProps10.xml><?xml version="1.0" encoding="utf-8"?>
<ds:datastoreItem xmlns:ds="http://schemas.openxmlformats.org/officeDocument/2006/customXml" ds:itemID="{ED40CE65-50CE-4813-95DB-4F6A931409F7}"/>
</file>

<file path=customXml/itemProps2.xml><?xml version="1.0" encoding="utf-8"?>
<ds:datastoreItem xmlns:ds="http://schemas.openxmlformats.org/officeDocument/2006/customXml" ds:itemID="{6A9E35BA-0CC5-40A5-87DA-243ED828DB5B}"/>
</file>

<file path=customXml/itemProps3.xml><?xml version="1.0" encoding="utf-8"?>
<ds:datastoreItem xmlns:ds="http://schemas.openxmlformats.org/officeDocument/2006/customXml" ds:itemID="{7350CC7B-59E9-4692-BC20-ECD96F5C4271}"/>
</file>

<file path=customXml/itemProps4.xml><?xml version="1.0" encoding="utf-8"?>
<ds:datastoreItem xmlns:ds="http://schemas.openxmlformats.org/officeDocument/2006/customXml" ds:itemID="{1DC66DDB-53BE-4550-BEAB-658C4F5FB507}"/>
</file>

<file path=customXml/itemProps5.xml><?xml version="1.0" encoding="utf-8"?>
<ds:datastoreItem xmlns:ds="http://schemas.openxmlformats.org/officeDocument/2006/customXml" ds:itemID="{7C91306E-7814-482C-8FD6-68BFE94D04BC}"/>
</file>

<file path=customXml/itemProps6.xml><?xml version="1.0" encoding="utf-8"?>
<ds:datastoreItem xmlns:ds="http://schemas.openxmlformats.org/officeDocument/2006/customXml" ds:itemID="{3BA7A144-D31E-4BA9-9FAA-3B43BA80CF97}"/>
</file>

<file path=customXml/itemProps7.xml><?xml version="1.0" encoding="utf-8"?>
<ds:datastoreItem xmlns:ds="http://schemas.openxmlformats.org/officeDocument/2006/customXml" ds:itemID="{BA44A4F1-7933-496E-90E6-88EB51676D9D}"/>
</file>

<file path=customXml/itemProps8.xml><?xml version="1.0" encoding="utf-8"?>
<ds:datastoreItem xmlns:ds="http://schemas.openxmlformats.org/officeDocument/2006/customXml" ds:itemID="{894E3C18-4228-4BAF-BFD0-AC1D3DA913D0}"/>
</file>

<file path=customXml/itemProps9.xml><?xml version="1.0" encoding="utf-8"?>
<ds:datastoreItem xmlns:ds="http://schemas.openxmlformats.org/officeDocument/2006/customXml" ds:itemID="{55DF6A1D-BE85-4FB0-B6AC-F7449EB8A4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Conclusions Report Panel of Experts on Payments for Ecosystem Services</dc:title>
  <dc:creator>Test</dc:creator>
  <cp:lastModifiedBy>Test</cp:lastModifiedBy>
  <cp:revision>3</cp:revision>
  <dcterms:created xsi:type="dcterms:W3CDTF">2013-06-27T15:42:00Z</dcterms:created>
  <dcterms:modified xsi:type="dcterms:W3CDTF">2013-07-15T15:27:00Z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0x010100ACF722E9F6B0B149B0CD8BE2560A667200AAEB940D5E27B841AF5DAD8EC09EB623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26600</vt:r8>
  </property>
  <property fmtid="{D5CDD505-2E9C-101B-9397-08002B2CF9AE}" pid="17" name="Abstract">
    <vt:lpwstr>The panel of experts  on payments for environmental services (PES) was held on May 16, 2013, seeking to answer: Can Payments for Environmental Services Mitigate Climate Change? In order to answer this question the panel focused on identifying lessons learned and best practices of a series of existing national and municipal PES schemes. The lessons will be used towards providing evidence to the IDB in the construction of the Bio-Climate Fund.</vt:lpwstr>
  </property>
  <property fmtid="{D5CDD505-2E9C-101B-9397-08002B2CF9AE}" pid="18" name="Disclosure Activity">
    <vt:lpwstr>Technical Note</vt:lpwstr>
  </property>
  <property fmtid="{D5CDD505-2E9C-101B-9397-08002B2CF9AE}" pid="22" name="Webtopic">
    <vt:lpwstr>Climate Change</vt:lpwstr>
  </property>
  <property fmtid="{D5CDD505-2E9C-101B-9397-08002B2CF9AE}" pid="24" name="Disclosed">
    <vt:bool>true</vt:bool>
  </property>
  <property fmtid="{D5CDD505-2E9C-101B-9397-08002B2CF9AE}" pid="27" name="_dlc_DocIdItemGuid">
    <vt:lpwstr>f4ce8b1e-37f6-422d-a7cd-016c705aac45</vt:lpwstr>
  </property>
</Properties>
</file>