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2A03FC" w14:textId="77777777" w:rsidR="00F10D9A" w:rsidRPr="009C0E1F" w:rsidRDefault="00F10D9A">
      <w:pPr>
        <w:spacing w:before="120" w:after="120" w:line="240" w:lineRule="auto"/>
        <w:jc w:val="center"/>
        <w:rPr>
          <w:rFonts w:ascii="Arial" w:hAnsi="Arial" w:cs="Arial"/>
          <w:lang w:val="es-ES_tradnl"/>
        </w:rPr>
      </w:pPr>
    </w:p>
    <w:p w14:paraId="3AE7C339" w14:textId="77777777" w:rsidR="00F10D9A" w:rsidRPr="009C0E1F" w:rsidRDefault="00F10D9A">
      <w:pPr>
        <w:spacing w:before="120" w:after="120" w:line="240" w:lineRule="auto"/>
        <w:jc w:val="center"/>
        <w:rPr>
          <w:rFonts w:ascii="Arial" w:hAnsi="Arial" w:cs="Arial"/>
          <w:lang w:val="es-ES_tradnl"/>
        </w:rPr>
      </w:pPr>
    </w:p>
    <w:p w14:paraId="68393207" w14:textId="77777777" w:rsidR="00F10D9A" w:rsidRPr="009C0E1F" w:rsidRDefault="00F10D9A">
      <w:pPr>
        <w:spacing w:before="120" w:after="120" w:line="240" w:lineRule="auto"/>
        <w:jc w:val="center"/>
        <w:rPr>
          <w:rFonts w:ascii="Arial" w:hAnsi="Arial" w:cs="Arial"/>
          <w:b/>
          <w:lang w:val="es-ES_tradnl"/>
        </w:rPr>
      </w:pPr>
    </w:p>
    <w:p w14:paraId="75412BF4" w14:textId="77777777" w:rsidR="00F10D9A" w:rsidRPr="009C0E1F" w:rsidRDefault="007E781F">
      <w:pPr>
        <w:pStyle w:val="SubSubPar"/>
        <w:tabs>
          <w:tab w:val="clear" w:pos="1152"/>
        </w:tabs>
        <w:jc w:val="center"/>
        <w:outlineLvl w:val="9"/>
        <w:rPr>
          <w:rFonts w:ascii="Arial" w:hAnsi="Arial" w:cs="Arial"/>
          <w:smallCaps/>
          <w:sz w:val="22"/>
          <w:szCs w:val="22"/>
          <w:lang w:val="es-ES_tradnl"/>
        </w:rPr>
      </w:pPr>
      <w:r w:rsidRPr="009C0E1F">
        <w:rPr>
          <w:rFonts w:ascii="Arial" w:hAnsi="Arial" w:cs="Arial"/>
          <w:smallCaps/>
          <w:sz w:val="22"/>
          <w:szCs w:val="22"/>
          <w:lang w:val="es-ES_tradnl"/>
        </w:rPr>
        <w:t>DOCUMENTO DEL BANCO INTERAMERICANO DE DESARROLLO</w:t>
      </w:r>
    </w:p>
    <w:p w14:paraId="604021AE" w14:textId="77777777" w:rsidR="00F10D9A" w:rsidRPr="009C0E1F" w:rsidRDefault="00F10D9A">
      <w:pPr>
        <w:spacing w:before="120" w:after="120" w:line="240" w:lineRule="auto"/>
        <w:jc w:val="center"/>
        <w:rPr>
          <w:rFonts w:ascii="Arial" w:hAnsi="Arial" w:cs="Arial"/>
          <w:b/>
          <w:lang w:val="es-ES_tradnl"/>
        </w:rPr>
      </w:pPr>
    </w:p>
    <w:p w14:paraId="4BBE27E0" w14:textId="77777777" w:rsidR="00F10D9A" w:rsidRPr="009C0E1F" w:rsidRDefault="00F10D9A">
      <w:pPr>
        <w:spacing w:before="120" w:after="120" w:line="240" w:lineRule="auto"/>
        <w:jc w:val="center"/>
        <w:rPr>
          <w:rFonts w:ascii="Arial" w:hAnsi="Arial" w:cs="Arial"/>
          <w:b/>
          <w:lang w:val="es-ES_tradnl"/>
        </w:rPr>
      </w:pPr>
    </w:p>
    <w:p w14:paraId="590C8847" w14:textId="77777777" w:rsidR="00F10D9A" w:rsidRPr="009C0E1F" w:rsidRDefault="00F10D9A">
      <w:pPr>
        <w:spacing w:before="120" w:after="120" w:line="240" w:lineRule="auto"/>
        <w:jc w:val="center"/>
        <w:rPr>
          <w:rFonts w:ascii="Arial" w:hAnsi="Arial" w:cs="Arial"/>
          <w:b/>
          <w:lang w:val="es-ES_tradnl"/>
        </w:rPr>
      </w:pPr>
    </w:p>
    <w:p w14:paraId="50D4E5B5" w14:textId="77777777" w:rsidR="00F10D9A" w:rsidRPr="009C0E1F" w:rsidRDefault="00F10D9A">
      <w:pPr>
        <w:spacing w:before="120" w:after="120" w:line="240" w:lineRule="auto"/>
        <w:jc w:val="center"/>
        <w:rPr>
          <w:rFonts w:ascii="Arial" w:hAnsi="Arial" w:cs="Arial"/>
          <w:b/>
          <w:lang w:val="es-ES_tradnl"/>
        </w:rPr>
      </w:pPr>
    </w:p>
    <w:p w14:paraId="127D2966" w14:textId="77777777" w:rsidR="00F10D9A" w:rsidRPr="009C0E1F" w:rsidRDefault="00F10D9A">
      <w:pPr>
        <w:spacing w:before="120" w:after="120" w:line="240" w:lineRule="auto"/>
        <w:jc w:val="center"/>
        <w:rPr>
          <w:rFonts w:ascii="Arial" w:hAnsi="Arial" w:cs="Arial"/>
          <w:b/>
          <w:lang w:val="es-ES_tradnl"/>
        </w:rPr>
      </w:pPr>
    </w:p>
    <w:p w14:paraId="66A9DCF5" w14:textId="77777777" w:rsidR="00F10D9A" w:rsidRPr="009C0E1F" w:rsidRDefault="00F10D9A">
      <w:pPr>
        <w:spacing w:before="120" w:after="120" w:line="240" w:lineRule="auto"/>
        <w:jc w:val="center"/>
        <w:rPr>
          <w:rFonts w:ascii="Arial" w:hAnsi="Arial" w:cs="Arial"/>
          <w:b/>
          <w:lang w:val="es-ES_tradnl"/>
        </w:rPr>
      </w:pPr>
    </w:p>
    <w:p w14:paraId="1D8E97F8" w14:textId="77777777" w:rsidR="00F10D9A" w:rsidRPr="009C0E1F" w:rsidRDefault="00F10D9A">
      <w:pPr>
        <w:spacing w:before="120" w:after="120" w:line="240" w:lineRule="auto"/>
        <w:jc w:val="center"/>
        <w:rPr>
          <w:rFonts w:ascii="Arial" w:hAnsi="Arial" w:cs="Arial"/>
          <w:b/>
          <w:lang w:val="es-ES_tradnl"/>
        </w:rPr>
      </w:pPr>
    </w:p>
    <w:p w14:paraId="0268CD54" w14:textId="49D49B73" w:rsidR="00F10D9A" w:rsidRPr="009C0E1F" w:rsidRDefault="008E49E1">
      <w:pPr>
        <w:spacing w:before="120" w:after="120" w:line="240" w:lineRule="auto"/>
        <w:jc w:val="center"/>
        <w:rPr>
          <w:rFonts w:ascii="Arial" w:hAnsi="Arial" w:cs="Arial"/>
          <w:b/>
          <w:smallCaps/>
          <w:lang w:val="es-ES_tradnl"/>
        </w:rPr>
      </w:pPr>
      <w:r w:rsidRPr="005D44DB">
        <w:rPr>
          <w:rFonts w:ascii="Arial" w:hAnsi="Arial"/>
          <w:b/>
          <w:smallCaps/>
          <w:lang w:val="es-ES_tradnl"/>
        </w:rPr>
        <w:t>Ecuador</w:t>
      </w:r>
    </w:p>
    <w:p w14:paraId="0999C6E4" w14:textId="77777777" w:rsidR="00F10D9A" w:rsidRPr="005D44DB" w:rsidRDefault="00F10D9A">
      <w:pPr>
        <w:spacing w:before="120" w:after="120" w:line="240" w:lineRule="auto"/>
        <w:jc w:val="center"/>
        <w:rPr>
          <w:rFonts w:ascii="Arial" w:hAnsi="Arial"/>
          <w:b/>
          <w:smallCaps/>
          <w:lang w:val="es-ES_tradnl"/>
        </w:rPr>
      </w:pPr>
    </w:p>
    <w:p w14:paraId="6B6FD538" w14:textId="77777777" w:rsidR="00F10D9A" w:rsidRPr="009C0E1F" w:rsidRDefault="00F10D9A">
      <w:pPr>
        <w:spacing w:before="120" w:after="120" w:line="240" w:lineRule="auto"/>
        <w:jc w:val="center"/>
        <w:rPr>
          <w:rFonts w:ascii="Arial" w:hAnsi="Arial" w:cs="Arial"/>
          <w:b/>
          <w:smallCaps/>
          <w:lang w:val="es-ES_tradnl"/>
        </w:rPr>
      </w:pPr>
    </w:p>
    <w:p w14:paraId="3C53C59D" w14:textId="77777777" w:rsidR="00F10D9A" w:rsidRPr="009C0E1F" w:rsidRDefault="00F10D9A">
      <w:pPr>
        <w:spacing w:before="120" w:after="120" w:line="240" w:lineRule="auto"/>
        <w:jc w:val="center"/>
        <w:rPr>
          <w:rFonts w:ascii="Arial" w:hAnsi="Arial" w:cs="Arial"/>
          <w:b/>
          <w:smallCaps/>
          <w:lang w:val="es-ES_tradnl"/>
        </w:rPr>
      </w:pPr>
    </w:p>
    <w:p w14:paraId="74D0E189" w14:textId="77777777" w:rsidR="00F10D9A" w:rsidRPr="009C0E1F" w:rsidRDefault="00F10D9A">
      <w:pPr>
        <w:spacing w:before="120" w:after="120" w:line="240" w:lineRule="auto"/>
        <w:jc w:val="center"/>
        <w:rPr>
          <w:rFonts w:ascii="Arial" w:hAnsi="Arial" w:cs="Arial"/>
          <w:b/>
          <w:smallCaps/>
          <w:lang w:val="es-ES_tradnl"/>
        </w:rPr>
      </w:pPr>
    </w:p>
    <w:p w14:paraId="0C694C3E" w14:textId="77777777" w:rsidR="008A274A" w:rsidRPr="009C0E1F" w:rsidRDefault="008A274A" w:rsidP="008A274A">
      <w:pPr>
        <w:spacing w:before="120" w:after="120" w:line="240" w:lineRule="auto"/>
        <w:jc w:val="center"/>
        <w:rPr>
          <w:rFonts w:ascii="Arial" w:hAnsi="Arial" w:cs="Arial"/>
          <w:b/>
          <w:smallCaps/>
          <w:lang w:val="es-ES_tradnl"/>
        </w:rPr>
      </w:pPr>
    </w:p>
    <w:p w14:paraId="3E9EA996" w14:textId="77777777" w:rsidR="004B006B" w:rsidRPr="009C0E1F" w:rsidRDefault="004B006B" w:rsidP="004B006B">
      <w:pPr>
        <w:spacing w:before="120" w:after="120" w:line="240" w:lineRule="auto"/>
        <w:jc w:val="center"/>
        <w:rPr>
          <w:rFonts w:ascii="Arial" w:hAnsi="Arial" w:cs="Arial"/>
          <w:b/>
          <w:smallCaps/>
          <w:lang w:val="es-ES_tradnl"/>
        </w:rPr>
      </w:pPr>
    </w:p>
    <w:p w14:paraId="3DFDD7D3" w14:textId="6E9431C9" w:rsidR="00F10D9A" w:rsidRPr="009C0E1F" w:rsidRDefault="00211A18" w:rsidP="522BFFEE">
      <w:pPr>
        <w:spacing w:before="120" w:after="120" w:line="240" w:lineRule="auto"/>
        <w:jc w:val="center"/>
        <w:rPr>
          <w:rFonts w:ascii="Arial" w:hAnsi="Arial" w:cs="Arial"/>
          <w:lang w:val="es-ES"/>
        </w:rPr>
      </w:pPr>
      <w:r w:rsidRPr="522BFFEE">
        <w:rPr>
          <w:rFonts w:ascii="Arial" w:hAnsi="Arial" w:cs="Arial"/>
          <w:b/>
          <w:bCs/>
          <w:smallCaps/>
          <w:lang w:val="es-ES"/>
        </w:rPr>
        <w:t>PROGRAMA DE M</w:t>
      </w:r>
      <w:r w:rsidR="008E49E1" w:rsidRPr="522BFFEE">
        <w:rPr>
          <w:rFonts w:ascii="Arial" w:hAnsi="Arial" w:cs="Arial"/>
          <w:b/>
          <w:bCs/>
          <w:smallCaps/>
          <w:lang w:val="es-ES"/>
        </w:rPr>
        <w:t>EJORA</w:t>
      </w:r>
      <w:r w:rsidRPr="522BFFEE">
        <w:rPr>
          <w:rFonts w:ascii="Arial" w:hAnsi="Arial" w:cs="Arial"/>
          <w:b/>
          <w:bCs/>
          <w:smallCaps/>
          <w:lang w:val="es-ES"/>
        </w:rPr>
        <w:t xml:space="preserve"> DE</w:t>
      </w:r>
      <w:r w:rsidR="249C350A" w:rsidRPr="522BFFEE">
        <w:rPr>
          <w:rFonts w:ascii="Arial" w:hAnsi="Arial" w:cs="Arial"/>
          <w:b/>
          <w:bCs/>
          <w:smallCaps/>
          <w:lang w:val="es-ES"/>
        </w:rPr>
        <w:t xml:space="preserve"> </w:t>
      </w:r>
      <w:r w:rsidR="008E49E1" w:rsidRPr="522BFFEE">
        <w:rPr>
          <w:rFonts w:ascii="Arial" w:hAnsi="Arial" w:cs="Arial"/>
          <w:b/>
          <w:bCs/>
          <w:smallCaps/>
          <w:lang w:val="es-ES"/>
        </w:rPr>
        <w:t>L</w:t>
      </w:r>
      <w:r w:rsidR="6D07F3D9" w:rsidRPr="522BFFEE">
        <w:rPr>
          <w:rFonts w:ascii="Arial" w:hAnsi="Arial" w:cs="Arial"/>
          <w:b/>
          <w:bCs/>
          <w:smallCaps/>
          <w:lang w:val="es-ES"/>
        </w:rPr>
        <w:t>A</w:t>
      </w:r>
      <w:r w:rsidR="008E49E1" w:rsidRPr="522BFFEE">
        <w:rPr>
          <w:rFonts w:ascii="Arial" w:hAnsi="Arial" w:cs="Arial"/>
          <w:b/>
          <w:bCs/>
          <w:smallCaps/>
          <w:lang w:val="es-ES"/>
        </w:rPr>
        <w:t xml:space="preserve"> </w:t>
      </w:r>
      <w:r w:rsidR="6229F2A7" w:rsidRPr="522BFFEE">
        <w:rPr>
          <w:rFonts w:ascii="Arial" w:hAnsi="Arial" w:cs="Arial"/>
          <w:b/>
          <w:bCs/>
          <w:smallCaps/>
          <w:lang w:val="es-ES"/>
        </w:rPr>
        <w:t>ADMINISTRACIÓN TRIBUTARIA Y ADUANERA</w:t>
      </w:r>
    </w:p>
    <w:p w14:paraId="32750573" w14:textId="69771E19" w:rsidR="00F10D9A" w:rsidRDefault="00211A18" w:rsidP="522BFFEE">
      <w:pPr>
        <w:spacing w:before="120" w:after="120" w:line="240" w:lineRule="auto"/>
        <w:jc w:val="center"/>
        <w:rPr>
          <w:rFonts w:ascii="Arial" w:hAnsi="Arial" w:cs="Arial"/>
          <w:b/>
          <w:bCs/>
          <w:smallCaps/>
          <w:lang w:val="es-ES"/>
        </w:rPr>
      </w:pPr>
      <w:r w:rsidRPr="522BFFEE">
        <w:rPr>
          <w:rFonts w:ascii="Arial" w:hAnsi="Arial" w:cs="Arial"/>
          <w:b/>
          <w:bCs/>
          <w:smallCaps/>
          <w:lang w:val="es-ES"/>
        </w:rPr>
        <w:t>(</w:t>
      </w:r>
      <w:r w:rsidR="008E49E1" w:rsidRPr="522BFFEE">
        <w:rPr>
          <w:rFonts w:ascii="Arial" w:hAnsi="Arial" w:cs="Arial"/>
          <w:b/>
          <w:bCs/>
          <w:smallCaps/>
          <w:lang w:val="es-ES"/>
        </w:rPr>
        <w:t>EC</w:t>
      </w:r>
      <w:r w:rsidRPr="522BFFEE">
        <w:rPr>
          <w:rFonts w:ascii="Arial" w:hAnsi="Arial" w:cs="Arial"/>
          <w:b/>
          <w:bCs/>
          <w:smallCaps/>
          <w:lang w:val="es-ES"/>
        </w:rPr>
        <w:t>-L12</w:t>
      </w:r>
      <w:r w:rsidR="008E49E1" w:rsidRPr="522BFFEE">
        <w:rPr>
          <w:rFonts w:ascii="Arial" w:hAnsi="Arial" w:cs="Arial"/>
          <w:b/>
          <w:bCs/>
          <w:smallCaps/>
          <w:lang w:val="es-ES"/>
        </w:rPr>
        <w:t>53</w:t>
      </w:r>
      <w:r w:rsidRPr="522BFFEE">
        <w:rPr>
          <w:rFonts w:ascii="Arial" w:hAnsi="Arial" w:cs="Arial"/>
          <w:b/>
          <w:bCs/>
          <w:smallCaps/>
          <w:lang w:val="es-ES"/>
        </w:rPr>
        <w:t>)</w:t>
      </w:r>
    </w:p>
    <w:p w14:paraId="19CA8584" w14:textId="708A3202" w:rsidR="00344A1C" w:rsidRPr="009C0E1F" w:rsidRDefault="00344A1C" w:rsidP="522BFFEE">
      <w:pPr>
        <w:spacing w:before="120" w:after="120" w:line="240" w:lineRule="auto"/>
        <w:jc w:val="center"/>
        <w:rPr>
          <w:rFonts w:ascii="Arial" w:hAnsi="Arial" w:cs="Arial"/>
          <w:lang w:val="es-ES"/>
        </w:rPr>
      </w:pPr>
      <w:r>
        <w:rPr>
          <w:rFonts w:ascii="Arial" w:hAnsi="Arial" w:cs="Arial"/>
          <w:b/>
          <w:bCs/>
          <w:smallCaps/>
          <w:lang w:val="es-ES"/>
        </w:rPr>
        <w:t>Versión Final</w:t>
      </w:r>
    </w:p>
    <w:p w14:paraId="4E5EE38B" w14:textId="77777777" w:rsidR="00F10D9A" w:rsidRPr="009C0E1F" w:rsidRDefault="00F10D9A">
      <w:pPr>
        <w:spacing w:before="120" w:after="120" w:line="240" w:lineRule="auto"/>
        <w:jc w:val="center"/>
        <w:rPr>
          <w:rFonts w:ascii="Arial" w:hAnsi="Arial" w:cs="Arial"/>
          <w:lang w:val="es-ES_tradnl"/>
        </w:rPr>
      </w:pPr>
    </w:p>
    <w:p w14:paraId="294C3260" w14:textId="3D8B8CD2" w:rsidR="00F10D9A" w:rsidRDefault="00AC3B02">
      <w:pPr>
        <w:tabs>
          <w:tab w:val="left" w:pos="1440"/>
          <w:tab w:val="left" w:pos="3060"/>
        </w:tabs>
        <w:spacing w:before="120" w:after="120" w:line="240" w:lineRule="auto"/>
        <w:jc w:val="center"/>
        <w:rPr>
          <w:rFonts w:ascii="Arial" w:hAnsi="Arial" w:cs="Arial"/>
          <w:b/>
          <w:smallCaps/>
          <w:lang w:val="es-ES_tradnl"/>
        </w:rPr>
      </w:pPr>
      <w:r w:rsidRPr="009C0E1F">
        <w:rPr>
          <w:rFonts w:ascii="Arial" w:hAnsi="Arial" w:cs="Arial"/>
          <w:b/>
          <w:smallCaps/>
          <w:lang w:val="es-ES_tradnl"/>
        </w:rPr>
        <w:t>Análisis</w:t>
      </w:r>
      <w:r w:rsidR="007E781F" w:rsidRPr="009C0E1F">
        <w:rPr>
          <w:rFonts w:ascii="Arial" w:hAnsi="Arial" w:cs="Arial"/>
          <w:b/>
          <w:smallCaps/>
          <w:lang w:val="es-ES_tradnl"/>
        </w:rPr>
        <w:t xml:space="preserve"> </w:t>
      </w:r>
      <w:r w:rsidRPr="009C0E1F">
        <w:rPr>
          <w:rFonts w:ascii="Arial" w:hAnsi="Arial" w:cs="Arial"/>
          <w:b/>
          <w:smallCaps/>
          <w:lang w:val="es-ES_tradnl"/>
        </w:rPr>
        <w:t xml:space="preserve">de </w:t>
      </w:r>
      <w:r w:rsidR="00A74AEF" w:rsidRPr="009C0E1F">
        <w:rPr>
          <w:rFonts w:ascii="Arial" w:hAnsi="Arial" w:cs="Arial"/>
          <w:b/>
          <w:smallCaps/>
          <w:lang w:val="es-ES_tradnl"/>
        </w:rPr>
        <w:t>C</w:t>
      </w:r>
      <w:r w:rsidRPr="009C0E1F">
        <w:rPr>
          <w:rFonts w:ascii="Arial" w:hAnsi="Arial" w:cs="Arial"/>
          <w:b/>
          <w:smallCaps/>
          <w:lang w:val="es-ES_tradnl"/>
        </w:rPr>
        <w:t>ost</w:t>
      </w:r>
      <w:r w:rsidR="00A74AEF" w:rsidRPr="009C0E1F">
        <w:rPr>
          <w:rFonts w:ascii="Arial" w:hAnsi="Arial" w:cs="Arial"/>
          <w:b/>
          <w:smallCaps/>
          <w:lang w:val="es-ES_tradnl"/>
        </w:rPr>
        <w:t>o</w:t>
      </w:r>
      <w:r w:rsidR="00AA5E8C" w:rsidRPr="009C0E1F">
        <w:rPr>
          <w:rFonts w:ascii="Arial" w:hAnsi="Arial" w:cs="Arial"/>
          <w:b/>
          <w:smallCaps/>
          <w:lang w:val="es-ES_tradnl"/>
        </w:rPr>
        <w:t>-</w:t>
      </w:r>
      <w:r w:rsidR="00046BB1">
        <w:rPr>
          <w:rFonts w:ascii="Arial" w:hAnsi="Arial" w:cs="Arial"/>
          <w:b/>
          <w:smallCaps/>
          <w:lang w:val="es-ES_tradnl"/>
        </w:rPr>
        <w:t>Efectividad</w:t>
      </w:r>
    </w:p>
    <w:p w14:paraId="2DA6327A" w14:textId="5BEB3228" w:rsidR="00DA03BB" w:rsidRDefault="00DA03BB">
      <w:pPr>
        <w:tabs>
          <w:tab w:val="left" w:pos="1440"/>
          <w:tab w:val="left" w:pos="3060"/>
        </w:tabs>
        <w:spacing w:before="120" w:after="120" w:line="240" w:lineRule="auto"/>
        <w:jc w:val="center"/>
        <w:rPr>
          <w:rFonts w:ascii="Arial" w:hAnsi="Arial" w:cs="Arial"/>
          <w:b/>
          <w:smallCaps/>
          <w:lang w:val="es-ES_tradnl"/>
        </w:rPr>
      </w:pPr>
    </w:p>
    <w:p w14:paraId="64D99857" w14:textId="150F2C6D" w:rsidR="00B11817" w:rsidRPr="009C0E1F" w:rsidRDefault="00361299">
      <w:pPr>
        <w:tabs>
          <w:tab w:val="left" w:pos="1440"/>
          <w:tab w:val="left" w:pos="3060"/>
        </w:tabs>
        <w:spacing w:before="120" w:after="120" w:line="240" w:lineRule="auto"/>
        <w:jc w:val="center"/>
        <w:rPr>
          <w:rFonts w:ascii="Arial" w:hAnsi="Arial" w:cs="Arial"/>
          <w:b/>
          <w:smallCaps/>
          <w:lang w:val="es-ES_tradnl"/>
        </w:rPr>
      </w:pPr>
      <w:r>
        <w:rPr>
          <w:rFonts w:ascii="Arial" w:hAnsi="Arial" w:cs="Arial"/>
          <w:b/>
          <w:smallCaps/>
          <w:lang w:val="es-ES_tradnl"/>
        </w:rPr>
        <w:t xml:space="preserve">JUNIO </w:t>
      </w:r>
      <w:r w:rsidR="00B11817">
        <w:rPr>
          <w:rFonts w:ascii="Arial" w:hAnsi="Arial" w:cs="Arial"/>
          <w:b/>
          <w:smallCaps/>
          <w:lang w:val="es-ES_tradnl"/>
        </w:rPr>
        <w:t>202</w:t>
      </w:r>
      <w:r w:rsidR="00E24E5D">
        <w:rPr>
          <w:rFonts w:ascii="Arial" w:hAnsi="Arial" w:cs="Arial"/>
          <w:b/>
          <w:smallCaps/>
          <w:lang w:val="es-ES_tradnl"/>
        </w:rPr>
        <w:t>2</w:t>
      </w:r>
    </w:p>
    <w:p w14:paraId="6B354F69" w14:textId="77777777" w:rsidR="00F10D9A" w:rsidRPr="009C0E1F" w:rsidRDefault="00F10D9A">
      <w:pPr>
        <w:spacing w:before="120" w:after="120" w:line="240" w:lineRule="auto"/>
        <w:jc w:val="center"/>
        <w:rPr>
          <w:rFonts w:ascii="Arial" w:hAnsi="Arial" w:cs="Arial"/>
          <w:lang w:val="es-ES_tradnl"/>
        </w:rPr>
      </w:pPr>
    </w:p>
    <w:p w14:paraId="7734545F" w14:textId="77777777" w:rsidR="00F10D9A" w:rsidRPr="009C0E1F" w:rsidRDefault="00F10D9A">
      <w:pPr>
        <w:spacing w:before="120" w:after="120" w:line="240" w:lineRule="auto"/>
        <w:jc w:val="center"/>
        <w:rPr>
          <w:rFonts w:ascii="Arial" w:hAnsi="Arial" w:cs="Arial"/>
          <w:lang w:val="es-ES_tradnl"/>
        </w:rPr>
      </w:pPr>
    </w:p>
    <w:p w14:paraId="5E84711A" w14:textId="77777777" w:rsidR="00F10D9A" w:rsidRPr="009C0E1F" w:rsidRDefault="00F10D9A">
      <w:pPr>
        <w:spacing w:before="120" w:after="120" w:line="240" w:lineRule="auto"/>
        <w:jc w:val="center"/>
        <w:rPr>
          <w:rFonts w:ascii="Arial" w:hAnsi="Arial" w:cs="Arial"/>
          <w:lang w:val="es-ES_tradnl"/>
        </w:rPr>
      </w:pPr>
    </w:p>
    <w:p w14:paraId="19F3E29E" w14:textId="77777777" w:rsidR="00F10D9A" w:rsidRPr="009C0E1F" w:rsidRDefault="00F10D9A">
      <w:pPr>
        <w:spacing w:before="120" w:after="120" w:line="240" w:lineRule="auto"/>
        <w:jc w:val="center"/>
        <w:rPr>
          <w:rFonts w:ascii="Arial" w:hAnsi="Arial" w:cs="Arial"/>
          <w:lang w:val="es-ES_tradnl"/>
        </w:rPr>
      </w:pPr>
    </w:p>
    <w:p w14:paraId="3C4977A7" w14:textId="4793E454" w:rsidR="00F10D9A" w:rsidRPr="009C0E1F" w:rsidRDefault="00F10D9A">
      <w:pPr>
        <w:spacing w:before="120" w:after="120" w:line="240" w:lineRule="auto"/>
        <w:jc w:val="center"/>
        <w:rPr>
          <w:rFonts w:ascii="Arial" w:hAnsi="Arial" w:cs="Arial"/>
          <w:lang w:val="es-ES_tradnl"/>
        </w:rPr>
      </w:pPr>
    </w:p>
    <w:p w14:paraId="0FAB4628" w14:textId="38AF25A1" w:rsidR="00211A18" w:rsidRPr="009C0E1F" w:rsidRDefault="00211A18">
      <w:pPr>
        <w:spacing w:before="120" w:after="120" w:line="240" w:lineRule="auto"/>
        <w:jc w:val="center"/>
        <w:rPr>
          <w:rFonts w:ascii="Arial" w:hAnsi="Arial" w:cs="Arial"/>
          <w:lang w:val="es-ES_tradnl"/>
        </w:rPr>
      </w:pPr>
    </w:p>
    <w:p w14:paraId="324354B3" w14:textId="5C152E3E" w:rsidR="00211A18" w:rsidRPr="009C0E1F" w:rsidRDefault="00211A18">
      <w:pPr>
        <w:spacing w:before="120" w:after="120" w:line="240" w:lineRule="auto"/>
        <w:jc w:val="center"/>
        <w:rPr>
          <w:rFonts w:ascii="Arial" w:hAnsi="Arial" w:cs="Arial"/>
          <w:lang w:val="es-ES_tradnl"/>
        </w:rPr>
      </w:pPr>
    </w:p>
    <w:p w14:paraId="6C4FA8D6" w14:textId="470D141A" w:rsidR="00211A18" w:rsidRPr="009C0E1F" w:rsidRDefault="00211A18">
      <w:pPr>
        <w:spacing w:before="120" w:after="120" w:line="240" w:lineRule="auto"/>
        <w:jc w:val="center"/>
        <w:rPr>
          <w:rFonts w:ascii="Arial" w:hAnsi="Arial" w:cs="Arial"/>
          <w:lang w:val="es-ES_tradnl"/>
        </w:rPr>
      </w:pPr>
    </w:p>
    <w:tbl>
      <w:tblPr>
        <w:tblStyle w:val="TableGrid"/>
        <w:tblW w:w="0" w:type="auto"/>
        <w:tblLook w:val="04A0" w:firstRow="1" w:lastRow="0" w:firstColumn="1" w:lastColumn="0" w:noHBand="0" w:noVBand="1"/>
      </w:tblPr>
      <w:tblGrid>
        <w:gridCol w:w="9102"/>
      </w:tblGrid>
      <w:tr w:rsidR="00F10D9A" w:rsidRPr="00CA6AA4" w14:paraId="246A2942" w14:textId="77777777" w:rsidTr="00122A1D">
        <w:tc>
          <w:tcPr>
            <w:tcW w:w="9102" w:type="dxa"/>
          </w:tcPr>
          <w:p w14:paraId="72899D73" w14:textId="21D8F88D" w:rsidR="00F10D9A" w:rsidRPr="009C0E1F" w:rsidRDefault="007E781F" w:rsidP="005D44DB">
            <w:pPr>
              <w:spacing w:before="120" w:after="120"/>
              <w:jc w:val="both"/>
              <w:rPr>
                <w:rFonts w:ascii="Arial" w:hAnsi="Arial" w:cs="Arial"/>
                <w:lang w:val="es-ES_tradnl"/>
              </w:rPr>
            </w:pPr>
            <w:r w:rsidRPr="009C0E1F">
              <w:rPr>
                <w:rFonts w:ascii="Arial" w:hAnsi="Arial" w:cs="Arial"/>
                <w:color w:val="000000"/>
                <w:lang w:val="es-ES_tradnl"/>
              </w:rPr>
              <w:t xml:space="preserve">Este documento fue preparado por el equipo de proyecto compuesto por: </w:t>
            </w:r>
            <w:r w:rsidR="008E49E1">
              <w:rPr>
                <w:rFonts w:ascii="Arial" w:hAnsi="Arial" w:cs="Arial"/>
                <w:color w:val="000000"/>
                <w:lang w:val="es-ES_tradnl"/>
              </w:rPr>
              <w:t xml:space="preserve">Jorge Baca Campodónico </w:t>
            </w:r>
            <w:r w:rsidRPr="009C0E1F">
              <w:rPr>
                <w:rFonts w:ascii="Arial" w:hAnsi="Arial" w:cs="Arial"/>
                <w:color w:val="000000"/>
                <w:lang w:val="es-ES_tradnl"/>
              </w:rPr>
              <w:t>(Consultor independiente</w:t>
            </w:r>
            <w:r w:rsidR="001214C6" w:rsidRPr="009C0E1F">
              <w:rPr>
                <w:rFonts w:ascii="Arial" w:hAnsi="Arial" w:cs="Arial"/>
                <w:color w:val="000000"/>
                <w:lang w:val="es-ES_tradnl"/>
              </w:rPr>
              <w:t>)</w:t>
            </w:r>
            <w:r w:rsidRPr="009C0E1F">
              <w:rPr>
                <w:rFonts w:ascii="Arial" w:hAnsi="Arial" w:cs="Arial"/>
                <w:color w:val="000000"/>
                <w:lang w:val="es-ES_tradnl"/>
              </w:rPr>
              <w:t xml:space="preserve"> en cooperación con </w:t>
            </w:r>
            <w:r w:rsidR="008E49E1">
              <w:rPr>
                <w:rFonts w:ascii="Arial" w:hAnsi="Arial" w:cs="Arial"/>
                <w:color w:val="000000"/>
                <w:lang w:val="es-ES_tradnl"/>
              </w:rPr>
              <w:t>Oscar Lora Rocha</w:t>
            </w:r>
            <w:r w:rsidR="001803BA" w:rsidRPr="009C0E1F">
              <w:rPr>
                <w:rFonts w:ascii="Arial" w:hAnsi="Arial" w:cs="Arial"/>
                <w:color w:val="000000"/>
                <w:lang w:val="es-ES_tradnl"/>
              </w:rPr>
              <w:t xml:space="preserve"> (IFD/FMM)</w:t>
            </w:r>
            <w:r w:rsidR="00011F2C" w:rsidRPr="009C0E1F">
              <w:rPr>
                <w:rFonts w:ascii="Arial" w:hAnsi="Arial" w:cs="Arial"/>
                <w:color w:val="000000"/>
                <w:lang w:val="es-ES_tradnl"/>
              </w:rPr>
              <w:t xml:space="preserve">, Luis </w:t>
            </w:r>
            <w:r w:rsidR="00A74AEF" w:rsidRPr="009C0E1F">
              <w:rPr>
                <w:rFonts w:ascii="Arial" w:hAnsi="Arial" w:cs="Arial"/>
                <w:color w:val="000000"/>
                <w:lang w:val="es-ES_tradnl"/>
              </w:rPr>
              <w:t>Alejos</w:t>
            </w:r>
            <w:r w:rsidR="00011F2C" w:rsidRPr="009C0E1F">
              <w:rPr>
                <w:rFonts w:ascii="Arial" w:hAnsi="Arial" w:cs="Arial"/>
                <w:color w:val="000000"/>
                <w:lang w:val="es-ES_tradnl"/>
              </w:rPr>
              <w:t xml:space="preserve"> (IFD/FMM)</w:t>
            </w:r>
            <w:r w:rsidR="00176DF0" w:rsidRPr="009C0E1F">
              <w:rPr>
                <w:rFonts w:ascii="Arial" w:hAnsi="Arial" w:cs="Arial"/>
                <w:color w:val="000000"/>
                <w:lang w:val="es-ES_tradnl"/>
              </w:rPr>
              <w:t xml:space="preserve"> y </w:t>
            </w:r>
            <w:r w:rsidR="00211A18" w:rsidRPr="009C0E1F">
              <w:rPr>
                <w:rFonts w:ascii="Arial" w:hAnsi="Arial" w:cs="Arial"/>
                <w:color w:val="000000"/>
                <w:lang w:val="es-ES_tradnl"/>
              </w:rPr>
              <w:t>Wladimir Zanoni (SPD/SDV).</w:t>
            </w:r>
          </w:p>
        </w:tc>
      </w:tr>
    </w:tbl>
    <w:p w14:paraId="17BD92C9" w14:textId="77777777" w:rsidR="00F10D9A" w:rsidRPr="009C0E1F" w:rsidRDefault="00F10D9A" w:rsidP="00122A1D">
      <w:pPr>
        <w:ind w:left="720"/>
        <w:rPr>
          <w:rFonts w:ascii="Arial" w:hAnsi="Arial" w:cs="Arial"/>
          <w:lang w:val="es-ES_tradnl"/>
        </w:rPr>
      </w:pPr>
    </w:p>
    <w:p w14:paraId="5EB4D946" w14:textId="77777777" w:rsidR="00F10D9A" w:rsidRPr="009C0E1F" w:rsidRDefault="007E781F" w:rsidP="00122A1D">
      <w:pPr>
        <w:ind w:left="720"/>
        <w:rPr>
          <w:rFonts w:ascii="Arial" w:hAnsi="Arial" w:cs="Arial"/>
          <w:lang w:val="es-ES_tradnl"/>
        </w:rPr>
        <w:sectPr w:rsidR="00F10D9A" w:rsidRPr="009C0E1F">
          <w:headerReference w:type="default" r:id="rId13"/>
          <w:footerReference w:type="default" r:id="rId14"/>
          <w:pgSz w:w="11906" w:h="16838"/>
          <w:pgMar w:top="994" w:right="1440" w:bottom="1166" w:left="1354" w:header="720" w:footer="720" w:gutter="0"/>
          <w:pgNumType w:start="1"/>
          <w:cols w:space="720"/>
          <w:titlePg/>
          <w:docGrid w:linePitch="360"/>
        </w:sectPr>
      </w:pPr>
      <w:r w:rsidRPr="009C0E1F">
        <w:rPr>
          <w:rFonts w:ascii="Arial" w:hAnsi="Arial" w:cs="Arial"/>
          <w:lang w:val="es-ES_tradnl"/>
        </w:rPr>
        <w:br w:type="page"/>
      </w:r>
    </w:p>
    <w:p w14:paraId="5B002B5E" w14:textId="77777777" w:rsidR="00F10D9A" w:rsidRPr="009C0E1F" w:rsidRDefault="00F10D9A" w:rsidP="00122A1D">
      <w:pPr>
        <w:ind w:left="720"/>
        <w:rPr>
          <w:rFonts w:ascii="Arial" w:hAnsi="Arial" w:cs="Arial"/>
          <w:lang w:val="es-ES_tradnl"/>
        </w:rPr>
      </w:pPr>
    </w:p>
    <w:p w14:paraId="308CA64B" w14:textId="77777777" w:rsidR="00F10D9A" w:rsidRPr="009C0E1F" w:rsidRDefault="00F10D9A" w:rsidP="00122A1D">
      <w:pPr>
        <w:ind w:left="720"/>
        <w:rPr>
          <w:rFonts w:ascii="Arial" w:hAnsi="Arial" w:cs="Arial"/>
          <w:lang w:val="es-ES_tradnl"/>
        </w:rPr>
      </w:pPr>
    </w:p>
    <w:sdt>
      <w:sdtPr>
        <w:rPr>
          <w:rFonts w:ascii="Arial" w:hAnsi="Arial" w:cs="Arial"/>
          <w:lang w:val="es-ES_tradnl"/>
        </w:rPr>
        <w:id w:val="2121254010"/>
        <w:docPartObj>
          <w:docPartGallery w:val="Table of Contents"/>
          <w:docPartUnique/>
        </w:docPartObj>
      </w:sdtPr>
      <w:sdtEndPr>
        <w:rPr>
          <w:b/>
          <w:bCs/>
        </w:rPr>
      </w:sdtEndPr>
      <w:sdtContent>
        <w:p w14:paraId="1ED4495D" w14:textId="49D218C6" w:rsidR="00F10D9A" w:rsidRPr="009C0E1F" w:rsidRDefault="007E781F" w:rsidP="00122A1D">
          <w:pPr>
            <w:ind w:left="720"/>
            <w:rPr>
              <w:rFonts w:ascii="Arial" w:hAnsi="Arial" w:cs="Arial"/>
              <w:b/>
              <w:smallCaps/>
              <w:lang w:val="es-ES_tradnl"/>
            </w:rPr>
          </w:pPr>
          <w:r w:rsidRPr="009C0E1F">
            <w:rPr>
              <w:rFonts w:ascii="Arial" w:hAnsi="Arial" w:cs="Arial"/>
              <w:b/>
              <w:lang w:val="es-ES_tradnl"/>
            </w:rPr>
            <w:t>Contenido</w:t>
          </w:r>
        </w:p>
        <w:p w14:paraId="78724475" w14:textId="0CB68280" w:rsidR="00DA1617" w:rsidRPr="00F6040A" w:rsidRDefault="007E781F">
          <w:pPr>
            <w:pStyle w:val="TOC1"/>
            <w:rPr>
              <w:rFonts w:ascii="Arial" w:hAnsi="Arial" w:cs="Arial"/>
              <w:noProof/>
            </w:rPr>
          </w:pPr>
          <w:r w:rsidRPr="009C0E1F">
            <w:rPr>
              <w:rFonts w:ascii="Arial" w:hAnsi="Arial" w:cs="Arial"/>
              <w:lang w:val="es-ES_tradnl"/>
            </w:rPr>
            <w:fldChar w:fldCharType="begin"/>
          </w:r>
          <w:r w:rsidRPr="009C0E1F">
            <w:rPr>
              <w:rFonts w:ascii="Arial" w:hAnsi="Arial" w:cs="Arial"/>
              <w:lang w:val="es-ES_tradnl"/>
            </w:rPr>
            <w:instrText xml:space="preserve"> TOC \o "1-3" \h \z \u </w:instrText>
          </w:r>
          <w:r w:rsidRPr="009C0E1F">
            <w:rPr>
              <w:rFonts w:ascii="Arial" w:hAnsi="Arial" w:cs="Arial"/>
              <w:lang w:val="es-ES_tradnl"/>
            </w:rPr>
            <w:fldChar w:fldCharType="separate"/>
          </w:r>
          <w:hyperlink w:anchor="_Toc30183889" w:history="1">
            <w:r w:rsidR="00DA1617" w:rsidRPr="00F6040A">
              <w:rPr>
                <w:rStyle w:val="Hyperlink"/>
                <w:rFonts w:ascii="Arial" w:hAnsi="Arial" w:cs="Arial"/>
                <w:noProof/>
                <w:lang w:val="es-ES_tradnl"/>
              </w:rPr>
              <w:t>I.</w:t>
            </w:r>
            <w:r w:rsidR="00DA1617" w:rsidRPr="00F6040A">
              <w:rPr>
                <w:rFonts w:ascii="Arial" w:hAnsi="Arial" w:cs="Arial"/>
                <w:noProof/>
              </w:rPr>
              <w:tab/>
            </w:r>
            <w:r w:rsidR="00DA1617" w:rsidRPr="00F6040A">
              <w:rPr>
                <w:rStyle w:val="Hyperlink"/>
                <w:rFonts w:ascii="Arial" w:hAnsi="Arial" w:cs="Arial"/>
                <w:noProof/>
                <w:lang w:val="es-ES_tradnl"/>
              </w:rPr>
              <w:t>Resumen Ejecutivo</w:t>
            </w:r>
            <w:r w:rsidR="00DA1617" w:rsidRPr="00F6040A">
              <w:rPr>
                <w:rFonts w:ascii="Arial" w:hAnsi="Arial" w:cs="Arial"/>
                <w:noProof/>
                <w:webHidden/>
              </w:rPr>
              <w:tab/>
            </w:r>
            <w:r w:rsidR="00DA1617" w:rsidRPr="00F6040A">
              <w:rPr>
                <w:rFonts w:ascii="Arial" w:hAnsi="Arial" w:cs="Arial"/>
                <w:noProof/>
                <w:webHidden/>
              </w:rPr>
              <w:fldChar w:fldCharType="begin"/>
            </w:r>
            <w:r w:rsidR="00DA1617" w:rsidRPr="00F6040A">
              <w:rPr>
                <w:rFonts w:ascii="Arial" w:hAnsi="Arial" w:cs="Arial"/>
                <w:noProof/>
                <w:webHidden/>
              </w:rPr>
              <w:instrText xml:space="preserve"> PAGEREF _Toc30183889 \h </w:instrText>
            </w:r>
            <w:r w:rsidR="00DA1617" w:rsidRPr="00F6040A">
              <w:rPr>
                <w:rFonts w:ascii="Arial" w:hAnsi="Arial" w:cs="Arial"/>
                <w:noProof/>
                <w:webHidden/>
              </w:rPr>
            </w:r>
            <w:r w:rsidR="00DA1617" w:rsidRPr="00F6040A">
              <w:rPr>
                <w:rFonts w:ascii="Arial" w:hAnsi="Arial" w:cs="Arial"/>
                <w:noProof/>
                <w:webHidden/>
              </w:rPr>
              <w:fldChar w:fldCharType="separate"/>
            </w:r>
            <w:r w:rsidR="00DA1617" w:rsidRPr="00F6040A">
              <w:rPr>
                <w:rFonts w:ascii="Arial" w:hAnsi="Arial" w:cs="Arial"/>
                <w:noProof/>
                <w:webHidden/>
              </w:rPr>
              <w:t>4</w:t>
            </w:r>
            <w:r w:rsidR="00DA1617" w:rsidRPr="00F6040A">
              <w:rPr>
                <w:rFonts w:ascii="Arial" w:hAnsi="Arial" w:cs="Arial"/>
                <w:noProof/>
                <w:webHidden/>
              </w:rPr>
              <w:fldChar w:fldCharType="end"/>
            </w:r>
          </w:hyperlink>
        </w:p>
        <w:p w14:paraId="52B92DB8" w14:textId="0D09ECA9" w:rsidR="00DA1617" w:rsidRPr="00F6040A" w:rsidRDefault="00CA6AA4">
          <w:pPr>
            <w:pStyle w:val="TOC1"/>
            <w:rPr>
              <w:rFonts w:ascii="Arial" w:hAnsi="Arial" w:cs="Arial"/>
              <w:noProof/>
            </w:rPr>
          </w:pPr>
          <w:hyperlink w:anchor="_Toc30183890" w:history="1">
            <w:r w:rsidR="00DA1617" w:rsidRPr="00F6040A">
              <w:rPr>
                <w:rStyle w:val="Hyperlink"/>
                <w:rFonts w:ascii="Arial" w:hAnsi="Arial" w:cs="Arial"/>
                <w:bCs/>
                <w:noProof/>
                <w:lang w:val="es-ES_tradnl"/>
              </w:rPr>
              <w:t>II.</w:t>
            </w:r>
            <w:r w:rsidR="00DA1617" w:rsidRPr="00F6040A">
              <w:rPr>
                <w:rFonts w:ascii="Arial" w:hAnsi="Arial" w:cs="Arial"/>
                <w:noProof/>
              </w:rPr>
              <w:tab/>
            </w:r>
            <w:r w:rsidR="00DA1617" w:rsidRPr="00F6040A">
              <w:rPr>
                <w:rStyle w:val="Hyperlink"/>
                <w:rFonts w:ascii="Arial" w:hAnsi="Arial" w:cs="Arial"/>
                <w:noProof/>
                <w:lang w:val="es-ES_tradnl"/>
              </w:rPr>
              <w:t>Antecedentes.</w:t>
            </w:r>
            <w:r w:rsidR="00DA1617" w:rsidRPr="00F6040A">
              <w:rPr>
                <w:rFonts w:ascii="Arial" w:hAnsi="Arial" w:cs="Arial"/>
                <w:noProof/>
                <w:webHidden/>
              </w:rPr>
              <w:tab/>
            </w:r>
            <w:r w:rsidR="00DA1617" w:rsidRPr="00F6040A">
              <w:rPr>
                <w:rFonts w:ascii="Arial" w:hAnsi="Arial" w:cs="Arial"/>
                <w:noProof/>
                <w:webHidden/>
              </w:rPr>
              <w:fldChar w:fldCharType="begin"/>
            </w:r>
            <w:r w:rsidR="00DA1617" w:rsidRPr="00F6040A">
              <w:rPr>
                <w:rFonts w:ascii="Arial" w:hAnsi="Arial" w:cs="Arial"/>
                <w:noProof/>
                <w:webHidden/>
              </w:rPr>
              <w:instrText xml:space="preserve"> PAGEREF _Toc30183890 \h </w:instrText>
            </w:r>
            <w:r w:rsidR="00DA1617" w:rsidRPr="00F6040A">
              <w:rPr>
                <w:rFonts w:ascii="Arial" w:hAnsi="Arial" w:cs="Arial"/>
                <w:noProof/>
                <w:webHidden/>
              </w:rPr>
            </w:r>
            <w:r w:rsidR="00DA1617" w:rsidRPr="00F6040A">
              <w:rPr>
                <w:rFonts w:ascii="Arial" w:hAnsi="Arial" w:cs="Arial"/>
                <w:noProof/>
                <w:webHidden/>
              </w:rPr>
              <w:fldChar w:fldCharType="separate"/>
            </w:r>
            <w:r w:rsidR="00DA1617" w:rsidRPr="00F6040A">
              <w:rPr>
                <w:rFonts w:ascii="Arial" w:hAnsi="Arial" w:cs="Arial"/>
                <w:noProof/>
                <w:webHidden/>
              </w:rPr>
              <w:t>7</w:t>
            </w:r>
            <w:r w:rsidR="00DA1617" w:rsidRPr="00F6040A">
              <w:rPr>
                <w:rFonts w:ascii="Arial" w:hAnsi="Arial" w:cs="Arial"/>
                <w:noProof/>
                <w:webHidden/>
              </w:rPr>
              <w:fldChar w:fldCharType="end"/>
            </w:r>
          </w:hyperlink>
        </w:p>
        <w:p w14:paraId="251BD75E" w14:textId="36F69928" w:rsidR="00DA1617" w:rsidRPr="00F6040A" w:rsidRDefault="00CA6AA4">
          <w:pPr>
            <w:pStyle w:val="TOC1"/>
            <w:rPr>
              <w:rFonts w:ascii="Arial" w:hAnsi="Arial" w:cs="Arial"/>
              <w:noProof/>
            </w:rPr>
          </w:pPr>
          <w:hyperlink w:anchor="_Toc30183891" w:history="1">
            <w:r w:rsidR="00DA1617" w:rsidRPr="00F6040A">
              <w:rPr>
                <w:rStyle w:val="Hyperlink"/>
                <w:rFonts w:ascii="Arial" w:hAnsi="Arial" w:cs="Arial"/>
                <w:noProof/>
                <w:lang w:val="es-ES_tradnl"/>
              </w:rPr>
              <w:t>III.</w:t>
            </w:r>
            <w:r w:rsidR="00DA1617" w:rsidRPr="00F6040A">
              <w:rPr>
                <w:rFonts w:ascii="Arial" w:hAnsi="Arial" w:cs="Arial"/>
                <w:noProof/>
              </w:rPr>
              <w:tab/>
            </w:r>
            <w:r w:rsidR="00DA1617" w:rsidRPr="00F6040A">
              <w:rPr>
                <w:rStyle w:val="Hyperlink"/>
                <w:rFonts w:ascii="Arial" w:hAnsi="Arial" w:cs="Arial"/>
                <w:noProof/>
                <w:lang w:val="es-ES_tradnl"/>
              </w:rPr>
              <w:t>Situación Actual y Línea de Base</w:t>
            </w:r>
            <w:r w:rsidR="00DA1617" w:rsidRPr="00F6040A">
              <w:rPr>
                <w:rFonts w:ascii="Arial" w:hAnsi="Arial" w:cs="Arial"/>
                <w:noProof/>
                <w:webHidden/>
              </w:rPr>
              <w:tab/>
            </w:r>
            <w:r w:rsidR="00DA1617" w:rsidRPr="00F6040A">
              <w:rPr>
                <w:rFonts w:ascii="Arial" w:hAnsi="Arial" w:cs="Arial"/>
                <w:noProof/>
                <w:webHidden/>
              </w:rPr>
              <w:fldChar w:fldCharType="begin"/>
            </w:r>
            <w:r w:rsidR="00DA1617" w:rsidRPr="00F6040A">
              <w:rPr>
                <w:rFonts w:ascii="Arial" w:hAnsi="Arial" w:cs="Arial"/>
                <w:noProof/>
                <w:webHidden/>
              </w:rPr>
              <w:instrText xml:space="preserve"> PAGEREF _Toc30183891 \h </w:instrText>
            </w:r>
            <w:r w:rsidR="00DA1617" w:rsidRPr="00F6040A">
              <w:rPr>
                <w:rFonts w:ascii="Arial" w:hAnsi="Arial" w:cs="Arial"/>
                <w:noProof/>
                <w:webHidden/>
              </w:rPr>
            </w:r>
            <w:r w:rsidR="00DA1617" w:rsidRPr="00F6040A">
              <w:rPr>
                <w:rFonts w:ascii="Arial" w:hAnsi="Arial" w:cs="Arial"/>
                <w:noProof/>
                <w:webHidden/>
              </w:rPr>
              <w:fldChar w:fldCharType="separate"/>
            </w:r>
            <w:r w:rsidR="00DA1617" w:rsidRPr="00F6040A">
              <w:rPr>
                <w:rFonts w:ascii="Arial" w:hAnsi="Arial" w:cs="Arial"/>
                <w:noProof/>
                <w:webHidden/>
              </w:rPr>
              <w:t>8</w:t>
            </w:r>
            <w:r w:rsidR="00DA1617" w:rsidRPr="00F6040A">
              <w:rPr>
                <w:rFonts w:ascii="Arial" w:hAnsi="Arial" w:cs="Arial"/>
                <w:noProof/>
                <w:webHidden/>
              </w:rPr>
              <w:fldChar w:fldCharType="end"/>
            </w:r>
          </w:hyperlink>
        </w:p>
        <w:p w14:paraId="3821FDBA" w14:textId="6FECDA3B" w:rsidR="00DA1617" w:rsidRPr="00F6040A" w:rsidRDefault="00CA6AA4">
          <w:pPr>
            <w:pStyle w:val="TOC1"/>
            <w:tabs>
              <w:tab w:val="left" w:pos="880"/>
            </w:tabs>
            <w:rPr>
              <w:rFonts w:ascii="Arial" w:hAnsi="Arial" w:cs="Arial"/>
              <w:noProof/>
            </w:rPr>
          </w:pPr>
          <w:hyperlink w:anchor="_Toc30183892" w:history="1">
            <w:r w:rsidR="00DA1617" w:rsidRPr="00F6040A">
              <w:rPr>
                <w:rStyle w:val="Hyperlink"/>
                <w:rFonts w:ascii="Arial" w:hAnsi="Arial" w:cs="Arial"/>
                <w:noProof/>
                <w:lang w:val="es-ES_tradnl"/>
              </w:rPr>
              <w:t>IV.</w:t>
            </w:r>
            <w:r w:rsidR="00DA1617" w:rsidRPr="00F6040A">
              <w:rPr>
                <w:rFonts w:ascii="Arial" w:hAnsi="Arial" w:cs="Arial"/>
                <w:noProof/>
              </w:rPr>
              <w:tab/>
            </w:r>
            <w:r w:rsidR="00DA1617" w:rsidRPr="00F6040A">
              <w:rPr>
                <w:rStyle w:val="Hyperlink"/>
                <w:rFonts w:ascii="Arial" w:hAnsi="Arial" w:cs="Arial"/>
                <w:noProof/>
                <w:lang w:val="es-ES_tradnl"/>
              </w:rPr>
              <w:t>Presupuesto de los Componentes y Productos del Programa</w:t>
            </w:r>
            <w:r w:rsidR="00DA1617" w:rsidRPr="00F6040A">
              <w:rPr>
                <w:rFonts w:ascii="Arial" w:hAnsi="Arial" w:cs="Arial"/>
                <w:noProof/>
                <w:webHidden/>
              </w:rPr>
              <w:tab/>
            </w:r>
            <w:r w:rsidR="00DA1617" w:rsidRPr="00F6040A">
              <w:rPr>
                <w:rFonts w:ascii="Arial" w:hAnsi="Arial" w:cs="Arial"/>
                <w:noProof/>
                <w:webHidden/>
              </w:rPr>
              <w:fldChar w:fldCharType="begin"/>
            </w:r>
            <w:r w:rsidR="00DA1617" w:rsidRPr="00F6040A">
              <w:rPr>
                <w:rFonts w:ascii="Arial" w:hAnsi="Arial" w:cs="Arial"/>
                <w:noProof/>
                <w:webHidden/>
              </w:rPr>
              <w:instrText xml:space="preserve"> PAGEREF _Toc30183892 \h </w:instrText>
            </w:r>
            <w:r w:rsidR="00DA1617" w:rsidRPr="00F6040A">
              <w:rPr>
                <w:rFonts w:ascii="Arial" w:hAnsi="Arial" w:cs="Arial"/>
                <w:noProof/>
                <w:webHidden/>
              </w:rPr>
            </w:r>
            <w:r w:rsidR="00DA1617" w:rsidRPr="00F6040A">
              <w:rPr>
                <w:rFonts w:ascii="Arial" w:hAnsi="Arial" w:cs="Arial"/>
                <w:noProof/>
                <w:webHidden/>
              </w:rPr>
              <w:fldChar w:fldCharType="separate"/>
            </w:r>
            <w:r w:rsidR="00DA1617" w:rsidRPr="00F6040A">
              <w:rPr>
                <w:rFonts w:ascii="Arial" w:hAnsi="Arial" w:cs="Arial"/>
                <w:noProof/>
                <w:webHidden/>
              </w:rPr>
              <w:t>11</w:t>
            </w:r>
            <w:r w:rsidR="00DA1617" w:rsidRPr="00F6040A">
              <w:rPr>
                <w:rFonts w:ascii="Arial" w:hAnsi="Arial" w:cs="Arial"/>
                <w:noProof/>
                <w:webHidden/>
              </w:rPr>
              <w:fldChar w:fldCharType="end"/>
            </w:r>
          </w:hyperlink>
        </w:p>
        <w:p w14:paraId="0B0F947A" w14:textId="63253409" w:rsidR="00DA1617" w:rsidRPr="00F6040A" w:rsidRDefault="00CA6AA4">
          <w:pPr>
            <w:pStyle w:val="TOC1"/>
            <w:rPr>
              <w:rFonts w:ascii="Arial" w:hAnsi="Arial" w:cs="Arial"/>
              <w:noProof/>
            </w:rPr>
          </w:pPr>
          <w:hyperlink w:anchor="_Toc30183898" w:history="1">
            <w:r w:rsidR="00DA1617" w:rsidRPr="00F6040A">
              <w:rPr>
                <w:rStyle w:val="Hyperlink"/>
                <w:rFonts w:ascii="Arial" w:hAnsi="Arial" w:cs="Arial"/>
                <w:noProof/>
                <w:lang w:val="es-ES_tradnl"/>
              </w:rPr>
              <w:t>V.</w:t>
            </w:r>
            <w:r w:rsidR="00DA1617" w:rsidRPr="00F6040A">
              <w:rPr>
                <w:rFonts w:ascii="Arial" w:hAnsi="Arial" w:cs="Arial"/>
                <w:noProof/>
              </w:rPr>
              <w:tab/>
            </w:r>
            <w:r w:rsidR="00DA1617" w:rsidRPr="00F6040A">
              <w:rPr>
                <w:rStyle w:val="Hyperlink"/>
                <w:rFonts w:ascii="Arial" w:hAnsi="Arial" w:cs="Arial"/>
                <w:noProof/>
                <w:lang w:val="es-ES_tradnl"/>
              </w:rPr>
              <w:t>Cálculo de la Efectividad</w:t>
            </w:r>
            <w:r w:rsidR="00DA1617" w:rsidRPr="00F6040A">
              <w:rPr>
                <w:rFonts w:ascii="Arial" w:hAnsi="Arial" w:cs="Arial"/>
                <w:noProof/>
                <w:webHidden/>
              </w:rPr>
              <w:tab/>
            </w:r>
            <w:r w:rsidR="00DA1617" w:rsidRPr="00F6040A">
              <w:rPr>
                <w:rFonts w:ascii="Arial" w:hAnsi="Arial" w:cs="Arial"/>
                <w:noProof/>
                <w:webHidden/>
              </w:rPr>
              <w:fldChar w:fldCharType="begin"/>
            </w:r>
            <w:r w:rsidR="00DA1617" w:rsidRPr="00F6040A">
              <w:rPr>
                <w:rFonts w:ascii="Arial" w:hAnsi="Arial" w:cs="Arial"/>
                <w:noProof/>
                <w:webHidden/>
              </w:rPr>
              <w:instrText xml:space="preserve"> PAGEREF _Toc30183898 \h </w:instrText>
            </w:r>
            <w:r w:rsidR="00DA1617" w:rsidRPr="00F6040A">
              <w:rPr>
                <w:rFonts w:ascii="Arial" w:hAnsi="Arial" w:cs="Arial"/>
                <w:noProof/>
                <w:webHidden/>
              </w:rPr>
            </w:r>
            <w:r w:rsidR="00DA1617" w:rsidRPr="00F6040A">
              <w:rPr>
                <w:rFonts w:ascii="Arial" w:hAnsi="Arial" w:cs="Arial"/>
                <w:noProof/>
                <w:webHidden/>
              </w:rPr>
              <w:fldChar w:fldCharType="separate"/>
            </w:r>
            <w:r w:rsidR="00DA1617" w:rsidRPr="00F6040A">
              <w:rPr>
                <w:rFonts w:ascii="Arial" w:hAnsi="Arial" w:cs="Arial"/>
                <w:noProof/>
                <w:webHidden/>
              </w:rPr>
              <w:t>16</w:t>
            </w:r>
            <w:r w:rsidR="00DA1617" w:rsidRPr="00F6040A">
              <w:rPr>
                <w:rFonts w:ascii="Arial" w:hAnsi="Arial" w:cs="Arial"/>
                <w:noProof/>
                <w:webHidden/>
              </w:rPr>
              <w:fldChar w:fldCharType="end"/>
            </w:r>
          </w:hyperlink>
        </w:p>
        <w:p w14:paraId="6FBFBFDE" w14:textId="3078FBE3" w:rsidR="00DA1617" w:rsidRPr="00F6040A" w:rsidRDefault="00CA6AA4">
          <w:pPr>
            <w:pStyle w:val="TOC1"/>
            <w:tabs>
              <w:tab w:val="left" w:pos="880"/>
            </w:tabs>
            <w:rPr>
              <w:rFonts w:ascii="Arial" w:hAnsi="Arial" w:cs="Arial"/>
              <w:noProof/>
            </w:rPr>
          </w:pPr>
          <w:hyperlink w:anchor="_Toc30183899" w:history="1">
            <w:r w:rsidR="00DA1617" w:rsidRPr="00F6040A">
              <w:rPr>
                <w:rStyle w:val="Hyperlink"/>
                <w:rFonts w:ascii="Arial" w:hAnsi="Arial" w:cs="Arial"/>
                <w:noProof/>
                <w:lang w:val="es-ES_tradnl"/>
              </w:rPr>
              <w:t>VI.</w:t>
            </w:r>
            <w:r w:rsidR="00DA1617" w:rsidRPr="00F6040A">
              <w:rPr>
                <w:rFonts w:ascii="Arial" w:hAnsi="Arial" w:cs="Arial"/>
                <w:noProof/>
              </w:rPr>
              <w:tab/>
            </w:r>
            <w:r w:rsidR="00DA1617" w:rsidRPr="00F6040A">
              <w:rPr>
                <w:rStyle w:val="Hyperlink"/>
                <w:rFonts w:ascii="Arial" w:hAnsi="Arial" w:cs="Arial"/>
                <w:noProof/>
                <w:lang w:val="es-ES_tradnl"/>
              </w:rPr>
              <w:t>Análisis de Sensibilidad</w:t>
            </w:r>
            <w:r w:rsidR="00DA1617" w:rsidRPr="00F6040A">
              <w:rPr>
                <w:rFonts w:ascii="Arial" w:hAnsi="Arial" w:cs="Arial"/>
                <w:noProof/>
                <w:webHidden/>
              </w:rPr>
              <w:tab/>
            </w:r>
            <w:r w:rsidR="00DA1617" w:rsidRPr="00F6040A">
              <w:rPr>
                <w:rFonts w:ascii="Arial" w:hAnsi="Arial" w:cs="Arial"/>
                <w:noProof/>
                <w:webHidden/>
              </w:rPr>
              <w:fldChar w:fldCharType="begin"/>
            </w:r>
            <w:r w:rsidR="00DA1617" w:rsidRPr="00F6040A">
              <w:rPr>
                <w:rFonts w:ascii="Arial" w:hAnsi="Arial" w:cs="Arial"/>
                <w:noProof/>
                <w:webHidden/>
              </w:rPr>
              <w:instrText xml:space="preserve"> PAGEREF _Toc30183899 \h </w:instrText>
            </w:r>
            <w:r w:rsidR="00DA1617" w:rsidRPr="00F6040A">
              <w:rPr>
                <w:rFonts w:ascii="Arial" w:hAnsi="Arial" w:cs="Arial"/>
                <w:noProof/>
                <w:webHidden/>
              </w:rPr>
            </w:r>
            <w:r w:rsidR="00DA1617" w:rsidRPr="00F6040A">
              <w:rPr>
                <w:rFonts w:ascii="Arial" w:hAnsi="Arial" w:cs="Arial"/>
                <w:noProof/>
                <w:webHidden/>
              </w:rPr>
              <w:fldChar w:fldCharType="separate"/>
            </w:r>
            <w:r w:rsidR="00DA1617" w:rsidRPr="00F6040A">
              <w:rPr>
                <w:rFonts w:ascii="Arial" w:hAnsi="Arial" w:cs="Arial"/>
                <w:noProof/>
                <w:webHidden/>
              </w:rPr>
              <w:t>19</w:t>
            </w:r>
            <w:r w:rsidR="00DA1617" w:rsidRPr="00F6040A">
              <w:rPr>
                <w:rFonts w:ascii="Arial" w:hAnsi="Arial" w:cs="Arial"/>
                <w:noProof/>
                <w:webHidden/>
              </w:rPr>
              <w:fldChar w:fldCharType="end"/>
            </w:r>
          </w:hyperlink>
        </w:p>
        <w:p w14:paraId="2A30A6A7" w14:textId="51F00FA5" w:rsidR="00DA1617" w:rsidRPr="00F6040A" w:rsidRDefault="00CA6AA4">
          <w:pPr>
            <w:pStyle w:val="TOC1"/>
            <w:tabs>
              <w:tab w:val="left" w:pos="880"/>
            </w:tabs>
            <w:rPr>
              <w:rFonts w:ascii="Arial" w:hAnsi="Arial" w:cs="Arial"/>
              <w:noProof/>
            </w:rPr>
          </w:pPr>
          <w:hyperlink w:anchor="_Toc30183900" w:history="1">
            <w:r w:rsidR="00DA1617" w:rsidRPr="00F6040A">
              <w:rPr>
                <w:rStyle w:val="Hyperlink"/>
                <w:rFonts w:ascii="Arial" w:hAnsi="Arial" w:cs="Arial"/>
                <w:noProof/>
                <w:spacing w:val="-2"/>
                <w:lang w:val="es-ES_tradnl"/>
              </w:rPr>
              <w:t>VII.</w:t>
            </w:r>
            <w:r w:rsidR="00DA1617" w:rsidRPr="00F6040A">
              <w:rPr>
                <w:rFonts w:ascii="Arial" w:hAnsi="Arial" w:cs="Arial"/>
                <w:noProof/>
              </w:rPr>
              <w:tab/>
            </w:r>
            <w:r w:rsidR="00DA1617" w:rsidRPr="00F6040A">
              <w:rPr>
                <w:rStyle w:val="Hyperlink"/>
                <w:rFonts w:ascii="Arial" w:hAnsi="Arial" w:cs="Arial"/>
                <w:noProof/>
                <w:lang w:val="es-ES_tradnl"/>
              </w:rPr>
              <w:t>Bibliografía</w:t>
            </w:r>
            <w:r w:rsidR="00DA1617" w:rsidRPr="00F6040A">
              <w:rPr>
                <w:rFonts w:ascii="Arial" w:hAnsi="Arial" w:cs="Arial"/>
                <w:noProof/>
                <w:webHidden/>
              </w:rPr>
              <w:tab/>
            </w:r>
            <w:r w:rsidR="00DA1617" w:rsidRPr="00F6040A">
              <w:rPr>
                <w:rFonts w:ascii="Arial" w:hAnsi="Arial" w:cs="Arial"/>
                <w:noProof/>
                <w:webHidden/>
              </w:rPr>
              <w:fldChar w:fldCharType="begin"/>
            </w:r>
            <w:r w:rsidR="00DA1617" w:rsidRPr="00F6040A">
              <w:rPr>
                <w:rFonts w:ascii="Arial" w:hAnsi="Arial" w:cs="Arial"/>
                <w:noProof/>
                <w:webHidden/>
              </w:rPr>
              <w:instrText xml:space="preserve"> PAGEREF _Toc30183900 \h </w:instrText>
            </w:r>
            <w:r w:rsidR="00DA1617" w:rsidRPr="00F6040A">
              <w:rPr>
                <w:rFonts w:ascii="Arial" w:hAnsi="Arial" w:cs="Arial"/>
                <w:noProof/>
                <w:webHidden/>
              </w:rPr>
            </w:r>
            <w:r w:rsidR="00DA1617" w:rsidRPr="00F6040A">
              <w:rPr>
                <w:rFonts w:ascii="Arial" w:hAnsi="Arial" w:cs="Arial"/>
                <w:noProof/>
                <w:webHidden/>
              </w:rPr>
              <w:fldChar w:fldCharType="separate"/>
            </w:r>
            <w:r w:rsidR="00DA1617" w:rsidRPr="00F6040A">
              <w:rPr>
                <w:rFonts w:ascii="Arial" w:hAnsi="Arial" w:cs="Arial"/>
                <w:noProof/>
                <w:webHidden/>
              </w:rPr>
              <w:t>20</w:t>
            </w:r>
            <w:r w:rsidR="00DA1617" w:rsidRPr="00F6040A">
              <w:rPr>
                <w:rFonts w:ascii="Arial" w:hAnsi="Arial" w:cs="Arial"/>
                <w:noProof/>
                <w:webHidden/>
              </w:rPr>
              <w:fldChar w:fldCharType="end"/>
            </w:r>
          </w:hyperlink>
        </w:p>
        <w:p w14:paraId="27762A03" w14:textId="5521083F" w:rsidR="00DA1617" w:rsidRPr="00F6040A" w:rsidRDefault="00CA6AA4">
          <w:pPr>
            <w:pStyle w:val="TOC1"/>
            <w:rPr>
              <w:rFonts w:ascii="Arial" w:hAnsi="Arial" w:cs="Arial"/>
            </w:rPr>
          </w:pPr>
          <w:hyperlink w:anchor="_Toc30183901" w:history="1">
            <w:r w:rsidR="00DA1617" w:rsidRPr="00F6040A">
              <w:rPr>
                <w:rStyle w:val="Hyperlink"/>
                <w:rFonts w:ascii="Arial" w:hAnsi="Arial" w:cs="Arial"/>
                <w:lang w:val="es-PE"/>
              </w:rPr>
              <w:t>Anexo I – Estimación del Costo y Efectividad del SRI</w:t>
            </w:r>
            <w:r w:rsidR="00DA1617" w:rsidRPr="00F6040A">
              <w:rPr>
                <w:rFonts w:ascii="Arial" w:hAnsi="Arial" w:cs="Arial"/>
                <w:webHidden/>
              </w:rPr>
              <w:tab/>
            </w:r>
            <w:r w:rsidR="00DA1617" w:rsidRPr="00F6040A">
              <w:rPr>
                <w:rFonts w:ascii="Arial" w:hAnsi="Arial" w:cs="Arial"/>
                <w:webHidden/>
              </w:rPr>
              <w:fldChar w:fldCharType="begin"/>
            </w:r>
            <w:r w:rsidR="00DA1617" w:rsidRPr="00F6040A">
              <w:rPr>
                <w:rFonts w:ascii="Arial" w:hAnsi="Arial" w:cs="Arial"/>
                <w:webHidden/>
              </w:rPr>
              <w:instrText xml:space="preserve"> PAGEREF _Toc30183901 \h </w:instrText>
            </w:r>
            <w:r w:rsidR="00DA1617" w:rsidRPr="00F6040A">
              <w:rPr>
                <w:rFonts w:ascii="Arial" w:hAnsi="Arial" w:cs="Arial"/>
                <w:webHidden/>
              </w:rPr>
            </w:r>
            <w:r w:rsidR="00DA1617" w:rsidRPr="00F6040A">
              <w:rPr>
                <w:rFonts w:ascii="Arial" w:hAnsi="Arial" w:cs="Arial"/>
                <w:webHidden/>
              </w:rPr>
              <w:fldChar w:fldCharType="separate"/>
            </w:r>
            <w:r w:rsidR="00DA1617" w:rsidRPr="00F6040A">
              <w:rPr>
                <w:rFonts w:ascii="Arial" w:hAnsi="Arial" w:cs="Arial"/>
                <w:webHidden/>
              </w:rPr>
              <w:t>21</w:t>
            </w:r>
            <w:r w:rsidR="00DA1617" w:rsidRPr="00F6040A">
              <w:rPr>
                <w:rFonts w:ascii="Arial" w:hAnsi="Arial" w:cs="Arial"/>
                <w:webHidden/>
              </w:rPr>
              <w:fldChar w:fldCharType="end"/>
            </w:r>
          </w:hyperlink>
        </w:p>
        <w:p w14:paraId="1714E80D" w14:textId="7C2A0DAC" w:rsidR="00DA1617" w:rsidRPr="00F6040A" w:rsidRDefault="00CA6AA4">
          <w:pPr>
            <w:pStyle w:val="TOC1"/>
            <w:rPr>
              <w:rFonts w:ascii="Arial" w:hAnsi="Arial" w:cs="Arial"/>
            </w:rPr>
          </w:pPr>
          <w:hyperlink w:anchor="_Toc30183904" w:history="1">
            <w:r w:rsidR="00DA1617" w:rsidRPr="00F6040A">
              <w:rPr>
                <w:rStyle w:val="Hyperlink"/>
                <w:rFonts w:ascii="Arial" w:hAnsi="Arial" w:cs="Arial"/>
                <w:lang w:val="es-PE"/>
              </w:rPr>
              <w:t>Anexo II – Estimación del Costo y Efectividad del SENAE</w:t>
            </w:r>
            <w:r w:rsidR="00DA1617" w:rsidRPr="00F6040A">
              <w:rPr>
                <w:rFonts w:ascii="Arial" w:hAnsi="Arial" w:cs="Arial"/>
                <w:webHidden/>
              </w:rPr>
              <w:tab/>
            </w:r>
            <w:r w:rsidR="00DA1617" w:rsidRPr="00F6040A">
              <w:rPr>
                <w:rFonts w:ascii="Arial" w:hAnsi="Arial" w:cs="Arial"/>
                <w:webHidden/>
              </w:rPr>
              <w:fldChar w:fldCharType="begin"/>
            </w:r>
            <w:r w:rsidR="00DA1617" w:rsidRPr="00F6040A">
              <w:rPr>
                <w:rFonts w:ascii="Arial" w:hAnsi="Arial" w:cs="Arial"/>
                <w:webHidden/>
              </w:rPr>
              <w:instrText xml:space="preserve"> PAGEREF _Toc30183904 \h </w:instrText>
            </w:r>
            <w:r w:rsidR="00DA1617" w:rsidRPr="00F6040A">
              <w:rPr>
                <w:rFonts w:ascii="Arial" w:hAnsi="Arial" w:cs="Arial"/>
                <w:webHidden/>
              </w:rPr>
            </w:r>
            <w:r w:rsidR="00DA1617" w:rsidRPr="00F6040A">
              <w:rPr>
                <w:rFonts w:ascii="Arial" w:hAnsi="Arial" w:cs="Arial"/>
                <w:webHidden/>
              </w:rPr>
              <w:fldChar w:fldCharType="separate"/>
            </w:r>
            <w:r w:rsidR="00DA1617" w:rsidRPr="00F6040A">
              <w:rPr>
                <w:rFonts w:ascii="Arial" w:hAnsi="Arial" w:cs="Arial"/>
                <w:webHidden/>
              </w:rPr>
              <w:t>22</w:t>
            </w:r>
            <w:r w:rsidR="00DA1617" w:rsidRPr="00F6040A">
              <w:rPr>
                <w:rFonts w:ascii="Arial" w:hAnsi="Arial" w:cs="Arial"/>
                <w:webHidden/>
              </w:rPr>
              <w:fldChar w:fldCharType="end"/>
            </w:r>
          </w:hyperlink>
        </w:p>
        <w:p w14:paraId="1816FAA4" w14:textId="59A5BF67" w:rsidR="00DA1617" w:rsidRPr="00F6040A" w:rsidRDefault="00CA6AA4">
          <w:pPr>
            <w:pStyle w:val="TOC1"/>
            <w:rPr>
              <w:rFonts w:ascii="Arial" w:hAnsi="Arial" w:cs="Arial"/>
            </w:rPr>
          </w:pPr>
          <w:hyperlink w:anchor="_Toc30183905" w:history="1">
            <w:r w:rsidR="00DA1617" w:rsidRPr="00F6040A">
              <w:rPr>
                <w:rStyle w:val="Hyperlink"/>
                <w:rFonts w:ascii="Arial" w:hAnsi="Arial" w:cs="Arial"/>
                <w:lang w:val="es-PE"/>
              </w:rPr>
              <w:t>Anexo III – Estimación del Costo y Efectividad Total (SRI + SENAE)</w:t>
            </w:r>
            <w:r w:rsidR="00DA1617" w:rsidRPr="00F6040A">
              <w:rPr>
                <w:rFonts w:ascii="Arial" w:hAnsi="Arial" w:cs="Arial"/>
                <w:webHidden/>
              </w:rPr>
              <w:tab/>
            </w:r>
            <w:r w:rsidR="00DA1617" w:rsidRPr="00F6040A">
              <w:rPr>
                <w:rFonts w:ascii="Arial" w:hAnsi="Arial" w:cs="Arial"/>
                <w:webHidden/>
              </w:rPr>
              <w:fldChar w:fldCharType="begin"/>
            </w:r>
            <w:r w:rsidR="00DA1617" w:rsidRPr="00F6040A">
              <w:rPr>
                <w:rFonts w:ascii="Arial" w:hAnsi="Arial" w:cs="Arial"/>
                <w:webHidden/>
              </w:rPr>
              <w:instrText xml:space="preserve"> PAGEREF _Toc30183905 \h </w:instrText>
            </w:r>
            <w:r w:rsidR="00DA1617" w:rsidRPr="00F6040A">
              <w:rPr>
                <w:rFonts w:ascii="Arial" w:hAnsi="Arial" w:cs="Arial"/>
                <w:webHidden/>
              </w:rPr>
            </w:r>
            <w:r w:rsidR="00DA1617" w:rsidRPr="00F6040A">
              <w:rPr>
                <w:rFonts w:ascii="Arial" w:hAnsi="Arial" w:cs="Arial"/>
                <w:webHidden/>
              </w:rPr>
              <w:fldChar w:fldCharType="separate"/>
            </w:r>
            <w:r w:rsidR="00DA1617" w:rsidRPr="00F6040A">
              <w:rPr>
                <w:rFonts w:ascii="Arial" w:hAnsi="Arial" w:cs="Arial"/>
                <w:webHidden/>
              </w:rPr>
              <w:t>23</w:t>
            </w:r>
            <w:r w:rsidR="00DA1617" w:rsidRPr="00F6040A">
              <w:rPr>
                <w:rFonts w:ascii="Arial" w:hAnsi="Arial" w:cs="Arial"/>
                <w:webHidden/>
              </w:rPr>
              <w:fldChar w:fldCharType="end"/>
            </w:r>
          </w:hyperlink>
        </w:p>
        <w:p w14:paraId="449A16BB" w14:textId="338DF8B9" w:rsidR="00DA1617" w:rsidRPr="00F6040A" w:rsidRDefault="00CA6AA4">
          <w:pPr>
            <w:pStyle w:val="TOC1"/>
            <w:rPr>
              <w:rFonts w:ascii="Arial" w:hAnsi="Arial" w:cs="Arial"/>
            </w:rPr>
          </w:pPr>
          <w:hyperlink w:anchor="_Toc30183906" w:history="1">
            <w:r w:rsidR="00DA1617" w:rsidRPr="00F6040A">
              <w:rPr>
                <w:rStyle w:val="Hyperlink"/>
                <w:rFonts w:ascii="Arial" w:hAnsi="Arial" w:cs="Arial"/>
                <w:lang w:val="es-PE"/>
              </w:rPr>
              <w:t>Anexo IV – Algebra del Análisis de Costo Efectividad</w:t>
            </w:r>
            <w:r w:rsidR="00DA1617" w:rsidRPr="00F6040A">
              <w:rPr>
                <w:rFonts w:ascii="Arial" w:hAnsi="Arial" w:cs="Arial"/>
                <w:webHidden/>
              </w:rPr>
              <w:tab/>
            </w:r>
            <w:r w:rsidR="00DA1617" w:rsidRPr="00F6040A">
              <w:rPr>
                <w:rFonts w:ascii="Arial" w:hAnsi="Arial" w:cs="Arial"/>
                <w:webHidden/>
              </w:rPr>
              <w:fldChar w:fldCharType="begin"/>
            </w:r>
            <w:r w:rsidR="00DA1617" w:rsidRPr="00F6040A">
              <w:rPr>
                <w:rFonts w:ascii="Arial" w:hAnsi="Arial" w:cs="Arial"/>
                <w:webHidden/>
              </w:rPr>
              <w:instrText xml:space="preserve"> PAGEREF _Toc30183906 \h </w:instrText>
            </w:r>
            <w:r w:rsidR="00DA1617" w:rsidRPr="00F6040A">
              <w:rPr>
                <w:rFonts w:ascii="Arial" w:hAnsi="Arial" w:cs="Arial"/>
                <w:webHidden/>
              </w:rPr>
            </w:r>
            <w:r w:rsidR="00DA1617" w:rsidRPr="00F6040A">
              <w:rPr>
                <w:rFonts w:ascii="Arial" w:hAnsi="Arial" w:cs="Arial"/>
                <w:webHidden/>
              </w:rPr>
              <w:fldChar w:fldCharType="separate"/>
            </w:r>
            <w:r w:rsidR="00DA1617" w:rsidRPr="00F6040A">
              <w:rPr>
                <w:rFonts w:ascii="Arial" w:hAnsi="Arial" w:cs="Arial"/>
                <w:webHidden/>
              </w:rPr>
              <w:t>24</w:t>
            </w:r>
            <w:r w:rsidR="00DA1617" w:rsidRPr="00F6040A">
              <w:rPr>
                <w:rFonts w:ascii="Arial" w:hAnsi="Arial" w:cs="Arial"/>
                <w:webHidden/>
              </w:rPr>
              <w:fldChar w:fldCharType="end"/>
            </w:r>
          </w:hyperlink>
        </w:p>
        <w:p w14:paraId="55712D78" w14:textId="3D6BA1F9" w:rsidR="00F10D9A" w:rsidRPr="009C0E1F" w:rsidRDefault="007E781F" w:rsidP="00122A1D">
          <w:pPr>
            <w:ind w:left="720"/>
            <w:rPr>
              <w:rFonts w:ascii="Arial" w:hAnsi="Arial" w:cs="Arial"/>
              <w:lang w:val="es-ES_tradnl"/>
            </w:rPr>
          </w:pPr>
          <w:r w:rsidRPr="009C0E1F">
            <w:rPr>
              <w:rFonts w:ascii="Arial" w:hAnsi="Arial" w:cs="Arial"/>
              <w:b/>
              <w:bCs/>
              <w:lang w:val="es-ES_tradnl"/>
            </w:rPr>
            <w:fldChar w:fldCharType="end"/>
          </w:r>
        </w:p>
      </w:sdtContent>
    </w:sdt>
    <w:p w14:paraId="71EA297C" w14:textId="77777777" w:rsidR="00F10D9A" w:rsidRPr="009C0E1F" w:rsidRDefault="007E781F" w:rsidP="00122A1D">
      <w:pPr>
        <w:ind w:left="720"/>
        <w:rPr>
          <w:rFonts w:ascii="Arial" w:hAnsi="Arial" w:cs="Arial"/>
          <w:b/>
          <w:smallCaps/>
          <w:lang w:val="es-ES_tradnl"/>
        </w:rPr>
      </w:pPr>
      <w:r w:rsidRPr="009C0E1F">
        <w:rPr>
          <w:rFonts w:ascii="Arial" w:hAnsi="Arial" w:cs="Arial"/>
          <w:b/>
          <w:smallCaps/>
          <w:lang w:val="es-ES_tradnl"/>
        </w:rPr>
        <w:br w:type="page"/>
      </w:r>
    </w:p>
    <w:p w14:paraId="3F467288" w14:textId="77777777" w:rsidR="00F10D9A" w:rsidRPr="009C0E1F" w:rsidRDefault="007E781F" w:rsidP="005D44DB">
      <w:pPr>
        <w:pStyle w:val="Chapter"/>
        <w:numPr>
          <w:ilvl w:val="0"/>
          <w:numId w:val="2"/>
        </w:numPr>
        <w:tabs>
          <w:tab w:val="clear" w:pos="1440"/>
          <w:tab w:val="clear" w:pos="1800"/>
        </w:tabs>
        <w:ind w:left="630" w:hanging="619"/>
        <w:outlineLvl w:val="0"/>
        <w:rPr>
          <w:rFonts w:ascii="Arial" w:hAnsi="Arial" w:cs="Arial"/>
          <w:sz w:val="22"/>
          <w:szCs w:val="22"/>
          <w:lang w:val="es-ES_tradnl"/>
        </w:rPr>
      </w:pPr>
      <w:bookmarkStart w:id="0" w:name="_Toc30183889"/>
      <w:r w:rsidRPr="009C0E1F">
        <w:rPr>
          <w:rFonts w:ascii="Arial" w:hAnsi="Arial" w:cs="Arial"/>
          <w:sz w:val="22"/>
          <w:szCs w:val="22"/>
          <w:lang w:val="es-ES_tradnl"/>
        </w:rPr>
        <w:lastRenderedPageBreak/>
        <w:t>Resumen Ejecutivo</w:t>
      </w:r>
      <w:bookmarkEnd w:id="0"/>
    </w:p>
    <w:p w14:paraId="728F909C" w14:textId="3DAEFE4C" w:rsidR="00657733" w:rsidRPr="007816B1" w:rsidRDefault="007E781F" w:rsidP="005D44DB">
      <w:pPr>
        <w:pStyle w:val="Paragraph"/>
        <w:numPr>
          <w:ilvl w:val="1"/>
          <w:numId w:val="2"/>
        </w:numPr>
        <w:tabs>
          <w:tab w:val="clear" w:pos="1296"/>
        </w:tabs>
        <w:ind w:left="720" w:hanging="720"/>
        <w:rPr>
          <w:rFonts w:ascii="Arial" w:hAnsi="Arial" w:cs="Arial"/>
          <w:sz w:val="22"/>
          <w:szCs w:val="22"/>
        </w:rPr>
      </w:pPr>
      <w:r w:rsidRPr="504504CD">
        <w:rPr>
          <w:rFonts w:ascii="Arial" w:hAnsi="Arial" w:cs="Arial"/>
          <w:sz w:val="22"/>
          <w:szCs w:val="22"/>
        </w:rPr>
        <w:t xml:space="preserve">El objetivo </w:t>
      </w:r>
      <w:r w:rsidR="004C738C" w:rsidRPr="504504CD">
        <w:rPr>
          <w:rFonts w:ascii="Arial" w:hAnsi="Arial" w:cs="Arial"/>
          <w:sz w:val="22"/>
          <w:szCs w:val="22"/>
        </w:rPr>
        <w:t>de</w:t>
      </w:r>
      <w:r w:rsidR="00C1172E" w:rsidRPr="504504CD">
        <w:rPr>
          <w:rFonts w:ascii="Arial" w:hAnsi="Arial" w:cs="Arial"/>
          <w:sz w:val="22"/>
          <w:szCs w:val="22"/>
        </w:rPr>
        <w:t xml:space="preserve"> este</w:t>
      </w:r>
      <w:r w:rsidRPr="504504CD">
        <w:rPr>
          <w:rFonts w:ascii="Arial" w:hAnsi="Arial" w:cs="Arial"/>
          <w:sz w:val="22"/>
          <w:szCs w:val="22"/>
        </w:rPr>
        <w:t xml:space="preserve"> estudio es </w:t>
      </w:r>
      <w:r w:rsidR="007816B1" w:rsidRPr="504504CD">
        <w:rPr>
          <w:rFonts w:ascii="Arial" w:hAnsi="Arial" w:cs="Arial"/>
          <w:sz w:val="22"/>
          <w:szCs w:val="22"/>
        </w:rPr>
        <w:t>presentar los resultados del análisis de costo-</w:t>
      </w:r>
      <w:r w:rsidR="00046BB1" w:rsidRPr="504504CD">
        <w:rPr>
          <w:rFonts w:ascii="Arial" w:hAnsi="Arial" w:cs="Arial"/>
          <w:sz w:val="22"/>
          <w:szCs w:val="22"/>
        </w:rPr>
        <w:t>efectividad</w:t>
      </w:r>
      <w:r w:rsidR="007816B1" w:rsidRPr="504504CD">
        <w:rPr>
          <w:rFonts w:ascii="Arial" w:hAnsi="Arial" w:cs="Arial"/>
          <w:sz w:val="22"/>
          <w:szCs w:val="22"/>
        </w:rPr>
        <w:t xml:space="preserve"> realizado para evaluar la viabilidad económica </w:t>
      </w:r>
      <w:r w:rsidR="004C738C" w:rsidRPr="504504CD">
        <w:rPr>
          <w:rFonts w:ascii="Arial" w:hAnsi="Arial" w:cs="Arial"/>
          <w:sz w:val="22"/>
          <w:szCs w:val="22"/>
        </w:rPr>
        <w:t xml:space="preserve">del </w:t>
      </w:r>
      <w:r w:rsidR="00211A18" w:rsidRPr="504504CD">
        <w:rPr>
          <w:rFonts w:ascii="Arial" w:hAnsi="Arial" w:cs="Arial"/>
          <w:sz w:val="22"/>
          <w:szCs w:val="22"/>
        </w:rPr>
        <w:t>Programa de M</w:t>
      </w:r>
      <w:r w:rsidR="00EB3F8E" w:rsidRPr="504504CD">
        <w:rPr>
          <w:rFonts w:ascii="Arial" w:hAnsi="Arial" w:cs="Arial"/>
          <w:sz w:val="22"/>
          <w:szCs w:val="22"/>
        </w:rPr>
        <w:t>ejora de</w:t>
      </w:r>
      <w:r w:rsidR="5EADEF20" w:rsidRPr="504504CD">
        <w:rPr>
          <w:rFonts w:ascii="Arial" w:hAnsi="Arial" w:cs="Arial"/>
          <w:sz w:val="22"/>
          <w:szCs w:val="22"/>
        </w:rPr>
        <w:t xml:space="preserve"> </w:t>
      </w:r>
      <w:r w:rsidR="00EB3F8E" w:rsidRPr="504504CD">
        <w:rPr>
          <w:rFonts w:ascii="Arial" w:hAnsi="Arial" w:cs="Arial"/>
          <w:sz w:val="22"/>
          <w:szCs w:val="22"/>
        </w:rPr>
        <w:t>l</w:t>
      </w:r>
      <w:r w:rsidR="5EADEF20" w:rsidRPr="504504CD">
        <w:rPr>
          <w:rFonts w:ascii="Arial" w:hAnsi="Arial" w:cs="Arial"/>
          <w:sz w:val="22"/>
          <w:szCs w:val="22"/>
        </w:rPr>
        <w:t>a</w:t>
      </w:r>
      <w:r w:rsidR="00EB3F8E" w:rsidRPr="504504CD">
        <w:rPr>
          <w:rFonts w:ascii="Arial" w:hAnsi="Arial" w:cs="Arial"/>
          <w:sz w:val="22"/>
          <w:szCs w:val="22"/>
        </w:rPr>
        <w:t xml:space="preserve"> </w:t>
      </w:r>
      <w:r w:rsidR="6B83D8E4" w:rsidRPr="504504CD">
        <w:rPr>
          <w:rFonts w:ascii="Arial" w:hAnsi="Arial" w:cs="Arial"/>
          <w:sz w:val="22"/>
          <w:szCs w:val="22"/>
        </w:rPr>
        <w:t>Administración Tributaria y Aduanera</w:t>
      </w:r>
      <w:r w:rsidR="00211A18" w:rsidRPr="504504CD">
        <w:rPr>
          <w:rFonts w:ascii="Arial" w:hAnsi="Arial" w:cs="Arial"/>
          <w:sz w:val="22"/>
          <w:szCs w:val="22"/>
        </w:rPr>
        <w:t xml:space="preserve"> (</w:t>
      </w:r>
      <w:r w:rsidR="00EB3F8E" w:rsidRPr="504504CD">
        <w:rPr>
          <w:rFonts w:ascii="Arial" w:hAnsi="Arial" w:cs="Arial"/>
          <w:sz w:val="22"/>
          <w:szCs w:val="22"/>
        </w:rPr>
        <w:t>EC-L1253</w:t>
      </w:r>
      <w:r w:rsidR="00211A18" w:rsidRPr="504504CD">
        <w:rPr>
          <w:rFonts w:ascii="Arial" w:hAnsi="Arial" w:cs="Arial"/>
          <w:sz w:val="22"/>
          <w:szCs w:val="22"/>
        </w:rPr>
        <w:t>)</w:t>
      </w:r>
      <w:r w:rsidR="000369EA" w:rsidRPr="504504CD">
        <w:rPr>
          <w:rFonts w:ascii="Arial" w:hAnsi="Arial" w:cs="Arial"/>
          <w:sz w:val="22"/>
          <w:szCs w:val="22"/>
        </w:rPr>
        <w:t xml:space="preserve"> de </w:t>
      </w:r>
      <w:r w:rsidR="00EB3F8E" w:rsidRPr="504504CD">
        <w:rPr>
          <w:rFonts w:ascii="Arial" w:hAnsi="Arial" w:cs="Arial"/>
          <w:sz w:val="22"/>
          <w:szCs w:val="22"/>
        </w:rPr>
        <w:t>Ecuador</w:t>
      </w:r>
      <w:r w:rsidR="004C738C" w:rsidRPr="504504CD">
        <w:rPr>
          <w:rFonts w:ascii="Arial" w:hAnsi="Arial" w:cs="Arial"/>
          <w:sz w:val="22"/>
          <w:szCs w:val="22"/>
        </w:rPr>
        <w:t xml:space="preserve">. </w:t>
      </w:r>
      <w:r w:rsidR="00AA5E8C" w:rsidRPr="504504CD">
        <w:rPr>
          <w:rFonts w:ascii="Arial" w:hAnsi="Arial" w:cs="Arial"/>
          <w:sz w:val="22"/>
          <w:szCs w:val="22"/>
        </w:rPr>
        <w:t>El análisis cost</w:t>
      </w:r>
      <w:r w:rsidR="00E642A9" w:rsidRPr="504504CD">
        <w:rPr>
          <w:rFonts w:ascii="Arial" w:hAnsi="Arial" w:cs="Arial"/>
          <w:sz w:val="22"/>
          <w:szCs w:val="22"/>
        </w:rPr>
        <w:t>o</w:t>
      </w:r>
      <w:r w:rsidR="0001252F">
        <w:rPr>
          <w:rFonts w:ascii="Arial" w:hAnsi="Arial" w:cs="Arial"/>
          <w:sz w:val="22"/>
          <w:szCs w:val="22"/>
        </w:rPr>
        <w:noBreakHyphen/>
      </w:r>
      <w:r w:rsidR="00046BB1" w:rsidRPr="504504CD">
        <w:rPr>
          <w:rFonts w:ascii="Arial" w:hAnsi="Arial" w:cs="Arial"/>
          <w:sz w:val="22"/>
          <w:szCs w:val="22"/>
        </w:rPr>
        <w:t>efectividad</w:t>
      </w:r>
      <w:r w:rsidR="00AA5E8C" w:rsidRPr="504504CD">
        <w:rPr>
          <w:rFonts w:ascii="Arial" w:hAnsi="Arial" w:cs="Arial"/>
          <w:sz w:val="22"/>
          <w:szCs w:val="22"/>
        </w:rPr>
        <w:t xml:space="preserve"> (ACE) </w:t>
      </w:r>
      <w:r w:rsidR="008F1A52" w:rsidRPr="504504CD">
        <w:rPr>
          <w:rFonts w:ascii="Arial" w:hAnsi="Arial" w:cs="Arial"/>
          <w:sz w:val="22"/>
          <w:szCs w:val="22"/>
        </w:rPr>
        <w:t>fue seleccionad</w:t>
      </w:r>
      <w:r w:rsidR="00FB1FDE" w:rsidRPr="504504CD">
        <w:rPr>
          <w:rFonts w:ascii="Arial" w:hAnsi="Arial" w:cs="Arial"/>
          <w:sz w:val="22"/>
          <w:szCs w:val="22"/>
        </w:rPr>
        <w:t>o</w:t>
      </w:r>
      <w:r w:rsidR="008F1A52" w:rsidRPr="504504CD">
        <w:rPr>
          <w:rFonts w:ascii="Arial" w:hAnsi="Arial" w:cs="Arial"/>
          <w:sz w:val="22"/>
          <w:szCs w:val="22"/>
        </w:rPr>
        <w:t xml:space="preserve"> por ser</w:t>
      </w:r>
      <w:r w:rsidR="00AA5E8C" w:rsidRPr="504504CD">
        <w:rPr>
          <w:rFonts w:ascii="Arial" w:hAnsi="Arial" w:cs="Arial"/>
          <w:sz w:val="22"/>
          <w:szCs w:val="22"/>
        </w:rPr>
        <w:t xml:space="preserve"> </w:t>
      </w:r>
      <w:r w:rsidR="00A212DE" w:rsidRPr="504504CD">
        <w:rPr>
          <w:rFonts w:ascii="Arial" w:hAnsi="Arial" w:cs="Arial"/>
          <w:sz w:val="22"/>
          <w:szCs w:val="22"/>
        </w:rPr>
        <w:t>una</w:t>
      </w:r>
      <w:r w:rsidR="00AA5E8C" w:rsidRPr="504504CD">
        <w:rPr>
          <w:rFonts w:ascii="Arial" w:hAnsi="Arial" w:cs="Arial"/>
          <w:sz w:val="22"/>
          <w:szCs w:val="22"/>
        </w:rPr>
        <w:t xml:space="preserve"> forma sencilla y directa de llevar a cabo </w:t>
      </w:r>
      <w:r w:rsidR="004C738C" w:rsidRPr="504504CD">
        <w:rPr>
          <w:rFonts w:ascii="Arial" w:hAnsi="Arial" w:cs="Arial"/>
          <w:sz w:val="22"/>
          <w:szCs w:val="22"/>
        </w:rPr>
        <w:t>una</w:t>
      </w:r>
      <w:r w:rsidR="00AA5E8C" w:rsidRPr="504504CD">
        <w:rPr>
          <w:rFonts w:ascii="Arial" w:hAnsi="Arial" w:cs="Arial"/>
          <w:sz w:val="22"/>
          <w:szCs w:val="22"/>
        </w:rPr>
        <w:t xml:space="preserve"> evaluación económica </w:t>
      </w:r>
      <w:r w:rsidR="004C738C" w:rsidRPr="504504CD">
        <w:rPr>
          <w:rFonts w:ascii="Arial" w:hAnsi="Arial" w:cs="Arial"/>
          <w:sz w:val="22"/>
          <w:szCs w:val="22"/>
        </w:rPr>
        <w:t>sobre</w:t>
      </w:r>
      <w:r w:rsidR="00AA5E8C" w:rsidRPr="504504CD">
        <w:rPr>
          <w:rFonts w:ascii="Arial" w:hAnsi="Arial" w:cs="Arial"/>
          <w:sz w:val="22"/>
          <w:szCs w:val="22"/>
        </w:rPr>
        <w:t xml:space="preserve"> intervenciones</w:t>
      </w:r>
      <w:r w:rsidR="004C738C" w:rsidRPr="504504CD">
        <w:rPr>
          <w:rFonts w:ascii="Arial" w:hAnsi="Arial" w:cs="Arial"/>
          <w:sz w:val="22"/>
          <w:szCs w:val="22"/>
        </w:rPr>
        <w:t xml:space="preserve"> de </w:t>
      </w:r>
      <w:r w:rsidR="00A212DE" w:rsidRPr="504504CD">
        <w:rPr>
          <w:rFonts w:ascii="Arial" w:hAnsi="Arial" w:cs="Arial"/>
          <w:sz w:val="22"/>
          <w:szCs w:val="22"/>
        </w:rPr>
        <w:t xml:space="preserve">fortalecimiento institucional </w:t>
      </w:r>
      <w:r w:rsidR="00AA5E8C" w:rsidRPr="504504CD">
        <w:rPr>
          <w:rFonts w:ascii="Arial" w:hAnsi="Arial" w:cs="Arial"/>
          <w:sz w:val="22"/>
          <w:szCs w:val="22"/>
        </w:rPr>
        <w:t>en entidades públicas</w:t>
      </w:r>
      <w:r w:rsidR="004C738C" w:rsidRPr="504504CD">
        <w:rPr>
          <w:rFonts w:ascii="Arial" w:hAnsi="Arial" w:cs="Arial"/>
          <w:sz w:val="22"/>
          <w:szCs w:val="22"/>
        </w:rPr>
        <w:t xml:space="preserve">, con vistas a </w:t>
      </w:r>
      <w:r w:rsidR="00AA5E8C" w:rsidRPr="504504CD">
        <w:rPr>
          <w:rFonts w:ascii="Arial" w:hAnsi="Arial" w:cs="Arial"/>
          <w:sz w:val="22"/>
          <w:szCs w:val="22"/>
        </w:rPr>
        <w:t xml:space="preserve">determinar qué intervenciones resultan </w:t>
      </w:r>
      <w:r w:rsidR="007816B1" w:rsidRPr="504504CD">
        <w:rPr>
          <w:rFonts w:ascii="Arial" w:hAnsi="Arial" w:cs="Arial"/>
          <w:sz w:val="22"/>
          <w:szCs w:val="22"/>
        </w:rPr>
        <w:t>costo</w:t>
      </w:r>
      <w:r w:rsidR="0001252F">
        <w:rPr>
          <w:rFonts w:ascii="Arial" w:hAnsi="Arial" w:cs="Arial"/>
          <w:sz w:val="22"/>
          <w:szCs w:val="22"/>
        </w:rPr>
        <w:noBreakHyphen/>
      </w:r>
      <w:r w:rsidR="00AA5E8C" w:rsidRPr="504504CD">
        <w:rPr>
          <w:rFonts w:ascii="Arial" w:hAnsi="Arial" w:cs="Arial"/>
          <w:sz w:val="22"/>
          <w:szCs w:val="22"/>
        </w:rPr>
        <w:t>ef</w:t>
      </w:r>
      <w:r w:rsidR="00046BB1" w:rsidRPr="504504CD">
        <w:rPr>
          <w:rFonts w:ascii="Arial" w:hAnsi="Arial" w:cs="Arial"/>
          <w:sz w:val="22"/>
          <w:szCs w:val="22"/>
        </w:rPr>
        <w:t>ectivas</w:t>
      </w:r>
      <w:r w:rsidR="00AA5E8C" w:rsidRPr="504504CD">
        <w:rPr>
          <w:rFonts w:ascii="Arial" w:hAnsi="Arial" w:cs="Arial"/>
          <w:sz w:val="22"/>
          <w:szCs w:val="22"/>
        </w:rPr>
        <w:t xml:space="preserve"> para maximizar el beneficio producido por los recursos </w:t>
      </w:r>
      <w:r w:rsidR="00A212DE" w:rsidRPr="504504CD">
        <w:rPr>
          <w:rFonts w:ascii="Arial" w:hAnsi="Arial" w:cs="Arial"/>
          <w:sz w:val="22"/>
          <w:szCs w:val="22"/>
        </w:rPr>
        <w:t>públicos</w:t>
      </w:r>
      <w:r w:rsidR="00AA5E8C" w:rsidRPr="504504CD">
        <w:rPr>
          <w:rFonts w:ascii="Arial" w:hAnsi="Arial" w:cs="Arial"/>
          <w:sz w:val="22"/>
          <w:szCs w:val="22"/>
        </w:rPr>
        <w:t xml:space="preserve"> disponibles</w:t>
      </w:r>
      <w:r w:rsidR="00A212DE" w:rsidRPr="504504CD">
        <w:rPr>
          <w:rFonts w:ascii="Arial" w:hAnsi="Arial" w:cs="Arial"/>
          <w:sz w:val="22"/>
          <w:szCs w:val="22"/>
        </w:rPr>
        <w:t xml:space="preserve"> (inversiones)</w:t>
      </w:r>
      <w:r w:rsidR="00AA5E8C" w:rsidRPr="504504CD">
        <w:rPr>
          <w:rFonts w:ascii="Arial" w:hAnsi="Arial" w:cs="Arial"/>
          <w:sz w:val="22"/>
          <w:szCs w:val="22"/>
        </w:rPr>
        <w:t>.</w:t>
      </w:r>
    </w:p>
    <w:p w14:paraId="651D8C5B" w14:textId="2E02A028" w:rsidR="009A16AD" w:rsidRPr="00A20892" w:rsidRDefault="00C362AD" w:rsidP="005D44DB">
      <w:pPr>
        <w:pStyle w:val="Paragraph"/>
        <w:numPr>
          <w:ilvl w:val="1"/>
          <w:numId w:val="2"/>
        </w:numPr>
        <w:tabs>
          <w:tab w:val="clear" w:pos="1296"/>
        </w:tabs>
        <w:ind w:left="720" w:hanging="720"/>
        <w:outlineLvl w:val="9"/>
        <w:rPr>
          <w:rFonts w:ascii="Arial" w:hAnsi="Arial" w:cs="Arial"/>
          <w:sz w:val="22"/>
          <w:szCs w:val="22"/>
          <w:lang w:val="es-ES_tradnl"/>
        </w:rPr>
      </w:pPr>
      <w:bookmarkStart w:id="1" w:name="_Hlk30180596"/>
      <w:bookmarkStart w:id="2" w:name="_Hlk29233156"/>
      <w:bookmarkStart w:id="3" w:name="_Hlk7630536"/>
      <w:r w:rsidRPr="00C362AD">
        <w:rPr>
          <w:rFonts w:ascii="Arial" w:hAnsi="Arial" w:cs="Arial"/>
          <w:sz w:val="22"/>
          <w:szCs w:val="22"/>
          <w:lang w:val="es-ES_tradnl"/>
        </w:rPr>
        <w:t xml:space="preserve">El objetivo general de desarrollo </w:t>
      </w:r>
      <w:bookmarkStart w:id="4" w:name="_Hlk30357939"/>
      <w:r w:rsidRPr="00C362AD">
        <w:rPr>
          <w:rFonts w:ascii="Arial" w:hAnsi="Arial" w:cs="Arial"/>
          <w:sz w:val="22"/>
          <w:szCs w:val="22"/>
          <w:lang w:val="es-ES_tradnl"/>
        </w:rPr>
        <w:t xml:space="preserve">es reforzar la capacidad de gestión del Servicio de Rentas Internas (SRI) y del Servicio Nacional de Aduanas de Ecuador (SENAE) para </w:t>
      </w:r>
      <w:bookmarkEnd w:id="4"/>
      <w:r w:rsidRPr="00C362AD">
        <w:rPr>
          <w:rFonts w:ascii="Arial" w:hAnsi="Arial" w:cs="Arial"/>
          <w:sz w:val="22"/>
          <w:szCs w:val="22"/>
          <w:lang w:val="es-ES_tradnl"/>
        </w:rPr>
        <w:t>incrementar los ingresos tributarios como porcentaje del Producto Interno Bruto (PIB) y para aumentar la competitividad económica con un mejor clima para el comercio exterior y la inversión. Los objetivos de desarrollo específicos son: (i) incrementar la eficacia operativa del SRI en el área de control tributario; (ii) incrementar la eficacia operativa del SENAE en el área del control aduanero; y (</w:t>
      </w:r>
      <w:proofErr w:type="spellStart"/>
      <w:r w:rsidRPr="00C362AD">
        <w:rPr>
          <w:rFonts w:ascii="Arial" w:hAnsi="Arial" w:cs="Arial"/>
          <w:sz w:val="22"/>
          <w:szCs w:val="22"/>
          <w:lang w:val="es-ES_tradnl"/>
        </w:rPr>
        <w:t>iii</w:t>
      </w:r>
      <w:proofErr w:type="spellEnd"/>
      <w:r w:rsidRPr="00C362AD">
        <w:rPr>
          <w:rFonts w:ascii="Arial" w:hAnsi="Arial" w:cs="Arial"/>
          <w:sz w:val="22"/>
          <w:szCs w:val="22"/>
          <w:lang w:val="es-ES_tradnl"/>
        </w:rPr>
        <w:t>) incrementar la calidad de los servicios a los Operadores de Comercio Exterior (OCE).</w:t>
      </w:r>
    </w:p>
    <w:p w14:paraId="399E68A2" w14:textId="37A75B99" w:rsidR="009A16AD" w:rsidRPr="009C0E1F" w:rsidRDefault="009A16AD" w:rsidP="005D44DB">
      <w:pPr>
        <w:pStyle w:val="Paragraph"/>
        <w:numPr>
          <w:ilvl w:val="1"/>
          <w:numId w:val="2"/>
        </w:numPr>
        <w:tabs>
          <w:tab w:val="clear" w:pos="1296"/>
          <w:tab w:val="num" w:pos="1440"/>
        </w:tabs>
        <w:ind w:left="720" w:hanging="720"/>
        <w:outlineLvl w:val="9"/>
        <w:rPr>
          <w:rFonts w:ascii="Arial" w:hAnsi="Arial" w:cs="Arial"/>
          <w:sz w:val="22"/>
          <w:szCs w:val="22"/>
          <w:lang w:val="es-ES_tradnl"/>
        </w:rPr>
      </w:pPr>
      <w:r w:rsidRPr="009C0E1F">
        <w:rPr>
          <w:rFonts w:ascii="Arial" w:eastAsia="Arial" w:hAnsi="Arial" w:cs="Arial"/>
          <w:sz w:val="22"/>
          <w:szCs w:val="22"/>
          <w:lang w:val="es-ES_tradnl"/>
        </w:rPr>
        <w:t>El análisis de costo-</w:t>
      </w:r>
      <w:r>
        <w:rPr>
          <w:rFonts w:ascii="Arial" w:eastAsia="Arial" w:hAnsi="Arial" w:cs="Arial"/>
          <w:sz w:val="22"/>
          <w:szCs w:val="22"/>
          <w:lang w:val="es-ES_tradnl"/>
        </w:rPr>
        <w:t>efectividad</w:t>
      </w:r>
      <w:r w:rsidRPr="009C0E1F">
        <w:rPr>
          <w:rFonts w:ascii="Arial" w:eastAsia="Arial" w:hAnsi="Arial" w:cs="Arial"/>
          <w:sz w:val="22"/>
          <w:szCs w:val="22"/>
          <w:lang w:val="es-ES_tradnl"/>
        </w:rPr>
        <w:t xml:space="preserve"> </w:t>
      </w:r>
      <w:r>
        <w:rPr>
          <w:rFonts w:ascii="Arial" w:eastAsia="Arial" w:hAnsi="Arial" w:cs="Arial"/>
          <w:sz w:val="22"/>
          <w:szCs w:val="22"/>
          <w:lang w:val="es-ES_tradnl"/>
        </w:rPr>
        <w:t xml:space="preserve">se realiza por separado para cada componente: (i) SRI y (ii) SENAE. En cada componente se </w:t>
      </w:r>
      <w:r w:rsidRPr="009C0E1F">
        <w:rPr>
          <w:rFonts w:ascii="Arial" w:eastAsia="Arial" w:hAnsi="Arial" w:cs="Arial"/>
          <w:sz w:val="22"/>
          <w:szCs w:val="22"/>
          <w:lang w:val="es-ES_tradnl"/>
        </w:rPr>
        <w:t xml:space="preserve">compara la </w:t>
      </w:r>
      <w:r>
        <w:rPr>
          <w:rFonts w:ascii="Arial" w:eastAsia="Arial" w:hAnsi="Arial" w:cs="Arial"/>
          <w:sz w:val="22"/>
          <w:szCs w:val="22"/>
          <w:lang w:val="es-ES_tradnl"/>
        </w:rPr>
        <w:t>efectividad</w:t>
      </w:r>
      <w:r w:rsidRPr="009C0E1F">
        <w:rPr>
          <w:rFonts w:ascii="Arial" w:eastAsia="Arial" w:hAnsi="Arial" w:cs="Arial"/>
          <w:sz w:val="22"/>
          <w:szCs w:val="22"/>
          <w:lang w:val="es-ES_tradnl"/>
        </w:rPr>
        <w:t xml:space="preserve"> </w:t>
      </w:r>
      <w:r>
        <w:rPr>
          <w:rFonts w:ascii="Arial" w:eastAsia="Arial" w:hAnsi="Arial" w:cs="Arial"/>
          <w:sz w:val="22"/>
          <w:szCs w:val="22"/>
          <w:lang w:val="es-ES_tradnl"/>
        </w:rPr>
        <w:t xml:space="preserve">en la tarea recaudatoria de las entidades </w:t>
      </w:r>
      <w:r w:rsidRPr="009C0E1F">
        <w:rPr>
          <w:rFonts w:ascii="Arial" w:eastAsia="Arial" w:hAnsi="Arial" w:cs="Arial"/>
          <w:sz w:val="22"/>
          <w:szCs w:val="22"/>
          <w:lang w:val="es-ES_tradnl"/>
        </w:rPr>
        <w:t>sin proyecto (A)</w:t>
      </w:r>
      <w:r>
        <w:rPr>
          <w:rStyle w:val="FootnoteReference"/>
          <w:rFonts w:ascii="Arial" w:eastAsia="Arial" w:hAnsi="Arial" w:cs="Arial"/>
          <w:sz w:val="22"/>
          <w:szCs w:val="22"/>
          <w:lang w:val="es-ES_tradnl"/>
        </w:rPr>
        <w:footnoteReference w:id="2"/>
      </w:r>
      <w:r w:rsidRPr="009C0E1F">
        <w:rPr>
          <w:rFonts w:ascii="Arial" w:eastAsia="Arial" w:hAnsi="Arial" w:cs="Arial"/>
          <w:sz w:val="22"/>
          <w:szCs w:val="22"/>
          <w:lang w:val="es-ES_tradnl"/>
        </w:rPr>
        <w:t xml:space="preserve"> y con proyecto (B). El indicador </w:t>
      </w:r>
      <w:r>
        <w:rPr>
          <w:rFonts w:ascii="Arial" w:eastAsia="Arial" w:hAnsi="Arial" w:cs="Arial"/>
          <w:sz w:val="22"/>
          <w:szCs w:val="22"/>
          <w:lang w:val="es-ES_tradnl"/>
        </w:rPr>
        <w:t xml:space="preserve">de efectividad </w:t>
      </w:r>
      <w:r w:rsidRPr="009C0E1F">
        <w:rPr>
          <w:rFonts w:ascii="Arial" w:eastAsia="Arial" w:hAnsi="Arial" w:cs="Arial"/>
          <w:sz w:val="22"/>
          <w:szCs w:val="22"/>
          <w:lang w:val="es-ES_tradnl"/>
        </w:rPr>
        <w:t xml:space="preserve">utilizado </w:t>
      </w:r>
      <w:r>
        <w:rPr>
          <w:rFonts w:ascii="Arial" w:eastAsia="Arial" w:hAnsi="Arial" w:cs="Arial"/>
          <w:sz w:val="22"/>
          <w:szCs w:val="22"/>
          <w:lang w:val="es-ES_tradnl"/>
        </w:rPr>
        <w:t xml:space="preserve">en cada caso es el costo por dólar de la recaudación aduanera (SENAE) y de la recaudación de tributos internos (SRI). El costo </w:t>
      </w:r>
      <w:r w:rsidR="00E80073">
        <w:rPr>
          <w:rFonts w:ascii="Arial" w:eastAsia="Arial" w:hAnsi="Arial" w:cs="Arial"/>
          <w:sz w:val="22"/>
          <w:szCs w:val="22"/>
          <w:lang w:val="es-ES_tradnl"/>
        </w:rPr>
        <w:t xml:space="preserve">incluye </w:t>
      </w:r>
      <w:r>
        <w:rPr>
          <w:rFonts w:ascii="Arial" w:eastAsia="Arial" w:hAnsi="Arial" w:cs="Arial"/>
          <w:sz w:val="22"/>
          <w:szCs w:val="22"/>
          <w:lang w:val="es-ES_tradnl"/>
        </w:rPr>
        <w:t xml:space="preserve">el presupuesto de gastos </w:t>
      </w:r>
      <w:r w:rsidR="00DF1A21">
        <w:rPr>
          <w:rFonts w:ascii="Arial" w:eastAsia="Arial" w:hAnsi="Arial" w:cs="Arial"/>
          <w:sz w:val="22"/>
          <w:szCs w:val="22"/>
          <w:lang w:val="es-ES_tradnl"/>
        </w:rPr>
        <w:t xml:space="preserve">sin programa </w:t>
      </w:r>
      <w:r>
        <w:rPr>
          <w:rFonts w:ascii="Arial" w:eastAsia="Arial" w:hAnsi="Arial" w:cs="Arial"/>
          <w:sz w:val="22"/>
          <w:szCs w:val="22"/>
          <w:lang w:val="es-ES_tradnl"/>
        </w:rPr>
        <w:t>del SENAE y el SRI y el costo de la mejora de los procesos de gestión (programa)</w:t>
      </w:r>
      <w:r w:rsidR="00DF1A21">
        <w:rPr>
          <w:rFonts w:ascii="Arial" w:eastAsia="Arial" w:hAnsi="Arial" w:cs="Arial"/>
          <w:sz w:val="22"/>
          <w:szCs w:val="22"/>
          <w:lang w:val="es-ES_tradnl"/>
        </w:rPr>
        <w:t xml:space="preserve"> </w:t>
      </w:r>
      <w:bookmarkStart w:id="5" w:name="_Hlk66194166"/>
      <w:r w:rsidR="00DF1A21">
        <w:rPr>
          <w:rFonts w:ascii="Arial" w:eastAsia="Arial" w:hAnsi="Arial" w:cs="Arial"/>
          <w:sz w:val="22"/>
          <w:szCs w:val="22"/>
          <w:lang w:val="es-ES_tradnl"/>
        </w:rPr>
        <w:t xml:space="preserve">al que se </w:t>
      </w:r>
      <w:r w:rsidR="00E80073">
        <w:rPr>
          <w:rFonts w:ascii="Arial" w:eastAsia="Arial" w:hAnsi="Arial" w:cs="Arial"/>
          <w:sz w:val="22"/>
          <w:szCs w:val="22"/>
          <w:lang w:val="es-ES_tradnl"/>
        </w:rPr>
        <w:t xml:space="preserve">le </w:t>
      </w:r>
      <w:r w:rsidR="00DF1A21">
        <w:rPr>
          <w:rFonts w:ascii="Arial" w:eastAsia="Arial" w:hAnsi="Arial" w:cs="Arial"/>
          <w:sz w:val="22"/>
          <w:szCs w:val="22"/>
          <w:lang w:val="es-ES_tradnl"/>
        </w:rPr>
        <w:t>descuenta la reducción del presupuesto de costos original como consecuencia de</w:t>
      </w:r>
      <w:r w:rsidR="00E80073">
        <w:rPr>
          <w:rFonts w:ascii="Arial" w:eastAsia="Arial" w:hAnsi="Arial" w:cs="Arial"/>
          <w:sz w:val="22"/>
          <w:szCs w:val="22"/>
          <w:lang w:val="es-ES_tradnl"/>
        </w:rPr>
        <w:t xml:space="preserve"> </w:t>
      </w:r>
      <w:r w:rsidR="00DF1A21">
        <w:rPr>
          <w:rFonts w:ascii="Arial" w:eastAsia="Arial" w:hAnsi="Arial" w:cs="Arial"/>
          <w:sz w:val="22"/>
          <w:szCs w:val="22"/>
          <w:lang w:val="es-ES_tradnl"/>
        </w:rPr>
        <w:t>l</w:t>
      </w:r>
      <w:r w:rsidR="00E80073">
        <w:rPr>
          <w:rFonts w:ascii="Arial" w:eastAsia="Arial" w:hAnsi="Arial" w:cs="Arial"/>
          <w:sz w:val="22"/>
          <w:szCs w:val="22"/>
          <w:lang w:val="es-ES_tradnl"/>
        </w:rPr>
        <w:t xml:space="preserve">os ahorros generados por </w:t>
      </w:r>
      <w:r w:rsidR="00C941D1">
        <w:rPr>
          <w:rFonts w:ascii="Arial" w:eastAsia="Arial" w:hAnsi="Arial" w:cs="Arial"/>
          <w:sz w:val="22"/>
          <w:szCs w:val="22"/>
          <w:lang w:val="es-ES_tradnl"/>
        </w:rPr>
        <w:t>el programa</w:t>
      </w:r>
      <w:r>
        <w:rPr>
          <w:rFonts w:ascii="Arial" w:eastAsia="Arial" w:hAnsi="Arial" w:cs="Arial"/>
          <w:sz w:val="22"/>
          <w:szCs w:val="22"/>
          <w:lang w:val="es-ES_tradnl"/>
        </w:rPr>
        <w:t xml:space="preserve">. </w:t>
      </w:r>
      <w:bookmarkEnd w:id="5"/>
      <w:r>
        <w:rPr>
          <w:rFonts w:ascii="Arial" w:eastAsia="Arial" w:hAnsi="Arial" w:cs="Arial"/>
          <w:sz w:val="22"/>
          <w:szCs w:val="22"/>
          <w:lang w:val="es-ES_tradnl"/>
        </w:rPr>
        <w:t>El rendimiento se define en el caso del SRI como</w:t>
      </w:r>
      <w:r w:rsidRPr="009C0E1F">
        <w:rPr>
          <w:rFonts w:ascii="Arial" w:eastAsia="Arial" w:hAnsi="Arial" w:cs="Arial"/>
          <w:sz w:val="22"/>
          <w:szCs w:val="22"/>
          <w:lang w:val="es-ES_tradnl"/>
        </w:rPr>
        <w:t xml:space="preserve"> </w:t>
      </w:r>
      <w:r>
        <w:rPr>
          <w:rFonts w:ascii="Arial" w:eastAsia="Arial" w:hAnsi="Arial" w:cs="Arial"/>
          <w:sz w:val="22"/>
          <w:szCs w:val="22"/>
          <w:lang w:val="es-ES_tradnl"/>
        </w:rPr>
        <w:t>la recaudación tributaria no petrolera total menos la recaudación de aranceles</w:t>
      </w:r>
      <w:r w:rsidRPr="009C0E1F">
        <w:rPr>
          <w:rFonts w:ascii="Arial" w:eastAsia="Arial" w:hAnsi="Arial" w:cs="Arial"/>
          <w:sz w:val="22"/>
          <w:szCs w:val="22"/>
          <w:lang w:val="es-ES_tradnl"/>
        </w:rPr>
        <w:t xml:space="preserve">. </w:t>
      </w:r>
      <w:r>
        <w:rPr>
          <w:rFonts w:ascii="Arial" w:eastAsia="Arial" w:hAnsi="Arial" w:cs="Arial"/>
          <w:sz w:val="22"/>
          <w:szCs w:val="22"/>
          <w:lang w:val="es-ES_tradnl"/>
        </w:rPr>
        <w:t xml:space="preserve">En el caso del SENAE se define como la recaudación generada por los aranceles. </w:t>
      </w:r>
    </w:p>
    <w:p w14:paraId="0D20E612" w14:textId="41E4926C" w:rsidR="009A16AD" w:rsidRPr="0015059B" w:rsidRDefault="009A16AD" w:rsidP="005D44DB">
      <w:pPr>
        <w:pStyle w:val="Paragraph"/>
        <w:numPr>
          <w:ilvl w:val="1"/>
          <w:numId w:val="2"/>
        </w:numPr>
        <w:tabs>
          <w:tab w:val="clear" w:pos="1296"/>
        </w:tabs>
        <w:ind w:left="720" w:hanging="720"/>
        <w:outlineLvl w:val="9"/>
        <w:rPr>
          <w:rFonts w:ascii="Arial" w:hAnsi="Arial" w:cs="Arial"/>
          <w:sz w:val="22"/>
          <w:szCs w:val="22"/>
          <w:lang w:val="es-ES_tradnl"/>
        </w:rPr>
      </w:pPr>
      <w:r w:rsidRPr="009C0E1F">
        <w:rPr>
          <w:rFonts w:ascii="Arial" w:eastAsia="Arial" w:hAnsi="Arial" w:cs="Arial"/>
          <w:sz w:val="22"/>
          <w:szCs w:val="22"/>
          <w:lang w:val="es-ES_tradnl"/>
        </w:rPr>
        <w:t xml:space="preserve">En </w:t>
      </w:r>
      <w:r>
        <w:rPr>
          <w:rFonts w:ascii="Arial" w:eastAsia="Arial" w:hAnsi="Arial" w:cs="Arial"/>
          <w:sz w:val="22"/>
          <w:szCs w:val="22"/>
          <w:lang w:val="es-ES_tradnl"/>
        </w:rPr>
        <w:t xml:space="preserve">el año </w:t>
      </w:r>
      <w:r w:rsidR="0026614B">
        <w:rPr>
          <w:rFonts w:ascii="Arial" w:eastAsia="Arial" w:hAnsi="Arial" w:cs="Arial"/>
          <w:sz w:val="22"/>
          <w:szCs w:val="22"/>
          <w:lang w:val="es-ES_tradnl"/>
        </w:rPr>
        <w:t>2019</w:t>
      </w:r>
      <w:r w:rsidRPr="009C0E1F">
        <w:rPr>
          <w:rFonts w:ascii="Arial" w:eastAsia="Arial" w:hAnsi="Arial" w:cs="Arial"/>
          <w:sz w:val="22"/>
          <w:szCs w:val="22"/>
          <w:lang w:val="es-ES_tradnl"/>
        </w:rPr>
        <w:t xml:space="preserve">, el </w:t>
      </w:r>
      <w:r>
        <w:rPr>
          <w:rFonts w:ascii="Arial" w:eastAsia="Arial" w:hAnsi="Arial" w:cs="Arial"/>
          <w:sz w:val="22"/>
          <w:szCs w:val="22"/>
          <w:lang w:val="es-ES_tradnl"/>
        </w:rPr>
        <w:t>presupuesto de gastos ejecutado del SRI fue</w:t>
      </w:r>
      <w:r w:rsidRPr="009C0E1F">
        <w:rPr>
          <w:rFonts w:ascii="Arial" w:eastAsia="Arial" w:hAnsi="Arial" w:cs="Arial"/>
          <w:sz w:val="22"/>
          <w:szCs w:val="22"/>
          <w:lang w:val="es-ES_tradnl"/>
        </w:rPr>
        <w:t xml:space="preserve"> de US$</w:t>
      </w:r>
      <w:r w:rsidR="0026614B">
        <w:rPr>
          <w:rFonts w:ascii="Arial" w:eastAsia="Arial" w:hAnsi="Arial" w:cs="Arial"/>
          <w:sz w:val="22"/>
          <w:szCs w:val="22"/>
          <w:lang w:val="es-ES_tradnl"/>
        </w:rPr>
        <w:t>110</w:t>
      </w:r>
      <w:r w:rsidR="0078084A">
        <w:rPr>
          <w:rFonts w:ascii="Arial" w:eastAsia="Arial" w:hAnsi="Arial" w:cs="Arial"/>
          <w:sz w:val="22"/>
          <w:szCs w:val="22"/>
          <w:lang w:val="es-ES_tradnl"/>
        </w:rPr>
        <w:t>,</w:t>
      </w:r>
      <w:r w:rsidR="0026614B">
        <w:rPr>
          <w:rFonts w:ascii="Arial" w:eastAsia="Arial" w:hAnsi="Arial" w:cs="Arial"/>
          <w:sz w:val="22"/>
          <w:szCs w:val="22"/>
          <w:lang w:val="es-ES_tradnl"/>
        </w:rPr>
        <w:t>8</w:t>
      </w:r>
      <w:r w:rsidR="0078084A">
        <w:rPr>
          <w:rFonts w:ascii="Arial" w:eastAsia="Arial" w:hAnsi="Arial" w:cs="Arial"/>
          <w:sz w:val="22"/>
          <w:szCs w:val="22"/>
          <w:lang w:val="es-ES_tradnl"/>
        </w:rPr>
        <w:t> </w:t>
      </w:r>
      <w:r w:rsidRPr="009C0E1F">
        <w:rPr>
          <w:rFonts w:ascii="Arial" w:eastAsia="Arial" w:hAnsi="Arial" w:cs="Arial"/>
          <w:sz w:val="22"/>
          <w:szCs w:val="22"/>
          <w:lang w:val="es-ES_tradnl"/>
        </w:rPr>
        <w:t>millones</w:t>
      </w:r>
      <w:r>
        <w:rPr>
          <w:rStyle w:val="FootnoteReference"/>
          <w:rFonts w:ascii="Arial" w:eastAsia="Arial" w:hAnsi="Arial" w:cs="Arial"/>
          <w:sz w:val="22"/>
          <w:szCs w:val="22"/>
          <w:lang w:val="es-ES_tradnl"/>
        </w:rPr>
        <w:footnoteReference w:id="3"/>
      </w:r>
      <w:r w:rsidRPr="009C0E1F">
        <w:rPr>
          <w:rFonts w:ascii="Arial" w:eastAsia="Arial" w:hAnsi="Arial" w:cs="Arial"/>
          <w:sz w:val="22"/>
          <w:szCs w:val="22"/>
          <w:lang w:val="es-ES_tradnl"/>
        </w:rPr>
        <w:t xml:space="preserve"> (C</w:t>
      </w:r>
      <w:r w:rsidRPr="009C0E1F">
        <w:rPr>
          <w:rFonts w:ascii="Arial" w:eastAsia="Arial" w:hAnsi="Arial" w:cs="Arial"/>
          <w:sz w:val="22"/>
          <w:szCs w:val="22"/>
          <w:vertAlign w:val="subscript"/>
          <w:lang w:val="es-ES_tradnl"/>
        </w:rPr>
        <w:t>A</w:t>
      </w:r>
      <w:r w:rsidRPr="009C0E1F">
        <w:rPr>
          <w:rFonts w:ascii="Arial" w:eastAsia="Arial" w:hAnsi="Arial" w:cs="Arial"/>
          <w:sz w:val="22"/>
          <w:szCs w:val="22"/>
          <w:lang w:val="es-ES_tradnl"/>
        </w:rPr>
        <w:t xml:space="preserve"> – costo sin proyecto) y se </w:t>
      </w:r>
      <w:r>
        <w:rPr>
          <w:rFonts w:ascii="Arial" w:eastAsia="Arial" w:hAnsi="Arial" w:cs="Arial"/>
          <w:sz w:val="22"/>
          <w:szCs w:val="22"/>
          <w:lang w:val="es-ES_tradnl"/>
        </w:rPr>
        <w:t xml:space="preserve">obtuvo una recaudación tributaria (ingresos tributarios totales menos aranceles </w:t>
      </w:r>
      <w:r w:rsidRPr="009C0E1F">
        <w:rPr>
          <w:rFonts w:ascii="Arial" w:eastAsia="Arial" w:hAnsi="Arial" w:cs="Arial"/>
          <w:sz w:val="22"/>
          <w:szCs w:val="22"/>
          <w:lang w:val="es-ES_tradnl"/>
        </w:rPr>
        <w:t xml:space="preserve">el mismo año </w:t>
      </w:r>
      <w:r>
        <w:rPr>
          <w:rFonts w:ascii="Arial" w:eastAsia="Arial" w:hAnsi="Arial" w:cs="Arial"/>
          <w:sz w:val="22"/>
          <w:szCs w:val="22"/>
          <w:lang w:val="es-ES_tradnl"/>
        </w:rPr>
        <w:t>de US$</w:t>
      </w:r>
      <w:r w:rsidR="0026614B">
        <w:rPr>
          <w:rFonts w:ascii="Arial" w:eastAsia="Arial" w:hAnsi="Arial" w:cs="Arial"/>
          <w:sz w:val="22"/>
          <w:szCs w:val="22"/>
          <w:lang w:val="es-ES_tradnl"/>
        </w:rPr>
        <w:t>13,181</w:t>
      </w:r>
      <w:r w:rsidRPr="009C0E1F">
        <w:rPr>
          <w:rFonts w:ascii="Arial" w:eastAsia="Arial" w:hAnsi="Arial" w:cs="Arial"/>
          <w:sz w:val="22"/>
          <w:szCs w:val="22"/>
          <w:lang w:val="es-ES_tradnl"/>
        </w:rPr>
        <w:t xml:space="preserve"> millones</w:t>
      </w:r>
      <w:r>
        <w:rPr>
          <w:rStyle w:val="FootnoteReference"/>
          <w:rFonts w:ascii="Arial" w:eastAsia="Arial" w:hAnsi="Arial" w:cs="Arial"/>
          <w:sz w:val="22"/>
          <w:szCs w:val="22"/>
          <w:lang w:val="es-ES_tradnl"/>
        </w:rPr>
        <w:footnoteReference w:id="4"/>
      </w:r>
      <w:r w:rsidRPr="009C0E1F">
        <w:rPr>
          <w:rFonts w:ascii="Arial" w:eastAsia="Arial" w:hAnsi="Arial" w:cs="Arial"/>
          <w:sz w:val="22"/>
          <w:szCs w:val="22"/>
          <w:lang w:val="es-ES_tradnl"/>
        </w:rPr>
        <w:t xml:space="preserve"> </w:t>
      </w:r>
      <w:bookmarkStart w:id="6" w:name="_Hlk26723128"/>
      <w:r w:rsidRPr="009C0E1F">
        <w:rPr>
          <w:rFonts w:ascii="Arial" w:eastAsia="Arial" w:hAnsi="Arial" w:cs="Arial"/>
          <w:sz w:val="22"/>
          <w:szCs w:val="22"/>
          <w:lang w:val="es-ES_tradnl"/>
        </w:rPr>
        <w:t>(E</w:t>
      </w:r>
      <w:r w:rsidRPr="009C0E1F">
        <w:rPr>
          <w:rFonts w:ascii="Arial" w:eastAsia="Arial" w:hAnsi="Arial" w:cs="Arial"/>
          <w:sz w:val="22"/>
          <w:szCs w:val="22"/>
          <w:vertAlign w:val="subscript"/>
          <w:lang w:val="es-ES_tradnl"/>
        </w:rPr>
        <w:t>A</w:t>
      </w:r>
      <w:r w:rsidRPr="009C0E1F">
        <w:rPr>
          <w:rFonts w:ascii="Arial" w:eastAsia="Arial" w:hAnsi="Arial" w:cs="Arial"/>
          <w:sz w:val="22"/>
          <w:szCs w:val="22"/>
          <w:lang w:val="es-ES_tradnl"/>
        </w:rPr>
        <w:t xml:space="preserve"> – </w:t>
      </w:r>
      <w:r>
        <w:rPr>
          <w:rFonts w:ascii="Arial" w:eastAsia="Arial" w:hAnsi="Arial" w:cs="Arial"/>
          <w:sz w:val="22"/>
          <w:szCs w:val="22"/>
          <w:lang w:val="es-ES_tradnl"/>
        </w:rPr>
        <w:t>Efectividad</w:t>
      </w:r>
      <w:r w:rsidRPr="009C0E1F">
        <w:rPr>
          <w:rFonts w:ascii="Arial" w:eastAsia="Arial" w:hAnsi="Arial" w:cs="Arial"/>
          <w:sz w:val="22"/>
          <w:szCs w:val="22"/>
          <w:lang w:val="es-ES_tradnl"/>
        </w:rPr>
        <w:t xml:space="preserve"> sin proyecto)</w:t>
      </w:r>
      <w:bookmarkEnd w:id="6"/>
      <w:r>
        <w:rPr>
          <w:rFonts w:ascii="Arial" w:eastAsia="Arial" w:hAnsi="Arial" w:cs="Arial"/>
          <w:sz w:val="22"/>
          <w:szCs w:val="22"/>
          <w:lang w:val="es-ES_tradnl"/>
        </w:rPr>
        <w:t xml:space="preserve">. </w:t>
      </w:r>
      <w:r w:rsidRPr="009C0E1F">
        <w:rPr>
          <w:rFonts w:ascii="Arial" w:eastAsia="Arial" w:hAnsi="Arial" w:cs="Arial"/>
          <w:sz w:val="22"/>
          <w:szCs w:val="22"/>
          <w:lang w:val="es-ES_tradnl"/>
        </w:rPr>
        <w:t xml:space="preserve">El costo </w:t>
      </w:r>
      <w:r>
        <w:rPr>
          <w:rFonts w:ascii="Arial" w:eastAsia="Arial" w:hAnsi="Arial" w:cs="Arial"/>
          <w:sz w:val="22"/>
          <w:szCs w:val="22"/>
          <w:lang w:val="es-ES_tradnl"/>
        </w:rPr>
        <w:t>- efectividad</w:t>
      </w:r>
      <w:r w:rsidRPr="009C0E1F">
        <w:rPr>
          <w:rFonts w:ascii="Arial" w:eastAsia="Arial" w:hAnsi="Arial" w:cs="Arial"/>
          <w:sz w:val="22"/>
          <w:szCs w:val="22"/>
          <w:lang w:val="es-ES_tradnl"/>
        </w:rPr>
        <w:t xml:space="preserve"> medio (CEM</w:t>
      </w:r>
      <w:r w:rsidRPr="009C0E1F">
        <w:rPr>
          <w:rFonts w:ascii="Arial" w:eastAsia="Arial" w:hAnsi="Arial" w:cs="Arial"/>
          <w:sz w:val="22"/>
          <w:szCs w:val="22"/>
          <w:vertAlign w:val="subscript"/>
          <w:lang w:val="es-ES_tradnl"/>
        </w:rPr>
        <w:t>A</w:t>
      </w:r>
      <w:r w:rsidRPr="009C0E1F">
        <w:rPr>
          <w:rFonts w:ascii="Arial" w:eastAsia="Arial" w:hAnsi="Arial" w:cs="Arial"/>
          <w:sz w:val="22"/>
          <w:szCs w:val="22"/>
          <w:lang w:val="es-ES_tradnl"/>
        </w:rPr>
        <w:t xml:space="preserve"> – sin proyecto) de</w:t>
      </w:r>
      <w:r>
        <w:rPr>
          <w:rFonts w:ascii="Arial" w:eastAsia="Arial" w:hAnsi="Arial" w:cs="Arial"/>
          <w:sz w:val="22"/>
          <w:szCs w:val="22"/>
          <w:lang w:val="es-ES_tradnl"/>
        </w:rPr>
        <w:t xml:space="preserve"> las actividades de control tributario del SRI</w:t>
      </w:r>
      <w:r w:rsidRPr="009C0E1F">
        <w:rPr>
          <w:rFonts w:ascii="Arial" w:eastAsia="Arial" w:hAnsi="Arial" w:cs="Arial"/>
          <w:sz w:val="22"/>
          <w:szCs w:val="22"/>
          <w:lang w:val="es-ES_tradnl"/>
        </w:rPr>
        <w:t xml:space="preserve"> </w:t>
      </w:r>
      <w:r>
        <w:rPr>
          <w:rFonts w:ascii="Arial" w:eastAsia="Arial" w:hAnsi="Arial" w:cs="Arial"/>
          <w:sz w:val="22"/>
          <w:szCs w:val="22"/>
          <w:lang w:val="es-ES_tradnl"/>
        </w:rPr>
        <w:t>definido como los costos de gestión de control tributario por un dólar de recaudación tributaria doméstica</w:t>
      </w:r>
      <w:r w:rsidRPr="009C0E1F">
        <w:rPr>
          <w:rFonts w:ascii="Arial" w:eastAsia="Arial" w:hAnsi="Arial" w:cs="Arial"/>
          <w:sz w:val="22"/>
          <w:szCs w:val="22"/>
          <w:lang w:val="es-ES_tradnl"/>
        </w:rPr>
        <w:t xml:space="preserve"> </w:t>
      </w:r>
      <w:r>
        <w:rPr>
          <w:rFonts w:ascii="Arial" w:eastAsia="Arial" w:hAnsi="Arial" w:cs="Arial"/>
          <w:sz w:val="22"/>
          <w:szCs w:val="22"/>
          <w:lang w:val="es-ES_tradnl"/>
        </w:rPr>
        <w:t>fue</w:t>
      </w:r>
      <w:r w:rsidRPr="009C0E1F">
        <w:rPr>
          <w:rFonts w:ascii="Arial" w:eastAsia="Arial" w:hAnsi="Arial" w:cs="Arial"/>
          <w:sz w:val="22"/>
          <w:szCs w:val="22"/>
          <w:lang w:val="es-ES_tradnl"/>
        </w:rPr>
        <w:t xml:space="preserve"> de US$</w:t>
      </w:r>
      <w:r w:rsidR="0026614B">
        <w:rPr>
          <w:rFonts w:ascii="Arial" w:eastAsia="Arial" w:hAnsi="Arial" w:cs="Arial"/>
          <w:sz w:val="22"/>
          <w:szCs w:val="22"/>
          <w:lang w:val="es-ES_tradnl"/>
        </w:rPr>
        <w:t>0.0084</w:t>
      </w:r>
      <w:r w:rsidR="004A74C4">
        <w:rPr>
          <w:rFonts w:ascii="Arial" w:eastAsia="Arial" w:hAnsi="Arial" w:cs="Arial"/>
          <w:sz w:val="22"/>
          <w:szCs w:val="22"/>
          <w:lang w:val="es-ES_tradnl"/>
        </w:rPr>
        <w:t> </w:t>
      </w:r>
      <w:r w:rsidRPr="009C0E1F">
        <w:rPr>
          <w:rFonts w:ascii="Arial" w:eastAsia="Arial" w:hAnsi="Arial" w:cs="Arial"/>
          <w:sz w:val="22"/>
          <w:szCs w:val="22"/>
          <w:lang w:val="es-ES_tradnl"/>
        </w:rPr>
        <w:t>(CEM</w:t>
      </w:r>
      <w:r w:rsidRPr="009C0E1F">
        <w:rPr>
          <w:rFonts w:ascii="Arial" w:eastAsia="Arial" w:hAnsi="Arial" w:cs="Arial"/>
          <w:sz w:val="22"/>
          <w:szCs w:val="22"/>
          <w:vertAlign w:val="subscript"/>
          <w:lang w:val="es-ES_tradnl"/>
        </w:rPr>
        <w:t>A</w:t>
      </w:r>
      <w:r w:rsidR="0078084A">
        <w:rPr>
          <w:rFonts w:ascii="Arial" w:eastAsia="Arial" w:hAnsi="Arial" w:cs="Arial"/>
          <w:sz w:val="22"/>
          <w:szCs w:val="22"/>
          <w:lang w:val="es-ES_tradnl"/>
        </w:rPr>
        <w:t> </w:t>
      </w:r>
      <w:r w:rsidRPr="009C0E1F">
        <w:rPr>
          <w:rFonts w:ascii="Arial" w:eastAsia="Arial" w:hAnsi="Arial" w:cs="Arial"/>
          <w:sz w:val="22"/>
          <w:szCs w:val="22"/>
          <w:lang w:val="es-ES_tradnl"/>
        </w:rPr>
        <w:t>=</w:t>
      </w:r>
      <w:r w:rsidR="0078084A">
        <w:rPr>
          <w:rFonts w:ascii="Arial" w:eastAsia="Arial" w:hAnsi="Arial" w:cs="Arial"/>
          <w:sz w:val="22"/>
          <w:szCs w:val="22"/>
          <w:lang w:val="es-ES_tradnl"/>
        </w:rPr>
        <w:t> </w:t>
      </w:r>
      <w:r w:rsidRPr="009C0E1F">
        <w:rPr>
          <w:rFonts w:ascii="Arial" w:eastAsia="Arial" w:hAnsi="Arial" w:cs="Arial"/>
          <w:sz w:val="22"/>
          <w:szCs w:val="22"/>
          <w:lang w:val="es-ES_tradnl"/>
        </w:rPr>
        <w:t>US$</w:t>
      </w:r>
      <w:r w:rsidR="0026614B">
        <w:rPr>
          <w:rFonts w:ascii="Arial" w:eastAsia="Arial" w:hAnsi="Arial" w:cs="Arial"/>
          <w:sz w:val="22"/>
          <w:szCs w:val="22"/>
          <w:lang w:val="es-ES_tradnl"/>
        </w:rPr>
        <w:t>110</w:t>
      </w:r>
      <w:r w:rsidR="0078084A">
        <w:rPr>
          <w:rFonts w:ascii="Arial" w:eastAsia="Arial" w:hAnsi="Arial" w:cs="Arial"/>
          <w:sz w:val="22"/>
          <w:szCs w:val="22"/>
          <w:lang w:val="es-ES_tradnl"/>
        </w:rPr>
        <w:t>,</w:t>
      </w:r>
      <w:r w:rsidR="0026614B">
        <w:rPr>
          <w:rFonts w:ascii="Arial" w:eastAsia="Arial" w:hAnsi="Arial" w:cs="Arial"/>
          <w:sz w:val="22"/>
          <w:szCs w:val="22"/>
          <w:lang w:val="es-ES_tradnl"/>
        </w:rPr>
        <w:t>8</w:t>
      </w:r>
      <w:r w:rsidR="0078084A">
        <w:rPr>
          <w:rFonts w:ascii="Arial" w:eastAsia="Arial" w:hAnsi="Arial" w:cs="Arial"/>
          <w:sz w:val="22"/>
          <w:szCs w:val="22"/>
          <w:lang w:val="es-ES_tradnl"/>
        </w:rPr>
        <w:t> </w:t>
      </w:r>
      <w:r w:rsidRPr="009C0E1F">
        <w:rPr>
          <w:rFonts w:ascii="Arial" w:eastAsia="Arial" w:hAnsi="Arial" w:cs="Arial"/>
          <w:sz w:val="22"/>
          <w:szCs w:val="22"/>
          <w:lang w:val="es-ES_tradnl"/>
        </w:rPr>
        <w:t>millones</w:t>
      </w:r>
      <w:r>
        <w:rPr>
          <w:rFonts w:ascii="Arial" w:eastAsia="Arial" w:hAnsi="Arial" w:cs="Arial"/>
          <w:sz w:val="22"/>
          <w:szCs w:val="22"/>
          <w:lang w:val="es-ES_tradnl"/>
        </w:rPr>
        <w:t xml:space="preserve"> de costo</w:t>
      </w:r>
      <w:r w:rsidRPr="009C0E1F">
        <w:rPr>
          <w:rFonts w:ascii="Arial" w:eastAsia="Arial" w:hAnsi="Arial" w:cs="Arial"/>
          <w:sz w:val="22"/>
          <w:szCs w:val="22"/>
          <w:lang w:val="es-ES_tradnl"/>
        </w:rPr>
        <w:t xml:space="preserve"> / </w:t>
      </w:r>
      <w:r>
        <w:rPr>
          <w:rFonts w:ascii="Arial" w:eastAsia="Arial" w:hAnsi="Arial" w:cs="Arial"/>
          <w:sz w:val="22"/>
          <w:szCs w:val="22"/>
          <w:lang w:val="es-ES_tradnl"/>
        </w:rPr>
        <w:t>US$</w:t>
      </w:r>
      <w:r w:rsidR="0026614B">
        <w:rPr>
          <w:rFonts w:ascii="Arial" w:eastAsia="Arial" w:hAnsi="Arial" w:cs="Arial"/>
          <w:sz w:val="22"/>
          <w:szCs w:val="22"/>
          <w:lang w:val="es-ES_tradnl"/>
        </w:rPr>
        <w:t>13,181</w:t>
      </w:r>
      <w:r w:rsidRPr="009C0E1F">
        <w:rPr>
          <w:rFonts w:ascii="Arial" w:eastAsia="Arial" w:hAnsi="Arial" w:cs="Arial"/>
          <w:sz w:val="22"/>
          <w:szCs w:val="22"/>
          <w:lang w:val="es-ES_tradnl"/>
        </w:rPr>
        <w:t xml:space="preserve"> millones de </w:t>
      </w:r>
      <w:r>
        <w:rPr>
          <w:rFonts w:ascii="Arial" w:eastAsia="Arial" w:hAnsi="Arial" w:cs="Arial"/>
          <w:sz w:val="22"/>
          <w:szCs w:val="22"/>
          <w:lang w:val="es-ES_tradnl"/>
        </w:rPr>
        <w:t>recaudación</w:t>
      </w:r>
      <w:r w:rsidRPr="009C0E1F">
        <w:rPr>
          <w:rFonts w:ascii="Arial" w:eastAsia="Arial" w:hAnsi="Arial" w:cs="Arial"/>
          <w:sz w:val="22"/>
          <w:szCs w:val="22"/>
          <w:lang w:val="es-ES_tradnl"/>
        </w:rPr>
        <w:t>)</w:t>
      </w:r>
      <w:r w:rsidR="00946EF2">
        <w:rPr>
          <w:rStyle w:val="FootnoteReference"/>
          <w:rFonts w:ascii="Arial" w:eastAsia="Arial" w:hAnsi="Arial" w:cs="Arial"/>
          <w:sz w:val="22"/>
          <w:szCs w:val="22"/>
          <w:lang w:val="es-ES_tradnl"/>
        </w:rPr>
        <w:footnoteReference w:id="5"/>
      </w:r>
      <w:r w:rsidRPr="009C0E1F">
        <w:rPr>
          <w:rFonts w:ascii="Arial" w:eastAsia="Arial" w:hAnsi="Arial" w:cs="Arial"/>
          <w:sz w:val="22"/>
          <w:szCs w:val="22"/>
          <w:lang w:val="es-ES_tradnl"/>
        </w:rPr>
        <w:t xml:space="preserve">. </w:t>
      </w:r>
    </w:p>
    <w:p w14:paraId="42270480" w14:textId="65A7D8BD" w:rsidR="009A16AD" w:rsidRPr="0015059B" w:rsidRDefault="009A16AD" w:rsidP="005D44DB">
      <w:pPr>
        <w:pStyle w:val="Paragraph"/>
        <w:numPr>
          <w:ilvl w:val="1"/>
          <w:numId w:val="2"/>
        </w:numPr>
        <w:tabs>
          <w:tab w:val="clear" w:pos="1296"/>
        </w:tabs>
        <w:ind w:left="720" w:hanging="720"/>
        <w:outlineLvl w:val="9"/>
        <w:rPr>
          <w:rFonts w:ascii="Arial" w:eastAsia="Arial" w:hAnsi="Arial" w:cs="Arial"/>
          <w:sz w:val="22"/>
          <w:szCs w:val="22"/>
          <w:lang w:val="es-ES_tradnl"/>
        </w:rPr>
      </w:pPr>
      <w:r w:rsidRPr="009C0E1F">
        <w:rPr>
          <w:rFonts w:ascii="Arial" w:eastAsia="Arial" w:hAnsi="Arial" w:cs="Arial"/>
          <w:sz w:val="22"/>
          <w:szCs w:val="22"/>
          <w:lang w:val="es-ES_tradnl"/>
        </w:rPr>
        <w:t xml:space="preserve">En </w:t>
      </w:r>
      <w:r>
        <w:rPr>
          <w:rFonts w:ascii="Arial" w:eastAsia="Arial" w:hAnsi="Arial" w:cs="Arial"/>
          <w:sz w:val="22"/>
          <w:szCs w:val="22"/>
          <w:lang w:val="es-ES_tradnl"/>
        </w:rPr>
        <w:t xml:space="preserve">el caso del SENAE, en el año </w:t>
      </w:r>
      <w:r w:rsidR="0026614B">
        <w:rPr>
          <w:rFonts w:ascii="Arial" w:eastAsia="Arial" w:hAnsi="Arial" w:cs="Arial"/>
          <w:sz w:val="22"/>
          <w:szCs w:val="22"/>
          <w:lang w:val="es-ES_tradnl"/>
        </w:rPr>
        <w:t>2019</w:t>
      </w:r>
      <w:r w:rsidRPr="009C0E1F">
        <w:rPr>
          <w:rFonts w:ascii="Arial" w:eastAsia="Arial" w:hAnsi="Arial" w:cs="Arial"/>
          <w:sz w:val="22"/>
          <w:szCs w:val="22"/>
          <w:lang w:val="es-ES_tradnl"/>
        </w:rPr>
        <w:t xml:space="preserve">, el costo de </w:t>
      </w:r>
      <w:r>
        <w:rPr>
          <w:rFonts w:ascii="Arial" w:eastAsia="Arial" w:hAnsi="Arial" w:cs="Arial"/>
          <w:sz w:val="22"/>
          <w:szCs w:val="22"/>
          <w:lang w:val="es-ES_tradnl"/>
        </w:rPr>
        <w:t>las labores del SENAE fue</w:t>
      </w:r>
      <w:r w:rsidRPr="009C0E1F">
        <w:rPr>
          <w:rFonts w:ascii="Arial" w:eastAsia="Arial" w:hAnsi="Arial" w:cs="Arial"/>
          <w:sz w:val="22"/>
          <w:szCs w:val="22"/>
          <w:lang w:val="es-ES_tradnl"/>
        </w:rPr>
        <w:t xml:space="preserve"> de US$</w:t>
      </w:r>
      <w:r w:rsidR="0026614B">
        <w:rPr>
          <w:rFonts w:ascii="Arial" w:eastAsia="Arial" w:hAnsi="Arial" w:cs="Arial"/>
          <w:sz w:val="22"/>
          <w:szCs w:val="22"/>
          <w:lang w:val="es-ES_tradnl"/>
        </w:rPr>
        <w:t>47</w:t>
      </w:r>
      <w:r w:rsidR="00E675BA">
        <w:rPr>
          <w:rFonts w:ascii="Arial" w:eastAsia="Arial" w:hAnsi="Arial" w:cs="Arial"/>
          <w:sz w:val="22"/>
          <w:szCs w:val="22"/>
          <w:lang w:val="es-ES_tradnl"/>
        </w:rPr>
        <w:t>,</w:t>
      </w:r>
      <w:r w:rsidR="0026614B">
        <w:rPr>
          <w:rFonts w:ascii="Arial" w:eastAsia="Arial" w:hAnsi="Arial" w:cs="Arial"/>
          <w:sz w:val="22"/>
          <w:szCs w:val="22"/>
          <w:lang w:val="es-ES_tradnl"/>
        </w:rPr>
        <w:t>8</w:t>
      </w:r>
      <w:r w:rsidRPr="009C0E1F">
        <w:rPr>
          <w:rFonts w:ascii="Arial" w:eastAsia="Arial" w:hAnsi="Arial" w:cs="Arial"/>
          <w:sz w:val="22"/>
          <w:szCs w:val="22"/>
          <w:lang w:val="es-ES_tradnl"/>
        </w:rPr>
        <w:t xml:space="preserve"> millones</w:t>
      </w:r>
      <w:r w:rsidRPr="0015059B">
        <w:rPr>
          <w:vertAlign w:val="superscript"/>
        </w:rPr>
        <w:footnoteReference w:id="6"/>
      </w:r>
      <w:r w:rsidRPr="009C0E1F">
        <w:rPr>
          <w:rFonts w:ascii="Arial" w:eastAsia="Arial" w:hAnsi="Arial" w:cs="Arial"/>
          <w:sz w:val="22"/>
          <w:szCs w:val="22"/>
          <w:lang w:val="es-ES_tradnl"/>
        </w:rPr>
        <w:t xml:space="preserve"> </w:t>
      </w:r>
      <w:bookmarkStart w:id="7" w:name="_Hlk26722819"/>
      <w:r w:rsidRPr="009C0E1F">
        <w:rPr>
          <w:rFonts w:ascii="Arial" w:eastAsia="Arial" w:hAnsi="Arial" w:cs="Arial"/>
          <w:sz w:val="22"/>
          <w:szCs w:val="22"/>
          <w:lang w:val="es-ES_tradnl"/>
        </w:rPr>
        <w:t>(C</w:t>
      </w:r>
      <w:r w:rsidRPr="0015059B">
        <w:rPr>
          <w:rFonts w:ascii="Arial" w:eastAsia="Arial" w:hAnsi="Arial" w:cs="Arial"/>
          <w:sz w:val="22"/>
          <w:szCs w:val="22"/>
          <w:vertAlign w:val="subscript"/>
          <w:lang w:val="es-ES_tradnl"/>
        </w:rPr>
        <w:t>A</w:t>
      </w:r>
      <w:r w:rsidRPr="009C0E1F">
        <w:rPr>
          <w:rFonts w:ascii="Arial" w:eastAsia="Arial" w:hAnsi="Arial" w:cs="Arial"/>
          <w:sz w:val="22"/>
          <w:szCs w:val="22"/>
          <w:lang w:val="es-ES_tradnl"/>
        </w:rPr>
        <w:t xml:space="preserve"> – costo sin proyecto)</w:t>
      </w:r>
      <w:bookmarkEnd w:id="7"/>
      <w:r w:rsidRPr="009C0E1F">
        <w:rPr>
          <w:rFonts w:ascii="Arial" w:eastAsia="Arial" w:hAnsi="Arial" w:cs="Arial"/>
          <w:sz w:val="22"/>
          <w:szCs w:val="22"/>
          <w:lang w:val="es-ES_tradnl"/>
        </w:rPr>
        <w:t xml:space="preserve"> y se </w:t>
      </w:r>
      <w:r>
        <w:rPr>
          <w:rFonts w:ascii="Arial" w:eastAsia="Arial" w:hAnsi="Arial" w:cs="Arial"/>
          <w:sz w:val="22"/>
          <w:szCs w:val="22"/>
          <w:lang w:val="es-ES_tradnl"/>
        </w:rPr>
        <w:t xml:space="preserve">obtuvo un rendimiento en la recaudación de aranceles </w:t>
      </w:r>
      <w:r w:rsidRPr="009C0E1F">
        <w:rPr>
          <w:rFonts w:ascii="Arial" w:eastAsia="Arial" w:hAnsi="Arial" w:cs="Arial"/>
          <w:sz w:val="22"/>
          <w:szCs w:val="22"/>
          <w:lang w:val="es-ES_tradnl"/>
        </w:rPr>
        <w:t xml:space="preserve">en el mismo año </w:t>
      </w:r>
      <w:r>
        <w:rPr>
          <w:rFonts w:ascii="Arial" w:eastAsia="Arial" w:hAnsi="Arial" w:cs="Arial"/>
          <w:sz w:val="22"/>
          <w:szCs w:val="22"/>
          <w:lang w:val="es-ES_tradnl"/>
        </w:rPr>
        <w:t>de US$</w:t>
      </w:r>
      <w:r w:rsidR="0026614B">
        <w:rPr>
          <w:rFonts w:ascii="Arial" w:eastAsia="Arial" w:hAnsi="Arial" w:cs="Arial"/>
          <w:sz w:val="22"/>
          <w:szCs w:val="22"/>
          <w:lang w:val="es-ES_tradnl"/>
        </w:rPr>
        <w:t>1,422</w:t>
      </w:r>
      <w:r w:rsidRPr="009C0E1F">
        <w:rPr>
          <w:rFonts w:ascii="Arial" w:eastAsia="Arial" w:hAnsi="Arial" w:cs="Arial"/>
          <w:sz w:val="22"/>
          <w:szCs w:val="22"/>
          <w:lang w:val="es-ES_tradnl"/>
        </w:rPr>
        <w:t xml:space="preserve"> millones</w:t>
      </w:r>
      <w:r w:rsidRPr="007807BF">
        <w:rPr>
          <w:vertAlign w:val="superscript"/>
        </w:rPr>
        <w:footnoteReference w:id="7"/>
      </w:r>
      <w:r>
        <w:rPr>
          <w:rFonts w:ascii="Arial" w:eastAsia="Arial" w:hAnsi="Arial" w:cs="Arial"/>
          <w:sz w:val="22"/>
          <w:szCs w:val="22"/>
          <w:lang w:val="es-ES_tradnl"/>
        </w:rPr>
        <w:t xml:space="preserve"> </w:t>
      </w:r>
      <w:r w:rsidRPr="009C0E1F">
        <w:rPr>
          <w:rFonts w:ascii="Arial" w:eastAsia="Arial" w:hAnsi="Arial" w:cs="Arial"/>
          <w:sz w:val="22"/>
          <w:szCs w:val="22"/>
          <w:lang w:val="es-ES_tradnl"/>
        </w:rPr>
        <w:t>(E</w:t>
      </w:r>
      <w:r w:rsidRPr="007807BF">
        <w:rPr>
          <w:rFonts w:ascii="Arial" w:eastAsia="Arial" w:hAnsi="Arial" w:cs="Arial"/>
          <w:sz w:val="22"/>
          <w:szCs w:val="22"/>
          <w:vertAlign w:val="subscript"/>
          <w:lang w:val="es-ES_tradnl"/>
        </w:rPr>
        <w:t>A</w:t>
      </w:r>
      <w:r w:rsidR="004A74C4">
        <w:rPr>
          <w:rFonts w:ascii="Arial" w:eastAsia="Arial" w:hAnsi="Arial" w:cs="Arial"/>
          <w:sz w:val="22"/>
          <w:szCs w:val="22"/>
          <w:lang w:val="es-ES_tradnl"/>
        </w:rPr>
        <w:t> </w:t>
      </w:r>
      <w:r w:rsidRPr="009C0E1F">
        <w:rPr>
          <w:rFonts w:ascii="Arial" w:eastAsia="Arial" w:hAnsi="Arial" w:cs="Arial"/>
          <w:sz w:val="22"/>
          <w:szCs w:val="22"/>
          <w:lang w:val="es-ES_tradnl"/>
        </w:rPr>
        <w:t>–</w:t>
      </w:r>
      <w:r w:rsidR="004A74C4">
        <w:rPr>
          <w:rFonts w:ascii="Arial" w:eastAsia="Arial" w:hAnsi="Arial" w:cs="Arial"/>
          <w:sz w:val="22"/>
          <w:szCs w:val="22"/>
          <w:lang w:val="es-ES_tradnl"/>
        </w:rPr>
        <w:t> </w:t>
      </w:r>
      <w:r>
        <w:rPr>
          <w:rFonts w:ascii="Arial" w:eastAsia="Arial" w:hAnsi="Arial" w:cs="Arial"/>
          <w:sz w:val="22"/>
          <w:szCs w:val="22"/>
          <w:lang w:val="es-ES_tradnl"/>
        </w:rPr>
        <w:t>Efectividad</w:t>
      </w:r>
      <w:r w:rsidRPr="009C0E1F">
        <w:rPr>
          <w:rFonts w:ascii="Arial" w:eastAsia="Arial" w:hAnsi="Arial" w:cs="Arial"/>
          <w:sz w:val="22"/>
          <w:szCs w:val="22"/>
          <w:lang w:val="es-ES_tradnl"/>
        </w:rPr>
        <w:t xml:space="preserve"> sin proyecto)</w:t>
      </w:r>
      <w:r>
        <w:rPr>
          <w:rFonts w:ascii="Arial" w:eastAsia="Arial" w:hAnsi="Arial" w:cs="Arial"/>
          <w:sz w:val="22"/>
          <w:szCs w:val="22"/>
          <w:lang w:val="es-ES_tradnl"/>
        </w:rPr>
        <w:t>.</w:t>
      </w:r>
      <w:r w:rsidRPr="005D44DB">
        <w:rPr>
          <w:vertAlign w:val="superscript"/>
        </w:rPr>
        <w:t xml:space="preserve"> </w:t>
      </w:r>
      <w:r w:rsidRPr="009C0E1F">
        <w:rPr>
          <w:rFonts w:ascii="Arial" w:eastAsia="Arial" w:hAnsi="Arial" w:cs="Arial"/>
          <w:sz w:val="22"/>
          <w:szCs w:val="22"/>
          <w:lang w:val="es-ES_tradnl"/>
        </w:rPr>
        <w:t xml:space="preserve">El costo </w:t>
      </w:r>
      <w:r>
        <w:rPr>
          <w:rFonts w:ascii="Arial" w:eastAsia="Arial" w:hAnsi="Arial" w:cs="Arial"/>
          <w:sz w:val="22"/>
          <w:szCs w:val="22"/>
          <w:lang w:val="es-ES_tradnl"/>
        </w:rPr>
        <w:t>- efectividad</w:t>
      </w:r>
      <w:r w:rsidRPr="009C0E1F">
        <w:rPr>
          <w:rFonts w:ascii="Arial" w:eastAsia="Arial" w:hAnsi="Arial" w:cs="Arial"/>
          <w:sz w:val="22"/>
          <w:szCs w:val="22"/>
          <w:lang w:val="es-ES_tradnl"/>
        </w:rPr>
        <w:t xml:space="preserve"> medio (CEM</w:t>
      </w:r>
      <w:r w:rsidRPr="007807BF">
        <w:rPr>
          <w:rFonts w:ascii="Arial" w:eastAsia="Arial" w:hAnsi="Arial" w:cs="Arial"/>
          <w:sz w:val="22"/>
          <w:szCs w:val="22"/>
          <w:vertAlign w:val="subscript"/>
          <w:lang w:val="es-ES_tradnl"/>
        </w:rPr>
        <w:t>A</w:t>
      </w:r>
      <w:r w:rsidRPr="009C0E1F">
        <w:rPr>
          <w:rFonts w:ascii="Arial" w:eastAsia="Arial" w:hAnsi="Arial" w:cs="Arial"/>
          <w:sz w:val="22"/>
          <w:szCs w:val="22"/>
          <w:lang w:val="es-ES_tradnl"/>
        </w:rPr>
        <w:t xml:space="preserve"> – sin proyecto) de</w:t>
      </w:r>
      <w:r>
        <w:rPr>
          <w:rFonts w:ascii="Arial" w:eastAsia="Arial" w:hAnsi="Arial" w:cs="Arial"/>
          <w:sz w:val="22"/>
          <w:szCs w:val="22"/>
          <w:lang w:val="es-ES_tradnl"/>
        </w:rPr>
        <w:t xml:space="preserve"> las actividades del SENAE definido como los costos de gestión de sus actividades (presupuesto de gastos) por un dólar de recaudación en aranceles fue</w:t>
      </w:r>
      <w:r w:rsidRPr="009C0E1F">
        <w:rPr>
          <w:rFonts w:ascii="Arial" w:eastAsia="Arial" w:hAnsi="Arial" w:cs="Arial"/>
          <w:sz w:val="22"/>
          <w:szCs w:val="22"/>
          <w:lang w:val="es-ES_tradnl"/>
        </w:rPr>
        <w:t xml:space="preserve"> de US$</w:t>
      </w:r>
      <w:r w:rsidR="0026614B">
        <w:rPr>
          <w:rFonts w:ascii="Arial" w:eastAsia="Arial" w:hAnsi="Arial" w:cs="Arial"/>
          <w:sz w:val="22"/>
          <w:szCs w:val="22"/>
          <w:lang w:val="es-ES_tradnl"/>
        </w:rPr>
        <w:t>0</w:t>
      </w:r>
      <w:r w:rsidR="004A74C4">
        <w:rPr>
          <w:rFonts w:ascii="Arial" w:eastAsia="Arial" w:hAnsi="Arial" w:cs="Arial"/>
          <w:sz w:val="22"/>
          <w:szCs w:val="22"/>
          <w:lang w:val="es-ES_tradnl"/>
        </w:rPr>
        <w:t>,</w:t>
      </w:r>
      <w:r w:rsidR="0026614B">
        <w:rPr>
          <w:rFonts w:ascii="Arial" w:eastAsia="Arial" w:hAnsi="Arial" w:cs="Arial"/>
          <w:sz w:val="22"/>
          <w:szCs w:val="22"/>
          <w:lang w:val="es-ES_tradnl"/>
        </w:rPr>
        <w:t>0336</w:t>
      </w:r>
      <w:r w:rsidR="008D1BEF">
        <w:rPr>
          <w:rFonts w:ascii="Arial" w:eastAsia="Arial" w:hAnsi="Arial" w:cs="Arial"/>
          <w:sz w:val="22"/>
          <w:szCs w:val="22"/>
          <w:lang w:val="es-ES_tradnl"/>
        </w:rPr>
        <w:t> </w:t>
      </w:r>
      <w:r w:rsidRPr="009C0E1F">
        <w:rPr>
          <w:rFonts w:ascii="Arial" w:eastAsia="Arial" w:hAnsi="Arial" w:cs="Arial"/>
          <w:sz w:val="22"/>
          <w:szCs w:val="22"/>
          <w:lang w:val="es-ES_tradnl"/>
        </w:rPr>
        <w:t>(CEM</w:t>
      </w:r>
      <w:r w:rsidRPr="007D6D45">
        <w:rPr>
          <w:rFonts w:ascii="Arial" w:eastAsia="Arial" w:hAnsi="Arial" w:cs="Arial"/>
          <w:sz w:val="22"/>
          <w:szCs w:val="22"/>
          <w:vertAlign w:val="subscript"/>
          <w:lang w:val="es-ES_tradnl"/>
        </w:rPr>
        <w:t>A</w:t>
      </w:r>
      <w:r w:rsidR="00EB0F15">
        <w:rPr>
          <w:rFonts w:ascii="Arial" w:eastAsia="Arial" w:hAnsi="Arial" w:cs="Arial"/>
          <w:sz w:val="22"/>
          <w:szCs w:val="22"/>
          <w:lang w:val="es-ES_tradnl"/>
        </w:rPr>
        <w:t> </w:t>
      </w:r>
      <w:r w:rsidRPr="009C0E1F">
        <w:rPr>
          <w:rFonts w:ascii="Arial" w:eastAsia="Arial" w:hAnsi="Arial" w:cs="Arial"/>
          <w:sz w:val="22"/>
          <w:szCs w:val="22"/>
          <w:lang w:val="es-ES_tradnl"/>
        </w:rPr>
        <w:t>=</w:t>
      </w:r>
      <w:r w:rsidR="00EB0F15">
        <w:rPr>
          <w:rFonts w:ascii="Arial" w:eastAsia="Arial" w:hAnsi="Arial" w:cs="Arial"/>
          <w:sz w:val="22"/>
          <w:szCs w:val="22"/>
          <w:lang w:val="es-ES_tradnl"/>
        </w:rPr>
        <w:t> </w:t>
      </w:r>
      <w:r w:rsidRPr="009C0E1F">
        <w:rPr>
          <w:rFonts w:ascii="Arial" w:eastAsia="Arial" w:hAnsi="Arial" w:cs="Arial"/>
          <w:sz w:val="22"/>
          <w:szCs w:val="22"/>
          <w:lang w:val="es-ES_tradnl"/>
        </w:rPr>
        <w:t>US$</w:t>
      </w:r>
      <w:r w:rsidR="001473EE">
        <w:rPr>
          <w:rFonts w:ascii="Arial" w:eastAsia="Arial" w:hAnsi="Arial" w:cs="Arial"/>
          <w:sz w:val="22"/>
          <w:szCs w:val="22"/>
          <w:lang w:val="es-ES_tradnl"/>
        </w:rPr>
        <w:t>47</w:t>
      </w:r>
      <w:r w:rsidR="004A74C4">
        <w:rPr>
          <w:rFonts w:ascii="Arial" w:eastAsia="Arial" w:hAnsi="Arial" w:cs="Arial"/>
          <w:sz w:val="22"/>
          <w:szCs w:val="22"/>
          <w:lang w:val="es-ES_tradnl"/>
        </w:rPr>
        <w:t>,</w:t>
      </w:r>
      <w:r w:rsidR="001473EE">
        <w:rPr>
          <w:rFonts w:ascii="Arial" w:eastAsia="Arial" w:hAnsi="Arial" w:cs="Arial"/>
          <w:sz w:val="22"/>
          <w:szCs w:val="22"/>
          <w:lang w:val="es-ES_tradnl"/>
        </w:rPr>
        <w:t>8</w:t>
      </w:r>
      <w:r w:rsidR="00EB0F15">
        <w:rPr>
          <w:rFonts w:ascii="Arial" w:eastAsia="Arial" w:hAnsi="Arial" w:cs="Arial"/>
          <w:sz w:val="22"/>
          <w:szCs w:val="22"/>
          <w:lang w:val="es-ES_tradnl"/>
        </w:rPr>
        <w:t> </w:t>
      </w:r>
      <w:r w:rsidRPr="009C0E1F">
        <w:rPr>
          <w:rFonts w:ascii="Arial" w:eastAsia="Arial" w:hAnsi="Arial" w:cs="Arial"/>
          <w:sz w:val="22"/>
          <w:szCs w:val="22"/>
          <w:lang w:val="es-ES_tradnl"/>
        </w:rPr>
        <w:t>millones</w:t>
      </w:r>
      <w:r>
        <w:rPr>
          <w:rFonts w:ascii="Arial" w:eastAsia="Arial" w:hAnsi="Arial" w:cs="Arial"/>
          <w:sz w:val="22"/>
          <w:szCs w:val="22"/>
          <w:lang w:val="es-ES_tradnl"/>
        </w:rPr>
        <w:t xml:space="preserve"> de costo</w:t>
      </w:r>
      <w:r w:rsidRPr="009C0E1F">
        <w:rPr>
          <w:rFonts w:ascii="Arial" w:eastAsia="Arial" w:hAnsi="Arial" w:cs="Arial"/>
          <w:sz w:val="22"/>
          <w:szCs w:val="22"/>
          <w:lang w:val="es-ES_tradnl"/>
        </w:rPr>
        <w:t xml:space="preserve"> / </w:t>
      </w:r>
      <w:r>
        <w:rPr>
          <w:rFonts w:ascii="Arial" w:eastAsia="Arial" w:hAnsi="Arial" w:cs="Arial"/>
          <w:sz w:val="22"/>
          <w:szCs w:val="22"/>
          <w:lang w:val="es-ES_tradnl"/>
        </w:rPr>
        <w:t>US$</w:t>
      </w:r>
      <w:r w:rsidR="001473EE">
        <w:rPr>
          <w:rFonts w:ascii="Arial" w:eastAsia="Arial" w:hAnsi="Arial" w:cs="Arial"/>
          <w:sz w:val="22"/>
          <w:szCs w:val="22"/>
          <w:lang w:val="es-ES_tradnl"/>
        </w:rPr>
        <w:t>1,422</w:t>
      </w:r>
      <w:r w:rsidR="005217D5">
        <w:rPr>
          <w:rFonts w:ascii="Arial" w:eastAsia="Arial" w:hAnsi="Arial" w:cs="Arial"/>
          <w:sz w:val="22"/>
          <w:szCs w:val="22"/>
          <w:lang w:val="es-ES_tradnl"/>
        </w:rPr>
        <w:t> </w:t>
      </w:r>
      <w:r w:rsidRPr="009C0E1F">
        <w:rPr>
          <w:rFonts w:ascii="Arial" w:eastAsia="Arial" w:hAnsi="Arial" w:cs="Arial"/>
          <w:sz w:val="22"/>
          <w:szCs w:val="22"/>
          <w:lang w:val="es-ES_tradnl"/>
        </w:rPr>
        <w:t xml:space="preserve">millones de </w:t>
      </w:r>
      <w:r>
        <w:rPr>
          <w:rFonts w:ascii="Arial" w:eastAsia="Arial" w:hAnsi="Arial" w:cs="Arial"/>
          <w:sz w:val="22"/>
          <w:szCs w:val="22"/>
          <w:lang w:val="es-ES_tradnl"/>
        </w:rPr>
        <w:t>recaudación en aranceles</w:t>
      </w:r>
      <w:r w:rsidRPr="005A0804">
        <w:rPr>
          <w:rFonts w:ascii="Arial" w:eastAsia="Arial" w:hAnsi="Arial" w:cs="Arial"/>
          <w:sz w:val="22"/>
          <w:szCs w:val="22"/>
          <w:lang w:val="es-ES_tradnl"/>
        </w:rPr>
        <w:t>)</w:t>
      </w:r>
      <w:r w:rsidR="00946EF2" w:rsidRPr="005A0804">
        <w:rPr>
          <w:rStyle w:val="FootnoteReference"/>
          <w:rFonts w:ascii="Arial" w:eastAsia="Arial" w:hAnsi="Arial" w:cs="Arial"/>
          <w:sz w:val="22"/>
          <w:szCs w:val="22"/>
          <w:lang w:val="es-ES_tradnl"/>
        </w:rPr>
        <w:footnoteReference w:id="8"/>
      </w:r>
      <w:r w:rsidRPr="00B12195">
        <w:rPr>
          <w:rFonts w:ascii="Arial" w:eastAsia="Arial" w:hAnsi="Arial" w:cs="Arial"/>
          <w:sz w:val="22"/>
          <w:szCs w:val="22"/>
          <w:lang w:val="es-ES_tradnl"/>
        </w:rPr>
        <w:t>.</w:t>
      </w:r>
      <w:r w:rsidR="00C05F1E">
        <w:rPr>
          <w:rFonts w:ascii="Arial" w:eastAsia="Arial" w:hAnsi="Arial" w:cs="Arial"/>
          <w:sz w:val="22"/>
          <w:szCs w:val="22"/>
          <w:lang w:val="es-ES_tradnl"/>
        </w:rPr>
        <w:t xml:space="preserve"> </w:t>
      </w:r>
    </w:p>
    <w:p w14:paraId="626AE27B" w14:textId="0430AF85" w:rsidR="0015059B" w:rsidRDefault="002F46A3" w:rsidP="005D44DB">
      <w:pPr>
        <w:pStyle w:val="Paragraph"/>
        <w:numPr>
          <w:ilvl w:val="1"/>
          <w:numId w:val="2"/>
        </w:numPr>
        <w:tabs>
          <w:tab w:val="clear" w:pos="1296"/>
        </w:tabs>
        <w:ind w:left="720" w:hanging="720"/>
        <w:outlineLvl w:val="9"/>
        <w:rPr>
          <w:rFonts w:ascii="Arial" w:hAnsi="Arial" w:cs="Arial"/>
          <w:sz w:val="22"/>
          <w:szCs w:val="22"/>
          <w:lang w:val="es-ES_tradnl"/>
        </w:rPr>
      </w:pPr>
      <w:r>
        <w:rPr>
          <w:rFonts w:ascii="Arial" w:hAnsi="Arial" w:cs="Arial"/>
          <w:sz w:val="22"/>
          <w:szCs w:val="22"/>
          <w:lang w:val="es-ES_tradnl"/>
        </w:rPr>
        <w:t>Para la evaluación del programa</w:t>
      </w:r>
      <w:r w:rsidR="00946EF2">
        <w:rPr>
          <w:rFonts w:ascii="Arial" w:hAnsi="Arial" w:cs="Arial"/>
          <w:sz w:val="22"/>
          <w:szCs w:val="22"/>
          <w:lang w:val="es-ES_tradnl"/>
        </w:rPr>
        <w:t>,</w:t>
      </w:r>
      <w:r>
        <w:rPr>
          <w:rFonts w:ascii="Arial" w:hAnsi="Arial" w:cs="Arial"/>
          <w:sz w:val="22"/>
          <w:szCs w:val="22"/>
          <w:lang w:val="es-ES_tradnl"/>
        </w:rPr>
        <w:t xml:space="preserve"> </w:t>
      </w:r>
      <w:r w:rsidR="005D2830">
        <w:rPr>
          <w:rFonts w:ascii="Arial" w:hAnsi="Arial" w:cs="Arial"/>
          <w:sz w:val="22"/>
          <w:szCs w:val="22"/>
          <w:lang w:val="es-ES_tradnl"/>
        </w:rPr>
        <w:t>la línea base se definió como la proyección de costos y efectividad del SRI y del SENAE sin programa</w:t>
      </w:r>
      <w:r>
        <w:rPr>
          <w:rFonts w:ascii="Arial" w:hAnsi="Arial" w:cs="Arial"/>
          <w:sz w:val="22"/>
          <w:szCs w:val="22"/>
          <w:lang w:val="es-ES_tradnl"/>
        </w:rPr>
        <w:t xml:space="preserve"> por </w:t>
      </w:r>
      <w:r w:rsidR="005D2830">
        <w:rPr>
          <w:rFonts w:ascii="Arial" w:hAnsi="Arial" w:cs="Arial"/>
          <w:sz w:val="22"/>
          <w:szCs w:val="22"/>
          <w:lang w:val="es-ES_tradnl"/>
        </w:rPr>
        <w:t xml:space="preserve">un periodo de </w:t>
      </w:r>
      <w:r>
        <w:rPr>
          <w:rFonts w:ascii="Arial" w:hAnsi="Arial" w:cs="Arial"/>
          <w:sz w:val="22"/>
          <w:szCs w:val="22"/>
          <w:lang w:val="es-ES_tradnl"/>
        </w:rPr>
        <w:t>10</w:t>
      </w:r>
      <w:r w:rsidR="00E675BA">
        <w:rPr>
          <w:rFonts w:ascii="Arial" w:hAnsi="Arial" w:cs="Arial"/>
          <w:sz w:val="22"/>
          <w:szCs w:val="22"/>
          <w:lang w:val="es-ES_tradnl"/>
        </w:rPr>
        <w:t> </w:t>
      </w:r>
      <w:r>
        <w:rPr>
          <w:rFonts w:ascii="Arial" w:hAnsi="Arial" w:cs="Arial"/>
          <w:sz w:val="22"/>
          <w:szCs w:val="22"/>
          <w:lang w:val="es-ES_tradnl"/>
        </w:rPr>
        <w:t xml:space="preserve">años </w:t>
      </w:r>
      <w:r>
        <w:rPr>
          <w:rFonts w:ascii="Arial" w:hAnsi="Arial" w:cs="Arial"/>
          <w:sz w:val="22"/>
          <w:szCs w:val="22"/>
          <w:lang w:val="es-ES_tradnl"/>
        </w:rPr>
        <w:lastRenderedPageBreak/>
        <w:t>(202</w:t>
      </w:r>
      <w:r w:rsidR="00D759DD">
        <w:rPr>
          <w:rFonts w:ascii="Arial" w:hAnsi="Arial" w:cs="Arial"/>
          <w:sz w:val="22"/>
          <w:szCs w:val="22"/>
          <w:lang w:val="es-ES_tradnl"/>
        </w:rPr>
        <w:t>2</w:t>
      </w:r>
      <w:r w:rsidR="008D1BEF">
        <w:rPr>
          <w:rFonts w:ascii="Arial" w:hAnsi="Arial" w:cs="Arial"/>
          <w:sz w:val="22"/>
          <w:szCs w:val="22"/>
          <w:lang w:val="es-ES_tradnl"/>
        </w:rPr>
        <w:t> </w:t>
      </w:r>
      <w:r>
        <w:rPr>
          <w:rFonts w:ascii="Arial" w:hAnsi="Arial" w:cs="Arial"/>
          <w:sz w:val="22"/>
          <w:szCs w:val="22"/>
          <w:lang w:val="es-ES_tradnl"/>
        </w:rPr>
        <w:t>–</w:t>
      </w:r>
      <w:r w:rsidR="008D1BEF">
        <w:rPr>
          <w:rFonts w:ascii="Arial" w:hAnsi="Arial" w:cs="Arial"/>
          <w:sz w:val="22"/>
          <w:szCs w:val="22"/>
          <w:lang w:val="es-ES_tradnl"/>
        </w:rPr>
        <w:t> </w:t>
      </w:r>
      <w:r>
        <w:rPr>
          <w:rFonts w:ascii="Arial" w:hAnsi="Arial" w:cs="Arial"/>
          <w:sz w:val="22"/>
          <w:szCs w:val="22"/>
          <w:lang w:val="es-ES_tradnl"/>
        </w:rPr>
        <w:t>20</w:t>
      </w:r>
      <w:r w:rsidR="00487F61">
        <w:rPr>
          <w:rFonts w:ascii="Arial" w:hAnsi="Arial" w:cs="Arial"/>
          <w:sz w:val="22"/>
          <w:szCs w:val="22"/>
          <w:lang w:val="es-ES_tradnl"/>
        </w:rPr>
        <w:t>3</w:t>
      </w:r>
      <w:r w:rsidR="00D759DD">
        <w:rPr>
          <w:rFonts w:ascii="Arial" w:hAnsi="Arial" w:cs="Arial"/>
          <w:sz w:val="22"/>
          <w:szCs w:val="22"/>
          <w:lang w:val="es-ES_tradnl"/>
        </w:rPr>
        <w:t>1</w:t>
      </w:r>
      <w:r>
        <w:rPr>
          <w:rFonts w:ascii="Arial" w:hAnsi="Arial" w:cs="Arial"/>
          <w:sz w:val="22"/>
          <w:szCs w:val="22"/>
          <w:lang w:val="es-ES_tradnl"/>
        </w:rPr>
        <w:t xml:space="preserve">). Este periodo contempla los 5 años de </w:t>
      </w:r>
      <w:r w:rsidR="00566C14">
        <w:rPr>
          <w:rFonts w:ascii="Arial" w:hAnsi="Arial" w:cs="Arial"/>
          <w:sz w:val="22"/>
          <w:szCs w:val="22"/>
          <w:lang w:val="es-ES_tradnl"/>
        </w:rPr>
        <w:t>inversión</w:t>
      </w:r>
      <w:r>
        <w:rPr>
          <w:rFonts w:ascii="Arial" w:hAnsi="Arial" w:cs="Arial"/>
          <w:sz w:val="22"/>
          <w:szCs w:val="22"/>
          <w:lang w:val="es-ES_tradnl"/>
        </w:rPr>
        <w:t xml:space="preserve"> del programa m</w:t>
      </w:r>
      <w:r w:rsidR="009A16AD">
        <w:rPr>
          <w:rFonts w:ascii="Arial" w:hAnsi="Arial" w:cs="Arial"/>
          <w:sz w:val="22"/>
          <w:szCs w:val="22"/>
          <w:lang w:val="es-ES_tradnl"/>
        </w:rPr>
        <w:t>á</w:t>
      </w:r>
      <w:r>
        <w:rPr>
          <w:rFonts w:ascii="Arial" w:hAnsi="Arial" w:cs="Arial"/>
          <w:sz w:val="22"/>
          <w:szCs w:val="22"/>
          <w:lang w:val="es-ES_tradnl"/>
        </w:rPr>
        <w:t>s 5</w:t>
      </w:r>
      <w:r w:rsidR="008D1BEF">
        <w:rPr>
          <w:rFonts w:ascii="Arial" w:hAnsi="Arial" w:cs="Arial"/>
          <w:sz w:val="22"/>
          <w:szCs w:val="22"/>
          <w:lang w:val="es-ES_tradnl"/>
        </w:rPr>
        <w:t> </w:t>
      </w:r>
      <w:r>
        <w:rPr>
          <w:rFonts w:ascii="Arial" w:hAnsi="Arial" w:cs="Arial"/>
          <w:sz w:val="22"/>
          <w:szCs w:val="22"/>
          <w:lang w:val="es-ES_tradnl"/>
        </w:rPr>
        <w:t>años de madurez</w:t>
      </w:r>
      <w:r w:rsidR="00F57D6C">
        <w:rPr>
          <w:rFonts w:ascii="Arial" w:hAnsi="Arial" w:cs="Arial"/>
          <w:sz w:val="22"/>
          <w:szCs w:val="22"/>
          <w:lang w:val="es-ES_tradnl"/>
        </w:rPr>
        <w:t xml:space="preserve"> (</w:t>
      </w:r>
      <w:r w:rsidR="009A16AD">
        <w:rPr>
          <w:rFonts w:ascii="Arial" w:hAnsi="Arial" w:cs="Arial"/>
          <w:sz w:val="22"/>
          <w:szCs w:val="22"/>
          <w:lang w:val="es-ES_tradnl"/>
        </w:rPr>
        <w:t xml:space="preserve">incluyendo la </w:t>
      </w:r>
      <w:r w:rsidR="00F57D6C">
        <w:rPr>
          <w:rFonts w:ascii="Arial" w:hAnsi="Arial" w:cs="Arial"/>
          <w:sz w:val="22"/>
          <w:szCs w:val="22"/>
          <w:lang w:val="es-ES_tradnl"/>
        </w:rPr>
        <w:t xml:space="preserve">vida útil </w:t>
      </w:r>
      <w:r w:rsidR="00843A7E">
        <w:rPr>
          <w:rFonts w:ascii="Arial" w:hAnsi="Arial" w:cs="Arial"/>
          <w:sz w:val="22"/>
          <w:szCs w:val="22"/>
          <w:lang w:val="es-ES_tradnl"/>
        </w:rPr>
        <w:t xml:space="preserve">estimada </w:t>
      </w:r>
      <w:r w:rsidR="00F57D6C">
        <w:rPr>
          <w:rFonts w:ascii="Arial" w:hAnsi="Arial" w:cs="Arial"/>
          <w:sz w:val="22"/>
          <w:szCs w:val="22"/>
          <w:lang w:val="es-ES_tradnl"/>
        </w:rPr>
        <w:t xml:space="preserve">de los equipos de </w:t>
      </w:r>
      <w:r w:rsidR="006B4477">
        <w:rPr>
          <w:rFonts w:ascii="Arial" w:hAnsi="Arial" w:cs="Arial"/>
          <w:sz w:val="22"/>
          <w:szCs w:val="22"/>
          <w:lang w:val="es-ES_tradnl"/>
        </w:rPr>
        <w:t>TI)</w:t>
      </w:r>
      <w:r>
        <w:rPr>
          <w:rFonts w:ascii="Arial" w:hAnsi="Arial" w:cs="Arial"/>
          <w:sz w:val="22"/>
          <w:szCs w:val="22"/>
          <w:lang w:val="es-ES_tradnl"/>
        </w:rPr>
        <w:t>. A cada uno de los flujos se le ha aplicado la tasa de descuento</w:t>
      </w:r>
      <w:r w:rsidR="00EB6E7D">
        <w:rPr>
          <w:rFonts w:ascii="Arial" w:hAnsi="Arial" w:cs="Arial"/>
          <w:sz w:val="22"/>
          <w:szCs w:val="22"/>
          <w:lang w:val="es-ES_tradnl"/>
        </w:rPr>
        <w:t xml:space="preserve"> (7%)</w:t>
      </w:r>
      <w:r>
        <w:rPr>
          <w:rFonts w:ascii="Arial" w:hAnsi="Arial" w:cs="Arial"/>
          <w:sz w:val="22"/>
          <w:szCs w:val="22"/>
          <w:lang w:val="es-ES_tradnl"/>
        </w:rPr>
        <w:t xml:space="preserve"> para obtener los valores presentes netos (</w:t>
      </w:r>
      <w:r w:rsidR="008E4B9E">
        <w:rPr>
          <w:rFonts w:ascii="Arial" w:hAnsi="Arial" w:cs="Arial"/>
          <w:sz w:val="22"/>
          <w:szCs w:val="22"/>
          <w:lang w:val="es-ES_tradnl"/>
        </w:rPr>
        <w:t>VPN</w:t>
      </w:r>
      <w:r>
        <w:rPr>
          <w:rFonts w:ascii="Arial" w:hAnsi="Arial" w:cs="Arial"/>
          <w:sz w:val="22"/>
          <w:szCs w:val="22"/>
          <w:lang w:val="es-ES_tradnl"/>
        </w:rPr>
        <w:t xml:space="preserve">) de los costos y de la efectividad de los componentes </w:t>
      </w:r>
      <w:r w:rsidR="00566C14">
        <w:rPr>
          <w:rFonts w:ascii="Arial" w:hAnsi="Arial" w:cs="Arial"/>
          <w:sz w:val="22"/>
          <w:szCs w:val="22"/>
          <w:lang w:val="es-ES_tradnl"/>
        </w:rPr>
        <w:t>con y sin el impacto del</w:t>
      </w:r>
      <w:r>
        <w:rPr>
          <w:rFonts w:ascii="Arial" w:hAnsi="Arial" w:cs="Arial"/>
          <w:sz w:val="22"/>
          <w:szCs w:val="22"/>
          <w:lang w:val="es-ES_tradnl"/>
        </w:rPr>
        <w:t xml:space="preserve"> programa.</w:t>
      </w:r>
      <w:r w:rsidR="00B97C43">
        <w:rPr>
          <w:rFonts w:ascii="Arial" w:hAnsi="Arial" w:cs="Arial"/>
          <w:sz w:val="22"/>
          <w:szCs w:val="22"/>
          <w:lang w:val="es-ES_tradnl"/>
        </w:rPr>
        <w:t xml:space="preserve"> Al presupuesto sin programa se le han descontado la reducción de costos que se obtendrían con el programa.</w:t>
      </w:r>
    </w:p>
    <w:bookmarkEnd w:id="1"/>
    <w:p w14:paraId="4BD4F5C0" w14:textId="2D5BBE08" w:rsidR="008E4B9E" w:rsidRPr="0042188B" w:rsidRDefault="008E4B9E" w:rsidP="005D44DB">
      <w:pPr>
        <w:pStyle w:val="Paragraph"/>
        <w:numPr>
          <w:ilvl w:val="1"/>
          <w:numId w:val="2"/>
        </w:numPr>
        <w:tabs>
          <w:tab w:val="clear" w:pos="1296"/>
        </w:tabs>
        <w:ind w:left="720" w:hanging="720"/>
        <w:outlineLvl w:val="9"/>
        <w:rPr>
          <w:rFonts w:ascii="Arial" w:hAnsi="Arial" w:cs="Arial"/>
          <w:sz w:val="22"/>
          <w:szCs w:val="22"/>
          <w:lang w:val="es-ES_tradnl"/>
        </w:rPr>
      </w:pPr>
      <w:r>
        <w:rPr>
          <w:rFonts w:ascii="Arial" w:hAnsi="Arial" w:cs="Arial"/>
          <w:sz w:val="22"/>
          <w:szCs w:val="22"/>
          <w:lang w:val="es-ES_tradnl"/>
        </w:rPr>
        <w:t xml:space="preserve">En el caso del SRI, el VPN de los costos de las labores de control tributario sin programa </w:t>
      </w:r>
      <w:r w:rsidRPr="009C0E1F">
        <w:rPr>
          <w:rFonts w:ascii="Arial" w:eastAsia="Arial" w:hAnsi="Arial" w:cs="Arial"/>
          <w:sz w:val="22"/>
          <w:szCs w:val="22"/>
          <w:lang w:val="es-ES_tradnl"/>
        </w:rPr>
        <w:t>(C</w:t>
      </w:r>
      <w:r w:rsidRPr="0015059B">
        <w:rPr>
          <w:rFonts w:ascii="Arial" w:eastAsia="Arial" w:hAnsi="Arial" w:cs="Arial"/>
          <w:sz w:val="22"/>
          <w:szCs w:val="22"/>
          <w:vertAlign w:val="subscript"/>
          <w:lang w:val="es-ES_tradnl"/>
        </w:rPr>
        <w:t>A</w:t>
      </w:r>
      <w:r w:rsidRPr="009C0E1F">
        <w:rPr>
          <w:rFonts w:ascii="Arial" w:eastAsia="Arial" w:hAnsi="Arial" w:cs="Arial"/>
          <w:sz w:val="22"/>
          <w:szCs w:val="22"/>
          <w:lang w:val="es-ES_tradnl"/>
        </w:rPr>
        <w:t xml:space="preserve"> – costo sin proyecto)</w:t>
      </w:r>
      <w:r>
        <w:rPr>
          <w:rFonts w:ascii="Arial" w:eastAsia="Arial" w:hAnsi="Arial" w:cs="Arial"/>
          <w:sz w:val="22"/>
          <w:szCs w:val="22"/>
          <w:lang w:val="es-ES_tradnl"/>
        </w:rPr>
        <w:t xml:space="preserve"> asciende a US$</w:t>
      </w:r>
      <w:r w:rsidR="00D759DD">
        <w:rPr>
          <w:rFonts w:ascii="Arial" w:eastAsia="Arial" w:hAnsi="Arial" w:cs="Arial"/>
          <w:sz w:val="22"/>
          <w:szCs w:val="22"/>
          <w:lang w:val="es-ES_tradnl"/>
        </w:rPr>
        <w:t>886</w:t>
      </w:r>
      <w:r w:rsidR="00827F72">
        <w:rPr>
          <w:rFonts w:ascii="Arial" w:eastAsia="Arial" w:hAnsi="Arial" w:cs="Arial"/>
          <w:sz w:val="22"/>
          <w:szCs w:val="22"/>
          <w:lang w:val="es-ES_tradnl"/>
        </w:rPr>
        <w:t>,</w:t>
      </w:r>
      <w:r w:rsidR="00D759DD">
        <w:rPr>
          <w:rFonts w:ascii="Arial" w:eastAsia="Arial" w:hAnsi="Arial" w:cs="Arial"/>
          <w:sz w:val="22"/>
          <w:szCs w:val="22"/>
          <w:lang w:val="es-ES_tradnl"/>
        </w:rPr>
        <w:t>6</w:t>
      </w:r>
      <w:r>
        <w:rPr>
          <w:rFonts w:ascii="Arial" w:eastAsia="Arial" w:hAnsi="Arial" w:cs="Arial"/>
          <w:sz w:val="22"/>
          <w:szCs w:val="22"/>
          <w:lang w:val="es-ES_tradnl"/>
        </w:rPr>
        <w:t xml:space="preserve"> millones, mientras que el VPN de los rendimientos de la recaudación </w:t>
      </w:r>
      <w:r w:rsidR="00661FA7">
        <w:rPr>
          <w:rFonts w:ascii="Arial" w:eastAsia="Arial" w:hAnsi="Arial" w:cs="Arial"/>
          <w:sz w:val="22"/>
          <w:szCs w:val="22"/>
          <w:lang w:val="es-ES_tradnl"/>
        </w:rPr>
        <w:t>de tributos internos asciende</w:t>
      </w:r>
      <w:r>
        <w:rPr>
          <w:rFonts w:ascii="Arial" w:eastAsia="Arial" w:hAnsi="Arial" w:cs="Arial"/>
          <w:sz w:val="22"/>
          <w:szCs w:val="22"/>
          <w:lang w:val="es-ES_tradnl"/>
        </w:rPr>
        <w:t xml:space="preserve"> a US$</w:t>
      </w:r>
      <w:r w:rsidR="00D759DD">
        <w:rPr>
          <w:rFonts w:ascii="Arial" w:eastAsia="Arial" w:hAnsi="Arial" w:cs="Arial"/>
          <w:sz w:val="22"/>
          <w:szCs w:val="22"/>
          <w:lang w:val="es-ES_tradnl"/>
        </w:rPr>
        <w:t>110</w:t>
      </w:r>
      <w:r w:rsidR="00406E86">
        <w:rPr>
          <w:rFonts w:ascii="Arial" w:eastAsia="Arial" w:hAnsi="Arial" w:cs="Arial"/>
          <w:sz w:val="22"/>
          <w:szCs w:val="22"/>
          <w:lang w:val="es-ES_tradnl"/>
        </w:rPr>
        <w:t>.</w:t>
      </w:r>
      <w:r w:rsidR="00D759DD">
        <w:rPr>
          <w:rFonts w:ascii="Arial" w:eastAsia="Arial" w:hAnsi="Arial" w:cs="Arial"/>
          <w:sz w:val="22"/>
          <w:szCs w:val="22"/>
          <w:lang w:val="es-ES_tradnl"/>
        </w:rPr>
        <w:t>663</w:t>
      </w:r>
      <w:r w:rsidR="00406E86">
        <w:rPr>
          <w:rFonts w:ascii="Arial" w:eastAsia="Arial" w:hAnsi="Arial" w:cs="Arial"/>
          <w:sz w:val="22"/>
          <w:szCs w:val="22"/>
          <w:lang w:val="es-ES_tradnl"/>
        </w:rPr>
        <w:t>,</w:t>
      </w:r>
      <w:r w:rsidR="00D759DD">
        <w:rPr>
          <w:rFonts w:ascii="Arial" w:eastAsia="Arial" w:hAnsi="Arial" w:cs="Arial"/>
          <w:sz w:val="22"/>
          <w:szCs w:val="22"/>
          <w:lang w:val="es-ES_tradnl"/>
        </w:rPr>
        <w:t>9</w:t>
      </w:r>
      <w:r>
        <w:rPr>
          <w:rFonts w:ascii="Arial" w:eastAsia="Arial" w:hAnsi="Arial" w:cs="Arial"/>
          <w:sz w:val="22"/>
          <w:szCs w:val="22"/>
          <w:lang w:val="es-ES_tradnl"/>
        </w:rPr>
        <w:t xml:space="preserve"> millones </w:t>
      </w:r>
      <w:r w:rsidRPr="009C0E1F">
        <w:rPr>
          <w:rFonts w:ascii="Arial" w:eastAsia="Arial" w:hAnsi="Arial" w:cs="Arial"/>
          <w:sz w:val="22"/>
          <w:szCs w:val="22"/>
          <w:lang w:val="es-ES_tradnl"/>
        </w:rPr>
        <w:t>(E</w:t>
      </w:r>
      <w:r w:rsidRPr="009C0E1F">
        <w:rPr>
          <w:rFonts w:ascii="Arial" w:eastAsia="Arial" w:hAnsi="Arial" w:cs="Arial"/>
          <w:sz w:val="22"/>
          <w:szCs w:val="22"/>
          <w:vertAlign w:val="subscript"/>
          <w:lang w:val="es-ES_tradnl"/>
        </w:rPr>
        <w:t>A</w:t>
      </w:r>
      <w:r w:rsidRPr="009C0E1F">
        <w:rPr>
          <w:rFonts w:ascii="Arial" w:eastAsia="Arial" w:hAnsi="Arial" w:cs="Arial"/>
          <w:sz w:val="22"/>
          <w:szCs w:val="22"/>
          <w:lang w:val="es-ES_tradnl"/>
        </w:rPr>
        <w:t xml:space="preserve"> – </w:t>
      </w:r>
      <w:r>
        <w:rPr>
          <w:rFonts w:ascii="Arial" w:eastAsia="Arial" w:hAnsi="Arial" w:cs="Arial"/>
          <w:sz w:val="22"/>
          <w:szCs w:val="22"/>
          <w:lang w:val="es-ES_tradnl"/>
        </w:rPr>
        <w:t>Efectividad</w:t>
      </w:r>
      <w:r w:rsidRPr="009C0E1F">
        <w:rPr>
          <w:rFonts w:ascii="Arial" w:eastAsia="Arial" w:hAnsi="Arial" w:cs="Arial"/>
          <w:sz w:val="22"/>
          <w:szCs w:val="22"/>
          <w:lang w:val="es-ES_tradnl"/>
        </w:rPr>
        <w:t xml:space="preserve"> sin proyecto)</w:t>
      </w:r>
      <w:r>
        <w:rPr>
          <w:rFonts w:ascii="Arial" w:eastAsia="Arial" w:hAnsi="Arial" w:cs="Arial"/>
          <w:sz w:val="22"/>
          <w:szCs w:val="22"/>
          <w:lang w:val="es-ES_tradnl"/>
        </w:rPr>
        <w:t xml:space="preserve">. </w:t>
      </w:r>
      <w:bookmarkStart w:id="8" w:name="_Hlk26723928"/>
      <w:bookmarkStart w:id="9" w:name="_Hlk26723896"/>
      <w:r>
        <w:rPr>
          <w:rFonts w:ascii="Arial" w:eastAsia="Arial" w:hAnsi="Arial" w:cs="Arial"/>
          <w:sz w:val="22"/>
          <w:szCs w:val="22"/>
          <w:lang w:val="es-ES_tradnl"/>
        </w:rPr>
        <w:t>E</w:t>
      </w:r>
      <w:r w:rsidR="0042188B">
        <w:rPr>
          <w:rFonts w:ascii="Arial" w:eastAsia="Arial" w:hAnsi="Arial" w:cs="Arial"/>
          <w:sz w:val="22"/>
          <w:szCs w:val="22"/>
          <w:lang w:val="es-ES_tradnl"/>
        </w:rPr>
        <w:t>l</w:t>
      </w:r>
      <w:r>
        <w:rPr>
          <w:rFonts w:ascii="Arial" w:eastAsia="Arial" w:hAnsi="Arial" w:cs="Arial"/>
          <w:sz w:val="22"/>
          <w:szCs w:val="22"/>
          <w:lang w:val="es-ES_tradnl"/>
        </w:rPr>
        <w:t xml:space="preserve"> costo efectividad </w:t>
      </w:r>
      <w:r w:rsidRPr="009C0E1F">
        <w:rPr>
          <w:rFonts w:ascii="Arial" w:eastAsia="Arial" w:hAnsi="Arial" w:cs="Arial"/>
          <w:sz w:val="22"/>
          <w:szCs w:val="22"/>
          <w:lang w:val="es-ES_tradnl"/>
        </w:rPr>
        <w:t>medio (CEM</w:t>
      </w:r>
      <w:r w:rsidRPr="009C0E1F">
        <w:rPr>
          <w:rFonts w:ascii="Arial" w:eastAsia="Arial" w:hAnsi="Arial" w:cs="Arial"/>
          <w:sz w:val="22"/>
          <w:szCs w:val="22"/>
          <w:vertAlign w:val="subscript"/>
          <w:lang w:val="es-ES_tradnl"/>
        </w:rPr>
        <w:t>A</w:t>
      </w:r>
      <w:r w:rsidRPr="009C0E1F">
        <w:rPr>
          <w:rFonts w:ascii="Arial" w:eastAsia="Arial" w:hAnsi="Arial" w:cs="Arial"/>
          <w:sz w:val="22"/>
          <w:szCs w:val="22"/>
          <w:lang w:val="es-ES_tradnl"/>
        </w:rPr>
        <w:t xml:space="preserve"> – sin proyecto) de</w:t>
      </w:r>
      <w:r>
        <w:rPr>
          <w:rFonts w:ascii="Arial" w:eastAsia="Arial" w:hAnsi="Arial" w:cs="Arial"/>
          <w:sz w:val="22"/>
          <w:szCs w:val="22"/>
          <w:lang w:val="es-ES_tradnl"/>
        </w:rPr>
        <w:t xml:space="preserve"> las actividades de control tributario</w:t>
      </w:r>
      <w:r w:rsidR="0042188B">
        <w:rPr>
          <w:rFonts w:ascii="Arial" w:eastAsia="Arial" w:hAnsi="Arial" w:cs="Arial"/>
          <w:sz w:val="22"/>
          <w:szCs w:val="22"/>
          <w:lang w:val="es-ES_tradnl"/>
        </w:rPr>
        <w:t xml:space="preserve"> tomando en cuenta los VPN </w:t>
      </w:r>
      <w:r w:rsidR="00661FA7">
        <w:rPr>
          <w:rFonts w:ascii="Arial" w:eastAsia="Arial" w:hAnsi="Arial" w:cs="Arial"/>
          <w:sz w:val="22"/>
          <w:szCs w:val="22"/>
          <w:lang w:val="es-ES_tradnl"/>
        </w:rPr>
        <w:t xml:space="preserve">del costo y la efectividad es </w:t>
      </w:r>
      <w:r w:rsidR="0042188B">
        <w:rPr>
          <w:rFonts w:ascii="Arial" w:eastAsia="Arial" w:hAnsi="Arial" w:cs="Arial"/>
          <w:sz w:val="22"/>
          <w:szCs w:val="22"/>
          <w:lang w:val="es-ES_tradnl"/>
        </w:rPr>
        <w:t>de US$0</w:t>
      </w:r>
      <w:r w:rsidR="00827F72">
        <w:rPr>
          <w:rFonts w:ascii="Arial" w:eastAsia="Arial" w:hAnsi="Arial" w:cs="Arial"/>
          <w:sz w:val="22"/>
          <w:szCs w:val="22"/>
          <w:lang w:val="es-ES_tradnl"/>
        </w:rPr>
        <w:t>,</w:t>
      </w:r>
      <w:bookmarkEnd w:id="8"/>
      <w:r w:rsidR="00961C02">
        <w:rPr>
          <w:rFonts w:ascii="Arial" w:eastAsia="Arial" w:hAnsi="Arial" w:cs="Arial"/>
          <w:sz w:val="22"/>
          <w:szCs w:val="22"/>
          <w:lang w:val="es-ES_tradnl"/>
        </w:rPr>
        <w:t>00</w:t>
      </w:r>
      <w:r w:rsidR="00D759DD">
        <w:rPr>
          <w:rFonts w:ascii="Arial" w:eastAsia="Arial" w:hAnsi="Arial" w:cs="Arial"/>
          <w:sz w:val="22"/>
          <w:szCs w:val="22"/>
          <w:lang w:val="es-ES_tradnl"/>
        </w:rPr>
        <w:t>801</w:t>
      </w:r>
      <w:r w:rsidR="001B4469">
        <w:rPr>
          <w:rFonts w:ascii="Arial" w:eastAsia="Arial" w:hAnsi="Arial" w:cs="Arial"/>
          <w:sz w:val="22"/>
          <w:szCs w:val="22"/>
          <w:lang w:val="es-ES_tradnl"/>
        </w:rPr>
        <w:t xml:space="preserve"> (ver Tabla 1)</w:t>
      </w:r>
      <w:r w:rsidR="00794887">
        <w:rPr>
          <w:rFonts w:ascii="Arial" w:eastAsia="Arial" w:hAnsi="Arial" w:cs="Arial"/>
          <w:sz w:val="22"/>
          <w:szCs w:val="22"/>
          <w:lang w:val="es-ES_tradnl"/>
        </w:rPr>
        <w:t>.</w:t>
      </w:r>
    </w:p>
    <w:bookmarkEnd w:id="9"/>
    <w:p w14:paraId="3442214A" w14:textId="14831225" w:rsidR="00F57D6C" w:rsidRDefault="0042188B" w:rsidP="005D44DB">
      <w:pPr>
        <w:pStyle w:val="Paragraph"/>
        <w:numPr>
          <w:ilvl w:val="1"/>
          <w:numId w:val="2"/>
        </w:numPr>
        <w:tabs>
          <w:tab w:val="clear" w:pos="1296"/>
        </w:tabs>
        <w:ind w:left="720" w:hanging="720"/>
        <w:outlineLvl w:val="9"/>
        <w:rPr>
          <w:rFonts w:ascii="Arial" w:hAnsi="Arial" w:cs="Arial"/>
          <w:sz w:val="22"/>
          <w:szCs w:val="22"/>
          <w:lang w:val="es-ES_tradnl"/>
        </w:rPr>
      </w:pPr>
      <w:r>
        <w:rPr>
          <w:rFonts w:ascii="Arial" w:eastAsia="Arial" w:hAnsi="Arial" w:cs="Arial"/>
          <w:sz w:val="22"/>
          <w:szCs w:val="22"/>
          <w:lang w:val="es-ES_tradnl"/>
        </w:rPr>
        <w:t xml:space="preserve">En el caso del componente II correspondiente al SENAE, el VPN de los costos asociados a las labores de </w:t>
      </w:r>
      <w:r w:rsidR="00661FA7">
        <w:rPr>
          <w:rFonts w:ascii="Arial" w:eastAsia="Arial" w:hAnsi="Arial" w:cs="Arial"/>
          <w:sz w:val="22"/>
          <w:szCs w:val="22"/>
          <w:lang w:val="es-ES_tradnl"/>
        </w:rPr>
        <w:t xml:space="preserve">control aduanero (presupuesto de gastos) es </w:t>
      </w:r>
      <w:r w:rsidR="005E4FF4">
        <w:rPr>
          <w:rFonts w:ascii="Arial" w:eastAsia="Arial" w:hAnsi="Arial" w:cs="Arial"/>
          <w:sz w:val="22"/>
          <w:szCs w:val="22"/>
          <w:lang w:val="es-ES_tradnl"/>
        </w:rPr>
        <w:t>de US</w:t>
      </w:r>
      <w:r>
        <w:rPr>
          <w:rFonts w:ascii="Arial" w:eastAsia="Arial" w:hAnsi="Arial" w:cs="Arial"/>
          <w:sz w:val="22"/>
          <w:szCs w:val="22"/>
          <w:lang w:val="es-ES_tradnl"/>
        </w:rPr>
        <w:t>$</w:t>
      </w:r>
      <w:r w:rsidR="00D759DD">
        <w:rPr>
          <w:rFonts w:ascii="Arial" w:eastAsia="Arial" w:hAnsi="Arial" w:cs="Arial"/>
          <w:sz w:val="22"/>
          <w:szCs w:val="22"/>
          <w:lang w:val="es-ES_tradnl"/>
        </w:rPr>
        <w:t>342.69</w:t>
      </w:r>
      <w:r w:rsidR="008D1BEF">
        <w:rPr>
          <w:rFonts w:ascii="Arial" w:eastAsia="Arial" w:hAnsi="Arial" w:cs="Arial"/>
          <w:sz w:val="22"/>
          <w:szCs w:val="22"/>
          <w:lang w:val="es-ES_tradnl"/>
        </w:rPr>
        <w:t> </w:t>
      </w:r>
      <w:r>
        <w:rPr>
          <w:rFonts w:ascii="Arial" w:eastAsia="Arial" w:hAnsi="Arial" w:cs="Arial"/>
          <w:sz w:val="22"/>
          <w:szCs w:val="22"/>
          <w:lang w:val="es-ES_tradnl"/>
        </w:rPr>
        <w:t xml:space="preserve">millones </w:t>
      </w:r>
      <w:r w:rsidRPr="009C0E1F">
        <w:rPr>
          <w:rFonts w:ascii="Arial" w:eastAsia="Arial" w:hAnsi="Arial" w:cs="Arial"/>
          <w:sz w:val="22"/>
          <w:szCs w:val="22"/>
          <w:lang w:val="es-ES_tradnl"/>
        </w:rPr>
        <w:t>(C</w:t>
      </w:r>
      <w:r w:rsidRPr="0015059B">
        <w:rPr>
          <w:rFonts w:ascii="Arial" w:eastAsia="Arial" w:hAnsi="Arial" w:cs="Arial"/>
          <w:sz w:val="22"/>
          <w:szCs w:val="22"/>
          <w:vertAlign w:val="subscript"/>
          <w:lang w:val="es-ES_tradnl"/>
        </w:rPr>
        <w:t>A</w:t>
      </w:r>
      <w:r w:rsidRPr="009C0E1F">
        <w:rPr>
          <w:rFonts w:ascii="Arial" w:eastAsia="Arial" w:hAnsi="Arial" w:cs="Arial"/>
          <w:sz w:val="22"/>
          <w:szCs w:val="22"/>
          <w:lang w:val="es-ES_tradnl"/>
        </w:rPr>
        <w:t xml:space="preserve"> – costo sin proyecto)</w:t>
      </w:r>
      <w:r>
        <w:rPr>
          <w:rFonts w:ascii="Arial" w:eastAsia="Arial" w:hAnsi="Arial" w:cs="Arial"/>
          <w:sz w:val="22"/>
          <w:szCs w:val="22"/>
          <w:lang w:val="es-ES_tradnl"/>
        </w:rPr>
        <w:t xml:space="preserve"> mientras que el VPN de los rendimientos </w:t>
      </w:r>
      <w:r w:rsidR="00661FA7">
        <w:rPr>
          <w:rFonts w:ascii="Arial" w:eastAsia="Arial" w:hAnsi="Arial" w:cs="Arial"/>
          <w:sz w:val="22"/>
          <w:szCs w:val="22"/>
          <w:lang w:val="es-ES_tradnl"/>
        </w:rPr>
        <w:t xml:space="preserve">de la recaudación de aranceles </w:t>
      </w:r>
      <w:r>
        <w:rPr>
          <w:rFonts w:ascii="Arial" w:eastAsia="Arial" w:hAnsi="Arial" w:cs="Arial"/>
          <w:sz w:val="22"/>
          <w:szCs w:val="22"/>
          <w:lang w:val="es-ES_tradnl"/>
        </w:rPr>
        <w:t>asciende a US$</w:t>
      </w:r>
      <w:r w:rsidR="0047287A">
        <w:rPr>
          <w:rFonts w:ascii="Arial" w:eastAsia="Arial" w:hAnsi="Arial" w:cs="Arial"/>
          <w:sz w:val="22"/>
          <w:szCs w:val="22"/>
          <w:lang w:val="es-ES_tradnl"/>
        </w:rPr>
        <w:t>10</w:t>
      </w:r>
      <w:r w:rsidR="00827F72">
        <w:rPr>
          <w:rFonts w:ascii="Arial" w:eastAsia="Arial" w:hAnsi="Arial" w:cs="Arial"/>
          <w:sz w:val="22"/>
          <w:szCs w:val="22"/>
          <w:lang w:val="es-ES_tradnl"/>
        </w:rPr>
        <w:t>.</w:t>
      </w:r>
      <w:r w:rsidR="0047287A">
        <w:rPr>
          <w:rFonts w:ascii="Arial" w:eastAsia="Arial" w:hAnsi="Arial" w:cs="Arial"/>
          <w:sz w:val="22"/>
          <w:szCs w:val="22"/>
          <w:lang w:val="es-ES_tradnl"/>
        </w:rPr>
        <w:t>440</w:t>
      </w:r>
      <w:r w:rsidR="004D3D57">
        <w:rPr>
          <w:rFonts w:ascii="Arial" w:eastAsia="Arial" w:hAnsi="Arial" w:cs="Arial"/>
          <w:sz w:val="22"/>
          <w:szCs w:val="22"/>
          <w:lang w:val="es-ES_tradnl"/>
        </w:rPr>
        <w:t>,</w:t>
      </w:r>
      <w:r w:rsidR="0047287A">
        <w:rPr>
          <w:rFonts w:ascii="Arial" w:eastAsia="Arial" w:hAnsi="Arial" w:cs="Arial"/>
          <w:sz w:val="22"/>
          <w:szCs w:val="22"/>
          <w:lang w:val="es-ES_tradnl"/>
        </w:rPr>
        <w:t>79</w:t>
      </w:r>
      <w:r w:rsidR="004D3D57">
        <w:rPr>
          <w:rFonts w:ascii="Arial" w:eastAsia="Arial" w:hAnsi="Arial" w:cs="Arial"/>
          <w:sz w:val="22"/>
          <w:szCs w:val="22"/>
          <w:lang w:val="es-ES_tradnl"/>
        </w:rPr>
        <w:t> </w:t>
      </w:r>
      <w:r>
        <w:rPr>
          <w:rFonts w:ascii="Arial" w:eastAsia="Arial" w:hAnsi="Arial" w:cs="Arial"/>
          <w:sz w:val="22"/>
          <w:szCs w:val="22"/>
          <w:lang w:val="es-ES_tradnl"/>
        </w:rPr>
        <w:t xml:space="preserve">millones </w:t>
      </w:r>
      <w:r w:rsidRPr="009C0E1F">
        <w:rPr>
          <w:rFonts w:ascii="Arial" w:eastAsia="Arial" w:hAnsi="Arial" w:cs="Arial"/>
          <w:sz w:val="22"/>
          <w:szCs w:val="22"/>
          <w:lang w:val="es-ES_tradnl"/>
        </w:rPr>
        <w:t>(E</w:t>
      </w:r>
      <w:r w:rsidRPr="009C0E1F">
        <w:rPr>
          <w:rFonts w:ascii="Arial" w:eastAsia="Arial" w:hAnsi="Arial" w:cs="Arial"/>
          <w:sz w:val="22"/>
          <w:szCs w:val="22"/>
          <w:vertAlign w:val="subscript"/>
          <w:lang w:val="es-ES_tradnl"/>
        </w:rPr>
        <w:t>A</w:t>
      </w:r>
      <w:r w:rsidRPr="009C0E1F">
        <w:rPr>
          <w:rFonts w:ascii="Arial" w:eastAsia="Arial" w:hAnsi="Arial" w:cs="Arial"/>
          <w:sz w:val="22"/>
          <w:szCs w:val="22"/>
          <w:lang w:val="es-ES_tradnl"/>
        </w:rPr>
        <w:t xml:space="preserve"> – </w:t>
      </w:r>
      <w:r>
        <w:rPr>
          <w:rFonts w:ascii="Arial" w:eastAsia="Arial" w:hAnsi="Arial" w:cs="Arial"/>
          <w:sz w:val="22"/>
          <w:szCs w:val="22"/>
          <w:lang w:val="es-ES_tradnl"/>
        </w:rPr>
        <w:t>Efectividad</w:t>
      </w:r>
      <w:r w:rsidRPr="009C0E1F">
        <w:rPr>
          <w:rFonts w:ascii="Arial" w:eastAsia="Arial" w:hAnsi="Arial" w:cs="Arial"/>
          <w:sz w:val="22"/>
          <w:szCs w:val="22"/>
          <w:lang w:val="es-ES_tradnl"/>
        </w:rPr>
        <w:t xml:space="preserve"> sin proyecto</w:t>
      </w:r>
      <w:r>
        <w:rPr>
          <w:rFonts w:ascii="Arial" w:eastAsia="Arial" w:hAnsi="Arial" w:cs="Arial"/>
          <w:sz w:val="22"/>
          <w:szCs w:val="22"/>
          <w:lang w:val="es-ES_tradnl"/>
        </w:rPr>
        <w:t>).</w:t>
      </w:r>
      <w:r w:rsidR="00F57D6C">
        <w:rPr>
          <w:rFonts w:ascii="Arial" w:eastAsia="Arial" w:hAnsi="Arial" w:cs="Arial"/>
          <w:sz w:val="22"/>
          <w:szCs w:val="22"/>
          <w:lang w:val="es-ES_tradnl"/>
        </w:rPr>
        <w:t xml:space="preserve"> El costo efectividad </w:t>
      </w:r>
      <w:r w:rsidR="00F57D6C" w:rsidRPr="009C0E1F">
        <w:rPr>
          <w:rFonts w:ascii="Arial" w:eastAsia="Arial" w:hAnsi="Arial" w:cs="Arial"/>
          <w:sz w:val="22"/>
          <w:szCs w:val="22"/>
          <w:lang w:val="es-ES_tradnl"/>
        </w:rPr>
        <w:t>medio (CEM</w:t>
      </w:r>
      <w:r w:rsidR="00F57D6C" w:rsidRPr="009C0E1F">
        <w:rPr>
          <w:rFonts w:ascii="Arial" w:eastAsia="Arial" w:hAnsi="Arial" w:cs="Arial"/>
          <w:sz w:val="22"/>
          <w:szCs w:val="22"/>
          <w:vertAlign w:val="subscript"/>
          <w:lang w:val="es-ES_tradnl"/>
        </w:rPr>
        <w:t>A</w:t>
      </w:r>
      <w:r w:rsidR="00F57D6C" w:rsidRPr="009C0E1F">
        <w:rPr>
          <w:rFonts w:ascii="Arial" w:eastAsia="Arial" w:hAnsi="Arial" w:cs="Arial"/>
          <w:sz w:val="22"/>
          <w:szCs w:val="22"/>
          <w:lang w:val="es-ES_tradnl"/>
        </w:rPr>
        <w:t xml:space="preserve"> – sin proyecto) de</w:t>
      </w:r>
      <w:r w:rsidR="00F57D6C">
        <w:rPr>
          <w:rFonts w:ascii="Arial" w:eastAsia="Arial" w:hAnsi="Arial" w:cs="Arial"/>
          <w:sz w:val="22"/>
          <w:szCs w:val="22"/>
          <w:lang w:val="es-ES_tradnl"/>
        </w:rPr>
        <w:t xml:space="preserve"> las actividades del SENAE, tomando en cuenta los VPN es de US$0</w:t>
      </w:r>
      <w:r w:rsidR="004D3D57">
        <w:rPr>
          <w:rFonts w:ascii="Arial" w:eastAsia="Arial" w:hAnsi="Arial" w:cs="Arial"/>
          <w:sz w:val="22"/>
          <w:szCs w:val="22"/>
          <w:lang w:val="es-ES_tradnl"/>
        </w:rPr>
        <w:t>,</w:t>
      </w:r>
      <w:r w:rsidR="00961C02">
        <w:rPr>
          <w:rFonts w:ascii="Arial" w:eastAsia="Arial" w:hAnsi="Arial" w:cs="Arial"/>
          <w:sz w:val="22"/>
          <w:szCs w:val="22"/>
          <w:lang w:val="es-ES_tradnl"/>
        </w:rPr>
        <w:t>0</w:t>
      </w:r>
      <w:r w:rsidR="0047287A">
        <w:rPr>
          <w:rFonts w:ascii="Arial" w:eastAsia="Arial" w:hAnsi="Arial" w:cs="Arial"/>
          <w:sz w:val="22"/>
          <w:szCs w:val="22"/>
          <w:lang w:val="es-ES_tradnl"/>
        </w:rPr>
        <w:t>3282</w:t>
      </w:r>
      <w:r w:rsidR="001B4469">
        <w:rPr>
          <w:rFonts w:ascii="Arial" w:eastAsia="Arial" w:hAnsi="Arial" w:cs="Arial"/>
          <w:sz w:val="22"/>
          <w:szCs w:val="22"/>
          <w:lang w:val="es-ES_tradnl"/>
        </w:rPr>
        <w:t xml:space="preserve"> (ver Tabla 1).</w:t>
      </w:r>
    </w:p>
    <w:p w14:paraId="739F4640" w14:textId="43B96B58" w:rsidR="00F12D0B" w:rsidRPr="00F12D0B" w:rsidRDefault="00F57D6C" w:rsidP="005D44DB">
      <w:pPr>
        <w:pStyle w:val="Paragraph"/>
        <w:numPr>
          <w:ilvl w:val="1"/>
          <w:numId w:val="2"/>
        </w:numPr>
        <w:tabs>
          <w:tab w:val="clear" w:pos="1296"/>
        </w:tabs>
        <w:ind w:left="720" w:hanging="720"/>
        <w:outlineLvl w:val="9"/>
        <w:rPr>
          <w:rFonts w:ascii="Arial" w:hAnsi="Arial" w:cs="Arial"/>
          <w:sz w:val="22"/>
          <w:szCs w:val="22"/>
          <w:lang w:val="es-ES_tradnl"/>
        </w:rPr>
      </w:pPr>
      <w:bookmarkStart w:id="10" w:name="_Hlk26726369"/>
      <w:r w:rsidRPr="00F57D6C">
        <w:rPr>
          <w:rFonts w:ascii="Arial" w:eastAsia="Arial" w:hAnsi="Arial" w:cs="Arial"/>
          <w:sz w:val="22"/>
          <w:szCs w:val="22"/>
          <w:lang w:val="es-ES_tradnl"/>
        </w:rPr>
        <w:t xml:space="preserve">Para el programa total (SRI + SENAE), </w:t>
      </w:r>
      <w:r w:rsidRPr="00F57D6C">
        <w:rPr>
          <w:rFonts w:ascii="Arial" w:hAnsi="Arial" w:cs="Arial"/>
          <w:sz w:val="22"/>
          <w:szCs w:val="22"/>
          <w:lang w:val="es-ES_tradnl"/>
        </w:rPr>
        <w:t xml:space="preserve">el VPN de los costos de las labores de control </w:t>
      </w:r>
      <w:r>
        <w:rPr>
          <w:rFonts w:ascii="Arial" w:hAnsi="Arial" w:cs="Arial"/>
          <w:sz w:val="22"/>
          <w:szCs w:val="22"/>
          <w:lang w:val="es-ES_tradnl"/>
        </w:rPr>
        <w:t>del SRI y el SENAE</w:t>
      </w:r>
      <w:r w:rsidRPr="00F57D6C">
        <w:rPr>
          <w:rFonts w:ascii="Arial" w:hAnsi="Arial" w:cs="Arial"/>
          <w:sz w:val="22"/>
          <w:szCs w:val="22"/>
          <w:lang w:val="es-ES_tradnl"/>
        </w:rPr>
        <w:t xml:space="preserve"> sin programa </w:t>
      </w:r>
      <w:r w:rsidRPr="00F57D6C">
        <w:rPr>
          <w:rFonts w:ascii="Arial" w:eastAsia="Arial" w:hAnsi="Arial" w:cs="Arial"/>
          <w:sz w:val="22"/>
          <w:szCs w:val="22"/>
          <w:lang w:val="es-ES_tradnl"/>
        </w:rPr>
        <w:t>(C</w:t>
      </w:r>
      <w:r w:rsidRPr="00F57D6C">
        <w:rPr>
          <w:rFonts w:ascii="Arial" w:eastAsia="Arial" w:hAnsi="Arial" w:cs="Arial"/>
          <w:sz w:val="22"/>
          <w:szCs w:val="22"/>
          <w:vertAlign w:val="subscript"/>
          <w:lang w:val="es-ES_tradnl"/>
        </w:rPr>
        <w:t>A</w:t>
      </w:r>
      <w:r w:rsidRPr="00F57D6C">
        <w:rPr>
          <w:rFonts w:ascii="Arial" w:eastAsia="Arial" w:hAnsi="Arial" w:cs="Arial"/>
          <w:sz w:val="22"/>
          <w:szCs w:val="22"/>
          <w:lang w:val="es-ES_tradnl"/>
        </w:rPr>
        <w:t xml:space="preserve"> – costo sin proyecto) asciende a US$</w:t>
      </w:r>
      <w:r w:rsidR="00961C02">
        <w:rPr>
          <w:rFonts w:ascii="Arial" w:eastAsia="Arial" w:hAnsi="Arial" w:cs="Arial"/>
          <w:sz w:val="22"/>
          <w:szCs w:val="22"/>
          <w:lang w:val="es-ES_tradnl"/>
        </w:rPr>
        <w:t>1</w:t>
      </w:r>
      <w:r w:rsidR="008D1BEF">
        <w:rPr>
          <w:rFonts w:ascii="Arial" w:eastAsia="Arial" w:hAnsi="Arial" w:cs="Arial"/>
          <w:sz w:val="22"/>
          <w:szCs w:val="22"/>
          <w:lang w:val="es-ES_tradnl"/>
        </w:rPr>
        <w:t>.</w:t>
      </w:r>
      <w:r w:rsidR="0047287A">
        <w:rPr>
          <w:rFonts w:ascii="Arial" w:eastAsia="Arial" w:hAnsi="Arial" w:cs="Arial"/>
          <w:sz w:val="22"/>
          <w:szCs w:val="22"/>
          <w:lang w:val="es-ES_tradnl"/>
        </w:rPr>
        <w:t>229</w:t>
      </w:r>
      <w:r w:rsidR="008D1BEF">
        <w:rPr>
          <w:rFonts w:ascii="Arial" w:eastAsia="Arial" w:hAnsi="Arial" w:cs="Arial"/>
          <w:sz w:val="22"/>
          <w:szCs w:val="22"/>
          <w:lang w:val="es-ES_tradnl"/>
        </w:rPr>
        <w:t>,</w:t>
      </w:r>
      <w:r w:rsidR="0047287A">
        <w:rPr>
          <w:rFonts w:ascii="Arial" w:eastAsia="Arial" w:hAnsi="Arial" w:cs="Arial"/>
          <w:sz w:val="22"/>
          <w:szCs w:val="22"/>
          <w:lang w:val="es-ES_tradnl"/>
        </w:rPr>
        <w:t>34</w:t>
      </w:r>
      <w:r w:rsidR="008D1BEF">
        <w:rPr>
          <w:rFonts w:ascii="Arial" w:eastAsia="Arial" w:hAnsi="Arial" w:cs="Arial"/>
          <w:sz w:val="22"/>
          <w:szCs w:val="22"/>
          <w:lang w:val="es-ES_tradnl"/>
        </w:rPr>
        <w:t> </w:t>
      </w:r>
      <w:r w:rsidRPr="00F57D6C">
        <w:rPr>
          <w:rFonts w:ascii="Arial" w:eastAsia="Arial" w:hAnsi="Arial" w:cs="Arial"/>
          <w:sz w:val="22"/>
          <w:szCs w:val="22"/>
          <w:lang w:val="es-ES_tradnl"/>
        </w:rPr>
        <w:t>millones, mientras que el VPN de los rendimientos de la</w:t>
      </w:r>
      <w:r>
        <w:rPr>
          <w:rFonts w:ascii="Arial" w:eastAsia="Arial" w:hAnsi="Arial" w:cs="Arial"/>
          <w:sz w:val="22"/>
          <w:szCs w:val="22"/>
          <w:lang w:val="es-ES_tradnl"/>
        </w:rPr>
        <w:t>s labores de control de ambas instituciones</w:t>
      </w:r>
      <w:r w:rsidRPr="00F57D6C">
        <w:rPr>
          <w:rFonts w:ascii="Arial" w:eastAsia="Arial" w:hAnsi="Arial" w:cs="Arial"/>
          <w:sz w:val="22"/>
          <w:szCs w:val="22"/>
          <w:lang w:val="es-ES_tradnl"/>
        </w:rPr>
        <w:t xml:space="preserve"> asciende a US$</w:t>
      </w:r>
      <w:r w:rsidR="0047287A">
        <w:rPr>
          <w:rFonts w:ascii="Arial" w:eastAsia="Arial" w:hAnsi="Arial" w:cs="Arial"/>
          <w:sz w:val="22"/>
          <w:szCs w:val="22"/>
          <w:lang w:val="es-ES_tradnl"/>
        </w:rPr>
        <w:t>121</w:t>
      </w:r>
      <w:r w:rsidR="004D3D57">
        <w:rPr>
          <w:rFonts w:ascii="Arial" w:eastAsia="Arial" w:hAnsi="Arial" w:cs="Arial"/>
          <w:sz w:val="22"/>
          <w:szCs w:val="22"/>
          <w:lang w:val="es-ES_tradnl"/>
        </w:rPr>
        <w:t>.</w:t>
      </w:r>
      <w:r w:rsidR="0047287A">
        <w:rPr>
          <w:rFonts w:ascii="Arial" w:eastAsia="Arial" w:hAnsi="Arial" w:cs="Arial"/>
          <w:sz w:val="22"/>
          <w:szCs w:val="22"/>
          <w:lang w:val="es-ES_tradnl"/>
        </w:rPr>
        <w:t>104</w:t>
      </w:r>
      <w:r w:rsidR="004D3D57">
        <w:rPr>
          <w:rFonts w:ascii="Arial" w:eastAsia="Arial" w:hAnsi="Arial" w:cs="Arial"/>
          <w:sz w:val="22"/>
          <w:szCs w:val="22"/>
          <w:lang w:val="es-ES_tradnl"/>
        </w:rPr>
        <w:t>,</w:t>
      </w:r>
      <w:r w:rsidR="0047287A">
        <w:rPr>
          <w:rFonts w:ascii="Arial" w:eastAsia="Arial" w:hAnsi="Arial" w:cs="Arial"/>
          <w:sz w:val="22"/>
          <w:szCs w:val="22"/>
          <w:lang w:val="es-ES_tradnl"/>
        </w:rPr>
        <w:t>69</w:t>
      </w:r>
      <w:r w:rsidRPr="00F57D6C">
        <w:rPr>
          <w:rFonts w:ascii="Arial" w:eastAsia="Arial" w:hAnsi="Arial" w:cs="Arial"/>
          <w:sz w:val="22"/>
          <w:szCs w:val="22"/>
          <w:lang w:val="es-ES_tradnl"/>
        </w:rPr>
        <w:t xml:space="preserve"> millones (E</w:t>
      </w:r>
      <w:r w:rsidR="004D3D57">
        <w:rPr>
          <w:rFonts w:ascii="Arial" w:eastAsia="Arial" w:hAnsi="Arial" w:cs="Arial"/>
          <w:sz w:val="22"/>
          <w:szCs w:val="22"/>
          <w:lang w:val="es-ES_tradnl"/>
        </w:rPr>
        <w:noBreakHyphen/>
      </w:r>
      <w:r w:rsidRPr="00F57D6C">
        <w:rPr>
          <w:rFonts w:ascii="Arial" w:eastAsia="Arial" w:hAnsi="Arial" w:cs="Arial"/>
          <w:sz w:val="22"/>
          <w:szCs w:val="22"/>
          <w:lang w:val="es-ES_tradnl"/>
        </w:rPr>
        <w:t>Efectividad sin proyecto). El costo efectividad medio (CEM</w:t>
      </w:r>
      <w:r w:rsidRPr="00F57D6C">
        <w:rPr>
          <w:rFonts w:ascii="Arial" w:eastAsia="Arial" w:hAnsi="Arial" w:cs="Arial"/>
          <w:sz w:val="22"/>
          <w:szCs w:val="22"/>
          <w:vertAlign w:val="subscript"/>
          <w:lang w:val="es-ES_tradnl"/>
        </w:rPr>
        <w:t>A</w:t>
      </w:r>
      <w:r w:rsidR="004D3D57">
        <w:rPr>
          <w:rFonts w:ascii="Arial" w:eastAsia="Arial" w:hAnsi="Arial" w:cs="Arial"/>
          <w:sz w:val="22"/>
          <w:szCs w:val="22"/>
          <w:lang w:val="es-ES_tradnl"/>
        </w:rPr>
        <w:noBreakHyphen/>
      </w:r>
      <w:r w:rsidRPr="00F57D6C">
        <w:rPr>
          <w:rFonts w:ascii="Arial" w:eastAsia="Arial" w:hAnsi="Arial" w:cs="Arial"/>
          <w:sz w:val="22"/>
          <w:szCs w:val="22"/>
          <w:lang w:val="es-ES_tradnl"/>
        </w:rPr>
        <w:t xml:space="preserve">sin proyecto) de las actividades de control </w:t>
      </w:r>
      <w:r>
        <w:rPr>
          <w:rFonts w:ascii="Arial" w:eastAsia="Arial" w:hAnsi="Arial" w:cs="Arial"/>
          <w:sz w:val="22"/>
          <w:szCs w:val="22"/>
          <w:lang w:val="es-ES_tradnl"/>
        </w:rPr>
        <w:t xml:space="preserve">de ambas instituciones, </w:t>
      </w:r>
      <w:r w:rsidRPr="00F57D6C">
        <w:rPr>
          <w:rFonts w:ascii="Arial" w:eastAsia="Arial" w:hAnsi="Arial" w:cs="Arial"/>
          <w:sz w:val="22"/>
          <w:szCs w:val="22"/>
          <w:lang w:val="es-ES_tradnl"/>
        </w:rPr>
        <w:t>tomando en cuenta los VPN es de US$0</w:t>
      </w:r>
      <w:r w:rsidR="004D3D57">
        <w:rPr>
          <w:rFonts w:ascii="Arial" w:eastAsia="Arial" w:hAnsi="Arial" w:cs="Arial"/>
          <w:sz w:val="22"/>
          <w:szCs w:val="22"/>
          <w:lang w:val="es-ES_tradnl"/>
        </w:rPr>
        <w:t>,</w:t>
      </w:r>
      <w:r w:rsidR="00961C02" w:rsidRPr="00F57D6C">
        <w:rPr>
          <w:rFonts w:ascii="Arial" w:eastAsia="Arial" w:hAnsi="Arial" w:cs="Arial"/>
          <w:sz w:val="22"/>
          <w:szCs w:val="22"/>
          <w:lang w:val="es-ES_tradnl"/>
        </w:rPr>
        <w:t>0</w:t>
      </w:r>
      <w:r w:rsidR="00B162FC">
        <w:rPr>
          <w:rFonts w:ascii="Arial" w:eastAsia="Arial" w:hAnsi="Arial" w:cs="Arial"/>
          <w:sz w:val="22"/>
          <w:szCs w:val="22"/>
          <w:lang w:val="es-ES_tradnl"/>
        </w:rPr>
        <w:t>1</w:t>
      </w:r>
      <w:r w:rsidR="0047287A">
        <w:rPr>
          <w:rFonts w:ascii="Arial" w:eastAsia="Arial" w:hAnsi="Arial" w:cs="Arial"/>
          <w:sz w:val="22"/>
          <w:szCs w:val="22"/>
          <w:lang w:val="es-ES_tradnl"/>
        </w:rPr>
        <w:t>015</w:t>
      </w:r>
      <w:r w:rsidR="001B4469">
        <w:rPr>
          <w:rFonts w:ascii="Arial" w:eastAsia="Arial" w:hAnsi="Arial" w:cs="Arial"/>
          <w:sz w:val="22"/>
          <w:szCs w:val="22"/>
          <w:lang w:val="es-ES_tradnl"/>
        </w:rPr>
        <w:t xml:space="preserve"> (ver Tabla 1)</w:t>
      </w:r>
      <w:r w:rsidRPr="00F57D6C">
        <w:rPr>
          <w:rFonts w:ascii="Arial" w:eastAsia="Arial" w:hAnsi="Arial" w:cs="Arial"/>
          <w:sz w:val="22"/>
          <w:szCs w:val="22"/>
          <w:lang w:val="es-ES_tradnl"/>
        </w:rPr>
        <w:t>.</w:t>
      </w:r>
      <w:bookmarkStart w:id="11" w:name="_Hlk26725421"/>
    </w:p>
    <w:bookmarkEnd w:id="10"/>
    <w:p w14:paraId="48C71B25" w14:textId="2A75C2FA" w:rsidR="005A0804" w:rsidRDefault="00211A18" w:rsidP="005D44DB">
      <w:pPr>
        <w:pStyle w:val="Paragraph"/>
        <w:numPr>
          <w:ilvl w:val="1"/>
          <w:numId w:val="2"/>
        </w:numPr>
        <w:tabs>
          <w:tab w:val="clear" w:pos="1296"/>
        </w:tabs>
        <w:ind w:left="720" w:hanging="720"/>
        <w:outlineLvl w:val="9"/>
        <w:rPr>
          <w:rFonts w:ascii="Arial" w:hAnsi="Arial" w:cs="Arial"/>
          <w:sz w:val="22"/>
          <w:szCs w:val="22"/>
          <w:lang w:val="es-ES_tradnl"/>
        </w:rPr>
      </w:pPr>
      <w:r w:rsidRPr="00CD13A7">
        <w:rPr>
          <w:rFonts w:ascii="Arial" w:eastAsia="Arial" w:hAnsi="Arial" w:cs="Arial"/>
          <w:sz w:val="22"/>
          <w:szCs w:val="22"/>
          <w:lang w:val="es-ES_tradnl"/>
        </w:rPr>
        <w:t>Con el pr</w:t>
      </w:r>
      <w:r w:rsidR="00F57D6C" w:rsidRPr="00CD13A7">
        <w:rPr>
          <w:rFonts w:ascii="Arial" w:eastAsia="Arial" w:hAnsi="Arial" w:cs="Arial"/>
          <w:sz w:val="22"/>
          <w:szCs w:val="22"/>
          <w:lang w:val="es-ES_tradnl"/>
        </w:rPr>
        <w:t>ograma</w:t>
      </w:r>
      <w:r w:rsidR="00CD13A7" w:rsidRPr="00CD13A7">
        <w:rPr>
          <w:rFonts w:ascii="Arial" w:eastAsia="Arial" w:hAnsi="Arial" w:cs="Arial"/>
          <w:sz w:val="22"/>
          <w:szCs w:val="22"/>
          <w:lang w:val="es-ES_tradnl"/>
        </w:rPr>
        <w:t xml:space="preserve"> en el caso del SRI</w:t>
      </w:r>
      <w:r w:rsidRPr="00CD13A7">
        <w:rPr>
          <w:rFonts w:ascii="Arial" w:eastAsia="Arial" w:hAnsi="Arial" w:cs="Arial"/>
          <w:sz w:val="22"/>
          <w:szCs w:val="22"/>
          <w:lang w:val="es-ES_tradnl"/>
        </w:rPr>
        <w:t xml:space="preserve">, </w:t>
      </w:r>
      <w:r w:rsidR="00C0287D" w:rsidRPr="00CD13A7">
        <w:rPr>
          <w:rFonts w:ascii="Arial" w:eastAsia="Arial" w:hAnsi="Arial" w:cs="Arial"/>
          <w:sz w:val="22"/>
          <w:szCs w:val="22"/>
          <w:lang w:val="es-ES_tradnl"/>
        </w:rPr>
        <w:t xml:space="preserve">una </w:t>
      </w:r>
      <w:r w:rsidR="00EF1889" w:rsidRPr="00CD13A7">
        <w:rPr>
          <w:rFonts w:ascii="Arial" w:eastAsia="Arial" w:hAnsi="Arial" w:cs="Arial"/>
          <w:sz w:val="22"/>
          <w:szCs w:val="22"/>
          <w:lang w:val="es-ES_tradnl"/>
        </w:rPr>
        <w:t xml:space="preserve">vez implementada la </w:t>
      </w:r>
      <w:r w:rsidR="00C0287D" w:rsidRPr="00CD13A7">
        <w:rPr>
          <w:rFonts w:ascii="Arial" w:eastAsia="Arial" w:hAnsi="Arial" w:cs="Arial"/>
          <w:sz w:val="22"/>
          <w:szCs w:val="22"/>
          <w:lang w:val="es-ES_tradnl"/>
        </w:rPr>
        <w:t xml:space="preserve">nueva plataforma </w:t>
      </w:r>
      <w:r w:rsidR="0090626A" w:rsidRPr="00CD13A7">
        <w:rPr>
          <w:rFonts w:ascii="Arial" w:eastAsia="Arial" w:hAnsi="Arial" w:cs="Arial"/>
          <w:sz w:val="22"/>
          <w:szCs w:val="22"/>
          <w:lang w:val="es-ES_tradnl"/>
        </w:rPr>
        <w:t>de TI</w:t>
      </w:r>
      <w:r w:rsidR="00D73408" w:rsidRPr="00CD13A7">
        <w:rPr>
          <w:rFonts w:ascii="Arial" w:eastAsia="Arial" w:hAnsi="Arial" w:cs="Arial"/>
          <w:sz w:val="22"/>
          <w:szCs w:val="22"/>
          <w:lang w:val="es-ES_tradnl"/>
        </w:rPr>
        <w:t xml:space="preserve"> y los nuevos procesos de fiscalización</w:t>
      </w:r>
      <w:r w:rsidRPr="00CD13A7">
        <w:rPr>
          <w:rFonts w:ascii="Arial" w:eastAsia="Arial" w:hAnsi="Arial" w:cs="Arial"/>
          <w:sz w:val="22"/>
          <w:szCs w:val="22"/>
          <w:lang w:val="es-ES_tradnl"/>
        </w:rPr>
        <w:t xml:space="preserve">, </w:t>
      </w:r>
      <w:r w:rsidR="00C0287D" w:rsidRPr="00CD13A7">
        <w:rPr>
          <w:rFonts w:ascii="Arial" w:eastAsia="Arial" w:hAnsi="Arial" w:cs="Arial"/>
          <w:sz w:val="22"/>
          <w:szCs w:val="22"/>
          <w:lang w:val="es-ES_tradnl"/>
        </w:rPr>
        <w:t xml:space="preserve">el </w:t>
      </w:r>
      <w:r w:rsidR="00CD13A7" w:rsidRPr="00CD13A7">
        <w:rPr>
          <w:rFonts w:ascii="Arial" w:eastAsia="Arial" w:hAnsi="Arial" w:cs="Arial"/>
          <w:sz w:val="22"/>
          <w:szCs w:val="22"/>
          <w:lang w:val="es-ES_tradnl"/>
        </w:rPr>
        <w:t xml:space="preserve">VPN del </w:t>
      </w:r>
      <w:r w:rsidR="00C0287D" w:rsidRPr="00CD13A7">
        <w:rPr>
          <w:rFonts w:ascii="Arial" w:eastAsia="Arial" w:hAnsi="Arial" w:cs="Arial"/>
          <w:sz w:val="22"/>
          <w:szCs w:val="22"/>
          <w:lang w:val="es-ES_tradnl"/>
        </w:rPr>
        <w:t xml:space="preserve">costo </w:t>
      </w:r>
      <w:r w:rsidR="001B4469" w:rsidRPr="00CD13A7">
        <w:rPr>
          <w:rFonts w:ascii="Arial" w:eastAsia="Arial" w:hAnsi="Arial" w:cs="Arial"/>
          <w:sz w:val="22"/>
          <w:szCs w:val="22"/>
          <w:lang w:val="es-ES_tradnl"/>
        </w:rPr>
        <w:t>anual se</w:t>
      </w:r>
      <w:r w:rsidR="00EF1889" w:rsidRPr="00CD13A7">
        <w:rPr>
          <w:rFonts w:ascii="Arial" w:eastAsia="Arial" w:hAnsi="Arial" w:cs="Arial"/>
          <w:sz w:val="22"/>
          <w:szCs w:val="22"/>
          <w:lang w:val="es-ES_tradnl"/>
        </w:rPr>
        <w:t xml:space="preserve"> incrementará</w:t>
      </w:r>
      <w:r w:rsidR="00C0287D" w:rsidRPr="00CD13A7">
        <w:rPr>
          <w:rFonts w:ascii="Arial" w:eastAsia="Arial" w:hAnsi="Arial" w:cs="Arial"/>
          <w:sz w:val="22"/>
          <w:szCs w:val="22"/>
          <w:lang w:val="es-ES_tradnl"/>
        </w:rPr>
        <w:t xml:space="preserve"> a US$</w:t>
      </w:r>
      <w:r w:rsidR="00C715F9">
        <w:rPr>
          <w:rFonts w:ascii="Arial" w:eastAsia="Arial" w:hAnsi="Arial" w:cs="Arial"/>
          <w:sz w:val="22"/>
          <w:szCs w:val="22"/>
          <w:lang w:val="es-ES_tradnl"/>
        </w:rPr>
        <w:t>899</w:t>
      </w:r>
      <w:r w:rsidR="00A74791">
        <w:rPr>
          <w:rFonts w:ascii="Arial" w:eastAsia="Arial" w:hAnsi="Arial" w:cs="Arial"/>
          <w:sz w:val="22"/>
          <w:szCs w:val="22"/>
          <w:lang w:val="es-ES_tradnl"/>
        </w:rPr>
        <w:t>,</w:t>
      </w:r>
      <w:r w:rsidR="00C715F9">
        <w:rPr>
          <w:rFonts w:ascii="Arial" w:eastAsia="Arial" w:hAnsi="Arial" w:cs="Arial"/>
          <w:sz w:val="22"/>
          <w:szCs w:val="22"/>
          <w:lang w:val="es-ES_tradnl"/>
        </w:rPr>
        <w:t>2</w:t>
      </w:r>
      <w:r w:rsidR="00C0287D" w:rsidRPr="00CD13A7">
        <w:rPr>
          <w:rFonts w:ascii="Arial" w:eastAsia="Arial" w:hAnsi="Arial" w:cs="Arial"/>
          <w:sz w:val="22"/>
          <w:szCs w:val="22"/>
          <w:lang w:val="es-ES_tradnl"/>
        </w:rPr>
        <w:t xml:space="preserve"> millones</w:t>
      </w:r>
      <w:r w:rsidR="009148F0" w:rsidRPr="00CD13A7">
        <w:rPr>
          <w:rFonts w:ascii="Arial" w:eastAsia="Arial" w:hAnsi="Arial" w:cs="Arial"/>
          <w:sz w:val="22"/>
          <w:szCs w:val="22"/>
          <w:lang w:val="es-ES_tradnl"/>
        </w:rPr>
        <w:t xml:space="preserve"> (C</w:t>
      </w:r>
      <w:r w:rsidR="009148F0" w:rsidRPr="00CD13A7">
        <w:rPr>
          <w:rFonts w:ascii="Arial" w:eastAsia="Arial" w:hAnsi="Arial" w:cs="Arial"/>
          <w:sz w:val="22"/>
          <w:szCs w:val="22"/>
          <w:vertAlign w:val="subscript"/>
          <w:lang w:val="es-ES_tradnl"/>
        </w:rPr>
        <w:t>B</w:t>
      </w:r>
      <w:r w:rsidR="000527F2" w:rsidRPr="00CD13A7">
        <w:rPr>
          <w:rFonts w:ascii="Arial" w:eastAsia="Arial" w:hAnsi="Arial" w:cs="Arial"/>
          <w:sz w:val="22"/>
          <w:szCs w:val="22"/>
          <w:lang w:val="es-ES_tradnl"/>
        </w:rPr>
        <w:t xml:space="preserve"> – </w:t>
      </w:r>
      <w:r w:rsidR="00EF1889" w:rsidRPr="00CD13A7">
        <w:rPr>
          <w:rFonts w:ascii="Arial" w:eastAsia="Arial" w:hAnsi="Arial" w:cs="Arial"/>
          <w:sz w:val="22"/>
          <w:szCs w:val="22"/>
          <w:lang w:val="es-ES_tradnl"/>
        </w:rPr>
        <w:t xml:space="preserve">costo </w:t>
      </w:r>
      <w:r w:rsidR="000527F2" w:rsidRPr="00CD13A7">
        <w:rPr>
          <w:rFonts w:ascii="Arial" w:eastAsia="Arial" w:hAnsi="Arial" w:cs="Arial"/>
          <w:sz w:val="22"/>
          <w:szCs w:val="22"/>
          <w:lang w:val="es-ES_tradnl"/>
        </w:rPr>
        <w:t>con proyecto</w:t>
      </w:r>
      <w:r w:rsidR="009148F0" w:rsidRPr="00CD13A7">
        <w:rPr>
          <w:rFonts w:ascii="Arial" w:eastAsia="Arial" w:hAnsi="Arial" w:cs="Arial"/>
          <w:sz w:val="22"/>
          <w:szCs w:val="22"/>
          <w:lang w:val="es-ES_tradnl"/>
        </w:rPr>
        <w:t>)</w:t>
      </w:r>
      <w:r w:rsidR="00B97C43">
        <w:rPr>
          <w:rStyle w:val="FootnoteReference"/>
          <w:rFonts w:ascii="Arial" w:eastAsia="Arial" w:hAnsi="Arial" w:cs="Arial"/>
          <w:sz w:val="22"/>
          <w:szCs w:val="22"/>
          <w:lang w:val="es-ES_tradnl"/>
        </w:rPr>
        <w:footnoteReference w:id="9"/>
      </w:r>
      <w:r w:rsidR="00412C76" w:rsidRPr="00CD13A7">
        <w:rPr>
          <w:rFonts w:ascii="Arial" w:eastAsia="Arial" w:hAnsi="Arial" w:cs="Arial"/>
          <w:sz w:val="22"/>
          <w:szCs w:val="22"/>
          <w:lang w:val="es-ES_tradnl"/>
        </w:rPr>
        <w:t>. S</w:t>
      </w:r>
      <w:r w:rsidR="00C0287D" w:rsidRPr="00CD13A7">
        <w:rPr>
          <w:rFonts w:ascii="Arial" w:eastAsia="Arial" w:hAnsi="Arial" w:cs="Arial"/>
          <w:sz w:val="22"/>
          <w:szCs w:val="22"/>
          <w:lang w:val="es-ES_tradnl"/>
        </w:rPr>
        <w:t xml:space="preserve">in embargo, </w:t>
      </w:r>
      <w:r w:rsidR="009A16AD">
        <w:rPr>
          <w:rFonts w:ascii="Arial" w:eastAsia="Arial" w:hAnsi="Arial" w:cs="Arial"/>
          <w:sz w:val="22"/>
          <w:szCs w:val="22"/>
          <w:lang w:val="es-ES_tradnl"/>
        </w:rPr>
        <w:t>como resultado de la modernización de la</w:t>
      </w:r>
      <w:r w:rsidR="00553F18" w:rsidRPr="00CD13A7">
        <w:rPr>
          <w:rFonts w:ascii="Arial" w:eastAsia="Arial" w:hAnsi="Arial" w:cs="Arial"/>
          <w:sz w:val="22"/>
          <w:szCs w:val="22"/>
          <w:lang w:val="es-ES_tradnl"/>
        </w:rPr>
        <w:t xml:space="preserve"> plataforma </w:t>
      </w:r>
      <w:r w:rsidR="004E5522" w:rsidRPr="00CD13A7">
        <w:rPr>
          <w:rFonts w:ascii="Arial" w:eastAsia="Arial" w:hAnsi="Arial" w:cs="Arial"/>
          <w:sz w:val="22"/>
          <w:szCs w:val="22"/>
          <w:lang w:val="es-ES_tradnl"/>
        </w:rPr>
        <w:t xml:space="preserve">tecnológica en combinación </w:t>
      </w:r>
      <w:r w:rsidR="00C0287D" w:rsidRPr="00CD13A7">
        <w:rPr>
          <w:rFonts w:ascii="Arial" w:eastAsia="Arial" w:hAnsi="Arial" w:cs="Arial"/>
          <w:sz w:val="22"/>
          <w:szCs w:val="22"/>
          <w:lang w:val="es-ES_tradnl"/>
        </w:rPr>
        <w:t xml:space="preserve">con las acciones a ser implementadas por </w:t>
      </w:r>
      <w:r w:rsidR="00CD13A7" w:rsidRPr="00CD13A7">
        <w:rPr>
          <w:rFonts w:ascii="Arial" w:eastAsia="Arial" w:hAnsi="Arial" w:cs="Arial"/>
          <w:sz w:val="22"/>
          <w:szCs w:val="22"/>
          <w:lang w:val="es-ES_tradnl"/>
        </w:rPr>
        <w:t>el componente</w:t>
      </w:r>
      <w:r w:rsidRPr="00CD13A7">
        <w:rPr>
          <w:rFonts w:ascii="Arial" w:eastAsia="Arial" w:hAnsi="Arial" w:cs="Arial"/>
          <w:sz w:val="22"/>
          <w:szCs w:val="22"/>
          <w:lang w:val="es-ES_tradnl"/>
        </w:rPr>
        <w:t xml:space="preserve"> I </w:t>
      </w:r>
      <w:r w:rsidR="0090626A" w:rsidRPr="00CD13A7">
        <w:rPr>
          <w:rFonts w:ascii="Arial" w:eastAsia="Arial" w:hAnsi="Arial" w:cs="Arial"/>
          <w:sz w:val="22"/>
          <w:szCs w:val="22"/>
          <w:lang w:val="es-ES_tradnl"/>
        </w:rPr>
        <w:t>del pr</w:t>
      </w:r>
      <w:r w:rsidR="00CD13A7" w:rsidRPr="00CD13A7">
        <w:rPr>
          <w:rFonts w:ascii="Arial" w:eastAsia="Arial" w:hAnsi="Arial" w:cs="Arial"/>
          <w:sz w:val="22"/>
          <w:szCs w:val="22"/>
          <w:lang w:val="es-ES_tradnl"/>
        </w:rPr>
        <w:t>ograma</w:t>
      </w:r>
      <w:r w:rsidR="008E16E2" w:rsidRPr="00CD13A7">
        <w:rPr>
          <w:rFonts w:ascii="Arial" w:eastAsia="Arial" w:hAnsi="Arial" w:cs="Arial"/>
          <w:sz w:val="22"/>
          <w:szCs w:val="22"/>
          <w:lang w:val="es-ES_tradnl"/>
        </w:rPr>
        <w:t xml:space="preserve"> (especialmente la fiscalización electrónica masiva</w:t>
      </w:r>
      <w:r w:rsidR="0076395F" w:rsidRPr="00CD13A7">
        <w:rPr>
          <w:rFonts w:ascii="Arial" w:eastAsia="Arial" w:hAnsi="Arial" w:cs="Arial"/>
          <w:sz w:val="22"/>
          <w:szCs w:val="22"/>
          <w:lang w:val="es-ES_tradnl"/>
        </w:rPr>
        <w:t xml:space="preserve"> y la fiscalización </w:t>
      </w:r>
      <w:r w:rsidR="00CD13A7" w:rsidRPr="00CD13A7">
        <w:rPr>
          <w:rFonts w:ascii="Arial" w:eastAsia="Arial" w:hAnsi="Arial" w:cs="Arial"/>
          <w:sz w:val="22"/>
          <w:szCs w:val="22"/>
          <w:lang w:val="es-ES_tradnl"/>
        </w:rPr>
        <w:t>intensiva</w:t>
      </w:r>
      <w:r w:rsidR="008E16E2" w:rsidRPr="00CD13A7">
        <w:rPr>
          <w:rFonts w:ascii="Arial" w:eastAsia="Arial" w:hAnsi="Arial" w:cs="Arial"/>
          <w:sz w:val="22"/>
          <w:szCs w:val="22"/>
          <w:lang w:val="es-ES_tradnl"/>
        </w:rPr>
        <w:t>)</w:t>
      </w:r>
      <w:r w:rsidRPr="00CD13A7">
        <w:rPr>
          <w:rFonts w:ascii="Arial" w:eastAsia="Arial" w:hAnsi="Arial" w:cs="Arial"/>
          <w:sz w:val="22"/>
          <w:szCs w:val="22"/>
          <w:lang w:val="es-ES_tradnl"/>
        </w:rPr>
        <w:t xml:space="preserve">, </w:t>
      </w:r>
      <w:r w:rsidRPr="005D44DB">
        <w:rPr>
          <w:rFonts w:ascii="Arial" w:hAnsi="Arial"/>
          <w:sz w:val="22"/>
          <w:lang w:val="es-ES_tradnl"/>
        </w:rPr>
        <w:t xml:space="preserve">se espera </w:t>
      </w:r>
      <w:r w:rsidR="0076395F" w:rsidRPr="005D44DB">
        <w:rPr>
          <w:rFonts w:ascii="Arial" w:hAnsi="Arial"/>
          <w:sz w:val="22"/>
          <w:lang w:val="es-ES_tradnl"/>
        </w:rPr>
        <w:t>generar una mayor recaudación</w:t>
      </w:r>
      <w:r w:rsidR="00B162FC" w:rsidRPr="005D44DB">
        <w:rPr>
          <w:rFonts w:ascii="Arial" w:hAnsi="Arial"/>
          <w:sz w:val="22"/>
          <w:lang w:val="es-ES_tradnl"/>
        </w:rPr>
        <w:t xml:space="preserve"> anual</w:t>
      </w:r>
      <w:r w:rsidR="00642B7E" w:rsidRPr="005D44DB">
        <w:rPr>
          <w:rFonts w:ascii="Arial" w:hAnsi="Arial"/>
          <w:sz w:val="22"/>
          <w:lang w:val="es-ES_tradnl"/>
        </w:rPr>
        <w:t xml:space="preserve"> de </w:t>
      </w:r>
      <w:r w:rsidR="00B162FC" w:rsidRPr="005D44DB">
        <w:rPr>
          <w:rFonts w:ascii="Arial" w:hAnsi="Arial"/>
          <w:sz w:val="22"/>
          <w:lang w:val="es-ES_tradnl"/>
        </w:rPr>
        <w:t>2</w:t>
      </w:r>
      <w:r w:rsidR="00E2717A">
        <w:rPr>
          <w:rFonts w:ascii="Arial" w:eastAsia="Arial" w:hAnsi="Arial" w:cs="Arial"/>
          <w:sz w:val="22"/>
          <w:szCs w:val="22"/>
          <w:lang w:val="es-ES_tradnl"/>
        </w:rPr>
        <w:t>,</w:t>
      </w:r>
      <w:r w:rsidR="00B162FC" w:rsidRPr="005D44DB">
        <w:rPr>
          <w:rFonts w:ascii="Arial" w:hAnsi="Arial"/>
          <w:sz w:val="22"/>
          <w:lang w:val="es-ES_tradnl"/>
        </w:rPr>
        <w:t>5</w:t>
      </w:r>
      <w:r w:rsidR="00642B7E" w:rsidRPr="005D44DB">
        <w:rPr>
          <w:rFonts w:ascii="Arial" w:hAnsi="Arial"/>
          <w:sz w:val="22"/>
          <w:lang w:val="es-ES_tradnl"/>
        </w:rPr>
        <w:t>%</w:t>
      </w:r>
      <w:r w:rsidR="00642B7E">
        <w:rPr>
          <w:rFonts w:ascii="Arial" w:eastAsia="Arial" w:hAnsi="Arial" w:cs="Arial"/>
          <w:sz w:val="22"/>
          <w:szCs w:val="22"/>
          <w:lang w:val="es-ES_tradnl"/>
        </w:rPr>
        <w:t xml:space="preserve"> sobre el escenario sin programa</w:t>
      </w:r>
      <w:r w:rsidR="0076395F" w:rsidRPr="00CD13A7">
        <w:rPr>
          <w:rFonts w:ascii="Arial" w:eastAsia="Arial" w:hAnsi="Arial" w:cs="Arial"/>
          <w:sz w:val="22"/>
          <w:szCs w:val="22"/>
          <w:lang w:val="es-ES_tradnl"/>
        </w:rPr>
        <w:t xml:space="preserve"> </w:t>
      </w:r>
      <w:r w:rsidR="009148F0" w:rsidRPr="00CD13A7">
        <w:rPr>
          <w:rFonts w:ascii="Arial" w:eastAsia="Arial" w:hAnsi="Arial" w:cs="Arial"/>
          <w:sz w:val="22"/>
          <w:szCs w:val="22"/>
          <w:lang w:val="es-ES_tradnl"/>
        </w:rPr>
        <w:t>(E</w:t>
      </w:r>
      <w:r w:rsidR="009148F0" w:rsidRPr="00CD13A7">
        <w:rPr>
          <w:rFonts w:ascii="Arial" w:eastAsia="Arial" w:hAnsi="Arial" w:cs="Arial"/>
          <w:sz w:val="22"/>
          <w:szCs w:val="22"/>
          <w:vertAlign w:val="subscript"/>
          <w:lang w:val="es-ES_tradnl"/>
        </w:rPr>
        <w:t>B</w:t>
      </w:r>
      <w:r w:rsidR="000527F2" w:rsidRPr="00CD13A7">
        <w:rPr>
          <w:rFonts w:ascii="Arial" w:eastAsia="Arial" w:hAnsi="Arial" w:cs="Arial"/>
          <w:sz w:val="22"/>
          <w:szCs w:val="22"/>
          <w:lang w:val="es-ES_tradnl"/>
        </w:rPr>
        <w:t xml:space="preserve"> – </w:t>
      </w:r>
      <w:r w:rsidR="00046BB1" w:rsidRPr="00CD13A7">
        <w:rPr>
          <w:rFonts w:ascii="Arial" w:eastAsia="Arial" w:hAnsi="Arial" w:cs="Arial"/>
          <w:sz w:val="22"/>
          <w:szCs w:val="22"/>
          <w:lang w:val="es-ES_tradnl"/>
        </w:rPr>
        <w:t>Efectividad</w:t>
      </w:r>
      <w:r w:rsidR="000527F2" w:rsidRPr="00CD13A7">
        <w:rPr>
          <w:rFonts w:ascii="Arial" w:eastAsia="Arial" w:hAnsi="Arial" w:cs="Arial"/>
          <w:sz w:val="22"/>
          <w:szCs w:val="22"/>
          <w:lang w:val="es-ES_tradnl"/>
        </w:rPr>
        <w:t xml:space="preserve"> con proyecto</w:t>
      </w:r>
      <w:r w:rsidR="009148F0" w:rsidRPr="00CD13A7">
        <w:rPr>
          <w:rFonts w:ascii="Arial" w:eastAsia="Arial" w:hAnsi="Arial" w:cs="Arial"/>
          <w:sz w:val="22"/>
          <w:szCs w:val="22"/>
          <w:lang w:val="es-ES_tradnl"/>
        </w:rPr>
        <w:t>)</w:t>
      </w:r>
      <w:r w:rsidRPr="00CD13A7">
        <w:rPr>
          <w:rFonts w:ascii="Arial" w:eastAsia="Arial" w:hAnsi="Arial" w:cs="Arial"/>
          <w:sz w:val="22"/>
          <w:szCs w:val="22"/>
          <w:lang w:val="es-ES_tradnl"/>
        </w:rPr>
        <w:t xml:space="preserve">. </w:t>
      </w:r>
      <w:r w:rsidR="00642B7E">
        <w:rPr>
          <w:rFonts w:ascii="Arial" w:eastAsia="Arial" w:hAnsi="Arial" w:cs="Arial"/>
          <w:sz w:val="22"/>
          <w:szCs w:val="22"/>
          <w:lang w:val="es-ES_tradnl"/>
        </w:rPr>
        <w:t>En este caso, e</w:t>
      </w:r>
      <w:r w:rsidR="00CD13A7" w:rsidRPr="00CD13A7">
        <w:rPr>
          <w:rFonts w:ascii="Arial" w:eastAsia="Arial" w:hAnsi="Arial" w:cs="Arial"/>
          <w:sz w:val="22"/>
          <w:szCs w:val="22"/>
          <w:lang w:val="es-ES_tradnl"/>
        </w:rPr>
        <w:t>l VPN de la efectividad se elevará a US$</w:t>
      </w:r>
      <w:r w:rsidR="0047287A">
        <w:rPr>
          <w:rFonts w:ascii="Arial" w:eastAsia="Arial" w:hAnsi="Arial" w:cs="Arial"/>
          <w:sz w:val="22"/>
          <w:szCs w:val="22"/>
          <w:lang w:val="es-ES_tradnl"/>
        </w:rPr>
        <w:t>112</w:t>
      </w:r>
      <w:r w:rsidR="00D7029F">
        <w:rPr>
          <w:rFonts w:ascii="Arial" w:eastAsia="Arial" w:hAnsi="Arial" w:cs="Arial"/>
          <w:sz w:val="22"/>
          <w:szCs w:val="22"/>
          <w:lang w:val="es-ES_tradnl"/>
        </w:rPr>
        <w:t>.</w:t>
      </w:r>
      <w:r w:rsidR="0047287A">
        <w:rPr>
          <w:rFonts w:ascii="Arial" w:eastAsia="Arial" w:hAnsi="Arial" w:cs="Arial"/>
          <w:sz w:val="22"/>
          <w:szCs w:val="22"/>
          <w:lang w:val="es-ES_tradnl"/>
        </w:rPr>
        <w:t>973</w:t>
      </w:r>
      <w:r w:rsidR="00D7029F">
        <w:rPr>
          <w:rFonts w:ascii="Arial" w:eastAsia="Arial" w:hAnsi="Arial" w:cs="Arial"/>
          <w:sz w:val="22"/>
          <w:szCs w:val="22"/>
          <w:lang w:val="es-ES_tradnl"/>
        </w:rPr>
        <w:t>,</w:t>
      </w:r>
      <w:r w:rsidR="0047287A">
        <w:rPr>
          <w:rFonts w:ascii="Arial" w:eastAsia="Arial" w:hAnsi="Arial" w:cs="Arial"/>
          <w:sz w:val="22"/>
          <w:szCs w:val="22"/>
          <w:lang w:val="es-ES_tradnl"/>
        </w:rPr>
        <w:t>02</w:t>
      </w:r>
      <w:r w:rsidR="00CD13A7" w:rsidRPr="00CD13A7">
        <w:rPr>
          <w:rFonts w:ascii="Arial" w:eastAsia="Arial" w:hAnsi="Arial" w:cs="Arial"/>
          <w:sz w:val="22"/>
          <w:szCs w:val="22"/>
          <w:lang w:val="es-ES_tradnl"/>
        </w:rPr>
        <w:t xml:space="preserve"> millones. </w:t>
      </w:r>
      <w:r w:rsidR="00D36D27" w:rsidRPr="00CD13A7">
        <w:rPr>
          <w:rFonts w:ascii="Arial" w:eastAsia="Arial" w:hAnsi="Arial" w:cs="Arial"/>
          <w:sz w:val="22"/>
          <w:szCs w:val="22"/>
          <w:lang w:val="es-ES_tradnl"/>
        </w:rPr>
        <w:t xml:space="preserve">Por tanto, el </w:t>
      </w:r>
      <w:r w:rsidRPr="00CD13A7">
        <w:rPr>
          <w:rFonts w:ascii="Arial" w:eastAsia="Arial" w:hAnsi="Arial" w:cs="Arial"/>
          <w:sz w:val="22"/>
          <w:szCs w:val="22"/>
          <w:lang w:val="es-ES_tradnl"/>
        </w:rPr>
        <w:t xml:space="preserve">nuevo costo </w:t>
      </w:r>
      <w:r w:rsidR="0076395F" w:rsidRPr="00CD13A7">
        <w:rPr>
          <w:rFonts w:ascii="Arial" w:eastAsia="Arial" w:hAnsi="Arial" w:cs="Arial"/>
          <w:sz w:val="22"/>
          <w:szCs w:val="22"/>
          <w:lang w:val="es-ES_tradnl"/>
        </w:rPr>
        <w:t>-</w:t>
      </w:r>
      <w:r w:rsidR="009148F0" w:rsidRPr="00CD13A7">
        <w:rPr>
          <w:rFonts w:ascii="Arial" w:eastAsia="Arial" w:hAnsi="Arial" w:cs="Arial"/>
          <w:sz w:val="22"/>
          <w:szCs w:val="22"/>
          <w:lang w:val="es-ES_tradnl"/>
        </w:rPr>
        <w:t xml:space="preserve"> </w:t>
      </w:r>
      <w:r w:rsidR="00046BB1" w:rsidRPr="00CD13A7">
        <w:rPr>
          <w:rFonts w:ascii="Arial" w:eastAsia="Arial" w:hAnsi="Arial" w:cs="Arial"/>
          <w:sz w:val="22"/>
          <w:szCs w:val="22"/>
          <w:lang w:val="es-ES_tradnl"/>
        </w:rPr>
        <w:t>efectividad</w:t>
      </w:r>
      <w:r w:rsidR="009148F0" w:rsidRPr="00CD13A7">
        <w:rPr>
          <w:rFonts w:ascii="Arial" w:eastAsia="Arial" w:hAnsi="Arial" w:cs="Arial"/>
          <w:sz w:val="22"/>
          <w:szCs w:val="22"/>
          <w:lang w:val="es-ES_tradnl"/>
        </w:rPr>
        <w:t xml:space="preserve"> </w:t>
      </w:r>
      <w:r w:rsidR="00642B7E" w:rsidRPr="00CD13A7">
        <w:rPr>
          <w:rFonts w:ascii="Arial" w:eastAsia="Arial" w:hAnsi="Arial" w:cs="Arial"/>
          <w:sz w:val="22"/>
          <w:szCs w:val="22"/>
          <w:lang w:val="es-ES_tradnl"/>
        </w:rPr>
        <w:t>de</w:t>
      </w:r>
      <w:r w:rsidR="00642B7E">
        <w:rPr>
          <w:rFonts w:ascii="Arial" w:eastAsia="Arial" w:hAnsi="Arial" w:cs="Arial"/>
          <w:sz w:val="22"/>
          <w:szCs w:val="22"/>
          <w:lang w:val="es-ES_tradnl"/>
        </w:rPr>
        <w:t xml:space="preserve">l </w:t>
      </w:r>
      <w:r w:rsidR="00D7029F">
        <w:rPr>
          <w:rFonts w:ascii="Arial" w:eastAsia="Arial" w:hAnsi="Arial" w:cs="Arial"/>
          <w:sz w:val="22"/>
          <w:szCs w:val="22"/>
          <w:lang w:val="es-ES_tradnl"/>
        </w:rPr>
        <w:t>C</w:t>
      </w:r>
      <w:r w:rsidR="00642B7E">
        <w:rPr>
          <w:rFonts w:ascii="Arial" w:eastAsia="Arial" w:hAnsi="Arial" w:cs="Arial"/>
          <w:sz w:val="22"/>
          <w:szCs w:val="22"/>
          <w:lang w:val="es-ES_tradnl"/>
        </w:rPr>
        <w:t xml:space="preserve">omponente </w:t>
      </w:r>
      <w:r w:rsidR="00D7029F">
        <w:rPr>
          <w:rFonts w:ascii="Arial" w:eastAsia="Arial" w:hAnsi="Arial" w:cs="Arial"/>
          <w:sz w:val="22"/>
          <w:szCs w:val="22"/>
          <w:lang w:val="es-ES_tradnl"/>
        </w:rPr>
        <w:t>1</w:t>
      </w:r>
      <w:r w:rsidR="00642B7E">
        <w:rPr>
          <w:rFonts w:ascii="Arial" w:eastAsia="Arial" w:hAnsi="Arial" w:cs="Arial"/>
          <w:sz w:val="22"/>
          <w:szCs w:val="22"/>
          <w:lang w:val="es-ES_tradnl"/>
        </w:rPr>
        <w:t xml:space="preserve"> (SRI)</w:t>
      </w:r>
      <w:r w:rsidRPr="00CD13A7">
        <w:rPr>
          <w:rFonts w:ascii="Arial" w:eastAsia="Arial" w:hAnsi="Arial" w:cs="Arial"/>
          <w:sz w:val="22"/>
          <w:szCs w:val="22"/>
          <w:lang w:val="es-ES_tradnl"/>
        </w:rPr>
        <w:t xml:space="preserve"> para </w:t>
      </w:r>
      <w:r w:rsidR="00D73408" w:rsidRPr="00CD13A7">
        <w:rPr>
          <w:rFonts w:ascii="Arial" w:eastAsia="Arial" w:hAnsi="Arial" w:cs="Arial"/>
          <w:sz w:val="22"/>
          <w:szCs w:val="22"/>
          <w:lang w:val="es-ES_tradnl"/>
        </w:rPr>
        <w:t xml:space="preserve">generar un dólar de recaudación </w:t>
      </w:r>
      <w:r w:rsidR="00D36D27" w:rsidRPr="00CD13A7">
        <w:rPr>
          <w:rFonts w:ascii="Arial" w:eastAsia="Arial" w:hAnsi="Arial" w:cs="Arial"/>
          <w:sz w:val="22"/>
          <w:szCs w:val="22"/>
          <w:lang w:val="es-ES_tradnl"/>
        </w:rPr>
        <w:t>disminuirá a</w:t>
      </w:r>
      <w:r w:rsidRPr="00CD13A7">
        <w:rPr>
          <w:rFonts w:ascii="Arial" w:eastAsia="Arial" w:hAnsi="Arial" w:cs="Arial"/>
          <w:sz w:val="22"/>
          <w:szCs w:val="22"/>
          <w:lang w:val="es-ES_tradnl"/>
        </w:rPr>
        <w:t xml:space="preserve"> US$</w:t>
      </w:r>
      <w:r w:rsidR="00C715F9">
        <w:rPr>
          <w:rFonts w:ascii="Arial" w:eastAsia="Arial" w:hAnsi="Arial" w:cs="Arial"/>
          <w:sz w:val="22"/>
          <w:szCs w:val="22"/>
          <w:lang w:val="es-ES_tradnl"/>
        </w:rPr>
        <w:t>0</w:t>
      </w:r>
      <w:r w:rsidR="00D7029F">
        <w:rPr>
          <w:rFonts w:ascii="Arial" w:eastAsia="Arial" w:hAnsi="Arial" w:cs="Arial"/>
          <w:sz w:val="22"/>
          <w:szCs w:val="22"/>
          <w:lang w:val="es-ES_tradnl"/>
        </w:rPr>
        <w:t>,</w:t>
      </w:r>
      <w:r w:rsidR="00C715F9">
        <w:rPr>
          <w:rFonts w:ascii="Arial" w:eastAsia="Arial" w:hAnsi="Arial" w:cs="Arial"/>
          <w:sz w:val="22"/>
          <w:szCs w:val="22"/>
          <w:lang w:val="es-ES_tradnl"/>
        </w:rPr>
        <w:t>00796</w:t>
      </w:r>
      <w:r w:rsidR="00961C02" w:rsidRPr="00CD13A7">
        <w:rPr>
          <w:rFonts w:ascii="Arial" w:eastAsia="Arial" w:hAnsi="Arial" w:cs="Arial"/>
          <w:sz w:val="22"/>
          <w:szCs w:val="22"/>
          <w:lang w:val="es-ES_tradnl"/>
        </w:rPr>
        <w:t xml:space="preserve"> </w:t>
      </w:r>
      <w:r w:rsidR="0022085A" w:rsidRPr="00CD13A7">
        <w:rPr>
          <w:rFonts w:ascii="Arial" w:eastAsia="Arial" w:hAnsi="Arial" w:cs="Arial"/>
          <w:sz w:val="22"/>
          <w:szCs w:val="22"/>
          <w:lang w:val="es-ES_tradnl"/>
        </w:rPr>
        <w:t>(</w:t>
      </w:r>
      <w:r w:rsidR="009148F0" w:rsidRPr="00CD13A7">
        <w:rPr>
          <w:rFonts w:ascii="Arial" w:eastAsia="Arial" w:hAnsi="Arial" w:cs="Arial"/>
          <w:sz w:val="22"/>
          <w:szCs w:val="22"/>
          <w:lang w:val="es-ES_tradnl"/>
        </w:rPr>
        <w:t>CE</w:t>
      </w:r>
      <w:r w:rsidR="00562765" w:rsidRPr="00CD13A7">
        <w:rPr>
          <w:rFonts w:ascii="Arial" w:eastAsia="Arial" w:hAnsi="Arial" w:cs="Arial"/>
          <w:sz w:val="22"/>
          <w:szCs w:val="22"/>
          <w:lang w:val="es-ES_tradnl"/>
        </w:rPr>
        <w:t>M</w:t>
      </w:r>
      <w:r w:rsidR="009148F0" w:rsidRPr="00CD13A7">
        <w:rPr>
          <w:rFonts w:ascii="Arial" w:eastAsia="Arial" w:hAnsi="Arial" w:cs="Arial"/>
          <w:sz w:val="22"/>
          <w:szCs w:val="22"/>
          <w:vertAlign w:val="subscript"/>
          <w:lang w:val="es-ES_tradnl"/>
        </w:rPr>
        <w:t>B</w:t>
      </w:r>
      <w:r w:rsidR="009148F0" w:rsidRPr="00CD13A7">
        <w:rPr>
          <w:rFonts w:ascii="Arial" w:eastAsia="Arial" w:hAnsi="Arial" w:cs="Arial"/>
          <w:sz w:val="22"/>
          <w:szCs w:val="22"/>
          <w:lang w:val="es-ES_tradnl"/>
        </w:rPr>
        <w:t xml:space="preserve"> = </w:t>
      </w:r>
      <w:r w:rsidR="0022085A" w:rsidRPr="00CD13A7">
        <w:rPr>
          <w:rFonts w:ascii="Arial" w:eastAsia="Arial" w:hAnsi="Arial" w:cs="Arial"/>
          <w:sz w:val="22"/>
          <w:szCs w:val="22"/>
          <w:lang w:val="es-ES_tradnl"/>
        </w:rPr>
        <w:t>US$</w:t>
      </w:r>
      <w:r w:rsidR="00C715F9">
        <w:rPr>
          <w:rFonts w:ascii="Arial" w:eastAsia="Arial" w:hAnsi="Arial" w:cs="Arial"/>
          <w:sz w:val="22"/>
          <w:szCs w:val="22"/>
          <w:lang w:val="es-ES_tradnl"/>
        </w:rPr>
        <w:t>899</w:t>
      </w:r>
      <w:r w:rsidR="00D7029F">
        <w:rPr>
          <w:rFonts w:ascii="Arial" w:eastAsia="Arial" w:hAnsi="Arial" w:cs="Arial"/>
          <w:sz w:val="22"/>
          <w:szCs w:val="22"/>
          <w:lang w:val="es-ES_tradnl"/>
        </w:rPr>
        <w:t>,</w:t>
      </w:r>
      <w:r w:rsidR="00C715F9">
        <w:rPr>
          <w:rFonts w:ascii="Arial" w:eastAsia="Arial" w:hAnsi="Arial" w:cs="Arial"/>
          <w:sz w:val="22"/>
          <w:szCs w:val="22"/>
          <w:lang w:val="es-ES_tradnl"/>
        </w:rPr>
        <w:t>2</w:t>
      </w:r>
      <w:r w:rsidR="001B4469">
        <w:rPr>
          <w:rFonts w:ascii="Arial" w:eastAsia="Arial" w:hAnsi="Arial" w:cs="Arial"/>
          <w:sz w:val="22"/>
          <w:szCs w:val="22"/>
          <w:lang w:val="es-ES_tradnl"/>
        </w:rPr>
        <w:t xml:space="preserve"> </w:t>
      </w:r>
      <w:r w:rsidR="001B4469" w:rsidRPr="00CD13A7">
        <w:rPr>
          <w:rFonts w:ascii="Arial" w:eastAsia="Arial" w:hAnsi="Arial" w:cs="Arial"/>
          <w:sz w:val="22"/>
          <w:szCs w:val="22"/>
          <w:lang w:val="es-ES_tradnl"/>
        </w:rPr>
        <w:t>millones</w:t>
      </w:r>
      <w:r w:rsidR="00D73408" w:rsidRPr="00CD13A7">
        <w:rPr>
          <w:rFonts w:ascii="Arial" w:eastAsia="Arial" w:hAnsi="Arial" w:cs="Arial"/>
          <w:sz w:val="22"/>
          <w:szCs w:val="22"/>
          <w:lang w:val="es-ES_tradnl"/>
        </w:rPr>
        <w:t xml:space="preserve"> de costo</w:t>
      </w:r>
      <w:r w:rsidR="0022085A" w:rsidRPr="00CD13A7">
        <w:rPr>
          <w:rFonts w:ascii="Arial" w:eastAsia="Arial" w:hAnsi="Arial" w:cs="Arial"/>
          <w:sz w:val="22"/>
          <w:szCs w:val="22"/>
          <w:lang w:val="es-ES_tradnl"/>
        </w:rPr>
        <w:t xml:space="preserve"> /</w:t>
      </w:r>
      <w:r w:rsidR="00CD13A7" w:rsidRPr="00CD13A7">
        <w:rPr>
          <w:rFonts w:ascii="Arial" w:eastAsia="Arial" w:hAnsi="Arial" w:cs="Arial"/>
          <w:sz w:val="22"/>
          <w:szCs w:val="22"/>
          <w:lang w:val="es-ES_tradnl"/>
        </w:rPr>
        <w:t xml:space="preserve"> US$</w:t>
      </w:r>
      <w:r w:rsidR="0047287A">
        <w:rPr>
          <w:rFonts w:ascii="Arial" w:eastAsia="Arial" w:hAnsi="Arial" w:cs="Arial"/>
          <w:sz w:val="22"/>
          <w:szCs w:val="22"/>
          <w:lang w:val="es-ES_tradnl"/>
        </w:rPr>
        <w:t>112</w:t>
      </w:r>
      <w:r w:rsidR="00D7029F">
        <w:rPr>
          <w:rFonts w:ascii="Arial" w:eastAsia="Arial" w:hAnsi="Arial" w:cs="Arial"/>
          <w:sz w:val="22"/>
          <w:szCs w:val="22"/>
          <w:lang w:val="es-ES_tradnl"/>
        </w:rPr>
        <w:t>.</w:t>
      </w:r>
      <w:r w:rsidR="0047287A">
        <w:rPr>
          <w:rFonts w:ascii="Arial" w:eastAsia="Arial" w:hAnsi="Arial" w:cs="Arial"/>
          <w:sz w:val="22"/>
          <w:szCs w:val="22"/>
          <w:lang w:val="es-ES_tradnl"/>
        </w:rPr>
        <w:t>973</w:t>
      </w:r>
      <w:r w:rsidR="00D7029F">
        <w:rPr>
          <w:rFonts w:ascii="Arial" w:eastAsia="Arial" w:hAnsi="Arial" w:cs="Arial"/>
          <w:sz w:val="22"/>
          <w:szCs w:val="22"/>
          <w:lang w:val="es-ES_tradnl"/>
        </w:rPr>
        <w:t>,</w:t>
      </w:r>
      <w:r w:rsidR="00C715F9">
        <w:rPr>
          <w:rFonts w:ascii="Arial" w:eastAsia="Arial" w:hAnsi="Arial" w:cs="Arial"/>
          <w:sz w:val="22"/>
          <w:szCs w:val="22"/>
          <w:lang w:val="es-ES_tradnl"/>
        </w:rPr>
        <w:t>0-</w:t>
      </w:r>
      <w:r w:rsidR="00C715F9" w:rsidRPr="00CD13A7">
        <w:rPr>
          <w:rFonts w:ascii="Arial" w:eastAsia="Arial" w:hAnsi="Arial" w:cs="Arial"/>
          <w:sz w:val="22"/>
          <w:szCs w:val="22"/>
          <w:lang w:val="es-ES_tradnl"/>
        </w:rPr>
        <w:t xml:space="preserve"> </w:t>
      </w:r>
      <w:r w:rsidR="0022085A" w:rsidRPr="00CD13A7">
        <w:rPr>
          <w:rFonts w:ascii="Arial" w:eastAsia="Arial" w:hAnsi="Arial" w:cs="Arial"/>
          <w:sz w:val="22"/>
          <w:szCs w:val="22"/>
          <w:lang w:val="es-ES_tradnl"/>
        </w:rPr>
        <w:t xml:space="preserve">millones de </w:t>
      </w:r>
      <w:r w:rsidR="00D73408" w:rsidRPr="00CD13A7">
        <w:rPr>
          <w:rFonts w:ascii="Arial" w:eastAsia="Arial" w:hAnsi="Arial" w:cs="Arial"/>
          <w:sz w:val="22"/>
          <w:szCs w:val="22"/>
          <w:lang w:val="es-ES_tradnl"/>
        </w:rPr>
        <w:t>recaudación</w:t>
      </w:r>
      <w:r w:rsidR="009148F0" w:rsidRPr="00CD13A7">
        <w:rPr>
          <w:rFonts w:ascii="Arial" w:eastAsia="Arial" w:hAnsi="Arial" w:cs="Arial"/>
          <w:sz w:val="22"/>
          <w:szCs w:val="22"/>
          <w:lang w:val="es-ES_tradnl"/>
        </w:rPr>
        <w:t>)</w:t>
      </w:r>
      <w:r w:rsidR="001B4469">
        <w:rPr>
          <w:rFonts w:ascii="Arial" w:eastAsia="Arial" w:hAnsi="Arial" w:cs="Arial"/>
          <w:sz w:val="22"/>
          <w:szCs w:val="22"/>
          <w:lang w:val="es-ES_tradnl"/>
        </w:rPr>
        <w:t xml:space="preserve"> (ver Tabla 1)</w:t>
      </w:r>
      <w:r w:rsidRPr="00CD13A7">
        <w:rPr>
          <w:rFonts w:ascii="Arial" w:eastAsia="Arial" w:hAnsi="Arial" w:cs="Arial"/>
          <w:sz w:val="22"/>
          <w:szCs w:val="22"/>
          <w:lang w:val="es-ES_tradnl"/>
        </w:rPr>
        <w:t>.</w:t>
      </w:r>
    </w:p>
    <w:p w14:paraId="76E47ED9" w14:textId="3CBD3EFB" w:rsidR="005A0804" w:rsidRPr="005A0804" w:rsidRDefault="00F12D0B" w:rsidP="005D44DB">
      <w:pPr>
        <w:pStyle w:val="Paragraph"/>
        <w:numPr>
          <w:ilvl w:val="1"/>
          <w:numId w:val="2"/>
        </w:numPr>
        <w:tabs>
          <w:tab w:val="clear" w:pos="1296"/>
        </w:tabs>
        <w:ind w:left="720" w:hanging="720"/>
        <w:outlineLvl w:val="9"/>
        <w:rPr>
          <w:rFonts w:ascii="Arial" w:hAnsi="Arial" w:cs="Arial"/>
          <w:sz w:val="22"/>
          <w:szCs w:val="22"/>
          <w:lang w:val="es-ES_tradnl"/>
        </w:rPr>
      </w:pPr>
      <w:r w:rsidRPr="005A0804">
        <w:rPr>
          <w:rFonts w:ascii="Arial" w:eastAsia="Arial" w:hAnsi="Arial" w:cs="Arial"/>
          <w:sz w:val="22"/>
          <w:szCs w:val="22"/>
          <w:lang w:val="es-ES_tradnl"/>
        </w:rPr>
        <w:t>E</w:t>
      </w:r>
      <w:r w:rsidR="00CD13A7" w:rsidRPr="005A0804">
        <w:rPr>
          <w:rFonts w:ascii="Arial" w:eastAsia="Arial" w:hAnsi="Arial" w:cs="Arial"/>
          <w:sz w:val="22"/>
          <w:szCs w:val="22"/>
          <w:lang w:val="es-ES_tradnl"/>
        </w:rPr>
        <w:t>n el caso del S</w:t>
      </w:r>
      <w:r w:rsidRPr="005A0804">
        <w:rPr>
          <w:rFonts w:ascii="Arial" w:eastAsia="Arial" w:hAnsi="Arial" w:cs="Arial"/>
          <w:sz w:val="22"/>
          <w:szCs w:val="22"/>
          <w:lang w:val="es-ES_tradnl"/>
        </w:rPr>
        <w:t>ENAE</w:t>
      </w:r>
      <w:r w:rsidR="00CD13A7" w:rsidRPr="005A0804">
        <w:rPr>
          <w:rFonts w:ascii="Arial" w:eastAsia="Arial" w:hAnsi="Arial" w:cs="Arial"/>
          <w:sz w:val="22"/>
          <w:szCs w:val="22"/>
          <w:lang w:val="es-ES_tradnl"/>
        </w:rPr>
        <w:t xml:space="preserve">, una vez implementada la nueva plataforma de TI y los nuevos procesos de </w:t>
      </w:r>
      <w:r w:rsidRPr="005A0804">
        <w:rPr>
          <w:rFonts w:ascii="Arial" w:eastAsia="Arial" w:hAnsi="Arial" w:cs="Arial"/>
          <w:sz w:val="22"/>
          <w:szCs w:val="22"/>
          <w:lang w:val="es-ES_tradnl"/>
        </w:rPr>
        <w:t>control</w:t>
      </w:r>
      <w:r w:rsidR="00CD13A7" w:rsidRPr="005A0804">
        <w:rPr>
          <w:rFonts w:ascii="Arial" w:eastAsia="Arial" w:hAnsi="Arial" w:cs="Arial"/>
          <w:sz w:val="22"/>
          <w:szCs w:val="22"/>
          <w:lang w:val="es-ES_tradnl"/>
        </w:rPr>
        <w:t xml:space="preserve">, el VPN del costo anual de TI incluyendo </w:t>
      </w:r>
      <w:r w:rsidR="0092375D">
        <w:rPr>
          <w:rFonts w:ascii="Arial" w:eastAsia="Arial" w:hAnsi="Arial" w:cs="Arial"/>
          <w:sz w:val="22"/>
          <w:szCs w:val="22"/>
          <w:lang w:val="es-ES_tradnl"/>
        </w:rPr>
        <w:t xml:space="preserve">el ahorro en </w:t>
      </w:r>
      <w:r w:rsidR="00F14EDC">
        <w:rPr>
          <w:rFonts w:ascii="Arial" w:eastAsia="Arial" w:hAnsi="Arial" w:cs="Arial"/>
          <w:sz w:val="22"/>
          <w:szCs w:val="22"/>
          <w:lang w:val="es-ES_tradnl"/>
        </w:rPr>
        <w:t xml:space="preserve">el presupuesto original y </w:t>
      </w:r>
      <w:r w:rsidR="00CD13A7" w:rsidRPr="005A0804">
        <w:rPr>
          <w:rFonts w:ascii="Arial" w:eastAsia="Arial" w:hAnsi="Arial" w:cs="Arial"/>
          <w:sz w:val="22"/>
          <w:szCs w:val="22"/>
          <w:lang w:val="es-ES_tradnl"/>
        </w:rPr>
        <w:t>el costo de los nuevos procesos de fiscalización se incrementará a US$</w:t>
      </w:r>
      <w:r w:rsidR="00C301C7">
        <w:rPr>
          <w:rFonts w:ascii="Arial" w:eastAsia="Arial" w:hAnsi="Arial" w:cs="Arial"/>
          <w:sz w:val="22"/>
          <w:szCs w:val="22"/>
          <w:lang w:val="es-ES_tradnl"/>
        </w:rPr>
        <w:t>350</w:t>
      </w:r>
      <w:r w:rsidR="00D7029F">
        <w:rPr>
          <w:rFonts w:ascii="Arial" w:eastAsia="Arial" w:hAnsi="Arial" w:cs="Arial"/>
          <w:sz w:val="22"/>
          <w:szCs w:val="22"/>
          <w:lang w:val="es-ES_tradnl"/>
        </w:rPr>
        <w:t>,</w:t>
      </w:r>
      <w:r w:rsidR="00C301C7">
        <w:rPr>
          <w:rFonts w:ascii="Arial" w:eastAsia="Arial" w:hAnsi="Arial" w:cs="Arial"/>
          <w:sz w:val="22"/>
          <w:szCs w:val="22"/>
          <w:lang w:val="es-ES_tradnl"/>
        </w:rPr>
        <w:t>8</w:t>
      </w:r>
      <w:r w:rsidR="00CD13A7" w:rsidRPr="005A0804">
        <w:rPr>
          <w:rFonts w:ascii="Arial" w:eastAsia="Arial" w:hAnsi="Arial" w:cs="Arial"/>
          <w:sz w:val="22"/>
          <w:szCs w:val="22"/>
          <w:lang w:val="es-ES_tradnl"/>
        </w:rPr>
        <w:t xml:space="preserve"> millones (C</w:t>
      </w:r>
      <w:r w:rsidR="00CD13A7" w:rsidRPr="005A0804">
        <w:rPr>
          <w:rFonts w:ascii="Arial" w:eastAsia="Arial" w:hAnsi="Arial" w:cs="Arial"/>
          <w:sz w:val="22"/>
          <w:szCs w:val="22"/>
          <w:vertAlign w:val="subscript"/>
          <w:lang w:val="es-ES_tradnl"/>
        </w:rPr>
        <w:t>B</w:t>
      </w:r>
      <w:r w:rsidR="00CD13A7" w:rsidRPr="005A0804">
        <w:rPr>
          <w:rFonts w:ascii="Arial" w:eastAsia="Arial" w:hAnsi="Arial" w:cs="Arial"/>
          <w:sz w:val="22"/>
          <w:szCs w:val="22"/>
          <w:lang w:val="es-ES_tradnl"/>
        </w:rPr>
        <w:t xml:space="preserve"> – costo con proyecto). Sin embargo, la adquisición de una nueva plataforma tecnológica en combinación con las acciones a ser implementadas por el </w:t>
      </w:r>
      <w:r w:rsidR="00EA3285">
        <w:rPr>
          <w:rFonts w:ascii="Arial" w:eastAsia="Arial" w:hAnsi="Arial" w:cs="Arial"/>
          <w:sz w:val="22"/>
          <w:szCs w:val="22"/>
          <w:lang w:val="es-ES_tradnl"/>
        </w:rPr>
        <w:t>C</w:t>
      </w:r>
      <w:r w:rsidR="00CD13A7" w:rsidRPr="005A0804">
        <w:rPr>
          <w:rFonts w:ascii="Arial" w:eastAsia="Arial" w:hAnsi="Arial" w:cs="Arial"/>
          <w:sz w:val="22"/>
          <w:szCs w:val="22"/>
          <w:lang w:val="es-ES_tradnl"/>
        </w:rPr>
        <w:t xml:space="preserve">omponente </w:t>
      </w:r>
      <w:r w:rsidR="00EA3285">
        <w:rPr>
          <w:rFonts w:ascii="Arial" w:eastAsia="Arial" w:hAnsi="Arial" w:cs="Arial"/>
          <w:sz w:val="22"/>
          <w:szCs w:val="22"/>
          <w:lang w:val="es-ES_tradnl"/>
        </w:rPr>
        <w:t>2</w:t>
      </w:r>
      <w:r w:rsidR="00CD13A7" w:rsidRPr="005A0804">
        <w:rPr>
          <w:rFonts w:ascii="Arial" w:eastAsia="Arial" w:hAnsi="Arial" w:cs="Arial"/>
          <w:sz w:val="22"/>
          <w:szCs w:val="22"/>
          <w:lang w:val="es-ES_tradnl"/>
        </w:rPr>
        <w:t xml:space="preserve"> del programa (especialmente l</w:t>
      </w:r>
      <w:r w:rsidRPr="005A0804">
        <w:rPr>
          <w:rFonts w:ascii="Arial" w:eastAsia="Arial" w:hAnsi="Arial" w:cs="Arial"/>
          <w:sz w:val="22"/>
          <w:szCs w:val="22"/>
          <w:lang w:val="es-ES_tradnl"/>
        </w:rPr>
        <w:t>os controles del aforo intrusivo y control posterior</w:t>
      </w:r>
      <w:r w:rsidR="00CD13A7" w:rsidRPr="005A0804">
        <w:rPr>
          <w:rFonts w:ascii="Arial" w:eastAsia="Arial" w:hAnsi="Arial" w:cs="Arial"/>
          <w:sz w:val="22"/>
          <w:szCs w:val="22"/>
          <w:lang w:val="es-ES_tradnl"/>
        </w:rPr>
        <w:t xml:space="preserve">), se espera generar </w:t>
      </w:r>
      <w:r w:rsidRPr="005D44DB">
        <w:rPr>
          <w:rFonts w:ascii="Arial" w:hAnsi="Arial"/>
          <w:sz w:val="22"/>
          <w:lang w:val="es-ES_tradnl"/>
        </w:rPr>
        <w:t xml:space="preserve">un mayor rendimiento </w:t>
      </w:r>
      <w:r w:rsidR="00B162FC" w:rsidRPr="005D44DB">
        <w:rPr>
          <w:rFonts w:ascii="Arial" w:hAnsi="Arial"/>
          <w:sz w:val="22"/>
          <w:lang w:val="es-ES_tradnl"/>
        </w:rPr>
        <w:t xml:space="preserve">anual </w:t>
      </w:r>
      <w:r w:rsidR="00642B7E" w:rsidRPr="005D44DB">
        <w:rPr>
          <w:rFonts w:ascii="Arial" w:hAnsi="Arial"/>
          <w:sz w:val="22"/>
          <w:lang w:val="es-ES_tradnl"/>
        </w:rPr>
        <w:t>equivalente a</w:t>
      </w:r>
      <w:r w:rsidR="00961C02" w:rsidRPr="005D44DB">
        <w:rPr>
          <w:rFonts w:ascii="Arial" w:hAnsi="Arial"/>
          <w:sz w:val="22"/>
          <w:lang w:val="es-ES_tradnl"/>
        </w:rPr>
        <w:t xml:space="preserve"> </w:t>
      </w:r>
      <w:r w:rsidR="00B162FC" w:rsidRPr="005D44DB">
        <w:rPr>
          <w:rFonts w:ascii="Arial" w:hAnsi="Arial"/>
          <w:sz w:val="22"/>
          <w:lang w:val="es-ES_tradnl"/>
        </w:rPr>
        <w:t>6</w:t>
      </w:r>
      <w:r w:rsidR="00642B7E" w:rsidRPr="005D44DB">
        <w:rPr>
          <w:rFonts w:ascii="Arial" w:hAnsi="Arial"/>
          <w:sz w:val="22"/>
          <w:lang w:val="es-ES_tradnl"/>
        </w:rPr>
        <w:t>%</w:t>
      </w:r>
      <w:r w:rsidR="00794887">
        <w:rPr>
          <w:rFonts w:ascii="Arial" w:hAnsi="Arial"/>
          <w:sz w:val="22"/>
          <w:lang w:val="es-ES_tradnl"/>
        </w:rPr>
        <w:t> </w:t>
      </w:r>
      <w:r w:rsidR="00642B7E" w:rsidRPr="00EA3285">
        <w:rPr>
          <w:rFonts w:ascii="Arial" w:eastAsia="Arial" w:hAnsi="Arial" w:cs="Arial"/>
          <w:sz w:val="22"/>
          <w:szCs w:val="22"/>
          <w:lang w:val="es-ES_tradnl"/>
        </w:rPr>
        <w:t>superior</w:t>
      </w:r>
      <w:r w:rsidR="00642B7E" w:rsidRPr="005A0804">
        <w:rPr>
          <w:rFonts w:ascii="Arial" w:eastAsia="Arial" w:hAnsi="Arial" w:cs="Arial"/>
          <w:sz w:val="22"/>
          <w:szCs w:val="22"/>
          <w:lang w:val="es-ES_tradnl"/>
        </w:rPr>
        <w:t xml:space="preserve"> al escenario sin programa</w:t>
      </w:r>
      <w:r w:rsidR="00CD13A7" w:rsidRPr="005A0804">
        <w:rPr>
          <w:rFonts w:ascii="Arial" w:eastAsia="Arial" w:hAnsi="Arial" w:cs="Arial"/>
          <w:sz w:val="22"/>
          <w:szCs w:val="22"/>
          <w:lang w:val="es-ES_tradnl"/>
        </w:rPr>
        <w:t xml:space="preserve"> (E</w:t>
      </w:r>
      <w:r w:rsidR="00CD13A7" w:rsidRPr="005A0804">
        <w:rPr>
          <w:rFonts w:ascii="Arial" w:eastAsia="Arial" w:hAnsi="Arial" w:cs="Arial"/>
          <w:sz w:val="22"/>
          <w:szCs w:val="22"/>
          <w:vertAlign w:val="subscript"/>
          <w:lang w:val="es-ES_tradnl"/>
        </w:rPr>
        <w:t>B</w:t>
      </w:r>
      <w:r w:rsidR="00CD13A7" w:rsidRPr="005A0804">
        <w:rPr>
          <w:rFonts w:ascii="Arial" w:eastAsia="Arial" w:hAnsi="Arial" w:cs="Arial"/>
          <w:sz w:val="22"/>
          <w:szCs w:val="22"/>
          <w:lang w:val="es-ES_tradnl"/>
        </w:rPr>
        <w:t xml:space="preserve"> – Efectividad con proyecto). </w:t>
      </w:r>
      <w:r w:rsidR="00642B7E" w:rsidRPr="005A0804">
        <w:rPr>
          <w:rFonts w:ascii="Arial" w:eastAsia="Arial" w:hAnsi="Arial" w:cs="Arial"/>
          <w:sz w:val="22"/>
          <w:szCs w:val="22"/>
          <w:lang w:val="es-ES_tradnl"/>
        </w:rPr>
        <w:t>En este escenario, e</w:t>
      </w:r>
      <w:r w:rsidR="00CD13A7" w:rsidRPr="005A0804">
        <w:rPr>
          <w:rFonts w:ascii="Arial" w:eastAsia="Arial" w:hAnsi="Arial" w:cs="Arial"/>
          <w:sz w:val="22"/>
          <w:szCs w:val="22"/>
          <w:lang w:val="es-ES_tradnl"/>
        </w:rPr>
        <w:t>l VPN de la efectividad se elevará a US$</w:t>
      </w:r>
      <w:r w:rsidR="0047287A">
        <w:rPr>
          <w:rFonts w:ascii="Arial" w:eastAsia="Arial" w:hAnsi="Arial" w:cs="Arial"/>
          <w:sz w:val="22"/>
          <w:szCs w:val="22"/>
          <w:lang w:val="es-ES_tradnl"/>
        </w:rPr>
        <w:t>10,961.45</w:t>
      </w:r>
      <w:r w:rsidR="00CD13A7" w:rsidRPr="005A0804">
        <w:rPr>
          <w:rFonts w:ascii="Arial" w:eastAsia="Arial" w:hAnsi="Arial" w:cs="Arial"/>
          <w:sz w:val="22"/>
          <w:szCs w:val="22"/>
          <w:lang w:val="es-ES_tradnl"/>
        </w:rPr>
        <w:t xml:space="preserve"> millones. Por tanto, el nuevo costo - efectividad de</w:t>
      </w:r>
      <w:r w:rsidR="00642B7E" w:rsidRPr="005A0804">
        <w:rPr>
          <w:rFonts w:ascii="Arial" w:eastAsia="Arial" w:hAnsi="Arial" w:cs="Arial"/>
          <w:sz w:val="22"/>
          <w:szCs w:val="22"/>
          <w:lang w:val="es-ES_tradnl"/>
        </w:rPr>
        <w:t>l SENAE con programa</w:t>
      </w:r>
      <w:r w:rsidR="00CD13A7" w:rsidRPr="005A0804">
        <w:rPr>
          <w:rFonts w:ascii="Arial" w:eastAsia="Arial" w:hAnsi="Arial" w:cs="Arial"/>
          <w:sz w:val="22"/>
          <w:szCs w:val="22"/>
          <w:lang w:val="es-ES_tradnl"/>
        </w:rPr>
        <w:t xml:space="preserve"> para generar un dólar de </w:t>
      </w:r>
      <w:r w:rsidRPr="005A0804">
        <w:rPr>
          <w:rFonts w:ascii="Arial" w:eastAsia="Arial" w:hAnsi="Arial" w:cs="Arial"/>
          <w:sz w:val="22"/>
          <w:szCs w:val="22"/>
          <w:lang w:val="es-ES_tradnl"/>
        </w:rPr>
        <w:t>rendimiento neto</w:t>
      </w:r>
      <w:r w:rsidR="00CD13A7" w:rsidRPr="005A0804">
        <w:rPr>
          <w:rFonts w:ascii="Arial" w:eastAsia="Arial" w:hAnsi="Arial" w:cs="Arial"/>
          <w:sz w:val="22"/>
          <w:szCs w:val="22"/>
          <w:lang w:val="es-ES_tradnl"/>
        </w:rPr>
        <w:t xml:space="preserve"> disminuirá a US$</w:t>
      </w:r>
      <w:r w:rsidR="00C301C7">
        <w:rPr>
          <w:rFonts w:ascii="Arial" w:eastAsia="Arial" w:hAnsi="Arial" w:cs="Arial"/>
          <w:sz w:val="22"/>
          <w:szCs w:val="22"/>
          <w:lang w:val="es-ES_tradnl"/>
        </w:rPr>
        <w:t>0</w:t>
      </w:r>
      <w:r w:rsidR="00EA3285">
        <w:rPr>
          <w:rFonts w:ascii="Arial" w:eastAsia="Arial" w:hAnsi="Arial" w:cs="Arial"/>
          <w:sz w:val="22"/>
          <w:szCs w:val="22"/>
          <w:lang w:val="es-ES_tradnl"/>
        </w:rPr>
        <w:t>,</w:t>
      </w:r>
      <w:r w:rsidR="00C301C7">
        <w:rPr>
          <w:rFonts w:ascii="Arial" w:eastAsia="Arial" w:hAnsi="Arial" w:cs="Arial"/>
          <w:sz w:val="22"/>
          <w:szCs w:val="22"/>
          <w:lang w:val="es-ES_tradnl"/>
        </w:rPr>
        <w:t xml:space="preserve">0320 </w:t>
      </w:r>
      <w:r w:rsidR="00CD13A7" w:rsidRPr="005A0804">
        <w:rPr>
          <w:rFonts w:ascii="Arial" w:eastAsia="Arial" w:hAnsi="Arial" w:cs="Arial"/>
          <w:sz w:val="22"/>
          <w:szCs w:val="22"/>
          <w:lang w:val="es-ES_tradnl"/>
        </w:rPr>
        <w:t>(CEM</w:t>
      </w:r>
      <w:r w:rsidR="00CD13A7" w:rsidRPr="005A0804">
        <w:rPr>
          <w:rFonts w:ascii="Arial" w:eastAsia="Arial" w:hAnsi="Arial" w:cs="Arial"/>
          <w:sz w:val="22"/>
          <w:szCs w:val="22"/>
          <w:vertAlign w:val="subscript"/>
          <w:lang w:val="es-ES_tradnl"/>
        </w:rPr>
        <w:t>B</w:t>
      </w:r>
      <w:r w:rsidR="00CD13A7" w:rsidRPr="005A0804">
        <w:rPr>
          <w:rFonts w:ascii="Arial" w:eastAsia="Arial" w:hAnsi="Arial" w:cs="Arial"/>
          <w:sz w:val="22"/>
          <w:szCs w:val="22"/>
          <w:lang w:val="es-ES_tradnl"/>
        </w:rPr>
        <w:t xml:space="preserve"> = US$</w:t>
      </w:r>
      <w:r w:rsidR="00C301C7">
        <w:rPr>
          <w:rFonts w:ascii="Arial" w:eastAsia="Arial" w:hAnsi="Arial" w:cs="Arial"/>
          <w:sz w:val="22"/>
          <w:szCs w:val="22"/>
          <w:lang w:val="es-ES_tradnl"/>
        </w:rPr>
        <w:t>350</w:t>
      </w:r>
      <w:r w:rsidR="00EA3285">
        <w:rPr>
          <w:rFonts w:ascii="Arial" w:eastAsia="Arial" w:hAnsi="Arial" w:cs="Arial"/>
          <w:sz w:val="22"/>
          <w:szCs w:val="22"/>
          <w:lang w:val="es-ES_tradnl"/>
        </w:rPr>
        <w:t>,</w:t>
      </w:r>
      <w:r w:rsidR="00C301C7">
        <w:rPr>
          <w:rFonts w:ascii="Arial" w:eastAsia="Arial" w:hAnsi="Arial" w:cs="Arial"/>
          <w:sz w:val="22"/>
          <w:szCs w:val="22"/>
          <w:lang w:val="es-ES_tradnl"/>
        </w:rPr>
        <w:t>8</w:t>
      </w:r>
      <w:r w:rsidR="00B909E6" w:rsidRPr="005A0804">
        <w:rPr>
          <w:rFonts w:ascii="Arial" w:eastAsia="Arial" w:hAnsi="Arial" w:cs="Arial"/>
          <w:sz w:val="22"/>
          <w:szCs w:val="22"/>
          <w:lang w:val="es-ES_tradnl"/>
        </w:rPr>
        <w:t xml:space="preserve"> </w:t>
      </w:r>
      <w:r w:rsidR="00CD13A7" w:rsidRPr="005A0804">
        <w:rPr>
          <w:rFonts w:ascii="Arial" w:eastAsia="Arial" w:hAnsi="Arial" w:cs="Arial"/>
          <w:sz w:val="22"/>
          <w:szCs w:val="22"/>
          <w:lang w:val="es-ES_tradnl"/>
        </w:rPr>
        <w:t>millones de costo / US$</w:t>
      </w:r>
      <w:r w:rsidR="005C5556">
        <w:rPr>
          <w:rFonts w:ascii="Arial" w:eastAsia="Arial" w:hAnsi="Arial" w:cs="Arial"/>
          <w:sz w:val="22"/>
          <w:szCs w:val="22"/>
          <w:lang w:val="es-ES_tradnl"/>
        </w:rPr>
        <w:t>10</w:t>
      </w:r>
      <w:r w:rsidR="00EA3285">
        <w:rPr>
          <w:rFonts w:ascii="Arial" w:eastAsia="Arial" w:hAnsi="Arial" w:cs="Arial"/>
          <w:sz w:val="22"/>
          <w:szCs w:val="22"/>
          <w:lang w:val="es-ES_tradnl"/>
        </w:rPr>
        <w:t>.</w:t>
      </w:r>
      <w:r w:rsidR="005C5556">
        <w:rPr>
          <w:rFonts w:ascii="Arial" w:eastAsia="Arial" w:hAnsi="Arial" w:cs="Arial"/>
          <w:sz w:val="22"/>
          <w:szCs w:val="22"/>
          <w:lang w:val="es-ES_tradnl"/>
        </w:rPr>
        <w:t>961</w:t>
      </w:r>
      <w:r w:rsidR="00EA3285">
        <w:rPr>
          <w:rFonts w:ascii="Arial" w:eastAsia="Arial" w:hAnsi="Arial" w:cs="Arial"/>
          <w:sz w:val="22"/>
          <w:szCs w:val="22"/>
          <w:lang w:val="es-ES_tradnl"/>
        </w:rPr>
        <w:t>,</w:t>
      </w:r>
      <w:r w:rsidR="005C5556">
        <w:rPr>
          <w:rFonts w:ascii="Arial" w:eastAsia="Arial" w:hAnsi="Arial" w:cs="Arial"/>
          <w:sz w:val="22"/>
          <w:szCs w:val="22"/>
          <w:lang w:val="es-ES_tradnl"/>
        </w:rPr>
        <w:t>45</w:t>
      </w:r>
      <w:r w:rsidR="00EA3285">
        <w:rPr>
          <w:rFonts w:ascii="Arial" w:eastAsia="Arial" w:hAnsi="Arial" w:cs="Arial"/>
          <w:sz w:val="22"/>
          <w:szCs w:val="22"/>
          <w:lang w:val="es-ES_tradnl"/>
        </w:rPr>
        <w:t> </w:t>
      </w:r>
      <w:r w:rsidR="00CD13A7" w:rsidRPr="005A0804">
        <w:rPr>
          <w:rFonts w:ascii="Arial" w:eastAsia="Arial" w:hAnsi="Arial" w:cs="Arial"/>
          <w:sz w:val="22"/>
          <w:szCs w:val="22"/>
          <w:lang w:val="es-ES_tradnl"/>
        </w:rPr>
        <w:t xml:space="preserve">millones de </w:t>
      </w:r>
      <w:r w:rsidRPr="005A0804">
        <w:rPr>
          <w:rFonts w:ascii="Arial" w:eastAsia="Arial" w:hAnsi="Arial" w:cs="Arial"/>
          <w:sz w:val="22"/>
          <w:szCs w:val="22"/>
          <w:lang w:val="es-ES_tradnl"/>
        </w:rPr>
        <w:t>rendimiento neto</w:t>
      </w:r>
      <w:r w:rsidR="00CD13A7" w:rsidRPr="005A0804">
        <w:rPr>
          <w:rFonts w:ascii="Arial" w:eastAsia="Arial" w:hAnsi="Arial" w:cs="Arial"/>
          <w:sz w:val="22"/>
          <w:szCs w:val="22"/>
          <w:lang w:val="es-ES_tradnl"/>
        </w:rPr>
        <w:t>)</w:t>
      </w:r>
      <w:r w:rsidR="001B4469" w:rsidRPr="005A0804">
        <w:rPr>
          <w:rFonts w:ascii="Arial" w:eastAsia="Arial" w:hAnsi="Arial" w:cs="Arial"/>
          <w:sz w:val="22"/>
          <w:szCs w:val="22"/>
          <w:lang w:val="es-ES_tradnl"/>
        </w:rPr>
        <w:t xml:space="preserve"> (ver Tabla 1)</w:t>
      </w:r>
      <w:r w:rsidR="00CD13A7" w:rsidRPr="005A0804">
        <w:rPr>
          <w:rFonts w:ascii="Arial" w:eastAsia="Arial" w:hAnsi="Arial" w:cs="Arial"/>
          <w:sz w:val="22"/>
          <w:szCs w:val="22"/>
          <w:lang w:val="es-ES_tradnl"/>
        </w:rPr>
        <w:t xml:space="preserve">. </w:t>
      </w:r>
    </w:p>
    <w:p w14:paraId="2A70AB75" w14:textId="39F6A86E" w:rsidR="00642B7E" w:rsidRPr="005C4EE7" w:rsidRDefault="005A0804" w:rsidP="005D44DB">
      <w:pPr>
        <w:pStyle w:val="Paragraph"/>
        <w:numPr>
          <w:ilvl w:val="1"/>
          <w:numId w:val="2"/>
        </w:numPr>
        <w:tabs>
          <w:tab w:val="clear" w:pos="1296"/>
        </w:tabs>
        <w:ind w:left="720" w:hanging="720"/>
        <w:outlineLvl w:val="9"/>
        <w:rPr>
          <w:rFonts w:ascii="Arial" w:hAnsi="Arial" w:cs="Arial"/>
          <w:sz w:val="22"/>
          <w:szCs w:val="22"/>
          <w:lang w:val="es-ES_tradnl"/>
        </w:rPr>
      </w:pPr>
      <w:r w:rsidRPr="005A0804">
        <w:rPr>
          <w:rFonts w:ascii="Arial" w:eastAsia="Arial" w:hAnsi="Arial" w:cs="Arial"/>
          <w:sz w:val="22"/>
          <w:szCs w:val="22"/>
          <w:lang w:val="es-ES_tradnl"/>
        </w:rPr>
        <w:lastRenderedPageBreak/>
        <w:t>P</w:t>
      </w:r>
      <w:r w:rsidR="002421EB" w:rsidRPr="005A0804">
        <w:rPr>
          <w:rFonts w:ascii="Arial" w:eastAsia="Arial" w:hAnsi="Arial" w:cs="Arial"/>
          <w:sz w:val="22"/>
          <w:szCs w:val="22"/>
          <w:lang w:val="es-ES_tradnl"/>
        </w:rPr>
        <w:t xml:space="preserve">ara el programa total (SRI + SENAE), </w:t>
      </w:r>
      <w:r w:rsidR="002421EB" w:rsidRPr="005A0804">
        <w:rPr>
          <w:rFonts w:ascii="Arial" w:hAnsi="Arial" w:cs="Arial"/>
          <w:sz w:val="22"/>
          <w:szCs w:val="22"/>
          <w:lang w:val="es-ES_tradnl"/>
        </w:rPr>
        <w:t>el VPN de los costos de las labores de control del SRI y el SENAE con programa</w:t>
      </w:r>
      <w:r w:rsidR="00F14EDC">
        <w:rPr>
          <w:rFonts w:ascii="Arial" w:hAnsi="Arial" w:cs="Arial"/>
          <w:sz w:val="22"/>
          <w:szCs w:val="22"/>
          <w:lang w:val="es-ES_tradnl"/>
        </w:rPr>
        <w:t xml:space="preserve"> neteado de la reducción de costos del presupuesto original</w:t>
      </w:r>
      <w:r w:rsidR="002421EB" w:rsidRPr="005A0804">
        <w:rPr>
          <w:rFonts w:ascii="Arial" w:hAnsi="Arial" w:cs="Arial"/>
          <w:sz w:val="22"/>
          <w:szCs w:val="22"/>
          <w:lang w:val="es-ES_tradnl"/>
        </w:rPr>
        <w:t xml:space="preserve"> </w:t>
      </w:r>
      <w:r w:rsidR="002421EB" w:rsidRPr="005A0804">
        <w:rPr>
          <w:rFonts w:ascii="Arial" w:eastAsia="Arial" w:hAnsi="Arial" w:cs="Arial"/>
          <w:sz w:val="22"/>
          <w:szCs w:val="22"/>
          <w:lang w:val="es-ES_tradnl"/>
        </w:rPr>
        <w:t>(C</w:t>
      </w:r>
      <w:r w:rsidR="002421EB" w:rsidRPr="005A0804">
        <w:rPr>
          <w:rFonts w:ascii="Arial" w:eastAsia="Arial" w:hAnsi="Arial" w:cs="Arial"/>
          <w:sz w:val="22"/>
          <w:szCs w:val="22"/>
          <w:vertAlign w:val="subscript"/>
          <w:lang w:val="es-ES_tradnl"/>
        </w:rPr>
        <w:t>B</w:t>
      </w:r>
      <w:r w:rsidR="002421EB" w:rsidRPr="005A0804">
        <w:rPr>
          <w:rFonts w:ascii="Arial" w:eastAsia="Arial" w:hAnsi="Arial" w:cs="Arial"/>
          <w:sz w:val="22"/>
          <w:szCs w:val="22"/>
          <w:lang w:val="es-ES_tradnl"/>
        </w:rPr>
        <w:t xml:space="preserve"> – costo con proyecto) asciende a US$</w:t>
      </w:r>
      <w:r w:rsidR="00C301C7">
        <w:rPr>
          <w:rFonts w:ascii="Arial" w:eastAsia="Arial" w:hAnsi="Arial" w:cs="Arial"/>
          <w:sz w:val="22"/>
          <w:szCs w:val="22"/>
          <w:lang w:val="es-ES_tradnl"/>
        </w:rPr>
        <w:t>1</w:t>
      </w:r>
      <w:r w:rsidR="00EA3285">
        <w:rPr>
          <w:rFonts w:ascii="Arial" w:eastAsia="Arial" w:hAnsi="Arial" w:cs="Arial"/>
          <w:sz w:val="22"/>
          <w:szCs w:val="22"/>
          <w:lang w:val="es-ES_tradnl"/>
        </w:rPr>
        <w:t>.</w:t>
      </w:r>
      <w:r w:rsidR="00C301C7">
        <w:rPr>
          <w:rFonts w:ascii="Arial" w:eastAsia="Arial" w:hAnsi="Arial" w:cs="Arial"/>
          <w:sz w:val="22"/>
          <w:szCs w:val="22"/>
          <w:lang w:val="es-ES_tradnl"/>
        </w:rPr>
        <w:t>250</w:t>
      </w:r>
      <w:r w:rsidR="00EA3285">
        <w:rPr>
          <w:rFonts w:ascii="Arial" w:eastAsia="Arial" w:hAnsi="Arial" w:cs="Arial"/>
          <w:sz w:val="22"/>
          <w:szCs w:val="22"/>
          <w:lang w:val="es-ES_tradnl"/>
        </w:rPr>
        <w:t>,</w:t>
      </w:r>
      <w:r w:rsidR="00C301C7">
        <w:rPr>
          <w:rFonts w:ascii="Arial" w:eastAsia="Arial" w:hAnsi="Arial" w:cs="Arial"/>
          <w:sz w:val="22"/>
          <w:szCs w:val="22"/>
          <w:lang w:val="es-ES_tradnl"/>
        </w:rPr>
        <w:t>1</w:t>
      </w:r>
      <w:r w:rsidR="00A74791">
        <w:rPr>
          <w:rFonts w:ascii="Arial" w:eastAsia="Arial" w:hAnsi="Arial" w:cs="Arial"/>
          <w:sz w:val="22"/>
          <w:szCs w:val="22"/>
          <w:lang w:val="es-ES_tradnl"/>
        </w:rPr>
        <w:t xml:space="preserve"> </w:t>
      </w:r>
      <w:r w:rsidR="002421EB" w:rsidRPr="005A0804">
        <w:rPr>
          <w:rFonts w:ascii="Arial" w:eastAsia="Arial" w:hAnsi="Arial" w:cs="Arial"/>
          <w:sz w:val="22"/>
          <w:szCs w:val="22"/>
          <w:lang w:val="es-ES_tradnl"/>
        </w:rPr>
        <w:t>millones, mientras que el VPN de los rendimientos de las labores de control de ambas instituciones asciende a US$</w:t>
      </w:r>
      <w:r w:rsidR="005C5556">
        <w:rPr>
          <w:rFonts w:ascii="Arial" w:eastAsia="Arial" w:hAnsi="Arial" w:cs="Arial"/>
          <w:sz w:val="22"/>
          <w:szCs w:val="22"/>
          <w:lang w:val="es-ES_tradnl"/>
        </w:rPr>
        <w:t>123</w:t>
      </w:r>
      <w:r w:rsidR="00EA3285">
        <w:rPr>
          <w:rFonts w:ascii="Arial" w:eastAsia="Arial" w:hAnsi="Arial" w:cs="Arial"/>
          <w:sz w:val="22"/>
          <w:szCs w:val="22"/>
          <w:lang w:val="es-ES_tradnl"/>
        </w:rPr>
        <w:t>.</w:t>
      </w:r>
      <w:r w:rsidR="005C5556">
        <w:rPr>
          <w:rFonts w:ascii="Arial" w:eastAsia="Arial" w:hAnsi="Arial" w:cs="Arial"/>
          <w:sz w:val="22"/>
          <w:szCs w:val="22"/>
          <w:lang w:val="es-ES_tradnl"/>
        </w:rPr>
        <w:t>934</w:t>
      </w:r>
      <w:r w:rsidR="00023A0B">
        <w:rPr>
          <w:rFonts w:ascii="Arial" w:eastAsia="Arial" w:hAnsi="Arial" w:cs="Arial"/>
          <w:sz w:val="22"/>
          <w:szCs w:val="22"/>
          <w:lang w:val="es-ES_tradnl"/>
        </w:rPr>
        <w:t>,</w:t>
      </w:r>
      <w:r w:rsidR="005C5556">
        <w:rPr>
          <w:rFonts w:ascii="Arial" w:eastAsia="Arial" w:hAnsi="Arial" w:cs="Arial"/>
          <w:sz w:val="22"/>
          <w:szCs w:val="22"/>
          <w:lang w:val="es-ES_tradnl"/>
        </w:rPr>
        <w:t>47</w:t>
      </w:r>
      <w:r w:rsidR="002421EB" w:rsidRPr="005A0804">
        <w:rPr>
          <w:rFonts w:ascii="Arial" w:eastAsia="Arial" w:hAnsi="Arial" w:cs="Arial"/>
          <w:sz w:val="22"/>
          <w:szCs w:val="22"/>
          <w:lang w:val="es-ES_tradnl"/>
        </w:rPr>
        <w:t xml:space="preserve"> millones (E</w:t>
      </w:r>
      <w:r w:rsidR="002421EB" w:rsidRPr="005A0804">
        <w:rPr>
          <w:rFonts w:ascii="Arial" w:eastAsia="Arial" w:hAnsi="Arial" w:cs="Arial"/>
          <w:sz w:val="22"/>
          <w:szCs w:val="22"/>
          <w:vertAlign w:val="subscript"/>
          <w:lang w:val="es-ES_tradnl"/>
        </w:rPr>
        <w:t>B</w:t>
      </w:r>
      <w:r w:rsidR="00023A0B">
        <w:rPr>
          <w:rFonts w:ascii="Arial" w:eastAsia="Arial" w:hAnsi="Arial" w:cs="Arial"/>
          <w:sz w:val="22"/>
          <w:szCs w:val="22"/>
          <w:lang w:val="es-ES_tradnl"/>
        </w:rPr>
        <w:t> </w:t>
      </w:r>
      <w:r w:rsidR="002421EB" w:rsidRPr="005A0804">
        <w:rPr>
          <w:rFonts w:ascii="Arial" w:eastAsia="Arial" w:hAnsi="Arial" w:cs="Arial"/>
          <w:sz w:val="22"/>
          <w:szCs w:val="22"/>
          <w:lang w:val="es-ES_tradnl"/>
        </w:rPr>
        <w:t>–</w:t>
      </w:r>
      <w:r w:rsidR="00023A0B">
        <w:rPr>
          <w:rFonts w:ascii="Arial" w:eastAsia="Arial" w:hAnsi="Arial" w:cs="Arial"/>
          <w:sz w:val="22"/>
          <w:szCs w:val="22"/>
          <w:lang w:val="es-ES_tradnl"/>
        </w:rPr>
        <w:t> </w:t>
      </w:r>
      <w:r w:rsidR="002421EB" w:rsidRPr="005A0804">
        <w:rPr>
          <w:rFonts w:ascii="Arial" w:eastAsia="Arial" w:hAnsi="Arial" w:cs="Arial"/>
          <w:sz w:val="22"/>
          <w:szCs w:val="22"/>
          <w:lang w:val="es-ES_tradnl"/>
        </w:rPr>
        <w:t>Efectividad con proyecto). El costo efectividad medio (CEM</w:t>
      </w:r>
      <w:r w:rsidR="002421EB" w:rsidRPr="005A0804">
        <w:rPr>
          <w:rFonts w:ascii="Arial" w:eastAsia="Arial" w:hAnsi="Arial" w:cs="Arial"/>
          <w:sz w:val="22"/>
          <w:szCs w:val="22"/>
          <w:vertAlign w:val="subscript"/>
          <w:lang w:val="es-ES_tradnl"/>
        </w:rPr>
        <w:t>B</w:t>
      </w:r>
      <w:r w:rsidR="002421EB" w:rsidRPr="005A0804">
        <w:rPr>
          <w:rFonts w:ascii="Arial" w:eastAsia="Arial" w:hAnsi="Arial" w:cs="Arial"/>
          <w:sz w:val="22"/>
          <w:szCs w:val="22"/>
          <w:lang w:val="es-ES_tradnl"/>
        </w:rPr>
        <w:t xml:space="preserve"> – con proyecto) de las actividades de control de ambas instituciones, tomando en cuenta los VPN es de US$</w:t>
      </w:r>
      <w:r w:rsidR="00C301C7">
        <w:rPr>
          <w:rFonts w:ascii="Arial" w:eastAsia="Arial" w:hAnsi="Arial" w:cs="Arial"/>
          <w:sz w:val="22"/>
          <w:szCs w:val="22"/>
          <w:lang w:val="es-ES_tradnl"/>
        </w:rPr>
        <w:t>0</w:t>
      </w:r>
      <w:r w:rsidR="00DC4255">
        <w:rPr>
          <w:rFonts w:ascii="Arial" w:eastAsia="Arial" w:hAnsi="Arial" w:cs="Arial"/>
          <w:sz w:val="22"/>
          <w:szCs w:val="22"/>
          <w:lang w:val="es-ES_tradnl"/>
        </w:rPr>
        <w:t>.</w:t>
      </w:r>
      <w:r w:rsidR="00C301C7">
        <w:rPr>
          <w:rFonts w:ascii="Arial" w:eastAsia="Arial" w:hAnsi="Arial" w:cs="Arial"/>
          <w:sz w:val="22"/>
          <w:szCs w:val="22"/>
          <w:lang w:val="es-ES_tradnl"/>
        </w:rPr>
        <w:t>01009</w:t>
      </w:r>
      <w:r w:rsidR="005C5556">
        <w:rPr>
          <w:rFonts w:ascii="Arial" w:eastAsia="Arial" w:hAnsi="Arial" w:cs="Arial"/>
          <w:sz w:val="22"/>
          <w:szCs w:val="22"/>
          <w:lang w:val="es-ES_tradnl"/>
        </w:rPr>
        <w:t xml:space="preserve"> </w:t>
      </w:r>
      <w:r w:rsidR="00D92ACD" w:rsidRPr="005A0804">
        <w:rPr>
          <w:rFonts w:ascii="Arial" w:eastAsia="Arial" w:hAnsi="Arial" w:cs="Arial"/>
          <w:sz w:val="22"/>
          <w:szCs w:val="22"/>
          <w:lang w:val="es-ES_tradnl"/>
        </w:rPr>
        <w:t>ligeramente inferior</w:t>
      </w:r>
      <w:r w:rsidR="002421EB" w:rsidRPr="005A0804">
        <w:rPr>
          <w:rFonts w:ascii="Arial" w:eastAsia="Arial" w:hAnsi="Arial" w:cs="Arial"/>
          <w:sz w:val="22"/>
          <w:szCs w:val="22"/>
          <w:lang w:val="es-ES_tradnl"/>
        </w:rPr>
        <w:t xml:space="preserve"> al costo efectivo medio sin programa</w:t>
      </w:r>
      <w:r w:rsidR="001B4469" w:rsidRPr="005A0804">
        <w:rPr>
          <w:rFonts w:ascii="Arial" w:eastAsia="Arial" w:hAnsi="Arial" w:cs="Arial"/>
          <w:sz w:val="22"/>
          <w:szCs w:val="22"/>
          <w:lang w:val="es-ES_tradnl"/>
        </w:rPr>
        <w:t xml:space="preserve"> (ver Tabla 1)</w:t>
      </w:r>
      <w:r w:rsidR="002421EB" w:rsidRPr="005A0804">
        <w:rPr>
          <w:rFonts w:ascii="Arial" w:eastAsia="Arial" w:hAnsi="Arial" w:cs="Arial"/>
          <w:sz w:val="22"/>
          <w:szCs w:val="22"/>
          <w:lang w:val="es-ES_tradnl"/>
        </w:rPr>
        <w:t>.</w:t>
      </w:r>
      <w:bookmarkEnd w:id="2"/>
    </w:p>
    <w:p w14:paraId="0313E7EA" w14:textId="5E8C3BE7" w:rsidR="00C301C7" w:rsidRPr="007700EE" w:rsidRDefault="00C301C7" w:rsidP="005D44DB">
      <w:pPr>
        <w:pStyle w:val="Paragraph"/>
        <w:numPr>
          <w:ilvl w:val="1"/>
          <w:numId w:val="0"/>
        </w:numPr>
        <w:outlineLvl w:val="9"/>
        <w:rPr>
          <w:rFonts w:ascii="Arial" w:hAnsi="Arial" w:cs="Arial"/>
          <w:sz w:val="22"/>
          <w:szCs w:val="22"/>
        </w:rPr>
      </w:pPr>
      <w:r w:rsidRPr="00C301C7">
        <w:rPr>
          <w:noProof/>
        </w:rPr>
        <w:drawing>
          <wp:inline distT="0" distB="0" distL="0" distR="0" wp14:anchorId="7680A0E9" wp14:editId="4AA9C8DE">
            <wp:extent cx="5786120" cy="2244090"/>
            <wp:effectExtent l="0" t="0" r="5080" b="381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86120" cy="2244090"/>
                    </a:xfrm>
                    <a:prstGeom prst="rect">
                      <a:avLst/>
                    </a:prstGeom>
                    <a:noFill/>
                    <a:ln>
                      <a:noFill/>
                    </a:ln>
                  </pic:spPr>
                </pic:pic>
              </a:graphicData>
            </a:graphic>
          </wp:inline>
        </w:drawing>
      </w:r>
    </w:p>
    <w:bookmarkEnd w:id="11"/>
    <w:p w14:paraId="56A88D68" w14:textId="637FE6C7" w:rsidR="000527F2" w:rsidRPr="009C0E1F" w:rsidRDefault="0095399D" w:rsidP="005D44DB">
      <w:pPr>
        <w:pStyle w:val="Paragraph"/>
        <w:numPr>
          <w:ilvl w:val="1"/>
          <w:numId w:val="2"/>
        </w:numPr>
        <w:tabs>
          <w:tab w:val="clear" w:pos="1296"/>
        </w:tabs>
        <w:ind w:left="720" w:hanging="720"/>
        <w:outlineLvl w:val="9"/>
        <w:rPr>
          <w:rFonts w:ascii="Arial" w:hAnsi="Arial" w:cs="Arial"/>
          <w:sz w:val="22"/>
          <w:szCs w:val="22"/>
          <w:lang w:val="es-ES_tradnl"/>
        </w:rPr>
      </w:pPr>
      <w:r w:rsidRPr="009C0E1F">
        <w:rPr>
          <w:rFonts w:ascii="Arial" w:hAnsi="Arial" w:cs="Arial"/>
          <w:sz w:val="22"/>
          <w:szCs w:val="22"/>
          <w:lang w:val="es-ES_tradnl"/>
        </w:rPr>
        <w:t>También se</w:t>
      </w:r>
      <w:r w:rsidR="008E757B" w:rsidRPr="009C0E1F">
        <w:rPr>
          <w:rFonts w:ascii="Arial" w:hAnsi="Arial" w:cs="Arial"/>
          <w:sz w:val="22"/>
          <w:szCs w:val="22"/>
          <w:lang w:val="es-ES_tradnl"/>
        </w:rPr>
        <w:t xml:space="preserve"> utilizó el indicador numérico conocido como cost</w:t>
      </w:r>
      <w:r w:rsidR="00E642A9" w:rsidRPr="009C0E1F">
        <w:rPr>
          <w:rFonts w:ascii="Arial" w:hAnsi="Arial" w:cs="Arial"/>
          <w:sz w:val="22"/>
          <w:szCs w:val="22"/>
          <w:lang w:val="es-ES_tradnl"/>
        </w:rPr>
        <w:t>o</w:t>
      </w:r>
      <w:r w:rsidR="008E757B" w:rsidRPr="009C0E1F">
        <w:rPr>
          <w:rFonts w:ascii="Arial" w:hAnsi="Arial" w:cs="Arial"/>
          <w:sz w:val="22"/>
          <w:szCs w:val="22"/>
          <w:lang w:val="es-ES_tradnl"/>
        </w:rPr>
        <w:t>-</w:t>
      </w:r>
      <w:r w:rsidR="00046BB1">
        <w:rPr>
          <w:rFonts w:ascii="Arial" w:hAnsi="Arial" w:cs="Arial"/>
          <w:sz w:val="22"/>
          <w:szCs w:val="22"/>
          <w:lang w:val="es-ES_tradnl"/>
        </w:rPr>
        <w:t>efectividad</w:t>
      </w:r>
      <w:r w:rsidR="008E757B" w:rsidRPr="009C0E1F">
        <w:rPr>
          <w:rFonts w:ascii="Arial" w:hAnsi="Arial" w:cs="Arial"/>
          <w:sz w:val="22"/>
          <w:szCs w:val="22"/>
          <w:lang w:val="es-ES_tradnl"/>
        </w:rPr>
        <w:t xml:space="preserve"> incremental (CEI), </w:t>
      </w:r>
      <w:r w:rsidR="0022085A" w:rsidRPr="009C0E1F">
        <w:rPr>
          <w:rFonts w:ascii="Arial" w:hAnsi="Arial" w:cs="Arial"/>
          <w:sz w:val="22"/>
          <w:szCs w:val="22"/>
          <w:lang w:val="es-ES_tradnl"/>
        </w:rPr>
        <w:t xml:space="preserve">el cual </w:t>
      </w:r>
      <w:r w:rsidR="00C012D6" w:rsidRPr="009C0E1F">
        <w:rPr>
          <w:rFonts w:ascii="Arial" w:hAnsi="Arial" w:cs="Arial"/>
          <w:sz w:val="22"/>
          <w:szCs w:val="22"/>
          <w:lang w:val="es-ES_tradnl"/>
        </w:rPr>
        <w:t>estima</w:t>
      </w:r>
      <w:r w:rsidR="0022085A" w:rsidRPr="009C0E1F">
        <w:rPr>
          <w:rFonts w:ascii="Arial" w:hAnsi="Arial" w:cs="Arial"/>
          <w:sz w:val="22"/>
          <w:szCs w:val="22"/>
          <w:lang w:val="es-ES_tradnl"/>
        </w:rPr>
        <w:t xml:space="preserve"> </w:t>
      </w:r>
      <w:r w:rsidR="00C012D6" w:rsidRPr="009C0E1F">
        <w:rPr>
          <w:rFonts w:ascii="Arial" w:hAnsi="Arial" w:cs="Arial"/>
          <w:sz w:val="22"/>
          <w:szCs w:val="22"/>
          <w:lang w:val="es-ES_tradnl"/>
        </w:rPr>
        <w:t>cuánto</w:t>
      </w:r>
      <w:r w:rsidR="0022085A" w:rsidRPr="009C0E1F">
        <w:rPr>
          <w:rFonts w:ascii="Arial" w:hAnsi="Arial" w:cs="Arial"/>
          <w:sz w:val="22"/>
          <w:szCs w:val="22"/>
          <w:lang w:val="es-ES_tradnl"/>
        </w:rPr>
        <w:t xml:space="preserve"> costará, con </w:t>
      </w:r>
      <w:r w:rsidR="00A874D2">
        <w:rPr>
          <w:rFonts w:ascii="Arial" w:hAnsi="Arial" w:cs="Arial"/>
          <w:sz w:val="22"/>
          <w:szCs w:val="22"/>
          <w:lang w:val="es-ES_tradnl"/>
        </w:rPr>
        <w:t xml:space="preserve">el </w:t>
      </w:r>
      <w:r w:rsidR="0022085A" w:rsidRPr="009C0E1F">
        <w:rPr>
          <w:rFonts w:ascii="Arial" w:hAnsi="Arial" w:cs="Arial"/>
          <w:sz w:val="22"/>
          <w:szCs w:val="22"/>
          <w:lang w:val="es-ES_tradnl"/>
        </w:rPr>
        <w:t xml:space="preserve">proyecto, </w:t>
      </w:r>
      <w:r w:rsidR="00D73408">
        <w:rPr>
          <w:rFonts w:ascii="Arial" w:hAnsi="Arial" w:cs="Arial"/>
          <w:sz w:val="22"/>
          <w:szCs w:val="22"/>
          <w:lang w:val="es-ES_tradnl"/>
        </w:rPr>
        <w:t xml:space="preserve">obtener un dólar </w:t>
      </w:r>
      <w:r w:rsidR="00B876F4">
        <w:rPr>
          <w:rFonts w:ascii="Arial" w:hAnsi="Arial" w:cs="Arial"/>
          <w:sz w:val="22"/>
          <w:szCs w:val="22"/>
          <w:lang w:val="es-ES_tradnl"/>
        </w:rPr>
        <w:t xml:space="preserve">adicional </w:t>
      </w:r>
      <w:r w:rsidR="00D73408">
        <w:rPr>
          <w:rFonts w:ascii="Arial" w:hAnsi="Arial" w:cs="Arial"/>
          <w:sz w:val="22"/>
          <w:szCs w:val="22"/>
          <w:lang w:val="es-ES_tradnl"/>
        </w:rPr>
        <w:t>de recaudación</w:t>
      </w:r>
      <w:r w:rsidR="009148F0" w:rsidRPr="009C0E1F">
        <w:rPr>
          <w:rFonts w:ascii="Arial" w:hAnsi="Arial" w:cs="Arial"/>
          <w:sz w:val="22"/>
          <w:szCs w:val="22"/>
          <w:lang w:val="es-ES_tradnl"/>
        </w:rPr>
        <w:t>.</w:t>
      </w:r>
      <w:r w:rsidR="0022085A" w:rsidRPr="009C0E1F">
        <w:rPr>
          <w:rFonts w:ascii="Arial" w:hAnsi="Arial" w:cs="Arial"/>
          <w:sz w:val="22"/>
          <w:szCs w:val="22"/>
          <w:lang w:val="es-ES_tradnl"/>
        </w:rPr>
        <w:t xml:space="preserve"> Considerando que CEI = </w:t>
      </w:r>
      <w:r w:rsidR="0090626A" w:rsidRPr="009C0E1F">
        <w:rPr>
          <w:rFonts w:ascii="Arial" w:hAnsi="Arial" w:cs="Arial"/>
          <w:sz w:val="22"/>
          <w:szCs w:val="22"/>
          <w:lang w:val="es-ES_tradnl"/>
        </w:rPr>
        <w:t>(</w:t>
      </w:r>
      <w:r w:rsidR="0022085A" w:rsidRPr="009C0E1F">
        <w:rPr>
          <w:rFonts w:ascii="Arial" w:hAnsi="Arial" w:cs="Arial"/>
          <w:sz w:val="22"/>
          <w:szCs w:val="22"/>
          <w:lang w:val="es-ES_tradnl"/>
        </w:rPr>
        <w:t>C</w:t>
      </w:r>
      <w:r w:rsidR="002F6D23" w:rsidRPr="009C0E1F">
        <w:rPr>
          <w:rFonts w:ascii="Arial" w:hAnsi="Arial" w:cs="Arial"/>
          <w:sz w:val="22"/>
          <w:szCs w:val="22"/>
          <w:vertAlign w:val="subscript"/>
          <w:lang w:val="es-ES_tradnl"/>
        </w:rPr>
        <w:t>B</w:t>
      </w:r>
      <w:r w:rsidR="0022085A" w:rsidRPr="009C0E1F">
        <w:rPr>
          <w:rFonts w:ascii="Arial" w:hAnsi="Arial" w:cs="Arial"/>
          <w:sz w:val="22"/>
          <w:szCs w:val="22"/>
          <w:lang w:val="es-ES_tradnl"/>
        </w:rPr>
        <w:t xml:space="preserve"> – C</w:t>
      </w:r>
      <w:r w:rsidR="002F6D23" w:rsidRPr="009C0E1F">
        <w:rPr>
          <w:rFonts w:ascii="Arial" w:hAnsi="Arial" w:cs="Arial"/>
          <w:sz w:val="22"/>
          <w:szCs w:val="22"/>
          <w:vertAlign w:val="subscript"/>
          <w:lang w:val="es-ES_tradnl"/>
        </w:rPr>
        <w:t>A</w:t>
      </w:r>
      <w:r w:rsidR="0090626A" w:rsidRPr="009C0E1F">
        <w:rPr>
          <w:rFonts w:ascii="Arial" w:hAnsi="Arial" w:cs="Arial"/>
          <w:sz w:val="22"/>
          <w:szCs w:val="22"/>
          <w:lang w:val="es-ES_tradnl"/>
        </w:rPr>
        <w:t>)</w:t>
      </w:r>
      <w:r w:rsidR="0022085A" w:rsidRPr="009C0E1F">
        <w:rPr>
          <w:rFonts w:ascii="Arial" w:hAnsi="Arial" w:cs="Arial"/>
          <w:sz w:val="22"/>
          <w:szCs w:val="22"/>
          <w:lang w:val="es-ES_tradnl"/>
        </w:rPr>
        <w:t xml:space="preserve"> / </w:t>
      </w:r>
      <w:r w:rsidR="0090626A" w:rsidRPr="009C0E1F">
        <w:rPr>
          <w:rFonts w:ascii="Arial" w:hAnsi="Arial" w:cs="Arial"/>
          <w:sz w:val="22"/>
          <w:szCs w:val="22"/>
          <w:lang w:val="es-ES_tradnl"/>
        </w:rPr>
        <w:t>(</w:t>
      </w:r>
      <w:r w:rsidR="002F6D23" w:rsidRPr="009C0E1F">
        <w:rPr>
          <w:rFonts w:ascii="Arial" w:hAnsi="Arial" w:cs="Arial"/>
          <w:sz w:val="22"/>
          <w:szCs w:val="22"/>
          <w:lang w:val="es-ES_tradnl"/>
        </w:rPr>
        <w:t>E</w:t>
      </w:r>
      <w:r w:rsidR="002F6D23" w:rsidRPr="009C0E1F">
        <w:rPr>
          <w:rFonts w:ascii="Arial" w:hAnsi="Arial" w:cs="Arial"/>
          <w:sz w:val="22"/>
          <w:szCs w:val="22"/>
          <w:vertAlign w:val="subscript"/>
          <w:lang w:val="es-ES_tradnl"/>
        </w:rPr>
        <w:t>B</w:t>
      </w:r>
      <w:r w:rsidR="0022085A" w:rsidRPr="009C0E1F">
        <w:rPr>
          <w:rFonts w:ascii="Arial" w:hAnsi="Arial" w:cs="Arial"/>
          <w:sz w:val="22"/>
          <w:szCs w:val="22"/>
          <w:lang w:val="es-ES_tradnl"/>
        </w:rPr>
        <w:t xml:space="preserve"> – </w:t>
      </w:r>
      <w:r w:rsidR="002F6D23" w:rsidRPr="009C0E1F">
        <w:rPr>
          <w:rFonts w:ascii="Arial" w:hAnsi="Arial" w:cs="Arial"/>
          <w:sz w:val="22"/>
          <w:szCs w:val="22"/>
          <w:lang w:val="es-ES_tradnl"/>
        </w:rPr>
        <w:t>E</w:t>
      </w:r>
      <w:r w:rsidR="002F6D23" w:rsidRPr="009C0E1F">
        <w:rPr>
          <w:rFonts w:ascii="Arial" w:hAnsi="Arial" w:cs="Arial"/>
          <w:sz w:val="22"/>
          <w:szCs w:val="22"/>
          <w:vertAlign w:val="subscript"/>
          <w:lang w:val="es-ES_tradnl"/>
        </w:rPr>
        <w:t>A</w:t>
      </w:r>
      <w:r w:rsidR="0090626A" w:rsidRPr="009C0E1F">
        <w:rPr>
          <w:rFonts w:ascii="Arial" w:hAnsi="Arial" w:cs="Arial"/>
          <w:sz w:val="22"/>
          <w:szCs w:val="22"/>
          <w:lang w:val="es-ES_tradnl"/>
        </w:rPr>
        <w:t>)</w:t>
      </w:r>
      <w:r w:rsidR="0022085A" w:rsidRPr="009C0E1F">
        <w:rPr>
          <w:rFonts w:ascii="Arial" w:hAnsi="Arial" w:cs="Arial"/>
          <w:sz w:val="22"/>
          <w:szCs w:val="22"/>
          <w:lang w:val="es-ES_tradnl"/>
        </w:rPr>
        <w:t>, donde C</w:t>
      </w:r>
      <w:r w:rsidR="002F6D23" w:rsidRPr="009C0E1F">
        <w:rPr>
          <w:rFonts w:ascii="Arial" w:hAnsi="Arial" w:cs="Arial"/>
          <w:sz w:val="22"/>
          <w:szCs w:val="22"/>
          <w:vertAlign w:val="subscript"/>
          <w:lang w:val="es-ES_tradnl"/>
        </w:rPr>
        <w:t>A</w:t>
      </w:r>
      <w:r w:rsidR="0022085A" w:rsidRPr="009C0E1F">
        <w:rPr>
          <w:rFonts w:ascii="Arial" w:hAnsi="Arial" w:cs="Arial"/>
          <w:sz w:val="22"/>
          <w:szCs w:val="22"/>
          <w:lang w:val="es-ES_tradnl"/>
        </w:rPr>
        <w:t xml:space="preserve"> y C</w:t>
      </w:r>
      <w:r w:rsidR="002F6D23" w:rsidRPr="009C0E1F">
        <w:rPr>
          <w:rFonts w:ascii="Arial" w:hAnsi="Arial" w:cs="Arial"/>
          <w:sz w:val="22"/>
          <w:szCs w:val="22"/>
          <w:vertAlign w:val="subscript"/>
          <w:lang w:val="es-ES_tradnl"/>
        </w:rPr>
        <w:t>B</w:t>
      </w:r>
      <w:r w:rsidR="002F6D23" w:rsidRPr="009C0E1F">
        <w:rPr>
          <w:rFonts w:ascii="Arial" w:hAnsi="Arial" w:cs="Arial"/>
          <w:sz w:val="22"/>
          <w:szCs w:val="22"/>
          <w:lang w:val="es-ES_tradnl"/>
        </w:rPr>
        <w:t xml:space="preserve"> </w:t>
      </w:r>
      <w:r w:rsidR="0022085A" w:rsidRPr="009C0E1F">
        <w:rPr>
          <w:rFonts w:ascii="Arial" w:hAnsi="Arial" w:cs="Arial"/>
          <w:sz w:val="22"/>
          <w:szCs w:val="22"/>
          <w:lang w:val="es-ES_tradnl"/>
        </w:rPr>
        <w:t>representan los</w:t>
      </w:r>
      <w:bookmarkEnd w:id="3"/>
      <w:r w:rsidR="0022085A" w:rsidRPr="009C0E1F">
        <w:rPr>
          <w:rFonts w:ascii="Arial" w:hAnsi="Arial" w:cs="Arial"/>
          <w:sz w:val="22"/>
          <w:szCs w:val="22"/>
          <w:lang w:val="es-ES_tradnl"/>
        </w:rPr>
        <w:t xml:space="preserve"> costos sin y con proyecto, así como </w:t>
      </w:r>
      <w:r w:rsidR="002F6D23" w:rsidRPr="009C0E1F">
        <w:rPr>
          <w:rFonts w:ascii="Arial" w:hAnsi="Arial" w:cs="Arial"/>
          <w:sz w:val="22"/>
          <w:szCs w:val="22"/>
          <w:lang w:val="es-ES_tradnl"/>
        </w:rPr>
        <w:t>E</w:t>
      </w:r>
      <w:r w:rsidR="002F6D23" w:rsidRPr="009C0E1F">
        <w:rPr>
          <w:rFonts w:ascii="Arial" w:hAnsi="Arial" w:cs="Arial"/>
          <w:sz w:val="22"/>
          <w:szCs w:val="22"/>
          <w:vertAlign w:val="subscript"/>
          <w:lang w:val="es-ES_tradnl"/>
        </w:rPr>
        <w:t>A</w:t>
      </w:r>
      <w:r w:rsidR="0022085A" w:rsidRPr="009C0E1F">
        <w:rPr>
          <w:rFonts w:ascii="Arial" w:hAnsi="Arial" w:cs="Arial"/>
          <w:sz w:val="22"/>
          <w:szCs w:val="22"/>
          <w:lang w:val="es-ES_tradnl"/>
        </w:rPr>
        <w:t xml:space="preserve"> y </w:t>
      </w:r>
      <w:r w:rsidR="002F6D23" w:rsidRPr="009C0E1F">
        <w:rPr>
          <w:rFonts w:ascii="Arial" w:hAnsi="Arial" w:cs="Arial"/>
          <w:sz w:val="22"/>
          <w:szCs w:val="22"/>
          <w:lang w:val="es-ES_tradnl"/>
        </w:rPr>
        <w:t>E</w:t>
      </w:r>
      <w:r w:rsidR="002F6D23" w:rsidRPr="009C0E1F">
        <w:rPr>
          <w:rFonts w:ascii="Arial" w:hAnsi="Arial" w:cs="Arial"/>
          <w:sz w:val="22"/>
          <w:szCs w:val="22"/>
          <w:vertAlign w:val="subscript"/>
          <w:lang w:val="es-ES_tradnl"/>
        </w:rPr>
        <w:t>B</w:t>
      </w:r>
      <w:r w:rsidR="0022085A" w:rsidRPr="009C0E1F">
        <w:rPr>
          <w:rFonts w:ascii="Arial" w:hAnsi="Arial" w:cs="Arial"/>
          <w:sz w:val="22"/>
          <w:szCs w:val="22"/>
          <w:lang w:val="es-ES_tradnl"/>
        </w:rPr>
        <w:t xml:space="preserve"> representan las </w:t>
      </w:r>
      <w:r w:rsidR="00130A45">
        <w:rPr>
          <w:rFonts w:ascii="Arial" w:hAnsi="Arial" w:cs="Arial"/>
          <w:sz w:val="22"/>
          <w:szCs w:val="22"/>
          <w:lang w:val="es-ES_tradnl"/>
        </w:rPr>
        <w:t>efectividad</w:t>
      </w:r>
      <w:r w:rsidR="00130A45" w:rsidRPr="009C0E1F">
        <w:rPr>
          <w:rFonts w:ascii="Arial" w:hAnsi="Arial" w:cs="Arial"/>
          <w:sz w:val="22"/>
          <w:szCs w:val="22"/>
          <w:lang w:val="es-ES_tradnl"/>
        </w:rPr>
        <w:t>es</w:t>
      </w:r>
      <w:r w:rsidR="002F6D23" w:rsidRPr="009C0E1F">
        <w:rPr>
          <w:rFonts w:ascii="Arial" w:hAnsi="Arial" w:cs="Arial"/>
          <w:sz w:val="22"/>
          <w:szCs w:val="22"/>
          <w:lang w:val="es-ES_tradnl"/>
        </w:rPr>
        <w:t xml:space="preserve"> correspondientes </w:t>
      </w:r>
      <w:r w:rsidR="00D36D27" w:rsidRPr="009C0E1F">
        <w:rPr>
          <w:rFonts w:ascii="Arial" w:hAnsi="Arial" w:cs="Arial"/>
          <w:sz w:val="22"/>
          <w:szCs w:val="22"/>
          <w:lang w:val="es-ES_tradnl"/>
        </w:rPr>
        <w:t>a</w:t>
      </w:r>
      <w:r w:rsidR="00D73408">
        <w:rPr>
          <w:rFonts w:ascii="Arial" w:hAnsi="Arial" w:cs="Arial"/>
          <w:sz w:val="22"/>
          <w:szCs w:val="22"/>
          <w:lang w:val="es-ES_tradnl"/>
        </w:rPr>
        <w:t xml:space="preserve"> </w:t>
      </w:r>
      <w:r w:rsidR="00D36D27" w:rsidRPr="009C0E1F">
        <w:rPr>
          <w:rFonts w:ascii="Arial" w:hAnsi="Arial" w:cs="Arial"/>
          <w:sz w:val="22"/>
          <w:szCs w:val="22"/>
          <w:lang w:val="es-ES_tradnl"/>
        </w:rPr>
        <w:t>l</w:t>
      </w:r>
      <w:r w:rsidR="00D73408">
        <w:rPr>
          <w:rFonts w:ascii="Arial" w:hAnsi="Arial" w:cs="Arial"/>
          <w:sz w:val="22"/>
          <w:szCs w:val="22"/>
          <w:lang w:val="es-ES_tradnl"/>
        </w:rPr>
        <w:t xml:space="preserve">a recaudación generada por </w:t>
      </w:r>
      <w:r w:rsidR="00900FF8">
        <w:rPr>
          <w:rFonts w:ascii="Arial" w:hAnsi="Arial" w:cs="Arial"/>
          <w:sz w:val="22"/>
          <w:szCs w:val="22"/>
          <w:lang w:val="es-ES_tradnl"/>
        </w:rPr>
        <w:t>el SRI y el SENAE</w:t>
      </w:r>
      <w:r w:rsidR="0022085A" w:rsidRPr="009C0E1F">
        <w:rPr>
          <w:rFonts w:ascii="Arial" w:hAnsi="Arial" w:cs="Arial"/>
          <w:sz w:val="22"/>
          <w:szCs w:val="22"/>
          <w:lang w:val="es-ES_tradnl"/>
        </w:rPr>
        <w:t xml:space="preserve"> sin y con proyecto</w:t>
      </w:r>
      <w:r w:rsidR="009A16AD">
        <w:rPr>
          <w:rFonts w:ascii="Arial" w:hAnsi="Arial" w:cs="Arial"/>
          <w:sz w:val="22"/>
          <w:szCs w:val="22"/>
          <w:lang w:val="es-ES_tradnl"/>
        </w:rPr>
        <w:t>, se estimó:</w:t>
      </w:r>
      <w:r w:rsidR="0022085A" w:rsidRPr="009C0E1F">
        <w:rPr>
          <w:rFonts w:ascii="Arial" w:hAnsi="Arial" w:cs="Arial"/>
          <w:sz w:val="22"/>
          <w:szCs w:val="22"/>
          <w:lang w:val="es-ES_tradnl"/>
        </w:rPr>
        <w:t xml:space="preserve"> CEI</w:t>
      </w:r>
      <w:r w:rsidR="002F6D23" w:rsidRPr="009C0E1F">
        <w:rPr>
          <w:rFonts w:ascii="Arial" w:hAnsi="Arial" w:cs="Arial"/>
          <w:sz w:val="22"/>
          <w:szCs w:val="22"/>
          <w:lang w:val="es-ES_tradnl"/>
        </w:rPr>
        <w:t xml:space="preserve"> </w:t>
      </w:r>
      <w:r w:rsidR="0022085A" w:rsidRPr="009C0E1F">
        <w:rPr>
          <w:rFonts w:ascii="Arial" w:hAnsi="Arial" w:cs="Arial"/>
          <w:sz w:val="22"/>
          <w:szCs w:val="22"/>
          <w:lang w:val="es-ES_tradnl"/>
        </w:rPr>
        <w:t xml:space="preserve">= </w:t>
      </w:r>
      <w:r w:rsidR="0090626A" w:rsidRPr="009C0E1F">
        <w:rPr>
          <w:rFonts w:ascii="Arial" w:hAnsi="Arial" w:cs="Arial"/>
          <w:sz w:val="22"/>
          <w:szCs w:val="22"/>
          <w:lang w:val="es-ES_tradnl"/>
        </w:rPr>
        <w:t>(</w:t>
      </w:r>
      <w:r w:rsidR="0022085A" w:rsidRPr="009C0E1F">
        <w:rPr>
          <w:rFonts w:ascii="Arial" w:hAnsi="Arial" w:cs="Arial"/>
          <w:sz w:val="22"/>
          <w:szCs w:val="22"/>
          <w:lang w:val="es-ES_tradnl"/>
        </w:rPr>
        <w:t>US$</w:t>
      </w:r>
      <w:r w:rsidR="00D92ACD">
        <w:rPr>
          <w:rFonts w:ascii="Arial" w:hAnsi="Arial" w:cs="Arial"/>
          <w:sz w:val="22"/>
          <w:szCs w:val="22"/>
          <w:lang w:val="es-ES_tradnl"/>
        </w:rPr>
        <w:t>1</w:t>
      </w:r>
      <w:r w:rsidR="00393BE9">
        <w:rPr>
          <w:rFonts w:ascii="Arial" w:hAnsi="Arial" w:cs="Arial"/>
          <w:sz w:val="22"/>
          <w:szCs w:val="22"/>
          <w:lang w:val="es-ES_tradnl"/>
        </w:rPr>
        <w:t>.</w:t>
      </w:r>
      <w:r w:rsidR="00AE711D">
        <w:rPr>
          <w:rFonts w:ascii="Arial" w:hAnsi="Arial" w:cs="Arial"/>
          <w:sz w:val="22"/>
          <w:szCs w:val="22"/>
          <w:lang w:val="es-ES_tradnl"/>
        </w:rPr>
        <w:t>229</w:t>
      </w:r>
      <w:r w:rsidR="00393BE9">
        <w:rPr>
          <w:rFonts w:ascii="Arial" w:hAnsi="Arial" w:cs="Arial"/>
          <w:sz w:val="22"/>
          <w:szCs w:val="22"/>
          <w:lang w:val="es-ES_tradnl"/>
        </w:rPr>
        <w:t>,</w:t>
      </w:r>
      <w:r w:rsidR="00AE711D">
        <w:rPr>
          <w:rFonts w:ascii="Arial" w:hAnsi="Arial" w:cs="Arial"/>
          <w:sz w:val="22"/>
          <w:szCs w:val="22"/>
          <w:lang w:val="es-ES_tradnl"/>
        </w:rPr>
        <w:t>34</w:t>
      </w:r>
      <w:r w:rsidR="0022085A" w:rsidRPr="009C0E1F">
        <w:rPr>
          <w:rFonts w:ascii="Arial" w:hAnsi="Arial" w:cs="Arial"/>
          <w:sz w:val="22"/>
          <w:szCs w:val="22"/>
          <w:lang w:val="es-ES_tradnl"/>
        </w:rPr>
        <w:t xml:space="preserve"> millones</w:t>
      </w:r>
      <w:r w:rsidR="0090626A" w:rsidRPr="009C0E1F">
        <w:rPr>
          <w:rFonts w:ascii="Arial" w:hAnsi="Arial" w:cs="Arial"/>
          <w:sz w:val="22"/>
          <w:szCs w:val="22"/>
          <w:lang w:val="es-ES_tradnl"/>
        </w:rPr>
        <w:t xml:space="preserve"> </w:t>
      </w:r>
      <w:r w:rsidR="0022085A" w:rsidRPr="009C0E1F">
        <w:rPr>
          <w:rFonts w:ascii="Arial" w:hAnsi="Arial" w:cs="Arial"/>
          <w:sz w:val="22"/>
          <w:szCs w:val="22"/>
          <w:lang w:val="es-ES_tradnl"/>
        </w:rPr>
        <w:t>- US$</w:t>
      </w:r>
      <w:r w:rsidR="00C301C7">
        <w:rPr>
          <w:rFonts w:ascii="Arial" w:hAnsi="Arial" w:cs="Arial"/>
          <w:sz w:val="22"/>
          <w:szCs w:val="22"/>
          <w:lang w:val="es-ES_tradnl"/>
        </w:rPr>
        <w:t>1</w:t>
      </w:r>
      <w:r w:rsidR="00F47DEC">
        <w:rPr>
          <w:rFonts w:ascii="Arial" w:hAnsi="Arial" w:cs="Arial"/>
          <w:sz w:val="22"/>
          <w:szCs w:val="22"/>
          <w:lang w:val="es-ES_tradnl"/>
        </w:rPr>
        <w:t>.</w:t>
      </w:r>
      <w:r w:rsidR="00C301C7">
        <w:rPr>
          <w:rFonts w:ascii="Arial" w:hAnsi="Arial" w:cs="Arial"/>
          <w:sz w:val="22"/>
          <w:szCs w:val="22"/>
          <w:lang w:val="es-ES_tradnl"/>
        </w:rPr>
        <w:t>250</w:t>
      </w:r>
      <w:r w:rsidR="00F47DEC">
        <w:rPr>
          <w:rFonts w:ascii="Arial" w:hAnsi="Arial" w:cs="Arial"/>
          <w:sz w:val="22"/>
          <w:szCs w:val="22"/>
          <w:lang w:val="es-ES_tradnl"/>
        </w:rPr>
        <w:t>,</w:t>
      </w:r>
      <w:r w:rsidR="00C301C7">
        <w:rPr>
          <w:rFonts w:ascii="Arial" w:hAnsi="Arial" w:cs="Arial"/>
          <w:sz w:val="22"/>
          <w:szCs w:val="22"/>
          <w:lang w:val="es-ES_tradnl"/>
        </w:rPr>
        <w:t>06</w:t>
      </w:r>
      <w:r w:rsidR="0022085A" w:rsidRPr="009C0E1F">
        <w:rPr>
          <w:rFonts w:ascii="Arial" w:hAnsi="Arial" w:cs="Arial"/>
          <w:sz w:val="22"/>
          <w:szCs w:val="22"/>
          <w:lang w:val="es-ES_tradnl"/>
        </w:rPr>
        <w:t xml:space="preserve"> millones</w:t>
      </w:r>
      <w:r w:rsidR="0090626A" w:rsidRPr="009C0E1F">
        <w:rPr>
          <w:rFonts w:ascii="Arial" w:hAnsi="Arial" w:cs="Arial"/>
          <w:sz w:val="22"/>
          <w:szCs w:val="22"/>
          <w:lang w:val="es-ES_tradnl"/>
        </w:rPr>
        <w:t>)</w:t>
      </w:r>
      <w:r w:rsidR="0022085A" w:rsidRPr="009C0E1F">
        <w:rPr>
          <w:rFonts w:ascii="Arial" w:hAnsi="Arial" w:cs="Arial"/>
          <w:sz w:val="22"/>
          <w:szCs w:val="22"/>
          <w:lang w:val="es-ES_tradnl"/>
        </w:rPr>
        <w:t xml:space="preserve"> / </w:t>
      </w:r>
      <w:r w:rsidR="0090626A" w:rsidRPr="009C0E1F">
        <w:rPr>
          <w:rFonts w:ascii="Arial" w:hAnsi="Arial" w:cs="Arial"/>
          <w:sz w:val="22"/>
          <w:szCs w:val="22"/>
          <w:lang w:val="es-ES_tradnl"/>
        </w:rPr>
        <w:t>(</w:t>
      </w:r>
      <w:r w:rsidR="00AE711D">
        <w:rPr>
          <w:rFonts w:ascii="Arial" w:hAnsi="Arial" w:cs="Arial"/>
          <w:sz w:val="22"/>
          <w:szCs w:val="22"/>
          <w:lang w:val="es-ES_tradnl"/>
        </w:rPr>
        <w:t>121</w:t>
      </w:r>
      <w:r w:rsidR="00F47DEC">
        <w:rPr>
          <w:rFonts w:ascii="Arial" w:hAnsi="Arial" w:cs="Arial"/>
          <w:sz w:val="22"/>
          <w:szCs w:val="22"/>
          <w:lang w:val="es-ES_tradnl"/>
        </w:rPr>
        <w:t>.</w:t>
      </w:r>
      <w:r w:rsidR="00AE711D">
        <w:rPr>
          <w:rFonts w:ascii="Arial" w:hAnsi="Arial" w:cs="Arial"/>
          <w:sz w:val="22"/>
          <w:szCs w:val="22"/>
          <w:lang w:val="es-ES_tradnl"/>
        </w:rPr>
        <w:t>104</w:t>
      </w:r>
      <w:r w:rsidR="00F47DEC">
        <w:rPr>
          <w:rFonts w:ascii="Arial" w:hAnsi="Arial" w:cs="Arial"/>
          <w:sz w:val="22"/>
          <w:szCs w:val="22"/>
          <w:lang w:val="es-ES_tradnl"/>
        </w:rPr>
        <w:t>,</w:t>
      </w:r>
      <w:r w:rsidR="00AE711D">
        <w:rPr>
          <w:rFonts w:ascii="Arial" w:hAnsi="Arial" w:cs="Arial"/>
          <w:sz w:val="22"/>
          <w:szCs w:val="22"/>
          <w:lang w:val="es-ES_tradnl"/>
        </w:rPr>
        <w:t>69</w:t>
      </w:r>
      <w:r w:rsidR="00A74791">
        <w:rPr>
          <w:rFonts w:ascii="Arial" w:hAnsi="Arial" w:cs="Arial"/>
          <w:sz w:val="22"/>
          <w:szCs w:val="22"/>
          <w:lang w:val="es-ES_tradnl"/>
        </w:rPr>
        <w:t> </w:t>
      </w:r>
      <w:r w:rsidR="00D36D27" w:rsidRPr="009C0E1F">
        <w:rPr>
          <w:rFonts w:ascii="Arial" w:hAnsi="Arial" w:cs="Arial"/>
          <w:sz w:val="22"/>
          <w:szCs w:val="22"/>
          <w:lang w:val="es-ES_tradnl"/>
        </w:rPr>
        <w:t xml:space="preserve">millones de </w:t>
      </w:r>
      <w:r w:rsidR="00D73408">
        <w:rPr>
          <w:rFonts w:ascii="Arial" w:hAnsi="Arial" w:cs="Arial"/>
          <w:sz w:val="22"/>
          <w:szCs w:val="22"/>
          <w:lang w:val="es-ES_tradnl"/>
        </w:rPr>
        <w:t xml:space="preserve">recaudación </w:t>
      </w:r>
      <w:r w:rsidR="0022085A" w:rsidRPr="009C0E1F">
        <w:rPr>
          <w:rFonts w:ascii="Arial" w:hAnsi="Arial" w:cs="Arial"/>
          <w:sz w:val="22"/>
          <w:szCs w:val="22"/>
          <w:lang w:val="es-ES_tradnl"/>
        </w:rPr>
        <w:t xml:space="preserve">– </w:t>
      </w:r>
      <w:r w:rsidR="00AE711D">
        <w:rPr>
          <w:rFonts w:ascii="Arial" w:hAnsi="Arial" w:cs="Arial"/>
          <w:sz w:val="22"/>
          <w:szCs w:val="22"/>
          <w:lang w:val="es-ES_tradnl"/>
        </w:rPr>
        <w:t>123</w:t>
      </w:r>
      <w:r w:rsidR="00F47DEC">
        <w:rPr>
          <w:rFonts w:ascii="Arial" w:hAnsi="Arial" w:cs="Arial"/>
          <w:sz w:val="22"/>
          <w:szCs w:val="22"/>
          <w:lang w:val="es-ES_tradnl"/>
        </w:rPr>
        <w:t>.</w:t>
      </w:r>
      <w:r w:rsidR="00AE711D">
        <w:rPr>
          <w:rFonts w:ascii="Arial" w:hAnsi="Arial" w:cs="Arial"/>
          <w:sz w:val="22"/>
          <w:szCs w:val="22"/>
          <w:lang w:val="es-ES_tradnl"/>
        </w:rPr>
        <w:t>934</w:t>
      </w:r>
      <w:r w:rsidR="00F47DEC">
        <w:rPr>
          <w:rFonts w:ascii="Arial" w:hAnsi="Arial" w:cs="Arial"/>
          <w:sz w:val="22"/>
          <w:szCs w:val="22"/>
          <w:lang w:val="es-ES_tradnl"/>
        </w:rPr>
        <w:t>,</w:t>
      </w:r>
      <w:r w:rsidR="00AE711D">
        <w:rPr>
          <w:rFonts w:ascii="Arial" w:hAnsi="Arial" w:cs="Arial"/>
          <w:sz w:val="22"/>
          <w:szCs w:val="22"/>
          <w:lang w:val="es-ES_tradnl"/>
        </w:rPr>
        <w:t>47</w:t>
      </w:r>
      <w:r w:rsidR="00F47DEC">
        <w:rPr>
          <w:rFonts w:ascii="Arial" w:hAnsi="Arial" w:cs="Arial"/>
          <w:sz w:val="22"/>
          <w:szCs w:val="22"/>
          <w:lang w:val="es-ES_tradnl"/>
        </w:rPr>
        <w:t> </w:t>
      </w:r>
      <w:r w:rsidR="00D36D27" w:rsidRPr="009C0E1F">
        <w:rPr>
          <w:rFonts w:ascii="Arial" w:hAnsi="Arial" w:cs="Arial"/>
          <w:sz w:val="22"/>
          <w:szCs w:val="22"/>
          <w:lang w:val="es-ES_tradnl"/>
        </w:rPr>
        <w:t xml:space="preserve">millones de </w:t>
      </w:r>
      <w:r w:rsidR="00D73408">
        <w:rPr>
          <w:rFonts w:ascii="Arial" w:hAnsi="Arial" w:cs="Arial"/>
          <w:sz w:val="22"/>
          <w:szCs w:val="22"/>
          <w:lang w:val="es-ES_tradnl"/>
        </w:rPr>
        <w:t>recaudación</w:t>
      </w:r>
      <w:r w:rsidR="0090626A" w:rsidRPr="009C0E1F">
        <w:rPr>
          <w:rFonts w:ascii="Arial" w:hAnsi="Arial" w:cs="Arial"/>
          <w:sz w:val="22"/>
          <w:szCs w:val="22"/>
          <w:lang w:val="es-ES_tradnl"/>
        </w:rPr>
        <w:t>)</w:t>
      </w:r>
      <w:r w:rsidR="0022085A" w:rsidRPr="009C0E1F">
        <w:rPr>
          <w:rFonts w:ascii="Arial" w:hAnsi="Arial" w:cs="Arial"/>
          <w:sz w:val="22"/>
          <w:szCs w:val="22"/>
          <w:lang w:val="es-ES_tradnl"/>
        </w:rPr>
        <w:t xml:space="preserve"> = US$</w:t>
      </w:r>
      <w:r w:rsidR="00C301C7">
        <w:rPr>
          <w:rFonts w:ascii="Arial" w:hAnsi="Arial" w:cs="Arial"/>
          <w:sz w:val="22"/>
          <w:szCs w:val="22"/>
          <w:lang w:val="es-ES_tradnl"/>
        </w:rPr>
        <w:t>0</w:t>
      </w:r>
      <w:r w:rsidR="00F47DEC">
        <w:rPr>
          <w:rFonts w:ascii="Arial" w:hAnsi="Arial" w:cs="Arial"/>
          <w:sz w:val="22"/>
          <w:szCs w:val="22"/>
          <w:lang w:val="es-ES_tradnl"/>
        </w:rPr>
        <w:t>,</w:t>
      </w:r>
      <w:r w:rsidR="00C301C7">
        <w:rPr>
          <w:rFonts w:ascii="Arial" w:hAnsi="Arial" w:cs="Arial"/>
          <w:sz w:val="22"/>
          <w:szCs w:val="22"/>
          <w:lang w:val="es-ES_tradnl"/>
        </w:rPr>
        <w:t>00732</w:t>
      </w:r>
      <w:r w:rsidR="00160AC4">
        <w:rPr>
          <w:rFonts w:ascii="Arial" w:hAnsi="Arial" w:cs="Arial"/>
          <w:sz w:val="22"/>
          <w:szCs w:val="22"/>
          <w:lang w:val="es-ES_tradnl"/>
        </w:rPr>
        <w:t xml:space="preserve"> (ver Tabla 1)</w:t>
      </w:r>
      <w:r w:rsidR="0022085A" w:rsidRPr="009C0E1F">
        <w:rPr>
          <w:rFonts w:ascii="Arial" w:hAnsi="Arial" w:cs="Arial"/>
          <w:sz w:val="22"/>
          <w:szCs w:val="22"/>
          <w:lang w:val="es-ES_tradnl"/>
        </w:rPr>
        <w:t>.</w:t>
      </w:r>
    </w:p>
    <w:p w14:paraId="44D80A3E" w14:textId="012AD77E" w:rsidR="00160AC4" w:rsidRDefault="0022085A" w:rsidP="005D44DB">
      <w:pPr>
        <w:pStyle w:val="Paragraph"/>
        <w:numPr>
          <w:ilvl w:val="1"/>
          <w:numId w:val="2"/>
        </w:numPr>
        <w:tabs>
          <w:tab w:val="clear" w:pos="1296"/>
        </w:tabs>
        <w:ind w:left="720" w:hanging="720"/>
        <w:outlineLvl w:val="9"/>
        <w:rPr>
          <w:rFonts w:ascii="Arial" w:hAnsi="Arial" w:cs="Arial"/>
          <w:sz w:val="22"/>
          <w:szCs w:val="22"/>
          <w:lang w:val="es-ES_tradnl"/>
        </w:rPr>
      </w:pPr>
      <w:bookmarkStart w:id="13" w:name="_Hlk29236302"/>
      <w:r w:rsidRPr="009C0E1F">
        <w:rPr>
          <w:rFonts w:ascii="Arial" w:hAnsi="Arial" w:cs="Arial"/>
          <w:sz w:val="22"/>
          <w:szCs w:val="22"/>
          <w:lang w:val="es-ES_tradnl"/>
        </w:rPr>
        <w:t xml:space="preserve">La conclusión es </w:t>
      </w:r>
      <w:r w:rsidR="0090626A" w:rsidRPr="009C0E1F">
        <w:rPr>
          <w:rFonts w:ascii="Arial" w:hAnsi="Arial" w:cs="Arial"/>
          <w:sz w:val="22"/>
          <w:szCs w:val="22"/>
          <w:lang w:val="es-ES_tradnl"/>
        </w:rPr>
        <w:t>que,</w:t>
      </w:r>
      <w:r w:rsidRPr="009C0E1F">
        <w:rPr>
          <w:rFonts w:ascii="Arial" w:hAnsi="Arial" w:cs="Arial"/>
          <w:sz w:val="22"/>
          <w:szCs w:val="22"/>
          <w:lang w:val="es-ES_tradnl"/>
        </w:rPr>
        <w:t xml:space="preserve"> con </w:t>
      </w:r>
      <w:r w:rsidR="00834443" w:rsidRPr="009C0E1F">
        <w:rPr>
          <w:rFonts w:ascii="Arial" w:hAnsi="Arial" w:cs="Arial"/>
          <w:sz w:val="22"/>
          <w:szCs w:val="22"/>
          <w:lang w:val="es-ES_tradnl"/>
        </w:rPr>
        <w:t xml:space="preserve">la implementación del </w:t>
      </w:r>
      <w:r w:rsidRPr="009C0E1F">
        <w:rPr>
          <w:rFonts w:ascii="Arial" w:hAnsi="Arial" w:cs="Arial"/>
          <w:sz w:val="22"/>
          <w:szCs w:val="22"/>
          <w:lang w:val="es-ES_tradnl"/>
        </w:rPr>
        <w:t xml:space="preserve">proyecto, </w:t>
      </w:r>
      <w:r w:rsidR="00900FF8">
        <w:rPr>
          <w:rFonts w:ascii="Arial" w:hAnsi="Arial" w:cs="Arial"/>
          <w:sz w:val="22"/>
          <w:szCs w:val="22"/>
          <w:lang w:val="es-ES_tradnl"/>
        </w:rPr>
        <w:t>el SRI y el SENAE</w:t>
      </w:r>
      <w:r w:rsidRPr="009C0E1F">
        <w:rPr>
          <w:rFonts w:ascii="Arial" w:hAnsi="Arial" w:cs="Arial"/>
          <w:sz w:val="22"/>
          <w:szCs w:val="22"/>
          <w:lang w:val="es-ES_tradnl"/>
        </w:rPr>
        <w:t xml:space="preserve"> contará</w:t>
      </w:r>
      <w:r w:rsidR="00D73408">
        <w:rPr>
          <w:rFonts w:ascii="Arial" w:hAnsi="Arial" w:cs="Arial"/>
          <w:sz w:val="22"/>
          <w:szCs w:val="22"/>
          <w:lang w:val="es-ES_tradnl"/>
        </w:rPr>
        <w:t>n</w:t>
      </w:r>
      <w:r w:rsidRPr="009C0E1F">
        <w:rPr>
          <w:rFonts w:ascii="Arial" w:hAnsi="Arial" w:cs="Arial"/>
          <w:sz w:val="22"/>
          <w:szCs w:val="22"/>
          <w:lang w:val="es-ES_tradnl"/>
        </w:rPr>
        <w:t xml:space="preserve"> con una gestión </w:t>
      </w:r>
      <w:r w:rsidR="009A16AD">
        <w:rPr>
          <w:rFonts w:ascii="Arial" w:hAnsi="Arial" w:cs="Arial"/>
          <w:sz w:val="22"/>
          <w:szCs w:val="22"/>
          <w:lang w:val="es-ES_tradnl"/>
        </w:rPr>
        <w:t>tributaria y aduanera</w:t>
      </w:r>
      <w:r w:rsidRPr="009C0E1F">
        <w:rPr>
          <w:rFonts w:ascii="Arial" w:hAnsi="Arial" w:cs="Arial"/>
          <w:sz w:val="22"/>
          <w:szCs w:val="22"/>
          <w:lang w:val="es-ES_tradnl"/>
        </w:rPr>
        <w:t xml:space="preserve"> más efectiva que sin proyecto, </w:t>
      </w:r>
      <w:r w:rsidR="0090626A" w:rsidRPr="009C0E1F">
        <w:rPr>
          <w:rFonts w:ascii="Arial" w:hAnsi="Arial" w:cs="Arial"/>
          <w:sz w:val="22"/>
          <w:szCs w:val="22"/>
          <w:lang w:val="es-ES_tradnl"/>
        </w:rPr>
        <w:t>comprobado por la reducción del costo de TI</w:t>
      </w:r>
      <w:r w:rsidR="00D73408">
        <w:rPr>
          <w:rFonts w:ascii="Arial" w:hAnsi="Arial" w:cs="Arial"/>
          <w:sz w:val="22"/>
          <w:szCs w:val="22"/>
          <w:lang w:val="es-ES_tradnl"/>
        </w:rPr>
        <w:t xml:space="preserve"> y procesos de fiscalización</w:t>
      </w:r>
      <w:r w:rsidR="0090626A" w:rsidRPr="009C0E1F">
        <w:rPr>
          <w:rFonts w:ascii="Arial" w:hAnsi="Arial" w:cs="Arial"/>
          <w:sz w:val="22"/>
          <w:szCs w:val="22"/>
          <w:lang w:val="es-ES_tradnl"/>
        </w:rPr>
        <w:t xml:space="preserve"> para </w:t>
      </w:r>
      <w:r w:rsidR="00D73408">
        <w:rPr>
          <w:rFonts w:ascii="Arial" w:hAnsi="Arial" w:cs="Arial"/>
          <w:sz w:val="22"/>
          <w:szCs w:val="22"/>
          <w:lang w:val="es-ES_tradnl"/>
        </w:rPr>
        <w:t xml:space="preserve">generar un dólar </w:t>
      </w:r>
      <w:r w:rsidR="00B876F4">
        <w:rPr>
          <w:rFonts w:ascii="Arial" w:hAnsi="Arial" w:cs="Arial"/>
          <w:sz w:val="22"/>
          <w:szCs w:val="22"/>
          <w:lang w:val="es-ES_tradnl"/>
        </w:rPr>
        <w:t xml:space="preserve">adicional </w:t>
      </w:r>
      <w:r w:rsidR="00D73408">
        <w:rPr>
          <w:rFonts w:ascii="Arial" w:hAnsi="Arial" w:cs="Arial"/>
          <w:sz w:val="22"/>
          <w:szCs w:val="22"/>
          <w:lang w:val="es-ES_tradnl"/>
        </w:rPr>
        <w:t xml:space="preserve">de recaudación </w:t>
      </w:r>
      <w:r w:rsidR="0090626A" w:rsidRPr="009C0E1F">
        <w:rPr>
          <w:rFonts w:ascii="Arial" w:hAnsi="Arial" w:cs="Arial"/>
          <w:sz w:val="22"/>
          <w:szCs w:val="22"/>
          <w:lang w:val="es-ES_tradnl"/>
        </w:rPr>
        <w:t>de US$</w:t>
      </w:r>
      <w:r w:rsidR="00D73408">
        <w:rPr>
          <w:rFonts w:ascii="Arial" w:hAnsi="Arial" w:cs="Arial"/>
          <w:sz w:val="22"/>
          <w:szCs w:val="22"/>
          <w:lang w:val="es-ES_tradnl"/>
        </w:rPr>
        <w:t>0</w:t>
      </w:r>
      <w:r w:rsidR="009C1095">
        <w:rPr>
          <w:rFonts w:ascii="Arial" w:hAnsi="Arial" w:cs="Arial"/>
          <w:sz w:val="22"/>
          <w:szCs w:val="22"/>
          <w:lang w:val="es-ES_tradnl"/>
        </w:rPr>
        <w:t>,</w:t>
      </w:r>
      <w:r w:rsidR="00D92ACD">
        <w:rPr>
          <w:rFonts w:ascii="Arial" w:hAnsi="Arial" w:cs="Arial"/>
          <w:sz w:val="22"/>
          <w:szCs w:val="22"/>
          <w:lang w:val="es-ES_tradnl"/>
        </w:rPr>
        <w:t>0</w:t>
      </w:r>
      <w:r w:rsidR="00781197">
        <w:rPr>
          <w:rFonts w:ascii="Arial" w:hAnsi="Arial" w:cs="Arial"/>
          <w:sz w:val="22"/>
          <w:szCs w:val="22"/>
          <w:lang w:val="es-ES_tradnl"/>
        </w:rPr>
        <w:t>1</w:t>
      </w:r>
      <w:r w:rsidR="00AE711D">
        <w:rPr>
          <w:rFonts w:ascii="Arial" w:hAnsi="Arial" w:cs="Arial"/>
          <w:sz w:val="22"/>
          <w:szCs w:val="22"/>
          <w:lang w:val="es-ES_tradnl"/>
        </w:rPr>
        <w:t>015</w:t>
      </w:r>
      <w:r w:rsidR="000527F2" w:rsidRPr="009C0E1F">
        <w:rPr>
          <w:rFonts w:ascii="Arial" w:hAnsi="Arial" w:cs="Arial"/>
          <w:sz w:val="22"/>
          <w:szCs w:val="22"/>
          <w:lang w:val="es-ES_tradnl"/>
        </w:rPr>
        <w:t xml:space="preserve"> sin</w:t>
      </w:r>
      <w:r w:rsidR="00532D98" w:rsidRPr="009C0E1F">
        <w:rPr>
          <w:rFonts w:ascii="Arial" w:hAnsi="Arial" w:cs="Arial"/>
          <w:sz w:val="22"/>
          <w:szCs w:val="22"/>
          <w:lang w:val="es-ES_tradnl"/>
        </w:rPr>
        <w:t xml:space="preserve"> proyecto </w:t>
      </w:r>
      <w:r w:rsidR="0090626A" w:rsidRPr="009C0E1F">
        <w:rPr>
          <w:rFonts w:ascii="Arial" w:hAnsi="Arial" w:cs="Arial"/>
          <w:sz w:val="22"/>
          <w:szCs w:val="22"/>
          <w:lang w:val="es-ES_tradnl"/>
        </w:rPr>
        <w:t>para US$</w:t>
      </w:r>
      <w:r w:rsidR="00D73408">
        <w:rPr>
          <w:rFonts w:ascii="Arial" w:hAnsi="Arial" w:cs="Arial"/>
          <w:sz w:val="22"/>
          <w:szCs w:val="22"/>
          <w:lang w:val="es-ES_tradnl"/>
        </w:rPr>
        <w:t>0</w:t>
      </w:r>
      <w:r w:rsidR="009C1095">
        <w:rPr>
          <w:rFonts w:ascii="Arial" w:hAnsi="Arial" w:cs="Arial"/>
          <w:sz w:val="22"/>
          <w:szCs w:val="22"/>
          <w:lang w:val="es-ES_tradnl"/>
        </w:rPr>
        <w:t>,</w:t>
      </w:r>
      <w:r w:rsidR="007B6DDA">
        <w:rPr>
          <w:rFonts w:ascii="Arial" w:hAnsi="Arial" w:cs="Arial"/>
          <w:sz w:val="22"/>
          <w:szCs w:val="22"/>
          <w:lang w:val="es-ES_tradnl"/>
        </w:rPr>
        <w:t>01009</w:t>
      </w:r>
      <w:r w:rsidR="00B909E6" w:rsidRPr="009C0E1F">
        <w:rPr>
          <w:rFonts w:ascii="Arial" w:hAnsi="Arial" w:cs="Arial"/>
          <w:sz w:val="22"/>
          <w:szCs w:val="22"/>
          <w:lang w:val="es-ES_tradnl"/>
        </w:rPr>
        <w:t xml:space="preserve"> </w:t>
      </w:r>
      <w:r w:rsidR="00532D98" w:rsidRPr="009C0E1F">
        <w:rPr>
          <w:rFonts w:ascii="Arial" w:hAnsi="Arial" w:cs="Arial"/>
          <w:sz w:val="22"/>
          <w:szCs w:val="22"/>
          <w:lang w:val="es-ES_tradnl"/>
        </w:rPr>
        <w:t>con proyecto</w:t>
      </w:r>
      <w:r w:rsidR="0090626A" w:rsidRPr="009C0E1F">
        <w:rPr>
          <w:rFonts w:ascii="Arial" w:hAnsi="Arial" w:cs="Arial"/>
          <w:sz w:val="22"/>
          <w:szCs w:val="22"/>
          <w:lang w:val="es-ES_tradnl"/>
        </w:rPr>
        <w:t xml:space="preserve">. Adicionalmente, con el proyecto el costo para </w:t>
      </w:r>
      <w:r w:rsidR="00B876F4">
        <w:rPr>
          <w:rFonts w:ascii="Arial" w:hAnsi="Arial" w:cs="Arial"/>
          <w:sz w:val="22"/>
          <w:szCs w:val="22"/>
          <w:lang w:val="es-ES_tradnl"/>
        </w:rPr>
        <w:t>lograr</w:t>
      </w:r>
      <w:r w:rsidR="0090626A" w:rsidRPr="009C0E1F">
        <w:rPr>
          <w:rFonts w:ascii="Arial" w:hAnsi="Arial" w:cs="Arial"/>
          <w:sz w:val="22"/>
          <w:szCs w:val="22"/>
          <w:lang w:val="es-ES_tradnl"/>
        </w:rPr>
        <w:t xml:space="preserve"> un </w:t>
      </w:r>
      <w:r w:rsidR="004E7759" w:rsidRPr="009C0E1F">
        <w:rPr>
          <w:rFonts w:ascii="Arial" w:hAnsi="Arial" w:cs="Arial"/>
          <w:sz w:val="22"/>
          <w:szCs w:val="22"/>
          <w:lang w:val="es-ES_tradnl"/>
        </w:rPr>
        <w:t xml:space="preserve">nuevo </w:t>
      </w:r>
      <w:r w:rsidR="00D73408">
        <w:rPr>
          <w:rFonts w:ascii="Arial" w:hAnsi="Arial" w:cs="Arial"/>
          <w:sz w:val="22"/>
          <w:szCs w:val="22"/>
          <w:lang w:val="es-ES_tradnl"/>
        </w:rPr>
        <w:t xml:space="preserve">dólar de recaudación </w:t>
      </w:r>
      <w:r w:rsidR="0090626A" w:rsidRPr="009C0E1F">
        <w:rPr>
          <w:rFonts w:ascii="Arial" w:hAnsi="Arial" w:cs="Arial"/>
          <w:sz w:val="22"/>
          <w:szCs w:val="22"/>
          <w:lang w:val="es-ES_tradnl"/>
        </w:rPr>
        <w:t>será de apenas US$</w:t>
      </w:r>
      <w:r w:rsidR="007B6DDA">
        <w:rPr>
          <w:rFonts w:ascii="Arial" w:hAnsi="Arial" w:cs="Arial"/>
          <w:sz w:val="22"/>
          <w:szCs w:val="22"/>
          <w:lang w:val="es-ES_tradnl"/>
        </w:rPr>
        <w:t>0</w:t>
      </w:r>
      <w:r w:rsidR="009C1095">
        <w:rPr>
          <w:rFonts w:ascii="Arial" w:hAnsi="Arial" w:cs="Arial"/>
          <w:sz w:val="22"/>
          <w:szCs w:val="22"/>
          <w:lang w:val="es-ES_tradnl"/>
        </w:rPr>
        <w:t>,</w:t>
      </w:r>
      <w:r w:rsidR="007B6DDA">
        <w:rPr>
          <w:rFonts w:ascii="Arial" w:hAnsi="Arial" w:cs="Arial"/>
          <w:sz w:val="22"/>
          <w:szCs w:val="22"/>
          <w:lang w:val="es-ES_tradnl"/>
        </w:rPr>
        <w:t>00732</w:t>
      </w:r>
      <w:r w:rsidR="00160AC4">
        <w:rPr>
          <w:rFonts w:ascii="Arial" w:hAnsi="Arial" w:cs="Arial"/>
          <w:sz w:val="22"/>
          <w:szCs w:val="22"/>
          <w:lang w:val="es-ES_tradnl"/>
        </w:rPr>
        <w:t xml:space="preserve"> (ver Tabla 1)</w:t>
      </w:r>
      <w:r w:rsidR="00C24B29">
        <w:rPr>
          <w:rFonts w:ascii="Arial" w:hAnsi="Arial" w:cs="Arial"/>
          <w:sz w:val="22"/>
          <w:szCs w:val="22"/>
          <w:lang w:val="es-ES_tradnl"/>
        </w:rPr>
        <w:t>.</w:t>
      </w:r>
      <w:r w:rsidR="00982A92">
        <w:rPr>
          <w:rFonts w:ascii="Arial" w:hAnsi="Arial" w:cs="Arial"/>
          <w:sz w:val="22"/>
          <w:szCs w:val="22"/>
          <w:lang w:val="es-ES_tradnl"/>
        </w:rPr>
        <w:t xml:space="preserve"> </w:t>
      </w:r>
      <w:r w:rsidR="009A16AD">
        <w:rPr>
          <w:rFonts w:ascii="Arial" w:hAnsi="Arial" w:cs="Arial"/>
          <w:sz w:val="22"/>
          <w:szCs w:val="22"/>
          <w:lang w:val="es-ES_tradnl"/>
        </w:rPr>
        <w:t>Asimismo</w:t>
      </w:r>
      <w:r w:rsidR="00982A92">
        <w:rPr>
          <w:rFonts w:ascii="Arial" w:hAnsi="Arial" w:cs="Arial"/>
          <w:sz w:val="22"/>
          <w:szCs w:val="22"/>
          <w:lang w:val="es-ES_tradnl"/>
        </w:rPr>
        <w:t>, la simulación del programa muestra que en promedio la recaudación aumentaría 0</w:t>
      </w:r>
      <w:r w:rsidR="009C1095">
        <w:rPr>
          <w:rFonts w:ascii="Arial" w:hAnsi="Arial" w:cs="Arial"/>
          <w:sz w:val="22"/>
          <w:szCs w:val="22"/>
          <w:lang w:val="es-ES_tradnl"/>
        </w:rPr>
        <w:t>,</w:t>
      </w:r>
      <w:r w:rsidR="00AE711D">
        <w:rPr>
          <w:rFonts w:ascii="Arial" w:hAnsi="Arial" w:cs="Arial"/>
          <w:sz w:val="22"/>
          <w:szCs w:val="22"/>
          <w:lang w:val="es-ES_tradnl"/>
        </w:rPr>
        <w:t>36</w:t>
      </w:r>
      <w:r w:rsidR="00982A92">
        <w:rPr>
          <w:rFonts w:ascii="Arial" w:hAnsi="Arial" w:cs="Arial"/>
          <w:sz w:val="22"/>
          <w:szCs w:val="22"/>
          <w:lang w:val="es-ES_tradnl"/>
        </w:rPr>
        <w:t xml:space="preserve">% del PIB en recaudación adicional </w:t>
      </w:r>
      <w:r w:rsidR="009A16AD">
        <w:rPr>
          <w:rFonts w:ascii="Arial" w:hAnsi="Arial" w:cs="Arial"/>
          <w:sz w:val="22"/>
          <w:szCs w:val="22"/>
          <w:lang w:val="es-ES_tradnl"/>
        </w:rPr>
        <w:t xml:space="preserve">bajo los supuestos del escenario base </w:t>
      </w:r>
      <w:r w:rsidR="00982A92">
        <w:rPr>
          <w:rFonts w:ascii="Arial" w:hAnsi="Arial" w:cs="Arial"/>
          <w:sz w:val="22"/>
          <w:szCs w:val="22"/>
          <w:lang w:val="es-ES_tradnl"/>
        </w:rPr>
        <w:t>(ver Tablas en el anexo I).</w:t>
      </w:r>
    </w:p>
    <w:p w14:paraId="3BC80EC1" w14:textId="1A7E53C1" w:rsidR="00160AC4" w:rsidRDefault="009A16AD" w:rsidP="005D44DB">
      <w:pPr>
        <w:pStyle w:val="Paragraph"/>
        <w:numPr>
          <w:ilvl w:val="1"/>
          <w:numId w:val="2"/>
        </w:numPr>
        <w:tabs>
          <w:tab w:val="clear" w:pos="1296"/>
        </w:tabs>
        <w:ind w:left="720" w:hanging="720"/>
        <w:outlineLvl w:val="9"/>
        <w:rPr>
          <w:rFonts w:ascii="Arial" w:hAnsi="Arial" w:cs="Arial"/>
          <w:sz w:val="22"/>
          <w:szCs w:val="22"/>
          <w:lang w:val="es-ES_tradnl"/>
        </w:rPr>
      </w:pPr>
      <w:r>
        <w:rPr>
          <w:rFonts w:ascii="Arial" w:hAnsi="Arial" w:cs="Arial"/>
          <w:sz w:val="22"/>
          <w:szCs w:val="22"/>
          <w:lang w:val="es-ES_tradnl"/>
        </w:rPr>
        <w:t>Por aparte, s</w:t>
      </w:r>
      <w:r w:rsidR="00C24B29" w:rsidRPr="00160AC4">
        <w:rPr>
          <w:rFonts w:ascii="Arial" w:hAnsi="Arial" w:cs="Arial"/>
          <w:sz w:val="22"/>
          <w:szCs w:val="22"/>
          <w:lang w:val="es-ES_tradnl"/>
        </w:rPr>
        <w:t xml:space="preserve">e </w:t>
      </w:r>
      <w:r w:rsidR="007638C8" w:rsidRPr="00160AC4">
        <w:rPr>
          <w:rFonts w:ascii="Arial" w:hAnsi="Arial" w:cs="Arial"/>
          <w:sz w:val="22"/>
          <w:szCs w:val="22"/>
          <w:lang w:val="es-ES_tradnl"/>
        </w:rPr>
        <w:t>realizó</w:t>
      </w:r>
      <w:r w:rsidR="00B87228" w:rsidRPr="00160AC4">
        <w:rPr>
          <w:rFonts w:ascii="Arial" w:hAnsi="Arial" w:cs="Arial"/>
          <w:sz w:val="22"/>
          <w:szCs w:val="22"/>
          <w:lang w:val="es-ES_tradnl"/>
        </w:rPr>
        <w:t xml:space="preserve"> un</w:t>
      </w:r>
      <w:r w:rsidR="00C24B29" w:rsidRPr="00160AC4">
        <w:rPr>
          <w:rFonts w:ascii="Arial" w:hAnsi="Arial" w:cs="Arial"/>
          <w:sz w:val="22"/>
          <w:szCs w:val="22"/>
          <w:lang w:val="es-ES_tradnl"/>
        </w:rPr>
        <w:t xml:space="preserve"> análisis de sensibilidad para determinar cuál </w:t>
      </w:r>
      <w:r w:rsidR="00C24B29" w:rsidRPr="00EA63D1">
        <w:rPr>
          <w:rFonts w:ascii="Arial" w:hAnsi="Arial" w:cs="Arial"/>
          <w:sz w:val="22"/>
          <w:szCs w:val="22"/>
          <w:u w:val="single"/>
          <w:lang w:val="es-ES_tradnl"/>
        </w:rPr>
        <w:t>sería el mínimo porcentaje de recaudación adicional del SRI y el SENAE</w:t>
      </w:r>
      <w:r w:rsidR="00C24B29" w:rsidRPr="00EA63D1">
        <w:rPr>
          <w:rFonts w:ascii="Arial" w:hAnsi="Arial" w:cs="Arial"/>
          <w:sz w:val="22"/>
          <w:szCs w:val="22"/>
          <w:lang w:val="es-ES_tradnl"/>
        </w:rPr>
        <w:t xml:space="preserve"> respecto a la línea base que se requiere para que el costo / efectividad del programa se mantenga en los mi</w:t>
      </w:r>
      <w:r w:rsidR="00160AC4" w:rsidRPr="00EA63D1">
        <w:rPr>
          <w:rFonts w:ascii="Arial" w:hAnsi="Arial" w:cs="Arial"/>
          <w:sz w:val="22"/>
          <w:szCs w:val="22"/>
          <w:lang w:val="es-ES_tradnl"/>
        </w:rPr>
        <w:t>s</w:t>
      </w:r>
      <w:r w:rsidR="00C24B29" w:rsidRPr="00EA63D1">
        <w:rPr>
          <w:rFonts w:ascii="Arial" w:hAnsi="Arial" w:cs="Arial"/>
          <w:sz w:val="22"/>
          <w:szCs w:val="22"/>
          <w:lang w:val="es-ES_tradnl"/>
        </w:rPr>
        <w:t xml:space="preserve">mos niveles que el costo / efectividad sin programa. </w:t>
      </w:r>
      <w:r w:rsidR="00C24B29" w:rsidRPr="00EA63D1">
        <w:rPr>
          <w:rFonts w:ascii="Arial" w:hAnsi="Arial" w:cs="Arial"/>
          <w:sz w:val="22"/>
          <w:szCs w:val="22"/>
          <w:u w:val="single"/>
          <w:lang w:val="es-ES_tradnl"/>
        </w:rPr>
        <w:t xml:space="preserve">Los resultados del análisis muestran que para que esto ocurra se necesita un incremento de la recaudación del SRI de </w:t>
      </w:r>
      <w:r w:rsidR="00C36BD9">
        <w:rPr>
          <w:rFonts w:ascii="Arial" w:hAnsi="Arial" w:cs="Arial"/>
          <w:sz w:val="22"/>
          <w:szCs w:val="22"/>
          <w:u w:val="single"/>
          <w:lang w:val="es-ES_tradnl"/>
        </w:rPr>
        <w:t>1</w:t>
      </w:r>
      <w:r w:rsidR="009C1095">
        <w:rPr>
          <w:rFonts w:ascii="Arial" w:hAnsi="Arial" w:cs="Arial"/>
          <w:sz w:val="22"/>
          <w:szCs w:val="22"/>
          <w:u w:val="single"/>
          <w:lang w:val="es-ES_tradnl"/>
        </w:rPr>
        <w:t>,</w:t>
      </w:r>
      <w:r w:rsidR="00C36BD9">
        <w:rPr>
          <w:rFonts w:ascii="Arial" w:hAnsi="Arial" w:cs="Arial"/>
          <w:sz w:val="22"/>
          <w:szCs w:val="22"/>
          <w:u w:val="single"/>
          <w:lang w:val="es-ES_tradnl"/>
        </w:rPr>
        <w:t>70</w:t>
      </w:r>
      <w:r w:rsidR="00C24B29" w:rsidRPr="00EA63D1">
        <w:rPr>
          <w:rFonts w:ascii="Arial" w:hAnsi="Arial" w:cs="Arial"/>
          <w:sz w:val="22"/>
          <w:szCs w:val="22"/>
          <w:u w:val="single"/>
          <w:lang w:val="es-ES_tradnl"/>
        </w:rPr>
        <w:t xml:space="preserve">% y de </w:t>
      </w:r>
      <w:r w:rsidR="00CC7DDD">
        <w:rPr>
          <w:rFonts w:ascii="Arial" w:hAnsi="Arial" w:cs="Arial"/>
          <w:sz w:val="22"/>
          <w:szCs w:val="22"/>
          <w:u w:val="single"/>
          <w:lang w:val="es-ES_tradnl"/>
        </w:rPr>
        <w:t>2</w:t>
      </w:r>
      <w:r w:rsidR="009C1095">
        <w:rPr>
          <w:rFonts w:ascii="Arial" w:hAnsi="Arial" w:cs="Arial"/>
          <w:sz w:val="22"/>
          <w:szCs w:val="22"/>
          <w:u w:val="single"/>
          <w:lang w:val="es-ES_tradnl"/>
        </w:rPr>
        <w:t>,8</w:t>
      </w:r>
      <w:r w:rsidR="00CC7DDD">
        <w:rPr>
          <w:rFonts w:ascii="Arial" w:hAnsi="Arial" w:cs="Arial"/>
          <w:sz w:val="22"/>
          <w:szCs w:val="22"/>
          <w:u w:val="single"/>
          <w:lang w:val="es-ES_tradnl"/>
        </w:rPr>
        <w:t>5</w:t>
      </w:r>
      <w:r w:rsidR="00C24B29" w:rsidRPr="00EA63D1">
        <w:rPr>
          <w:rFonts w:ascii="Arial" w:hAnsi="Arial" w:cs="Arial"/>
          <w:sz w:val="22"/>
          <w:szCs w:val="22"/>
          <w:u w:val="single"/>
          <w:lang w:val="es-ES_tradnl"/>
        </w:rPr>
        <w:t>% en el caso del SENAE</w:t>
      </w:r>
      <w:r w:rsidR="00160AC4" w:rsidRPr="00160AC4">
        <w:rPr>
          <w:rFonts w:ascii="Arial" w:hAnsi="Arial" w:cs="Arial"/>
          <w:sz w:val="22"/>
          <w:szCs w:val="22"/>
          <w:lang w:val="es-ES_tradnl"/>
        </w:rPr>
        <w:t xml:space="preserve"> (ver Tabla </w:t>
      </w:r>
      <w:r w:rsidR="00382487">
        <w:rPr>
          <w:rFonts w:ascii="Arial" w:hAnsi="Arial" w:cs="Arial"/>
          <w:sz w:val="22"/>
          <w:szCs w:val="22"/>
          <w:lang w:val="es-ES_tradnl"/>
        </w:rPr>
        <w:t>2</w:t>
      </w:r>
      <w:r w:rsidR="00160AC4" w:rsidRPr="00160AC4">
        <w:rPr>
          <w:rFonts w:ascii="Arial" w:hAnsi="Arial" w:cs="Arial"/>
          <w:sz w:val="22"/>
          <w:szCs w:val="22"/>
          <w:lang w:val="es-ES_tradnl"/>
        </w:rPr>
        <w:t>)</w:t>
      </w:r>
      <w:r w:rsidR="00C24B29" w:rsidRPr="00160AC4">
        <w:rPr>
          <w:rFonts w:ascii="Arial" w:hAnsi="Arial" w:cs="Arial"/>
          <w:sz w:val="22"/>
          <w:szCs w:val="22"/>
          <w:lang w:val="es-ES_tradnl"/>
        </w:rPr>
        <w:t>.</w:t>
      </w:r>
      <w:bookmarkEnd w:id="13"/>
    </w:p>
    <w:p w14:paraId="42D81682" w14:textId="51B1E3D2" w:rsidR="00531889" w:rsidRPr="00160AC4" w:rsidRDefault="00CC7DDD" w:rsidP="005D44DB">
      <w:pPr>
        <w:pStyle w:val="Paragraph"/>
        <w:numPr>
          <w:ilvl w:val="1"/>
          <w:numId w:val="0"/>
        </w:numPr>
        <w:outlineLvl w:val="9"/>
        <w:rPr>
          <w:rFonts w:ascii="Arial" w:hAnsi="Arial" w:cs="Arial"/>
          <w:sz w:val="22"/>
          <w:szCs w:val="22"/>
          <w:lang w:val="es-ES_tradnl"/>
        </w:rPr>
      </w:pPr>
      <w:r w:rsidRPr="00CC7DDD">
        <w:rPr>
          <w:noProof/>
        </w:rPr>
        <w:lastRenderedPageBreak/>
        <w:drawing>
          <wp:inline distT="0" distB="0" distL="0" distR="0" wp14:anchorId="426166D0" wp14:editId="1DC9A9AF">
            <wp:extent cx="5786120" cy="2209165"/>
            <wp:effectExtent l="0" t="0" r="5080" b="635"/>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86120" cy="2209165"/>
                    </a:xfrm>
                    <a:prstGeom prst="rect">
                      <a:avLst/>
                    </a:prstGeom>
                    <a:noFill/>
                    <a:ln>
                      <a:noFill/>
                    </a:ln>
                  </pic:spPr>
                </pic:pic>
              </a:graphicData>
            </a:graphic>
          </wp:inline>
        </w:drawing>
      </w:r>
    </w:p>
    <w:p w14:paraId="713A7789" w14:textId="6F996B97" w:rsidR="007F34D5" w:rsidRDefault="00B722A8" w:rsidP="005D44DB">
      <w:pPr>
        <w:pStyle w:val="Paragraph"/>
        <w:numPr>
          <w:ilvl w:val="1"/>
          <w:numId w:val="2"/>
        </w:numPr>
        <w:tabs>
          <w:tab w:val="clear" w:pos="1296"/>
        </w:tabs>
        <w:ind w:left="720" w:hanging="720"/>
        <w:outlineLvl w:val="9"/>
        <w:rPr>
          <w:rFonts w:ascii="Arial" w:hAnsi="Arial" w:cs="Arial"/>
          <w:sz w:val="22"/>
          <w:szCs w:val="22"/>
          <w:lang w:val="es-ES_tradnl"/>
        </w:rPr>
        <w:sectPr w:rsidR="007F34D5">
          <w:pgSz w:w="11906" w:h="16838"/>
          <w:pgMar w:top="994" w:right="1440" w:bottom="1166" w:left="1354" w:header="720" w:footer="720" w:gutter="0"/>
          <w:cols w:space="720"/>
          <w:docGrid w:linePitch="360"/>
        </w:sectPr>
      </w:pPr>
      <w:bookmarkStart w:id="14" w:name="_Hlk66195304"/>
      <w:r>
        <w:rPr>
          <w:rFonts w:ascii="Arial" w:hAnsi="Arial" w:cs="Arial"/>
          <w:sz w:val="22"/>
          <w:szCs w:val="22"/>
          <w:lang w:val="es-ES_tradnl"/>
        </w:rPr>
        <w:t xml:space="preserve">Adicionalmente se hizo un análisis de sensibilidad respecto al impacto de la reducción de costos del presupuesto original. En este caso el objetivo fue determinar el mínimo porcentaje de reducción de costos como porcentaje del presupuesto que se necesita para mantener los niveles que el </w:t>
      </w:r>
      <w:r w:rsidRPr="000C1826">
        <w:rPr>
          <w:rFonts w:ascii="Arial" w:hAnsi="Arial" w:cs="Arial"/>
          <w:sz w:val="22"/>
          <w:szCs w:val="22"/>
          <w:lang w:val="es-ES_tradnl"/>
        </w:rPr>
        <w:t>costo /</w:t>
      </w:r>
      <w:r>
        <w:rPr>
          <w:rFonts w:ascii="Arial" w:hAnsi="Arial" w:cs="Arial"/>
          <w:sz w:val="22"/>
          <w:szCs w:val="22"/>
          <w:lang w:val="es-ES_tradnl"/>
        </w:rPr>
        <w:t xml:space="preserve"> efectividad sin programa. En este caso los resultados del análisis muestran que para esto ocurra se necesita que la reducción de costos del S</w:t>
      </w:r>
      <w:r w:rsidR="007F34D5">
        <w:rPr>
          <w:rFonts w:ascii="Arial" w:hAnsi="Arial" w:cs="Arial"/>
          <w:sz w:val="22"/>
          <w:szCs w:val="22"/>
          <w:lang w:val="es-ES_tradnl"/>
        </w:rPr>
        <w:t>RI</w:t>
      </w:r>
      <w:r>
        <w:rPr>
          <w:rFonts w:ascii="Arial" w:hAnsi="Arial" w:cs="Arial"/>
          <w:sz w:val="22"/>
          <w:szCs w:val="22"/>
          <w:lang w:val="es-ES_tradnl"/>
        </w:rPr>
        <w:t xml:space="preserve"> respecto a su </w:t>
      </w:r>
      <w:r w:rsidR="00382487">
        <w:rPr>
          <w:rFonts w:ascii="Arial" w:hAnsi="Arial" w:cs="Arial"/>
          <w:sz w:val="22"/>
          <w:szCs w:val="22"/>
          <w:lang w:val="es-ES_tradnl"/>
        </w:rPr>
        <w:t>presupuesto</w:t>
      </w:r>
      <w:r>
        <w:rPr>
          <w:rFonts w:ascii="Arial" w:hAnsi="Arial" w:cs="Arial"/>
          <w:sz w:val="22"/>
          <w:szCs w:val="22"/>
          <w:lang w:val="es-ES_tradnl"/>
        </w:rPr>
        <w:t xml:space="preserve"> original sea de </w:t>
      </w:r>
      <w:r w:rsidR="00086AE3">
        <w:rPr>
          <w:rFonts w:ascii="Arial" w:hAnsi="Arial" w:cs="Arial"/>
          <w:sz w:val="22"/>
          <w:szCs w:val="22"/>
          <w:lang w:val="es-ES_tradnl"/>
        </w:rPr>
        <w:t>3.3</w:t>
      </w:r>
      <w:r>
        <w:rPr>
          <w:rFonts w:ascii="Arial" w:hAnsi="Arial" w:cs="Arial"/>
          <w:sz w:val="22"/>
          <w:szCs w:val="22"/>
          <w:lang w:val="es-ES_tradnl"/>
        </w:rPr>
        <w:t xml:space="preserve">% y en el caso del SENAE de </w:t>
      </w:r>
      <w:r w:rsidR="00E84311">
        <w:rPr>
          <w:rFonts w:ascii="Arial" w:hAnsi="Arial" w:cs="Arial"/>
          <w:sz w:val="22"/>
          <w:szCs w:val="22"/>
          <w:lang w:val="es-ES_tradnl"/>
        </w:rPr>
        <w:t>1.2</w:t>
      </w:r>
      <w:r>
        <w:rPr>
          <w:rFonts w:ascii="Arial" w:hAnsi="Arial" w:cs="Arial"/>
          <w:sz w:val="22"/>
          <w:szCs w:val="22"/>
          <w:lang w:val="es-ES_tradnl"/>
        </w:rPr>
        <w:t>% (ver Tabla</w:t>
      </w:r>
      <w:r w:rsidR="000C1826">
        <w:rPr>
          <w:rFonts w:ascii="Arial" w:hAnsi="Arial" w:cs="Arial"/>
          <w:sz w:val="22"/>
          <w:szCs w:val="22"/>
          <w:lang w:val="es-ES_tradnl"/>
        </w:rPr>
        <w:t> </w:t>
      </w:r>
      <w:r w:rsidR="00711F3A">
        <w:rPr>
          <w:rFonts w:ascii="Arial" w:hAnsi="Arial" w:cs="Arial"/>
          <w:sz w:val="22"/>
          <w:szCs w:val="22"/>
          <w:lang w:val="es-ES_tradnl"/>
        </w:rPr>
        <w:t>3</w:t>
      </w:r>
      <w:r>
        <w:rPr>
          <w:rFonts w:ascii="Arial" w:hAnsi="Arial" w:cs="Arial"/>
          <w:sz w:val="22"/>
          <w:szCs w:val="22"/>
          <w:lang w:val="es-ES_tradnl"/>
        </w:rPr>
        <w:t>)</w:t>
      </w:r>
    </w:p>
    <w:p w14:paraId="4AC1FBC3" w14:textId="7213BA21" w:rsidR="001267C3" w:rsidRDefault="001267C3" w:rsidP="005D44DB">
      <w:pPr>
        <w:pStyle w:val="Paragraph"/>
        <w:numPr>
          <w:ilvl w:val="0"/>
          <w:numId w:val="0"/>
        </w:numPr>
        <w:outlineLvl w:val="9"/>
        <w:rPr>
          <w:rFonts w:ascii="Arial" w:hAnsi="Arial" w:cs="Arial"/>
          <w:sz w:val="22"/>
          <w:szCs w:val="22"/>
          <w:lang w:val="es-ES_tradnl"/>
        </w:rPr>
      </w:pPr>
      <w:r w:rsidRPr="001267C3">
        <w:rPr>
          <w:noProof/>
        </w:rPr>
        <w:drawing>
          <wp:inline distT="0" distB="0" distL="0" distR="0" wp14:anchorId="413A121F" wp14:editId="0F658E2C">
            <wp:extent cx="5786120" cy="2244090"/>
            <wp:effectExtent l="0" t="0" r="5080" b="381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86120" cy="2244090"/>
                    </a:xfrm>
                    <a:prstGeom prst="rect">
                      <a:avLst/>
                    </a:prstGeom>
                    <a:noFill/>
                    <a:ln>
                      <a:noFill/>
                    </a:ln>
                  </pic:spPr>
                </pic:pic>
              </a:graphicData>
            </a:graphic>
          </wp:inline>
        </w:drawing>
      </w:r>
    </w:p>
    <w:p w14:paraId="62250634" w14:textId="75F0B882" w:rsidR="00711F3A" w:rsidRDefault="00722440" w:rsidP="005D44DB">
      <w:pPr>
        <w:pStyle w:val="Paragraph"/>
        <w:numPr>
          <w:ilvl w:val="1"/>
          <w:numId w:val="2"/>
        </w:numPr>
        <w:tabs>
          <w:tab w:val="clear" w:pos="1296"/>
        </w:tabs>
        <w:ind w:left="720" w:hanging="720"/>
        <w:outlineLvl w:val="9"/>
        <w:rPr>
          <w:rFonts w:ascii="Arial" w:hAnsi="Arial" w:cs="Arial"/>
          <w:sz w:val="22"/>
          <w:szCs w:val="22"/>
          <w:lang w:val="es-ES_tradnl"/>
        </w:rPr>
      </w:pPr>
      <w:bookmarkStart w:id="15" w:name="_Hlk66268971"/>
      <w:r>
        <w:rPr>
          <w:rFonts w:ascii="Arial" w:hAnsi="Arial" w:cs="Arial"/>
          <w:sz w:val="22"/>
          <w:szCs w:val="22"/>
          <w:lang w:val="es-ES_tradnl"/>
        </w:rPr>
        <w:t>También</w:t>
      </w:r>
      <w:r w:rsidR="00711F3A">
        <w:rPr>
          <w:rFonts w:ascii="Arial" w:hAnsi="Arial" w:cs="Arial"/>
          <w:sz w:val="22"/>
          <w:szCs w:val="22"/>
          <w:lang w:val="es-ES_tradnl"/>
        </w:rPr>
        <w:t xml:space="preserve"> se hicieron análisis de sensibilidad de los efectos combinados de reducción de recaudación y reducción de costos</w:t>
      </w:r>
      <w:r w:rsidR="00C941D1">
        <w:rPr>
          <w:rFonts w:ascii="Arial" w:hAnsi="Arial" w:cs="Arial"/>
          <w:sz w:val="22"/>
          <w:szCs w:val="22"/>
          <w:lang w:val="es-ES_tradnl"/>
        </w:rPr>
        <w:t xml:space="preserve"> y el impacto del COVID</w:t>
      </w:r>
      <w:r w:rsidR="00EB0F15">
        <w:rPr>
          <w:rFonts w:ascii="Arial" w:hAnsi="Arial" w:cs="Arial"/>
          <w:sz w:val="22"/>
          <w:szCs w:val="22"/>
          <w:lang w:val="es-ES_tradnl"/>
        </w:rPr>
        <w:t>-</w:t>
      </w:r>
      <w:r w:rsidR="00C941D1">
        <w:rPr>
          <w:rFonts w:ascii="Arial" w:hAnsi="Arial" w:cs="Arial"/>
          <w:sz w:val="22"/>
          <w:szCs w:val="22"/>
          <w:lang w:val="es-ES_tradnl"/>
        </w:rPr>
        <w:t>19 en la recaudación adicional</w:t>
      </w:r>
      <w:r w:rsidR="00711F3A">
        <w:rPr>
          <w:rFonts w:ascii="Arial" w:hAnsi="Arial" w:cs="Arial"/>
          <w:sz w:val="22"/>
          <w:szCs w:val="22"/>
          <w:lang w:val="es-ES_tradnl"/>
        </w:rPr>
        <w:t xml:space="preserve">. Los resultados de estas simulaciones que no se reportan en este informe por razones de espacio indican que el resultado del programa es </w:t>
      </w:r>
      <w:r w:rsidR="00B96FF1">
        <w:rPr>
          <w:rFonts w:ascii="Arial" w:hAnsi="Arial" w:cs="Arial"/>
          <w:sz w:val="22"/>
          <w:szCs w:val="22"/>
          <w:lang w:val="es-ES_tradnl"/>
        </w:rPr>
        <w:t>más</w:t>
      </w:r>
      <w:r w:rsidR="00711F3A">
        <w:rPr>
          <w:rFonts w:ascii="Arial" w:hAnsi="Arial" w:cs="Arial"/>
          <w:sz w:val="22"/>
          <w:szCs w:val="22"/>
          <w:lang w:val="es-ES_tradnl"/>
        </w:rPr>
        <w:t xml:space="preserve"> sensible a aumentos o disminuciones de las metas de recaudación que a la </w:t>
      </w:r>
      <w:r w:rsidR="00B96FF1">
        <w:rPr>
          <w:rFonts w:ascii="Arial" w:hAnsi="Arial" w:cs="Arial"/>
          <w:sz w:val="22"/>
          <w:szCs w:val="22"/>
          <w:lang w:val="es-ES_tradnl"/>
        </w:rPr>
        <w:t>reducción o</w:t>
      </w:r>
      <w:r w:rsidR="00711F3A">
        <w:rPr>
          <w:rFonts w:ascii="Arial" w:hAnsi="Arial" w:cs="Arial"/>
          <w:sz w:val="22"/>
          <w:szCs w:val="22"/>
          <w:lang w:val="es-ES_tradnl"/>
        </w:rPr>
        <w:t xml:space="preserve"> aumento de costos.</w:t>
      </w:r>
      <w:r w:rsidR="00C941D1">
        <w:rPr>
          <w:rFonts w:ascii="Arial" w:hAnsi="Arial" w:cs="Arial"/>
          <w:sz w:val="22"/>
          <w:szCs w:val="22"/>
          <w:lang w:val="es-ES_tradnl"/>
        </w:rPr>
        <w:t xml:space="preserve"> En el caso del COVID</w:t>
      </w:r>
      <w:r w:rsidR="00EB0F15">
        <w:rPr>
          <w:rFonts w:ascii="Arial" w:hAnsi="Arial" w:cs="Arial"/>
          <w:sz w:val="22"/>
          <w:szCs w:val="22"/>
          <w:lang w:val="es-ES_tradnl"/>
        </w:rPr>
        <w:t>-</w:t>
      </w:r>
      <w:r w:rsidR="00C941D1">
        <w:rPr>
          <w:rFonts w:ascii="Arial" w:hAnsi="Arial" w:cs="Arial"/>
          <w:sz w:val="22"/>
          <w:szCs w:val="22"/>
          <w:lang w:val="es-ES_tradnl"/>
        </w:rPr>
        <w:t>19, el escenario base asume una recuperación lenta de la recaudación, una aceleración de la recuperación contribuye a mejor los resultados del programa.</w:t>
      </w:r>
    </w:p>
    <w:p w14:paraId="111B59F8" w14:textId="2B74E892" w:rsidR="00F10D9A" w:rsidRPr="009C0E1F" w:rsidRDefault="007E781F" w:rsidP="005D44DB">
      <w:pPr>
        <w:pStyle w:val="Chapter"/>
        <w:numPr>
          <w:ilvl w:val="0"/>
          <w:numId w:val="2"/>
        </w:numPr>
        <w:tabs>
          <w:tab w:val="clear" w:pos="1440"/>
          <w:tab w:val="clear" w:pos="1800"/>
        </w:tabs>
        <w:ind w:left="0" w:hanging="14"/>
        <w:outlineLvl w:val="0"/>
        <w:rPr>
          <w:rFonts w:ascii="Arial" w:hAnsi="Arial" w:cs="Arial"/>
          <w:bCs/>
          <w:sz w:val="22"/>
          <w:szCs w:val="22"/>
          <w:lang w:val="es-ES_tradnl"/>
        </w:rPr>
      </w:pPr>
      <w:bookmarkStart w:id="16" w:name="_Toc30183890"/>
      <w:bookmarkEnd w:id="14"/>
      <w:bookmarkEnd w:id="15"/>
      <w:r w:rsidRPr="009C0E1F">
        <w:rPr>
          <w:rFonts w:ascii="Arial" w:hAnsi="Arial" w:cs="Arial"/>
          <w:sz w:val="22"/>
          <w:szCs w:val="22"/>
          <w:lang w:val="es-ES_tradnl"/>
        </w:rPr>
        <w:t>Antecedentes</w:t>
      </w:r>
      <w:r w:rsidRPr="009C0E1F">
        <w:rPr>
          <w:rFonts w:ascii="Arial" w:hAnsi="Arial" w:cs="Arial"/>
          <w:b w:val="0"/>
          <w:sz w:val="22"/>
          <w:szCs w:val="22"/>
          <w:lang w:val="es-ES_tradnl"/>
        </w:rPr>
        <w:t>.</w:t>
      </w:r>
      <w:bookmarkEnd w:id="16"/>
    </w:p>
    <w:p w14:paraId="09B026CB" w14:textId="03FB6223" w:rsidR="004016D7" w:rsidRDefault="0077697A" w:rsidP="005D44DB">
      <w:pPr>
        <w:pStyle w:val="Paragraph"/>
        <w:numPr>
          <w:ilvl w:val="1"/>
          <w:numId w:val="2"/>
        </w:numPr>
        <w:tabs>
          <w:tab w:val="clear" w:pos="1296"/>
        </w:tabs>
        <w:ind w:left="720" w:hanging="720"/>
        <w:outlineLvl w:val="9"/>
        <w:rPr>
          <w:rFonts w:ascii="Arial" w:hAnsi="Arial" w:cs="Arial"/>
          <w:color w:val="000000" w:themeColor="text1"/>
          <w:sz w:val="22"/>
          <w:szCs w:val="22"/>
          <w:lang w:val="es-ES_tradnl"/>
        </w:rPr>
      </w:pPr>
      <w:r w:rsidRPr="009C0E1F">
        <w:rPr>
          <w:rFonts w:ascii="Arial" w:hAnsi="Arial" w:cs="Arial"/>
          <w:color w:val="000000" w:themeColor="text1"/>
          <w:sz w:val="22"/>
          <w:szCs w:val="22"/>
          <w:lang w:val="es-ES_tradnl"/>
        </w:rPr>
        <w:t>L</w:t>
      </w:r>
      <w:r w:rsidR="00FB1468">
        <w:rPr>
          <w:rFonts w:ascii="Arial" w:hAnsi="Arial" w:cs="Arial"/>
          <w:color w:val="000000" w:themeColor="text1"/>
          <w:sz w:val="22"/>
          <w:szCs w:val="22"/>
          <w:lang w:val="es-ES_tradnl"/>
        </w:rPr>
        <w:t>os servicios de rentas internas</w:t>
      </w:r>
      <w:r w:rsidR="00900FF8">
        <w:rPr>
          <w:rFonts w:ascii="Arial" w:hAnsi="Arial" w:cs="Arial"/>
          <w:color w:val="000000" w:themeColor="text1"/>
          <w:sz w:val="22"/>
          <w:szCs w:val="22"/>
          <w:lang w:val="es-ES_tradnl"/>
        </w:rPr>
        <w:t xml:space="preserve"> (SRI)</w:t>
      </w:r>
      <w:r w:rsidR="00FB1468">
        <w:rPr>
          <w:rFonts w:ascii="Arial" w:hAnsi="Arial" w:cs="Arial"/>
          <w:color w:val="000000" w:themeColor="text1"/>
          <w:sz w:val="22"/>
          <w:szCs w:val="22"/>
          <w:lang w:val="es-ES_tradnl"/>
        </w:rPr>
        <w:t xml:space="preserve"> y aduanas</w:t>
      </w:r>
      <w:r w:rsidR="00900FF8">
        <w:rPr>
          <w:rFonts w:ascii="Arial" w:hAnsi="Arial" w:cs="Arial"/>
          <w:color w:val="000000" w:themeColor="text1"/>
          <w:sz w:val="22"/>
          <w:szCs w:val="22"/>
          <w:lang w:val="es-ES_tradnl"/>
        </w:rPr>
        <w:t xml:space="preserve"> (SENAE) del Ecuador son unidades</w:t>
      </w:r>
      <w:r w:rsidRPr="009C0E1F">
        <w:rPr>
          <w:rFonts w:ascii="Arial" w:hAnsi="Arial" w:cs="Arial"/>
          <w:color w:val="222222"/>
          <w:sz w:val="22"/>
          <w:szCs w:val="22"/>
          <w:shd w:val="clear" w:color="auto" w:fill="FFFFFF"/>
        </w:rPr>
        <w:t xml:space="preserve"> administrativa</w:t>
      </w:r>
      <w:r w:rsidR="00900FF8">
        <w:rPr>
          <w:rFonts w:ascii="Arial" w:hAnsi="Arial" w:cs="Arial"/>
          <w:color w:val="222222"/>
          <w:sz w:val="22"/>
          <w:szCs w:val="22"/>
          <w:shd w:val="clear" w:color="auto" w:fill="FFFFFF"/>
        </w:rPr>
        <w:t>s</w:t>
      </w:r>
      <w:r w:rsidRPr="009C0E1F">
        <w:rPr>
          <w:rFonts w:ascii="Arial" w:hAnsi="Arial" w:cs="Arial"/>
          <w:color w:val="222222"/>
          <w:sz w:val="22"/>
          <w:szCs w:val="22"/>
          <w:shd w:val="clear" w:color="auto" w:fill="FFFFFF"/>
        </w:rPr>
        <w:t xml:space="preserve"> especial</w:t>
      </w:r>
      <w:r w:rsidR="00900FF8">
        <w:rPr>
          <w:rFonts w:ascii="Arial" w:hAnsi="Arial" w:cs="Arial"/>
          <w:color w:val="222222"/>
          <w:sz w:val="22"/>
          <w:szCs w:val="22"/>
          <w:shd w:val="clear" w:color="auto" w:fill="FFFFFF"/>
        </w:rPr>
        <w:t>es</w:t>
      </w:r>
      <w:r w:rsidRPr="009C0E1F">
        <w:rPr>
          <w:rFonts w:ascii="Arial" w:hAnsi="Arial" w:cs="Arial"/>
          <w:color w:val="222222"/>
          <w:sz w:val="22"/>
          <w:szCs w:val="22"/>
          <w:shd w:val="clear" w:color="auto" w:fill="FFFFFF"/>
        </w:rPr>
        <w:t xml:space="preserve"> del Estado </w:t>
      </w:r>
      <w:r w:rsidR="00EB3F8E">
        <w:rPr>
          <w:rFonts w:ascii="Arial" w:hAnsi="Arial" w:cs="Arial"/>
          <w:color w:val="222222"/>
          <w:sz w:val="22"/>
          <w:szCs w:val="22"/>
          <w:shd w:val="clear" w:color="auto" w:fill="FFFFFF"/>
        </w:rPr>
        <w:t>Ecua</w:t>
      </w:r>
      <w:r w:rsidR="00900FF8">
        <w:rPr>
          <w:rFonts w:ascii="Arial" w:hAnsi="Arial" w:cs="Arial"/>
          <w:color w:val="222222"/>
          <w:sz w:val="22"/>
          <w:szCs w:val="22"/>
          <w:shd w:val="clear" w:color="auto" w:fill="FFFFFF"/>
        </w:rPr>
        <w:t>toriano</w:t>
      </w:r>
      <w:r w:rsidRPr="009C0E1F">
        <w:rPr>
          <w:rFonts w:ascii="Arial" w:hAnsi="Arial" w:cs="Arial"/>
          <w:color w:val="222222"/>
          <w:sz w:val="22"/>
          <w:szCs w:val="22"/>
          <w:shd w:val="clear" w:color="auto" w:fill="FFFFFF"/>
        </w:rPr>
        <w:t xml:space="preserve"> cuyo objetivo es </w:t>
      </w:r>
      <w:r w:rsidRPr="009C0E1F">
        <w:rPr>
          <w:rFonts w:ascii="Arial" w:hAnsi="Arial" w:cs="Arial"/>
          <w:color w:val="000000" w:themeColor="text1"/>
          <w:sz w:val="22"/>
          <w:szCs w:val="22"/>
          <w:lang w:val="es-ES_tradnl"/>
        </w:rPr>
        <w:t>garantizar la seguridad fiscal me</w:t>
      </w:r>
      <w:r w:rsidR="00B876F4">
        <w:rPr>
          <w:rFonts w:ascii="Arial" w:hAnsi="Arial" w:cs="Arial"/>
          <w:color w:val="000000" w:themeColor="text1"/>
          <w:sz w:val="22"/>
          <w:szCs w:val="22"/>
          <w:lang w:val="es-ES_tradnl"/>
        </w:rPr>
        <w:t>diante</w:t>
      </w:r>
      <w:r w:rsidRPr="009C0E1F">
        <w:rPr>
          <w:rFonts w:ascii="Arial" w:hAnsi="Arial" w:cs="Arial"/>
          <w:color w:val="000000" w:themeColor="text1"/>
          <w:sz w:val="22"/>
          <w:szCs w:val="22"/>
          <w:lang w:val="es-ES_tradnl"/>
        </w:rPr>
        <w:t xml:space="preserve"> la administración y control del debido cumplimiento de las obligaciones tributarias, aduaneras, y la facilitación de las operaciones de</w:t>
      </w:r>
      <w:r w:rsidR="00FF1D00">
        <w:rPr>
          <w:rFonts w:ascii="Arial" w:hAnsi="Arial" w:cs="Arial"/>
          <w:color w:val="000000" w:themeColor="text1"/>
          <w:sz w:val="22"/>
          <w:szCs w:val="22"/>
          <w:lang w:val="es-ES_tradnl"/>
        </w:rPr>
        <w:t xml:space="preserve"> </w:t>
      </w:r>
      <w:r w:rsidRPr="009C0E1F">
        <w:rPr>
          <w:rFonts w:ascii="Arial" w:hAnsi="Arial" w:cs="Arial"/>
          <w:color w:val="000000" w:themeColor="text1"/>
          <w:sz w:val="22"/>
          <w:szCs w:val="22"/>
          <w:lang w:val="es-ES_tradnl"/>
        </w:rPr>
        <w:t xml:space="preserve">comercio exterior. </w:t>
      </w:r>
      <w:r w:rsidR="00900FF8">
        <w:rPr>
          <w:rFonts w:ascii="Arial" w:hAnsi="Arial" w:cs="Arial"/>
          <w:color w:val="000000" w:themeColor="text1"/>
          <w:sz w:val="22"/>
          <w:szCs w:val="22"/>
          <w:lang w:val="es-ES_tradnl"/>
        </w:rPr>
        <w:t>El SRI y el SENAE cumplen</w:t>
      </w:r>
      <w:r w:rsidRPr="009C0E1F">
        <w:rPr>
          <w:rFonts w:ascii="Arial" w:hAnsi="Arial" w:cs="Arial"/>
          <w:color w:val="000000" w:themeColor="text1"/>
          <w:sz w:val="22"/>
          <w:szCs w:val="22"/>
          <w:lang w:val="es-ES_tradnl"/>
        </w:rPr>
        <w:t xml:space="preserve"> un rol fundamental en la captación de ingresos </w:t>
      </w:r>
      <w:r w:rsidRPr="009C0E1F">
        <w:rPr>
          <w:rFonts w:ascii="Arial" w:hAnsi="Arial" w:cs="Arial"/>
          <w:color w:val="000000" w:themeColor="text1"/>
          <w:sz w:val="22"/>
          <w:szCs w:val="22"/>
          <w:lang w:val="es-ES_tradnl"/>
        </w:rPr>
        <w:lastRenderedPageBreak/>
        <w:t xml:space="preserve">del sector público, ya que </w:t>
      </w:r>
      <w:r w:rsidR="009A16AD">
        <w:rPr>
          <w:rFonts w:ascii="Arial" w:hAnsi="Arial" w:cs="Arial"/>
          <w:color w:val="000000" w:themeColor="text1"/>
          <w:sz w:val="22"/>
          <w:szCs w:val="22"/>
          <w:lang w:val="es-ES_tradnl"/>
        </w:rPr>
        <w:t>son</w:t>
      </w:r>
      <w:r w:rsidRPr="009C0E1F">
        <w:rPr>
          <w:rFonts w:ascii="Arial" w:hAnsi="Arial" w:cs="Arial"/>
          <w:color w:val="000000" w:themeColor="text1"/>
          <w:sz w:val="22"/>
          <w:szCs w:val="22"/>
          <w:lang w:val="es-ES_tradnl"/>
        </w:rPr>
        <w:t xml:space="preserve"> responsable</w:t>
      </w:r>
      <w:r w:rsidR="009A16AD">
        <w:rPr>
          <w:rFonts w:ascii="Arial" w:hAnsi="Arial" w:cs="Arial"/>
          <w:color w:val="000000" w:themeColor="text1"/>
          <w:sz w:val="22"/>
          <w:szCs w:val="22"/>
          <w:lang w:val="es-ES_tradnl"/>
        </w:rPr>
        <w:t>s</w:t>
      </w:r>
      <w:r w:rsidRPr="009C0E1F">
        <w:rPr>
          <w:rFonts w:ascii="Arial" w:hAnsi="Arial" w:cs="Arial"/>
          <w:color w:val="000000" w:themeColor="text1"/>
          <w:sz w:val="22"/>
          <w:szCs w:val="22"/>
          <w:lang w:val="es-ES_tradnl"/>
        </w:rPr>
        <w:t xml:space="preserve"> de dos tercios de los ingresos del gobierno general</w:t>
      </w:r>
      <w:r w:rsidRPr="009C0E1F">
        <w:rPr>
          <w:rStyle w:val="FootnoteReference"/>
          <w:rFonts w:ascii="Arial" w:hAnsi="Arial" w:cs="Arial"/>
          <w:color w:val="000000" w:themeColor="text1"/>
          <w:sz w:val="22"/>
          <w:szCs w:val="22"/>
          <w:lang w:val="es-ES_tradnl"/>
        </w:rPr>
        <w:footnoteReference w:id="10"/>
      </w:r>
      <w:r w:rsidR="00FF1D00">
        <w:rPr>
          <w:rFonts w:ascii="Arial" w:hAnsi="Arial" w:cs="Arial"/>
          <w:color w:val="000000" w:themeColor="text1"/>
          <w:sz w:val="22"/>
          <w:szCs w:val="22"/>
          <w:lang w:val="es-ES_tradnl"/>
        </w:rPr>
        <w:t xml:space="preserve">. </w:t>
      </w:r>
    </w:p>
    <w:p w14:paraId="75D4B625" w14:textId="6F870DBF" w:rsidR="004E7759" w:rsidRPr="004016D7" w:rsidRDefault="0077697A" w:rsidP="005D44DB">
      <w:pPr>
        <w:pStyle w:val="Paragraph"/>
        <w:numPr>
          <w:ilvl w:val="1"/>
          <w:numId w:val="2"/>
        </w:numPr>
        <w:tabs>
          <w:tab w:val="clear" w:pos="1296"/>
        </w:tabs>
        <w:ind w:left="720" w:hanging="720"/>
        <w:outlineLvl w:val="9"/>
        <w:rPr>
          <w:rFonts w:ascii="Arial" w:hAnsi="Arial" w:cs="Arial"/>
          <w:color w:val="000000" w:themeColor="text1"/>
          <w:sz w:val="22"/>
          <w:szCs w:val="22"/>
          <w:lang w:val="es-ES_tradnl"/>
        </w:rPr>
      </w:pPr>
      <w:r w:rsidRPr="004016D7">
        <w:rPr>
          <w:rFonts w:ascii="Arial" w:hAnsi="Arial" w:cs="Arial"/>
          <w:color w:val="000000" w:themeColor="text1"/>
          <w:sz w:val="22"/>
          <w:szCs w:val="22"/>
          <w:lang w:val="es-ES_tradnl"/>
        </w:rPr>
        <w:t xml:space="preserve">Tanto a nivel de administración tributaria como aduanera, </w:t>
      </w:r>
      <w:r w:rsidR="00900FF8">
        <w:rPr>
          <w:rFonts w:ascii="Arial" w:hAnsi="Arial" w:cs="Arial"/>
          <w:color w:val="000000" w:themeColor="text1"/>
          <w:sz w:val="22"/>
          <w:szCs w:val="22"/>
          <w:lang w:val="es-ES_tradnl"/>
        </w:rPr>
        <w:t>el SRI y el SENAE</w:t>
      </w:r>
      <w:r w:rsidRPr="004016D7">
        <w:rPr>
          <w:rFonts w:ascii="Arial" w:hAnsi="Arial" w:cs="Arial"/>
          <w:color w:val="000000" w:themeColor="text1"/>
          <w:sz w:val="22"/>
          <w:szCs w:val="22"/>
          <w:lang w:val="es-ES_tradnl"/>
        </w:rPr>
        <w:t xml:space="preserve"> enfrenta</w:t>
      </w:r>
      <w:r w:rsidR="00900FF8">
        <w:rPr>
          <w:rFonts w:ascii="Arial" w:hAnsi="Arial" w:cs="Arial"/>
          <w:color w:val="000000" w:themeColor="text1"/>
          <w:sz w:val="22"/>
          <w:szCs w:val="22"/>
          <w:lang w:val="es-ES_tradnl"/>
        </w:rPr>
        <w:t>n</w:t>
      </w:r>
      <w:r w:rsidRPr="004016D7">
        <w:rPr>
          <w:rFonts w:ascii="Arial" w:hAnsi="Arial" w:cs="Arial"/>
          <w:color w:val="000000" w:themeColor="text1"/>
          <w:sz w:val="22"/>
          <w:szCs w:val="22"/>
          <w:lang w:val="es-ES_tradnl"/>
        </w:rPr>
        <w:t xml:space="preserve"> retos en su capacidad institucional. En materia tributaria, estos retos inciden en el bajo nivel de recaudo.</w:t>
      </w:r>
      <w:r w:rsidRPr="009C0E1F">
        <w:rPr>
          <w:rStyle w:val="FootnoteReference"/>
          <w:rFonts w:ascii="Arial" w:hAnsi="Arial" w:cs="Arial"/>
          <w:color w:val="000000" w:themeColor="text1"/>
          <w:sz w:val="22"/>
          <w:szCs w:val="22"/>
          <w:lang w:val="es-ES_tradnl"/>
        </w:rPr>
        <w:footnoteReference w:id="11"/>
      </w:r>
      <w:r w:rsidRPr="004016D7">
        <w:rPr>
          <w:rFonts w:ascii="Arial" w:hAnsi="Arial" w:cs="Arial"/>
          <w:color w:val="000000" w:themeColor="text1"/>
          <w:sz w:val="22"/>
          <w:szCs w:val="22"/>
          <w:lang w:val="es-ES_tradnl"/>
        </w:rPr>
        <w:t xml:space="preserve"> Mientras que la recaudación promedio del Gobierno Central fue de </w:t>
      </w:r>
      <w:r w:rsidR="001F0EB5">
        <w:rPr>
          <w:rFonts w:ascii="Arial" w:hAnsi="Arial" w:cs="Arial"/>
          <w:color w:val="000000" w:themeColor="text1"/>
          <w:sz w:val="22"/>
          <w:szCs w:val="22"/>
          <w:lang w:val="es-ES_tradnl"/>
        </w:rPr>
        <w:t>14.3</w:t>
      </w:r>
      <w:r w:rsidRPr="004016D7">
        <w:rPr>
          <w:rFonts w:ascii="Arial" w:hAnsi="Arial" w:cs="Arial"/>
          <w:color w:val="000000" w:themeColor="text1"/>
          <w:sz w:val="22"/>
          <w:szCs w:val="22"/>
          <w:lang w:val="es-ES_tradnl"/>
        </w:rPr>
        <w:t>% del PIB entre 2014 y 2018, el promedio de América Latina fue de 15.5%.</w:t>
      </w:r>
      <w:r w:rsidRPr="009C0E1F">
        <w:rPr>
          <w:rStyle w:val="FootnoteReference"/>
          <w:rFonts w:ascii="Arial" w:hAnsi="Arial" w:cs="Arial"/>
          <w:color w:val="000000" w:themeColor="text1"/>
          <w:sz w:val="22"/>
          <w:szCs w:val="22"/>
          <w:lang w:val="es-ES_tradnl"/>
        </w:rPr>
        <w:footnoteReference w:id="12"/>
      </w:r>
      <w:r w:rsidRPr="004016D7">
        <w:rPr>
          <w:rFonts w:ascii="Arial" w:hAnsi="Arial" w:cs="Arial"/>
          <w:color w:val="000000" w:themeColor="text1"/>
          <w:sz w:val="22"/>
          <w:szCs w:val="22"/>
          <w:lang w:val="es-ES_tradnl"/>
        </w:rPr>
        <w:t xml:space="preserve"> Adicionalmente, existen altos costos de cumplimiento tributario, que llevan a que </w:t>
      </w:r>
      <w:r w:rsidR="00EB3F8E">
        <w:rPr>
          <w:rFonts w:ascii="Arial" w:hAnsi="Arial" w:cs="Arial"/>
          <w:color w:val="000000" w:themeColor="text1"/>
          <w:sz w:val="22"/>
          <w:szCs w:val="22"/>
          <w:lang w:val="es-ES_tradnl"/>
        </w:rPr>
        <w:t>Ecuador</w:t>
      </w:r>
      <w:r w:rsidRPr="004016D7">
        <w:rPr>
          <w:rFonts w:ascii="Arial" w:hAnsi="Arial" w:cs="Arial"/>
          <w:color w:val="000000" w:themeColor="text1"/>
          <w:sz w:val="22"/>
          <w:szCs w:val="22"/>
          <w:lang w:val="es-ES_tradnl"/>
        </w:rPr>
        <w:t xml:space="preserve"> ocupe la posición </w:t>
      </w:r>
      <w:r w:rsidR="00D70DD6">
        <w:rPr>
          <w:rFonts w:ascii="Arial" w:hAnsi="Arial" w:cs="Arial"/>
          <w:color w:val="000000" w:themeColor="text1"/>
          <w:sz w:val="22"/>
          <w:szCs w:val="22"/>
          <w:lang w:val="es-ES_tradnl"/>
        </w:rPr>
        <w:t xml:space="preserve">139 </w:t>
      </w:r>
      <w:r w:rsidRPr="004016D7">
        <w:rPr>
          <w:rFonts w:ascii="Arial" w:hAnsi="Arial" w:cs="Arial"/>
          <w:color w:val="000000" w:themeColor="text1"/>
          <w:sz w:val="22"/>
          <w:szCs w:val="22"/>
          <w:lang w:val="es-ES_tradnl"/>
        </w:rPr>
        <w:t>de 189 países en un ranking de facilidad de pagar impuestos</w:t>
      </w:r>
      <w:r w:rsidRPr="009C0E1F">
        <w:rPr>
          <w:rStyle w:val="FootnoteReference"/>
          <w:rFonts w:ascii="Arial" w:hAnsi="Arial" w:cs="Arial"/>
          <w:color w:val="000000" w:themeColor="text1"/>
          <w:sz w:val="22"/>
          <w:szCs w:val="22"/>
          <w:lang w:val="es-ES_tradnl"/>
        </w:rPr>
        <w:footnoteReference w:id="13"/>
      </w:r>
      <w:r w:rsidR="00FF1D00">
        <w:rPr>
          <w:rFonts w:ascii="Arial" w:hAnsi="Arial" w:cs="Arial"/>
          <w:color w:val="000000" w:themeColor="text1"/>
          <w:sz w:val="22"/>
          <w:szCs w:val="22"/>
          <w:lang w:val="es-ES_tradnl"/>
        </w:rPr>
        <w:t>.</w:t>
      </w:r>
      <w:r w:rsidRPr="004016D7">
        <w:rPr>
          <w:rFonts w:ascii="Arial" w:hAnsi="Arial" w:cs="Arial"/>
          <w:color w:val="000000" w:themeColor="text1"/>
          <w:sz w:val="22"/>
          <w:szCs w:val="22"/>
          <w:lang w:val="es-ES_tradnl"/>
        </w:rPr>
        <w:t xml:space="preserve"> En materia de administración aduanera, existen ineficiencias en los procesos de despacho de las mercancías que, sumado a los altos costos logísticos, llevan a que </w:t>
      </w:r>
      <w:r w:rsidR="00EB3F8E">
        <w:rPr>
          <w:rFonts w:ascii="Arial" w:hAnsi="Arial" w:cs="Arial"/>
          <w:color w:val="000000" w:themeColor="text1"/>
          <w:sz w:val="22"/>
          <w:szCs w:val="22"/>
          <w:lang w:val="es-ES_tradnl"/>
        </w:rPr>
        <w:t>Ecuador</w:t>
      </w:r>
      <w:r w:rsidRPr="004016D7">
        <w:rPr>
          <w:rFonts w:ascii="Arial" w:hAnsi="Arial" w:cs="Arial"/>
          <w:color w:val="000000" w:themeColor="text1"/>
          <w:sz w:val="22"/>
          <w:szCs w:val="22"/>
          <w:lang w:val="es-ES_tradnl"/>
        </w:rPr>
        <w:t xml:space="preserve"> ocupe el puesto </w:t>
      </w:r>
      <w:r w:rsidR="00194DF7">
        <w:rPr>
          <w:rFonts w:ascii="Arial" w:hAnsi="Arial" w:cs="Arial"/>
          <w:color w:val="000000" w:themeColor="text1"/>
          <w:sz w:val="22"/>
          <w:szCs w:val="22"/>
          <w:lang w:val="es-ES_tradnl"/>
        </w:rPr>
        <w:t>130</w:t>
      </w:r>
      <w:r w:rsidRPr="004016D7">
        <w:rPr>
          <w:rFonts w:ascii="Arial" w:hAnsi="Arial" w:cs="Arial"/>
          <w:color w:val="000000" w:themeColor="text1"/>
          <w:sz w:val="22"/>
          <w:szCs w:val="22"/>
          <w:lang w:val="es-ES_tradnl"/>
        </w:rPr>
        <w:t xml:space="preserve"> de 14</w:t>
      </w:r>
      <w:r w:rsidR="00194DF7">
        <w:rPr>
          <w:rFonts w:ascii="Arial" w:hAnsi="Arial" w:cs="Arial"/>
          <w:color w:val="000000" w:themeColor="text1"/>
          <w:sz w:val="22"/>
          <w:szCs w:val="22"/>
          <w:lang w:val="es-ES_tradnl"/>
        </w:rPr>
        <w:t>1</w:t>
      </w:r>
      <w:r w:rsidRPr="004016D7">
        <w:rPr>
          <w:rFonts w:ascii="Arial" w:hAnsi="Arial" w:cs="Arial"/>
          <w:color w:val="000000" w:themeColor="text1"/>
          <w:sz w:val="22"/>
          <w:szCs w:val="22"/>
          <w:lang w:val="es-ES_tradnl"/>
        </w:rPr>
        <w:t xml:space="preserve"> en el ranking de competitividad del Foro Económico Mundial</w:t>
      </w:r>
      <w:r w:rsidR="008542EE">
        <w:rPr>
          <w:rStyle w:val="FootnoteReference"/>
          <w:rFonts w:ascii="Arial" w:hAnsi="Arial" w:cs="Arial"/>
          <w:color w:val="000000" w:themeColor="text1"/>
          <w:sz w:val="22"/>
          <w:szCs w:val="22"/>
          <w:lang w:val="es-ES_tradnl"/>
        </w:rPr>
        <w:footnoteReference w:id="14"/>
      </w:r>
      <w:r w:rsidRPr="004016D7">
        <w:rPr>
          <w:rFonts w:ascii="Arial" w:hAnsi="Arial" w:cs="Arial"/>
          <w:color w:val="000000" w:themeColor="text1"/>
          <w:sz w:val="22"/>
          <w:szCs w:val="22"/>
          <w:lang w:val="es-ES_tradnl"/>
        </w:rPr>
        <w:t xml:space="preserve">. Adicionalmente, las formalidades regulatorias incrementan los costos y tiempos promedios de exportación e importación. </w:t>
      </w:r>
      <w:r w:rsidR="00194DF7">
        <w:rPr>
          <w:rFonts w:ascii="Arial" w:hAnsi="Arial" w:cs="Arial"/>
          <w:sz w:val="22"/>
          <w:szCs w:val="22"/>
          <w:lang w:val="es-ES_tradnl"/>
        </w:rPr>
        <w:t>Adicionalmente, e</w:t>
      </w:r>
      <w:r w:rsidR="00194DF7" w:rsidRPr="00EE56F7">
        <w:rPr>
          <w:rFonts w:ascii="Arial" w:hAnsi="Arial" w:cs="Arial"/>
          <w:sz w:val="22"/>
          <w:szCs w:val="22"/>
          <w:lang w:val="es-ES_tradnl"/>
        </w:rPr>
        <w:t>l costo promedio para importar asociado a formalidades regulatorias es de US$1</w:t>
      </w:r>
      <w:r w:rsidR="00194DF7">
        <w:rPr>
          <w:rFonts w:ascii="Arial" w:hAnsi="Arial" w:cs="Arial"/>
          <w:sz w:val="22"/>
          <w:szCs w:val="22"/>
          <w:lang w:val="es-ES_tradnl"/>
        </w:rPr>
        <w:t>.</w:t>
      </w:r>
      <w:r w:rsidR="00194DF7" w:rsidRPr="00EE56F7">
        <w:rPr>
          <w:rFonts w:ascii="Arial" w:hAnsi="Arial" w:cs="Arial"/>
          <w:sz w:val="22"/>
          <w:szCs w:val="22"/>
          <w:lang w:val="es-ES_tradnl"/>
        </w:rPr>
        <w:t>000</w:t>
      </w:r>
      <w:r w:rsidR="00194DF7">
        <w:rPr>
          <w:rFonts w:ascii="Arial" w:hAnsi="Arial" w:cs="Arial"/>
          <w:sz w:val="22"/>
          <w:szCs w:val="22"/>
          <w:lang w:val="es-ES_tradnl"/>
        </w:rPr>
        <w:t>,</w:t>
      </w:r>
      <w:r w:rsidR="00194DF7" w:rsidRPr="00EE56F7">
        <w:rPr>
          <w:rFonts w:ascii="Arial" w:hAnsi="Arial" w:cs="Arial"/>
          <w:sz w:val="22"/>
          <w:szCs w:val="22"/>
          <w:lang w:val="es-ES_tradnl"/>
        </w:rPr>
        <w:t xml:space="preserve"> mientras que </w:t>
      </w:r>
      <w:r w:rsidR="00194DF7">
        <w:rPr>
          <w:rFonts w:ascii="Arial" w:hAnsi="Arial" w:cs="Arial"/>
          <w:sz w:val="22"/>
          <w:szCs w:val="22"/>
          <w:lang w:val="es-ES_tradnl"/>
        </w:rPr>
        <w:t xml:space="preserve">en </w:t>
      </w:r>
      <w:r w:rsidR="00194DF7" w:rsidRPr="00EE56F7">
        <w:rPr>
          <w:rFonts w:ascii="Arial" w:hAnsi="Arial" w:cs="Arial"/>
          <w:sz w:val="22"/>
          <w:szCs w:val="22"/>
          <w:lang w:val="es-ES_tradnl"/>
        </w:rPr>
        <w:t>Colombia y México es US</w:t>
      </w:r>
      <w:r w:rsidR="00194DF7">
        <w:rPr>
          <w:rFonts w:ascii="Arial" w:hAnsi="Arial" w:cs="Arial"/>
          <w:sz w:val="22"/>
          <w:szCs w:val="22"/>
          <w:lang w:val="es-ES_tradnl"/>
        </w:rPr>
        <w:t>$</w:t>
      </w:r>
      <w:r w:rsidR="00194DF7" w:rsidRPr="00EE56F7">
        <w:rPr>
          <w:rFonts w:ascii="Arial" w:hAnsi="Arial" w:cs="Arial"/>
          <w:sz w:val="22"/>
          <w:szCs w:val="22"/>
          <w:lang w:val="es-ES_tradnl"/>
        </w:rPr>
        <w:t>545 y US</w:t>
      </w:r>
      <w:r w:rsidR="00194DF7">
        <w:rPr>
          <w:rFonts w:ascii="Arial" w:hAnsi="Arial" w:cs="Arial"/>
          <w:sz w:val="22"/>
          <w:szCs w:val="22"/>
          <w:lang w:val="es-ES_tradnl"/>
        </w:rPr>
        <w:t>$</w:t>
      </w:r>
      <w:r w:rsidR="00194DF7" w:rsidRPr="00EE56F7">
        <w:rPr>
          <w:rFonts w:ascii="Arial" w:hAnsi="Arial" w:cs="Arial"/>
          <w:sz w:val="22"/>
          <w:szCs w:val="22"/>
          <w:lang w:val="es-ES_tradnl"/>
        </w:rPr>
        <w:t>460, respectivamente</w:t>
      </w:r>
    </w:p>
    <w:p w14:paraId="7C5C9915" w14:textId="1EB533A8" w:rsidR="004E7759" w:rsidRPr="009C0E1F" w:rsidRDefault="00474661" w:rsidP="005D44DB">
      <w:pPr>
        <w:pStyle w:val="Paragraph"/>
        <w:numPr>
          <w:ilvl w:val="1"/>
          <w:numId w:val="2"/>
        </w:numPr>
        <w:tabs>
          <w:tab w:val="clear" w:pos="1296"/>
        </w:tabs>
        <w:ind w:left="720" w:hanging="720"/>
        <w:outlineLvl w:val="9"/>
        <w:rPr>
          <w:rFonts w:ascii="Arial" w:hAnsi="Arial" w:cs="Arial"/>
          <w:color w:val="000000" w:themeColor="text1"/>
          <w:sz w:val="22"/>
          <w:szCs w:val="22"/>
          <w:lang w:val="es-ES_tradnl"/>
        </w:rPr>
      </w:pPr>
      <w:r w:rsidRPr="009C0E1F">
        <w:rPr>
          <w:rFonts w:ascii="Arial" w:hAnsi="Arial" w:cs="Arial"/>
          <w:color w:val="000000" w:themeColor="text1"/>
          <w:sz w:val="22"/>
          <w:szCs w:val="22"/>
          <w:lang w:val="es-ES_tradnl"/>
        </w:rPr>
        <w:t xml:space="preserve">Para mejorar la gestión tributaria y aduanera, </w:t>
      </w:r>
      <w:r w:rsidR="00900FF8">
        <w:rPr>
          <w:rFonts w:ascii="Arial" w:hAnsi="Arial" w:cs="Arial"/>
          <w:color w:val="000000" w:themeColor="text1"/>
          <w:sz w:val="22"/>
          <w:szCs w:val="22"/>
          <w:lang w:val="es-ES_tradnl"/>
        </w:rPr>
        <w:t>el SRI y el SENAE</w:t>
      </w:r>
      <w:r w:rsidRPr="009C0E1F">
        <w:rPr>
          <w:rFonts w:ascii="Arial" w:hAnsi="Arial" w:cs="Arial"/>
          <w:color w:val="000000" w:themeColor="text1"/>
          <w:sz w:val="22"/>
          <w:szCs w:val="22"/>
          <w:lang w:val="es-ES_tradnl"/>
        </w:rPr>
        <w:t xml:space="preserve"> ha</w:t>
      </w:r>
      <w:r w:rsidR="00900FF8">
        <w:rPr>
          <w:rFonts w:ascii="Arial" w:hAnsi="Arial" w:cs="Arial"/>
          <w:color w:val="000000" w:themeColor="text1"/>
          <w:sz w:val="22"/>
          <w:szCs w:val="22"/>
          <w:lang w:val="es-ES_tradnl"/>
        </w:rPr>
        <w:t>n</w:t>
      </w:r>
      <w:r w:rsidRPr="009C0E1F">
        <w:rPr>
          <w:rFonts w:ascii="Arial" w:hAnsi="Arial" w:cs="Arial"/>
          <w:color w:val="000000" w:themeColor="text1"/>
          <w:sz w:val="22"/>
          <w:szCs w:val="22"/>
          <w:lang w:val="es-ES_tradnl"/>
        </w:rPr>
        <w:t xml:space="preserve"> venido realizando esfuerzos entre los que destacan las mejoras en el modelo de facturación en base a riesgo, la modernización de la gestión de cobranza, el diseño e implementación de la factura electrónica (FE)</w:t>
      </w:r>
      <w:r w:rsidR="0054340B">
        <w:rPr>
          <w:rStyle w:val="FootnoteReference"/>
          <w:rFonts w:ascii="Arial" w:hAnsi="Arial" w:cs="Arial"/>
          <w:color w:val="000000" w:themeColor="text1"/>
          <w:sz w:val="22"/>
          <w:szCs w:val="22"/>
          <w:lang w:val="es-ES_tradnl"/>
        </w:rPr>
        <w:footnoteReference w:id="15"/>
      </w:r>
      <w:r w:rsidRPr="009C0E1F">
        <w:rPr>
          <w:rFonts w:ascii="Arial" w:hAnsi="Arial" w:cs="Arial"/>
          <w:color w:val="000000" w:themeColor="text1"/>
          <w:sz w:val="22"/>
          <w:szCs w:val="22"/>
          <w:lang w:val="es-ES_tradnl"/>
        </w:rPr>
        <w:t xml:space="preserve"> A pesar de estos esfuerzos, </w:t>
      </w:r>
      <w:r w:rsidR="00900FF8">
        <w:rPr>
          <w:rFonts w:ascii="Arial" w:hAnsi="Arial" w:cs="Arial"/>
          <w:color w:val="000000" w:themeColor="text1"/>
          <w:sz w:val="22"/>
          <w:szCs w:val="22"/>
          <w:lang w:val="es-ES_tradnl"/>
        </w:rPr>
        <w:t>el SRI y el SENAE</w:t>
      </w:r>
      <w:r w:rsidRPr="009C0E1F">
        <w:rPr>
          <w:rFonts w:ascii="Arial" w:hAnsi="Arial" w:cs="Arial"/>
          <w:color w:val="000000" w:themeColor="text1"/>
          <w:sz w:val="22"/>
          <w:szCs w:val="22"/>
          <w:lang w:val="es-ES_tradnl"/>
        </w:rPr>
        <w:t xml:space="preserve"> continúa</w:t>
      </w:r>
      <w:r w:rsidR="00900FF8">
        <w:rPr>
          <w:rFonts w:ascii="Arial" w:hAnsi="Arial" w:cs="Arial"/>
          <w:color w:val="000000" w:themeColor="text1"/>
          <w:sz w:val="22"/>
          <w:szCs w:val="22"/>
          <w:lang w:val="es-ES_tradnl"/>
        </w:rPr>
        <w:t>n</w:t>
      </w:r>
      <w:r w:rsidRPr="009C0E1F">
        <w:rPr>
          <w:rFonts w:ascii="Arial" w:hAnsi="Arial" w:cs="Arial"/>
          <w:color w:val="000000" w:themeColor="text1"/>
          <w:sz w:val="22"/>
          <w:szCs w:val="22"/>
          <w:lang w:val="es-ES_tradnl"/>
        </w:rPr>
        <w:t xml:space="preserve"> enfrentando desafíos para aumentar la </w:t>
      </w:r>
      <w:r w:rsidR="00046BB1">
        <w:rPr>
          <w:rFonts w:ascii="Arial" w:hAnsi="Arial" w:cs="Arial"/>
          <w:color w:val="000000" w:themeColor="text1"/>
          <w:sz w:val="22"/>
          <w:szCs w:val="22"/>
          <w:lang w:val="es-ES_tradnl"/>
        </w:rPr>
        <w:t>efectividad</w:t>
      </w:r>
      <w:r w:rsidR="00900FF8">
        <w:rPr>
          <w:rFonts w:ascii="Arial" w:hAnsi="Arial" w:cs="Arial"/>
          <w:color w:val="000000" w:themeColor="text1"/>
          <w:sz w:val="22"/>
          <w:szCs w:val="22"/>
          <w:lang w:val="es-ES_tradnl"/>
        </w:rPr>
        <w:t xml:space="preserve"> y eficiencia</w:t>
      </w:r>
      <w:r w:rsidRPr="009C0E1F">
        <w:rPr>
          <w:rFonts w:ascii="Arial" w:hAnsi="Arial" w:cs="Arial"/>
          <w:color w:val="000000" w:themeColor="text1"/>
          <w:sz w:val="22"/>
          <w:szCs w:val="22"/>
          <w:lang w:val="es-ES_tradnl"/>
        </w:rPr>
        <w:t xml:space="preserve"> de la recaudación y promover la facilitación del cumplimiento tributario y aduanero.</w:t>
      </w:r>
      <w:r w:rsidR="00591E3D" w:rsidRPr="009C0E1F">
        <w:rPr>
          <w:rStyle w:val="FootnoteReference"/>
          <w:rFonts w:ascii="Arial" w:hAnsi="Arial" w:cs="Arial"/>
          <w:color w:val="000000" w:themeColor="text1"/>
          <w:sz w:val="22"/>
          <w:szCs w:val="22"/>
          <w:lang w:val="es-ES_tradnl"/>
        </w:rPr>
        <w:footnoteReference w:id="16"/>
      </w:r>
      <w:r w:rsidRPr="009C0E1F">
        <w:rPr>
          <w:rFonts w:ascii="Arial" w:hAnsi="Arial" w:cs="Arial"/>
          <w:color w:val="000000" w:themeColor="text1"/>
          <w:sz w:val="22"/>
          <w:szCs w:val="22"/>
          <w:lang w:val="es-ES_tradnl"/>
        </w:rPr>
        <w:t xml:space="preserve"> Para enfrentar estas deficiencias, el Gobierno de </w:t>
      </w:r>
      <w:r w:rsidR="00EB3F8E">
        <w:rPr>
          <w:rFonts w:ascii="Arial" w:hAnsi="Arial" w:cs="Arial"/>
          <w:color w:val="000000" w:themeColor="text1"/>
          <w:sz w:val="22"/>
          <w:szCs w:val="22"/>
          <w:lang w:val="es-ES_tradnl"/>
        </w:rPr>
        <w:t>Ecuador</w:t>
      </w:r>
      <w:r w:rsidRPr="009C0E1F">
        <w:rPr>
          <w:rFonts w:ascii="Arial" w:hAnsi="Arial" w:cs="Arial"/>
          <w:color w:val="000000" w:themeColor="text1"/>
          <w:sz w:val="22"/>
          <w:szCs w:val="22"/>
          <w:lang w:val="es-ES_tradnl"/>
        </w:rPr>
        <w:t xml:space="preserve">, </w:t>
      </w:r>
      <w:r w:rsidR="00194DF7" w:rsidRPr="00EE56F7">
        <w:rPr>
          <w:rFonts w:ascii="Arial" w:hAnsi="Arial" w:cs="Arial"/>
          <w:color w:val="000000" w:themeColor="text1"/>
          <w:sz w:val="22"/>
          <w:szCs w:val="22"/>
        </w:rPr>
        <w:t xml:space="preserve">el </w:t>
      </w:r>
      <w:hyperlink r:id="rId18" w:history="1">
        <w:r w:rsidR="00194DF7" w:rsidRPr="00EE56F7">
          <w:rPr>
            <w:rStyle w:val="Hyperlink"/>
            <w:rFonts w:ascii="Arial" w:hAnsi="Arial" w:cs="Arial"/>
            <w:sz w:val="22"/>
            <w:szCs w:val="22"/>
          </w:rPr>
          <w:t>Plan de Prosperidad 2018-2021</w:t>
        </w:r>
      </w:hyperlink>
      <w:r w:rsidR="00F072BA">
        <w:rPr>
          <w:rStyle w:val="Hyperlink"/>
          <w:rFonts w:ascii="Arial" w:hAnsi="Arial" w:cs="Arial"/>
          <w:sz w:val="22"/>
          <w:szCs w:val="22"/>
        </w:rPr>
        <w:t xml:space="preserve"> </w:t>
      </w:r>
      <w:r w:rsidRPr="009C0E1F">
        <w:rPr>
          <w:rFonts w:ascii="Arial" w:hAnsi="Arial" w:cs="Arial"/>
          <w:color w:val="000000" w:themeColor="text1"/>
          <w:sz w:val="22"/>
          <w:szCs w:val="22"/>
          <w:lang w:val="es-ES_tradnl"/>
        </w:rPr>
        <w:t>estableció como meta m</w:t>
      </w:r>
      <w:r w:rsidR="00900FF8">
        <w:rPr>
          <w:rFonts w:ascii="Arial" w:hAnsi="Arial" w:cs="Arial"/>
          <w:color w:val="000000" w:themeColor="text1"/>
          <w:sz w:val="22"/>
          <w:szCs w:val="22"/>
          <w:lang w:val="es-ES_tradnl"/>
        </w:rPr>
        <w:t>ejorar la administración del SRI y el SENAE</w:t>
      </w:r>
      <w:r w:rsidRPr="009C0E1F">
        <w:rPr>
          <w:rFonts w:ascii="Arial" w:hAnsi="Arial" w:cs="Arial"/>
          <w:color w:val="000000" w:themeColor="text1"/>
          <w:sz w:val="22"/>
          <w:szCs w:val="22"/>
          <w:lang w:val="es-ES_tradnl"/>
        </w:rPr>
        <w:t>, a fin de elevar los ingresos tributarios para fortalecer la estabilidad macroeconómica en el me</w:t>
      </w:r>
      <w:r w:rsidR="00AA7643">
        <w:rPr>
          <w:rFonts w:ascii="Arial" w:hAnsi="Arial" w:cs="Arial"/>
          <w:color w:val="000000" w:themeColor="text1"/>
          <w:sz w:val="22"/>
          <w:szCs w:val="22"/>
          <w:lang w:val="es-ES_tradnl"/>
        </w:rPr>
        <w:t>diano</w:t>
      </w:r>
      <w:r w:rsidRPr="009C0E1F">
        <w:rPr>
          <w:rFonts w:ascii="Arial" w:hAnsi="Arial" w:cs="Arial"/>
          <w:color w:val="000000" w:themeColor="text1"/>
          <w:sz w:val="22"/>
          <w:szCs w:val="22"/>
          <w:lang w:val="es-ES_tradnl"/>
        </w:rPr>
        <w:t xml:space="preserve"> plazo, y garantizar la prestación oportuna y eficiente de los servicios aduaneros necesarios para soportar </w:t>
      </w:r>
      <w:r w:rsidR="009A16AD">
        <w:rPr>
          <w:rFonts w:ascii="Arial" w:hAnsi="Arial" w:cs="Arial"/>
          <w:color w:val="000000" w:themeColor="text1"/>
          <w:sz w:val="22"/>
          <w:szCs w:val="22"/>
          <w:lang w:val="es-ES_tradnl"/>
        </w:rPr>
        <w:t>una</w:t>
      </w:r>
      <w:r w:rsidRPr="009C0E1F">
        <w:rPr>
          <w:rFonts w:ascii="Arial" w:hAnsi="Arial" w:cs="Arial"/>
          <w:color w:val="000000" w:themeColor="text1"/>
          <w:sz w:val="22"/>
          <w:szCs w:val="22"/>
          <w:lang w:val="es-ES_tradnl"/>
        </w:rPr>
        <w:t xml:space="preserve"> operación logística moderna</w:t>
      </w:r>
      <w:r w:rsidR="004E7759" w:rsidRPr="009C0E1F">
        <w:rPr>
          <w:rFonts w:ascii="Arial" w:hAnsi="Arial" w:cs="Arial"/>
          <w:color w:val="000000" w:themeColor="text1"/>
          <w:sz w:val="22"/>
          <w:szCs w:val="22"/>
          <w:lang w:val="es-ES_tradnl"/>
        </w:rPr>
        <w:t>.</w:t>
      </w:r>
    </w:p>
    <w:p w14:paraId="0769AD59" w14:textId="3C3DE0D0" w:rsidR="004E7759" w:rsidRDefault="00591E3D" w:rsidP="005D44DB">
      <w:pPr>
        <w:pStyle w:val="Paragraph"/>
        <w:numPr>
          <w:ilvl w:val="1"/>
          <w:numId w:val="2"/>
        </w:numPr>
        <w:tabs>
          <w:tab w:val="clear" w:pos="1296"/>
        </w:tabs>
        <w:ind w:left="720" w:hanging="720"/>
        <w:outlineLvl w:val="9"/>
        <w:rPr>
          <w:rFonts w:ascii="Arial" w:hAnsi="Arial" w:cs="Arial"/>
          <w:sz w:val="22"/>
          <w:szCs w:val="22"/>
          <w:lang w:val="es-ES_tradnl"/>
        </w:rPr>
      </w:pPr>
      <w:r w:rsidRPr="009C0E1F">
        <w:rPr>
          <w:rFonts w:ascii="Arial" w:hAnsi="Arial" w:cs="Arial"/>
          <w:color w:val="000000" w:themeColor="text1"/>
          <w:sz w:val="22"/>
          <w:szCs w:val="22"/>
          <w:lang w:val="es-ES_tradnl"/>
        </w:rPr>
        <w:t xml:space="preserve">Para avanzar en la meta de modernización establecida en el </w:t>
      </w:r>
      <w:r w:rsidR="00900FF8">
        <w:rPr>
          <w:rFonts w:ascii="Arial" w:hAnsi="Arial" w:cs="Arial"/>
          <w:color w:val="000000" w:themeColor="text1"/>
          <w:sz w:val="22"/>
          <w:szCs w:val="22"/>
          <w:lang w:val="es-ES_tradnl"/>
        </w:rPr>
        <w:t xml:space="preserve">plan </w:t>
      </w:r>
      <w:r w:rsidR="00F072BA">
        <w:rPr>
          <w:rFonts w:ascii="Arial" w:hAnsi="Arial" w:cs="Arial"/>
          <w:color w:val="000000" w:themeColor="text1"/>
          <w:sz w:val="22"/>
          <w:szCs w:val="22"/>
          <w:lang w:val="es-ES_tradnl"/>
        </w:rPr>
        <w:t>de Prosperidad</w:t>
      </w:r>
      <w:r w:rsidRPr="009C0E1F">
        <w:rPr>
          <w:rFonts w:ascii="Arial" w:hAnsi="Arial" w:cs="Arial"/>
          <w:color w:val="000000" w:themeColor="text1"/>
          <w:sz w:val="22"/>
          <w:szCs w:val="22"/>
          <w:lang w:val="es-ES_tradnl"/>
        </w:rPr>
        <w:t xml:space="preserve">, se requiere que </w:t>
      </w:r>
      <w:r w:rsidR="00900FF8">
        <w:rPr>
          <w:rFonts w:ascii="Arial" w:hAnsi="Arial" w:cs="Arial"/>
          <w:color w:val="000000" w:themeColor="text1"/>
          <w:sz w:val="22"/>
          <w:szCs w:val="22"/>
          <w:lang w:val="es-ES_tradnl"/>
        </w:rPr>
        <w:t>el SRI y el SENAE</w:t>
      </w:r>
      <w:r w:rsidRPr="009C0E1F">
        <w:rPr>
          <w:rFonts w:ascii="Arial" w:hAnsi="Arial" w:cs="Arial"/>
          <w:color w:val="000000" w:themeColor="text1"/>
          <w:sz w:val="22"/>
          <w:szCs w:val="22"/>
          <w:lang w:val="es-ES_tradnl"/>
        </w:rPr>
        <w:t xml:space="preserve"> resuelva</w:t>
      </w:r>
      <w:r w:rsidR="00AA7643">
        <w:rPr>
          <w:rFonts w:ascii="Arial" w:hAnsi="Arial" w:cs="Arial"/>
          <w:color w:val="000000" w:themeColor="text1"/>
          <w:sz w:val="22"/>
          <w:szCs w:val="22"/>
          <w:lang w:val="es-ES_tradnl"/>
        </w:rPr>
        <w:t>n</w:t>
      </w:r>
      <w:r w:rsidRPr="009C0E1F">
        <w:rPr>
          <w:rFonts w:ascii="Arial" w:hAnsi="Arial" w:cs="Arial"/>
          <w:color w:val="000000" w:themeColor="text1"/>
          <w:sz w:val="22"/>
          <w:szCs w:val="22"/>
          <w:lang w:val="es-ES_tradnl"/>
        </w:rPr>
        <w:t xml:space="preserve"> deficiencias en la organización institucional y de recursos humanos (RR.HH.); en el control y cumplimiento tributario y aduanero; y en la plataforma tecnológica (PT), sistemas informáticos e instrumentos de seguridad</w:t>
      </w:r>
      <w:r w:rsidRPr="009C0E1F">
        <w:rPr>
          <w:rFonts w:ascii="Arial" w:hAnsi="Arial" w:cs="Arial"/>
          <w:sz w:val="22"/>
          <w:szCs w:val="22"/>
          <w:lang w:val="es-ES_tradnl"/>
        </w:rPr>
        <w:t>.</w:t>
      </w:r>
    </w:p>
    <w:p w14:paraId="43A32726" w14:textId="793687F3" w:rsidR="00F10D9A" w:rsidRDefault="00122A1D" w:rsidP="005D44DB">
      <w:pPr>
        <w:pStyle w:val="Chapter"/>
        <w:numPr>
          <w:ilvl w:val="0"/>
          <w:numId w:val="2"/>
        </w:numPr>
        <w:tabs>
          <w:tab w:val="clear" w:pos="1440"/>
          <w:tab w:val="clear" w:pos="1800"/>
        </w:tabs>
        <w:ind w:left="0" w:firstLine="0"/>
        <w:outlineLvl w:val="0"/>
        <w:rPr>
          <w:rFonts w:ascii="Arial" w:hAnsi="Arial" w:cs="Arial"/>
          <w:sz w:val="22"/>
          <w:szCs w:val="22"/>
          <w:lang w:val="es-ES_tradnl"/>
        </w:rPr>
      </w:pPr>
      <w:bookmarkStart w:id="17" w:name="_Toc30183891"/>
      <w:r>
        <w:rPr>
          <w:rFonts w:ascii="Arial" w:hAnsi="Arial" w:cs="Arial"/>
          <w:sz w:val="22"/>
          <w:szCs w:val="22"/>
          <w:lang w:val="es-ES_tradnl"/>
        </w:rPr>
        <w:t>Situación</w:t>
      </w:r>
      <w:r w:rsidR="00A1100B">
        <w:rPr>
          <w:rFonts w:ascii="Arial" w:hAnsi="Arial" w:cs="Arial"/>
          <w:sz w:val="22"/>
          <w:szCs w:val="22"/>
          <w:lang w:val="es-ES_tradnl"/>
        </w:rPr>
        <w:t xml:space="preserve"> Actual y </w:t>
      </w:r>
      <w:r>
        <w:rPr>
          <w:rFonts w:ascii="Arial" w:hAnsi="Arial" w:cs="Arial"/>
          <w:sz w:val="22"/>
          <w:szCs w:val="22"/>
          <w:lang w:val="es-ES_tradnl"/>
        </w:rPr>
        <w:t>Línea</w:t>
      </w:r>
      <w:r w:rsidR="00A1100B">
        <w:rPr>
          <w:rFonts w:ascii="Arial" w:hAnsi="Arial" w:cs="Arial"/>
          <w:sz w:val="22"/>
          <w:szCs w:val="22"/>
          <w:lang w:val="es-ES_tradnl"/>
        </w:rPr>
        <w:t xml:space="preserve"> de Base</w:t>
      </w:r>
      <w:bookmarkEnd w:id="17"/>
    </w:p>
    <w:p w14:paraId="78598C94" w14:textId="69C9CF59" w:rsidR="005D196C" w:rsidRPr="0087524D" w:rsidRDefault="003E28D7" w:rsidP="005D44DB">
      <w:pPr>
        <w:pStyle w:val="Paragraph"/>
        <w:numPr>
          <w:ilvl w:val="0"/>
          <w:numId w:val="0"/>
        </w:numPr>
        <w:ind w:left="720" w:hanging="720"/>
        <w:outlineLvl w:val="9"/>
        <w:rPr>
          <w:rFonts w:ascii="Arial" w:hAnsi="Arial" w:cs="Arial"/>
          <w:sz w:val="22"/>
          <w:szCs w:val="22"/>
        </w:rPr>
      </w:pPr>
      <w:r>
        <w:rPr>
          <w:rFonts w:ascii="Arial" w:hAnsi="Arial" w:cs="Arial"/>
          <w:lang w:val="es-ES_tradnl"/>
        </w:rPr>
        <w:t>III.1</w:t>
      </w:r>
      <w:r>
        <w:rPr>
          <w:rFonts w:ascii="Arial" w:hAnsi="Arial" w:cs="Arial"/>
          <w:lang w:val="es-ES_tradnl"/>
        </w:rPr>
        <w:tab/>
      </w:r>
      <w:bookmarkStart w:id="18" w:name="_Hlk500328603"/>
      <w:r w:rsidR="00642B7E" w:rsidRPr="0087524D">
        <w:rPr>
          <w:rFonts w:ascii="Arial" w:hAnsi="Arial" w:cs="Arial"/>
          <w:b/>
          <w:color w:val="000000" w:themeColor="text1"/>
          <w:sz w:val="22"/>
          <w:szCs w:val="22"/>
          <w:lang w:val="es-ES_tradnl"/>
        </w:rPr>
        <w:t>Escenario Macroeconómico</w:t>
      </w:r>
      <w:r w:rsidR="0087524D" w:rsidRPr="0087524D">
        <w:rPr>
          <w:rFonts w:ascii="Arial" w:hAnsi="Arial" w:cs="Arial"/>
          <w:b/>
          <w:color w:val="000000" w:themeColor="text1"/>
          <w:sz w:val="22"/>
          <w:szCs w:val="22"/>
          <w:lang w:val="es-ES_tradnl"/>
        </w:rPr>
        <w:t xml:space="preserve">. </w:t>
      </w:r>
      <w:r w:rsidR="009B768E" w:rsidRPr="0087524D">
        <w:rPr>
          <w:rFonts w:ascii="Arial" w:hAnsi="Arial" w:cs="Arial"/>
          <w:sz w:val="22"/>
          <w:szCs w:val="22"/>
        </w:rPr>
        <w:t>Los desequilibrios macroeconómicos iniciados con el desplome del precio del petróleo en 2014 continúan lastrando el desempeño económico de Ecuador. Tras cinco trimestres consecutivos de caídas entre 2015-2016, el Producto Interior Bruto (PIB) creció en 2017 un 2,4%, pero 2018 cerró con un crecimiento del 1,1% y</w:t>
      </w:r>
      <w:r w:rsidR="000331D4" w:rsidRPr="0087524D">
        <w:rPr>
          <w:rFonts w:ascii="Arial" w:hAnsi="Arial" w:cs="Arial"/>
          <w:sz w:val="22"/>
          <w:szCs w:val="22"/>
        </w:rPr>
        <w:t xml:space="preserve"> </w:t>
      </w:r>
      <w:r w:rsidR="009B768E" w:rsidRPr="0087524D">
        <w:rPr>
          <w:rFonts w:ascii="Arial" w:hAnsi="Arial" w:cs="Arial"/>
          <w:sz w:val="22"/>
          <w:szCs w:val="22"/>
        </w:rPr>
        <w:t>el Fondo Monetario Internacional (FMI) estima que la cifra será negativa (-0,5%)</w:t>
      </w:r>
      <w:r w:rsidR="00837110" w:rsidRPr="0087524D">
        <w:rPr>
          <w:rFonts w:ascii="Arial" w:hAnsi="Arial" w:cs="Arial"/>
          <w:sz w:val="22"/>
          <w:szCs w:val="22"/>
        </w:rPr>
        <w:t xml:space="preserve"> </w:t>
      </w:r>
      <w:r w:rsidR="000331D4" w:rsidRPr="0087524D">
        <w:rPr>
          <w:rFonts w:ascii="Arial" w:hAnsi="Arial" w:cs="Arial"/>
          <w:sz w:val="22"/>
          <w:szCs w:val="22"/>
        </w:rPr>
        <w:t>en 2019</w:t>
      </w:r>
      <w:r w:rsidR="009B768E" w:rsidRPr="00EE56F7">
        <w:rPr>
          <w:rStyle w:val="FootnoteReference"/>
          <w:rFonts w:ascii="Arial" w:hAnsi="Arial" w:cs="Arial"/>
          <w:sz w:val="22"/>
          <w:szCs w:val="22"/>
        </w:rPr>
        <w:footnoteReference w:id="17"/>
      </w:r>
      <w:r w:rsidR="009B768E" w:rsidRPr="0087524D">
        <w:rPr>
          <w:rFonts w:ascii="Arial" w:hAnsi="Arial" w:cs="Arial"/>
          <w:sz w:val="22"/>
          <w:szCs w:val="22"/>
        </w:rPr>
        <w:t>. Buscando una estabilidad fiscal sostenible, el gobierno se ha embarcado en un programa de ajuste</w:t>
      </w:r>
      <w:r w:rsidR="009B768E" w:rsidRPr="00EE56F7">
        <w:rPr>
          <w:rStyle w:val="FootnoteReference"/>
          <w:rFonts w:ascii="Arial" w:hAnsi="Arial" w:cs="Arial"/>
          <w:sz w:val="22"/>
          <w:szCs w:val="22"/>
        </w:rPr>
        <w:footnoteReference w:id="18"/>
      </w:r>
      <w:r w:rsidR="009B768E" w:rsidRPr="0087524D">
        <w:rPr>
          <w:rFonts w:ascii="Arial" w:hAnsi="Arial" w:cs="Arial"/>
          <w:sz w:val="22"/>
          <w:szCs w:val="22"/>
        </w:rPr>
        <w:t xml:space="preserve"> para aumentar el balance primario no petrolero del Sector Público No Financiero (SPNF) desde el -5,3% del PIB en 2018 al </w:t>
      </w:r>
      <w:r w:rsidR="009B768E" w:rsidRPr="0087524D">
        <w:rPr>
          <w:rFonts w:ascii="Arial" w:hAnsi="Arial" w:cs="Arial"/>
          <w:sz w:val="22"/>
          <w:szCs w:val="22"/>
        </w:rPr>
        <w:lastRenderedPageBreak/>
        <w:t>-0,3% del PIB en 2021, y reducir su deuda del 46,1% del PIB en 2018 al 40% en 2022</w:t>
      </w:r>
      <w:r w:rsidR="009B768E" w:rsidRPr="00EE56F7">
        <w:rPr>
          <w:rStyle w:val="FootnoteReference"/>
          <w:rFonts w:ascii="Arial" w:hAnsi="Arial" w:cs="Arial"/>
          <w:sz w:val="22"/>
          <w:szCs w:val="22"/>
        </w:rPr>
        <w:footnoteReference w:id="19"/>
      </w:r>
      <w:r w:rsidR="009B768E" w:rsidRPr="0087524D">
        <w:rPr>
          <w:rFonts w:ascii="Arial" w:hAnsi="Arial" w:cs="Arial"/>
          <w:sz w:val="22"/>
          <w:szCs w:val="22"/>
        </w:rPr>
        <w:t>.</w:t>
      </w:r>
      <w:r w:rsidR="00081E3C">
        <w:rPr>
          <w:rFonts w:ascii="Arial" w:hAnsi="Arial" w:cs="Arial"/>
          <w:sz w:val="22"/>
          <w:szCs w:val="22"/>
        </w:rPr>
        <w:t xml:space="preserve"> </w:t>
      </w:r>
      <w:r w:rsidR="00081E3C" w:rsidRPr="00C749C2">
        <w:rPr>
          <w:rFonts w:ascii="Arial" w:hAnsi="Arial" w:cs="Arial"/>
          <w:sz w:val="22"/>
          <w:szCs w:val="22"/>
        </w:rPr>
        <w:t>En 2020, el PIB cayó un 7,8% y el endeudamiento público llegó al 61,2%</w:t>
      </w:r>
      <w:r w:rsidR="00081E3C" w:rsidRPr="00C749C2">
        <w:rPr>
          <w:rStyle w:val="FootnoteReference"/>
          <w:rFonts w:ascii="Arial" w:hAnsi="Arial" w:cs="Arial"/>
          <w:sz w:val="22"/>
          <w:szCs w:val="22"/>
        </w:rPr>
        <w:footnoteReference w:id="20"/>
      </w:r>
      <w:r w:rsidR="00081E3C" w:rsidRPr="00C749C2">
        <w:rPr>
          <w:rFonts w:ascii="Arial" w:hAnsi="Arial" w:cs="Arial"/>
          <w:sz w:val="22"/>
          <w:szCs w:val="22"/>
        </w:rPr>
        <w:t>.</w:t>
      </w:r>
      <w:r w:rsidR="00081E3C" w:rsidRPr="008F4171">
        <w:rPr>
          <w:rFonts w:ascii="Arial" w:hAnsi="Arial" w:cs="Arial"/>
          <w:sz w:val="22"/>
          <w:szCs w:val="22"/>
        </w:rPr>
        <w:t xml:space="preserve"> La recuperación del superávit fiscal primario, que había pasado</w:t>
      </w:r>
      <w:r w:rsidR="00081E3C" w:rsidRPr="00C749C2">
        <w:rPr>
          <w:rFonts w:ascii="Arial" w:hAnsi="Arial" w:cs="Arial"/>
          <w:sz w:val="22"/>
          <w:szCs w:val="22"/>
        </w:rPr>
        <w:t xml:space="preserve"> de -6,67% del PIB en 2016 a -0,45% en 2019, revirtió a -4,7% del PIB en 2020</w:t>
      </w:r>
      <w:r w:rsidR="00081E3C">
        <w:rPr>
          <w:rFonts w:ascii="Arial" w:hAnsi="Arial" w:cs="Arial"/>
          <w:sz w:val="22"/>
          <w:szCs w:val="22"/>
        </w:rPr>
        <w:t xml:space="preserve"> y a -3,5% en 2021</w:t>
      </w:r>
      <w:r w:rsidR="00081E3C" w:rsidRPr="00F939F9">
        <w:rPr>
          <w:rFonts w:ascii="Arial" w:hAnsi="Arial" w:cs="Arial"/>
          <w:sz w:val="22"/>
          <w:szCs w:val="22"/>
        </w:rPr>
        <w:t xml:space="preserve">. La economía </w:t>
      </w:r>
      <w:r w:rsidR="00081E3C" w:rsidRPr="00F939F9">
        <w:rPr>
          <w:rFonts w:asciiTheme="minorBidi" w:hAnsiTheme="minorBidi" w:cstheme="minorBidi"/>
          <w:sz w:val="22"/>
          <w:szCs w:val="22"/>
        </w:rPr>
        <w:t xml:space="preserve">creció un 4,2% en 2021, superando las previsiones del </w:t>
      </w:r>
      <w:r w:rsidR="00081E3C">
        <w:rPr>
          <w:rFonts w:asciiTheme="minorBidi" w:hAnsiTheme="minorBidi" w:cstheme="minorBidi"/>
          <w:sz w:val="22"/>
          <w:szCs w:val="22"/>
        </w:rPr>
        <w:t>g</w:t>
      </w:r>
      <w:r w:rsidR="00081E3C" w:rsidRPr="00F939F9">
        <w:rPr>
          <w:rFonts w:asciiTheme="minorBidi" w:hAnsiTheme="minorBidi" w:cstheme="minorBidi"/>
          <w:sz w:val="22"/>
          <w:szCs w:val="22"/>
        </w:rPr>
        <w:t xml:space="preserve">obierno, el FMI y la banca de inversión. Las </w:t>
      </w:r>
      <w:r w:rsidR="00081E3C" w:rsidRPr="00F939F9">
        <w:rPr>
          <w:rFonts w:asciiTheme="minorBidi" w:hAnsiTheme="minorBidi" w:cstheme="minorBidi"/>
          <w:sz w:val="22"/>
          <w:szCs w:val="22"/>
          <w:lang w:val="es-CO"/>
        </w:rPr>
        <w:t>proyecciones oficiales para 2022</w:t>
      </w:r>
      <w:r w:rsidR="00081E3C">
        <w:rPr>
          <w:rFonts w:asciiTheme="minorBidi" w:hAnsiTheme="minorBidi" w:cstheme="minorBidi"/>
          <w:sz w:val="22"/>
          <w:szCs w:val="22"/>
          <w:lang w:val="es-CO"/>
        </w:rPr>
        <w:t>,</w:t>
      </w:r>
      <w:r w:rsidR="00081E3C" w:rsidRPr="00F939F9">
        <w:rPr>
          <w:rFonts w:asciiTheme="minorBidi" w:hAnsiTheme="minorBidi" w:cstheme="minorBidi"/>
          <w:sz w:val="22"/>
          <w:szCs w:val="22"/>
          <w:lang w:val="es-CO"/>
        </w:rPr>
        <w:t xml:space="preserve"> definidas a inicios de año</w:t>
      </w:r>
      <w:r w:rsidR="00081E3C">
        <w:rPr>
          <w:rFonts w:asciiTheme="minorBidi" w:hAnsiTheme="minorBidi" w:cstheme="minorBidi"/>
          <w:sz w:val="22"/>
          <w:szCs w:val="22"/>
          <w:lang w:val="es-CO"/>
        </w:rPr>
        <w:t>,</w:t>
      </w:r>
      <w:r w:rsidR="00081E3C" w:rsidRPr="00F939F9">
        <w:rPr>
          <w:rFonts w:asciiTheme="minorBidi" w:hAnsiTheme="minorBidi" w:cstheme="minorBidi"/>
          <w:sz w:val="22"/>
          <w:szCs w:val="22"/>
          <w:lang w:val="es-CO"/>
        </w:rPr>
        <w:t xml:space="preserve"> </w:t>
      </w:r>
      <w:r w:rsidR="00081E3C" w:rsidRPr="00F939F9">
        <w:rPr>
          <w:rFonts w:asciiTheme="minorBidi" w:hAnsiTheme="minorBidi" w:cstheme="minorBidi"/>
          <w:sz w:val="22"/>
          <w:szCs w:val="22"/>
        </w:rPr>
        <w:t xml:space="preserve">son </w:t>
      </w:r>
      <w:r w:rsidR="00081E3C">
        <w:rPr>
          <w:rFonts w:asciiTheme="minorBidi" w:hAnsiTheme="minorBidi" w:cstheme="minorBidi"/>
          <w:sz w:val="22"/>
          <w:szCs w:val="22"/>
        </w:rPr>
        <w:t xml:space="preserve">bastante </w:t>
      </w:r>
      <w:r w:rsidR="00081E3C" w:rsidRPr="00F939F9">
        <w:rPr>
          <w:rFonts w:asciiTheme="minorBidi" w:hAnsiTheme="minorBidi" w:cstheme="minorBidi"/>
          <w:sz w:val="22"/>
          <w:szCs w:val="22"/>
        </w:rPr>
        <w:t>positivas, mostrando un crecimiento d</w:t>
      </w:r>
      <w:r w:rsidR="00081E3C" w:rsidRPr="00F939F9">
        <w:rPr>
          <w:rFonts w:asciiTheme="minorBidi" w:hAnsiTheme="minorBidi" w:cstheme="minorBidi"/>
          <w:sz w:val="22"/>
          <w:szCs w:val="22"/>
          <w:lang w:val="es-CO"/>
        </w:rPr>
        <w:t>el PIB del 2,8% (Banco Central del Ecuador), 2,9% (FMI) y 3,7% (Banco Mundial)</w:t>
      </w:r>
      <w:r w:rsidR="00081E3C">
        <w:rPr>
          <w:rFonts w:asciiTheme="minorBidi" w:hAnsiTheme="minorBidi" w:cstheme="minorBidi"/>
          <w:sz w:val="22"/>
          <w:szCs w:val="22"/>
          <w:lang w:val="es-CO"/>
        </w:rPr>
        <w:t xml:space="preserve">, por </w:t>
      </w:r>
      <w:r w:rsidR="00081E3C" w:rsidRPr="00F939F9">
        <w:rPr>
          <w:rFonts w:asciiTheme="minorBidi" w:hAnsiTheme="minorBidi" w:cstheme="minorBidi"/>
          <w:sz w:val="22"/>
          <w:szCs w:val="22"/>
          <w:lang w:val="es-CO"/>
        </w:rPr>
        <w:t>el buen desempeño d</w:t>
      </w:r>
      <w:r w:rsidR="00081E3C">
        <w:rPr>
          <w:rFonts w:asciiTheme="minorBidi" w:hAnsiTheme="minorBidi" w:cstheme="minorBidi"/>
          <w:sz w:val="22"/>
          <w:szCs w:val="22"/>
          <w:lang w:val="es-CO"/>
        </w:rPr>
        <w:t>urante</w:t>
      </w:r>
      <w:r w:rsidR="00081E3C" w:rsidRPr="00F939F9">
        <w:rPr>
          <w:rFonts w:asciiTheme="minorBidi" w:hAnsiTheme="minorBidi" w:cstheme="minorBidi"/>
          <w:sz w:val="22"/>
          <w:szCs w:val="22"/>
          <w:lang w:val="es-CO"/>
        </w:rPr>
        <w:t xml:space="preserve"> 2021 y </w:t>
      </w:r>
      <w:r w:rsidR="00081E3C">
        <w:rPr>
          <w:rFonts w:asciiTheme="minorBidi" w:hAnsiTheme="minorBidi" w:cstheme="minorBidi"/>
          <w:sz w:val="22"/>
          <w:szCs w:val="22"/>
          <w:lang w:val="es-CO"/>
        </w:rPr>
        <w:t>por</w:t>
      </w:r>
      <w:r w:rsidR="00081E3C" w:rsidRPr="00F939F9">
        <w:rPr>
          <w:rFonts w:asciiTheme="minorBidi" w:hAnsiTheme="minorBidi" w:cstheme="minorBidi"/>
          <w:sz w:val="22"/>
          <w:szCs w:val="22"/>
          <w:lang w:val="es-CO"/>
        </w:rPr>
        <w:t xml:space="preserve"> el </w:t>
      </w:r>
      <w:r w:rsidR="00081E3C">
        <w:rPr>
          <w:rFonts w:asciiTheme="minorBidi" w:hAnsiTheme="minorBidi" w:cstheme="minorBidi"/>
          <w:sz w:val="22"/>
          <w:szCs w:val="22"/>
          <w:lang w:val="es-CO"/>
        </w:rPr>
        <w:t>efecto del conflicto entre Rusia y</w:t>
      </w:r>
      <w:r w:rsidR="00081E3C" w:rsidRPr="00F939F9">
        <w:rPr>
          <w:rFonts w:asciiTheme="minorBidi" w:hAnsiTheme="minorBidi" w:cstheme="minorBidi"/>
          <w:sz w:val="22"/>
          <w:szCs w:val="22"/>
          <w:lang w:val="es-CO"/>
        </w:rPr>
        <w:t xml:space="preserve"> Ucrania</w:t>
      </w:r>
      <w:r w:rsidR="00081E3C">
        <w:rPr>
          <w:rFonts w:asciiTheme="minorBidi" w:hAnsiTheme="minorBidi" w:cstheme="minorBidi"/>
          <w:sz w:val="22"/>
          <w:szCs w:val="22"/>
          <w:lang w:val="es-CO"/>
        </w:rPr>
        <w:t xml:space="preserve"> sobre los precios de las materias primas, así como también por las reformas económicas aprobadas a escala nacional</w:t>
      </w:r>
      <w:r w:rsidR="00081E3C" w:rsidRPr="00F939F9">
        <w:rPr>
          <w:rFonts w:asciiTheme="minorBidi" w:hAnsiTheme="minorBidi" w:cstheme="minorBidi"/>
          <w:sz w:val="22"/>
          <w:szCs w:val="22"/>
          <w:lang w:val="es-CO"/>
        </w:rPr>
        <w:t xml:space="preserve">. </w:t>
      </w:r>
      <w:r w:rsidR="00081E3C">
        <w:rPr>
          <w:rFonts w:asciiTheme="minorBidi" w:hAnsiTheme="minorBidi" w:cstheme="minorBidi"/>
          <w:sz w:val="22"/>
          <w:szCs w:val="22"/>
          <w:lang w:val="es-CO"/>
        </w:rPr>
        <w:t>Se</w:t>
      </w:r>
      <w:r w:rsidR="00081E3C" w:rsidRPr="00F939F9">
        <w:rPr>
          <w:rFonts w:asciiTheme="minorBidi" w:hAnsiTheme="minorBidi" w:cstheme="minorBidi"/>
          <w:sz w:val="22"/>
          <w:szCs w:val="22"/>
          <w:lang w:val="es-CO"/>
        </w:rPr>
        <w:t xml:space="preserve"> c</w:t>
      </w:r>
      <w:r w:rsidR="00081E3C">
        <w:rPr>
          <w:rFonts w:asciiTheme="minorBidi" w:hAnsiTheme="minorBidi" w:cstheme="minorBidi"/>
          <w:sz w:val="22"/>
          <w:szCs w:val="22"/>
          <w:lang w:val="es-CO"/>
        </w:rPr>
        <w:t>a</w:t>
      </w:r>
      <w:r w:rsidR="00081E3C" w:rsidRPr="00F939F9">
        <w:rPr>
          <w:rFonts w:asciiTheme="minorBidi" w:hAnsiTheme="minorBidi" w:cstheme="minorBidi"/>
          <w:sz w:val="22"/>
          <w:szCs w:val="22"/>
          <w:lang w:val="es-CO"/>
        </w:rPr>
        <w:t>lcul</w:t>
      </w:r>
      <w:r w:rsidR="00081E3C">
        <w:rPr>
          <w:rFonts w:asciiTheme="minorBidi" w:hAnsiTheme="minorBidi" w:cstheme="minorBidi"/>
          <w:sz w:val="22"/>
          <w:szCs w:val="22"/>
          <w:lang w:val="es-CO"/>
        </w:rPr>
        <w:t>a</w:t>
      </w:r>
      <w:r w:rsidR="00081E3C" w:rsidRPr="00F939F9">
        <w:rPr>
          <w:rFonts w:asciiTheme="minorBidi" w:hAnsiTheme="minorBidi" w:cstheme="minorBidi"/>
          <w:sz w:val="22"/>
          <w:szCs w:val="22"/>
          <w:lang w:val="es-CO"/>
        </w:rPr>
        <w:t xml:space="preserve"> que </w:t>
      </w:r>
      <w:r w:rsidR="00081E3C" w:rsidRPr="00F939F9">
        <w:rPr>
          <w:rFonts w:asciiTheme="minorBidi" w:hAnsiTheme="minorBidi" w:cstheme="minorBidi"/>
          <w:sz w:val="22"/>
          <w:szCs w:val="22"/>
        </w:rPr>
        <w:t xml:space="preserve">la consolidación fiscal </w:t>
      </w:r>
      <w:r w:rsidR="00081E3C" w:rsidRPr="00F939F9">
        <w:rPr>
          <w:rFonts w:ascii="Arial" w:hAnsi="Arial" w:cs="Arial"/>
          <w:sz w:val="22"/>
          <w:szCs w:val="22"/>
        </w:rPr>
        <w:t>generar</w:t>
      </w:r>
      <w:r w:rsidR="00081E3C">
        <w:rPr>
          <w:rFonts w:ascii="Arial" w:hAnsi="Arial" w:cs="Arial"/>
          <w:sz w:val="22"/>
          <w:szCs w:val="22"/>
        </w:rPr>
        <w:t>á en 2022</w:t>
      </w:r>
      <w:r w:rsidR="00081E3C" w:rsidRPr="00F939F9">
        <w:rPr>
          <w:rFonts w:ascii="Arial" w:hAnsi="Arial" w:cs="Arial"/>
          <w:sz w:val="22"/>
          <w:szCs w:val="22"/>
        </w:rPr>
        <w:t xml:space="preserve"> un superávit fiscal del 1% del PIB</w:t>
      </w:r>
      <w:r w:rsidR="00081E3C">
        <w:rPr>
          <w:rFonts w:ascii="Arial" w:hAnsi="Arial" w:cs="Arial"/>
          <w:sz w:val="22"/>
          <w:szCs w:val="22"/>
        </w:rPr>
        <w:t xml:space="preserve">. </w:t>
      </w:r>
    </w:p>
    <w:p w14:paraId="0917408C" w14:textId="143CC029" w:rsidR="006E761F" w:rsidRDefault="007C3A45" w:rsidP="005D44DB">
      <w:pPr>
        <w:pStyle w:val="Paragraph"/>
        <w:numPr>
          <w:ilvl w:val="0"/>
          <w:numId w:val="0"/>
        </w:numPr>
        <w:ind w:left="720" w:hanging="720"/>
        <w:outlineLvl w:val="9"/>
        <w:rPr>
          <w:rFonts w:ascii="Arial" w:hAnsi="Arial" w:cs="Arial"/>
          <w:sz w:val="22"/>
          <w:szCs w:val="22"/>
        </w:rPr>
      </w:pPr>
      <w:r>
        <w:rPr>
          <w:rFonts w:ascii="Arial" w:hAnsi="Arial" w:cs="Arial"/>
          <w:sz w:val="22"/>
          <w:szCs w:val="22"/>
        </w:rPr>
        <w:t>III.2</w:t>
      </w:r>
      <w:r>
        <w:rPr>
          <w:rFonts w:ascii="Arial" w:hAnsi="Arial" w:cs="Arial"/>
          <w:sz w:val="22"/>
          <w:szCs w:val="22"/>
        </w:rPr>
        <w:tab/>
      </w:r>
      <w:r w:rsidR="00894348">
        <w:rPr>
          <w:rFonts w:ascii="Arial" w:hAnsi="Arial" w:cs="Arial"/>
          <w:sz w:val="22"/>
          <w:szCs w:val="22"/>
        </w:rPr>
        <w:t>El escenario</w:t>
      </w:r>
      <w:r w:rsidR="00452130">
        <w:rPr>
          <w:rFonts w:ascii="Arial" w:hAnsi="Arial" w:cs="Arial"/>
          <w:sz w:val="22"/>
          <w:szCs w:val="22"/>
        </w:rPr>
        <w:t xml:space="preserve"> base para el escenario </w:t>
      </w:r>
      <w:r w:rsidR="00A07CD2">
        <w:rPr>
          <w:rFonts w:ascii="Arial" w:hAnsi="Arial" w:cs="Arial"/>
          <w:sz w:val="22"/>
          <w:szCs w:val="22"/>
        </w:rPr>
        <w:t>macroeconómico</w:t>
      </w:r>
      <w:r w:rsidR="00452130">
        <w:rPr>
          <w:rFonts w:ascii="Arial" w:hAnsi="Arial" w:cs="Arial"/>
          <w:sz w:val="22"/>
          <w:szCs w:val="22"/>
        </w:rPr>
        <w:t xml:space="preserve"> se</w:t>
      </w:r>
      <w:r w:rsidR="00A07CD2">
        <w:rPr>
          <w:rFonts w:ascii="Arial" w:hAnsi="Arial" w:cs="Arial"/>
          <w:sz w:val="22"/>
          <w:szCs w:val="22"/>
        </w:rPr>
        <w:t xml:space="preserve"> ha obtenido a partir de las proyecciones del FMI (202</w:t>
      </w:r>
      <w:r w:rsidR="00722440">
        <w:rPr>
          <w:rFonts w:ascii="Arial" w:hAnsi="Arial" w:cs="Arial"/>
          <w:sz w:val="22"/>
          <w:szCs w:val="22"/>
        </w:rPr>
        <w:t>2</w:t>
      </w:r>
      <w:r w:rsidR="00A07CD2">
        <w:rPr>
          <w:rFonts w:ascii="Arial" w:hAnsi="Arial" w:cs="Arial"/>
          <w:sz w:val="22"/>
          <w:szCs w:val="22"/>
        </w:rPr>
        <w:t xml:space="preserve"> – 202</w:t>
      </w:r>
      <w:r w:rsidR="00722440">
        <w:rPr>
          <w:rFonts w:ascii="Arial" w:hAnsi="Arial" w:cs="Arial"/>
          <w:sz w:val="22"/>
          <w:szCs w:val="22"/>
        </w:rPr>
        <w:t>6</w:t>
      </w:r>
      <w:r w:rsidR="00A07CD2">
        <w:rPr>
          <w:rFonts w:ascii="Arial" w:hAnsi="Arial" w:cs="Arial"/>
          <w:sz w:val="22"/>
          <w:szCs w:val="22"/>
        </w:rPr>
        <w:t xml:space="preserve">) y </w:t>
      </w:r>
      <w:r w:rsidR="009A16AD">
        <w:rPr>
          <w:rFonts w:ascii="Arial" w:hAnsi="Arial" w:cs="Arial"/>
          <w:sz w:val="22"/>
          <w:szCs w:val="22"/>
        </w:rPr>
        <w:t>asume una</w:t>
      </w:r>
      <w:r w:rsidR="00A07CD2">
        <w:rPr>
          <w:rFonts w:ascii="Arial" w:hAnsi="Arial" w:cs="Arial"/>
          <w:sz w:val="22"/>
          <w:szCs w:val="22"/>
        </w:rPr>
        <w:t xml:space="preserve"> tasa promedio de crecimiento para el periodo 202</w:t>
      </w:r>
      <w:r w:rsidR="00722440">
        <w:rPr>
          <w:rFonts w:ascii="Arial" w:hAnsi="Arial" w:cs="Arial"/>
          <w:sz w:val="22"/>
          <w:szCs w:val="22"/>
        </w:rPr>
        <w:t>7</w:t>
      </w:r>
      <w:r w:rsidR="00A07CD2">
        <w:rPr>
          <w:rFonts w:ascii="Arial" w:hAnsi="Arial" w:cs="Arial"/>
          <w:sz w:val="22"/>
          <w:szCs w:val="22"/>
        </w:rPr>
        <w:t xml:space="preserve"> – 20</w:t>
      </w:r>
      <w:r w:rsidR="00A46BDF">
        <w:rPr>
          <w:rFonts w:ascii="Arial" w:hAnsi="Arial" w:cs="Arial"/>
          <w:sz w:val="22"/>
          <w:szCs w:val="22"/>
        </w:rPr>
        <w:t>3</w:t>
      </w:r>
      <w:r w:rsidR="00722440">
        <w:rPr>
          <w:rFonts w:ascii="Arial" w:hAnsi="Arial" w:cs="Arial"/>
          <w:sz w:val="22"/>
          <w:szCs w:val="22"/>
        </w:rPr>
        <w:t>1</w:t>
      </w:r>
      <w:r w:rsidR="00A07CD2">
        <w:rPr>
          <w:rFonts w:ascii="Arial" w:hAnsi="Arial" w:cs="Arial"/>
          <w:sz w:val="22"/>
          <w:szCs w:val="22"/>
        </w:rPr>
        <w:t>. El horizonte de análisis se ha definido a partir de la vida útil estimada de los equipos de TI (</w:t>
      </w:r>
      <w:r w:rsidR="009A16AD">
        <w:rPr>
          <w:rFonts w:ascii="Arial" w:hAnsi="Arial" w:cs="Arial"/>
          <w:sz w:val="22"/>
          <w:szCs w:val="22"/>
        </w:rPr>
        <w:t>8</w:t>
      </w:r>
      <w:r w:rsidR="00A07CD2">
        <w:rPr>
          <w:rFonts w:ascii="Arial" w:hAnsi="Arial" w:cs="Arial"/>
          <w:sz w:val="22"/>
          <w:szCs w:val="22"/>
        </w:rPr>
        <w:t xml:space="preserve"> años) y el periodo de implementación del programa</w:t>
      </w:r>
      <w:r w:rsidR="00894348">
        <w:rPr>
          <w:rFonts w:ascii="Arial" w:hAnsi="Arial" w:cs="Arial"/>
          <w:sz w:val="22"/>
          <w:szCs w:val="22"/>
        </w:rPr>
        <w:t xml:space="preserve"> (ver Tabla 3)</w:t>
      </w:r>
      <w:r w:rsidR="00A07CD2">
        <w:rPr>
          <w:rFonts w:ascii="Arial" w:hAnsi="Arial" w:cs="Arial"/>
          <w:sz w:val="22"/>
          <w:szCs w:val="22"/>
        </w:rPr>
        <w:t>.</w:t>
      </w:r>
    </w:p>
    <w:p w14:paraId="6A27D633" w14:textId="08F74CE9" w:rsidR="000331D4" w:rsidRDefault="00722440" w:rsidP="005D44DB">
      <w:pPr>
        <w:pStyle w:val="Paragraph"/>
        <w:numPr>
          <w:ilvl w:val="1"/>
          <w:numId w:val="0"/>
        </w:numPr>
        <w:ind w:left="288"/>
        <w:outlineLvl w:val="9"/>
        <w:rPr>
          <w:rFonts w:ascii="Arial" w:hAnsi="Arial" w:cs="Arial"/>
          <w:sz w:val="22"/>
          <w:szCs w:val="22"/>
        </w:rPr>
      </w:pPr>
      <w:r w:rsidRPr="00722440">
        <w:rPr>
          <w:noProof/>
        </w:rPr>
        <w:drawing>
          <wp:inline distT="0" distB="0" distL="0" distR="0" wp14:anchorId="569D6E69" wp14:editId="7C35E031">
            <wp:extent cx="5786120" cy="2139950"/>
            <wp:effectExtent l="0" t="0" r="508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86120" cy="2139950"/>
                    </a:xfrm>
                    <a:prstGeom prst="rect">
                      <a:avLst/>
                    </a:prstGeom>
                    <a:noFill/>
                    <a:ln>
                      <a:noFill/>
                    </a:ln>
                  </pic:spPr>
                </pic:pic>
              </a:graphicData>
            </a:graphic>
          </wp:inline>
        </w:drawing>
      </w:r>
    </w:p>
    <w:p w14:paraId="4583CCF5" w14:textId="0D3A398F" w:rsidR="000331D4" w:rsidRDefault="00FD51D8" w:rsidP="005D44DB">
      <w:pPr>
        <w:pStyle w:val="Paragraph"/>
        <w:numPr>
          <w:ilvl w:val="0"/>
          <w:numId w:val="0"/>
        </w:numPr>
        <w:ind w:left="720" w:hanging="720"/>
        <w:outlineLvl w:val="9"/>
        <w:rPr>
          <w:rFonts w:ascii="Arial" w:hAnsi="Arial" w:cs="Arial"/>
          <w:sz w:val="22"/>
          <w:szCs w:val="22"/>
        </w:rPr>
      </w:pPr>
      <w:r w:rsidRPr="000E5D0E">
        <w:rPr>
          <w:rFonts w:ascii="Arial" w:hAnsi="Arial" w:cs="Arial"/>
          <w:bCs/>
          <w:color w:val="000000" w:themeColor="text1"/>
          <w:lang w:val="es-ES_tradnl"/>
        </w:rPr>
        <w:t>III.3</w:t>
      </w:r>
      <w:r w:rsidRPr="000E5D0E">
        <w:rPr>
          <w:rFonts w:ascii="Arial" w:hAnsi="Arial" w:cs="Arial"/>
          <w:bCs/>
          <w:color w:val="000000" w:themeColor="text1"/>
          <w:lang w:val="es-ES_tradnl"/>
        </w:rPr>
        <w:tab/>
      </w:r>
      <w:r w:rsidR="00012FF9">
        <w:rPr>
          <w:rFonts w:ascii="Arial" w:hAnsi="Arial" w:cs="Arial"/>
          <w:b/>
          <w:color w:val="000000" w:themeColor="text1"/>
          <w:sz w:val="22"/>
          <w:szCs w:val="22"/>
          <w:lang w:val="es-ES_tradnl"/>
        </w:rPr>
        <w:t>Recaudación Tributaria</w:t>
      </w:r>
      <w:r w:rsidR="0090574E">
        <w:rPr>
          <w:rFonts w:ascii="Arial" w:hAnsi="Arial" w:cs="Arial"/>
          <w:b/>
          <w:color w:val="000000" w:themeColor="text1"/>
          <w:sz w:val="22"/>
          <w:szCs w:val="22"/>
          <w:lang w:val="es-ES_tradnl"/>
        </w:rPr>
        <w:t xml:space="preserve">. </w:t>
      </w:r>
      <w:r w:rsidR="008F1639" w:rsidRPr="00EE56F7">
        <w:rPr>
          <w:rFonts w:ascii="Arial" w:hAnsi="Arial" w:cs="Arial"/>
          <w:sz w:val="22"/>
          <w:szCs w:val="22"/>
        </w:rPr>
        <w:t>La recaudación tributaria en Ecuador ha seguido una tendencia creciente en las últimas décadas, en parte influida por la creación del S</w:t>
      </w:r>
      <w:r w:rsidR="008F1639">
        <w:rPr>
          <w:rFonts w:ascii="Arial" w:hAnsi="Arial" w:cs="Arial"/>
          <w:sz w:val="22"/>
          <w:szCs w:val="22"/>
        </w:rPr>
        <w:t>RI</w:t>
      </w:r>
      <w:r w:rsidR="008F1639" w:rsidRPr="00EE56F7">
        <w:rPr>
          <w:rFonts w:ascii="Arial" w:hAnsi="Arial" w:cs="Arial"/>
          <w:sz w:val="22"/>
          <w:szCs w:val="22"/>
        </w:rPr>
        <w:t>, si bien en los últimos años se percibe un cierto estancamiento</w:t>
      </w:r>
      <w:r w:rsidR="008F1639" w:rsidRPr="0090574E">
        <w:rPr>
          <w:rFonts w:ascii="Arial" w:hAnsi="Arial" w:cs="Arial"/>
          <w:sz w:val="22"/>
          <w:szCs w:val="22"/>
        </w:rPr>
        <w:t>.</w:t>
      </w:r>
    </w:p>
    <w:p w14:paraId="508CEE2B" w14:textId="6FBEDD63" w:rsidR="001928C4" w:rsidRPr="00EE56F7" w:rsidRDefault="0090574E" w:rsidP="005D44DB">
      <w:pPr>
        <w:pStyle w:val="Paragraph"/>
        <w:numPr>
          <w:ilvl w:val="0"/>
          <w:numId w:val="0"/>
        </w:numPr>
        <w:ind w:left="720" w:hanging="720"/>
        <w:outlineLvl w:val="9"/>
        <w:rPr>
          <w:rFonts w:ascii="Arial" w:hAnsi="Arial" w:cs="Arial"/>
          <w:sz w:val="22"/>
          <w:szCs w:val="22"/>
        </w:rPr>
      </w:pPr>
      <w:r>
        <w:rPr>
          <w:rFonts w:ascii="Arial" w:hAnsi="Arial" w:cs="Arial"/>
          <w:sz w:val="22"/>
          <w:szCs w:val="22"/>
        </w:rPr>
        <w:t>III.4</w:t>
      </w:r>
      <w:r w:rsidR="004458F1">
        <w:rPr>
          <w:rFonts w:ascii="Arial" w:hAnsi="Arial" w:cs="Arial"/>
          <w:sz w:val="22"/>
          <w:szCs w:val="22"/>
        </w:rPr>
        <w:tab/>
      </w:r>
      <w:r w:rsidR="001928C4" w:rsidRPr="00EE56F7">
        <w:rPr>
          <w:rFonts w:ascii="Arial" w:hAnsi="Arial" w:cs="Arial"/>
          <w:sz w:val="22"/>
          <w:szCs w:val="22"/>
        </w:rPr>
        <w:t xml:space="preserve">Ahora bien, lograr un crecimiento importante de los ingresos fiscales, especialmente por el lado de los impuestos directos, no es empresa fácil: requiere adoptar medidas de </w:t>
      </w:r>
      <w:r w:rsidR="001928C4" w:rsidRPr="00F57C9E">
        <w:rPr>
          <w:rFonts w:ascii="Arial" w:hAnsi="Arial" w:cs="Arial"/>
          <w:sz w:val="22"/>
          <w:szCs w:val="22"/>
        </w:rPr>
        <w:t>política fiscal,</w:t>
      </w:r>
      <w:r w:rsidR="001928C4" w:rsidRPr="00EE56F7">
        <w:rPr>
          <w:rFonts w:ascii="Arial" w:hAnsi="Arial" w:cs="Arial"/>
          <w:sz w:val="22"/>
          <w:szCs w:val="22"/>
        </w:rPr>
        <w:t xml:space="preserve"> seguir incrementando la cultura tributaria</w:t>
      </w:r>
      <w:r w:rsidR="001928C4">
        <w:rPr>
          <w:rFonts w:ascii="Arial" w:hAnsi="Arial" w:cs="Arial"/>
          <w:sz w:val="22"/>
          <w:szCs w:val="22"/>
        </w:rPr>
        <w:t xml:space="preserve"> y también </w:t>
      </w:r>
      <w:r w:rsidR="001928C4" w:rsidRPr="001928C4">
        <w:rPr>
          <w:rFonts w:ascii="Arial" w:hAnsi="Arial" w:cs="Arial"/>
          <w:sz w:val="22"/>
          <w:szCs w:val="22"/>
        </w:rPr>
        <w:t xml:space="preserve">incrementar la eficacia y eficiencia de la administración tributaria para combatir la evasión fiscal, </w:t>
      </w:r>
      <w:r w:rsidR="001928C4" w:rsidRPr="00EE56F7">
        <w:rPr>
          <w:rFonts w:ascii="Arial" w:hAnsi="Arial" w:cs="Arial"/>
          <w:sz w:val="22"/>
          <w:szCs w:val="22"/>
        </w:rPr>
        <w:t xml:space="preserve">primer objetivo específico </w:t>
      </w:r>
      <w:r w:rsidR="001928C4">
        <w:rPr>
          <w:rFonts w:ascii="Arial" w:hAnsi="Arial" w:cs="Arial"/>
          <w:sz w:val="22"/>
          <w:szCs w:val="22"/>
        </w:rPr>
        <w:t xml:space="preserve">a </w:t>
      </w:r>
      <w:r w:rsidR="001928C4" w:rsidRPr="00EE56F7">
        <w:rPr>
          <w:rFonts w:ascii="Arial" w:hAnsi="Arial" w:cs="Arial"/>
          <w:sz w:val="22"/>
          <w:szCs w:val="22"/>
        </w:rPr>
        <w:t xml:space="preserve">que el presente </w:t>
      </w:r>
      <w:r w:rsidR="001928C4">
        <w:rPr>
          <w:rFonts w:ascii="Arial" w:hAnsi="Arial" w:cs="Arial"/>
          <w:sz w:val="22"/>
          <w:szCs w:val="22"/>
        </w:rPr>
        <w:t>programa</w:t>
      </w:r>
      <w:r w:rsidR="001928C4" w:rsidRPr="00EE56F7">
        <w:rPr>
          <w:rFonts w:ascii="Arial" w:hAnsi="Arial" w:cs="Arial"/>
          <w:sz w:val="22"/>
          <w:szCs w:val="22"/>
        </w:rPr>
        <w:t xml:space="preserve"> aspira</w:t>
      </w:r>
      <w:r w:rsidR="001928C4">
        <w:rPr>
          <w:rFonts w:ascii="Arial" w:hAnsi="Arial" w:cs="Arial"/>
          <w:sz w:val="22"/>
          <w:szCs w:val="22"/>
        </w:rPr>
        <w:t>,</w:t>
      </w:r>
      <w:r w:rsidR="001928C4" w:rsidRPr="00EE56F7">
        <w:rPr>
          <w:rFonts w:ascii="Arial" w:hAnsi="Arial" w:cs="Arial"/>
          <w:sz w:val="22"/>
          <w:szCs w:val="22"/>
        </w:rPr>
        <w:t xml:space="preserve"> reforzando los servicios de control tributario en torno a un modelo efectivo de gestión de riesgos</w:t>
      </w:r>
      <w:r w:rsidR="001928C4">
        <w:rPr>
          <w:rFonts w:ascii="Arial" w:hAnsi="Arial" w:cs="Arial"/>
          <w:sz w:val="22"/>
          <w:szCs w:val="22"/>
        </w:rPr>
        <w:t>.</w:t>
      </w:r>
      <w:r w:rsidR="001928C4" w:rsidRPr="00EE56F7">
        <w:rPr>
          <w:rFonts w:ascii="Arial" w:hAnsi="Arial" w:cs="Arial"/>
          <w:sz w:val="22"/>
          <w:szCs w:val="22"/>
        </w:rPr>
        <w:t xml:space="preserve"> </w:t>
      </w:r>
    </w:p>
    <w:p w14:paraId="4999D6E4" w14:textId="11134FA1" w:rsidR="001928C4" w:rsidRDefault="004458F1" w:rsidP="005D44DB">
      <w:pPr>
        <w:pStyle w:val="Paragraph"/>
        <w:numPr>
          <w:ilvl w:val="0"/>
          <w:numId w:val="0"/>
        </w:numPr>
        <w:ind w:left="720" w:hanging="720"/>
        <w:outlineLvl w:val="9"/>
        <w:rPr>
          <w:rFonts w:ascii="Arial" w:hAnsi="Arial" w:cs="Arial"/>
          <w:sz w:val="22"/>
          <w:szCs w:val="22"/>
        </w:rPr>
      </w:pPr>
      <w:r>
        <w:rPr>
          <w:rFonts w:ascii="Arial" w:hAnsi="Arial" w:cs="Arial"/>
          <w:sz w:val="22"/>
          <w:szCs w:val="22"/>
        </w:rPr>
        <w:t>III.5</w:t>
      </w:r>
      <w:r>
        <w:rPr>
          <w:rFonts w:ascii="Arial" w:hAnsi="Arial" w:cs="Arial"/>
          <w:sz w:val="22"/>
          <w:szCs w:val="22"/>
        </w:rPr>
        <w:tab/>
      </w:r>
      <w:r w:rsidR="001928C4" w:rsidRPr="001928C4">
        <w:rPr>
          <w:rFonts w:ascii="Arial" w:hAnsi="Arial" w:cs="Arial"/>
          <w:sz w:val="22"/>
          <w:szCs w:val="22"/>
        </w:rPr>
        <w:t>Ecuador tiene además el desafío de desarrollar su comercio exterior para incrementar su competitividad y contribuir así al crecimiento y a la creación de empleo. El comercio exterior de Ecuador tiene un peso importante al representar el valor de sus exportaciones e importaciones en 2017 el 54% del PIB (US$38.476.0 millones), siendo la recaudación aduanera el 4,9% del PIB en 2017. Sin embargo, en los últimos años, debido principalmente a la aplicación de beneficios, se ha registrado un deterioro de la relación entre la recaudación aduanera y el valor CIF de las importaciones a consumo, que respecto a 2016 disminuyó un 2,8% en 2017 y un 3,6% en 2018, pese al aumento del valor CIF de importación a consumo del 21% y 13.5% respectivamente (FMI, 2019).</w:t>
      </w:r>
    </w:p>
    <w:p w14:paraId="31104CE0" w14:textId="0B20E663" w:rsidR="001928C4" w:rsidRDefault="00D55A5E" w:rsidP="005D44DB">
      <w:pPr>
        <w:pStyle w:val="Paragraph"/>
        <w:numPr>
          <w:ilvl w:val="1"/>
          <w:numId w:val="0"/>
        </w:numPr>
        <w:ind w:left="288"/>
        <w:outlineLvl w:val="9"/>
        <w:rPr>
          <w:rFonts w:ascii="Arial" w:hAnsi="Arial" w:cs="Arial"/>
          <w:sz w:val="22"/>
          <w:szCs w:val="22"/>
        </w:rPr>
      </w:pPr>
      <w:r w:rsidRPr="00D55A5E">
        <w:rPr>
          <w:noProof/>
        </w:rPr>
        <w:lastRenderedPageBreak/>
        <w:drawing>
          <wp:inline distT="0" distB="0" distL="0" distR="0" wp14:anchorId="58A1D50A" wp14:editId="77B3F43F">
            <wp:extent cx="5786120" cy="1776730"/>
            <wp:effectExtent l="0" t="0" r="508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86120" cy="1776730"/>
                    </a:xfrm>
                    <a:prstGeom prst="rect">
                      <a:avLst/>
                    </a:prstGeom>
                    <a:noFill/>
                    <a:ln>
                      <a:noFill/>
                    </a:ln>
                  </pic:spPr>
                </pic:pic>
              </a:graphicData>
            </a:graphic>
          </wp:inline>
        </w:drawing>
      </w:r>
    </w:p>
    <w:p w14:paraId="45261D5E" w14:textId="6159CAF6" w:rsidR="00702F43" w:rsidRDefault="001C7319" w:rsidP="005D44DB">
      <w:pPr>
        <w:pStyle w:val="Paragraph"/>
        <w:numPr>
          <w:ilvl w:val="0"/>
          <w:numId w:val="0"/>
        </w:numPr>
        <w:ind w:left="720" w:hanging="720"/>
        <w:outlineLvl w:val="9"/>
        <w:rPr>
          <w:rFonts w:ascii="Arial" w:hAnsi="Arial" w:cs="Arial"/>
          <w:sz w:val="22"/>
          <w:szCs w:val="22"/>
        </w:rPr>
      </w:pPr>
      <w:r>
        <w:rPr>
          <w:rFonts w:ascii="Arial" w:hAnsi="Arial" w:cs="Arial"/>
          <w:sz w:val="22"/>
          <w:szCs w:val="22"/>
        </w:rPr>
        <w:t>III.</w:t>
      </w:r>
      <w:r w:rsidR="009403E7">
        <w:rPr>
          <w:rFonts w:ascii="Arial" w:hAnsi="Arial" w:cs="Arial"/>
          <w:sz w:val="22"/>
          <w:szCs w:val="22"/>
        </w:rPr>
        <w:t>6</w:t>
      </w:r>
      <w:r w:rsidR="009403E7">
        <w:rPr>
          <w:rFonts w:ascii="Arial" w:hAnsi="Arial" w:cs="Arial"/>
          <w:sz w:val="22"/>
          <w:szCs w:val="22"/>
        </w:rPr>
        <w:tab/>
      </w:r>
      <w:r w:rsidR="00DB55DD">
        <w:rPr>
          <w:rFonts w:ascii="Arial" w:hAnsi="Arial" w:cs="Arial"/>
          <w:sz w:val="22"/>
          <w:szCs w:val="22"/>
        </w:rPr>
        <w:t>Los ingresos tributarios vienen aumentando su participación en relación con la renta petrolera como consecuencia de la caída de los precios del petróleo. Los aranceles después de haber representado 2.04% del PIB en el 2015, han disminuido su participación y en el 20</w:t>
      </w:r>
      <w:r w:rsidR="00D55A5E">
        <w:rPr>
          <w:rFonts w:ascii="Arial" w:hAnsi="Arial" w:cs="Arial"/>
          <w:sz w:val="22"/>
          <w:szCs w:val="22"/>
        </w:rPr>
        <w:t>20</w:t>
      </w:r>
      <w:r w:rsidR="00DB55DD">
        <w:rPr>
          <w:rFonts w:ascii="Arial" w:hAnsi="Arial" w:cs="Arial"/>
          <w:sz w:val="22"/>
          <w:szCs w:val="22"/>
        </w:rPr>
        <w:t xml:space="preserve"> solo representaron el </w:t>
      </w:r>
      <w:r w:rsidR="00D55A5E">
        <w:rPr>
          <w:rFonts w:ascii="Arial" w:hAnsi="Arial" w:cs="Arial"/>
          <w:sz w:val="22"/>
          <w:szCs w:val="22"/>
        </w:rPr>
        <w:t>0.96</w:t>
      </w:r>
      <w:r w:rsidR="00DB55DD">
        <w:rPr>
          <w:rFonts w:ascii="Arial" w:hAnsi="Arial" w:cs="Arial"/>
          <w:sz w:val="22"/>
          <w:szCs w:val="22"/>
        </w:rPr>
        <w:t>%</w:t>
      </w:r>
      <w:r w:rsidR="00894348">
        <w:rPr>
          <w:rFonts w:ascii="Arial" w:hAnsi="Arial" w:cs="Arial"/>
          <w:sz w:val="22"/>
          <w:szCs w:val="22"/>
        </w:rPr>
        <w:t xml:space="preserve"> (ver Tablas 4 y 5)</w:t>
      </w:r>
      <w:r w:rsidR="00DB55DD">
        <w:rPr>
          <w:rFonts w:ascii="Arial" w:hAnsi="Arial" w:cs="Arial"/>
          <w:sz w:val="22"/>
          <w:szCs w:val="22"/>
        </w:rPr>
        <w:t>.</w:t>
      </w:r>
    </w:p>
    <w:p w14:paraId="4314D83E" w14:textId="327231B1" w:rsidR="00DB55DD" w:rsidRDefault="00D55A5E" w:rsidP="005D44DB">
      <w:pPr>
        <w:pStyle w:val="Paragraph"/>
        <w:numPr>
          <w:ilvl w:val="1"/>
          <w:numId w:val="0"/>
        </w:numPr>
        <w:ind w:left="288"/>
        <w:outlineLvl w:val="9"/>
        <w:rPr>
          <w:rFonts w:ascii="Arial" w:hAnsi="Arial" w:cs="Arial"/>
          <w:sz w:val="22"/>
          <w:szCs w:val="22"/>
        </w:rPr>
      </w:pPr>
      <w:r w:rsidRPr="00D55A5E">
        <w:rPr>
          <w:noProof/>
        </w:rPr>
        <w:drawing>
          <wp:inline distT="0" distB="0" distL="0" distR="0" wp14:anchorId="1B92AC10" wp14:editId="3251E270">
            <wp:extent cx="5786120" cy="1776730"/>
            <wp:effectExtent l="0" t="0" r="508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86120" cy="1776730"/>
                    </a:xfrm>
                    <a:prstGeom prst="rect">
                      <a:avLst/>
                    </a:prstGeom>
                    <a:noFill/>
                    <a:ln>
                      <a:noFill/>
                    </a:ln>
                  </pic:spPr>
                </pic:pic>
              </a:graphicData>
            </a:graphic>
          </wp:inline>
        </w:drawing>
      </w:r>
    </w:p>
    <w:p w14:paraId="21024C25" w14:textId="75930B66" w:rsidR="0008691D" w:rsidRDefault="009403E7" w:rsidP="005D44DB">
      <w:pPr>
        <w:pStyle w:val="Paragraph"/>
        <w:numPr>
          <w:ilvl w:val="0"/>
          <w:numId w:val="0"/>
        </w:numPr>
        <w:ind w:left="720" w:hanging="720"/>
        <w:outlineLvl w:val="9"/>
        <w:rPr>
          <w:rFonts w:ascii="Arial" w:hAnsi="Arial" w:cs="Arial"/>
          <w:sz w:val="22"/>
          <w:szCs w:val="22"/>
        </w:rPr>
      </w:pPr>
      <w:r>
        <w:rPr>
          <w:rFonts w:ascii="Arial" w:hAnsi="Arial" w:cs="Arial"/>
          <w:sz w:val="22"/>
          <w:szCs w:val="22"/>
        </w:rPr>
        <w:t>III.7</w:t>
      </w:r>
      <w:r>
        <w:rPr>
          <w:rFonts w:ascii="Arial" w:hAnsi="Arial" w:cs="Arial"/>
          <w:sz w:val="22"/>
          <w:szCs w:val="22"/>
        </w:rPr>
        <w:tab/>
      </w:r>
      <w:r w:rsidR="00DB55DD">
        <w:rPr>
          <w:rFonts w:ascii="Arial" w:hAnsi="Arial" w:cs="Arial"/>
          <w:sz w:val="22"/>
          <w:szCs w:val="22"/>
        </w:rPr>
        <w:t xml:space="preserve">Para realizar el análisis costo </w:t>
      </w:r>
      <w:r w:rsidR="0008691D">
        <w:rPr>
          <w:rFonts w:ascii="Arial" w:hAnsi="Arial" w:cs="Arial"/>
          <w:sz w:val="22"/>
          <w:szCs w:val="22"/>
        </w:rPr>
        <w:t>–</w:t>
      </w:r>
      <w:r w:rsidR="00DB55DD">
        <w:rPr>
          <w:rFonts w:ascii="Arial" w:hAnsi="Arial" w:cs="Arial"/>
          <w:sz w:val="22"/>
          <w:szCs w:val="22"/>
        </w:rPr>
        <w:t xml:space="preserve"> ef</w:t>
      </w:r>
      <w:r w:rsidR="0008691D">
        <w:rPr>
          <w:rFonts w:ascii="Arial" w:hAnsi="Arial" w:cs="Arial"/>
          <w:sz w:val="22"/>
          <w:szCs w:val="22"/>
        </w:rPr>
        <w:t>ectividad del programa es necesario contar con una línea base de la recaudación tributaria tanto de la recaudada por el SRI como la del SENAE. En el caso del SENAE se ha optado por definir como recaudación solo los aranceles. No se han considerado la recaudación del IVA de importación porque este pago se utiliza en gran parte como crédito fiscal al momento del pago del IVA doméstico. En el caso de la recaudación del SRI se han utilizado las recaudaciones netas de devoluciones.</w:t>
      </w:r>
    </w:p>
    <w:p w14:paraId="770819E0" w14:textId="0DBEC831" w:rsidR="0008691D" w:rsidRPr="009376F3" w:rsidRDefault="009403E7" w:rsidP="005D44DB">
      <w:pPr>
        <w:pStyle w:val="Paragraph"/>
        <w:numPr>
          <w:ilvl w:val="0"/>
          <w:numId w:val="0"/>
        </w:numPr>
        <w:ind w:left="720" w:hanging="720"/>
        <w:outlineLvl w:val="9"/>
        <w:rPr>
          <w:rFonts w:ascii="Arial" w:hAnsi="Arial" w:cs="Arial"/>
          <w:sz w:val="22"/>
          <w:szCs w:val="22"/>
        </w:rPr>
      </w:pPr>
      <w:r>
        <w:rPr>
          <w:rFonts w:ascii="Arial" w:hAnsi="Arial" w:cs="Arial"/>
          <w:sz w:val="22"/>
          <w:szCs w:val="22"/>
        </w:rPr>
        <w:t>III.8</w:t>
      </w:r>
      <w:r>
        <w:rPr>
          <w:rFonts w:ascii="Arial" w:hAnsi="Arial" w:cs="Arial"/>
          <w:sz w:val="22"/>
          <w:szCs w:val="22"/>
        </w:rPr>
        <w:tab/>
      </w:r>
      <w:r w:rsidR="0008691D" w:rsidRPr="009376F3">
        <w:rPr>
          <w:rFonts w:ascii="Arial" w:hAnsi="Arial" w:cs="Arial"/>
          <w:sz w:val="22"/>
          <w:szCs w:val="22"/>
        </w:rPr>
        <w:t xml:space="preserve">La línea base de recaudación tanto para el SRI como para el SENAE se ha obtenido </w:t>
      </w:r>
      <w:r w:rsidR="009209D2" w:rsidRPr="009376F3">
        <w:rPr>
          <w:rFonts w:ascii="Arial" w:hAnsi="Arial" w:cs="Arial"/>
          <w:sz w:val="22"/>
          <w:szCs w:val="22"/>
        </w:rPr>
        <w:t xml:space="preserve">utilizando el crecimiento </w:t>
      </w:r>
      <w:r w:rsidR="009A16AD">
        <w:rPr>
          <w:rFonts w:ascii="Arial" w:hAnsi="Arial" w:cs="Arial"/>
          <w:sz w:val="22"/>
          <w:szCs w:val="22"/>
        </w:rPr>
        <w:t xml:space="preserve">proyectado </w:t>
      </w:r>
      <w:r w:rsidR="009209D2" w:rsidRPr="009376F3">
        <w:rPr>
          <w:rFonts w:ascii="Arial" w:hAnsi="Arial" w:cs="Arial"/>
          <w:sz w:val="22"/>
          <w:szCs w:val="22"/>
        </w:rPr>
        <w:t>del PIB nominal</w:t>
      </w:r>
      <w:r w:rsidR="009A16AD">
        <w:rPr>
          <w:rFonts w:ascii="Arial" w:hAnsi="Arial" w:cs="Arial"/>
          <w:sz w:val="22"/>
          <w:szCs w:val="22"/>
        </w:rPr>
        <w:t xml:space="preserve">, según datos del </w:t>
      </w:r>
      <w:r w:rsidR="009A16AD" w:rsidRPr="005D44DB">
        <w:rPr>
          <w:rFonts w:ascii="Arial" w:hAnsi="Arial"/>
          <w:i/>
          <w:sz w:val="22"/>
        </w:rPr>
        <w:t>World Economic Outlook</w:t>
      </w:r>
      <w:r w:rsidR="009A16AD">
        <w:rPr>
          <w:rFonts w:ascii="Arial" w:hAnsi="Arial" w:cs="Arial"/>
          <w:sz w:val="22"/>
          <w:szCs w:val="22"/>
        </w:rPr>
        <w:t xml:space="preserve"> (</w:t>
      </w:r>
      <w:r>
        <w:rPr>
          <w:rFonts w:ascii="Arial" w:hAnsi="Arial" w:cs="Arial"/>
          <w:sz w:val="22"/>
          <w:szCs w:val="22"/>
        </w:rPr>
        <w:t>e</w:t>
      </w:r>
      <w:r w:rsidR="0073406E">
        <w:rPr>
          <w:rFonts w:ascii="Arial" w:hAnsi="Arial" w:cs="Arial"/>
          <w:sz w:val="22"/>
          <w:szCs w:val="22"/>
        </w:rPr>
        <w:t>nero 202</w:t>
      </w:r>
      <w:r w:rsidR="00D55A5E">
        <w:rPr>
          <w:rFonts w:ascii="Arial" w:hAnsi="Arial" w:cs="Arial"/>
          <w:sz w:val="22"/>
          <w:szCs w:val="22"/>
        </w:rPr>
        <w:t>2</w:t>
      </w:r>
      <w:r w:rsidR="009A16AD">
        <w:rPr>
          <w:rFonts w:ascii="Arial" w:hAnsi="Arial" w:cs="Arial"/>
          <w:sz w:val="22"/>
          <w:szCs w:val="22"/>
        </w:rPr>
        <w:t>)</w:t>
      </w:r>
      <w:r w:rsidR="00BC3B91" w:rsidRPr="009376F3">
        <w:rPr>
          <w:rFonts w:ascii="Arial" w:hAnsi="Arial" w:cs="Arial"/>
          <w:sz w:val="22"/>
          <w:szCs w:val="22"/>
        </w:rPr>
        <w:t>.</w:t>
      </w:r>
      <w:r w:rsidR="009209D2" w:rsidRPr="009376F3">
        <w:rPr>
          <w:rFonts w:ascii="Arial" w:hAnsi="Arial" w:cs="Arial"/>
          <w:sz w:val="22"/>
          <w:szCs w:val="22"/>
        </w:rPr>
        <w:t xml:space="preserve"> La línea base así proyectada </w:t>
      </w:r>
      <w:r w:rsidR="00BC3B91" w:rsidRPr="009376F3">
        <w:rPr>
          <w:rFonts w:ascii="Arial" w:hAnsi="Arial" w:cs="Arial"/>
          <w:sz w:val="22"/>
          <w:szCs w:val="22"/>
        </w:rPr>
        <w:t>es</w:t>
      </w:r>
      <w:r w:rsidR="009209D2" w:rsidRPr="009376F3">
        <w:rPr>
          <w:rFonts w:ascii="Arial" w:hAnsi="Arial" w:cs="Arial"/>
          <w:sz w:val="22"/>
          <w:szCs w:val="22"/>
        </w:rPr>
        <w:t xml:space="preserve"> utilizada como base nominal respecto a la cual se m</w:t>
      </w:r>
      <w:r w:rsidR="00BC3B91" w:rsidRPr="009376F3">
        <w:rPr>
          <w:rFonts w:ascii="Arial" w:hAnsi="Arial" w:cs="Arial"/>
          <w:sz w:val="22"/>
          <w:szCs w:val="22"/>
        </w:rPr>
        <w:t>ide</w:t>
      </w:r>
      <w:r w:rsidR="009209D2" w:rsidRPr="009376F3">
        <w:rPr>
          <w:rFonts w:ascii="Arial" w:hAnsi="Arial" w:cs="Arial"/>
          <w:sz w:val="22"/>
          <w:szCs w:val="22"/>
        </w:rPr>
        <w:t xml:space="preserve"> la recaudación adicional a ser obtenid</w:t>
      </w:r>
      <w:r w:rsidR="00BC3B91" w:rsidRPr="009376F3">
        <w:rPr>
          <w:rFonts w:ascii="Arial" w:hAnsi="Arial" w:cs="Arial"/>
          <w:sz w:val="22"/>
          <w:szCs w:val="22"/>
        </w:rPr>
        <w:t>a</w:t>
      </w:r>
      <w:r w:rsidR="009209D2" w:rsidRPr="009376F3">
        <w:rPr>
          <w:rFonts w:ascii="Arial" w:hAnsi="Arial" w:cs="Arial"/>
          <w:sz w:val="22"/>
          <w:szCs w:val="22"/>
        </w:rPr>
        <w:t xml:space="preserve"> como consecuencia de la implementación del programa</w:t>
      </w:r>
      <w:r w:rsidR="00894348">
        <w:rPr>
          <w:rFonts w:ascii="Arial" w:hAnsi="Arial" w:cs="Arial"/>
          <w:sz w:val="22"/>
          <w:szCs w:val="22"/>
        </w:rPr>
        <w:t xml:space="preserve"> (ver Tabla 6)</w:t>
      </w:r>
    </w:p>
    <w:p w14:paraId="21321596" w14:textId="13734B1C" w:rsidR="00DB55DD" w:rsidRDefault="001909FC" w:rsidP="005D44DB">
      <w:pPr>
        <w:pStyle w:val="Paragraph"/>
        <w:numPr>
          <w:ilvl w:val="1"/>
          <w:numId w:val="0"/>
        </w:numPr>
        <w:outlineLvl w:val="9"/>
        <w:rPr>
          <w:rFonts w:ascii="Arial" w:hAnsi="Arial" w:cs="Arial"/>
          <w:sz w:val="22"/>
          <w:szCs w:val="22"/>
        </w:rPr>
      </w:pPr>
      <w:r w:rsidRPr="001909FC">
        <w:rPr>
          <w:noProof/>
        </w:rPr>
        <w:drawing>
          <wp:inline distT="0" distB="0" distL="0" distR="0" wp14:anchorId="06941590" wp14:editId="6AE8B644">
            <wp:extent cx="5786120" cy="1621790"/>
            <wp:effectExtent l="0" t="0" r="508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86120" cy="1621790"/>
                    </a:xfrm>
                    <a:prstGeom prst="rect">
                      <a:avLst/>
                    </a:prstGeom>
                    <a:noFill/>
                    <a:ln>
                      <a:noFill/>
                    </a:ln>
                  </pic:spPr>
                </pic:pic>
              </a:graphicData>
            </a:graphic>
          </wp:inline>
        </w:drawing>
      </w:r>
    </w:p>
    <w:p w14:paraId="65D648FC" w14:textId="7E353BD1" w:rsidR="00C97A9C" w:rsidRDefault="007E1F0B" w:rsidP="005D44DB">
      <w:pPr>
        <w:pStyle w:val="Paragraph"/>
        <w:numPr>
          <w:ilvl w:val="0"/>
          <w:numId w:val="0"/>
        </w:numPr>
        <w:ind w:left="720" w:hanging="720"/>
        <w:outlineLvl w:val="9"/>
        <w:rPr>
          <w:rFonts w:ascii="Arial" w:hAnsi="Arial" w:cs="Arial"/>
          <w:sz w:val="22"/>
          <w:szCs w:val="22"/>
        </w:rPr>
      </w:pPr>
      <w:bookmarkStart w:id="19" w:name="_Hlk9705413"/>
      <w:bookmarkEnd w:id="18"/>
      <w:r w:rsidRPr="000E5D0E">
        <w:rPr>
          <w:rFonts w:ascii="Arial" w:hAnsi="Arial" w:cs="Arial"/>
          <w:bCs/>
          <w:color w:val="000000" w:themeColor="text1"/>
          <w:lang w:val="es-ES_tradnl"/>
        </w:rPr>
        <w:t>III.</w:t>
      </w:r>
      <w:r w:rsidR="00915E29" w:rsidRPr="000E5D0E">
        <w:rPr>
          <w:rFonts w:ascii="Arial" w:hAnsi="Arial" w:cs="Arial"/>
          <w:bCs/>
          <w:color w:val="000000" w:themeColor="text1"/>
          <w:lang w:val="es-ES_tradnl"/>
        </w:rPr>
        <w:t>9</w:t>
      </w:r>
      <w:r w:rsidR="00915E29" w:rsidRPr="000E5D0E">
        <w:rPr>
          <w:rFonts w:ascii="Arial" w:hAnsi="Arial" w:cs="Arial"/>
          <w:bCs/>
          <w:color w:val="000000" w:themeColor="text1"/>
          <w:lang w:val="es-ES_tradnl"/>
        </w:rPr>
        <w:tab/>
      </w:r>
      <w:r w:rsidR="00012FF9">
        <w:rPr>
          <w:rFonts w:ascii="Arial" w:hAnsi="Arial" w:cs="Arial"/>
          <w:b/>
          <w:color w:val="000000" w:themeColor="text1"/>
          <w:sz w:val="22"/>
          <w:szCs w:val="22"/>
          <w:lang w:val="es-ES_tradnl"/>
        </w:rPr>
        <w:t>Presupuesto de Gastos del SRI y el SENAE sin Programa</w:t>
      </w:r>
      <w:r w:rsidR="00915E29">
        <w:rPr>
          <w:rFonts w:ascii="Arial" w:hAnsi="Arial" w:cs="Arial"/>
          <w:b/>
          <w:color w:val="000000" w:themeColor="text1"/>
          <w:sz w:val="22"/>
          <w:szCs w:val="22"/>
          <w:lang w:val="es-ES_tradnl"/>
        </w:rPr>
        <w:t>.</w:t>
      </w:r>
      <w:r w:rsidR="00081E3C">
        <w:rPr>
          <w:rFonts w:ascii="Arial" w:hAnsi="Arial" w:cs="Arial"/>
          <w:b/>
          <w:color w:val="000000" w:themeColor="text1"/>
          <w:sz w:val="22"/>
          <w:szCs w:val="22"/>
          <w:lang w:val="es-ES_tradnl"/>
        </w:rPr>
        <w:t xml:space="preserve"> </w:t>
      </w:r>
      <w:r w:rsidR="00C97A9C" w:rsidRPr="00C97A9C">
        <w:rPr>
          <w:rFonts w:ascii="Arial" w:hAnsi="Arial" w:cs="Arial"/>
          <w:sz w:val="22"/>
          <w:szCs w:val="22"/>
        </w:rPr>
        <w:t>En el análisis costo – efectividad</w:t>
      </w:r>
      <w:r w:rsidR="00C97A9C">
        <w:rPr>
          <w:rFonts w:ascii="Arial" w:hAnsi="Arial" w:cs="Arial"/>
          <w:sz w:val="22"/>
          <w:szCs w:val="22"/>
        </w:rPr>
        <w:t xml:space="preserve">, el costo </w:t>
      </w:r>
      <w:r w:rsidR="009376F3">
        <w:rPr>
          <w:rFonts w:ascii="Arial" w:hAnsi="Arial" w:cs="Arial"/>
          <w:sz w:val="22"/>
          <w:szCs w:val="22"/>
        </w:rPr>
        <w:t>está</w:t>
      </w:r>
      <w:r w:rsidR="00C97A9C">
        <w:rPr>
          <w:rFonts w:ascii="Arial" w:hAnsi="Arial" w:cs="Arial"/>
          <w:sz w:val="22"/>
          <w:szCs w:val="22"/>
        </w:rPr>
        <w:t xml:space="preserve"> definido como el presupuesto de gastos total de cada una de las entidades bajo análisis. El presupuesto del SRI representa el 0.1</w:t>
      </w:r>
      <w:r w:rsidR="00A93F7A">
        <w:rPr>
          <w:rFonts w:ascii="Arial" w:hAnsi="Arial" w:cs="Arial"/>
          <w:sz w:val="22"/>
          <w:szCs w:val="22"/>
        </w:rPr>
        <w:t>0</w:t>
      </w:r>
      <w:r w:rsidR="00C97A9C">
        <w:rPr>
          <w:rFonts w:ascii="Arial" w:hAnsi="Arial" w:cs="Arial"/>
          <w:sz w:val="22"/>
          <w:szCs w:val="22"/>
        </w:rPr>
        <w:t>% del PBI mientras que el presupuesto del SENAE es del 0.</w:t>
      </w:r>
      <w:r w:rsidR="00A93F7A">
        <w:rPr>
          <w:rFonts w:ascii="Arial" w:hAnsi="Arial" w:cs="Arial"/>
          <w:sz w:val="22"/>
          <w:szCs w:val="22"/>
        </w:rPr>
        <w:t>04</w:t>
      </w:r>
      <w:r w:rsidR="00C97A9C">
        <w:rPr>
          <w:rFonts w:ascii="Arial" w:hAnsi="Arial" w:cs="Arial"/>
          <w:sz w:val="22"/>
          <w:szCs w:val="22"/>
        </w:rPr>
        <w:t xml:space="preserve">%. El crecimiento del presupuesto en promedio durante los últimos 5 años ha sido del </w:t>
      </w:r>
      <w:r w:rsidR="00A93F7A">
        <w:rPr>
          <w:rFonts w:ascii="Arial" w:hAnsi="Arial" w:cs="Arial"/>
          <w:sz w:val="22"/>
          <w:szCs w:val="22"/>
        </w:rPr>
        <w:t>0.6</w:t>
      </w:r>
      <w:r w:rsidR="00C97A9C">
        <w:rPr>
          <w:rFonts w:ascii="Arial" w:hAnsi="Arial" w:cs="Arial"/>
          <w:sz w:val="22"/>
          <w:szCs w:val="22"/>
        </w:rPr>
        <w:t xml:space="preserve">% por año. </w:t>
      </w:r>
    </w:p>
    <w:p w14:paraId="250EF01A" w14:textId="67A34B9A" w:rsidR="009376F3" w:rsidRDefault="00915E29" w:rsidP="005D44DB">
      <w:pPr>
        <w:pStyle w:val="Paragraph"/>
        <w:numPr>
          <w:ilvl w:val="0"/>
          <w:numId w:val="0"/>
        </w:numPr>
        <w:ind w:left="720" w:hanging="720"/>
        <w:outlineLvl w:val="9"/>
        <w:rPr>
          <w:rFonts w:ascii="Arial" w:hAnsi="Arial" w:cs="Arial"/>
          <w:sz w:val="22"/>
          <w:szCs w:val="22"/>
        </w:rPr>
      </w:pPr>
      <w:r>
        <w:rPr>
          <w:rFonts w:ascii="Arial" w:hAnsi="Arial" w:cs="Arial"/>
          <w:sz w:val="22"/>
          <w:szCs w:val="22"/>
        </w:rPr>
        <w:lastRenderedPageBreak/>
        <w:t>III.10</w:t>
      </w:r>
      <w:r>
        <w:rPr>
          <w:rFonts w:ascii="Arial" w:hAnsi="Arial" w:cs="Arial"/>
          <w:sz w:val="22"/>
          <w:szCs w:val="22"/>
        </w:rPr>
        <w:tab/>
      </w:r>
      <w:r w:rsidR="009376F3">
        <w:rPr>
          <w:rFonts w:ascii="Arial" w:hAnsi="Arial" w:cs="Arial"/>
          <w:sz w:val="22"/>
          <w:szCs w:val="22"/>
        </w:rPr>
        <w:t>Al igual que en el caso de la recaudación, es necesario obtener la línea base para el periodo de análisis (202</w:t>
      </w:r>
      <w:r w:rsidR="00A93F7A">
        <w:rPr>
          <w:rFonts w:ascii="Arial" w:hAnsi="Arial" w:cs="Arial"/>
          <w:sz w:val="22"/>
          <w:szCs w:val="22"/>
        </w:rPr>
        <w:t>2</w:t>
      </w:r>
      <w:r w:rsidR="009376F3">
        <w:rPr>
          <w:rFonts w:ascii="Arial" w:hAnsi="Arial" w:cs="Arial"/>
          <w:sz w:val="22"/>
          <w:szCs w:val="22"/>
        </w:rPr>
        <w:t xml:space="preserve"> – 20</w:t>
      </w:r>
      <w:r w:rsidR="00A46BDF">
        <w:rPr>
          <w:rFonts w:ascii="Arial" w:hAnsi="Arial" w:cs="Arial"/>
          <w:sz w:val="22"/>
          <w:szCs w:val="22"/>
        </w:rPr>
        <w:t>3</w:t>
      </w:r>
      <w:r w:rsidR="00A93F7A">
        <w:rPr>
          <w:rFonts w:ascii="Arial" w:hAnsi="Arial" w:cs="Arial"/>
          <w:sz w:val="22"/>
          <w:szCs w:val="22"/>
        </w:rPr>
        <w:t>1</w:t>
      </w:r>
      <w:r w:rsidR="009376F3">
        <w:rPr>
          <w:rFonts w:ascii="Arial" w:hAnsi="Arial" w:cs="Arial"/>
          <w:sz w:val="22"/>
          <w:szCs w:val="22"/>
        </w:rPr>
        <w:t xml:space="preserve">) de los presupuestos del SRI y el SENAE. La proyección de la línea base se ha realizado asumiendo un crecimiento </w:t>
      </w:r>
      <w:r w:rsidR="0078646F">
        <w:rPr>
          <w:rFonts w:ascii="Arial" w:hAnsi="Arial" w:cs="Arial"/>
          <w:sz w:val="22"/>
          <w:szCs w:val="22"/>
        </w:rPr>
        <w:t xml:space="preserve">promedio </w:t>
      </w:r>
      <w:r w:rsidR="009376F3">
        <w:rPr>
          <w:rFonts w:ascii="Arial" w:hAnsi="Arial" w:cs="Arial"/>
          <w:sz w:val="22"/>
          <w:szCs w:val="22"/>
        </w:rPr>
        <w:t xml:space="preserve">del presupuesto de </w:t>
      </w:r>
      <w:r w:rsidR="00A93F7A">
        <w:rPr>
          <w:rFonts w:ascii="Arial" w:hAnsi="Arial" w:cs="Arial"/>
          <w:sz w:val="22"/>
          <w:szCs w:val="22"/>
        </w:rPr>
        <w:t>4</w:t>
      </w:r>
      <w:r w:rsidR="009376F3">
        <w:rPr>
          <w:rFonts w:ascii="Arial" w:hAnsi="Arial" w:cs="Arial"/>
          <w:sz w:val="22"/>
          <w:szCs w:val="22"/>
        </w:rPr>
        <w:t xml:space="preserve">.1% anual equivalente al </w:t>
      </w:r>
      <w:r w:rsidR="0078646F">
        <w:rPr>
          <w:rFonts w:ascii="Arial" w:hAnsi="Arial" w:cs="Arial"/>
          <w:sz w:val="22"/>
          <w:szCs w:val="22"/>
        </w:rPr>
        <w:t>crecimiento promedio del PIB nominal proyectado para ese periodo</w:t>
      </w:r>
      <w:r w:rsidR="009376F3">
        <w:rPr>
          <w:rFonts w:ascii="Arial" w:hAnsi="Arial" w:cs="Arial"/>
          <w:sz w:val="22"/>
          <w:szCs w:val="22"/>
        </w:rPr>
        <w:t>.</w:t>
      </w:r>
    </w:p>
    <w:p w14:paraId="53322B41" w14:textId="3988A0E5" w:rsidR="009376F3" w:rsidRDefault="00915E29" w:rsidP="005D44DB">
      <w:pPr>
        <w:pStyle w:val="Paragraph"/>
        <w:numPr>
          <w:ilvl w:val="0"/>
          <w:numId w:val="0"/>
        </w:numPr>
        <w:ind w:left="720" w:hanging="720"/>
        <w:outlineLvl w:val="9"/>
        <w:rPr>
          <w:rFonts w:ascii="Arial" w:hAnsi="Arial" w:cs="Arial"/>
          <w:sz w:val="22"/>
          <w:szCs w:val="22"/>
        </w:rPr>
      </w:pPr>
      <w:r>
        <w:rPr>
          <w:rFonts w:ascii="Arial" w:hAnsi="Arial" w:cs="Arial"/>
          <w:sz w:val="22"/>
          <w:szCs w:val="22"/>
        </w:rPr>
        <w:t>III.11</w:t>
      </w:r>
      <w:r>
        <w:rPr>
          <w:rFonts w:ascii="Arial" w:hAnsi="Arial" w:cs="Arial"/>
          <w:sz w:val="22"/>
          <w:szCs w:val="22"/>
        </w:rPr>
        <w:tab/>
      </w:r>
      <w:r w:rsidR="009376F3">
        <w:rPr>
          <w:rFonts w:ascii="Arial" w:hAnsi="Arial" w:cs="Arial"/>
          <w:sz w:val="22"/>
          <w:szCs w:val="22"/>
        </w:rPr>
        <w:t xml:space="preserve">En la Tabla </w:t>
      </w:r>
      <w:r w:rsidR="005368D8">
        <w:rPr>
          <w:rFonts w:ascii="Arial" w:hAnsi="Arial" w:cs="Arial"/>
          <w:sz w:val="22"/>
          <w:szCs w:val="22"/>
        </w:rPr>
        <w:t xml:space="preserve">7 </w:t>
      </w:r>
      <w:r w:rsidR="009376F3">
        <w:rPr>
          <w:rFonts w:ascii="Arial" w:hAnsi="Arial" w:cs="Arial"/>
          <w:sz w:val="22"/>
          <w:szCs w:val="22"/>
        </w:rPr>
        <w:t>se presenta la evolución de la línea base del presupuesto de gastos tanto para el SRI como para el SENAE.</w:t>
      </w:r>
      <w:r w:rsidR="00494FDF">
        <w:rPr>
          <w:rFonts w:ascii="Arial" w:hAnsi="Arial" w:cs="Arial"/>
          <w:sz w:val="22"/>
          <w:szCs w:val="22"/>
        </w:rPr>
        <w:t xml:space="preserve"> A esta línea base se le suman los gastos de implementación del programa discriminados por gastos asociados al Componente I (SRI) y los gastos del Componente II (SENAE).</w:t>
      </w:r>
      <w:r w:rsidR="009376F3">
        <w:rPr>
          <w:rFonts w:ascii="Arial" w:hAnsi="Arial" w:cs="Arial"/>
          <w:sz w:val="22"/>
          <w:szCs w:val="22"/>
        </w:rPr>
        <w:t xml:space="preserve">  </w:t>
      </w:r>
    </w:p>
    <w:p w14:paraId="169874D6" w14:textId="6B610CA7" w:rsidR="00C97A9C" w:rsidRDefault="00A93F7A" w:rsidP="005D44DB">
      <w:pPr>
        <w:pStyle w:val="Paragraph"/>
        <w:numPr>
          <w:ilvl w:val="1"/>
          <w:numId w:val="0"/>
        </w:numPr>
        <w:outlineLvl w:val="9"/>
        <w:rPr>
          <w:rFonts w:ascii="Arial" w:hAnsi="Arial" w:cs="Arial"/>
          <w:sz w:val="22"/>
          <w:szCs w:val="22"/>
        </w:rPr>
      </w:pPr>
      <w:r w:rsidRPr="00A93F7A">
        <w:rPr>
          <w:noProof/>
        </w:rPr>
        <w:drawing>
          <wp:inline distT="0" distB="0" distL="0" distR="0" wp14:anchorId="0C3B2688" wp14:editId="73DA18DF">
            <wp:extent cx="5786120" cy="1610360"/>
            <wp:effectExtent l="0" t="0" r="5080" b="889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86120" cy="1610360"/>
                    </a:xfrm>
                    <a:prstGeom prst="rect">
                      <a:avLst/>
                    </a:prstGeom>
                    <a:noFill/>
                    <a:ln>
                      <a:noFill/>
                    </a:ln>
                  </pic:spPr>
                </pic:pic>
              </a:graphicData>
            </a:graphic>
          </wp:inline>
        </w:drawing>
      </w:r>
    </w:p>
    <w:p w14:paraId="2AAAB957" w14:textId="2C9480B5" w:rsidR="00B722A8" w:rsidRDefault="00915E29" w:rsidP="005D44DB">
      <w:pPr>
        <w:pStyle w:val="Paragraph"/>
        <w:numPr>
          <w:ilvl w:val="1"/>
          <w:numId w:val="0"/>
        </w:numPr>
        <w:ind w:left="720" w:hanging="720"/>
        <w:outlineLvl w:val="9"/>
        <w:rPr>
          <w:rFonts w:ascii="Arial" w:hAnsi="Arial" w:cs="Arial"/>
          <w:sz w:val="22"/>
          <w:szCs w:val="22"/>
        </w:rPr>
      </w:pPr>
      <w:r>
        <w:rPr>
          <w:rFonts w:ascii="Arial" w:hAnsi="Arial" w:cs="Arial"/>
          <w:sz w:val="22"/>
          <w:szCs w:val="22"/>
        </w:rPr>
        <w:t>III.11</w:t>
      </w:r>
      <w:r>
        <w:rPr>
          <w:rFonts w:ascii="Arial" w:hAnsi="Arial" w:cs="Arial"/>
          <w:sz w:val="22"/>
          <w:szCs w:val="22"/>
        </w:rPr>
        <w:tab/>
      </w:r>
      <w:r w:rsidR="005368D8">
        <w:rPr>
          <w:rFonts w:ascii="Arial" w:hAnsi="Arial" w:cs="Arial"/>
          <w:sz w:val="22"/>
          <w:szCs w:val="22"/>
        </w:rPr>
        <w:t>Adicionalmente a los gastos de implementación del programa, se han descontado el ahorro que se logra en el presupuesto inicial como consecuencia de la</w:t>
      </w:r>
      <w:r w:rsidR="00252D49">
        <w:rPr>
          <w:rFonts w:ascii="Arial" w:hAnsi="Arial" w:cs="Arial"/>
          <w:sz w:val="22"/>
          <w:szCs w:val="22"/>
        </w:rPr>
        <w:t xml:space="preserve"> </w:t>
      </w:r>
      <w:r w:rsidR="00A93F7A">
        <w:rPr>
          <w:rFonts w:ascii="Arial" w:hAnsi="Arial" w:cs="Arial"/>
          <w:sz w:val="22"/>
          <w:szCs w:val="22"/>
        </w:rPr>
        <w:t>introducción</w:t>
      </w:r>
      <w:r w:rsidR="005368D8">
        <w:rPr>
          <w:rFonts w:ascii="Arial" w:hAnsi="Arial" w:cs="Arial"/>
          <w:sz w:val="22"/>
          <w:szCs w:val="22"/>
        </w:rPr>
        <w:t xml:space="preserve"> de los nuevos equipos y procedimientos</w:t>
      </w:r>
      <w:r w:rsidR="00252D49">
        <w:rPr>
          <w:rFonts w:ascii="Arial" w:hAnsi="Arial" w:cs="Arial"/>
          <w:sz w:val="22"/>
          <w:szCs w:val="22"/>
        </w:rPr>
        <w:t xml:space="preserve">. Los nuevos equipos tecnológicos permiten ahorros en los presupuestos del SRI y el SENAE. La elaboración de notificaciones en papel a los contribuyentes y su </w:t>
      </w:r>
      <w:r w:rsidR="00E81064">
        <w:rPr>
          <w:rFonts w:ascii="Arial" w:hAnsi="Arial" w:cs="Arial"/>
          <w:sz w:val="22"/>
          <w:szCs w:val="22"/>
        </w:rPr>
        <w:t>envío</w:t>
      </w:r>
      <w:r w:rsidR="00252D49">
        <w:rPr>
          <w:rFonts w:ascii="Arial" w:hAnsi="Arial" w:cs="Arial"/>
          <w:sz w:val="22"/>
          <w:szCs w:val="22"/>
        </w:rPr>
        <w:t xml:space="preserve"> a los domicilios fiscales es un costo administrativo que será reducido al introducirse la notificación electrónica. Similares costos administrativos podrán lograrse en otros procedimientos como en la compilación de información de los contribuyentes sujetos a auditorias y otros procedimientos masivos que actualmente se realizan manualmente.  </w:t>
      </w:r>
      <w:r w:rsidR="005368D8">
        <w:rPr>
          <w:rFonts w:ascii="Arial" w:hAnsi="Arial" w:cs="Arial"/>
          <w:sz w:val="22"/>
          <w:szCs w:val="22"/>
        </w:rPr>
        <w:t xml:space="preserve">  </w:t>
      </w:r>
    </w:p>
    <w:p w14:paraId="58AECC44" w14:textId="0296314E" w:rsidR="00B27F86" w:rsidRDefault="00A1100B" w:rsidP="005D44DB">
      <w:pPr>
        <w:pStyle w:val="Chapter"/>
        <w:numPr>
          <w:ilvl w:val="0"/>
          <w:numId w:val="2"/>
        </w:numPr>
        <w:tabs>
          <w:tab w:val="clear" w:pos="1440"/>
          <w:tab w:val="clear" w:pos="1800"/>
        </w:tabs>
        <w:ind w:left="720" w:hanging="720"/>
        <w:outlineLvl w:val="0"/>
        <w:rPr>
          <w:rFonts w:ascii="Arial" w:hAnsi="Arial" w:cs="Arial"/>
          <w:sz w:val="22"/>
          <w:szCs w:val="22"/>
          <w:lang w:val="es-ES_tradnl"/>
        </w:rPr>
      </w:pPr>
      <w:bookmarkStart w:id="20" w:name="_Toc30183892"/>
      <w:bookmarkEnd w:id="19"/>
      <w:r>
        <w:rPr>
          <w:rFonts w:ascii="Arial" w:hAnsi="Arial" w:cs="Arial"/>
          <w:sz w:val="22"/>
          <w:szCs w:val="22"/>
          <w:lang w:val="es-ES_tradnl"/>
        </w:rPr>
        <w:t xml:space="preserve">Presupuesto de los </w:t>
      </w:r>
      <w:r w:rsidR="005D196C" w:rsidRPr="009C0E1F">
        <w:rPr>
          <w:rFonts w:ascii="Arial" w:hAnsi="Arial" w:cs="Arial"/>
          <w:sz w:val="22"/>
          <w:szCs w:val="22"/>
          <w:lang w:val="es-ES_tradnl"/>
        </w:rPr>
        <w:t>Componentes y Productos del Pr</w:t>
      </w:r>
      <w:r>
        <w:rPr>
          <w:rFonts w:ascii="Arial" w:hAnsi="Arial" w:cs="Arial"/>
          <w:sz w:val="22"/>
          <w:szCs w:val="22"/>
          <w:lang w:val="es-ES_tradnl"/>
        </w:rPr>
        <w:t>ograma</w:t>
      </w:r>
      <w:bookmarkEnd w:id="20"/>
    </w:p>
    <w:p w14:paraId="31BAC278" w14:textId="73A8A350" w:rsidR="00C85C09" w:rsidRPr="00497415" w:rsidRDefault="00720CE6" w:rsidP="00497415">
      <w:pPr>
        <w:pStyle w:val="ListParagraph"/>
        <w:numPr>
          <w:ilvl w:val="1"/>
          <w:numId w:val="2"/>
        </w:numPr>
        <w:tabs>
          <w:tab w:val="clear" w:pos="1296"/>
        </w:tabs>
        <w:spacing w:before="120" w:after="120" w:line="240" w:lineRule="auto"/>
        <w:ind w:left="720" w:hanging="720"/>
        <w:contextualSpacing w:val="0"/>
        <w:jc w:val="both"/>
        <w:rPr>
          <w:rFonts w:ascii="Arial" w:hAnsi="Arial" w:cs="Arial"/>
          <w:bCs/>
          <w:color w:val="000000" w:themeColor="text1"/>
          <w:lang w:val="es-ES_tradnl"/>
        </w:rPr>
      </w:pPr>
      <w:bookmarkStart w:id="21" w:name="_Hlk23519136"/>
      <w:r w:rsidRPr="00497415">
        <w:rPr>
          <w:rFonts w:ascii="Arial" w:hAnsi="Arial" w:cs="Arial"/>
          <w:bCs/>
          <w:color w:val="000000" w:themeColor="text1"/>
          <w:lang w:val="es-ES_tradnl"/>
        </w:rPr>
        <w:t>El objetivo general de desarrollo es reforzar la capacidad de gestión del SRI y del SENAE para incrementar los ingresos tributarios como porcentaje del Producto Interno Bruto (PIB) y para aumentar la competitividad económica con un mejor clima para el comercio exterior y la inversión. Los objetivos de desarrollo específicos son: (i) incrementar la eficacia operativa del SRI en el área de control tributario; (ii) incrementar la eficacia operativa del SENAE en el área del control aduanero; y (</w:t>
      </w:r>
      <w:proofErr w:type="spellStart"/>
      <w:r w:rsidRPr="00497415">
        <w:rPr>
          <w:rFonts w:ascii="Arial" w:hAnsi="Arial" w:cs="Arial"/>
          <w:bCs/>
          <w:color w:val="000000" w:themeColor="text1"/>
          <w:lang w:val="es-ES_tradnl"/>
        </w:rPr>
        <w:t>iii</w:t>
      </w:r>
      <w:proofErr w:type="spellEnd"/>
      <w:r w:rsidRPr="00497415">
        <w:rPr>
          <w:rFonts w:ascii="Arial" w:hAnsi="Arial" w:cs="Arial"/>
          <w:bCs/>
          <w:color w:val="000000" w:themeColor="text1"/>
          <w:lang w:val="es-ES_tradnl"/>
        </w:rPr>
        <w:t>) incrementar la calidad de los servicios a los Operadores de Comercio Exterior (OCE).</w:t>
      </w:r>
    </w:p>
    <w:p w14:paraId="765A7EC3" w14:textId="77777777" w:rsidR="0001252F" w:rsidRPr="0001252F" w:rsidRDefault="0001252F" w:rsidP="00497415">
      <w:pPr>
        <w:pStyle w:val="ListParagraph"/>
        <w:numPr>
          <w:ilvl w:val="1"/>
          <w:numId w:val="2"/>
        </w:numPr>
        <w:tabs>
          <w:tab w:val="clear" w:pos="1296"/>
        </w:tabs>
        <w:spacing w:before="120" w:after="120" w:line="240" w:lineRule="auto"/>
        <w:ind w:left="720" w:hanging="720"/>
        <w:contextualSpacing w:val="0"/>
        <w:jc w:val="both"/>
        <w:rPr>
          <w:rFonts w:ascii="Arial" w:eastAsia="Calibri" w:hAnsi="Arial" w:cs="Arial"/>
          <w:b/>
          <w:lang w:val="es-ES_tradnl" w:eastAsia="x-none"/>
        </w:rPr>
      </w:pPr>
      <w:r w:rsidRPr="0001252F">
        <w:rPr>
          <w:rFonts w:ascii="Arial" w:eastAsia="Calibri" w:hAnsi="Arial" w:cs="Arial"/>
          <w:b/>
          <w:bCs/>
          <w:lang w:val="es-ES_tradnl" w:eastAsia="x-none"/>
        </w:rPr>
        <w:t xml:space="preserve">Componente 1. Fortalecimiento institucional del SRI (US$58.811.401, desglosado en US$32.317.191 (BID), US$23.083.708 (KIF) y US$3.410.502 (Local)). Subcomponente 1.1. Migración al CDS-CNT (US$1.104.143, desglosado en US$644.083 (BID) y US$460.060 (KIF)). </w:t>
      </w:r>
      <w:r w:rsidRPr="0001252F">
        <w:rPr>
          <w:rFonts w:ascii="Arial" w:eastAsia="Calibri" w:hAnsi="Arial" w:cs="Arial"/>
          <w:lang w:val="es-ES_tradnl" w:eastAsia="x-none"/>
        </w:rPr>
        <w:t>S</w:t>
      </w:r>
      <w:r w:rsidRPr="0001252F">
        <w:rPr>
          <w:rFonts w:ascii="Arial" w:eastAsia="Calibri" w:hAnsi="Arial" w:cs="Arial"/>
          <w:bCs/>
          <w:lang w:val="es-ES_tradnl" w:eastAsia="x-none"/>
        </w:rPr>
        <w:t xml:space="preserve">oluciona el problema del CD </w:t>
      </w:r>
      <w:r w:rsidRPr="0001252F">
        <w:rPr>
          <w:rFonts w:ascii="Arial" w:eastAsia="Calibri" w:hAnsi="Arial" w:cs="Arial"/>
          <w:color w:val="000000"/>
          <w:lang w:val="es-BO" w:eastAsia="x-none"/>
        </w:rPr>
        <w:t>con la migración al CDS-CNT, lo cual asegura la sostenibilidad del programa y lo adecúa a buenas prácticas internacionales. Para ello se financiará: (i) trabajos de acondicionamiento del espacio arrendado por el SRI en el CDS</w:t>
      </w:r>
      <w:r w:rsidRPr="0001252F">
        <w:rPr>
          <w:rFonts w:ascii="Arial" w:eastAsia="Calibri" w:hAnsi="Arial" w:cs="Arial"/>
          <w:color w:val="000000"/>
          <w:lang w:val="es-BO" w:eastAsia="x-none"/>
        </w:rPr>
        <w:noBreakHyphen/>
        <w:t>CNT; y (ii) migración de los EPI y gastos necesarios hasta su puesta en funcionamiento. El espacio deberá considerar criterios de eficiencia energética, tales como aire acondicionado e iluminación eficientes</w:t>
      </w:r>
      <w:r w:rsidRPr="0001252F">
        <w:rPr>
          <w:rFonts w:ascii="Arial" w:eastAsia="Calibri" w:hAnsi="Arial" w:cs="Arial"/>
          <w:color w:val="000000"/>
          <w:vertAlign w:val="superscript"/>
          <w:lang w:val="es-BO" w:eastAsia="x-none"/>
        </w:rPr>
        <w:footnoteReference w:id="21"/>
      </w:r>
      <w:r w:rsidRPr="0001252F">
        <w:rPr>
          <w:rFonts w:ascii="Arial" w:eastAsia="Calibri" w:hAnsi="Arial" w:cs="Arial"/>
          <w:color w:val="000000"/>
          <w:lang w:val="es-BO" w:eastAsia="x-none"/>
        </w:rPr>
        <w:t>.</w:t>
      </w:r>
    </w:p>
    <w:p w14:paraId="08BE0591" w14:textId="77777777" w:rsidR="0001252F" w:rsidRPr="0001252F" w:rsidRDefault="0001252F" w:rsidP="00497415">
      <w:pPr>
        <w:pStyle w:val="ListParagraph"/>
        <w:numPr>
          <w:ilvl w:val="1"/>
          <w:numId w:val="2"/>
        </w:numPr>
        <w:tabs>
          <w:tab w:val="clear" w:pos="1296"/>
        </w:tabs>
        <w:spacing w:before="120" w:after="120" w:line="240" w:lineRule="auto"/>
        <w:ind w:left="720" w:hanging="720"/>
        <w:contextualSpacing w:val="0"/>
        <w:jc w:val="both"/>
        <w:rPr>
          <w:rFonts w:ascii="Arial" w:eastAsia="Calibri" w:hAnsi="Arial" w:cs="Arial"/>
          <w:b/>
          <w:bCs/>
          <w:lang w:val="es-ES_tradnl" w:eastAsia="x-none"/>
        </w:rPr>
      </w:pPr>
      <w:r w:rsidRPr="0001252F">
        <w:rPr>
          <w:rFonts w:ascii="Arial" w:eastAsia="Calibri" w:hAnsi="Arial" w:cs="Arial"/>
          <w:b/>
          <w:bCs/>
          <w:lang w:val="es-ES_tradnl" w:eastAsia="x-none"/>
        </w:rPr>
        <w:t xml:space="preserve">Subcomponente 1.2. Renovación tecnológica (US$39.530.488, desglosado en US$21.069.992 (BID), US$15.049.994 (KIF) y US$3.410.502 (Local)). </w:t>
      </w:r>
      <w:r w:rsidRPr="0001252F">
        <w:rPr>
          <w:rFonts w:ascii="Arial" w:eastAsia="Calibri" w:hAnsi="Arial" w:cs="Arial"/>
          <w:lang w:val="es-ES_tradnl" w:eastAsia="x-none"/>
        </w:rPr>
        <w:t>C</w:t>
      </w:r>
      <w:r w:rsidRPr="0001252F">
        <w:rPr>
          <w:rFonts w:ascii="Arial" w:eastAsia="Calibri" w:hAnsi="Arial" w:cs="Arial"/>
          <w:bCs/>
          <w:lang w:val="es-ES_tradnl" w:eastAsia="x-none"/>
        </w:rPr>
        <w:t xml:space="preserve">ontribuye a solucionar la brecha de infraestructura tecnológica. </w:t>
      </w:r>
      <w:r w:rsidRPr="0001252F">
        <w:rPr>
          <w:rFonts w:ascii="Arial" w:eastAsia="Calibri" w:hAnsi="Arial" w:cs="Arial"/>
          <w:lang w:val="es-ES_tradnl" w:eastAsia="x-none"/>
        </w:rPr>
        <w:t xml:space="preserve">Comprende la renovación de </w:t>
      </w:r>
      <w:r w:rsidRPr="0001252F">
        <w:rPr>
          <w:rFonts w:ascii="Arial" w:eastAsia="Calibri" w:hAnsi="Arial" w:cs="Arial"/>
          <w:i/>
          <w:iCs/>
          <w:lang w:val="es-ES_tradnl" w:eastAsia="x-none"/>
        </w:rPr>
        <w:lastRenderedPageBreak/>
        <w:t>hardware</w:t>
      </w:r>
      <w:r w:rsidRPr="0001252F">
        <w:rPr>
          <w:rFonts w:ascii="Arial" w:eastAsia="Calibri" w:hAnsi="Arial" w:cs="Arial"/>
          <w:lang w:val="es-ES_tradnl" w:eastAsia="x-none"/>
        </w:rPr>
        <w:t xml:space="preserve"> para el CD principal</w:t>
      </w:r>
      <w:r w:rsidRPr="0001252F">
        <w:rPr>
          <w:rFonts w:ascii="Arial" w:eastAsia="Calibri" w:hAnsi="Arial" w:cs="Arial"/>
          <w:vertAlign w:val="superscript"/>
          <w:lang w:val="es-ES_tradnl" w:eastAsia="x-none"/>
        </w:rPr>
        <w:footnoteReference w:id="22"/>
      </w:r>
      <w:r w:rsidRPr="0001252F">
        <w:rPr>
          <w:rFonts w:ascii="Arial" w:eastAsia="Calibri" w:hAnsi="Arial" w:cs="Arial"/>
          <w:lang w:val="es-ES_tradnl" w:eastAsia="x-none"/>
        </w:rPr>
        <w:t>, ubicado en el CDS</w:t>
      </w:r>
      <w:r w:rsidRPr="0001252F">
        <w:rPr>
          <w:rFonts w:ascii="Arial" w:eastAsia="Calibri" w:hAnsi="Arial" w:cs="Arial"/>
          <w:lang w:val="es-ES_tradnl" w:eastAsia="x-none"/>
        </w:rPr>
        <w:noBreakHyphen/>
        <w:t>CNT, y el centro alterno</w:t>
      </w:r>
      <w:r w:rsidRPr="0001252F">
        <w:rPr>
          <w:rFonts w:ascii="Arial" w:eastAsia="Calibri" w:hAnsi="Arial" w:cs="Arial"/>
          <w:vertAlign w:val="superscript"/>
          <w:lang w:val="es-ES_tradnl" w:eastAsia="x-none"/>
        </w:rPr>
        <w:footnoteReference w:id="23"/>
      </w:r>
      <w:r w:rsidRPr="0001252F">
        <w:rPr>
          <w:rFonts w:ascii="Arial" w:eastAsia="Calibri" w:hAnsi="Arial" w:cs="Arial"/>
          <w:lang w:val="es-ES_tradnl" w:eastAsia="x-none"/>
        </w:rPr>
        <w:t>, incluyendo: (i) equipamiento para comunicaciones, seguridad (incluyendo ciberseguridad) e infraestructura de aplicaciones, con sus respectivos diseños conceptuales, planes de gestión, adquisiciones e implementación; y (ii) automatización de procesos tecnológicos.</w:t>
      </w:r>
    </w:p>
    <w:p w14:paraId="7CE82F90" w14:textId="77777777" w:rsidR="0001252F" w:rsidRPr="0001252F" w:rsidRDefault="0001252F" w:rsidP="00497415">
      <w:pPr>
        <w:pStyle w:val="ListParagraph"/>
        <w:numPr>
          <w:ilvl w:val="1"/>
          <w:numId w:val="2"/>
        </w:numPr>
        <w:tabs>
          <w:tab w:val="clear" w:pos="1296"/>
        </w:tabs>
        <w:spacing w:before="120" w:after="120" w:line="240" w:lineRule="auto"/>
        <w:ind w:left="720" w:hanging="720"/>
        <w:contextualSpacing w:val="0"/>
        <w:jc w:val="both"/>
        <w:rPr>
          <w:rFonts w:ascii="Arial" w:eastAsia="Calibri" w:hAnsi="Arial" w:cs="Arial"/>
          <w:b/>
          <w:bCs/>
          <w:lang w:val="es-ES_tradnl" w:eastAsia="x-none"/>
        </w:rPr>
      </w:pPr>
      <w:r w:rsidRPr="0001252F">
        <w:rPr>
          <w:rFonts w:ascii="Arial" w:eastAsia="Calibri" w:hAnsi="Arial" w:cs="Arial"/>
          <w:b/>
          <w:bCs/>
          <w:lang w:val="es-ES_tradnl" w:eastAsia="x-none"/>
        </w:rPr>
        <w:t xml:space="preserve">Subcomponente 1.3. </w:t>
      </w:r>
      <w:r w:rsidRPr="0001252F">
        <w:rPr>
          <w:rFonts w:ascii="Arial" w:eastAsia="Calibri" w:hAnsi="Arial" w:cs="Arial"/>
          <w:b/>
          <w:bCs/>
          <w:color w:val="000000"/>
          <w:lang w:val="es-AR" w:eastAsia="x-none"/>
        </w:rPr>
        <w:t>Innovación y mejora en los procesos de control tributario (US$18.176.770,</w:t>
      </w:r>
      <w:r w:rsidRPr="0001252F">
        <w:rPr>
          <w:rFonts w:ascii="Arial" w:eastAsia="Calibri" w:hAnsi="Arial" w:cs="Arial"/>
          <w:b/>
          <w:bCs/>
          <w:lang w:val="es-ES_tradnl" w:eastAsia="x-none"/>
        </w:rPr>
        <w:t xml:space="preserve"> desglosado en US$10.603.116 (BID) y US$7.573.654 (KIF</w:t>
      </w:r>
      <w:r w:rsidRPr="0001252F">
        <w:rPr>
          <w:rFonts w:ascii="Arial" w:eastAsia="Calibri" w:hAnsi="Arial" w:cs="Arial"/>
          <w:b/>
          <w:bCs/>
          <w:color w:val="000000"/>
          <w:lang w:val="es-AR" w:eastAsia="x-none"/>
        </w:rPr>
        <w:t>)).</w:t>
      </w:r>
      <w:r w:rsidRPr="0001252F">
        <w:rPr>
          <w:rFonts w:ascii="Arial" w:eastAsia="Calibri" w:hAnsi="Arial" w:cs="Arial"/>
          <w:bCs/>
          <w:lang w:val="es-ES_tradnl" w:eastAsia="x-none"/>
        </w:rPr>
        <w:t xml:space="preserve"> Contribuirá a resolver las ineficacias en los procesos de control tributario con </w:t>
      </w:r>
      <w:r w:rsidRPr="0001252F">
        <w:rPr>
          <w:rFonts w:ascii="Arial" w:eastAsia="Calibri" w:hAnsi="Arial" w:cs="Arial"/>
          <w:color w:val="000000"/>
          <w:lang w:val="es-AR" w:eastAsia="x-none"/>
        </w:rPr>
        <w:t xml:space="preserve">los desarrollos del </w:t>
      </w:r>
      <w:r w:rsidRPr="0001252F">
        <w:rPr>
          <w:rFonts w:ascii="Arial" w:eastAsia="Calibri" w:hAnsi="Arial" w:cs="Arial"/>
          <w:lang w:val="es-ES_tradnl" w:eastAsia="x-none"/>
        </w:rPr>
        <w:t>portafolio “Innova” para hacer más eficaz y oportuna la gestión del control. Se financiarán los siguientes productos:</w:t>
      </w:r>
    </w:p>
    <w:p w14:paraId="7275A7BD" w14:textId="77777777" w:rsidR="0001252F" w:rsidRPr="0001252F" w:rsidRDefault="0001252F" w:rsidP="00497415">
      <w:pPr>
        <w:numPr>
          <w:ilvl w:val="0"/>
          <w:numId w:val="15"/>
        </w:numPr>
        <w:spacing w:before="120" w:after="120" w:line="240" w:lineRule="auto"/>
        <w:ind w:left="1260" w:hanging="540"/>
        <w:jc w:val="both"/>
        <w:rPr>
          <w:rFonts w:ascii="Arial" w:eastAsia="Calibri" w:hAnsi="Arial" w:cs="Arial"/>
          <w:bCs/>
          <w:lang w:val="es-ES"/>
        </w:rPr>
      </w:pPr>
      <w:r w:rsidRPr="0001252F">
        <w:rPr>
          <w:rFonts w:ascii="Arial" w:eastAsia="Calibri" w:hAnsi="Arial" w:cs="Arial"/>
          <w:bCs/>
          <w:lang w:val="es-ES"/>
        </w:rPr>
        <w:t>Modelo de control catastral de vehículos motorizados incluyendo: (a) rediseño de procesos; (b) diseño conceptual y funcional, incluyendo casos de uso y reglas de negocio; (c) desarrollo de componentes e integración de subsistemas; (d) virtualización; (e)capacitación; y (f) gestión del cambio;</w:t>
      </w:r>
    </w:p>
    <w:p w14:paraId="26B0E464" w14:textId="77777777" w:rsidR="0001252F" w:rsidRPr="0001252F" w:rsidRDefault="0001252F" w:rsidP="00497415">
      <w:pPr>
        <w:numPr>
          <w:ilvl w:val="0"/>
          <w:numId w:val="15"/>
        </w:numPr>
        <w:spacing w:before="120" w:after="120" w:line="240" w:lineRule="auto"/>
        <w:ind w:left="1260" w:hanging="540"/>
        <w:jc w:val="both"/>
        <w:rPr>
          <w:rFonts w:ascii="Arial" w:eastAsia="Calibri" w:hAnsi="Arial" w:cs="Arial"/>
          <w:bCs/>
          <w:lang w:val="es-ES"/>
        </w:rPr>
      </w:pPr>
      <w:r w:rsidRPr="0001252F">
        <w:rPr>
          <w:rFonts w:ascii="Arial" w:eastAsia="Calibri" w:hAnsi="Arial" w:cs="Arial"/>
          <w:bCs/>
          <w:lang w:val="es-ES"/>
        </w:rPr>
        <w:t>Sistema CEL repotenciado, incluyendo: (a) rediseño de procesos para optimizar el modelo vigente; (b) desarrollo de un plan de masificación, con catálogo estandarizado de productos estratificados; (c) diseño conceptual y funcional de sistemas, incluyendo el aplicativo gratuito para emisión de CEL; (d) desarrollo de componentes e integración de subsistemas; (e) capacitación; y (f) gestión del cambio;</w:t>
      </w:r>
    </w:p>
    <w:p w14:paraId="6B368500" w14:textId="77777777" w:rsidR="0001252F" w:rsidRPr="0001252F" w:rsidRDefault="0001252F" w:rsidP="00497415">
      <w:pPr>
        <w:numPr>
          <w:ilvl w:val="0"/>
          <w:numId w:val="15"/>
        </w:numPr>
        <w:spacing w:before="120" w:after="120" w:line="240" w:lineRule="auto"/>
        <w:ind w:left="1260" w:hanging="540"/>
        <w:jc w:val="both"/>
        <w:rPr>
          <w:rFonts w:ascii="Arial" w:eastAsia="Calibri" w:hAnsi="Arial" w:cs="Arial"/>
          <w:bCs/>
          <w:lang w:val="es-ES"/>
        </w:rPr>
      </w:pPr>
      <w:r w:rsidRPr="0001252F">
        <w:rPr>
          <w:rFonts w:ascii="Arial" w:eastAsia="Calibri" w:hAnsi="Arial" w:cs="Arial"/>
          <w:bCs/>
          <w:lang w:val="es-ES"/>
        </w:rPr>
        <w:t>Sistema de “Gestión de Casos” implementado, incluyendo: (a) diseño conceptual y funcional; (b) plan de automatización de procesos por componentes; (c) desarrollo de componentes para automatizar procesos e integración de subsistemas; (d) capacitación; y (e) gestión del cambio;</w:t>
      </w:r>
    </w:p>
    <w:p w14:paraId="25994571" w14:textId="77777777" w:rsidR="0001252F" w:rsidRPr="0001252F" w:rsidRDefault="0001252F" w:rsidP="00497415">
      <w:pPr>
        <w:numPr>
          <w:ilvl w:val="0"/>
          <w:numId w:val="15"/>
        </w:numPr>
        <w:spacing w:before="120" w:after="120" w:line="240" w:lineRule="auto"/>
        <w:ind w:left="1260" w:hanging="540"/>
        <w:jc w:val="both"/>
        <w:rPr>
          <w:rFonts w:ascii="Arial" w:eastAsia="Calibri" w:hAnsi="Arial" w:cs="Arial"/>
          <w:b/>
          <w:bCs/>
          <w:lang w:val="es-ES"/>
        </w:rPr>
      </w:pPr>
      <w:r w:rsidRPr="0001252F">
        <w:rPr>
          <w:rFonts w:ascii="Arial" w:eastAsia="Calibri" w:hAnsi="Arial" w:cs="Arial"/>
          <w:bCs/>
          <w:lang w:val="es-ES"/>
        </w:rPr>
        <w:t>Procesos genéricos repotenciados, incluyendo:</w:t>
      </w:r>
      <w:r w:rsidRPr="0001252F">
        <w:rPr>
          <w:rFonts w:ascii="Arial" w:eastAsia="Calibri" w:hAnsi="Arial" w:cs="Arial"/>
          <w:lang w:val="es-ES"/>
        </w:rPr>
        <w:t xml:space="preserve"> </w:t>
      </w:r>
      <w:r w:rsidRPr="0001252F">
        <w:rPr>
          <w:rFonts w:ascii="Arial" w:eastAsia="Calibri" w:hAnsi="Arial" w:cs="Arial"/>
          <w:color w:val="000000"/>
          <w:lang w:val="es-BO"/>
        </w:rPr>
        <w:t xml:space="preserve">(a) mejora en el diseño conceptual y funcional; (b) desarrollo de componentes para soportar los procesos automatizados en gestión de casos e integración de subsistemas; (d) capacitación; </w:t>
      </w:r>
      <w:r w:rsidRPr="0001252F">
        <w:rPr>
          <w:rFonts w:ascii="Arial" w:eastAsia="Calibri" w:hAnsi="Arial" w:cs="Arial"/>
          <w:color w:val="000000"/>
          <w:lang w:val="es-AR"/>
        </w:rPr>
        <w:t>y (d) gestión del cambio;</w:t>
      </w:r>
    </w:p>
    <w:p w14:paraId="0409BE05" w14:textId="77777777" w:rsidR="0001252F" w:rsidRPr="0001252F" w:rsidRDefault="0001252F" w:rsidP="00497415">
      <w:pPr>
        <w:numPr>
          <w:ilvl w:val="0"/>
          <w:numId w:val="15"/>
        </w:numPr>
        <w:spacing w:before="120" w:after="120" w:line="240" w:lineRule="auto"/>
        <w:ind w:left="1260" w:hanging="540"/>
        <w:jc w:val="both"/>
        <w:rPr>
          <w:rFonts w:ascii="Arial" w:eastAsia="Calibri" w:hAnsi="Arial" w:cs="Arial"/>
          <w:bCs/>
          <w:lang w:val="es-ES"/>
        </w:rPr>
      </w:pPr>
      <w:r w:rsidRPr="0001252F">
        <w:rPr>
          <w:rFonts w:ascii="Arial" w:eastAsia="Calibri" w:hAnsi="Arial" w:cs="Arial"/>
          <w:bCs/>
          <w:lang w:val="es-ES"/>
        </w:rPr>
        <w:t xml:space="preserve">Expediente integral del contribuyente, incluyendo: (a) conceptualización del expediente y rediseño de procesos; (b) diseño conceptual y funcional de sistemas; (c) desarrollo de componentes e integración de subsistemas; (d) la integración y disponibilidad de los registros de pistas de auditoría que generan las aplicaciones (e) gestión del cambio; y (f) capacitación; </w:t>
      </w:r>
    </w:p>
    <w:p w14:paraId="04CB819D" w14:textId="77777777" w:rsidR="0001252F" w:rsidRPr="0001252F" w:rsidRDefault="0001252F" w:rsidP="00497415">
      <w:pPr>
        <w:numPr>
          <w:ilvl w:val="0"/>
          <w:numId w:val="15"/>
        </w:numPr>
        <w:spacing w:before="120" w:after="120" w:line="240" w:lineRule="auto"/>
        <w:ind w:left="1260" w:hanging="540"/>
        <w:jc w:val="both"/>
        <w:rPr>
          <w:rFonts w:ascii="Arial" w:eastAsia="Calibri" w:hAnsi="Arial" w:cs="Arial"/>
          <w:b/>
          <w:bCs/>
          <w:lang w:val="es-ES"/>
        </w:rPr>
      </w:pPr>
      <w:r w:rsidRPr="0001252F">
        <w:rPr>
          <w:rFonts w:ascii="Arial" w:eastAsia="Calibri" w:hAnsi="Arial" w:cs="Arial"/>
          <w:color w:val="000000"/>
          <w:lang w:val="es-AR"/>
        </w:rPr>
        <w:t>Modelo de GIR, incluyendo:</w:t>
      </w:r>
      <w:r w:rsidRPr="0001252F">
        <w:rPr>
          <w:rFonts w:ascii="Arial" w:eastAsia="Calibri" w:hAnsi="Arial" w:cs="Arial"/>
          <w:color w:val="231F20"/>
          <w:lang w:val="es-ES"/>
        </w:rPr>
        <w:t xml:space="preserve"> (a) rediseño de procesos; (b) diseño conceptual y funcional de sistemas; (c) </w:t>
      </w:r>
      <w:r w:rsidRPr="0001252F">
        <w:rPr>
          <w:rFonts w:ascii="Arial" w:eastAsia="Calibri" w:hAnsi="Arial" w:cs="Arial"/>
          <w:color w:val="000000"/>
          <w:lang w:val="es-ES"/>
        </w:rPr>
        <w:t>desarrollo de componentes e integración de subsistemas</w:t>
      </w:r>
      <w:r w:rsidRPr="0001252F">
        <w:rPr>
          <w:rFonts w:ascii="Arial" w:eastAsia="Calibri" w:hAnsi="Arial" w:cs="Arial"/>
          <w:color w:val="231F20"/>
          <w:lang w:val="es-ES"/>
        </w:rPr>
        <w:t>; (d) automatización de procesos; (e) capacitación; y (f) gestión del cambio;</w:t>
      </w:r>
    </w:p>
    <w:p w14:paraId="0E381591" w14:textId="77777777" w:rsidR="0001252F" w:rsidRPr="0001252F" w:rsidRDefault="0001252F" w:rsidP="00497415">
      <w:pPr>
        <w:numPr>
          <w:ilvl w:val="0"/>
          <w:numId w:val="15"/>
        </w:numPr>
        <w:spacing w:before="120" w:after="120" w:line="240" w:lineRule="auto"/>
        <w:ind w:left="1260" w:hanging="540"/>
        <w:jc w:val="both"/>
        <w:rPr>
          <w:rFonts w:ascii="Arial" w:eastAsia="Calibri" w:hAnsi="Arial" w:cs="Arial"/>
          <w:lang w:val="es-ES"/>
        </w:rPr>
      </w:pPr>
      <w:r w:rsidRPr="0001252F">
        <w:rPr>
          <w:rFonts w:ascii="Arial" w:eastAsia="Calibri" w:hAnsi="Arial" w:cs="Arial"/>
          <w:bCs/>
          <w:lang w:val="es-ES"/>
        </w:rPr>
        <w:t xml:space="preserve">Sistema </w:t>
      </w:r>
      <w:r w:rsidRPr="0001252F">
        <w:rPr>
          <w:rFonts w:ascii="Arial" w:eastAsia="Calibri" w:hAnsi="Arial" w:cs="Arial"/>
          <w:lang w:val="es-ES"/>
        </w:rPr>
        <w:t xml:space="preserve">de </w:t>
      </w:r>
      <w:r w:rsidRPr="0001252F">
        <w:rPr>
          <w:rFonts w:ascii="Arial" w:eastAsia="Calibri" w:hAnsi="Arial" w:cs="Arial"/>
          <w:color w:val="000000"/>
          <w:lang w:val="es-ES"/>
        </w:rPr>
        <w:t>Gestión Documental</w:t>
      </w:r>
      <w:r w:rsidRPr="0001252F">
        <w:rPr>
          <w:rFonts w:ascii="Arial" w:eastAsia="Calibri" w:hAnsi="Arial" w:cs="Arial"/>
          <w:color w:val="000000"/>
          <w:vertAlign w:val="superscript"/>
          <w:lang w:val="es-ES"/>
        </w:rPr>
        <w:footnoteReference w:id="24"/>
      </w:r>
      <w:r w:rsidRPr="0001252F">
        <w:rPr>
          <w:rFonts w:ascii="Arial" w:eastAsia="Calibri" w:hAnsi="Arial" w:cs="Arial"/>
          <w:color w:val="000000"/>
          <w:lang w:val="es-ES"/>
        </w:rPr>
        <w:t>, incluyendo: (a) revisión de procesos de gestión documental; (b) diseño de un repositorio digital centralizado; (c) diseño conceptual y funcional de sistemas; (d) desarrollo de componentes e integración de subsistemas; (e) plan de gestión del cambio; y (f) capacitación;</w:t>
      </w:r>
    </w:p>
    <w:p w14:paraId="18A011A0" w14:textId="77777777" w:rsidR="0001252F" w:rsidRPr="0001252F" w:rsidRDefault="0001252F" w:rsidP="00497415">
      <w:pPr>
        <w:numPr>
          <w:ilvl w:val="0"/>
          <w:numId w:val="15"/>
        </w:numPr>
        <w:spacing w:before="120" w:after="120" w:line="240" w:lineRule="auto"/>
        <w:ind w:left="1260" w:hanging="540"/>
        <w:jc w:val="both"/>
        <w:rPr>
          <w:rFonts w:ascii="Arial" w:eastAsia="Calibri" w:hAnsi="Arial" w:cs="Arial"/>
          <w:b/>
          <w:lang w:val="es-ES"/>
        </w:rPr>
      </w:pPr>
      <w:r w:rsidRPr="0001252F">
        <w:rPr>
          <w:rFonts w:ascii="Arial" w:eastAsia="Calibri" w:hAnsi="Arial" w:cs="Arial"/>
          <w:color w:val="000000"/>
          <w:lang w:val="es-AR"/>
        </w:rPr>
        <w:t>Modelo de Gestión de la Información, incluyendo: (a) modelo de gobierno de información; (b) casos de negocio priorizados y levantados; (c) solución de analítica avanzada de información masiva implementada; (d) modelos de información implementados de los casos de negocio priorizados; (e) </w:t>
      </w:r>
      <w:r w:rsidRPr="0001252F">
        <w:rPr>
          <w:rFonts w:ascii="Arial" w:eastAsia="Calibri" w:hAnsi="Arial" w:cs="Arial"/>
          <w:color w:val="000000"/>
          <w:lang w:val="es-ES"/>
        </w:rPr>
        <w:t xml:space="preserve">desarrollo </w:t>
      </w:r>
      <w:r w:rsidRPr="0001252F">
        <w:rPr>
          <w:rFonts w:ascii="Arial" w:eastAsia="Calibri" w:hAnsi="Arial" w:cs="Arial"/>
          <w:color w:val="000000"/>
          <w:lang w:val="es-ES"/>
        </w:rPr>
        <w:lastRenderedPageBreak/>
        <w:t>de componentes e integración de subsistemas</w:t>
      </w:r>
      <w:r w:rsidRPr="0001252F">
        <w:rPr>
          <w:rFonts w:ascii="Arial" w:eastAsia="Calibri" w:hAnsi="Arial" w:cs="Arial"/>
          <w:color w:val="000000"/>
          <w:lang w:val="es-AR"/>
        </w:rPr>
        <w:t>; (f) productos comunicacionales por fases de entregables; (g) capacitación; y (h) gestión del cambio;</w:t>
      </w:r>
    </w:p>
    <w:p w14:paraId="4FD0F892" w14:textId="77777777" w:rsidR="0001252F" w:rsidRPr="0001252F" w:rsidRDefault="0001252F" w:rsidP="00497415">
      <w:pPr>
        <w:numPr>
          <w:ilvl w:val="0"/>
          <w:numId w:val="15"/>
        </w:numPr>
        <w:spacing w:before="120" w:after="120" w:line="240" w:lineRule="auto"/>
        <w:ind w:left="1260" w:hanging="540"/>
        <w:jc w:val="both"/>
        <w:rPr>
          <w:rFonts w:ascii="Arial" w:eastAsia="Calibri" w:hAnsi="Arial" w:cs="Arial"/>
          <w:color w:val="000000"/>
          <w:lang w:val="es-BO"/>
        </w:rPr>
      </w:pPr>
      <w:r w:rsidRPr="0001252F">
        <w:rPr>
          <w:rFonts w:ascii="Arial" w:eastAsia="Calibri" w:hAnsi="Arial" w:cs="Arial"/>
          <w:color w:val="000000"/>
          <w:lang w:val="es-AR"/>
        </w:rPr>
        <w:t xml:space="preserve">Sistema de Gestión </w:t>
      </w:r>
      <w:r w:rsidRPr="0001252F">
        <w:rPr>
          <w:rFonts w:ascii="Arial" w:eastAsia="Calibri" w:hAnsi="Arial" w:cs="Arial"/>
          <w:color w:val="000000"/>
          <w:lang w:val="es-ES"/>
        </w:rPr>
        <w:t xml:space="preserve">por Competencias del Talento Humano: </w:t>
      </w:r>
      <w:r w:rsidRPr="0001252F">
        <w:rPr>
          <w:rFonts w:ascii="Arial" w:eastAsia="Calibri" w:hAnsi="Arial" w:cs="Arial"/>
          <w:color w:val="000000"/>
          <w:lang w:val="es-BO"/>
        </w:rPr>
        <w:t xml:space="preserve">(a) revisión del modelo de gestión del talento humano y sus procesos; (b) diseño conceptual y funcional; (c) </w:t>
      </w:r>
      <w:r w:rsidRPr="0001252F">
        <w:rPr>
          <w:rFonts w:ascii="Arial" w:eastAsia="Calibri" w:hAnsi="Arial" w:cs="Arial"/>
          <w:color w:val="000000"/>
          <w:lang w:val="es-ES"/>
        </w:rPr>
        <w:t>desarrollo de componentes e integración de subsistemas</w:t>
      </w:r>
      <w:r w:rsidRPr="0001252F">
        <w:rPr>
          <w:rFonts w:ascii="Arial" w:eastAsia="Calibri" w:hAnsi="Arial" w:cs="Arial"/>
          <w:color w:val="000000"/>
          <w:lang w:val="es-BO"/>
        </w:rPr>
        <w:t>; (d) capacitación; y (e) gestión del cambio.</w:t>
      </w:r>
    </w:p>
    <w:p w14:paraId="1EDCE3E4" w14:textId="77777777" w:rsidR="0001252F" w:rsidRPr="0001252F" w:rsidRDefault="0001252F" w:rsidP="00497415">
      <w:pPr>
        <w:pStyle w:val="ListParagraph"/>
        <w:numPr>
          <w:ilvl w:val="1"/>
          <w:numId w:val="2"/>
        </w:numPr>
        <w:tabs>
          <w:tab w:val="clear" w:pos="1296"/>
        </w:tabs>
        <w:spacing w:before="120" w:after="120" w:line="240" w:lineRule="auto"/>
        <w:ind w:left="720" w:hanging="720"/>
        <w:contextualSpacing w:val="0"/>
        <w:jc w:val="both"/>
        <w:rPr>
          <w:rFonts w:ascii="Arial" w:eastAsia="Calibri" w:hAnsi="Arial" w:cs="Arial"/>
          <w:b/>
          <w:bCs/>
          <w:lang w:val="es-ES_tradnl" w:eastAsia="x-none"/>
        </w:rPr>
      </w:pPr>
      <w:r w:rsidRPr="0001252F">
        <w:rPr>
          <w:rFonts w:ascii="Arial" w:eastAsia="Calibri" w:hAnsi="Arial" w:cs="Arial"/>
          <w:b/>
          <w:bCs/>
          <w:lang w:val="es-ES_tradnl" w:eastAsia="x-none"/>
        </w:rPr>
        <w:t xml:space="preserve">Componente 2. </w:t>
      </w:r>
      <w:r w:rsidRPr="0001252F">
        <w:rPr>
          <w:rFonts w:ascii="Arial" w:eastAsia="Calibri" w:hAnsi="Arial" w:cs="Arial"/>
          <w:b/>
          <w:bCs/>
          <w:color w:val="000000"/>
          <w:lang w:val="es-BO" w:eastAsia="x-none"/>
        </w:rPr>
        <w:t>Fortalecimiento institucional del SENAE (</w:t>
      </w:r>
      <w:r w:rsidRPr="0001252F">
        <w:rPr>
          <w:rFonts w:ascii="Arial" w:eastAsia="Calibri" w:hAnsi="Arial" w:cs="Arial"/>
          <w:b/>
          <w:lang w:val="es-BO" w:eastAsia="x-none"/>
        </w:rPr>
        <w:t>US$</w:t>
      </w:r>
      <w:r w:rsidRPr="0001252F">
        <w:rPr>
          <w:rFonts w:ascii="Arial" w:eastAsia="Calibri" w:hAnsi="Arial" w:cs="Arial"/>
          <w:b/>
          <w:bCs/>
          <w:lang w:val="es-BO" w:eastAsia="x-none"/>
        </w:rPr>
        <w:t>28.648.599, desglosado en</w:t>
      </w:r>
      <w:r w:rsidRPr="0001252F">
        <w:rPr>
          <w:rFonts w:ascii="Arial" w:eastAsia="Calibri" w:hAnsi="Arial" w:cs="Arial"/>
          <w:b/>
          <w:bCs/>
          <w:lang w:val="es-ES_tradnl" w:eastAsia="x-none"/>
        </w:rPr>
        <w:t xml:space="preserve"> US$15.317.061 (BID), US$10.940.757 (KIF) y US$2.390.781 (Local</w:t>
      </w:r>
      <w:r w:rsidRPr="0001252F">
        <w:rPr>
          <w:rFonts w:ascii="Arial" w:eastAsia="Calibri" w:hAnsi="Arial" w:cs="Arial"/>
          <w:b/>
          <w:bCs/>
          <w:color w:val="000000"/>
          <w:lang w:val="es-BO" w:eastAsia="x-none"/>
        </w:rPr>
        <w:t xml:space="preserve">)). </w:t>
      </w:r>
      <w:r w:rsidRPr="0001252F">
        <w:rPr>
          <w:rFonts w:ascii="Arial" w:eastAsia="Calibri" w:hAnsi="Arial" w:cs="Arial"/>
          <w:b/>
          <w:bCs/>
          <w:lang w:val="es-ES_tradnl" w:eastAsia="x-none"/>
        </w:rPr>
        <w:t xml:space="preserve">Subcomponente 2.1. </w:t>
      </w:r>
      <w:r w:rsidRPr="0001252F">
        <w:rPr>
          <w:rFonts w:ascii="Arial" w:eastAsia="Calibri" w:hAnsi="Arial" w:cs="Arial"/>
          <w:b/>
          <w:color w:val="000000"/>
          <w:lang w:val="es-AR" w:eastAsia="x-none"/>
        </w:rPr>
        <w:t xml:space="preserve">Modernización de la plataforma tecnológica (US$ 24.225.719, desglosado en </w:t>
      </w:r>
      <w:r w:rsidRPr="0001252F">
        <w:rPr>
          <w:rFonts w:ascii="Arial" w:eastAsia="Calibri" w:hAnsi="Arial" w:cs="Arial"/>
          <w:b/>
          <w:bCs/>
          <w:lang w:val="es-ES_tradnl" w:eastAsia="x-none"/>
        </w:rPr>
        <w:t>US$12.737.047 (BID), US$9.097.891 (KIF) y US$2.390.781 (Local)</w:t>
      </w:r>
      <w:r w:rsidRPr="0001252F">
        <w:rPr>
          <w:rFonts w:ascii="Arial" w:eastAsia="Calibri" w:hAnsi="Arial" w:cs="Arial"/>
          <w:b/>
          <w:color w:val="000000"/>
          <w:lang w:val="es-AR" w:eastAsia="x-none"/>
        </w:rPr>
        <w:t>)</w:t>
      </w:r>
      <w:r w:rsidRPr="0001252F">
        <w:rPr>
          <w:rFonts w:ascii="Arial" w:eastAsia="Calibri" w:hAnsi="Arial" w:cs="Arial"/>
          <w:b/>
          <w:bCs/>
          <w:color w:val="000000"/>
          <w:lang w:val="es-AR" w:eastAsia="x-none"/>
        </w:rPr>
        <w:t xml:space="preserve">. </w:t>
      </w:r>
      <w:r w:rsidRPr="0001252F">
        <w:rPr>
          <w:rFonts w:ascii="Arial" w:eastAsia="Calibri" w:hAnsi="Arial" w:cs="Arial"/>
          <w:bCs/>
          <w:lang w:val="es-ES_tradnl" w:eastAsia="x-none"/>
        </w:rPr>
        <w:t>Contribuirá a la continuidad operativa del SENAE mediante:</w:t>
      </w:r>
    </w:p>
    <w:p w14:paraId="1B1F560E" w14:textId="77777777" w:rsidR="0001252F" w:rsidRPr="0001252F" w:rsidRDefault="0001252F" w:rsidP="00497415">
      <w:pPr>
        <w:numPr>
          <w:ilvl w:val="0"/>
          <w:numId w:val="17"/>
        </w:numPr>
        <w:spacing w:before="120" w:after="120" w:line="240" w:lineRule="auto"/>
        <w:ind w:left="1276" w:hanging="556"/>
        <w:jc w:val="both"/>
        <w:rPr>
          <w:rFonts w:ascii="Arial" w:eastAsia="Calibri" w:hAnsi="Arial" w:cs="Arial"/>
          <w:lang w:val="es-ES"/>
        </w:rPr>
      </w:pPr>
      <w:r w:rsidRPr="0001252F">
        <w:rPr>
          <w:rFonts w:ascii="Arial" w:eastAsia="Calibri" w:hAnsi="Arial" w:cs="Arial"/>
          <w:lang w:val="es-ES"/>
        </w:rPr>
        <w:t xml:space="preserve">Sistema informático aduanero mejorado e integrado: (a) rediseño de la arquitectura e implementación de </w:t>
      </w:r>
      <w:proofErr w:type="spellStart"/>
      <w:r w:rsidRPr="0001252F">
        <w:rPr>
          <w:rFonts w:ascii="Arial" w:eastAsia="Calibri" w:hAnsi="Arial" w:cs="Arial"/>
          <w:i/>
          <w:iCs/>
          <w:color w:val="000000"/>
          <w:shd w:val="clear" w:color="auto" w:fill="FFFFFF"/>
          <w:lang w:val="es-ES"/>
        </w:rPr>
        <w:t>Experian's</w:t>
      </w:r>
      <w:proofErr w:type="spellEnd"/>
      <w:r w:rsidRPr="0001252F">
        <w:rPr>
          <w:rFonts w:ascii="Arial" w:eastAsia="Calibri" w:hAnsi="Arial" w:cs="Arial"/>
          <w:i/>
          <w:iCs/>
          <w:color w:val="000000"/>
          <w:shd w:val="clear" w:color="auto" w:fill="FFFFFF"/>
          <w:lang w:val="es-ES"/>
        </w:rPr>
        <w:t xml:space="preserve"> Web Access Control System</w:t>
      </w:r>
      <w:r w:rsidRPr="0001252F">
        <w:rPr>
          <w:rFonts w:ascii="Arial" w:eastAsia="Calibri" w:hAnsi="Arial" w:cs="Arial"/>
          <w:lang w:val="es-ES"/>
        </w:rPr>
        <w:t xml:space="preserve"> (EWACS) portal </w:t>
      </w:r>
      <w:r w:rsidRPr="0001252F">
        <w:rPr>
          <w:rFonts w:ascii="Arial" w:eastAsia="Calibri" w:hAnsi="Arial" w:cs="Arial"/>
          <w:i/>
          <w:iCs/>
          <w:lang w:val="es-ES"/>
        </w:rPr>
        <w:t>Gateway</w:t>
      </w:r>
      <w:r w:rsidRPr="0001252F">
        <w:rPr>
          <w:rFonts w:ascii="Arial" w:eastAsia="Calibri" w:hAnsi="Arial" w:cs="Arial"/>
          <w:lang w:val="es-ES"/>
        </w:rPr>
        <w:t>; (b) implementación del nuevo sistema informático aduanero, VUCE, y módulo de Gestión de Riesgos; (c) entrenamiento (usuarios internos, externos); y (d) Consultoría de apoyo y acompañamiento de TIC para manejo de proyecto;</w:t>
      </w:r>
    </w:p>
    <w:p w14:paraId="1C3521B8" w14:textId="77777777" w:rsidR="0001252F" w:rsidRPr="0001252F" w:rsidRDefault="0001252F" w:rsidP="00497415">
      <w:pPr>
        <w:numPr>
          <w:ilvl w:val="0"/>
          <w:numId w:val="17"/>
        </w:numPr>
        <w:spacing w:before="120" w:after="120" w:line="240" w:lineRule="auto"/>
        <w:ind w:left="1276" w:hanging="556"/>
        <w:jc w:val="both"/>
        <w:rPr>
          <w:rFonts w:ascii="Arial" w:eastAsia="Calibri" w:hAnsi="Arial" w:cs="Arial"/>
          <w:lang w:val="es-ES"/>
        </w:rPr>
      </w:pPr>
      <w:r w:rsidRPr="0001252F">
        <w:rPr>
          <w:rFonts w:ascii="Arial" w:eastAsia="Calibri" w:hAnsi="Arial" w:cs="Arial"/>
          <w:lang w:val="es-ES"/>
        </w:rPr>
        <w:t xml:space="preserve">Plataforma basada en </w:t>
      </w:r>
      <w:r w:rsidRPr="0001252F">
        <w:rPr>
          <w:rFonts w:ascii="Arial" w:eastAsia="Calibri" w:hAnsi="Arial" w:cs="Arial"/>
          <w:i/>
          <w:iCs/>
          <w:lang w:val="es-ES"/>
        </w:rPr>
        <w:t>Big Data</w:t>
      </w:r>
      <w:r w:rsidRPr="0001252F">
        <w:rPr>
          <w:rFonts w:ascii="Arial" w:eastAsia="Calibri" w:hAnsi="Arial" w:cs="Arial"/>
          <w:lang w:val="es-ES"/>
        </w:rPr>
        <w:t xml:space="preserve"> e Inteligencia Artificial que incluya: (a) análisis de datos estructurados y no estructurados; (b) incorporación de aprendizaje automático; (c) definición de algoritmos para la detección de defraudación aduanera; (d) implementación de un sistema de selectividad basado modelos analíticos e inteligencia artificial; y (e) entrenamiento; </w:t>
      </w:r>
    </w:p>
    <w:p w14:paraId="3D5B4006" w14:textId="77777777" w:rsidR="0001252F" w:rsidRPr="0001252F" w:rsidRDefault="0001252F" w:rsidP="00497415">
      <w:pPr>
        <w:numPr>
          <w:ilvl w:val="0"/>
          <w:numId w:val="17"/>
        </w:numPr>
        <w:spacing w:before="120" w:after="120" w:line="240" w:lineRule="auto"/>
        <w:ind w:left="1282" w:hanging="562"/>
        <w:jc w:val="both"/>
        <w:rPr>
          <w:rFonts w:ascii="Arial" w:eastAsia="Calibri" w:hAnsi="Arial" w:cs="Arial"/>
          <w:lang w:val="es-ES"/>
        </w:rPr>
      </w:pPr>
      <w:r w:rsidRPr="0001252F">
        <w:rPr>
          <w:rFonts w:ascii="Arial" w:eastAsia="Calibri" w:hAnsi="Arial" w:cs="Arial"/>
          <w:lang w:val="es-ES"/>
        </w:rPr>
        <w:t xml:space="preserve">Plataforma de </w:t>
      </w:r>
      <w:r w:rsidRPr="0001252F">
        <w:rPr>
          <w:rFonts w:ascii="Arial" w:eastAsia="Calibri" w:hAnsi="Arial" w:cs="Arial"/>
          <w:i/>
          <w:iCs/>
          <w:lang w:val="es-ES"/>
        </w:rPr>
        <w:t xml:space="preserve">Data </w:t>
      </w:r>
      <w:proofErr w:type="spellStart"/>
      <w:r w:rsidRPr="0001252F">
        <w:rPr>
          <w:rFonts w:ascii="Arial" w:eastAsia="Calibri" w:hAnsi="Arial" w:cs="Arial"/>
          <w:i/>
          <w:iCs/>
          <w:lang w:val="es-ES"/>
        </w:rPr>
        <w:t>Warehouse</w:t>
      </w:r>
      <w:proofErr w:type="spellEnd"/>
      <w:r w:rsidRPr="0001252F">
        <w:rPr>
          <w:rFonts w:ascii="Arial" w:eastAsia="Calibri" w:hAnsi="Arial" w:cs="Arial"/>
          <w:lang w:val="es-ES"/>
        </w:rPr>
        <w:t xml:space="preserve"> y </w:t>
      </w:r>
      <w:r w:rsidRPr="0001252F">
        <w:rPr>
          <w:rFonts w:ascii="Arial" w:eastAsia="Calibri" w:hAnsi="Arial" w:cs="Arial"/>
          <w:i/>
          <w:iCs/>
          <w:lang w:val="es-ES"/>
        </w:rPr>
        <w:t xml:space="preserve">Business </w:t>
      </w:r>
      <w:proofErr w:type="spellStart"/>
      <w:r w:rsidRPr="0001252F">
        <w:rPr>
          <w:rFonts w:ascii="Arial" w:eastAsia="Calibri" w:hAnsi="Arial" w:cs="Arial"/>
          <w:i/>
          <w:iCs/>
          <w:lang w:val="es-ES"/>
        </w:rPr>
        <w:t>Intelligence</w:t>
      </w:r>
      <w:proofErr w:type="spellEnd"/>
      <w:r w:rsidRPr="0001252F">
        <w:rPr>
          <w:rFonts w:ascii="Arial" w:eastAsia="Calibri" w:hAnsi="Arial" w:cs="Arial"/>
          <w:lang w:val="es-ES"/>
        </w:rPr>
        <w:t xml:space="preserve"> que favorezca la adopción de una cultura de la información con explotación efectiva de los datos, la generación de indicadores de gestión relevantes alineados con el plan estratégico, y para el seguimiento de los planes operativos: (a) Implementación de </w:t>
      </w:r>
      <w:r w:rsidRPr="0001252F">
        <w:rPr>
          <w:rFonts w:ascii="Arial" w:eastAsia="Calibri" w:hAnsi="Arial" w:cs="Arial"/>
          <w:i/>
          <w:iCs/>
          <w:lang w:val="es-ES"/>
        </w:rPr>
        <w:t xml:space="preserve">Data </w:t>
      </w:r>
      <w:proofErr w:type="spellStart"/>
      <w:r w:rsidRPr="0001252F">
        <w:rPr>
          <w:rFonts w:ascii="Arial" w:eastAsia="Calibri" w:hAnsi="Arial" w:cs="Arial"/>
          <w:i/>
          <w:iCs/>
          <w:lang w:val="es-ES"/>
        </w:rPr>
        <w:t>Warehouse</w:t>
      </w:r>
      <w:proofErr w:type="spellEnd"/>
      <w:r w:rsidRPr="0001252F">
        <w:rPr>
          <w:rFonts w:ascii="Arial" w:eastAsia="Calibri" w:hAnsi="Arial" w:cs="Arial"/>
          <w:lang w:val="es-ES"/>
        </w:rPr>
        <w:t xml:space="preserve"> y </w:t>
      </w:r>
      <w:r w:rsidRPr="0001252F">
        <w:rPr>
          <w:rFonts w:ascii="Arial" w:eastAsia="Calibri" w:hAnsi="Arial" w:cs="Arial"/>
          <w:i/>
          <w:iCs/>
          <w:lang w:val="es-ES"/>
        </w:rPr>
        <w:t xml:space="preserve">Business </w:t>
      </w:r>
      <w:proofErr w:type="spellStart"/>
      <w:r w:rsidRPr="0001252F">
        <w:rPr>
          <w:rFonts w:ascii="Arial" w:eastAsia="Calibri" w:hAnsi="Arial" w:cs="Arial"/>
          <w:i/>
          <w:iCs/>
          <w:lang w:val="es-ES"/>
        </w:rPr>
        <w:t>Intelligence</w:t>
      </w:r>
      <w:proofErr w:type="spellEnd"/>
      <w:r w:rsidRPr="0001252F">
        <w:rPr>
          <w:rFonts w:ascii="Arial" w:eastAsia="Calibri" w:hAnsi="Arial" w:cs="Arial"/>
          <w:lang w:val="es-ES"/>
        </w:rPr>
        <w:t xml:space="preserve">; (b) actualización del proceso de extracción, transformación y carga (ETL); (c) diseño de reportería e indicadores de gestión; y (d) actualización de </w:t>
      </w:r>
      <w:proofErr w:type="spellStart"/>
      <w:r w:rsidRPr="0001252F">
        <w:rPr>
          <w:rFonts w:ascii="Arial" w:eastAsia="Calibri" w:hAnsi="Arial" w:cs="Arial"/>
          <w:i/>
          <w:iCs/>
          <w:lang w:val="es-ES"/>
        </w:rPr>
        <w:t>dashboards</w:t>
      </w:r>
      <w:proofErr w:type="spellEnd"/>
      <w:r w:rsidRPr="0001252F">
        <w:rPr>
          <w:rFonts w:ascii="Arial" w:eastAsia="Calibri" w:hAnsi="Arial" w:cs="Arial"/>
          <w:lang w:val="es-ES"/>
        </w:rPr>
        <w:t xml:space="preserve"> y </w:t>
      </w:r>
      <w:proofErr w:type="spellStart"/>
      <w:r w:rsidRPr="0001252F">
        <w:rPr>
          <w:rFonts w:ascii="Arial" w:eastAsia="Calibri" w:hAnsi="Arial" w:cs="Arial"/>
          <w:i/>
          <w:iCs/>
          <w:lang w:val="es-ES"/>
        </w:rPr>
        <w:t>datamarts</w:t>
      </w:r>
      <w:proofErr w:type="spellEnd"/>
      <w:r w:rsidRPr="0001252F">
        <w:rPr>
          <w:rFonts w:ascii="Arial" w:eastAsia="Calibri" w:hAnsi="Arial" w:cs="Arial"/>
          <w:lang w:val="es-ES"/>
        </w:rPr>
        <w:t xml:space="preserve">; </w:t>
      </w:r>
    </w:p>
    <w:p w14:paraId="70B3F826" w14:textId="77777777" w:rsidR="0001252F" w:rsidRPr="0001252F" w:rsidRDefault="0001252F" w:rsidP="00497415">
      <w:pPr>
        <w:numPr>
          <w:ilvl w:val="0"/>
          <w:numId w:val="17"/>
        </w:numPr>
        <w:spacing w:before="120" w:after="120" w:line="240" w:lineRule="auto"/>
        <w:ind w:left="1282" w:hanging="562"/>
        <w:jc w:val="both"/>
        <w:rPr>
          <w:rFonts w:ascii="Arial" w:eastAsia="Calibri" w:hAnsi="Arial" w:cs="Arial"/>
          <w:lang w:val="es-ES"/>
        </w:rPr>
      </w:pPr>
      <w:r w:rsidRPr="0001252F">
        <w:rPr>
          <w:rFonts w:ascii="Arial" w:eastAsia="Calibri" w:hAnsi="Arial" w:cs="Arial"/>
          <w:lang w:val="es-ES"/>
        </w:rPr>
        <w:t>Plan de renovación de infraestructura tecnológica: (a) renovación de equipos de red; (b) renovación de equipos de comunicación; (c) adquisición de solución para la prevención de pérdida de datos; y (d) renovación de computadores de usuarios;</w:t>
      </w:r>
    </w:p>
    <w:p w14:paraId="4343BF11" w14:textId="77777777" w:rsidR="0001252F" w:rsidRPr="0001252F" w:rsidRDefault="0001252F" w:rsidP="00497415">
      <w:pPr>
        <w:numPr>
          <w:ilvl w:val="0"/>
          <w:numId w:val="17"/>
        </w:numPr>
        <w:spacing w:before="120" w:after="120" w:line="240" w:lineRule="auto"/>
        <w:ind w:left="1282" w:hanging="562"/>
        <w:jc w:val="both"/>
        <w:rPr>
          <w:rFonts w:ascii="Arial" w:eastAsia="Calibri" w:hAnsi="Arial" w:cs="Arial"/>
          <w:lang w:val="es-ES"/>
        </w:rPr>
      </w:pPr>
      <w:r w:rsidRPr="0001252F">
        <w:rPr>
          <w:rFonts w:ascii="Arial" w:eastAsia="Calibri" w:hAnsi="Arial" w:cs="Arial"/>
          <w:lang w:val="es-ES"/>
        </w:rPr>
        <w:t>Modelo de GIR: (a) consultoría para el diseño e implementación de un nuevo modelo de riesgos integrado y otros elementos de gobernanza, analítica e inteligencia artificial.</w:t>
      </w:r>
    </w:p>
    <w:p w14:paraId="1905D35C" w14:textId="4C924B6B" w:rsidR="0001252F" w:rsidRPr="0001252F" w:rsidRDefault="0001252F" w:rsidP="00497415">
      <w:pPr>
        <w:pStyle w:val="ListParagraph"/>
        <w:numPr>
          <w:ilvl w:val="1"/>
          <w:numId w:val="2"/>
        </w:numPr>
        <w:tabs>
          <w:tab w:val="clear" w:pos="1296"/>
        </w:tabs>
        <w:spacing w:before="120" w:after="120" w:line="240" w:lineRule="auto"/>
        <w:ind w:left="720" w:hanging="720"/>
        <w:contextualSpacing w:val="0"/>
        <w:jc w:val="both"/>
        <w:rPr>
          <w:rFonts w:ascii="Arial" w:eastAsia="Calibri" w:hAnsi="Arial" w:cs="Arial"/>
          <w:bCs/>
          <w:lang w:val="es-ES_tradnl" w:eastAsia="x-none"/>
        </w:rPr>
      </w:pPr>
      <w:r w:rsidRPr="0001252F">
        <w:rPr>
          <w:rFonts w:ascii="Arial" w:eastAsia="Calibri" w:hAnsi="Arial" w:cs="Arial"/>
          <w:b/>
          <w:lang w:val="es-ES_tradnl" w:eastAsia="x-none"/>
        </w:rPr>
        <w:t>Subcomponente 2.2. Fortalecimiento de los procesos operativos del SENAE (US$3.703.280, desglosado en US$2.160.247 (BID) y US$1.543.033 (KIF)).</w:t>
      </w:r>
      <w:r w:rsidRPr="0001252F">
        <w:rPr>
          <w:rFonts w:ascii="Arial" w:eastAsia="Calibri" w:hAnsi="Arial" w:cs="Arial"/>
          <w:bCs/>
          <w:lang w:val="es-ES_tradnl" w:eastAsia="x-none"/>
        </w:rPr>
        <w:t xml:space="preserve"> Contribuirá a </w:t>
      </w:r>
      <w:r w:rsidRPr="0001252F">
        <w:rPr>
          <w:rFonts w:ascii="Arial" w:eastAsia="Calibri" w:hAnsi="Arial" w:cs="Arial"/>
          <w:lang w:val="es-ES_tradnl" w:eastAsia="x-none"/>
        </w:rPr>
        <w:t>mejorar</w:t>
      </w:r>
      <w:r w:rsidRPr="0001252F">
        <w:rPr>
          <w:rFonts w:ascii="Arial" w:eastAsia="Calibri" w:hAnsi="Arial" w:cs="Arial"/>
          <w:bCs/>
          <w:lang w:val="es-ES_tradnl" w:eastAsia="x-none"/>
        </w:rPr>
        <w:t xml:space="preserve"> los procesos operativos del SENAE a través de siguientes elementos para apoyar los controles operativos:  </w:t>
      </w:r>
    </w:p>
    <w:p w14:paraId="0F8A1E48" w14:textId="77777777" w:rsidR="0001252F" w:rsidRPr="0001252F" w:rsidRDefault="0001252F" w:rsidP="00497415">
      <w:pPr>
        <w:numPr>
          <w:ilvl w:val="0"/>
          <w:numId w:val="16"/>
        </w:numPr>
        <w:spacing w:before="120" w:after="120" w:line="240" w:lineRule="auto"/>
        <w:ind w:left="1267" w:hanging="547"/>
        <w:jc w:val="both"/>
        <w:rPr>
          <w:rFonts w:ascii="Arial" w:eastAsia="Calibri" w:hAnsi="Arial" w:cs="Arial"/>
          <w:bCs/>
          <w:lang w:val="es-ES"/>
        </w:rPr>
      </w:pPr>
      <w:r w:rsidRPr="0001252F">
        <w:rPr>
          <w:rFonts w:ascii="Arial" w:eastAsia="Calibri" w:hAnsi="Arial" w:cs="Arial"/>
          <w:bCs/>
          <w:lang w:val="es-ES"/>
        </w:rPr>
        <w:t>Unidades móviles terrestres: (a) patrulleros equipados; y (b) furgones de 7 toneladas;</w:t>
      </w:r>
    </w:p>
    <w:p w14:paraId="40B869ED" w14:textId="77777777" w:rsidR="0001252F" w:rsidRPr="0001252F" w:rsidRDefault="0001252F" w:rsidP="00497415">
      <w:pPr>
        <w:numPr>
          <w:ilvl w:val="0"/>
          <w:numId w:val="16"/>
        </w:numPr>
        <w:spacing w:before="120" w:after="120" w:line="240" w:lineRule="auto"/>
        <w:ind w:left="1267" w:hanging="547"/>
        <w:jc w:val="both"/>
        <w:rPr>
          <w:rFonts w:ascii="Arial" w:eastAsia="Calibri" w:hAnsi="Arial" w:cs="Arial"/>
          <w:bCs/>
          <w:lang w:val="es-ES"/>
        </w:rPr>
      </w:pPr>
      <w:r w:rsidRPr="0001252F">
        <w:rPr>
          <w:rFonts w:ascii="Arial" w:eastAsia="Calibri" w:hAnsi="Arial" w:cs="Arial"/>
          <w:bCs/>
          <w:lang w:val="es-ES"/>
        </w:rPr>
        <w:t>Equipo de seguridad, protección y control: (a)</w:t>
      </w:r>
      <w:r w:rsidRPr="0001252F">
        <w:rPr>
          <w:rFonts w:ascii="Arial" w:eastAsia="Calibri" w:hAnsi="Arial" w:cs="Arial"/>
          <w:lang w:val="es-ES"/>
        </w:rPr>
        <w:t xml:space="preserve"> </w:t>
      </w:r>
      <w:r w:rsidRPr="0001252F">
        <w:rPr>
          <w:rFonts w:ascii="Arial" w:eastAsia="Calibri" w:hAnsi="Arial" w:cs="Arial"/>
          <w:bCs/>
          <w:lang w:val="es-ES"/>
        </w:rPr>
        <w:t xml:space="preserve">equipo de seguridad y protección </w:t>
      </w:r>
      <w:r w:rsidRPr="0001252F">
        <w:rPr>
          <w:rFonts w:ascii="Arial" w:eastAsia="Calibri" w:hAnsi="Arial" w:cs="Arial"/>
          <w:color w:val="000000"/>
          <w:lang w:val="es-ES"/>
        </w:rPr>
        <w:t>(chalecos, cascos, linternas, esposas, toletes, entre otros)</w:t>
      </w:r>
      <w:r w:rsidRPr="0001252F">
        <w:rPr>
          <w:rFonts w:ascii="Arial" w:eastAsia="Calibri" w:hAnsi="Arial" w:cs="Arial"/>
          <w:bCs/>
          <w:lang w:val="es-ES"/>
        </w:rPr>
        <w:t xml:space="preserve">; (b) canes K-9 y detector de dinero D15; (c) equipos de comunicación; (d) Tecnología de control - Detector de trazas; y (e) tecnología de control - Sistema de video cámara de inspección </w:t>
      </w:r>
      <w:proofErr w:type="spellStart"/>
      <w:r w:rsidRPr="0001252F">
        <w:rPr>
          <w:rFonts w:ascii="Arial" w:eastAsia="Calibri" w:hAnsi="Arial" w:cs="Arial"/>
          <w:bCs/>
          <w:lang w:val="es-ES"/>
        </w:rPr>
        <w:t>boroscopio</w:t>
      </w:r>
      <w:proofErr w:type="spellEnd"/>
      <w:r w:rsidRPr="0001252F">
        <w:rPr>
          <w:rFonts w:ascii="Arial" w:eastAsia="Calibri" w:hAnsi="Arial" w:cs="Arial"/>
          <w:bCs/>
          <w:lang w:val="es-ES"/>
        </w:rPr>
        <w:t>;</w:t>
      </w:r>
    </w:p>
    <w:p w14:paraId="7DC484A8" w14:textId="77777777" w:rsidR="0001252F" w:rsidRPr="0001252F" w:rsidRDefault="0001252F" w:rsidP="00497415">
      <w:pPr>
        <w:numPr>
          <w:ilvl w:val="0"/>
          <w:numId w:val="16"/>
        </w:numPr>
        <w:spacing w:before="120" w:after="120" w:line="240" w:lineRule="auto"/>
        <w:ind w:left="1267" w:hanging="547"/>
        <w:jc w:val="both"/>
        <w:rPr>
          <w:rFonts w:ascii="Arial" w:eastAsia="Calibri" w:hAnsi="Arial" w:cs="Arial"/>
          <w:bCs/>
          <w:lang w:val="es-ES"/>
        </w:rPr>
      </w:pPr>
      <w:r w:rsidRPr="0001252F">
        <w:rPr>
          <w:rFonts w:ascii="Arial" w:eastAsia="Calibri" w:hAnsi="Arial" w:cs="Arial"/>
          <w:bCs/>
          <w:lang w:val="es-ES"/>
        </w:rPr>
        <w:t xml:space="preserve">Apoyo al Laboratorio Aduanero: (a) Consultoría para el mantenimiento y calibración de equipos; (b) adquisición de equipos y servicios para el laboratorio; y (c) consultoría para la certificación ISO 17025. </w:t>
      </w:r>
    </w:p>
    <w:p w14:paraId="77221FE2" w14:textId="77777777" w:rsidR="0001252F" w:rsidRPr="0001252F" w:rsidRDefault="0001252F" w:rsidP="00497415">
      <w:pPr>
        <w:pStyle w:val="ListParagraph"/>
        <w:numPr>
          <w:ilvl w:val="1"/>
          <w:numId w:val="2"/>
        </w:numPr>
        <w:tabs>
          <w:tab w:val="clear" w:pos="1296"/>
        </w:tabs>
        <w:spacing w:before="120" w:after="120" w:line="240" w:lineRule="auto"/>
        <w:ind w:left="720" w:hanging="720"/>
        <w:contextualSpacing w:val="0"/>
        <w:jc w:val="both"/>
        <w:rPr>
          <w:rFonts w:ascii="Arial" w:eastAsia="Calibri" w:hAnsi="Arial" w:cs="Arial"/>
          <w:bCs/>
          <w:lang w:val="es-ES_tradnl" w:eastAsia="x-none"/>
        </w:rPr>
      </w:pPr>
      <w:r w:rsidRPr="0001252F">
        <w:rPr>
          <w:rFonts w:ascii="Arial" w:eastAsia="Calibri" w:hAnsi="Arial" w:cs="Arial"/>
          <w:b/>
          <w:bCs/>
          <w:lang w:val="es-ES_tradnl" w:eastAsia="x-none"/>
        </w:rPr>
        <w:lastRenderedPageBreak/>
        <w:t>Subcomponente 2.3. Fortalecimiento del talento humano (US$719.600, desglosado en US$419.767 (BID) y 299.833 (KIF))</w:t>
      </w:r>
      <w:r w:rsidRPr="0001252F">
        <w:rPr>
          <w:rFonts w:ascii="Arial" w:eastAsia="Calibri" w:hAnsi="Arial" w:cs="Arial"/>
          <w:b/>
          <w:bCs/>
          <w:lang w:val="es-AR" w:eastAsia="x-none"/>
        </w:rPr>
        <w:t xml:space="preserve">. </w:t>
      </w:r>
      <w:r w:rsidRPr="0001252F">
        <w:rPr>
          <w:rFonts w:ascii="Arial" w:eastAsia="Calibri" w:hAnsi="Arial" w:cs="Arial"/>
          <w:bCs/>
          <w:lang w:val="es-ES_tradnl" w:eastAsia="x-none"/>
        </w:rPr>
        <w:t xml:space="preserve">Contribuirá a mejorar la gestión del talento humano a través de: </w:t>
      </w:r>
    </w:p>
    <w:p w14:paraId="732E0EDE" w14:textId="77777777" w:rsidR="0001252F" w:rsidRPr="0001252F" w:rsidRDefault="0001252F" w:rsidP="00497415">
      <w:pPr>
        <w:numPr>
          <w:ilvl w:val="0"/>
          <w:numId w:val="18"/>
        </w:numPr>
        <w:spacing w:before="120" w:after="120" w:line="240" w:lineRule="auto"/>
        <w:ind w:left="1260" w:hanging="540"/>
        <w:jc w:val="both"/>
        <w:rPr>
          <w:rFonts w:ascii="Arial" w:eastAsia="Calibri" w:hAnsi="Arial" w:cs="Arial"/>
          <w:bCs/>
          <w:lang w:val="es-ES"/>
        </w:rPr>
      </w:pPr>
      <w:r w:rsidRPr="0001252F">
        <w:rPr>
          <w:rFonts w:ascii="Arial" w:eastAsia="Calibri" w:hAnsi="Arial" w:cs="Arial"/>
          <w:bCs/>
          <w:lang w:val="es-ES"/>
        </w:rPr>
        <w:t xml:space="preserve">Sistema Integral de Gestión de Talento Humano: (a) </w:t>
      </w:r>
      <w:r w:rsidRPr="0001252F">
        <w:rPr>
          <w:rFonts w:ascii="Arial" w:eastAsia="Calibri" w:hAnsi="Arial" w:cs="Arial"/>
          <w:bCs/>
          <w:i/>
          <w:iCs/>
          <w:lang w:val="es-ES"/>
        </w:rPr>
        <w:t>software</w:t>
      </w:r>
      <w:r w:rsidRPr="0001252F">
        <w:rPr>
          <w:rFonts w:ascii="Arial" w:eastAsia="Calibri" w:hAnsi="Arial" w:cs="Arial"/>
          <w:bCs/>
          <w:lang w:val="es-ES"/>
        </w:rPr>
        <w:t xml:space="preserve"> integrado con funcionalidades de nómina, viáticos, traslado de personal, selección, capacitación, evaluación, clima laboral y bienestar social; y,</w:t>
      </w:r>
      <w:r w:rsidRPr="0001252F">
        <w:rPr>
          <w:rFonts w:ascii="Arial" w:eastAsia="Calibri" w:hAnsi="Arial" w:cs="Arial"/>
          <w:lang w:val="es-ES"/>
        </w:rPr>
        <w:t xml:space="preserve"> (b) </w:t>
      </w:r>
      <w:r w:rsidRPr="0001252F">
        <w:rPr>
          <w:rFonts w:ascii="Arial" w:eastAsia="Calibri" w:hAnsi="Arial" w:cs="Arial"/>
          <w:bCs/>
          <w:lang w:val="es-ES"/>
        </w:rPr>
        <w:t>consultoría organizacional sobre RRHH, planificación del talento humano y evaluación del desempeño;</w:t>
      </w:r>
    </w:p>
    <w:p w14:paraId="48FD5EE6" w14:textId="77777777" w:rsidR="0001252F" w:rsidRPr="0001252F" w:rsidRDefault="0001252F" w:rsidP="00497415">
      <w:pPr>
        <w:numPr>
          <w:ilvl w:val="0"/>
          <w:numId w:val="18"/>
        </w:numPr>
        <w:spacing w:before="120" w:after="120" w:line="240" w:lineRule="auto"/>
        <w:ind w:left="1267" w:hanging="547"/>
        <w:jc w:val="both"/>
        <w:rPr>
          <w:rFonts w:ascii="Arial" w:eastAsia="Calibri" w:hAnsi="Arial" w:cs="Arial"/>
          <w:bCs/>
          <w:lang w:val="es-ES"/>
        </w:rPr>
      </w:pPr>
      <w:r w:rsidRPr="0001252F">
        <w:rPr>
          <w:rFonts w:ascii="Arial" w:eastAsia="Calibri" w:hAnsi="Arial" w:cs="Arial"/>
          <w:bCs/>
          <w:lang w:val="es-ES"/>
        </w:rPr>
        <w:t>Funcionarios de SENAE con nuevas capacidades, a través de un plan específico de formación</w:t>
      </w:r>
      <w:r w:rsidRPr="0001252F">
        <w:rPr>
          <w:rFonts w:ascii="Arial" w:eastAsia="Calibri" w:hAnsi="Arial" w:cs="Arial"/>
          <w:lang w:val="es-ES"/>
        </w:rPr>
        <w:t xml:space="preserve"> e instrumentos informáticos de gestión de entrenamiento</w:t>
      </w:r>
      <w:r w:rsidRPr="0001252F">
        <w:rPr>
          <w:rFonts w:ascii="Arial" w:eastAsia="Calibri" w:hAnsi="Arial" w:cs="Arial"/>
          <w:bCs/>
          <w:lang w:val="es-ES"/>
        </w:rPr>
        <w:t>: (a) Plan de Fortalecimiento de Capacidades;</w:t>
      </w:r>
      <w:r w:rsidRPr="0001252F" w:rsidDel="0085171D">
        <w:rPr>
          <w:rFonts w:ascii="Arial" w:eastAsia="Calibri" w:hAnsi="Arial" w:cs="Arial"/>
          <w:bCs/>
          <w:lang w:val="es-ES"/>
        </w:rPr>
        <w:t xml:space="preserve"> </w:t>
      </w:r>
      <w:r w:rsidRPr="0001252F">
        <w:rPr>
          <w:rFonts w:ascii="Arial" w:eastAsia="Calibri" w:hAnsi="Arial" w:cs="Arial"/>
          <w:bCs/>
          <w:lang w:val="es-ES"/>
        </w:rPr>
        <w:t xml:space="preserve">(b) Implementación de </w:t>
      </w:r>
      <w:r w:rsidRPr="0001252F">
        <w:rPr>
          <w:rFonts w:ascii="Arial" w:eastAsia="Calibri" w:hAnsi="Arial" w:cs="Arial"/>
          <w:bCs/>
          <w:i/>
          <w:iCs/>
          <w:lang w:val="es-ES"/>
        </w:rPr>
        <w:t>software</w:t>
      </w:r>
      <w:r w:rsidRPr="0001252F">
        <w:rPr>
          <w:rFonts w:ascii="Arial" w:eastAsia="Calibri" w:hAnsi="Arial" w:cs="Arial"/>
          <w:bCs/>
          <w:lang w:val="es-ES"/>
        </w:rPr>
        <w:t xml:space="preserve"> de capacitación y entrenamiento; (c) Adquisición de servidor para alojar la plataforma; y (d) consultoría para la gestión del programa de modernización del SENAE.</w:t>
      </w:r>
    </w:p>
    <w:p w14:paraId="3B2E67F6" w14:textId="77777777" w:rsidR="0001252F" w:rsidRPr="0001252F" w:rsidRDefault="0001252F" w:rsidP="00497415">
      <w:pPr>
        <w:pStyle w:val="ListParagraph"/>
        <w:numPr>
          <w:ilvl w:val="1"/>
          <w:numId w:val="2"/>
        </w:numPr>
        <w:tabs>
          <w:tab w:val="clear" w:pos="1296"/>
        </w:tabs>
        <w:spacing w:before="120" w:after="120" w:line="240" w:lineRule="auto"/>
        <w:ind w:left="720" w:hanging="720"/>
        <w:contextualSpacing w:val="0"/>
        <w:jc w:val="both"/>
        <w:rPr>
          <w:rFonts w:ascii="Arial" w:eastAsia="Calibri" w:hAnsi="Arial" w:cs="Arial"/>
          <w:b/>
          <w:bCs/>
          <w:lang w:val="es-ES_tradnl" w:eastAsia="x-none"/>
        </w:rPr>
      </w:pPr>
      <w:r w:rsidRPr="0001252F">
        <w:rPr>
          <w:rFonts w:ascii="Arial" w:eastAsia="Calibri" w:hAnsi="Arial" w:cs="Arial"/>
          <w:b/>
          <w:bCs/>
          <w:lang w:val="es-ES_tradnl" w:eastAsia="x-none"/>
        </w:rPr>
        <w:t xml:space="preserve">Administración del programa. </w:t>
      </w:r>
      <w:r w:rsidRPr="0001252F">
        <w:rPr>
          <w:rFonts w:ascii="Arial" w:eastAsia="Calibri" w:hAnsi="Arial" w:cs="Arial"/>
          <w:lang w:val="es-ES_tradnl" w:eastAsia="x-none"/>
        </w:rPr>
        <w:t>Se presupuestaron US$4.513.279 para la administración del programa: US$2.227.860 para el funcionamiento de la Unidad Ejecutora (UEP) del SRI</w:t>
      </w:r>
      <w:r w:rsidRPr="0001252F">
        <w:rPr>
          <w:rFonts w:ascii="Arial" w:eastAsia="Calibri" w:hAnsi="Arial" w:cs="Arial"/>
          <w:vertAlign w:val="superscript"/>
          <w:lang w:val="es-ES_tradnl" w:eastAsia="x-none"/>
        </w:rPr>
        <w:footnoteReference w:id="25"/>
      </w:r>
      <w:r w:rsidRPr="0001252F">
        <w:rPr>
          <w:rFonts w:ascii="Arial" w:eastAsia="Calibri" w:hAnsi="Arial" w:cs="Arial"/>
          <w:lang w:val="es-ES_tradnl" w:eastAsia="x-none"/>
        </w:rPr>
        <w:t>, US$1.518.182</w:t>
      </w:r>
      <w:r w:rsidRPr="0001252F">
        <w:rPr>
          <w:rFonts w:ascii="Arial" w:eastAsia="Calibri" w:hAnsi="Arial" w:cs="Arial"/>
          <w:color w:val="FF0000"/>
          <w:lang w:val="es-ES_tradnl" w:eastAsia="x-none"/>
        </w:rPr>
        <w:t xml:space="preserve"> </w:t>
      </w:r>
      <w:r w:rsidRPr="0001252F">
        <w:rPr>
          <w:rFonts w:ascii="Arial" w:eastAsia="Calibri" w:hAnsi="Arial" w:cs="Arial"/>
          <w:lang w:val="es-ES_tradnl" w:eastAsia="x-none"/>
        </w:rPr>
        <w:t>para la del SENAE; US$336.000 para auditoría; US$224.000 para evaluación; y US$207.237 para contingencias.</w:t>
      </w:r>
    </w:p>
    <w:p w14:paraId="4304A05E" w14:textId="1353A79C" w:rsidR="008A3560" w:rsidRPr="00497415" w:rsidRDefault="00690E84" w:rsidP="00497415">
      <w:pPr>
        <w:pStyle w:val="Paragraph"/>
        <w:numPr>
          <w:ilvl w:val="0"/>
          <w:numId w:val="0"/>
        </w:numPr>
        <w:ind w:left="720" w:hanging="720"/>
        <w:outlineLvl w:val="9"/>
        <w:rPr>
          <w:rFonts w:ascii="Arial" w:hAnsi="Arial" w:cs="Arial"/>
          <w:bCs/>
          <w:color w:val="000000" w:themeColor="text1"/>
          <w:sz w:val="22"/>
          <w:szCs w:val="22"/>
          <w:lang w:val="es-ES_tradnl"/>
        </w:rPr>
      </w:pPr>
      <w:bookmarkStart w:id="22" w:name="_Toc28628116"/>
      <w:bookmarkStart w:id="23" w:name="_Toc28628322"/>
      <w:bookmarkStart w:id="24" w:name="_Toc28628505"/>
      <w:bookmarkStart w:id="25" w:name="_Toc28628603"/>
      <w:bookmarkStart w:id="26" w:name="_Toc28628700"/>
      <w:bookmarkStart w:id="27" w:name="_Toc28628759"/>
      <w:bookmarkStart w:id="28" w:name="_Toc28637684"/>
      <w:bookmarkStart w:id="29" w:name="_Toc29137265"/>
      <w:bookmarkStart w:id="30" w:name="_Toc29158419"/>
      <w:bookmarkStart w:id="31" w:name="_Toc29227488"/>
      <w:bookmarkStart w:id="32" w:name="_Toc29227547"/>
      <w:bookmarkStart w:id="33" w:name="_Toc29230609"/>
      <w:bookmarkStart w:id="34" w:name="_Toc29236636"/>
      <w:bookmarkStart w:id="35" w:name="_Toc30183893"/>
      <w:bookmarkStart w:id="36" w:name="_Toc28628117"/>
      <w:bookmarkStart w:id="37" w:name="_Toc28628323"/>
      <w:bookmarkStart w:id="38" w:name="_Toc28628506"/>
      <w:bookmarkStart w:id="39" w:name="_Toc28628604"/>
      <w:bookmarkStart w:id="40" w:name="_Toc28628701"/>
      <w:bookmarkStart w:id="41" w:name="_Toc28628760"/>
      <w:bookmarkStart w:id="42" w:name="_Toc28637685"/>
      <w:bookmarkStart w:id="43" w:name="_Toc29137266"/>
      <w:bookmarkStart w:id="44" w:name="_Toc29158420"/>
      <w:bookmarkStart w:id="45" w:name="_Toc29227489"/>
      <w:bookmarkStart w:id="46" w:name="_Toc29227548"/>
      <w:bookmarkStart w:id="47" w:name="_Toc29230610"/>
      <w:bookmarkStart w:id="48" w:name="_Toc29236637"/>
      <w:bookmarkStart w:id="49" w:name="_Toc30183894"/>
      <w:bookmarkStart w:id="50" w:name="_Toc28628118"/>
      <w:bookmarkStart w:id="51" w:name="_Toc28628324"/>
      <w:bookmarkStart w:id="52" w:name="_Toc28628507"/>
      <w:bookmarkStart w:id="53" w:name="_Toc28628605"/>
      <w:bookmarkStart w:id="54" w:name="_Toc28628702"/>
      <w:bookmarkStart w:id="55" w:name="_Toc28628761"/>
      <w:bookmarkStart w:id="56" w:name="_Toc28637686"/>
      <w:bookmarkStart w:id="57" w:name="_Toc29137267"/>
      <w:bookmarkStart w:id="58" w:name="_Toc29158421"/>
      <w:bookmarkStart w:id="59" w:name="_Toc29227490"/>
      <w:bookmarkStart w:id="60" w:name="_Toc29227549"/>
      <w:bookmarkStart w:id="61" w:name="_Toc29230611"/>
      <w:bookmarkStart w:id="62" w:name="_Toc29236638"/>
      <w:bookmarkStart w:id="63" w:name="_Toc30183895"/>
      <w:bookmarkStart w:id="64" w:name="_Toc28628119"/>
      <w:bookmarkStart w:id="65" w:name="_Toc28628325"/>
      <w:bookmarkStart w:id="66" w:name="_Toc28628508"/>
      <w:bookmarkStart w:id="67" w:name="_Toc28628606"/>
      <w:bookmarkStart w:id="68" w:name="_Toc28628703"/>
      <w:bookmarkStart w:id="69" w:name="_Toc28628762"/>
      <w:bookmarkStart w:id="70" w:name="_Toc28637687"/>
      <w:bookmarkStart w:id="71" w:name="_Toc29137268"/>
      <w:bookmarkStart w:id="72" w:name="_Toc29158422"/>
      <w:bookmarkStart w:id="73" w:name="_Toc29227491"/>
      <w:bookmarkStart w:id="74" w:name="_Toc29227550"/>
      <w:bookmarkStart w:id="75" w:name="_Toc29230612"/>
      <w:bookmarkStart w:id="76" w:name="_Toc29236639"/>
      <w:bookmarkStart w:id="77" w:name="_Toc30183896"/>
      <w:bookmarkStart w:id="78" w:name="_Toc28628120"/>
      <w:bookmarkStart w:id="79" w:name="_Toc28628326"/>
      <w:bookmarkStart w:id="80" w:name="_Toc28628509"/>
      <w:bookmarkStart w:id="81" w:name="_Toc28628607"/>
      <w:bookmarkStart w:id="82" w:name="_Toc28628704"/>
      <w:bookmarkStart w:id="83" w:name="_Toc28628763"/>
      <w:bookmarkStart w:id="84" w:name="_Toc28637688"/>
      <w:bookmarkStart w:id="85" w:name="_Toc29137269"/>
      <w:bookmarkStart w:id="86" w:name="_Toc29158423"/>
      <w:bookmarkStart w:id="87" w:name="_Toc29227492"/>
      <w:bookmarkStart w:id="88" w:name="_Toc29227551"/>
      <w:bookmarkStart w:id="89" w:name="_Toc29230613"/>
      <w:bookmarkStart w:id="90" w:name="_Toc29236640"/>
      <w:bookmarkStart w:id="91" w:name="_Toc30183897"/>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r w:rsidRPr="00497415">
        <w:rPr>
          <w:rFonts w:ascii="Arial" w:hAnsi="Arial" w:cs="Arial"/>
          <w:bCs/>
          <w:color w:val="000000" w:themeColor="text1"/>
          <w:sz w:val="22"/>
          <w:szCs w:val="22"/>
          <w:lang w:val="es-ES_tradnl"/>
        </w:rPr>
        <w:t>IV.</w:t>
      </w:r>
      <w:r w:rsidR="00081E3C" w:rsidRPr="00497415">
        <w:rPr>
          <w:rFonts w:ascii="Arial" w:hAnsi="Arial" w:cs="Arial"/>
          <w:bCs/>
          <w:color w:val="000000" w:themeColor="text1"/>
          <w:sz w:val="22"/>
          <w:szCs w:val="22"/>
          <w:lang w:val="es-ES_tradnl"/>
        </w:rPr>
        <w:t>9</w:t>
      </w:r>
      <w:r w:rsidR="003A37B5" w:rsidRPr="00497415">
        <w:rPr>
          <w:rFonts w:ascii="Arial" w:hAnsi="Arial" w:cs="Arial"/>
          <w:bCs/>
          <w:color w:val="000000" w:themeColor="text1"/>
          <w:sz w:val="22"/>
          <w:szCs w:val="22"/>
          <w:lang w:val="es-ES_tradnl"/>
        </w:rPr>
        <w:tab/>
      </w:r>
      <w:r w:rsidR="008A3560" w:rsidRPr="00497415">
        <w:rPr>
          <w:rFonts w:ascii="Arial" w:hAnsi="Arial" w:cs="Arial"/>
          <w:bCs/>
          <w:color w:val="000000" w:themeColor="text1"/>
          <w:sz w:val="22"/>
          <w:szCs w:val="22"/>
          <w:lang w:val="es-ES_tradnl"/>
        </w:rPr>
        <w:t>En la siguiente página se muestra la estructura de financiamiento del programa y el cronograma de desembolsos durante el periodo de análisis (202</w:t>
      </w:r>
      <w:r w:rsidR="00A46BDF" w:rsidRPr="00497415">
        <w:rPr>
          <w:rFonts w:ascii="Arial" w:hAnsi="Arial" w:cs="Arial"/>
          <w:bCs/>
          <w:color w:val="000000" w:themeColor="text1"/>
          <w:sz w:val="22"/>
          <w:szCs w:val="22"/>
          <w:lang w:val="es-ES_tradnl"/>
        </w:rPr>
        <w:t>1</w:t>
      </w:r>
      <w:r w:rsidR="008A3560" w:rsidRPr="00497415">
        <w:rPr>
          <w:rFonts w:ascii="Arial" w:hAnsi="Arial" w:cs="Arial"/>
          <w:bCs/>
          <w:color w:val="000000" w:themeColor="text1"/>
          <w:sz w:val="22"/>
          <w:szCs w:val="22"/>
          <w:lang w:val="es-ES_tradnl"/>
        </w:rPr>
        <w:t xml:space="preserve"> – 20</w:t>
      </w:r>
      <w:r w:rsidR="00A46BDF" w:rsidRPr="00497415">
        <w:rPr>
          <w:rFonts w:ascii="Arial" w:hAnsi="Arial" w:cs="Arial"/>
          <w:bCs/>
          <w:color w:val="000000" w:themeColor="text1"/>
          <w:sz w:val="22"/>
          <w:szCs w:val="22"/>
          <w:lang w:val="es-ES_tradnl"/>
        </w:rPr>
        <w:t>30</w:t>
      </w:r>
      <w:r w:rsidR="008A3560" w:rsidRPr="00497415">
        <w:rPr>
          <w:rFonts w:ascii="Arial" w:hAnsi="Arial" w:cs="Arial"/>
          <w:bCs/>
          <w:color w:val="000000" w:themeColor="text1"/>
          <w:sz w:val="22"/>
          <w:szCs w:val="22"/>
          <w:lang w:val="es-ES_tradnl"/>
        </w:rPr>
        <w:t>).</w:t>
      </w:r>
    </w:p>
    <w:p w14:paraId="4E1E60A4" w14:textId="34273CEF" w:rsidR="00750D41" w:rsidRDefault="00CA6AA4" w:rsidP="0039523D">
      <w:pPr>
        <w:pStyle w:val="Paragraph"/>
        <w:numPr>
          <w:ilvl w:val="0"/>
          <w:numId w:val="0"/>
        </w:numPr>
        <w:autoSpaceDE w:val="0"/>
        <w:autoSpaceDN w:val="0"/>
        <w:adjustRightInd w:val="0"/>
        <w:ind w:left="1296" w:hanging="1296"/>
        <w:rPr>
          <w:rFonts w:ascii="Arial" w:hAnsi="Arial" w:cs="Arial"/>
          <w:color w:val="000000"/>
          <w:sz w:val="22"/>
          <w:szCs w:val="22"/>
          <w:lang w:val="es-AR"/>
        </w:rPr>
      </w:pPr>
      <w:r w:rsidRPr="00CA6AA4">
        <w:drawing>
          <wp:inline distT="0" distB="0" distL="0" distR="0" wp14:anchorId="3FB64FF0" wp14:editId="59C38BD1">
            <wp:extent cx="5786120" cy="3519805"/>
            <wp:effectExtent l="0" t="0" r="508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86120" cy="3519805"/>
                    </a:xfrm>
                    <a:prstGeom prst="rect">
                      <a:avLst/>
                    </a:prstGeom>
                    <a:noFill/>
                    <a:ln>
                      <a:noFill/>
                    </a:ln>
                  </pic:spPr>
                </pic:pic>
              </a:graphicData>
            </a:graphic>
          </wp:inline>
        </w:drawing>
      </w:r>
    </w:p>
    <w:p w14:paraId="6DC7C809" w14:textId="6D6576D0" w:rsidR="00A07CD2" w:rsidRDefault="00A07CD2" w:rsidP="00011DF5">
      <w:pPr>
        <w:pStyle w:val="BodyText"/>
        <w:jc w:val="center"/>
        <w:rPr>
          <w:rFonts w:ascii="Arial" w:hAnsi="Arial" w:cs="Arial"/>
          <w:color w:val="000000"/>
          <w:sz w:val="22"/>
          <w:szCs w:val="22"/>
          <w:lang w:val="es-AR"/>
        </w:rPr>
      </w:pPr>
    </w:p>
    <w:p w14:paraId="7B393651" w14:textId="4429342B" w:rsidR="005934B4" w:rsidRDefault="00CA6AA4" w:rsidP="00011DF5">
      <w:pPr>
        <w:pStyle w:val="BodyText"/>
        <w:jc w:val="center"/>
        <w:rPr>
          <w:rFonts w:ascii="Arial" w:hAnsi="Arial" w:cs="Arial"/>
          <w:color w:val="000000"/>
          <w:sz w:val="22"/>
          <w:szCs w:val="22"/>
          <w:lang w:val="es-AR"/>
        </w:rPr>
      </w:pPr>
      <w:r w:rsidRPr="00CA6AA4">
        <w:drawing>
          <wp:inline distT="0" distB="0" distL="0" distR="0" wp14:anchorId="5569F018" wp14:editId="12165F76">
            <wp:extent cx="5786120" cy="1001395"/>
            <wp:effectExtent l="0" t="0" r="508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86120" cy="1001395"/>
                    </a:xfrm>
                    <a:prstGeom prst="rect">
                      <a:avLst/>
                    </a:prstGeom>
                    <a:noFill/>
                    <a:ln>
                      <a:noFill/>
                    </a:ln>
                  </pic:spPr>
                </pic:pic>
              </a:graphicData>
            </a:graphic>
          </wp:inline>
        </w:drawing>
      </w:r>
    </w:p>
    <w:p w14:paraId="53714589" w14:textId="69974EE9" w:rsidR="002E55DE" w:rsidRDefault="002E55DE" w:rsidP="00011DF5">
      <w:pPr>
        <w:pStyle w:val="BodyText"/>
        <w:jc w:val="center"/>
        <w:rPr>
          <w:rFonts w:ascii="Arial" w:hAnsi="Arial" w:cs="Arial"/>
          <w:color w:val="000000"/>
          <w:sz w:val="22"/>
          <w:szCs w:val="22"/>
          <w:lang w:val="es-AR"/>
        </w:rPr>
      </w:pPr>
    </w:p>
    <w:p w14:paraId="6CBB4258" w14:textId="3DD7B2C8" w:rsidR="002E55DE" w:rsidRDefault="002E55DE" w:rsidP="00011DF5">
      <w:pPr>
        <w:pStyle w:val="BodyText"/>
        <w:jc w:val="center"/>
        <w:rPr>
          <w:rFonts w:ascii="Arial" w:hAnsi="Arial" w:cs="Arial"/>
          <w:color w:val="000000"/>
          <w:sz w:val="22"/>
          <w:szCs w:val="22"/>
          <w:lang w:val="es-AR"/>
        </w:rPr>
      </w:pPr>
    </w:p>
    <w:p w14:paraId="0D26D62C" w14:textId="5D8C7324" w:rsidR="00F10D9A" w:rsidRPr="009C0E1F" w:rsidRDefault="00834469" w:rsidP="005D44DB">
      <w:pPr>
        <w:pStyle w:val="Chapter"/>
        <w:numPr>
          <w:ilvl w:val="0"/>
          <w:numId w:val="2"/>
        </w:numPr>
        <w:tabs>
          <w:tab w:val="clear" w:pos="1440"/>
          <w:tab w:val="clear" w:pos="1800"/>
        </w:tabs>
        <w:ind w:left="0" w:firstLine="0"/>
        <w:outlineLvl w:val="0"/>
        <w:rPr>
          <w:rFonts w:ascii="Arial" w:hAnsi="Arial" w:cs="Arial"/>
          <w:sz w:val="22"/>
          <w:szCs w:val="22"/>
          <w:lang w:val="es-ES_tradnl"/>
        </w:rPr>
      </w:pPr>
      <w:bookmarkStart w:id="92" w:name="_Toc30183898"/>
      <w:r w:rsidRPr="009C0E1F">
        <w:rPr>
          <w:rFonts w:ascii="Arial" w:hAnsi="Arial" w:cs="Arial"/>
          <w:sz w:val="22"/>
          <w:szCs w:val="22"/>
          <w:lang w:val="es-ES_tradnl"/>
        </w:rPr>
        <w:t>Cálculo</w:t>
      </w:r>
      <w:r w:rsidR="007E781F" w:rsidRPr="009C0E1F">
        <w:rPr>
          <w:rFonts w:ascii="Arial" w:hAnsi="Arial" w:cs="Arial"/>
          <w:sz w:val="22"/>
          <w:szCs w:val="22"/>
          <w:lang w:val="es-ES_tradnl"/>
        </w:rPr>
        <w:t xml:space="preserve"> </w:t>
      </w:r>
      <w:r w:rsidR="004D7291" w:rsidRPr="009C0E1F">
        <w:rPr>
          <w:rFonts w:ascii="Arial" w:hAnsi="Arial" w:cs="Arial"/>
          <w:sz w:val="22"/>
          <w:szCs w:val="22"/>
          <w:lang w:val="es-ES_tradnl"/>
        </w:rPr>
        <w:t xml:space="preserve">de la </w:t>
      </w:r>
      <w:r w:rsidR="00046BB1">
        <w:rPr>
          <w:rFonts w:ascii="Arial" w:hAnsi="Arial" w:cs="Arial"/>
          <w:sz w:val="22"/>
          <w:szCs w:val="22"/>
          <w:lang w:val="es-ES_tradnl"/>
        </w:rPr>
        <w:t>Efectividad</w:t>
      </w:r>
      <w:bookmarkEnd w:id="92"/>
    </w:p>
    <w:p w14:paraId="7C2AC2A4" w14:textId="7156115F" w:rsidR="00C012D6" w:rsidRPr="009C0E1F" w:rsidRDefault="00C012D6" w:rsidP="005D44DB">
      <w:pPr>
        <w:pStyle w:val="Paragraph"/>
        <w:numPr>
          <w:ilvl w:val="1"/>
          <w:numId w:val="2"/>
        </w:numPr>
        <w:tabs>
          <w:tab w:val="clear" w:pos="1296"/>
        </w:tabs>
        <w:ind w:left="720" w:hanging="720"/>
        <w:outlineLvl w:val="9"/>
        <w:rPr>
          <w:rFonts w:ascii="Arial" w:hAnsi="Arial" w:cs="Arial"/>
          <w:sz w:val="22"/>
          <w:szCs w:val="22"/>
          <w:lang w:val="es-ES_tradnl"/>
        </w:rPr>
      </w:pPr>
      <w:r w:rsidRPr="009C0E1F">
        <w:rPr>
          <w:rFonts w:ascii="Arial" w:eastAsia="Arial" w:hAnsi="Arial" w:cs="Arial"/>
          <w:sz w:val="22"/>
          <w:szCs w:val="22"/>
          <w:lang w:val="es-ES_tradnl"/>
        </w:rPr>
        <w:t>El análisis de costo-</w:t>
      </w:r>
      <w:r w:rsidR="00046BB1">
        <w:rPr>
          <w:rFonts w:ascii="Arial" w:eastAsia="Arial" w:hAnsi="Arial" w:cs="Arial"/>
          <w:sz w:val="22"/>
          <w:szCs w:val="22"/>
          <w:lang w:val="es-ES_tradnl"/>
        </w:rPr>
        <w:t>efectividad</w:t>
      </w:r>
      <w:r w:rsidRPr="009C0E1F">
        <w:rPr>
          <w:rFonts w:ascii="Arial" w:eastAsia="Arial" w:hAnsi="Arial" w:cs="Arial"/>
          <w:sz w:val="22"/>
          <w:szCs w:val="22"/>
          <w:lang w:val="es-ES_tradnl"/>
        </w:rPr>
        <w:t xml:space="preserve"> compara la </w:t>
      </w:r>
      <w:r w:rsidR="00046BB1">
        <w:rPr>
          <w:rFonts w:ascii="Arial" w:eastAsia="Arial" w:hAnsi="Arial" w:cs="Arial"/>
          <w:sz w:val="22"/>
          <w:szCs w:val="22"/>
          <w:lang w:val="es-ES_tradnl"/>
        </w:rPr>
        <w:t>efectividad</w:t>
      </w:r>
      <w:r w:rsidRPr="009C0E1F">
        <w:rPr>
          <w:rFonts w:ascii="Arial" w:eastAsia="Arial" w:hAnsi="Arial" w:cs="Arial"/>
          <w:sz w:val="22"/>
          <w:szCs w:val="22"/>
          <w:lang w:val="es-ES_tradnl"/>
        </w:rPr>
        <w:t xml:space="preserve"> d</w:t>
      </w:r>
      <w:r w:rsidR="00900FF8">
        <w:rPr>
          <w:rFonts w:ascii="Arial" w:eastAsia="Arial" w:hAnsi="Arial" w:cs="Arial"/>
          <w:sz w:val="22"/>
          <w:szCs w:val="22"/>
          <w:lang w:val="es-ES_tradnl"/>
        </w:rPr>
        <w:t>el SRI y el SENAE</w:t>
      </w:r>
      <w:r w:rsidRPr="009C0E1F">
        <w:rPr>
          <w:rFonts w:ascii="Arial" w:eastAsia="Arial" w:hAnsi="Arial" w:cs="Arial"/>
          <w:sz w:val="22"/>
          <w:szCs w:val="22"/>
          <w:lang w:val="es-ES_tradnl"/>
        </w:rPr>
        <w:t xml:space="preserve"> sin proyecto (A) y con proyecto (B). </w:t>
      </w:r>
      <w:r w:rsidR="00932887" w:rsidRPr="009C0E1F">
        <w:rPr>
          <w:rFonts w:ascii="Arial" w:eastAsia="Arial" w:hAnsi="Arial" w:cs="Arial"/>
          <w:sz w:val="22"/>
          <w:szCs w:val="22"/>
          <w:lang w:val="es-ES_tradnl"/>
        </w:rPr>
        <w:t xml:space="preserve">El indicador utilizado fue el de </w:t>
      </w:r>
      <w:r w:rsidR="008C7F37">
        <w:rPr>
          <w:rFonts w:ascii="Arial" w:eastAsia="Arial" w:hAnsi="Arial" w:cs="Arial"/>
          <w:sz w:val="22"/>
          <w:szCs w:val="22"/>
          <w:lang w:val="es-ES_tradnl"/>
        </w:rPr>
        <w:t>costo por dólar de la recaudación aduanera (SENAE) y de la recaudación de tributos internos (SRI).</w:t>
      </w:r>
      <w:r w:rsidRPr="009C0E1F">
        <w:rPr>
          <w:rFonts w:ascii="Arial" w:eastAsia="Arial" w:hAnsi="Arial" w:cs="Arial"/>
          <w:sz w:val="22"/>
          <w:szCs w:val="22"/>
          <w:lang w:val="es-ES_tradnl"/>
        </w:rPr>
        <w:t xml:space="preserve"> </w:t>
      </w:r>
    </w:p>
    <w:p w14:paraId="07E1C7AF" w14:textId="307B17A2" w:rsidR="00677D82" w:rsidRPr="009C0E1F" w:rsidRDefault="00532D98" w:rsidP="005D44DB">
      <w:pPr>
        <w:pStyle w:val="Paragraph"/>
        <w:numPr>
          <w:ilvl w:val="1"/>
          <w:numId w:val="2"/>
        </w:numPr>
        <w:tabs>
          <w:tab w:val="clear" w:pos="1296"/>
        </w:tabs>
        <w:ind w:left="720" w:hanging="720"/>
        <w:outlineLvl w:val="9"/>
        <w:rPr>
          <w:rFonts w:ascii="Arial" w:eastAsia="Arial" w:hAnsi="Arial" w:cs="Arial"/>
          <w:sz w:val="22"/>
          <w:szCs w:val="22"/>
          <w:lang w:val="es-ES_tradnl"/>
        </w:rPr>
      </w:pPr>
      <w:r w:rsidRPr="00CE5690">
        <w:rPr>
          <w:rFonts w:ascii="Arial" w:eastAsia="Arial" w:hAnsi="Arial" w:cs="Arial"/>
          <w:sz w:val="22"/>
          <w:szCs w:val="22"/>
          <w:lang w:val="es-ES_tradnl"/>
        </w:rPr>
        <w:t>Cómo la</w:t>
      </w:r>
      <w:r w:rsidR="00B37882" w:rsidRPr="00CE5690">
        <w:rPr>
          <w:rFonts w:ascii="Arial" w:eastAsia="Arial" w:hAnsi="Arial" w:cs="Arial"/>
          <w:sz w:val="22"/>
          <w:szCs w:val="22"/>
          <w:lang w:val="es-ES_tradnl"/>
        </w:rPr>
        <w:t xml:space="preserve"> mayoría</w:t>
      </w:r>
      <w:r w:rsidR="00CF0115" w:rsidRPr="00CE5690">
        <w:rPr>
          <w:rFonts w:ascii="Arial" w:eastAsia="Arial" w:hAnsi="Arial" w:cs="Arial"/>
          <w:sz w:val="22"/>
          <w:szCs w:val="22"/>
          <w:lang w:val="es-ES_tradnl"/>
        </w:rPr>
        <w:t xml:space="preserve"> de las </w:t>
      </w:r>
      <w:r w:rsidR="00677D82" w:rsidRPr="00CE5690">
        <w:rPr>
          <w:rFonts w:ascii="Arial" w:eastAsia="Arial" w:hAnsi="Arial" w:cs="Arial"/>
          <w:sz w:val="22"/>
          <w:szCs w:val="22"/>
          <w:lang w:val="es-ES_tradnl"/>
        </w:rPr>
        <w:t xml:space="preserve">aplicaciones clásicas de </w:t>
      </w:r>
      <w:r w:rsidR="00932887" w:rsidRPr="00CE5690">
        <w:rPr>
          <w:rFonts w:ascii="Arial" w:eastAsia="Arial" w:hAnsi="Arial" w:cs="Arial"/>
          <w:sz w:val="22"/>
          <w:szCs w:val="22"/>
          <w:lang w:val="es-ES_tradnl"/>
        </w:rPr>
        <w:t xml:space="preserve">análisis </w:t>
      </w:r>
      <w:r w:rsidR="00677D82" w:rsidRPr="00CE5690">
        <w:rPr>
          <w:rFonts w:ascii="Arial" w:eastAsia="Arial" w:hAnsi="Arial" w:cs="Arial"/>
          <w:sz w:val="22"/>
          <w:szCs w:val="22"/>
          <w:lang w:val="es-ES_tradnl"/>
        </w:rPr>
        <w:t>de cost</w:t>
      </w:r>
      <w:r w:rsidR="00E642A9" w:rsidRPr="00CE5690">
        <w:rPr>
          <w:rFonts w:ascii="Arial" w:eastAsia="Arial" w:hAnsi="Arial" w:cs="Arial"/>
          <w:sz w:val="22"/>
          <w:szCs w:val="22"/>
          <w:lang w:val="es-ES_tradnl"/>
        </w:rPr>
        <w:t>o</w:t>
      </w:r>
      <w:r w:rsidR="00677D82" w:rsidRPr="00CE5690">
        <w:rPr>
          <w:rFonts w:ascii="Arial" w:eastAsia="Arial" w:hAnsi="Arial" w:cs="Arial"/>
          <w:sz w:val="22"/>
          <w:szCs w:val="22"/>
          <w:lang w:val="es-ES_tradnl"/>
        </w:rPr>
        <w:t>-</w:t>
      </w:r>
      <w:r w:rsidR="00046BB1" w:rsidRPr="00CE5690">
        <w:rPr>
          <w:rFonts w:ascii="Arial" w:eastAsia="Arial" w:hAnsi="Arial" w:cs="Arial"/>
          <w:sz w:val="22"/>
          <w:szCs w:val="22"/>
          <w:lang w:val="es-ES_tradnl"/>
        </w:rPr>
        <w:t>efectividad</w:t>
      </w:r>
      <w:r w:rsidR="00677D82" w:rsidRPr="00CE5690">
        <w:rPr>
          <w:rFonts w:ascii="Arial" w:eastAsia="Arial" w:hAnsi="Arial" w:cs="Arial"/>
          <w:sz w:val="22"/>
          <w:szCs w:val="22"/>
          <w:lang w:val="es-ES_tradnl"/>
        </w:rPr>
        <w:t xml:space="preserve"> se encuentran en los sectores de salud y sanitario</w:t>
      </w:r>
      <w:r w:rsidRPr="00CE5690">
        <w:rPr>
          <w:rFonts w:ascii="Arial" w:eastAsia="Arial" w:hAnsi="Arial" w:cs="Arial"/>
          <w:sz w:val="22"/>
          <w:szCs w:val="22"/>
          <w:lang w:val="es-ES_tradnl"/>
        </w:rPr>
        <w:t>, l</w:t>
      </w:r>
      <w:r w:rsidR="00677D82" w:rsidRPr="00CE5690">
        <w:rPr>
          <w:rFonts w:ascii="Arial" w:eastAsia="Arial" w:hAnsi="Arial" w:cs="Arial"/>
          <w:sz w:val="22"/>
          <w:szCs w:val="22"/>
          <w:lang w:val="es-ES_tradnl"/>
        </w:rPr>
        <w:t xml:space="preserve">a presente evaluación sacó provecho de una evaluación de </w:t>
      </w:r>
      <w:r w:rsidR="000D347A" w:rsidRPr="00CE5690">
        <w:rPr>
          <w:rFonts w:ascii="Arial" w:eastAsia="Arial" w:hAnsi="Arial" w:cs="Arial"/>
          <w:sz w:val="22"/>
          <w:szCs w:val="22"/>
          <w:lang w:val="es-ES_tradnl"/>
        </w:rPr>
        <w:t xml:space="preserve">análisis de </w:t>
      </w:r>
      <w:r w:rsidR="00677D82" w:rsidRPr="00CE5690">
        <w:rPr>
          <w:rFonts w:ascii="Arial" w:eastAsia="Arial" w:hAnsi="Arial" w:cs="Arial"/>
          <w:sz w:val="22"/>
          <w:szCs w:val="22"/>
          <w:lang w:val="es-ES_tradnl"/>
        </w:rPr>
        <w:t>cost</w:t>
      </w:r>
      <w:r w:rsidR="00E642A9" w:rsidRPr="00CE5690">
        <w:rPr>
          <w:rFonts w:ascii="Arial" w:eastAsia="Arial" w:hAnsi="Arial" w:cs="Arial"/>
          <w:sz w:val="22"/>
          <w:szCs w:val="22"/>
          <w:lang w:val="es-ES_tradnl"/>
        </w:rPr>
        <w:t>o</w:t>
      </w:r>
      <w:r w:rsidR="00677D82" w:rsidRPr="00CE5690">
        <w:rPr>
          <w:rFonts w:ascii="Arial" w:eastAsia="Arial" w:hAnsi="Arial" w:cs="Arial"/>
          <w:sz w:val="22"/>
          <w:szCs w:val="22"/>
          <w:lang w:val="es-ES_tradnl"/>
        </w:rPr>
        <w:t>-</w:t>
      </w:r>
      <w:r w:rsidR="00046BB1" w:rsidRPr="00CE5690">
        <w:rPr>
          <w:rFonts w:ascii="Arial" w:eastAsia="Arial" w:hAnsi="Arial" w:cs="Arial"/>
          <w:sz w:val="22"/>
          <w:szCs w:val="22"/>
          <w:lang w:val="es-ES_tradnl"/>
        </w:rPr>
        <w:t>efectividad</w:t>
      </w:r>
      <w:r w:rsidR="00677D82" w:rsidRPr="00CE5690">
        <w:rPr>
          <w:rFonts w:ascii="Arial" w:eastAsia="Arial" w:hAnsi="Arial" w:cs="Arial"/>
          <w:sz w:val="22"/>
          <w:szCs w:val="22"/>
          <w:lang w:val="es-ES_tradnl"/>
        </w:rPr>
        <w:t xml:space="preserve"> en </w:t>
      </w:r>
      <w:hyperlink r:id="rId26" w:history="1">
        <w:r w:rsidR="00677D82" w:rsidRPr="00494FDF">
          <w:rPr>
            <w:rFonts w:ascii="Arial" w:eastAsia="Arial" w:hAnsi="Arial" w:cs="Arial"/>
            <w:sz w:val="22"/>
            <w:szCs w:val="22"/>
            <w:lang w:val="es-ES_tradnl"/>
          </w:rPr>
          <w:t>intervenciones sanitarias</w:t>
        </w:r>
      </w:hyperlink>
      <w:r w:rsidR="000D347A" w:rsidRPr="00CE5690">
        <w:rPr>
          <w:rFonts w:ascii="Arial" w:eastAsia="Arial" w:hAnsi="Arial" w:cs="Arial"/>
          <w:sz w:val="22"/>
          <w:szCs w:val="22"/>
          <w:lang w:val="es-ES_tradnl"/>
        </w:rPr>
        <w:t xml:space="preserve"> en la cual s</w:t>
      </w:r>
      <w:r w:rsidR="00E642A9" w:rsidRPr="00CE5690">
        <w:rPr>
          <w:rFonts w:ascii="Arial" w:eastAsia="Arial" w:hAnsi="Arial" w:cs="Arial"/>
          <w:sz w:val="22"/>
          <w:szCs w:val="22"/>
          <w:lang w:val="es-ES_tradnl"/>
        </w:rPr>
        <w:t>e</w:t>
      </w:r>
      <w:r w:rsidR="000D347A" w:rsidRPr="00CE5690">
        <w:rPr>
          <w:rFonts w:ascii="Arial" w:eastAsia="Arial" w:hAnsi="Arial" w:cs="Arial"/>
          <w:sz w:val="22"/>
          <w:szCs w:val="22"/>
          <w:lang w:val="es-ES_tradnl"/>
        </w:rPr>
        <w:t xml:space="preserve"> compa</w:t>
      </w:r>
      <w:r w:rsidRPr="00CE5690">
        <w:rPr>
          <w:rFonts w:ascii="Arial" w:eastAsia="Arial" w:hAnsi="Arial" w:cs="Arial"/>
          <w:sz w:val="22"/>
          <w:szCs w:val="22"/>
          <w:lang w:val="es-ES_tradnl"/>
        </w:rPr>
        <w:t>ra</w:t>
      </w:r>
      <w:r w:rsidR="000D347A" w:rsidRPr="00CE5690">
        <w:rPr>
          <w:rFonts w:ascii="Arial" w:eastAsia="Arial" w:hAnsi="Arial" w:cs="Arial"/>
          <w:sz w:val="22"/>
          <w:szCs w:val="22"/>
          <w:lang w:val="es-ES_tradnl"/>
        </w:rPr>
        <w:t>r</w:t>
      </w:r>
      <w:r w:rsidRPr="00CE5690">
        <w:rPr>
          <w:rFonts w:ascii="Arial" w:eastAsia="Arial" w:hAnsi="Arial" w:cs="Arial"/>
          <w:sz w:val="22"/>
          <w:szCs w:val="22"/>
          <w:lang w:val="es-ES_tradnl"/>
        </w:rPr>
        <w:t>on</w:t>
      </w:r>
      <w:r w:rsidR="000D347A" w:rsidRPr="00CE5690">
        <w:rPr>
          <w:rFonts w:ascii="Arial" w:eastAsia="Arial" w:hAnsi="Arial" w:cs="Arial"/>
          <w:sz w:val="22"/>
          <w:szCs w:val="22"/>
          <w:lang w:val="es-ES_tradnl"/>
        </w:rPr>
        <w:t xml:space="preserve"> costos de tratamientos con </w:t>
      </w:r>
      <w:r w:rsidR="00AB16E5" w:rsidRPr="00CE5690">
        <w:rPr>
          <w:rFonts w:ascii="Arial" w:eastAsia="Arial" w:hAnsi="Arial" w:cs="Arial"/>
          <w:sz w:val="22"/>
          <w:szCs w:val="22"/>
          <w:lang w:val="es-ES_tradnl"/>
        </w:rPr>
        <w:t>relación al</w:t>
      </w:r>
      <w:r w:rsidR="000D347A" w:rsidRPr="00CE5690">
        <w:rPr>
          <w:rFonts w:ascii="Arial" w:eastAsia="Arial" w:hAnsi="Arial" w:cs="Arial"/>
          <w:sz w:val="22"/>
          <w:szCs w:val="22"/>
          <w:lang w:val="es-ES_tradnl"/>
        </w:rPr>
        <w:t xml:space="preserve"> aumento de la longevidad de individuos </w:t>
      </w:r>
      <w:r w:rsidRPr="00CE5690">
        <w:rPr>
          <w:rFonts w:ascii="Arial" w:eastAsia="Arial" w:hAnsi="Arial" w:cs="Arial"/>
          <w:sz w:val="22"/>
          <w:szCs w:val="22"/>
          <w:lang w:val="es-ES_tradnl"/>
        </w:rPr>
        <w:t>con enfermedades terminales</w:t>
      </w:r>
      <w:r w:rsidR="000D347A" w:rsidRPr="00CE5690">
        <w:rPr>
          <w:rFonts w:ascii="Arial" w:eastAsia="Arial" w:hAnsi="Arial" w:cs="Arial"/>
          <w:sz w:val="22"/>
          <w:szCs w:val="22"/>
          <w:lang w:val="es-ES_tradnl"/>
        </w:rPr>
        <w:t xml:space="preserve">. El presente estudio hace una analogía </w:t>
      </w:r>
      <w:r w:rsidR="001572A8" w:rsidRPr="00CE5690">
        <w:rPr>
          <w:rFonts w:ascii="Arial" w:eastAsia="Arial" w:hAnsi="Arial" w:cs="Arial"/>
          <w:sz w:val="22"/>
          <w:szCs w:val="22"/>
          <w:lang w:val="es-ES_tradnl"/>
        </w:rPr>
        <w:t xml:space="preserve">100% </w:t>
      </w:r>
      <w:r w:rsidR="000D347A" w:rsidRPr="00CE5690">
        <w:rPr>
          <w:rFonts w:ascii="Arial" w:eastAsia="Arial" w:hAnsi="Arial" w:cs="Arial"/>
          <w:sz w:val="22"/>
          <w:szCs w:val="22"/>
          <w:lang w:val="es-ES_tradnl"/>
        </w:rPr>
        <w:t xml:space="preserve">simétrica al ejemplo mencionado, remplazando el costo del tratamiento con el </w:t>
      </w:r>
      <w:r w:rsidR="008C7F37" w:rsidRPr="008C7F37">
        <w:rPr>
          <w:rFonts w:ascii="Arial" w:eastAsia="Arial" w:hAnsi="Arial" w:cs="Arial"/>
          <w:sz w:val="22"/>
          <w:szCs w:val="22"/>
          <w:lang w:val="es-ES_tradnl"/>
        </w:rPr>
        <w:t>presupuesto de gastos</w:t>
      </w:r>
      <w:r w:rsidR="008C7F37">
        <w:rPr>
          <w:rFonts w:ascii="Arial" w:eastAsia="Arial" w:hAnsi="Arial" w:cs="Arial"/>
          <w:sz w:val="22"/>
          <w:szCs w:val="22"/>
          <w:lang w:val="es-ES_tradnl"/>
        </w:rPr>
        <w:t xml:space="preserve"> adicional</w:t>
      </w:r>
      <w:r w:rsidR="008C7F37" w:rsidRPr="008C7F37">
        <w:rPr>
          <w:rFonts w:ascii="Arial" w:eastAsia="Arial" w:hAnsi="Arial" w:cs="Arial"/>
          <w:sz w:val="22"/>
          <w:szCs w:val="22"/>
          <w:lang w:val="es-ES_tradnl"/>
        </w:rPr>
        <w:t xml:space="preserve"> ejecutado </w:t>
      </w:r>
      <w:r w:rsidR="008C7F37">
        <w:rPr>
          <w:rFonts w:ascii="Arial" w:eastAsia="Arial" w:hAnsi="Arial" w:cs="Arial"/>
          <w:sz w:val="22"/>
          <w:szCs w:val="22"/>
          <w:lang w:val="es-ES_tradnl"/>
        </w:rPr>
        <w:t>por cada entidad</w:t>
      </w:r>
      <w:r w:rsidR="000D347A" w:rsidRPr="00CE5690">
        <w:rPr>
          <w:rFonts w:ascii="Arial" w:eastAsia="Arial" w:hAnsi="Arial" w:cs="Arial"/>
          <w:sz w:val="22"/>
          <w:szCs w:val="22"/>
          <w:lang w:val="es-ES_tradnl"/>
        </w:rPr>
        <w:t xml:space="preserve">, </w:t>
      </w:r>
      <w:r w:rsidR="00C76368" w:rsidRPr="00CE5690">
        <w:rPr>
          <w:rFonts w:ascii="Arial" w:eastAsia="Arial" w:hAnsi="Arial" w:cs="Arial"/>
          <w:sz w:val="22"/>
          <w:szCs w:val="22"/>
          <w:lang w:val="es-ES_tradnl"/>
        </w:rPr>
        <w:t xml:space="preserve">y la longevidad de individuos por </w:t>
      </w:r>
      <w:r w:rsidR="008C7F37">
        <w:rPr>
          <w:rFonts w:ascii="Arial" w:eastAsia="Arial" w:hAnsi="Arial" w:cs="Arial"/>
          <w:sz w:val="22"/>
          <w:szCs w:val="22"/>
          <w:lang w:val="es-ES_tradnl"/>
        </w:rPr>
        <w:t>el aumento en la</w:t>
      </w:r>
      <w:r w:rsidR="00C76368" w:rsidRPr="00CE5690">
        <w:rPr>
          <w:rFonts w:ascii="Arial" w:eastAsia="Arial" w:hAnsi="Arial" w:cs="Arial"/>
          <w:sz w:val="22"/>
          <w:szCs w:val="22"/>
          <w:lang w:val="es-ES_tradnl"/>
        </w:rPr>
        <w:t xml:space="preserve"> recaudación que se </w:t>
      </w:r>
      <w:r w:rsidR="002E3EF6" w:rsidRPr="00CE5690">
        <w:rPr>
          <w:rFonts w:ascii="Arial" w:eastAsia="Arial" w:hAnsi="Arial" w:cs="Arial"/>
          <w:sz w:val="22"/>
          <w:szCs w:val="22"/>
          <w:lang w:val="es-ES_tradnl"/>
        </w:rPr>
        <w:t>obtendrá</w:t>
      </w:r>
      <w:r w:rsidR="00C76368" w:rsidRPr="00CE5690">
        <w:rPr>
          <w:rFonts w:ascii="Arial" w:eastAsia="Arial" w:hAnsi="Arial" w:cs="Arial"/>
          <w:sz w:val="22"/>
          <w:szCs w:val="22"/>
          <w:lang w:val="es-ES_tradnl"/>
        </w:rPr>
        <w:t xml:space="preserve"> </w:t>
      </w:r>
      <w:r w:rsidR="00387186" w:rsidRPr="00CE5690">
        <w:rPr>
          <w:rFonts w:ascii="Arial" w:eastAsia="Arial" w:hAnsi="Arial" w:cs="Arial"/>
          <w:sz w:val="22"/>
          <w:szCs w:val="22"/>
          <w:lang w:val="es-ES_tradnl"/>
        </w:rPr>
        <w:t>con el proyecto</w:t>
      </w:r>
      <w:r w:rsidRPr="00CE5690">
        <w:rPr>
          <w:rFonts w:ascii="Arial" w:eastAsia="Arial" w:hAnsi="Arial" w:cs="Arial"/>
          <w:sz w:val="22"/>
          <w:szCs w:val="22"/>
          <w:lang w:val="es-ES_tradnl"/>
        </w:rPr>
        <w:t>.</w:t>
      </w:r>
      <w:r w:rsidR="000D347A" w:rsidRPr="00CE5690">
        <w:rPr>
          <w:rFonts w:ascii="Arial" w:eastAsia="Arial" w:hAnsi="Arial" w:cs="Arial"/>
          <w:sz w:val="22"/>
          <w:szCs w:val="22"/>
          <w:lang w:val="es-ES_tradnl"/>
        </w:rPr>
        <w:t xml:space="preserve"> En la práctica</w:t>
      </w:r>
      <w:r w:rsidR="00E642A9" w:rsidRPr="00CE5690">
        <w:rPr>
          <w:rFonts w:ascii="Arial" w:eastAsia="Arial" w:hAnsi="Arial" w:cs="Arial"/>
          <w:sz w:val="22"/>
          <w:szCs w:val="22"/>
          <w:lang w:val="es-ES_tradnl"/>
        </w:rPr>
        <w:t>,</w:t>
      </w:r>
      <w:r w:rsidR="000D347A" w:rsidRPr="00CE5690">
        <w:rPr>
          <w:rFonts w:ascii="Arial" w:eastAsia="Arial" w:hAnsi="Arial" w:cs="Arial"/>
          <w:sz w:val="22"/>
          <w:szCs w:val="22"/>
          <w:lang w:val="es-ES_tradnl"/>
        </w:rPr>
        <w:t xml:space="preserve"> la lógica es la misma, </w:t>
      </w:r>
      <w:r w:rsidR="00932887" w:rsidRPr="00CE5690">
        <w:rPr>
          <w:rFonts w:ascii="Arial" w:eastAsia="Arial" w:hAnsi="Arial" w:cs="Arial"/>
          <w:sz w:val="22"/>
          <w:szCs w:val="22"/>
          <w:lang w:val="es-ES_tradnl"/>
        </w:rPr>
        <w:t xml:space="preserve">si bien </w:t>
      </w:r>
      <w:r w:rsidR="00F502C5" w:rsidRPr="00CE5690">
        <w:rPr>
          <w:rFonts w:ascii="Arial" w:eastAsia="Arial" w:hAnsi="Arial" w:cs="Arial"/>
          <w:sz w:val="22"/>
          <w:szCs w:val="22"/>
          <w:lang w:val="es-ES_tradnl"/>
        </w:rPr>
        <w:t xml:space="preserve">se </w:t>
      </w:r>
      <w:r w:rsidR="001572A8" w:rsidRPr="00CE5690">
        <w:rPr>
          <w:rFonts w:ascii="Arial" w:eastAsia="Arial" w:hAnsi="Arial" w:cs="Arial"/>
          <w:sz w:val="22"/>
          <w:szCs w:val="22"/>
          <w:lang w:val="es-ES_tradnl"/>
        </w:rPr>
        <w:t>utiliza</w:t>
      </w:r>
      <w:r w:rsidR="00AB16E5" w:rsidRPr="00CE5690">
        <w:rPr>
          <w:rFonts w:ascii="Arial" w:eastAsia="Arial" w:hAnsi="Arial" w:cs="Arial"/>
          <w:sz w:val="22"/>
          <w:szCs w:val="22"/>
          <w:lang w:val="es-ES_tradnl"/>
        </w:rPr>
        <w:t>n</w:t>
      </w:r>
      <w:r w:rsidR="000D347A" w:rsidRPr="00CE5690">
        <w:rPr>
          <w:rFonts w:ascii="Arial" w:eastAsia="Arial" w:hAnsi="Arial" w:cs="Arial"/>
          <w:sz w:val="22"/>
          <w:szCs w:val="22"/>
          <w:lang w:val="es-ES_tradnl"/>
        </w:rPr>
        <w:t xml:space="preserve"> variables de diferente</w:t>
      </w:r>
      <w:r w:rsidR="001572A8" w:rsidRPr="00CE5690">
        <w:rPr>
          <w:rFonts w:ascii="Arial" w:eastAsia="Arial" w:hAnsi="Arial" w:cs="Arial"/>
          <w:sz w:val="22"/>
          <w:szCs w:val="22"/>
          <w:lang w:val="es-ES_tradnl"/>
        </w:rPr>
        <w:t>s</w:t>
      </w:r>
      <w:r w:rsidR="000D347A" w:rsidRPr="00CE5690">
        <w:rPr>
          <w:rFonts w:ascii="Arial" w:eastAsia="Arial" w:hAnsi="Arial" w:cs="Arial"/>
          <w:sz w:val="22"/>
          <w:szCs w:val="22"/>
          <w:lang w:val="es-ES_tradnl"/>
        </w:rPr>
        <w:t xml:space="preserve"> </w:t>
      </w:r>
      <w:r w:rsidR="00DE4399" w:rsidRPr="00CE5690">
        <w:rPr>
          <w:rFonts w:ascii="Arial" w:eastAsia="Arial" w:hAnsi="Arial" w:cs="Arial"/>
          <w:sz w:val="22"/>
          <w:szCs w:val="22"/>
          <w:lang w:val="es-ES_tradnl"/>
        </w:rPr>
        <w:t>tipo</w:t>
      </w:r>
      <w:r w:rsidR="001572A8" w:rsidRPr="00CE5690">
        <w:rPr>
          <w:rFonts w:ascii="Arial" w:eastAsia="Arial" w:hAnsi="Arial" w:cs="Arial"/>
          <w:sz w:val="22"/>
          <w:szCs w:val="22"/>
          <w:lang w:val="es-ES_tradnl"/>
        </w:rPr>
        <w:t>s</w:t>
      </w:r>
      <w:r w:rsidR="00DE4399" w:rsidRPr="00CE5690">
        <w:rPr>
          <w:rFonts w:ascii="Arial" w:eastAsia="Arial" w:hAnsi="Arial" w:cs="Arial"/>
          <w:sz w:val="22"/>
          <w:szCs w:val="22"/>
          <w:lang w:val="es-ES_tradnl"/>
        </w:rPr>
        <w:t>.</w:t>
      </w:r>
    </w:p>
    <w:p w14:paraId="423A6A64" w14:textId="2AFBB29E" w:rsidR="00D0100F" w:rsidRDefault="00D0100F" w:rsidP="005D44DB">
      <w:pPr>
        <w:pStyle w:val="Paragraph"/>
        <w:numPr>
          <w:ilvl w:val="1"/>
          <w:numId w:val="2"/>
        </w:numPr>
        <w:tabs>
          <w:tab w:val="clear" w:pos="1296"/>
        </w:tabs>
        <w:ind w:left="720" w:hanging="720"/>
        <w:outlineLvl w:val="9"/>
        <w:rPr>
          <w:rFonts w:ascii="Arial" w:eastAsia="Arial" w:hAnsi="Arial" w:cs="Arial"/>
          <w:sz w:val="22"/>
          <w:szCs w:val="22"/>
          <w:lang w:val="es-ES_tradnl"/>
        </w:rPr>
      </w:pPr>
      <w:r w:rsidRPr="00CE5690">
        <w:rPr>
          <w:rFonts w:ascii="Arial" w:eastAsia="Arial" w:hAnsi="Arial" w:cs="Arial"/>
          <w:sz w:val="22"/>
          <w:szCs w:val="22"/>
          <w:lang w:val="es-ES_tradnl"/>
        </w:rPr>
        <w:t>Supuesto</w:t>
      </w:r>
      <w:r w:rsidR="00DF00E9">
        <w:rPr>
          <w:rFonts w:ascii="Arial" w:eastAsia="Arial" w:hAnsi="Arial" w:cs="Arial"/>
          <w:sz w:val="22"/>
          <w:szCs w:val="22"/>
          <w:lang w:val="es-ES_tradnl"/>
        </w:rPr>
        <w:t xml:space="preserve"> 1</w:t>
      </w:r>
      <w:r w:rsidRPr="00CE5690">
        <w:rPr>
          <w:rFonts w:ascii="Arial" w:eastAsia="Arial" w:hAnsi="Arial" w:cs="Arial"/>
          <w:sz w:val="22"/>
          <w:szCs w:val="22"/>
          <w:lang w:val="es-ES_tradnl"/>
        </w:rPr>
        <w:t xml:space="preserve"> </w:t>
      </w:r>
      <w:r w:rsidR="008F1A52" w:rsidRPr="00CE5690">
        <w:rPr>
          <w:rFonts w:ascii="Arial" w:eastAsia="Arial" w:hAnsi="Arial" w:cs="Arial"/>
          <w:sz w:val="22"/>
          <w:szCs w:val="22"/>
          <w:lang w:val="es-ES_tradnl"/>
        </w:rPr>
        <w:t>–</w:t>
      </w:r>
      <w:r w:rsidR="00896279" w:rsidRPr="00CE5690">
        <w:rPr>
          <w:rFonts w:ascii="Arial" w:eastAsia="Arial" w:hAnsi="Arial" w:cs="Arial"/>
          <w:sz w:val="22"/>
          <w:szCs w:val="22"/>
          <w:lang w:val="es-ES_tradnl"/>
        </w:rPr>
        <w:t xml:space="preserve"> C</w:t>
      </w:r>
      <w:r w:rsidR="00AB16E5" w:rsidRPr="00CE5690">
        <w:rPr>
          <w:rFonts w:ascii="Arial" w:eastAsia="Arial" w:hAnsi="Arial" w:cs="Arial"/>
          <w:sz w:val="22"/>
          <w:szCs w:val="22"/>
          <w:lang w:val="es-ES_tradnl"/>
        </w:rPr>
        <w:t xml:space="preserve">on </w:t>
      </w:r>
      <w:r w:rsidR="002E3EF6" w:rsidRPr="00CE5690">
        <w:rPr>
          <w:rFonts w:ascii="Arial" w:eastAsia="Arial" w:hAnsi="Arial" w:cs="Arial"/>
          <w:sz w:val="22"/>
          <w:szCs w:val="22"/>
          <w:lang w:val="es-ES_tradnl"/>
        </w:rPr>
        <w:t xml:space="preserve">el </w:t>
      </w:r>
      <w:r w:rsidR="00AB16E5" w:rsidRPr="00CE5690">
        <w:rPr>
          <w:rFonts w:ascii="Arial" w:eastAsia="Arial" w:hAnsi="Arial" w:cs="Arial"/>
          <w:sz w:val="22"/>
          <w:szCs w:val="22"/>
          <w:lang w:val="es-ES_tradnl"/>
        </w:rPr>
        <w:t xml:space="preserve">proyecto, </w:t>
      </w:r>
      <w:r w:rsidR="00896279" w:rsidRPr="00CE5690">
        <w:rPr>
          <w:rFonts w:ascii="Arial" w:eastAsia="Arial" w:hAnsi="Arial" w:cs="Arial"/>
          <w:sz w:val="22"/>
          <w:szCs w:val="22"/>
          <w:lang w:val="es-ES_tradnl"/>
        </w:rPr>
        <w:t xml:space="preserve">se logrará </w:t>
      </w:r>
      <w:r w:rsidR="00AB16E5" w:rsidRPr="00CE5690">
        <w:rPr>
          <w:rFonts w:ascii="Arial" w:eastAsia="Arial" w:hAnsi="Arial" w:cs="Arial"/>
          <w:sz w:val="22"/>
          <w:szCs w:val="22"/>
          <w:lang w:val="es-ES_tradnl"/>
        </w:rPr>
        <w:t>un</w:t>
      </w:r>
      <w:r w:rsidR="002E3EF6" w:rsidRPr="00CE5690">
        <w:rPr>
          <w:rFonts w:ascii="Arial" w:eastAsia="Arial" w:hAnsi="Arial" w:cs="Arial"/>
          <w:sz w:val="22"/>
          <w:szCs w:val="22"/>
          <w:lang w:val="es-ES_tradnl"/>
        </w:rPr>
        <w:t xml:space="preserve">a mayor recaudación </w:t>
      </w:r>
      <w:r w:rsidR="00AB16E5" w:rsidRPr="00CE5690">
        <w:rPr>
          <w:rFonts w:ascii="Arial" w:eastAsia="Arial" w:hAnsi="Arial" w:cs="Arial"/>
          <w:sz w:val="22"/>
          <w:szCs w:val="22"/>
          <w:lang w:val="es-ES_tradnl"/>
        </w:rPr>
        <w:t>que sin proyecto</w:t>
      </w:r>
      <w:r w:rsidR="008C7F37">
        <w:rPr>
          <w:rFonts w:ascii="Arial" w:eastAsia="Arial" w:hAnsi="Arial" w:cs="Arial"/>
          <w:sz w:val="22"/>
          <w:szCs w:val="22"/>
          <w:lang w:val="es-ES_tradnl"/>
        </w:rPr>
        <w:t xml:space="preserve"> tanto en SRI como en SENAE</w:t>
      </w:r>
      <w:r w:rsidR="00A149ED" w:rsidRPr="00CE5690">
        <w:rPr>
          <w:rFonts w:ascii="Arial" w:eastAsia="Arial" w:hAnsi="Arial" w:cs="Arial"/>
          <w:sz w:val="22"/>
          <w:szCs w:val="22"/>
          <w:lang w:val="es-ES_tradnl"/>
        </w:rPr>
        <w:t>.</w:t>
      </w:r>
      <w:r w:rsidR="00270019" w:rsidRPr="00CE5690">
        <w:rPr>
          <w:rFonts w:ascii="Arial" w:eastAsia="Arial" w:hAnsi="Arial" w:cs="Arial"/>
          <w:sz w:val="22"/>
          <w:szCs w:val="22"/>
          <w:lang w:val="es-ES_tradnl"/>
        </w:rPr>
        <w:t xml:space="preserve">  Esto se alcanzaría debido al aumento </w:t>
      </w:r>
      <w:r w:rsidR="002E3EF6" w:rsidRPr="00CE5690">
        <w:rPr>
          <w:rFonts w:ascii="Arial" w:eastAsia="Arial" w:hAnsi="Arial" w:cs="Arial"/>
          <w:sz w:val="22"/>
          <w:szCs w:val="22"/>
          <w:lang w:val="es-ES_tradnl"/>
        </w:rPr>
        <w:t xml:space="preserve">de la </w:t>
      </w:r>
      <w:r w:rsidR="00046BB1" w:rsidRPr="00CE5690">
        <w:rPr>
          <w:rFonts w:ascii="Arial" w:eastAsia="Arial" w:hAnsi="Arial" w:cs="Arial"/>
          <w:sz w:val="22"/>
          <w:szCs w:val="22"/>
          <w:lang w:val="es-ES_tradnl"/>
        </w:rPr>
        <w:t>efectividad</w:t>
      </w:r>
      <w:r w:rsidR="002E3EF6" w:rsidRPr="00CE5690">
        <w:rPr>
          <w:rFonts w:ascii="Arial" w:eastAsia="Arial" w:hAnsi="Arial" w:cs="Arial"/>
          <w:sz w:val="22"/>
          <w:szCs w:val="22"/>
          <w:lang w:val="es-ES_tradnl"/>
        </w:rPr>
        <w:t xml:space="preserve"> en los procesos de </w:t>
      </w:r>
      <w:r w:rsidR="003815F0" w:rsidRPr="00CE5690">
        <w:rPr>
          <w:rFonts w:ascii="Arial" w:eastAsia="Arial" w:hAnsi="Arial" w:cs="Arial"/>
          <w:sz w:val="22"/>
          <w:szCs w:val="22"/>
          <w:lang w:val="es-ES_tradnl"/>
        </w:rPr>
        <w:t>fiscalización</w:t>
      </w:r>
      <w:r w:rsidR="00270019" w:rsidRPr="00CE5690">
        <w:rPr>
          <w:rFonts w:ascii="Arial" w:eastAsia="Arial" w:hAnsi="Arial" w:cs="Arial"/>
          <w:sz w:val="22"/>
          <w:szCs w:val="22"/>
          <w:lang w:val="es-ES_tradnl"/>
        </w:rPr>
        <w:t xml:space="preserve"> </w:t>
      </w:r>
      <w:r w:rsidR="008C7F37">
        <w:rPr>
          <w:rFonts w:ascii="Arial" w:eastAsia="Arial" w:hAnsi="Arial" w:cs="Arial"/>
          <w:sz w:val="22"/>
          <w:szCs w:val="22"/>
          <w:lang w:val="es-ES_tradnl"/>
        </w:rPr>
        <w:t xml:space="preserve">tributaria y aduanera </w:t>
      </w:r>
      <w:r w:rsidR="00270019" w:rsidRPr="00CE5690">
        <w:rPr>
          <w:rFonts w:ascii="Arial" w:eastAsia="Arial" w:hAnsi="Arial" w:cs="Arial"/>
          <w:sz w:val="22"/>
          <w:szCs w:val="22"/>
          <w:lang w:val="es-ES_tradnl"/>
        </w:rPr>
        <w:t>como resultado del proyecto</w:t>
      </w:r>
      <w:r w:rsidR="008C7F37">
        <w:rPr>
          <w:rFonts w:ascii="Arial" w:eastAsia="Arial" w:hAnsi="Arial" w:cs="Arial"/>
          <w:sz w:val="22"/>
          <w:szCs w:val="22"/>
          <w:lang w:val="es-ES_tradnl"/>
        </w:rPr>
        <w:t>, así como su incidencia en el cumplimiento voluntario de los contribuyentes</w:t>
      </w:r>
      <w:r w:rsidR="00896279" w:rsidRPr="00CE5690">
        <w:rPr>
          <w:rFonts w:ascii="Arial" w:eastAsia="Arial" w:hAnsi="Arial" w:cs="Arial"/>
          <w:sz w:val="22"/>
          <w:szCs w:val="22"/>
          <w:lang w:val="es-ES_tradnl"/>
        </w:rPr>
        <w:t xml:space="preserve">. La lógica detrás de este argumento es que, si bien la </w:t>
      </w:r>
      <w:r w:rsidR="008C7F37">
        <w:rPr>
          <w:rFonts w:ascii="Arial" w:eastAsia="Arial" w:hAnsi="Arial" w:cs="Arial"/>
          <w:sz w:val="22"/>
          <w:szCs w:val="22"/>
          <w:lang w:val="es-ES_tradnl"/>
        </w:rPr>
        <w:t>modernización de la</w:t>
      </w:r>
      <w:r w:rsidR="00896279" w:rsidRPr="00CE5690">
        <w:rPr>
          <w:rFonts w:ascii="Arial" w:eastAsia="Arial" w:hAnsi="Arial" w:cs="Arial"/>
          <w:sz w:val="22"/>
          <w:szCs w:val="22"/>
          <w:lang w:val="es-ES_tradnl"/>
        </w:rPr>
        <w:t xml:space="preserve"> plataforma de TI</w:t>
      </w:r>
      <w:r w:rsidR="002E3EF6" w:rsidRPr="00CE5690">
        <w:rPr>
          <w:rFonts w:ascii="Arial" w:eastAsia="Arial" w:hAnsi="Arial" w:cs="Arial"/>
          <w:sz w:val="22"/>
          <w:szCs w:val="22"/>
          <w:lang w:val="es-ES_tradnl"/>
        </w:rPr>
        <w:t xml:space="preserve"> y los nuevos procesos de fiscalización</w:t>
      </w:r>
      <w:r w:rsidR="00896279" w:rsidRPr="00CE5690">
        <w:rPr>
          <w:rFonts w:ascii="Arial" w:eastAsia="Arial" w:hAnsi="Arial" w:cs="Arial"/>
          <w:sz w:val="22"/>
          <w:szCs w:val="22"/>
          <w:lang w:val="es-ES_tradnl"/>
        </w:rPr>
        <w:t xml:space="preserve"> </w:t>
      </w:r>
      <w:r w:rsidR="008C7F37">
        <w:rPr>
          <w:rFonts w:ascii="Arial" w:eastAsia="Arial" w:hAnsi="Arial" w:cs="Arial"/>
          <w:sz w:val="22"/>
          <w:szCs w:val="22"/>
          <w:lang w:val="es-ES_tradnl"/>
        </w:rPr>
        <w:t xml:space="preserve">en SRI y SENAE </w:t>
      </w:r>
      <w:r w:rsidR="00896279" w:rsidRPr="00CE5690">
        <w:rPr>
          <w:rFonts w:ascii="Arial" w:eastAsia="Arial" w:hAnsi="Arial" w:cs="Arial"/>
          <w:sz w:val="22"/>
          <w:szCs w:val="22"/>
          <w:lang w:val="es-ES_tradnl"/>
        </w:rPr>
        <w:t>implicará</w:t>
      </w:r>
      <w:r w:rsidR="002E3EF6" w:rsidRPr="00CE5690">
        <w:rPr>
          <w:rFonts w:ascii="Arial" w:eastAsia="Arial" w:hAnsi="Arial" w:cs="Arial"/>
          <w:sz w:val="22"/>
          <w:szCs w:val="22"/>
          <w:lang w:val="es-ES_tradnl"/>
        </w:rPr>
        <w:t>n</w:t>
      </w:r>
      <w:r w:rsidR="00896279" w:rsidRPr="00CE5690">
        <w:rPr>
          <w:rFonts w:ascii="Arial" w:eastAsia="Arial" w:hAnsi="Arial" w:cs="Arial"/>
          <w:sz w:val="22"/>
          <w:szCs w:val="22"/>
          <w:lang w:val="es-ES_tradnl"/>
        </w:rPr>
        <w:t xml:space="preserve"> un mayor costo anual, la implementación del proyecto aumentará, </w:t>
      </w:r>
      <w:proofErr w:type="spellStart"/>
      <w:r w:rsidR="00896279" w:rsidRPr="00CE5690">
        <w:rPr>
          <w:rFonts w:ascii="Arial" w:eastAsia="Arial" w:hAnsi="Arial" w:cs="Arial"/>
          <w:sz w:val="22"/>
          <w:szCs w:val="22"/>
          <w:lang w:val="es-ES_tradnl"/>
        </w:rPr>
        <w:t>ceteris</w:t>
      </w:r>
      <w:proofErr w:type="spellEnd"/>
      <w:r w:rsidR="00896279" w:rsidRPr="00CE5690">
        <w:rPr>
          <w:rFonts w:ascii="Arial" w:eastAsia="Arial" w:hAnsi="Arial" w:cs="Arial"/>
          <w:sz w:val="22"/>
          <w:szCs w:val="22"/>
          <w:lang w:val="es-ES_tradnl"/>
        </w:rPr>
        <w:t xml:space="preserve"> </w:t>
      </w:r>
      <w:proofErr w:type="spellStart"/>
      <w:r w:rsidR="00896279" w:rsidRPr="00CE5690">
        <w:rPr>
          <w:rFonts w:ascii="Arial" w:eastAsia="Arial" w:hAnsi="Arial" w:cs="Arial"/>
          <w:sz w:val="22"/>
          <w:szCs w:val="22"/>
          <w:lang w:val="es-ES_tradnl"/>
        </w:rPr>
        <w:t>paribus</w:t>
      </w:r>
      <w:proofErr w:type="spellEnd"/>
      <w:r w:rsidR="00896279" w:rsidRPr="00CE5690">
        <w:rPr>
          <w:rFonts w:ascii="Arial" w:eastAsia="Arial" w:hAnsi="Arial" w:cs="Arial"/>
          <w:sz w:val="22"/>
          <w:szCs w:val="22"/>
          <w:lang w:val="es-ES_tradnl"/>
        </w:rPr>
        <w:t xml:space="preserve">, la frontera de posibilidades </w:t>
      </w:r>
      <w:r w:rsidR="00896279" w:rsidRPr="00CE5690">
        <w:rPr>
          <w:rFonts w:ascii="Arial" w:eastAsia="Arial" w:hAnsi="Arial" w:cs="Arial"/>
          <w:sz w:val="22"/>
          <w:szCs w:val="22"/>
          <w:lang w:val="es-ES_tradnl"/>
        </w:rPr>
        <w:lastRenderedPageBreak/>
        <w:t xml:space="preserve">de producción en términos de </w:t>
      </w:r>
      <w:r w:rsidR="002E3EF6" w:rsidRPr="00CE5690">
        <w:rPr>
          <w:rFonts w:ascii="Arial" w:eastAsia="Arial" w:hAnsi="Arial" w:cs="Arial"/>
          <w:sz w:val="22"/>
          <w:szCs w:val="22"/>
          <w:lang w:val="es-ES_tradnl"/>
        </w:rPr>
        <w:t>mayor recaudación</w:t>
      </w:r>
      <w:r w:rsidR="00896279" w:rsidRPr="00CE5690">
        <w:rPr>
          <w:rFonts w:ascii="Arial" w:eastAsia="Arial" w:hAnsi="Arial" w:cs="Arial"/>
          <w:sz w:val="22"/>
          <w:szCs w:val="22"/>
          <w:lang w:val="es-ES_tradnl"/>
        </w:rPr>
        <w:t>, lo que permitirá mejorar la relación de costo-</w:t>
      </w:r>
      <w:r w:rsidR="00046BB1" w:rsidRPr="00CE5690">
        <w:rPr>
          <w:rFonts w:ascii="Arial" w:eastAsia="Arial" w:hAnsi="Arial" w:cs="Arial"/>
          <w:sz w:val="22"/>
          <w:szCs w:val="22"/>
          <w:lang w:val="es-ES_tradnl"/>
        </w:rPr>
        <w:t>efectividad</w:t>
      </w:r>
      <w:r w:rsidR="00896279" w:rsidRPr="00CE5690">
        <w:rPr>
          <w:rFonts w:ascii="Arial" w:eastAsia="Arial" w:hAnsi="Arial" w:cs="Arial"/>
          <w:sz w:val="22"/>
          <w:szCs w:val="22"/>
          <w:lang w:val="es-ES_tradnl"/>
        </w:rPr>
        <w:t xml:space="preserve"> por </w:t>
      </w:r>
      <w:r w:rsidR="002E3EF6" w:rsidRPr="00CE5690">
        <w:rPr>
          <w:rFonts w:ascii="Arial" w:eastAsia="Arial" w:hAnsi="Arial" w:cs="Arial"/>
          <w:sz w:val="22"/>
          <w:szCs w:val="22"/>
          <w:lang w:val="es-ES_tradnl"/>
        </w:rPr>
        <w:t xml:space="preserve">dólar </w:t>
      </w:r>
      <w:r w:rsidR="008C7F37">
        <w:rPr>
          <w:rFonts w:ascii="Arial" w:eastAsia="Arial" w:hAnsi="Arial" w:cs="Arial"/>
          <w:sz w:val="22"/>
          <w:szCs w:val="22"/>
          <w:lang w:val="es-ES_tradnl"/>
        </w:rPr>
        <w:t>recaudado</w:t>
      </w:r>
      <w:r w:rsidR="00896279" w:rsidRPr="00CE5690">
        <w:rPr>
          <w:rFonts w:ascii="Arial" w:eastAsia="Arial" w:hAnsi="Arial" w:cs="Arial"/>
          <w:sz w:val="22"/>
          <w:szCs w:val="22"/>
          <w:lang w:val="es-ES_tradnl"/>
        </w:rPr>
        <w:t>.</w:t>
      </w:r>
      <w:r w:rsidR="00DF00E9">
        <w:rPr>
          <w:rFonts w:ascii="Arial" w:eastAsia="Arial" w:hAnsi="Arial" w:cs="Arial"/>
          <w:sz w:val="22"/>
          <w:szCs w:val="22"/>
          <w:lang w:val="es-ES_tradnl"/>
        </w:rPr>
        <w:t xml:space="preserve"> </w:t>
      </w:r>
    </w:p>
    <w:p w14:paraId="15002015" w14:textId="733B26A7" w:rsidR="00DF00E9" w:rsidRPr="00CE5690" w:rsidRDefault="00DF00E9" w:rsidP="005D44DB">
      <w:pPr>
        <w:pStyle w:val="Paragraph"/>
        <w:numPr>
          <w:ilvl w:val="1"/>
          <w:numId w:val="2"/>
        </w:numPr>
        <w:tabs>
          <w:tab w:val="clear" w:pos="1296"/>
        </w:tabs>
        <w:ind w:left="720" w:hanging="720"/>
        <w:outlineLvl w:val="9"/>
        <w:rPr>
          <w:rFonts w:ascii="Arial" w:eastAsia="Arial" w:hAnsi="Arial" w:cs="Arial"/>
          <w:sz w:val="22"/>
          <w:szCs w:val="22"/>
          <w:lang w:val="es-ES_tradnl"/>
        </w:rPr>
      </w:pPr>
      <w:r>
        <w:rPr>
          <w:rFonts w:ascii="Arial" w:eastAsia="Arial" w:hAnsi="Arial" w:cs="Arial"/>
          <w:sz w:val="22"/>
          <w:szCs w:val="22"/>
          <w:lang w:val="es-ES_tradnl"/>
        </w:rPr>
        <w:t xml:space="preserve">Supuesto 2 – Con el proyecto, se logrará reducir los costos administrativos del SRI y el SENAE. Los presupuestos originales de estas dos instituciones experimentaran una reducción proporcional a sus presupuestos como consecuencia del menor uso de documentos físicos y procedimientos administrativos que actualmente demandan mano de obra intensiva ya sea de las instituciones o de servicios de terceros. El caso de la notificación electrónica a los contribuyentes en lugar de la </w:t>
      </w:r>
      <w:r w:rsidR="006E262D">
        <w:rPr>
          <w:rFonts w:ascii="Arial" w:eastAsia="Arial" w:hAnsi="Arial" w:cs="Arial"/>
          <w:sz w:val="22"/>
          <w:szCs w:val="22"/>
          <w:lang w:val="es-ES_tradnl"/>
        </w:rPr>
        <w:t>actual</w:t>
      </w:r>
      <w:r>
        <w:rPr>
          <w:rFonts w:ascii="Arial" w:eastAsia="Arial" w:hAnsi="Arial" w:cs="Arial"/>
          <w:sz w:val="22"/>
          <w:szCs w:val="22"/>
          <w:lang w:val="es-ES_tradnl"/>
        </w:rPr>
        <w:t xml:space="preserve"> notificación física es un ejemplo de </w:t>
      </w:r>
      <w:r w:rsidR="003A37B5">
        <w:rPr>
          <w:rFonts w:ascii="Arial" w:eastAsia="Arial" w:hAnsi="Arial" w:cs="Arial"/>
          <w:sz w:val="22"/>
          <w:szCs w:val="22"/>
          <w:lang w:val="es-ES_tradnl"/>
        </w:rPr>
        <w:t>cómo</w:t>
      </w:r>
      <w:r>
        <w:rPr>
          <w:rFonts w:ascii="Arial" w:eastAsia="Arial" w:hAnsi="Arial" w:cs="Arial"/>
          <w:sz w:val="22"/>
          <w:szCs w:val="22"/>
          <w:lang w:val="es-ES_tradnl"/>
        </w:rPr>
        <w:t xml:space="preserve"> el proyecto lograra reducir los presupuestos actuales de estas instituciones. </w:t>
      </w:r>
    </w:p>
    <w:p w14:paraId="16A4245F" w14:textId="1DC69C84" w:rsidR="004D7291" w:rsidRPr="009C0E1F" w:rsidRDefault="002C53EA" w:rsidP="005D44DB">
      <w:pPr>
        <w:pStyle w:val="Paragraph"/>
        <w:numPr>
          <w:ilvl w:val="1"/>
          <w:numId w:val="2"/>
        </w:numPr>
        <w:tabs>
          <w:tab w:val="clear" w:pos="1296"/>
        </w:tabs>
        <w:ind w:left="720" w:hanging="720"/>
        <w:outlineLvl w:val="9"/>
        <w:rPr>
          <w:rFonts w:ascii="Arial" w:hAnsi="Arial" w:cs="Arial"/>
          <w:sz w:val="22"/>
          <w:szCs w:val="22"/>
          <w:lang w:val="es-ES_tradnl"/>
        </w:rPr>
      </w:pPr>
      <w:r w:rsidRPr="009C0E1F">
        <w:rPr>
          <w:rFonts w:ascii="Arial" w:hAnsi="Arial" w:cs="Arial"/>
          <w:b/>
          <w:sz w:val="22"/>
          <w:szCs w:val="22"/>
          <w:lang w:val="es-ES_tradnl"/>
        </w:rPr>
        <w:t>Metodología</w:t>
      </w:r>
      <w:r w:rsidRPr="009C0E1F">
        <w:rPr>
          <w:rFonts w:ascii="Arial" w:hAnsi="Arial" w:cs="Arial"/>
          <w:sz w:val="22"/>
          <w:szCs w:val="22"/>
          <w:lang w:val="es-ES_tradnl"/>
        </w:rPr>
        <w:t>.</w:t>
      </w:r>
      <w:r w:rsidR="00A149ED" w:rsidRPr="009C0E1F">
        <w:rPr>
          <w:rFonts w:ascii="Arial" w:hAnsi="Arial" w:cs="Arial"/>
          <w:sz w:val="22"/>
          <w:szCs w:val="22"/>
          <w:lang w:val="es-ES_tradnl"/>
        </w:rPr>
        <w:t xml:space="preserve"> </w:t>
      </w:r>
      <w:r w:rsidR="00FB1FDE" w:rsidRPr="009C0E1F">
        <w:rPr>
          <w:rFonts w:ascii="Arial" w:hAnsi="Arial" w:cs="Arial"/>
          <w:sz w:val="22"/>
          <w:szCs w:val="22"/>
          <w:lang w:val="es-ES_tradnl"/>
        </w:rPr>
        <w:t>El análisis cost</w:t>
      </w:r>
      <w:r w:rsidR="00E642A9" w:rsidRPr="009C0E1F">
        <w:rPr>
          <w:rFonts w:ascii="Arial" w:hAnsi="Arial" w:cs="Arial"/>
          <w:sz w:val="22"/>
          <w:szCs w:val="22"/>
          <w:lang w:val="es-ES_tradnl"/>
        </w:rPr>
        <w:t>o</w:t>
      </w:r>
      <w:r w:rsidR="00FB1FDE" w:rsidRPr="009C0E1F">
        <w:rPr>
          <w:rFonts w:ascii="Arial" w:hAnsi="Arial" w:cs="Arial"/>
          <w:sz w:val="22"/>
          <w:szCs w:val="22"/>
          <w:lang w:val="es-ES_tradnl"/>
        </w:rPr>
        <w:t>-</w:t>
      </w:r>
      <w:r w:rsidR="00046BB1">
        <w:rPr>
          <w:rFonts w:ascii="Arial" w:hAnsi="Arial" w:cs="Arial"/>
          <w:sz w:val="22"/>
          <w:szCs w:val="22"/>
          <w:lang w:val="es-ES_tradnl"/>
        </w:rPr>
        <w:t>efectividad</w:t>
      </w:r>
      <w:r w:rsidR="00FB1FDE" w:rsidRPr="009C0E1F">
        <w:rPr>
          <w:rFonts w:ascii="Arial" w:hAnsi="Arial" w:cs="Arial"/>
          <w:sz w:val="22"/>
          <w:szCs w:val="22"/>
          <w:lang w:val="es-ES_tradnl"/>
        </w:rPr>
        <w:t xml:space="preserve"> (ACE) fue seleccionad</w:t>
      </w:r>
      <w:r w:rsidR="00E642A9" w:rsidRPr="009C0E1F">
        <w:rPr>
          <w:rFonts w:ascii="Arial" w:hAnsi="Arial" w:cs="Arial"/>
          <w:sz w:val="22"/>
          <w:szCs w:val="22"/>
          <w:lang w:val="es-ES_tradnl"/>
        </w:rPr>
        <w:t>o</w:t>
      </w:r>
      <w:r w:rsidR="00FB1FDE" w:rsidRPr="009C0E1F">
        <w:rPr>
          <w:rFonts w:ascii="Arial" w:hAnsi="Arial" w:cs="Arial"/>
          <w:sz w:val="22"/>
          <w:szCs w:val="22"/>
          <w:lang w:val="es-ES_tradnl"/>
        </w:rPr>
        <w:t xml:space="preserve"> por ser una forma sencilla y directa de llevar a cabo una evaluación económica sobre intervenciones de fortalecimiento institucional en entidades públicas, con vistas a determinar qué intervenciones resultan efectivas para maximizar </w:t>
      </w:r>
      <w:r w:rsidR="00532D98" w:rsidRPr="009C0E1F">
        <w:rPr>
          <w:rFonts w:ascii="Arial" w:hAnsi="Arial" w:cs="Arial"/>
          <w:sz w:val="22"/>
          <w:szCs w:val="22"/>
          <w:lang w:val="es-ES_tradnl"/>
        </w:rPr>
        <w:t>los</w:t>
      </w:r>
      <w:r w:rsidR="00FB1FDE" w:rsidRPr="009C0E1F">
        <w:rPr>
          <w:rFonts w:ascii="Arial" w:hAnsi="Arial" w:cs="Arial"/>
          <w:sz w:val="22"/>
          <w:szCs w:val="22"/>
          <w:lang w:val="es-ES_tradnl"/>
        </w:rPr>
        <w:t xml:space="preserve"> beneficio</w:t>
      </w:r>
      <w:r w:rsidR="00532D98" w:rsidRPr="009C0E1F">
        <w:rPr>
          <w:rFonts w:ascii="Arial" w:hAnsi="Arial" w:cs="Arial"/>
          <w:sz w:val="22"/>
          <w:szCs w:val="22"/>
          <w:lang w:val="es-ES_tradnl"/>
        </w:rPr>
        <w:t>s</w:t>
      </w:r>
      <w:r w:rsidR="00FB1FDE" w:rsidRPr="009C0E1F">
        <w:rPr>
          <w:rFonts w:ascii="Arial" w:hAnsi="Arial" w:cs="Arial"/>
          <w:sz w:val="22"/>
          <w:szCs w:val="22"/>
          <w:lang w:val="es-ES_tradnl"/>
        </w:rPr>
        <w:t xml:space="preserve"> producido</w:t>
      </w:r>
      <w:r w:rsidR="00532D98" w:rsidRPr="009C0E1F">
        <w:rPr>
          <w:rFonts w:ascii="Arial" w:hAnsi="Arial" w:cs="Arial"/>
          <w:sz w:val="22"/>
          <w:szCs w:val="22"/>
          <w:lang w:val="es-ES_tradnl"/>
        </w:rPr>
        <w:t>s</w:t>
      </w:r>
      <w:r w:rsidR="00FB1FDE" w:rsidRPr="009C0E1F">
        <w:rPr>
          <w:rFonts w:ascii="Arial" w:hAnsi="Arial" w:cs="Arial"/>
          <w:sz w:val="22"/>
          <w:szCs w:val="22"/>
          <w:lang w:val="es-ES_tradnl"/>
        </w:rPr>
        <w:t xml:space="preserve"> por los recursos públicos disponibles (inversiones).</w:t>
      </w:r>
      <w:r w:rsidR="00E9581D" w:rsidRPr="009C0E1F">
        <w:rPr>
          <w:rFonts w:ascii="Arial" w:hAnsi="Arial" w:cs="Arial"/>
          <w:sz w:val="22"/>
          <w:szCs w:val="22"/>
          <w:lang w:val="es-ES_tradnl"/>
        </w:rPr>
        <w:t xml:space="preserve"> </w:t>
      </w:r>
    </w:p>
    <w:p w14:paraId="77D5677B" w14:textId="727FCBF6" w:rsidR="00A46062" w:rsidRPr="009C0E1F" w:rsidRDefault="00475EAD" w:rsidP="005D44DB">
      <w:pPr>
        <w:pStyle w:val="Paragraph"/>
        <w:numPr>
          <w:ilvl w:val="1"/>
          <w:numId w:val="2"/>
        </w:numPr>
        <w:tabs>
          <w:tab w:val="clear" w:pos="1296"/>
        </w:tabs>
        <w:ind w:left="720" w:hanging="720"/>
        <w:outlineLvl w:val="9"/>
        <w:rPr>
          <w:rFonts w:ascii="Arial" w:hAnsi="Arial" w:cs="Arial"/>
          <w:sz w:val="22"/>
          <w:szCs w:val="22"/>
          <w:lang w:val="es-ES_tradnl"/>
        </w:rPr>
      </w:pPr>
      <w:r w:rsidRPr="009C0E1F">
        <w:rPr>
          <w:rFonts w:ascii="Arial" w:hAnsi="Arial" w:cs="Arial"/>
          <w:sz w:val="22"/>
          <w:szCs w:val="22"/>
          <w:lang w:val="es-ES_tradnl"/>
        </w:rPr>
        <w:t xml:space="preserve">El </w:t>
      </w:r>
      <w:r w:rsidR="00A46062" w:rsidRPr="009C0E1F">
        <w:rPr>
          <w:rFonts w:ascii="Arial" w:hAnsi="Arial" w:cs="Arial"/>
          <w:sz w:val="22"/>
          <w:szCs w:val="22"/>
          <w:lang w:val="es-ES_tradnl"/>
        </w:rPr>
        <w:t xml:space="preserve">ACE </w:t>
      </w:r>
      <w:r w:rsidR="003D07C2">
        <w:rPr>
          <w:rFonts w:ascii="Arial" w:hAnsi="Arial" w:cs="Arial"/>
          <w:sz w:val="22"/>
          <w:szCs w:val="22"/>
          <w:lang w:val="es-ES_tradnl"/>
        </w:rPr>
        <w:t>estima</w:t>
      </w:r>
      <w:r w:rsidR="00A46062" w:rsidRPr="009C0E1F">
        <w:rPr>
          <w:rFonts w:ascii="Arial" w:hAnsi="Arial" w:cs="Arial"/>
          <w:sz w:val="22"/>
          <w:szCs w:val="22"/>
          <w:lang w:val="es-ES_tradnl"/>
        </w:rPr>
        <w:t xml:space="preserve"> la relación entre los costes de una intervención dada y las consecuencias de ésta, con la particularidad de que dichas consecuencias se evalúan en las mismas unidades naturales que pueden utilizarse en las entidades públicas. Este valor relativo de la intervención se expresa habitualmente como el </w:t>
      </w:r>
      <w:r w:rsidR="000E30F9" w:rsidRPr="009C0E1F">
        <w:rPr>
          <w:rFonts w:ascii="Arial" w:hAnsi="Arial" w:cs="Arial"/>
          <w:sz w:val="22"/>
          <w:szCs w:val="22"/>
          <w:lang w:val="es-ES_tradnl"/>
        </w:rPr>
        <w:t>c</w:t>
      </w:r>
      <w:r w:rsidR="000E30F9">
        <w:rPr>
          <w:rFonts w:ascii="Arial" w:hAnsi="Arial" w:cs="Arial"/>
          <w:sz w:val="22"/>
          <w:szCs w:val="22"/>
          <w:lang w:val="es-ES_tradnl"/>
        </w:rPr>
        <w:t>o</w:t>
      </w:r>
      <w:r w:rsidR="000E30F9" w:rsidRPr="009C0E1F">
        <w:rPr>
          <w:rFonts w:ascii="Arial" w:hAnsi="Arial" w:cs="Arial"/>
          <w:sz w:val="22"/>
          <w:szCs w:val="22"/>
          <w:lang w:val="es-ES_tradnl"/>
        </w:rPr>
        <w:t>ciente</w:t>
      </w:r>
      <w:r w:rsidR="00A46062" w:rsidRPr="009C0E1F">
        <w:rPr>
          <w:rFonts w:ascii="Arial" w:hAnsi="Arial" w:cs="Arial"/>
          <w:sz w:val="22"/>
          <w:szCs w:val="22"/>
          <w:lang w:val="es-ES_tradnl"/>
        </w:rPr>
        <w:t xml:space="preserve"> que se obtiene al dividir el </w:t>
      </w:r>
      <w:r w:rsidR="002342D2" w:rsidRPr="009C0E1F">
        <w:rPr>
          <w:rFonts w:ascii="Arial" w:hAnsi="Arial" w:cs="Arial"/>
          <w:sz w:val="22"/>
          <w:szCs w:val="22"/>
          <w:lang w:val="es-ES_tradnl"/>
        </w:rPr>
        <w:t xml:space="preserve">costo </w:t>
      </w:r>
      <w:r w:rsidR="00A46062" w:rsidRPr="009C0E1F">
        <w:rPr>
          <w:rFonts w:ascii="Arial" w:hAnsi="Arial" w:cs="Arial"/>
          <w:sz w:val="22"/>
          <w:szCs w:val="22"/>
          <w:lang w:val="es-ES_tradnl"/>
        </w:rPr>
        <w:t xml:space="preserve">neto de la intervención por su beneficio neto o </w:t>
      </w:r>
      <w:r w:rsidR="00046BB1">
        <w:rPr>
          <w:rFonts w:ascii="Arial" w:hAnsi="Arial" w:cs="Arial"/>
          <w:sz w:val="22"/>
          <w:szCs w:val="22"/>
          <w:lang w:val="es-ES_tradnl"/>
        </w:rPr>
        <w:t>efectividad</w:t>
      </w:r>
      <w:r w:rsidR="00A46062" w:rsidRPr="009C0E1F">
        <w:rPr>
          <w:rFonts w:ascii="Arial" w:hAnsi="Arial" w:cs="Arial"/>
          <w:sz w:val="22"/>
          <w:szCs w:val="22"/>
          <w:lang w:val="es-ES_tradnl"/>
        </w:rPr>
        <w:t>. Este cociente se conoce habitualmente como «</w:t>
      </w:r>
      <w:r w:rsidR="002342D2" w:rsidRPr="009C0E1F">
        <w:rPr>
          <w:rFonts w:ascii="Arial" w:hAnsi="Arial" w:cs="Arial"/>
          <w:sz w:val="22"/>
          <w:szCs w:val="22"/>
          <w:lang w:val="es-ES_tradnl"/>
        </w:rPr>
        <w:t>costo</w:t>
      </w:r>
      <w:r w:rsidR="00A46062" w:rsidRPr="009C0E1F">
        <w:rPr>
          <w:rFonts w:ascii="Arial" w:hAnsi="Arial" w:cs="Arial"/>
          <w:sz w:val="22"/>
          <w:szCs w:val="22"/>
          <w:lang w:val="es-ES_tradnl"/>
        </w:rPr>
        <w:t>-</w:t>
      </w:r>
      <w:r w:rsidR="00046BB1">
        <w:rPr>
          <w:rFonts w:ascii="Arial" w:hAnsi="Arial" w:cs="Arial"/>
          <w:sz w:val="22"/>
          <w:szCs w:val="22"/>
          <w:lang w:val="es-ES_tradnl"/>
        </w:rPr>
        <w:t>efectividad</w:t>
      </w:r>
      <w:r w:rsidR="00A46062" w:rsidRPr="009C0E1F">
        <w:rPr>
          <w:rFonts w:ascii="Arial" w:hAnsi="Arial" w:cs="Arial"/>
          <w:sz w:val="22"/>
          <w:szCs w:val="22"/>
          <w:lang w:val="es-ES_tradnl"/>
        </w:rPr>
        <w:t xml:space="preserve"> medio» (CEM). En general, las intervenciones con CEM bajos son </w:t>
      </w:r>
      <w:r w:rsidR="002342D2" w:rsidRPr="009C0E1F">
        <w:rPr>
          <w:rFonts w:ascii="Arial" w:hAnsi="Arial" w:cs="Arial"/>
          <w:sz w:val="22"/>
          <w:szCs w:val="22"/>
          <w:lang w:val="es-ES_tradnl"/>
        </w:rPr>
        <w:t>costo</w:t>
      </w:r>
      <w:r w:rsidR="00A46062" w:rsidRPr="009C0E1F">
        <w:rPr>
          <w:rFonts w:ascii="Arial" w:hAnsi="Arial" w:cs="Arial"/>
          <w:sz w:val="22"/>
          <w:szCs w:val="22"/>
          <w:lang w:val="es-ES_tradnl"/>
        </w:rPr>
        <w:t xml:space="preserve">-efectivas (eficientes), ya que tienen un menor </w:t>
      </w:r>
      <w:r w:rsidR="00AC345D" w:rsidRPr="009C0E1F">
        <w:rPr>
          <w:rFonts w:ascii="Arial" w:hAnsi="Arial" w:cs="Arial"/>
          <w:sz w:val="22"/>
          <w:szCs w:val="22"/>
          <w:lang w:val="es-ES_tradnl"/>
        </w:rPr>
        <w:t xml:space="preserve">costo </w:t>
      </w:r>
      <w:r w:rsidR="00A46062" w:rsidRPr="009C0E1F">
        <w:rPr>
          <w:rFonts w:ascii="Arial" w:hAnsi="Arial" w:cs="Arial"/>
          <w:sz w:val="22"/>
          <w:szCs w:val="22"/>
          <w:lang w:val="es-ES_tradnl"/>
        </w:rPr>
        <w:t xml:space="preserve">por cada unidad de beneficio neto o </w:t>
      </w:r>
      <w:r w:rsidR="00046BB1">
        <w:rPr>
          <w:rFonts w:ascii="Arial" w:hAnsi="Arial" w:cs="Arial"/>
          <w:sz w:val="22"/>
          <w:szCs w:val="22"/>
          <w:lang w:val="es-ES_tradnl"/>
        </w:rPr>
        <w:t>efectividad</w:t>
      </w:r>
      <w:r w:rsidR="00A46062" w:rsidRPr="009C0E1F">
        <w:rPr>
          <w:rFonts w:ascii="Arial" w:hAnsi="Arial" w:cs="Arial"/>
          <w:sz w:val="22"/>
          <w:szCs w:val="22"/>
          <w:lang w:val="es-ES_tradnl"/>
        </w:rPr>
        <w:t xml:space="preserve"> que producen. Por otro lado, las intervenciones con CEM altos son menos eficientes.</w:t>
      </w:r>
    </w:p>
    <w:p w14:paraId="5FABE3F1" w14:textId="03DEA69D" w:rsidR="00003699" w:rsidRPr="009C0E1F" w:rsidRDefault="00A46062" w:rsidP="005D44DB">
      <w:pPr>
        <w:pStyle w:val="Paragraph"/>
        <w:numPr>
          <w:ilvl w:val="1"/>
          <w:numId w:val="2"/>
        </w:numPr>
        <w:tabs>
          <w:tab w:val="clear" w:pos="1296"/>
        </w:tabs>
        <w:ind w:left="720" w:hanging="720"/>
        <w:outlineLvl w:val="9"/>
        <w:rPr>
          <w:rFonts w:ascii="Arial" w:hAnsi="Arial" w:cs="Arial"/>
          <w:sz w:val="22"/>
          <w:szCs w:val="22"/>
          <w:lang w:val="es-ES_tradnl"/>
        </w:rPr>
      </w:pPr>
      <w:r w:rsidRPr="009C0E1F">
        <w:rPr>
          <w:rFonts w:ascii="Arial" w:hAnsi="Arial" w:cs="Arial"/>
          <w:sz w:val="22"/>
          <w:szCs w:val="22"/>
          <w:lang w:val="es-ES_tradnl"/>
        </w:rPr>
        <w:t xml:space="preserve">En un escenario tan ideal como irreal, todas las intervenciones que produjeran beneficios deberían aplicarse, fuera cual fuera su </w:t>
      </w:r>
      <w:r w:rsidR="00AC345D" w:rsidRPr="009C0E1F">
        <w:rPr>
          <w:rFonts w:ascii="Arial" w:hAnsi="Arial" w:cs="Arial"/>
          <w:sz w:val="22"/>
          <w:szCs w:val="22"/>
          <w:lang w:val="es-ES_tradnl"/>
        </w:rPr>
        <w:t>costo</w:t>
      </w:r>
      <w:r w:rsidRPr="009C0E1F">
        <w:rPr>
          <w:rFonts w:ascii="Arial" w:hAnsi="Arial" w:cs="Arial"/>
          <w:sz w:val="22"/>
          <w:szCs w:val="22"/>
          <w:lang w:val="es-ES_tradnl"/>
        </w:rPr>
        <w:t>. Des</w:t>
      </w:r>
      <w:r w:rsidR="00003699" w:rsidRPr="009C0E1F">
        <w:rPr>
          <w:rFonts w:ascii="Arial" w:hAnsi="Arial" w:cs="Arial"/>
          <w:sz w:val="22"/>
          <w:szCs w:val="22"/>
          <w:lang w:val="es-ES_tradnl"/>
        </w:rPr>
        <w:t>afortunadamente</w:t>
      </w:r>
      <w:r w:rsidRPr="009C0E1F">
        <w:rPr>
          <w:rFonts w:ascii="Arial" w:hAnsi="Arial" w:cs="Arial"/>
          <w:sz w:val="22"/>
          <w:szCs w:val="22"/>
          <w:lang w:val="es-ES_tradnl"/>
        </w:rPr>
        <w:t xml:space="preserve"> tod</w:t>
      </w:r>
      <w:r w:rsidR="001A5C0F" w:rsidRPr="009C0E1F">
        <w:rPr>
          <w:rFonts w:ascii="Arial" w:hAnsi="Arial" w:cs="Arial"/>
          <w:sz w:val="22"/>
          <w:szCs w:val="22"/>
          <w:lang w:val="es-ES_tradnl"/>
        </w:rPr>
        <w:t>a</w:t>
      </w:r>
      <w:r w:rsidRPr="009C0E1F">
        <w:rPr>
          <w:rFonts w:ascii="Arial" w:hAnsi="Arial" w:cs="Arial"/>
          <w:sz w:val="22"/>
          <w:szCs w:val="22"/>
          <w:lang w:val="es-ES_tradnl"/>
        </w:rPr>
        <w:t xml:space="preserve">s </w:t>
      </w:r>
      <w:r w:rsidR="00003699" w:rsidRPr="009C0E1F">
        <w:rPr>
          <w:rFonts w:ascii="Arial" w:hAnsi="Arial" w:cs="Arial"/>
          <w:sz w:val="22"/>
          <w:szCs w:val="22"/>
          <w:lang w:val="es-ES_tradnl"/>
        </w:rPr>
        <w:t>las</w:t>
      </w:r>
      <w:r w:rsidRPr="009C0E1F">
        <w:rPr>
          <w:rFonts w:ascii="Arial" w:hAnsi="Arial" w:cs="Arial"/>
          <w:sz w:val="22"/>
          <w:szCs w:val="22"/>
          <w:lang w:val="es-ES_tradnl"/>
        </w:rPr>
        <w:t xml:space="preserve"> </w:t>
      </w:r>
      <w:r w:rsidR="00003699" w:rsidRPr="009C0E1F">
        <w:rPr>
          <w:rFonts w:ascii="Arial" w:hAnsi="Arial" w:cs="Arial"/>
          <w:sz w:val="22"/>
          <w:szCs w:val="22"/>
          <w:lang w:val="es-ES_tradnl"/>
        </w:rPr>
        <w:t xml:space="preserve">entidades </w:t>
      </w:r>
      <w:r w:rsidR="001A5C0F" w:rsidRPr="009C0E1F">
        <w:rPr>
          <w:rFonts w:ascii="Arial" w:hAnsi="Arial" w:cs="Arial"/>
          <w:sz w:val="22"/>
          <w:szCs w:val="22"/>
          <w:lang w:val="es-ES_tradnl"/>
        </w:rPr>
        <w:t>públicas</w:t>
      </w:r>
      <w:r w:rsidRPr="009C0E1F">
        <w:rPr>
          <w:rFonts w:ascii="Arial" w:hAnsi="Arial" w:cs="Arial"/>
          <w:sz w:val="22"/>
          <w:szCs w:val="22"/>
          <w:lang w:val="es-ES_tradnl"/>
        </w:rPr>
        <w:t xml:space="preserve"> sufren unas limitaciones presupuestarias que impiden que se puedan poner en práctica «todas» las intervenciones disponibles. Ante tal imposibilidad, los responsables </w:t>
      </w:r>
      <w:r w:rsidR="00003699" w:rsidRPr="009C0E1F">
        <w:rPr>
          <w:rFonts w:ascii="Arial" w:hAnsi="Arial" w:cs="Arial"/>
          <w:sz w:val="22"/>
          <w:szCs w:val="22"/>
          <w:lang w:val="es-ES_tradnl"/>
        </w:rPr>
        <w:t>por la g</w:t>
      </w:r>
      <w:r w:rsidR="001A5C0F" w:rsidRPr="009C0E1F">
        <w:rPr>
          <w:rFonts w:ascii="Arial" w:hAnsi="Arial" w:cs="Arial"/>
          <w:sz w:val="22"/>
          <w:szCs w:val="22"/>
          <w:lang w:val="es-ES_tradnl"/>
        </w:rPr>
        <w:t>e</w:t>
      </w:r>
      <w:r w:rsidR="00003699" w:rsidRPr="009C0E1F">
        <w:rPr>
          <w:rFonts w:ascii="Arial" w:hAnsi="Arial" w:cs="Arial"/>
          <w:sz w:val="22"/>
          <w:szCs w:val="22"/>
          <w:lang w:val="es-ES_tradnl"/>
        </w:rPr>
        <w:t>stión</w:t>
      </w:r>
      <w:r w:rsidRPr="009C0E1F">
        <w:rPr>
          <w:rFonts w:ascii="Arial" w:hAnsi="Arial" w:cs="Arial"/>
          <w:sz w:val="22"/>
          <w:szCs w:val="22"/>
          <w:lang w:val="es-ES_tradnl"/>
        </w:rPr>
        <w:t xml:space="preserve"> deberán determinar qué intervenciones son más prioritarias para la sociedad a la que da cobertura.</w:t>
      </w:r>
    </w:p>
    <w:p w14:paraId="35607DD3" w14:textId="368BE4FA" w:rsidR="00003699" w:rsidRPr="009C0E1F" w:rsidRDefault="00A46062" w:rsidP="005D44DB">
      <w:pPr>
        <w:pStyle w:val="Paragraph"/>
        <w:numPr>
          <w:ilvl w:val="1"/>
          <w:numId w:val="2"/>
        </w:numPr>
        <w:tabs>
          <w:tab w:val="clear" w:pos="1296"/>
        </w:tabs>
        <w:ind w:left="720" w:hanging="720"/>
        <w:outlineLvl w:val="9"/>
        <w:rPr>
          <w:rFonts w:ascii="Arial" w:hAnsi="Arial" w:cs="Arial"/>
          <w:sz w:val="22"/>
          <w:szCs w:val="22"/>
          <w:lang w:val="es-ES_tradnl"/>
        </w:rPr>
      </w:pPr>
      <w:r w:rsidRPr="009C0E1F">
        <w:rPr>
          <w:rFonts w:ascii="Arial" w:hAnsi="Arial" w:cs="Arial"/>
          <w:sz w:val="22"/>
          <w:szCs w:val="22"/>
          <w:lang w:val="es-ES_tradnl"/>
        </w:rPr>
        <w:t xml:space="preserve">El ACE es una herramienta muy útil para esta finalidad, ya que, en el caso de tener que comparar varias intervenciones, permite hacer una clasificación ordenada de ellas en función de la relación existente entre su </w:t>
      </w:r>
      <w:r w:rsidR="00AC345D" w:rsidRPr="009C0E1F">
        <w:rPr>
          <w:rFonts w:ascii="Arial" w:hAnsi="Arial" w:cs="Arial"/>
          <w:sz w:val="22"/>
          <w:szCs w:val="22"/>
          <w:lang w:val="es-ES_tradnl"/>
        </w:rPr>
        <w:t xml:space="preserve">costo </w:t>
      </w:r>
      <w:r w:rsidRPr="009C0E1F">
        <w:rPr>
          <w:rFonts w:ascii="Arial" w:hAnsi="Arial" w:cs="Arial"/>
          <w:sz w:val="22"/>
          <w:szCs w:val="22"/>
          <w:lang w:val="es-ES_tradnl"/>
        </w:rPr>
        <w:t xml:space="preserve">y su </w:t>
      </w:r>
      <w:r w:rsidR="00046BB1">
        <w:rPr>
          <w:rFonts w:ascii="Arial" w:hAnsi="Arial" w:cs="Arial"/>
          <w:sz w:val="22"/>
          <w:szCs w:val="22"/>
          <w:lang w:val="es-ES_tradnl"/>
        </w:rPr>
        <w:t>efectividad</w:t>
      </w:r>
      <w:r w:rsidRPr="009C0E1F">
        <w:rPr>
          <w:rFonts w:ascii="Arial" w:hAnsi="Arial" w:cs="Arial"/>
          <w:sz w:val="22"/>
          <w:szCs w:val="22"/>
          <w:lang w:val="es-ES_tradnl"/>
        </w:rPr>
        <w:t>. A tal efecto, el ACE utiliza otro indicador numérico conocido</w:t>
      </w:r>
      <w:r w:rsidR="00003699" w:rsidRPr="009C0E1F">
        <w:rPr>
          <w:rFonts w:ascii="Arial" w:hAnsi="Arial" w:cs="Arial"/>
          <w:sz w:val="22"/>
          <w:szCs w:val="22"/>
          <w:lang w:val="es-ES_tradnl"/>
        </w:rPr>
        <w:t xml:space="preserve"> </w:t>
      </w:r>
      <w:r w:rsidRPr="009C0E1F">
        <w:rPr>
          <w:rFonts w:ascii="Arial" w:hAnsi="Arial" w:cs="Arial"/>
          <w:sz w:val="22"/>
          <w:szCs w:val="22"/>
          <w:lang w:val="es-ES_tradnl"/>
        </w:rPr>
        <w:t xml:space="preserve">como </w:t>
      </w:r>
      <w:r w:rsidR="00AC345D" w:rsidRPr="009C0E1F">
        <w:rPr>
          <w:rFonts w:ascii="Arial" w:hAnsi="Arial" w:cs="Arial"/>
          <w:sz w:val="22"/>
          <w:szCs w:val="22"/>
          <w:lang w:val="es-ES_tradnl"/>
        </w:rPr>
        <w:t>costo</w:t>
      </w:r>
      <w:r w:rsidRPr="009C0E1F">
        <w:rPr>
          <w:rFonts w:ascii="Arial" w:hAnsi="Arial" w:cs="Arial"/>
          <w:sz w:val="22"/>
          <w:szCs w:val="22"/>
          <w:lang w:val="es-ES_tradnl"/>
        </w:rPr>
        <w:t>-</w:t>
      </w:r>
      <w:r w:rsidR="00046BB1">
        <w:rPr>
          <w:rFonts w:ascii="Arial" w:hAnsi="Arial" w:cs="Arial"/>
          <w:sz w:val="22"/>
          <w:szCs w:val="22"/>
          <w:lang w:val="es-ES_tradnl"/>
        </w:rPr>
        <w:t>efectividad</w:t>
      </w:r>
      <w:r w:rsidRPr="009C0E1F">
        <w:rPr>
          <w:rFonts w:ascii="Arial" w:hAnsi="Arial" w:cs="Arial"/>
          <w:sz w:val="22"/>
          <w:szCs w:val="22"/>
          <w:lang w:val="es-ES_tradnl"/>
        </w:rPr>
        <w:t xml:space="preserve"> incremental (CEI), me</w:t>
      </w:r>
      <w:r w:rsidR="000E30F9">
        <w:rPr>
          <w:rFonts w:ascii="Arial" w:hAnsi="Arial" w:cs="Arial"/>
          <w:sz w:val="22"/>
          <w:szCs w:val="22"/>
          <w:lang w:val="es-ES_tradnl"/>
        </w:rPr>
        <w:t>diante</w:t>
      </w:r>
      <w:r w:rsidR="00003699" w:rsidRPr="009C0E1F">
        <w:rPr>
          <w:rFonts w:ascii="Arial" w:hAnsi="Arial" w:cs="Arial"/>
          <w:sz w:val="22"/>
          <w:szCs w:val="22"/>
          <w:lang w:val="es-ES_tradnl"/>
        </w:rPr>
        <w:t xml:space="preserve"> </w:t>
      </w:r>
      <w:r w:rsidRPr="009C0E1F">
        <w:rPr>
          <w:rFonts w:ascii="Arial" w:hAnsi="Arial" w:cs="Arial"/>
          <w:sz w:val="22"/>
          <w:szCs w:val="22"/>
          <w:lang w:val="es-ES_tradnl"/>
        </w:rPr>
        <w:t xml:space="preserve">el cual los </w:t>
      </w:r>
      <w:r w:rsidR="00AC345D" w:rsidRPr="009C0E1F">
        <w:rPr>
          <w:rFonts w:ascii="Arial" w:hAnsi="Arial" w:cs="Arial"/>
          <w:sz w:val="22"/>
          <w:szCs w:val="22"/>
          <w:lang w:val="es-ES_tradnl"/>
        </w:rPr>
        <w:t xml:space="preserve">costos </w:t>
      </w:r>
      <w:r w:rsidRPr="009C0E1F">
        <w:rPr>
          <w:rFonts w:ascii="Arial" w:hAnsi="Arial" w:cs="Arial"/>
          <w:sz w:val="22"/>
          <w:szCs w:val="22"/>
          <w:lang w:val="es-ES_tradnl"/>
        </w:rPr>
        <w:t>y efectos de una intervención se comparan</w:t>
      </w:r>
      <w:r w:rsidR="00003699" w:rsidRPr="009C0E1F">
        <w:rPr>
          <w:rFonts w:ascii="Arial" w:hAnsi="Arial" w:cs="Arial"/>
          <w:sz w:val="22"/>
          <w:szCs w:val="22"/>
          <w:lang w:val="es-ES_tradnl"/>
        </w:rPr>
        <w:t xml:space="preserve"> </w:t>
      </w:r>
      <w:r w:rsidRPr="009C0E1F">
        <w:rPr>
          <w:rFonts w:ascii="Arial" w:hAnsi="Arial" w:cs="Arial"/>
          <w:sz w:val="22"/>
          <w:szCs w:val="22"/>
          <w:lang w:val="es-ES_tradnl"/>
        </w:rPr>
        <w:t xml:space="preserve">con los </w:t>
      </w:r>
      <w:r w:rsidR="00AC345D" w:rsidRPr="009C0E1F">
        <w:rPr>
          <w:rFonts w:ascii="Arial" w:hAnsi="Arial" w:cs="Arial"/>
          <w:sz w:val="22"/>
          <w:szCs w:val="22"/>
          <w:lang w:val="es-ES_tradnl"/>
        </w:rPr>
        <w:t xml:space="preserve">costos </w:t>
      </w:r>
      <w:r w:rsidRPr="009C0E1F">
        <w:rPr>
          <w:rFonts w:ascii="Arial" w:hAnsi="Arial" w:cs="Arial"/>
          <w:sz w:val="22"/>
          <w:szCs w:val="22"/>
          <w:lang w:val="es-ES_tradnl"/>
        </w:rPr>
        <w:t>y efectos de otra intervención para cualquier</w:t>
      </w:r>
      <w:r w:rsidR="00003699" w:rsidRPr="009C0E1F">
        <w:rPr>
          <w:rFonts w:ascii="Arial" w:hAnsi="Arial" w:cs="Arial"/>
          <w:sz w:val="22"/>
          <w:szCs w:val="22"/>
          <w:lang w:val="es-ES_tradnl"/>
        </w:rPr>
        <w:t xml:space="preserve"> </w:t>
      </w:r>
      <w:r w:rsidRPr="009C0E1F">
        <w:rPr>
          <w:rFonts w:ascii="Arial" w:hAnsi="Arial" w:cs="Arial"/>
          <w:sz w:val="22"/>
          <w:szCs w:val="22"/>
          <w:lang w:val="es-ES_tradnl"/>
        </w:rPr>
        <w:t>problema</w:t>
      </w:r>
      <w:r w:rsidR="00C30926" w:rsidRPr="009C0E1F">
        <w:rPr>
          <w:rFonts w:ascii="Arial" w:hAnsi="Arial" w:cs="Arial"/>
          <w:sz w:val="22"/>
          <w:szCs w:val="22"/>
          <w:lang w:val="es-ES_tradnl"/>
        </w:rPr>
        <w:t xml:space="preserve"> </w:t>
      </w:r>
      <w:r w:rsidR="002F6D23" w:rsidRPr="009C0E1F">
        <w:rPr>
          <w:rFonts w:ascii="Arial" w:hAnsi="Arial" w:cs="Arial"/>
          <w:sz w:val="22"/>
          <w:szCs w:val="22"/>
          <w:lang w:val="es-ES_tradnl"/>
        </w:rPr>
        <w:t xml:space="preserve">en el sector público </w:t>
      </w:r>
      <w:r w:rsidRPr="009C0E1F">
        <w:rPr>
          <w:rFonts w:ascii="Arial" w:hAnsi="Arial" w:cs="Arial"/>
          <w:sz w:val="22"/>
          <w:szCs w:val="22"/>
          <w:lang w:val="es-ES_tradnl"/>
        </w:rPr>
        <w:t>cuyos resultados se</w:t>
      </w:r>
      <w:r w:rsidR="00003699" w:rsidRPr="009C0E1F">
        <w:rPr>
          <w:rFonts w:ascii="Arial" w:hAnsi="Arial" w:cs="Arial"/>
          <w:sz w:val="22"/>
          <w:szCs w:val="22"/>
          <w:lang w:val="es-ES_tradnl"/>
        </w:rPr>
        <w:t xml:space="preserve"> </w:t>
      </w:r>
      <w:r w:rsidRPr="009C0E1F">
        <w:rPr>
          <w:rFonts w:ascii="Arial" w:hAnsi="Arial" w:cs="Arial"/>
          <w:sz w:val="22"/>
          <w:szCs w:val="22"/>
          <w:lang w:val="es-ES_tradnl"/>
        </w:rPr>
        <w:t>expresen en las mismas unidades. Generalmente, la intervención</w:t>
      </w:r>
      <w:r w:rsidR="00003699" w:rsidRPr="009C0E1F">
        <w:rPr>
          <w:rFonts w:ascii="Arial" w:hAnsi="Arial" w:cs="Arial"/>
          <w:sz w:val="22"/>
          <w:szCs w:val="22"/>
          <w:lang w:val="es-ES_tradnl"/>
        </w:rPr>
        <w:t xml:space="preserve"> </w:t>
      </w:r>
      <w:r w:rsidRPr="009C0E1F">
        <w:rPr>
          <w:rFonts w:ascii="Arial" w:hAnsi="Arial" w:cs="Arial"/>
          <w:sz w:val="22"/>
          <w:szCs w:val="22"/>
          <w:lang w:val="es-ES_tradnl"/>
        </w:rPr>
        <w:t>en</w:t>
      </w:r>
      <w:r w:rsidR="008E2155">
        <w:rPr>
          <w:rFonts w:ascii="Arial" w:hAnsi="Arial" w:cs="Arial"/>
          <w:sz w:val="22"/>
          <w:szCs w:val="22"/>
          <w:lang w:val="es-ES_tradnl"/>
        </w:rPr>
        <w:t xml:space="preserve"> </w:t>
      </w:r>
      <w:r w:rsidRPr="009C0E1F">
        <w:rPr>
          <w:rFonts w:ascii="Arial" w:hAnsi="Arial" w:cs="Arial"/>
          <w:sz w:val="22"/>
          <w:szCs w:val="22"/>
          <w:lang w:val="es-ES_tradnl"/>
        </w:rPr>
        <w:t xml:space="preserve">cuestión suele ser una nueva opción </w:t>
      </w:r>
      <w:r w:rsidR="00003699" w:rsidRPr="009C0E1F">
        <w:rPr>
          <w:rFonts w:ascii="Arial" w:hAnsi="Arial" w:cs="Arial"/>
          <w:sz w:val="22"/>
          <w:szCs w:val="22"/>
          <w:lang w:val="es-ES_tradnl"/>
        </w:rPr>
        <w:t>de implementación</w:t>
      </w:r>
      <w:r w:rsidRPr="009C0E1F">
        <w:rPr>
          <w:rFonts w:ascii="Arial" w:hAnsi="Arial" w:cs="Arial"/>
          <w:sz w:val="22"/>
          <w:szCs w:val="22"/>
          <w:lang w:val="es-ES_tradnl"/>
        </w:rPr>
        <w:t>,</w:t>
      </w:r>
      <w:r w:rsidR="00003699" w:rsidRPr="009C0E1F">
        <w:rPr>
          <w:rFonts w:ascii="Arial" w:hAnsi="Arial" w:cs="Arial"/>
          <w:sz w:val="22"/>
          <w:szCs w:val="22"/>
          <w:lang w:val="es-ES_tradnl"/>
        </w:rPr>
        <w:t xml:space="preserve"> </w:t>
      </w:r>
      <w:r w:rsidRPr="009C0E1F">
        <w:rPr>
          <w:rFonts w:ascii="Arial" w:hAnsi="Arial" w:cs="Arial"/>
          <w:sz w:val="22"/>
          <w:szCs w:val="22"/>
          <w:lang w:val="es-ES_tradnl"/>
        </w:rPr>
        <w:t>que suele compararse con la intervención más utilizada</w:t>
      </w:r>
      <w:r w:rsidR="00003699" w:rsidRPr="009C0E1F">
        <w:rPr>
          <w:rFonts w:ascii="Arial" w:hAnsi="Arial" w:cs="Arial"/>
          <w:sz w:val="22"/>
          <w:szCs w:val="22"/>
          <w:lang w:val="es-ES_tradnl"/>
        </w:rPr>
        <w:t xml:space="preserve"> </w:t>
      </w:r>
      <w:r w:rsidRPr="009C0E1F">
        <w:rPr>
          <w:rFonts w:ascii="Arial" w:hAnsi="Arial" w:cs="Arial"/>
          <w:sz w:val="22"/>
          <w:szCs w:val="22"/>
          <w:lang w:val="es-ES_tradnl"/>
        </w:rPr>
        <w:t>en la práctica hasta ese momento o con la opción más eficiente.</w:t>
      </w:r>
      <w:r w:rsidR="00003699" w:rsidRPr="009C0E1F">
        <w:rPr>
          <w:rFonts w:ascii="Arial" w:hAnsi="Arial" w:cs="Arial"/>
          <w:sz w:val="22"/>
          <w:szCs w:val="22"/>
          <w:lang w:val="es-ES_tradnl"/>
        </w:rPr>
        <w:t xml:space="preserve"> </w:t>
      </w:r>
    </w:p>
    <w:p w14:paraId="7EA663C6" w14:textId="768C57DF" w:rsidR="009B2519" w:rsidRPr="009C0E1F" w:rsidRDefault="009B2519" w:rsidP="005D44DB">
      <w:pPr>
        <w:pStyle w:val="Paragraph"/>
        <w:numPr>
          <w:ilvl w:val="1"/>
          <w:numId w:val="2"/>
        </w:numPr>
        <w:tabs>
          <w:tab w:val="clear" w:pos="1296"/>
        </w:tabs>
        <w:ind w:left="720" w:hanging="720"/>
        <w:outlineLvl w:val="9"/>
        <w:rPr>
          <w:rFonts w:ascii="Arial" w:hAnsi="Arial" w:cs="Arial"/>
          <w:sz w:val="22"/>
          <w:szCs w:val="22"/>
          <w:lang w:val="es-ES_tradnl"/>
        </w:rPr>
      </w:pPr>
      <w:r w:rsidRPr="009E5AE2">
        <w:rPr>
          <w:rFonts w:ascii="Arial" w:hAnsi="Arial" w:cs="Arial"/>
          <w:sz w:val="22"/>
          <w:szCs w:val="22"/>
          <w:lang w:val="es-ES_tradnl"/>
        </w:rPr>
        <w:t xml:space="preserve">El análisis de costo-efectividad se realiza por separado para cada componente: (i) SRI y (ii) SENAE. En cada componente se compara la efectividad en la tarea </w:t>
      </w:r>
      <w:r w:rsidR="00624308">
        <w:rPr>
          <w:rFonts w:ascii="Arial" w:hAnsi="Arial" w:cs="Arial"/>
          <w:sz w:val="22"/>
          <w:szCs w:val="22"/>
          <w:lang w:val="es-ES_tradnl"/>
        </w:rPr>
        <w:t>recaudatoria de las entidades</w:t>
      </w:r>
      <w:r w:rsidRPr="009E5AE2">
        <w:rPr>
          <w:rFonts w:ascii="Arial" w:hAnsi="Arial" w:cs="Arial"/>
          <w:sz w:val="22"/>
          <w:szCs w:val="22"/>
          <w:lang w:val="es-ES_tradnl"/>
        </w:rPr>
        <w:t xml:space="preserve"> sin proyecto (A)</w:t>
      </w:r>
      <w:r w:rsidRPr="009E5AE2">
        <w:rPr>
          <w:vertAlign w:val="superscript"/>
        </w:rPr>
        <w:footnoteReference w:id="26"/>
      </w:r>
      <w:r w:rsidRPr="009E5AE2">
        <w:rPr>
          <w:rFonts w:ascii="Arial" w:hAnsi="Arial" w:cs="Arial"/>
          <w:sz w:val="22"/>
          <w:szCs w:val="22"/>
          <w:lang w:val="es-ES_tradnl"/>
        </w:rPr>
        <w:t xml:space="preserve"> y con proyecto (B). El indicador de efectividad utilizado en cada caso es el costo por dólar de la recaudación aduanera (SENAE) y de la recaudación de tributos internos (SRI). El costo suma el presupuesto de gastos del SENAE y el SRI y el costo de la mejora de los procesos de gestión (programa).</w:t>
      </w:r>
      <w:r w:rsidR="005841ED" w:rsidRPr="005841ED">
        <w:rPr>
          <w:rFonts w:ascii="Arial" w:eastAsia="Arial" w:hAnsi="Arial" w:cs="Arial"/>
          <w:sz w:val="22"/>
          <w:szCs w:val="22"/>
          <w:lang w:val="es-ES_tradnl"/>
        </w:rPr>
        <w:t xml:space="preserve"> </w:t>
      </w:r>
      <w:r w:rsidR="005841ED">
        <w:rPr>
          <w:rFonts w:ascii="Arial" w:eastAsia="Arial" w:hAnsi="Arial" w:cs="Arial"/>
          <w:sz w:val="22"/>
          <w:szCs w:val="22"/>
          <w:lang w:val="es-ES_tradnl"/>
        </w:rPr>
        <w:t xml:space="preserve">al que se descuenta la reducción del presupuesto de costos original como consecuencia del programa. </w:t>
      </w:r>
      <w:r w:rsidRPr="009E5AE2">
        <w:rPr>
          <w:rFonts w:ascii="Arial" w:hAnsi="Arial" w:cs="Arial"/>
          <w:sz w:val="22"/>
          <w:szCs w:val="22"/>
          <w:lang w:val="es-ES_tradnl"/>
        </w:rPr>
        <w:t xml:space="preserve"> El rendimiento se define en el caso del SRI como la recaudación tributaria no petrolera total menos la recaudación de aranceles. En el caso del SENAE se define como la recaudación generada por los aranceles. </w:t>
      </w:r>
    </w:p>
    <w:p w14:paraId="002B8D2C" w14:textId="1B306309" w:rsidR="009E5AE2" w:rsidRDefault="00624308" w:rsidP="005D44DB">
      <w:pPr>
        <w:pStyle w:val="Paragraph"/>
        <w:numPr>
          <w:ilvl w:val="1"/>
          <w:numId w:val="2"/>
        </w:numPr>
        <w:tabs>
          <w:tab w:val="clear" w:pos="1296"/>
        </w:tabs>
        <w:ind w:left="720" w:hanging="720"/>
        <w:outlineLvl w:val="9"/>
        <w:rPr>
          <w:rFonts w:ascii="Arial" w:hAnsi="Arial" w:cs="Arial"/>
          <w:sz w:val="22"/>
          <w:szCs w:val="22"/>
          <w:lang w:val="es-ES_tradnl"/>
        </w:rPr>
      </w:pPr>
      <w:r w:rsidRPr="009C0E1F">
        <w:rPr>
          <w:rFonts w:ascii="Arial" w:eastAsia="Arial" w:hAnsi="Arial" w:cs="Arial"/>
          <w:sz w:val="22"/>
          <w:szCs w:val="22"/>
          <w:lang w:val="es-ES_tradnl"/>
        </w:rPr>
        <w:lastRenderedPageBreak/>
        <w:t xml:space="preserve">En </w:t>
      </w:r>
      <w:r>
        <w:rPr>
          <w:rFonts w:ascii="Arial" w:eastAsia="Arial" w:hAnsi="Arial" w:cs="Arial"/>
          <w:sz w:val="22"/>
          <w:szCs w:val="22"/>
          <w:lang w:val="es-ES_tradnl"/>
        </w:rPr>
        <w:t xml:space="preserve">el año </w:t>
      </w:r>
      <w:r w:rsidR="00C629DC">
        <w:rPr>
          <w:rFonts w:ascii="Arial" w:eastAsia="Arial" w:hAnsi="Arial" w:cs="Arial"/>
          <w:sz w:val="22"/>
          <w:szCs w:val="22"/>
          <w:lang w:val="es-ES_tradnl"/>
        </w:rPr>
        <w:t>2019</w:t>
      </w:r>
      <w:r w:rsidRPr="009C0E1F">
        <w:rPr>
          <w:rFonts w:ascii="Arial" w:eastAsia="Arial" w:hAnsi="Arial" w:cs="Arial"/>
          <w:sz w:val="22"/>
          <w:szCs w:val="22"/>
          <w:lang w:val="es-ES_tradnl"/>
        </w:rPr>
        <w:t xml:space="preserve">, el </w:t>
      </w:r>
      <w:r>
        <w:rPr>
          <w:rFonts w:ascii="Arial" w:eastAsia="Arial" w:hAnsi="Arial" w:cs="Arial"/>
          <w:sz w:val="22"/>
          <w:szCs w:val="22"/>
          <w:lang w:val="es-ES_tradnl"/>
        </w:rPr>
        <w:t>presupuesto de gastos ejecutado del SRI fue</w:t>
      </w:r>
      <w:r w:rsidRPr="009C0E1F">
        <w:rPr>
          <w:rFonts w:ascii="Arial" w:eastAsia="Arial" w:hAnsi="Arial" w:cs="Arial"/>
          <w:sz w:val="22"/>
          <w:szCs w:val="22"/>
          <w:lang w:val="es-ES_tradnl"/>
        </w:rPr>
        <w:t xml:space="preserve"> de US$</w:t>
      </w:r>
      <w:r>
        <w:rPr>
          <w:rFonts w:ascii="Arial" w:eastAsia="Arial" w:hAnsi="Arial" w:cs="Arial"/>
          <w:sz w:val="22"/>
          <w:szCs w:val="22"/>
          <w:lang w:val="es-ES_tradnl"/>
        </w:rPr>
        <w:t xml:space="preserve"> </w:t>
      </w:r>
      <w:r w:rsidR="00C629DC">
        <w:rPr>
          <w:rFonts w:ascii="Arial" w:eastAsia="Arial" w:hAnsi="Arial" w:cs="Arial"/>
          <w:sz w:val="22"/>
          <w:szCs w:val="22"/>
          <w:lang w:val="es-ES_tradnl"/>
        </w:rPr>
        <w:t>110.8</w:t>
      </w:r>
      <w:r w:rsidRPr="009C0E1F">
        <w:rPr>
          <w:rFonts w:ascii="Arial" w:eastAsia="Arial" w:hAnsi="Arial" w:cs="Arial"/>
          <w:sz w:val="22"/>
          <w:szCs w:val="22"/>
          <w:lang w:val="es-ES_tradnl"/>
        </w:rPr>
        <w:t xml:space="preserve"> millones</w:t>
      </w:r>
      <w:r>
        <w:rPr>
          <w:rStyle w:val="FootnoteReference"/>
          <w:rFonts w:ascii="Arial" w:eastAsia="Arial" w:hAnsi="Arial" w:cs="Arial"/>
          <w:sz w:val="22"/>
          <w:szCs w:val="22"/>
          <w:lang w:val="es-ES_tradnl"/>
        </w:rPr>
        <w:footnoteReference w:id="27"/>
      </w:r>
      <w:r w:rsidRPr="009C0E1F">
        <w:rPr>
          <w:rFonts w:ascii="Arial" w:eastAsia="Arial" w:hAnsi="Arial" w:cs="Arial"/>
          <w:sz w:val="22"/>
          <w:szCs w:val="22"/>
          <w:lang w:val="es-ES_tradnl"/>
        </w:rPr>
        <w:t xml:space="preserve"> (C</w:t>
      </w:r>
      <w:r w:rsidRPr="009C0E1F">
        <w:rPr>
          <w:rFonts w:ascii="Arial" w:eastAsia="Arial" w:hAnsi="Arial" w:cs="Arial"/>
          <w:sz w:val="22"/>
          <w:szCs w:val="22"/>
          <w:vertAlign w:val="subscript"/>
          <w:lang w:val="es-ES_tradnl"/>
        </w:rPr>
        <w:t>A</w:t>
      </w:r>
      <w:r w:rsidRPr="009C0E1F">
        <w:rPr>
          <w:rFonts w:ascii="Arial" w:eastAsia="Arial" w:hAnsi="Arial" w:cs="Arial"/>
          <w:sz w:val="22"/>
          <w:szCs w:val="22"/>
          <w:lang w:val="es-ES_tradnl"/>
        </w:rPr>
        <w:t xml:space="preserve"> – costo sin proyecto) y se </w:t>
      </w:r>
      <w:r>
        <w:rPr>
          <w:rFonts w:ascii="Arial" w:eastAsia="Arial" w:hAnsi="Arial" w:cs="Arial"/>
          <w:sz w:val="22"/>
          <w:szCs w:val="22"/>
          <w:lang w:val="es-ES_tradnl"/>
        </w:rPr>
        <w:t xml:space="preserve">obtuvo una recaudación tributaria (ingresos tributarios totales menos aranceles </w:t>
      </w:r>
      <w:r w:rsidRPr="009C0E1F">
        <w:rPr>
          <w:rFonts w:ascii="Arial" w:eastAsia="Arial" w:hAnsi="Arial" w:cs="Arial"/>
          <w:sz w:val="22"/>
          <w:szCs w:val="22"/>
          <w:lang w:val="es-ES_tradnl"/>
        </w:rPr>
        <w:t xml:space="preserve">el mismo año </w:t>
      </w:r>
      <w:r>
        <w:rPr>
          <w:rFonts w:ascii="Arial" w:eastAsia="Arial" w:hAnsi="Arial" w:cs="Arial"/>
          <w:sz w:val="22"/>
          <w:szCs w:val="22"/>
          <w:lang w:val="es-ES_tradnl"/>
        </w:rPr>
        <w:t>de US$</w:t>
      </w:r>
      <w:r w:rsidR="00C629DC">
        <w:rPr>
          <w:rFonts w:ascii="Arial" w:eastAsia="Arial" w:hAnsi="Arial" w:cs="Arial"/>
          <w:sz w:val="22"/>
          <w:szCs w:val="22"/>
          <w:lang w:val="es-ES_tradnl"/>
        </w:rPr>
        <w:t xml:space="preserve"> 13,181</w:t>
      </w:r>
      <w:r w:rsidRPr="009C0E1F">
        <w:rPr>
          <w:rFonts w:ascii="Arial" w:eastAsia="Arial" w:hAnsi="Arial" w:cs="Arial"/>
          <w:sz w:val="22"/>
          <w:szCs w:val="22"/>
          <w:lang w:val="es-ES_tradnl"/>
        </w:rPr>
        <w:t xml:space="preserve"> millones</w:t>
      </w:r>
      <w:r>
        <w:rPr>
          <w:rStyle w:val="FootnoteReference"/>
          <w:rFonts w:ascii="Arial" w:eastAsia="Arial" w:hAnsi="Arial" w:cs="Arial"/>
          <w:sz w:val="22"/>
          <w:szCs w:val="22"/>
          <w:lang w:val="es-ES_tradnl"/>
        </w:rPr>
        <w:footnoteReference w:id="28"/>
      </w:r>
      <w:r w:rsidRPr="009C0E1F">
        <w:rPr>
          <w:rFonts w:ascii="Arial" w:eastAsia="Arial" w:hAnsi="Arial" w:cs="Arial"/>
          <w:sz w:val="22"/>
          <w:szCs w:val="22"/>
          <w:lang w:val="es-ES_tradnl"/>
        </w:rPr>
        <w:t xml:space="preserve"> (E</w:t>
      </w:r>
      <w:r w:rsidRPr="009C0E1F">
        <w:rPr>
          <w:rFonts w:ascii="Arial" w:eastAsia="Arial" w:hAnsi="Arial" w:cs="Arial"/>
          <w:sz w:val="22"/>
          <w:szCs w:val="22"/>
          <w:vertAlign w:val="subscript"/>
          <w:lang w:val="es-ES_tradnl"/>
        </w:rPr>
        <w:t>A</w:t>
      </w:r>
      <w:r w:rsidRPr="009C0E1F">
        <w:rPr>
          <w:rFonts w:ascii="Arial" w:eastAsia="Arial" w:hAnsi="Arial" w:cs="Arial"/>
          <w:sz w:val="22"/>
          <w:szCs w:val="22"/>
          <w:lang w:val="es-ES_tradnl"/>
        </w:rPr>
        <w:t xml:space="preserve"> – </w:t>
      </w:r>
      <w:r>
        <w:rPr>
          <w:rFonts w:ascii="Arial" w:eastAsia="Arial" w:hAnsi="Arial" w:cs="Arial"/>
          <w:sz w:val="22"/>
          <w:szCs w:val="22"/>
          <w:lang w:val="es-ES_tradnl"/>
        </w:rPr>
        <w:t>Efectividad</w:t>
      </w:r>
      <w:r w:rsidRPr="009C0E1F">
        <w:rPr>
          <w:rFonts w:ascii="Arial" w:eastAsia="Arial" w:hAnsi="Arial" w:cs="Arial"/>
          <w:sz w:val="22"/>
          <w:szCs w:val="22"/>
          <w:lang w:val="es-ES_tradnl"/>
        </w:rPr>
        <w:t xml:space="preserve"> sin proyecto)</w:t>
      </w:r>
      <w:r>
        <w:rPr>
          <w:rFonts w:ascii="Arial" w:eastAsia="Arial" w:hAnsi="Arial" w:cs="Arial"/>
          <w:sz w:val="22"/>
          <w:szCs w:val="22"/>
          <w:lang w:val="es-ES_tradnl"/>
        </w:rPr>
        <w:t xml:space="preserve">. </w:t>
      </w:r>
      <w:r w:rsidRPr="009C0E1F">
        <w:rPr>
          <w:rFonts w:ascii="Arial" w:eastAsia="Arial" w:hAnsi="Arial" w:cs="Arial"/>
          <w:sz w:val="22"/>
          <w:szCs w:val="22"/>
          <w:lang w:val="es-ES_tradnl"/>
        </w:rPr>
        <w:t xml:space="preserve">El costo </w:t>
      </w:r>
      <w:r>
        <w:rPr>
          <w:rFonts w:ascii="Arial" w:eastAsia="Arial" w:hAnsi="Arial" w:cs="Arial"/>
          <w:sz w:val="22"/>
          <w:szCs w:val="22"/>
          <w:lang w:val="es-ES_tradnl"/>
        </w:rPr>
        <w:t>- efectividad</w:t>
      </w:r>
      <w:r w:rsidRPr="009C0E1F">
        <w:rPr>
          <w:rFonts w:ascii="Arial" w:eastAsia="Arial" w:hAnsi="Arial" w:cs="Arial"/>
          <w:sz w:val="22"/>
          <w:szCs w:val="22"/>
          <w:lang w:val="es-ES_tradnl"/>
        </w:rPr>
        <w:t xml:space="preserve"> medio (CEM</w:t>
      </w:r>
      <w:r w:rsidRPr="009C0E1F">
        <w:rPr>
          <w:rFonts w:ascii="Arial" w:eastAsia="Arial" w:hAnsi="Arial" w:cs="Arial"/>
          <w:sz w:val="22"/>
          <w:szCs w:val="22"/>
          <w:vertAlign w:val="subscript"/>
          <w:lang w:val="es-ES_tradnl"/>
        </w:rPr>
        <w:t>A</w:t>
      </w:r>
      <w:r w:rsidRPr="009C0E1F">
        <w:rPr>
          <w:rFonts w:ascii="Arial" w:eastAsia="Arial" w:hAnsi="Arial" w:cs="Arial"/>
          <w:sz w:val="22"/>
          <w:szCs w:val="22"/>
          <w:lang w:val="es-ES_tradnl"/>
        </w:rPr>
        <w:t xml:space="preserve"> – sin proyecto) de</w:t>
      </w:r>
      <w:r>
        <w:rPr>
          <w:rFonts w:ascii="Arial" w:eastAsia="Arial" w:hAnsi="Arial" w:cs="Arial"/>
          <w:sz w:val="22"/>
          <w:szCs w:val="22"/>
          <w:lang w:val="es-ES_tradnl"/>
        </w:rPr>
        <w:t xml:space="preserve"> las actividades de control tributario del SRI</w:t>
      </w:r>
      <w:r w:rsidRPr="009C0E1F">
        <w:rPr>
          <w:rFonts w:ascii="Arial" w:eastAsia="Arial" w:hAnsi="Arial" w:cs="Arial"/>
          <w:sz w:val="22"/>
          <w:szCs w:val="22"/>
          <w:lang w:val="es-ES_tradnl"/>
        </w:rPr>
        <w:t xml:space="preserve"> </w:t>
      </w:r>
      <w:r>
        <w:rPr>
          <w:rFonts w:ascii="Arial" w:eastAsia="Arial" w:hAnsi="Arial" w:cs="Arial"/>
          <w:sz w:val="22"/>
          <w:szCs w:val="22"/>
          <w:lang w:val="es-ES_tradnl"/>
        </w:rPr>
        <w:t>definido como los costos de gestión de control tributario por un dólar de recaudación tributaria doméstica</w:t>
      </w:r>
      <w:r w:rsidRPr="009C0E1F">
        <w:rPr>
          <w:rFonts w:ascii="Arial" w:eastAsia="Arial" w:hAnsi="Arial" w:cs="Arial"/>
          <w:sz w:val="22"/>
          <w:szCs w:val="22"/>
          <w:lang w:val="es-ES_tradnl"/>
        </w:rPr>
        <w:t xml:space="preserve"> </w:t>
      </w:r>
      <w:r>
        <w:rPr>
          <w:rFonts w:ascii="Arial" w:eastAsia="Arial" w:hAnsi="Arial" w:cs="Arial"/>
          <w:sz w:val="22"/>
          <w:szCs w:val="22"/>
          <w:lang w:val="es-ES_tradnl"/>
        </w:rPr>
        <w:t>fue</w:t>
      </w:r>
      <w:r w:rsidRPr="009C0E1F">
        <w:rPr>
          <w:rFonts w:ascii="Arial" w:eastAsia="Arial" w:hAnsi="Arial" w:cs="Arial"/>
          <w:sz w:val="22"/>
          <w:szCs w:val="22"/>
          <w:lang w:val="es-ES_tradnl"/>
        </w:rPr>
        <w:t xml:space="preserve"> de US$</w:t>
      </w:r>
      <w:r w:rsidR="00C629DC">
        <w:rPr>
          <w:rFonts w:ascii="Arial" w:eastAsia="Arial" w:hAnsi="Arial" w:cs="Arial"/>
          <w:sz w:val="22"/>
          <w:szCs w:val="22"/>
          <w:lang w:val="es-ES_tradnl"/>
        </w:rPr>
        <w:t>0</w:t>
      </w:r>
      <w:r w:rsidR="003A37B5">
        <w:rPr>
          <w:rFonts w:ascii="Arial" w:eastAsia="Arial" w:hAnsi="Arial" w:cs="Arial"/>
          <w:sz w:val="22"/>
          <w:szCs w:val="22"/>
          <w:lang w:val="es-ES_tradnl"/>
        </w:rPr>
        <w:t>,</w:t>
      </w:r>
      <w:r w:rsidR="00C629DC">
        <w:rPr>
          <w:rFonts w:ascii="Arial" w:eastAsia="Arial" w:hAnsi="Arial" w:cs="Arial"/>
          <w:sz w:val="22"/>
          <w:szCs w:val="22"/>
          <w:lang w:val="es-ES_tradnl"/>
        </w:rPr>
        <w:t>0084</w:t>
      </w:r>
      <w:r w:rsidRPr="009C0E1F">
        <w:rPr>
          <w:rFonts w:ascii="Arial" w:eastAsia="Arial" w:hAnsi="Arial" w:cs="Arial"/>
          <w:sz w:val="22"/>
          <w:szCs w:val="22"/>
          <w:lang w:val="es-ES_tradnl"/>
        </w:rPr>
        <w:t xml:space="preserve"> </w:t>
      </w:r>
    </w:p>
    <w:p w14:paraId="2657D0EF" w14:textId="77777777" w:rsidR="009E5AE2" w:rsidRPr="009C0E1F" w:rsidRDefault="009E5AE2" w:rsidP="009E5AE2">
      <w:pPr>
        <w:pStyle w:val="Paragraph"/>
        <w:numPr>
          <w:ilvl w:val="0"/>
          <w:numId w:val="0"/>
        </w:numPr>
        <w:spacing w:before="240" w:after="240"/>
        <w:ind w:left="1987"/>
        <w:outlineLvl w:val="9"/>
        <w:rPr>
          <w:rFonts w:ascii="Arial" w:hAnsi="Arial" w:cs="Arial"/>
          <w:sz w:val="22"/>
          <w:szCs w:val="22"/>
          <w:lang w:val="es-ES_tradnl"/>
        </w:rPr>
      </w:pPr>
      <w:r w:rsidRPr="009C0E1F">
        <w:rPr>
          <w:rFonts w:ascii="Arial" w:eastAsia="Arial" w:hAnsi="Arial" w:cs="Arial"/>
          <w:sz w:val="22"/>
          <w:szCs w:val="22"/>
          <w:lang w:val="es-ES_tradnl"/>
        </w:rPr>
        <w:t>CEM</w:t>
      </w:r>
      <w:r w:rsidRPr="009C0E1F">
        <w:rPr>
          <w:rFonts w:ascii="Arial" w:eastAsia="Arial" w:hAnsi="Arial" w:cs="Arial"/>
          <w:sz w:val="22"/>
          <w:szCs w:val="22"/>
          <w:vertAlign w:val="subscript"/>
          <w:lang w:val="es-ES_tradnl"/>
        </w:rPr>
        <w:t>A</w:t>
      </w:r>
      <w:r w:rsidRPr="009C0E1F">
        <w:rPr>
          <w:rFonts w:ascii="Arial" w:eastAsia="Arial" w:hAnsi="Arial" w:cs="Arial"/>
          <w:sz w:val="22"/>
          <w:szCs w:val="22"/>
          <w:lang w:val="es-ES_tradnl"/>
        </w:rPr>
        <w:t xml:space="preserve"> = C</w:t>
      </w:r>
      <w:r w:rsidRPr="009C0E1F">
        <w:rPr>
          <w:rFonts w:ascii="Arial" w:eastAsia="Arial" w:hAnsi="Arial" w:cs="Arial"/>
          <w:sz w:val="22"/>
          <w:szCs w:val="22"/>
          <w:vertAlign w:val="subscript"/>
          <w:lang w:val="es-ES_tradnl"/>
        </w:rPr>
        <w:t>A</w:t>
      </w:r>
      <w:r w:rsidRPr="009C0E1F">
        <w:rPr>
          <w:rFonts w:ascii="Arial" w:eastAsia="Arial" w:hAnsi="Arial" w:cs="Arial"/>
          <w:sz w:val="22"/>
          <w:szCs w:val="22"/>
          <w:lang w:val="es-ES_tradnl"/>
        </w:rPr>
        <w:t xml:space="preserve"> / E</w:t>
      </w:r>
      <w:r w:rsidRPr="009C0E1F">
        <w:rPr>
          <w:rFonts w:ascii="Arial" w:eastAsia="Arial" w:hAnsi="Arial" w:cs="Arial"/>
          <w:sz w:val="22"/>
          <w:szCs w:val="22"/>
          <w:vertAlign w:val="subscript"/>
          <w:lang w:val="es-ES_tradnl"/>
        </w:rPr>
        <w:t>A</w:t>
      </w:r>
    </w:p>
    <w:p w14:paraId="497C60D4" w14:textId="75261C49" w:rsidR="009E5AE2" w:rsidRDefault="009E5AE2" w:rsidP="009E5AE2">
      <w:pPr>
        <w:pStyle w:val="Paragraph"/>
        <w:numPr>
          <w:ilvl w:val="0"/>
          <w:numId w:val="0"/>
        </w:numPr>
        <w:ind w:left="720"/>
        <w:outlineLvl w:val="9"/>
        <w:rPr>
          <w:rFonts w:ascii="Arial" w:eastAsia="Arial" w:hAnsi="Arial" w:cs="Arial"/>
          <w:sz w:val="22"/>
          <w:szCs w:val="22"/>
          <w:lang w:val="es-ES_tradnl"/>
        </w:rPr>
      </w:pPr>
      <w:r w:rsidRPr="009C0E1F">
        <w:rPr>
          <w:rFonts w:ascii="Arial" w:eastAsia="Arial" w:hAnsi="Arial" w:cs="Arial"/>
          <w:sz w:val="22"/>
          <w:szCs w:val="22"/>
          <w:lang w:val="es-ES_tradnl"/>
        </w:rPr>
        <w:t>CEM</w:t>
      </w:r>
      <w:r w:rsidRPr="009C0E1F">
        <w:rPr>
          <w:rFonts w:ascii="Arial" w:eastAsia="Arial" w:hAnsi="Arial" w:cs="Arial"/>
          <w:sz w:val="22"/>
          <w:szCs w:val="22"/>
          <w:vertAlign w:val="subscript"/>
          <w:lang w:val="es-ES_tradnl"/>
        </w:rPr>
        <w:t>A</w:t>
      </w:r>
      <w:r w:rsidRPr="009C0E1F">
        <w:rPr>
          <w:rFonts w:ascii="Arial" w:eastAsia="Arial" w:hAnsi="Arial" w:cs="Arial"/>
          <w:sz w:val="22"/>
          <w:szCs w:val="22"/>
          <w:lang w:val="es-ES_tradnl"/>
        </w:rPr>
        <w:t xml:space="preserve"> = US$</w:t>
      </w:r>
      <w:r w:rsidR="00C629DC">
        <w:rPr>
          <w:rFonts w:ascii="Arial" w:eastAsia="Arial" w:hAnsi="Arial" w:cs="Arial"/>
          <w:sz w:val="22"/>
          <w:szCs w:val="22"/>
          <w:lang w:val="es-ES_tradnl"/>
        </w:rPr>
        <w:t>110.8</w:t>
      </w:r>
      <w:r w:rsidRPr="009C0E1F">
        <w:rPr>
          <w:rFonts w:ascii="Arial" w:eastAsia="Arial" w:hAnsi="Arial" w:cs="Arial"/>
          <w:sz w:val="22"/>
          <w:szCs w:val="22"/>
          <w:lang w:val="es-ES_tradnl"/>
        </w:rPr>
        <w:t xml:space="preserve"> millones</w:t>
      </w:r>
      <w:r>
        <w:rPr>
          <w:rFonts w:ascii="Arial" w:eastAsia="Arial" w:hAnsi="Arial" w:cs="Arial"/>
          <w:sz w:val="22"/>
          <w:szCs w:val="22"/>
          <w:lang w:val="es-ES_tradnl"/>
        </w:rPr>
        <w:t xml:space="preserve"> de costo</w:t>
      </w:r>
      <w:r w:rsidRPr="009C0E1F">
        <w:rPr>
          <w:rFonts w:ascii="Arial" w:eastAsia="Arial" w:hAnsi="Arial" w:cs="Arial"/>
          <w:sz w:val="22"/>
          <w:szCs w:val="22"/>
          <w:lang w:val="es-ES_tradnl"/>
        </w:rPr>
        <w:t xml:space="preserve"> / </w:t>
      </w:r>
      <w:r w:rsidR="00C629DC">
        <w:rPr>
          <w:rFonts w:ascii="Arial" w:hAnsi="Arial" w:cs="Arial"/>
          <w:sz w:val="22"/>
          <w:szCs w:val="22"/>
          <w:lang w:val="es-ES_tradnl"/>
        </w:rPr>
        <w:t>13,181</w:t>
      </w:r>
      <w:r w:rsidRPr="009E5AE2">
        <w:rPr>
          <w:rFonts w:ascii="Arial" w:hAnsi="Arial" w:cs="Arial"/>
          <w:sz w:val="22"/>
          <w:szCs w:val="22"/>
          <w:lang w:val="es-ES_tradnl"/>
        </w:rPr>
        <w:t xml:space="preserve"> </w:t>
      </w:r>
      <w:r w:rsidRPr="009C0E1F">
        <w:rPr>
          <w:rFonts w:ascii="Arial" w:eastAsia="Arial" w:hAnsi="Arial" w:cs="Arial"/>
          <w:sz w:val="22"/>
          <w:szCs w:val="22"/>
          <w:lang w:val="es-ES_tradnl"/>
        </w:rPr>
        <w:t xml:space="preserve">millones de </w:t>
      </w:r>
      <w:r>
        <w:rPr>
          <w:rFonts w:ascii="Arial" w:eastAsia="Arial" w:hAnsi="Arial" w:cs="Arial"/>
          <w:sz w:val="22"/>
          <w:szCs w:val="22"/>
          <w:lang w:val="es-ES_tradnl"/>
        </w:rPr>
        <w:t xml:space="preserve">recaudación </w:t>
      </w:r>
      <w:r w:rsidRPr="009C0E1F">
        <w:rPr>
          <w:rFonts w:ascii="Arial" w:eastAsia="Arial" w:hAnsi="Arial" w:cs="Arial"/>
          <w:sz w:val="22"/>
          <w:szCs w:val="22"/>
          <w:lang w:val="es-ES_tradnl"/>
        </w:rPr>
        <w:t>= US$</w:t>
      </w:r>
      <w:r w:rsidR="00C629DC">
        <w:rPr>
          <w:rFonts w:ascii="Arial" w:eastAsia="Arial" w:hAnsi="Arial" w:cs="Arial"/>
          <w:sz w:val="22"/>
          <w:szCs w:val="22"/>
          <w:lang w:val="es-ES_tradnl"/>
        </w:rPr>
        <w:t>0</w:t>
      </w:r>
      <w:r w:rsidR="00AA7FA5">
        <w:rPr>
          <w:rFonts w:ascii="Arial" w:eastAsia="Arial" w:hAnsi="Arial" w:cs="Arial"/>
          <w:sz w:val="22"/>
          <w:szCs w:val="22"/>
          <w:lang w:val="es-ES_tradnl"/>
        </w:rPr>
        <w:t>,</w:t>
      </w:r>
      <w:r w:rsidR="00C629DC">
        <w:rPr>
          <w:rFonts w:ascii="Arial" w:eastAsia="Arial" w:hAnsi="Arial" w:cs="Arial"/>
          <w:sz w:val="22"/>
          <w:szCs w:val="22"/>
          <w:lang w:val="es-ES_tradnl"/>
        </w:rPr>
        <w:t>0084</w:t>
      </w:r>
      <w:r w:rsidR="005A0804">
        <w:rPr>
          <w:rStyle w:val="FootnoteReference"/>
          <w:rFonts w:ascii="Arial" w:eastAsia="Arial" w:hAnsi="Arial" w:cs="Arial"/>
          <w:sz w:val="22"/>
          <w:szCs w:val="22"/>
          <w:lang w:val="es-ES_tradnl"/>
        </w:rPr>
        <w:footnoteReference w:id="29"/>
      </w:r>
    </w:p>
    <w:p w14:paraId="2DFE2157" w14:textId="2A761F96" w:rsidR="00214610" w:rsidRDefault="00624308" w:rsidP="005D44DB">
      <w:pPr>
        <w:pStyle w:val="Paragraph"/>
        <w:numPr>
          <w:ilvl w:val="1"/>
          <w:numId w:val="2"/>
        </w:numPr>
        <w:tabs>
          <w:tab w:val="clear" w:pos="1296"/>
        </w:tabs>
        <w:ind w:left="720" w:hanging="720"/>
        <w:outlineLvl w:val="9"/>
        <w:rPr>
          <w:rFonts w:ascii="Arial" w:hAnsi="Arial" w:cs="Arial"/>
          <w:sz w:val="22"/>
          <w:szCs w:val="22"/>
          <w:lang w:val="es-ES_tradnl"/>
        </w:rPr>
      </w:pPr>
      <w:r w:rsidRPr="009C0E1F">
        <w:rPr>
          <w:rFonts w:ascii="Arial" w:eastAsia="Arial" w:hAnsi="Arial" w:cs="Arial"/>
          <w:sz w:val="22"/>
          <w:szCs w:val="22"/>
          <w:lang w:val="es-ES_tradnl"/>
        </w:rPr>
        <w:t xml:space="preserve">En </w:t>
      </w:r>
      <w:r>
        <w:rPr>
          <w:rFonts w:ascii="Arial" w:eastAsia="Arial" w:hAnsi="Arial" w:cs="Arial"/>
          <w:sz w:val="22"/>
          <w:szCs w:val="22"/>
          <w:lang w:val="es-ES_tradnl"/>
        </w:rPr>
        <w:t xml:space="preserve">el caso del SENAE, en el año </w:t>
      </w:r>
      <w:r w:rsidR="00C629DC">
        <w:rPr>
          <w:rFonts w:ascii="Arial" w:eastAsia="Arial" w:hAnsi="Arial" w:cs="Arial"/>
          <w:sz w:val="22"/>
          <w:szCs w:val="22"/>
          <w:lang w:val="es-ES_tradnl"/>
        </w:rPr>
        <w:t>2019</w:t>
      </w:r>
      <w:r w:rsidRPr="009C0E1F">
        <w:rPr>
          <w:rFonts w:ascii="Arial" w:eastAsia="Arial" w:hAnsi="Arial" w:cs="Arial"/>
          <w:sz w:val="22"/>
          <w:szCs w:val="22"/>
          <w:lang w:val="es-ES_tradnl"/>
        </w:rPr>
        <w:t xml:space="preserve">, el costo de </w:t>
      </w:r>
      <w:r>
        <w:rPr>
          <w:rFonts w:ascii="Arial" w:eastAsia="Arial" w:hAnsi="Arial" w:cs="Arial"/>
          <w:sz w:val="22"/>
          <w:szCs w:val="22"/>
          <w:lang w:val="es-ES_tradnl"/>
        </w:rPr>
        <w:t>las labores del SENAE fue</w:t>
      </w:r>
      <w:r w:rsidRPr="009C0E1F">
        <w:rPr>
          <w:rFonts w:ascii="Arial" w:eastAsia="Arial" w:hAnsi="Arial" w:cs="Arial"/>
          <w:sz w:val="22"/>
          <w:szCs w:val="22"/>
          <w:lang w:val="es-ES_tradnl"/>
        </w:rPr>
        <w:t xml:space="preserve"> de US$</w:t>
      </w:r>
      <w:r w:rsidR="00C629DC">
        <w:rPr>
          <w:rFonts w:ascii="Arial" w:eastAsia="Arial" w:hAnsi="Arial" w:cs="Arial"/>
          <w:sz w:val="22"/>
          <w:szCs w:val="22"/>
          <w:lang w:val="es-ES_tradnl"/>
        </w:rPr>
        <w:t>47</w:t>
      </w:r>
      <w:r w:rsidR="00AA7FA5">
        <w:rPr>
          <w:rFonts w:ascii="Arial" w:eastAsia="Arial" w:hAnsi="Arial" w:cs="Arial"/>
          <w:sz w:val="22"/>
          <w:szCs w:val="22"/>
          <w:lang w:val="es-ES_tradnl"/>
        </w:rPr>
        <w:t>,</w:t>
      </w:r>
      <w:r w:rsidR="00C629DC">
        <w:rPr>
          <w:rFonts w:ascii="Arial" w:eastAsia="Arial" w:hAnsi="Arial" w:cs="Arial"/>
          <w:sz w:val="22"/>
          <w:szCs w:val="22"/>
          <w:lang w:val="es-ES_tradnl"/>
        </w:rPr>
        <w:t>8</w:t>
      </w:r>
      <w:r w:rsidRPr="009C0E1F">
        <w:rPr>
          <w:rFonts w:ascii="Arial" w:eastAsia="Arial" w:hAnsi="Arial" w:cs="Arial"/>
          <w:sz w:val="22"/>
          <w:szCs w:val="22"/>
          <w:lang w:val="es-ES_tradnl"/>
        </w:rPr>
        <w:t xml:space="preserve"> millones</w:t>
      </w:r>
      <w:r w:rsidRPr="00624308">
        <w:rPr>
          <w:rFonts w:ascii="Arial" w:hAnsi="Arial" w:cs="Arial"/>
          <w:sz w:val="22"/>
          <w:szCs w:val="22"/>
          <w:vertAlign w:val="superscript"/>
        </w:rPr>
        <w:footnoteReference w:id="30"/>
      </w:r>
      <w:r w:rsidRPr="009C0E1F">
        <w:rPr>
          <w:rFonts w:ascii="Arial" w:eastAsia="Arial" w:hAnsi="Arial" w:cs="Arial"/>
          <w:sz w:val="22"/>
          <w:szCs w:val="22"/>
          <w:lang w:val="es-ES_tradnl"/>
        </w:rPr>
        <w:t xml:space="preserve"> (C</w:t>
      </w:r>
      <w:r w:rsidRPr="0015059B">
        <w:rPr>
          <w:rFonts w:ascii="Arial" w:eastAsia="Arial" w:hAnsi="Arial" w:cs="Arial"/>
          <w:sz w:val="22"/>
          <w:szCs w:val="22"/>
          <w:vertAlign w:val="subscript"/>
          <w:lang w:val="es-ES_tradnl"/>
        </w:rPr>
        <w:t>A</w:t>
      </w:r>
      <w:r w:rsidRPr="009C0E1F">
        <w:rPr>
          <w:rFonts w:ascii="Arial" w:eastAsia="Arial" w:hAnsi="Arial" w:cs="Arial"/>
          <w:sz w:val="22"/>
          <w:szCs w:val="22"/>
          <w:lang w:val="es-ES_tradnl"/>
        </w:rPr>
        <w:t xml:space="preserve"> – costo sin proyecto) y se </w:t>
      </w:r>
      <w:r>
        <w:rPr>
          <w:rFonts w:ascii="Arial" w:eastAsia="Arial" w:hAnsi="Arial" w:cs="Arial"/>
          <w:sz w:val="22"/>
          <w:szCs w:val="22"/>
          <w:lang w:val="es-ES_tradnl"/>
        </w:rPr>
        <w:t xml:space="preserve">obtuvo un rendimiento en la recaudación de aranceles </w:t>
      </w:r>
      <w:r w:rsidRPr="009C0E1F">
        <w:rPr>
          <w:rFonts w:ascii="Arial" w:eastAsia="Arial" w:hAnsi="Arial" w:cs="Arial"/>
          <w:sz w:val="22"/>
          <w:szCs w:val="22"/>
          <w:lang w:val="es-ES_tradnl"/>
        </w:rPr>
        <w:t xml:space="preserve">en el mismo año </w:t>
      </w:r>
      <w:r>
        <w:rPr>
          <w:rFonts w:ascii="Arial" w:eastAsia="Arial" w:hAnsi="Arial" w:cs="Arial"/>
          <w:sz w:val="22"/>
          <w:szCs w:val="22"/>
          <w:lang w:val="es-ES_tradnl"/>
        </w:rPr>
        <w:t>de US$</w:t>
      </w:r>
      <w:r w:rsidR="00C629DC">
        <w:rPr>
          <w:rFonts w:ascii="Arial" w:eastAsia="Arial" w:hAnsi="Arial" w:cs="Arial"/>
          <w:sz w:val="22"/>
          <w:szCs w:val="22"/>
          <w:lang w:val="es-ES_tradnl"/>
        </w:rPr>
        <w:t>1,422</w:t>
      </w:r>
      <w:r w:rsidRPr="009C0E1F">
        <w:rPr>
          <w:rFonts w:ascii="Arial" w:eastAsia="Arial" w:hAnsi="Arial" w:cs="Arial"/>
          <w:sz w:val="22"/>
          <w:szCs w:val="22"/>
          <w:lang w:val="es-ES_tradnl"/>
        </w:rPr>
        <w:t xml:space="preserve"> millones</w:t>
      </w:r>
      <w:r w:rsidRPr="00624308">
        <w:rPr>
          <w:rFonts w:ascii="Arial" w:hAnsi="Arial" w:cs="Arial"/>
          <w:sz w:val="22"/>
          <w:szCs w:val="22"/>
          <w:vertAlign w:val="superscript"/>
        </w:rPr>
        <w:footnoteReference w:id="31"/>
      </w:r>
      <w:r>
        <w:rPr>
          <w:rFonts w:ascii="Arial" w:eastAsia="Arial" w:hAnsi="Arial" w:cs="Arial"/>
          <w:sz w:val="22"/>
          <w:szCs w:val="22"/>
          <w:lang w:val="es-ES_tradnl"/>
        </w:rPr>
        <w:t xml:space="preserve"> </w:t>
      </w:r>
      <w:r w:rsidRPr="009C0E1F">
        <w:rPr>
          <w:rFonts w:ascii="Arial" w:eastAsia="Arial" w:hAnsi="Arial" w:cs="Arial"/>
          <w:sz w:val="22"/>
          <w:szCs w:val="22"/>
          <w:lang w:val="es-ES_tradnl"/>
        </w:rPr>
        <w:t>(E</w:t>
      </w:r>
      <w:r w:rsidRPr="007807BF">
        <w:rPr>
          <w:rFonts w:ascii="Arial" w:eastAsia="Arial" w:hAnsi="Arial" w:cs="Arial"/>
          <w:sz w:val="22"/>
          <w:szCs w:val="22"/>
          <w:vertAlign w:val="subscript"/>
          <w:lang w:val="es-ES_tradnl"/>
        </w:rPr>
        <w:t>A</w:t>
      </w:r>
      <w:r w:rsidRPr="009C0E1F">
        <w:rPr>
          <w:rFonts w:ascii="Arial" w:eastAsia="Arial" w:hAnsi="Arial" w:cs="Arial"/>
          <w:sz w:val="22"/>
          <w:szCs w:val="22"/>
          <w:lang w:val="es-ES_tradnl"/>
        </w:rPr>
        <w:t xml:space="preserve"> – </w:t>
      </w:r>
      <w:r>
        <w:rPr>
          <w:rFonts w:ascii="Arial" w:eastAsia="Arial" w:hAnsi="Arial" w:cs="Arial"/>
          <w:sz w:val="22"/>
          <w:szCs w:val="22"/>
          <w:lang w:val="es-ES_tradnl"/>
        </w:rPr>
        <w:t>Efectividad</w:t>
      </w:r>
      <w:r w:rsidRPr="009C0E1F">
        <w:rPr>
          <w:rFonts w:ascii="Arial" w:eastAsia="Arial" w:hAnsi="Arial" w:cs="Arial"/>
          <w:sz w:val="22"/>
          <w:szCs w:val="22"/>
          <w:lang w:val="es-ES_tradnl"/>
        </w:rPr>
        <w:t xml:space="preserve"> sin proyecto)</w:t>
      </w:r>
      <w:r>
        <w:rPr>
          <w:rFonts w:ascii="Arial" w:eastAsia="Arial" w:hAnsi="Arial" w:cs="Arial"/>
          <w:sz w:val="22"/>
          <w:szCs w:val="22"/>
          <w:lang w:val="es-ES_tradnl"/>
        </w:rPr>
        <w:t>.</w:t>
      </w:r>
      <w:r>
        <w:rPr>
          <w:vertAlign w:val="superscript"/>
        </w:rPr>
        <w:t xml:space="preserve"> </w:t>
      </w:r>
      <w:r w:rsidRPr="005D44DB">
        <w:rPr>
          <w:rFonts w:ascii="Arial" w:hAnsi="Arial"/>
          <w:sz w:val="22"/>
          <w:lang w:val="es-ES_tradnl"/>
        </w:rPr>
        <w:t xml:space="preserve"> </w:t>
      </w:r>
      <w:r w:rsidRPr="009C0E1F">
        <w:rPr>
          <w:rFonts w:ascii="Arial" w:eastAsia="Arial" w:hAnsi="Arial" w:cs="Arial"/>
          <w:sz w:val="22"/>
          <w:szCs w:val="22"/>
          <w:lang w:val="es-ES_tradnl"/>
        </w:rPr>
        <w:t xml:space="preserve">El costo </w:t>
      </w:r>
      <w:r>
        <w:rPr>
          <w:rFonts w:ascii="Arial" w:eastAsia="Arial" w:hAnsi="Arial" w:cs="Arial"/>
          <w:sz w:val="22"/>
          <w:szCs w:val="22"/>
          <w:lang w:val="es-ES_tradnl"/>
        </w:rPr>
        <w:t>- efectividad</w:t>
      </w:r>
      <w:r w:rsidRPr="009C0E1F">
        <w:rPr>
          <w:rFonts w:ascii="Arial" w:eastAsia="Arial" w:hAnsi="Arial" w:cs="Arial"/>
          <w:sz w:val="22"/>
          <w:szCs w:val="22"/>
          <w:lang w:val="es-ES_tradnl"/>
        </w:rPr>
        <w:t xml:space="preserve"> medio (CEM</w:t>
      </w:r>
      <w:r w:rsidRPr="007807BF">
        <w:rPr>
          <w:rFonts w:ascii="Arial" w:eastAsia="Arial" w:hAnsi="Arial" w:cs="Arial"/>
          <w:sz w:val="22"/>
          <w:szCs w:val="22"/>
          <w:vertAlign w:val="subscript"/>
          <w:lang w:val="es-ES_tradnl"/>
        </w:rPr>
        <w:t>A</w:t>
      </w:r>
      <w:r w:rsidRPr="009C0E1F">
        <w:rPr>
          <w:rFonts w:ascii="Arial" w:eastAsia="Arial" w:hAnsi="Arial" w:cs="Arial"/>
          <w:sz w:val="22"/>
          <w:szCs w:val="22"/>
          <w:lang w:val="es-ES_tradnl"/>
        </w:rPr>
        <w:t xml:space="preserve"> – sin proyecto) de</w:t>
      </w:r>
      <w:r>
        <w:rPr>
          <w:rFonts w:ascii="Arial" w:eastAsia="Arial" w:hAnsi="Arial" w:cs="Arial"/>
          <w:sz w:val="22"/>
          <w:szCs w:val="22"/>
          <w:lang w:val="es-ES_tradnl"/>
        </w:rPr>
        <w:t xml:space="preserve"> las actividades del SENAE definido como los costos de gestión de sus actividades (presupuesto de gastos) por un dólar de recaudación en aranceles fue</w:t>
      </w:r>
      <w:r w:rsidRPr="009C0E1F">
        <w:rPr>
          <w:rFonts w:ascii="Arial" w:eastAsia="Arial" w:hAnsi="Arial" w:cs="Arial"/>
          <w:sz w:val="22"/>
          <w:szCs w:val="22"/>
          <w:lang w:val="es-ES_tradnl"/>
        </w:rPr>
        <w:t xml:space="preserve"> de US$</w:t>
      </w:r>
      <w:r>
        <w:rPr>
          <w:rFonts w:ascii="Arial" w:eastAsia="Arial" w:hAnsi="Arial" w:cs="Arial"/>
          <w:sz w:val="22"/>
          <w:szCs w:val="22"/>
          <w:lang w:val="es-ES_tradnl"/>
        </w:rPr>
        <w:t xml:space="preserve"> </w:t>
      </w:r>
      <w:r w:rsidR="00C629DC">
        <w:rPr>
          <w:rFonts w:ascii="Arial" w:eastAsia="Arial" w:hAnsi="Arial" w:cs="Arial"/>
          <w:sz w:val="22"/>
          <w:szCs w:val="22"/>
          <w:lang w:val="es-ES_tradnl"/>
        </w:rPr>
        <w:t>0.0336</w:t>
      </w:r>
      <w:r w:rsidRPr="009C0E1F">
        <w:rPr>
          <w:rFonts w:ascii="Arial" w:eastAsia="Arial" w:hAnsi="Arial" w:cs="Arial"/>
          <w:sz w:val="22"/>
          <w:szCs w:val="22"/>
          <w:lang w:val="es-ES_tradnl"/>
        </w:rPr>
        <w:t xml:space="preserve"> (CEM</w:t>
      </w:r>
      <w:r w:rsidRPr="007D6D45">
        <w:rPr>
          <w:rFonts w:ascii="Arial" w:eastAsia="Arial" w:hAnsi="Arial" w:cs="Arial"/>
          <w:sz w:val="22"/>
          <w:szCs w:val="22"/>
          <w:vertAlign w:val="subscript"/>
          <w:lang w:val="es-ES_tradnl"/>
        </w:rPr>
        <w:t>A</w:t>
      </w:r>
      <w:r w:rsidRPr="009C0E1F">
        <w:rPr>
          <w:rFonts w:ascii="Arial" w:eastAsia="Arial" w:hAnsi="Arial" w:cs="Arial"/>
          <w:sz w:val="22"/>
          <w:szCs w:val="22"/>
          <w:lang w:val="es-ES_tradnl"/>
        </w:rPr>
        <w:t xml:space="preserve"> = US$</w:t>
      </w:r>
      <w:r w:rsidR="00C629DC">
        <w:rPr>
          <w:rFonts w:ascii="Arial" w:eastAsia="Arial" w:hAnsi="Arial" w:cs="Arial"/>
          <w:sz w:val="22"/>
          <w:szCs w:val="22"/>
          <w:lang w:val="es-ES_tradnl"/>
        </w:rPr>
        <w:t>47</w:t>
      </w:r>
      <w:r w:rsidR="00AA7FA5">
        <w:rPr>
          <w:rFonts w:ascii="Arial" w:eastAsia="Arial" w:hAnsi="Arial" w:cs="Arial"/>
          <w:sz w:val="22"/>
          <w:szCs w:val="22"/>
          <w:lang w:val="es-ES_tradnl"/>
        </w:rPr>
        <w:t>,</w:t>
      </w:r>
      <w:r w:rsidR="00C629DC">
        <w:rPr>
          <w:rFonts w:ascii="Arial" w:eastAsia="Arial" w:hAnsi="Arial" w:cs="Arial"/>
          <w:sz w:val="22"/>
          <w:szCs w:val="22"/>
          <w:lang w:val="es-ES_tradnl"/>
        </w:rPr>
        <w:t>8</w:t>
      </w:r>
      <w:r w:rsidR="00AA7FA5">
        <w:rPr>
          <w:rFonts w:ascii="Arial" w:eastAsia="Arial" w:hAnsi="Arial" w:cs="Arial"/>
          <w:sz w:val="22"/>
          <w:szCs w:val="22"/>
          <w:lang w:val="es-ES_tradnl"/>
        </w:rPr>
        <w:t> </w:t>
      </w:r>
      <w:r w:rsidRPr="009C0E1F">
        <w:rPr>
          <w:rFonts w:ascii="Arial" w:eastAsia="Arial" w:hAnsi="Arial" w:cs="Arial"/>
          <w:sz w:val="22"/>
          <w:szCs w:val="22"/>
          <w:lang w:val="es-ES_tradnl"/>
        </w:rPr>
        <w:t>millones</w:t>
      </w:r>
      <w:r>
        <w:rPr>
          <w:rFonts w:ascii="Arial" w:eastAsia="Arial" w:hAnsi="Arial" w:cs="Arial"/>
          <w:sz w:val="22"/>
          <w:szCs w:val="22"/>
          <w:lang w:val="es-ES_tradnl"/>
        </w:rPr>
        <w:t xml:space="preserve"> de costo</w:t>
      </w:r>
      <w:r w:rsidRPr="009C0E1F">
        <w:rPr>
          <w:rFonts w:ascii="Arial" w:eastAsia="Arial" w:hAnsi="Arial" w:cs="Arial"/>
          <w:sz w:val="22"/>
          <w:szCs w:val="22"/>
          <w:lang w:val="es-ES_tradnl"/>
        </w:rPr>
        <w:t xml:space="preserve"> / </w:t>
      </w:r>
      <w:r>
        <w:rPr>
          <w:rFonts w:ascii="Arial" w:eastAsia="Arial" w:hAnsi="Arial" w:cs="Arial"/>
          <w:sz w:val="22"/>
          <w:szCs w:val="22"/>
          <w:lang w:val="es-ES_tradnl"/>
        </w:rPr>
        <w:t>US$</w:t>
      </w:r>
      <w:r w:rsidR="00190C28">
        <w:rPr>
          <w:rFonts w:ascii="Arial" w:eastAsia="Arial" w:hAnsi="Arial" w:cs="Arial"/>
          <w:sz w:val="22"/>
          <w:szCs w:val="22"/>
          <w:lang w:val="es-ES_tradnl"/>
        </w:rPr>
        <w:t>1</w:t>
      </w:r>
      <w:r w:rsidR="00AA7FA5">
        <w:rPr>
          <w:rFonts w:ascii="Arial" w:eastAsia="Arial" w:hAnsi="Arial" w:cs="Arial"/>
          <w:sz w:val="22"/>
          <w:szCs w:val="22"/>
          <w:lang w:val="es-ES_tradnl"/>
        </w:rPr>
        <w:t>.</w:t>
      </w:r>
      <w:r w:rsidR="00190C28">
        <w:rPr>
          <w:rFonts w:ascii="Arial" w:eastAsia="Arial" w:hAnsi="Arial" w:cs="Arial"/>
          <w:sz w:val="22"/>
          <w:szCs w:val="22"/>
          <w:lang w:val="es-ES_tradnl"/>
        </w:rPr>
        <w:t xml:space="preserve">422 </w:t>
      </w:r>
      <w:r w:rsidRPr="009C0E1F">
        <w:rPr>
          <w:rFonts w:ascii="Arial" w:eastAsia="Arial" w:hAnsi="Arial" w:cs="Arial"/>
          <w:sz w:val="22"/>
          <w:szCs w:val="22"/>
          <w:lang w:val="es-ES_tradnl"/>
        </w:rPr>
        <w:t xml:space="preserve">millones de </w:t>
      </w:r>
      <w:r>
        <w:rPr>
          <w:rFonts w:ascii="Arial" w:eastAsia="Arial" w:hAnsi="Arial" w:cs="Arial"/>
          <w:sz w:val="22"/>
          <w:szCs w:val="22"/>
          <w:lang w:val="es-ES_tradnl"/>
        </w:rPr>
        <w:t>recaudación en aranceles</w:t>
      </w:r>
      <w:r w:rsidR="009B2519" w:rsidRPr="009E5AE2">
        <w:rPr>
          <w:rFonts w:ascii="Arial" w:hAnsi="Arial" w:cs="Arial"/>
          <w:sz w:val="22"/>
          <w:szCs w:val="22"/>
          <w:lang w:val="es-ES_tradnl"/>
        </w:rPr>
        <w:t>)</w:t>
      </w:r>
      <w:r w:rsidR="005A0804">
        <w:rPr>
          <w:rStyle w:val="FootnoteReference"/>
          <w:rFonts w:ascii="Arial" w:hAnsi="Arial" w:cs="Arial"/>
          <w:sz w:val="22"/>
          <w:szCs w:val="22"/>
          <w:lang w:val="es-ES_tradnl"/>
        </w:rPr>
        <w:footnoteReference w:id="32"/>
      </w:r>
      <w:r w:rsidR="009B2519" w:rsidRPr="009E5AE2">
        <w:rPr>
          <w:rFonts w:ascii="Arial" w:hAnsi="Arial" w:cs="Arial"/>
          <w:sz w:val="22"/>
          <w:szCs w:val="22"/>
          <w:lang w:val="es-ES_tradnl"/>
        </w:rPr>
        <w:t xml:space="preserve">. </w:t>
      </w:r>
      <w:bookmarkStart w:id="93" w:name="_Hlk64031999"/>
    </w:p>
    <w:bookmarkEnd w:id="93"/>
    <w:p w14:paraId="4D9265DF" w14:textId="05772873" w:rsidR="00214610" w:rsidRDefault="00214610" w:rsidP="005D44DB">
      <w:pPr>
        <w:pStyle w:val="Paragraph"/>
        <w:numPr>
          <w:ilvl w:val="1"/>
          <w:numId w:val="2"/>
        </w:numPr>
        <w:tabs>
          <w:tab w:val="clear" w:pos="1296"/>
        </w:tabs>
        <w:ind w:left="720" w:hanging="720"/>
        <w:outlineLvl w:val="9"/>
        <w:rPr>
          <w:rFonts w:ascii="Arial" w:hAnsi="Arial" w:cs="Arial"/>
          <w:sz w:val="22"/>
          <w:szCs w:val="22"/>
          <w:lang w:val="es-ES_tradnl"/>
        </w:rPr>
      </w:pPr>
      <w:r w:rsidRPr="00214610">
        <w:rPr>
          <w:rFonts w:ascii="Arial" w:hAnsi="Arial" w:cs="Arial"/>
          <w:sz w:val="22"/>
          <w:szCs w:val="22"/>
          <w:lang w:val="es-ES_tradnl"/>
        </w:rPr>
        <w:t>Para la evaluación del programa la línea base se definió como la proyección de costos y efectividad del SRI y del SENAE sin programa por un periodo de 10 años (</w:t>
      </w:r>
      <w:r w:rsidR="00190C28" w:rsidRPr="00214610">
        <w:rPr>
          <w:rFonts w:ascii="Arial" w:hAnsi="Arial" w:cs="Arial"/>
          <w:sz w:val="22"/>
          <w:szCs w:val="22"/>
          <w:lang w:val="es-ES_tradnl"/>
        </w:rPr>
        <w:t>202</w:t>
      </w:r>
      <w:r w:rsidR="00190C28">
        <w:rPr>
          <w:rFonts w:ascii="Arial" w:hAnsi="Arial" w:cs="Arial"/>
          <w:sz w:val="22"/>
          <w:szCs w:val="22"/>
          <w:lang w:val="es-ES_tradnl"/>
        </w:rPr>
        <w:t>2</w:t>
      </w:r>
      <w:r w:rsidR="00AA7FA5">
        <w:rPr>
          <w:rFonts w:ascii="Arial" w:hAnsi="Arial" w:cs="Arial"/>
          <w:sz w:val="22"/>
          <w:szCs w:val="22"/>
          <w:lang w:val="es-ES_tradnl"/>
        </w:rPr>
        <w:t> </w:t>
      </w:r>
      <w:r w:rsidRPr="00214610">
        <w:rPr>
          <w:rFonts w:ascii="Arial" w:hAnsi="Arial" w:cs="Arial"/>
          <w:sz w:val="22"/>
          <w:szCs w:val="22"/>
          <w:lang w:val="es-ES_tradnl"/>
        </w:rPr>
        <w:t>–</w:t>
      </w:r>
      <w:r w:rsidR="00AA7FA5">
        <w:rPr>
          <w:rFonts w:ascii="Arial" w:hAnsi="Arial" w:cs="Arial"/>
          <w:sz w:val="22"/>
          <w:szCs w:val="22"/>
          <w:lang w:val="es-ES_tradnl"/>
        </w:rPr>
        <w:t> </w:t>
      </w:r>
      <w:r w:rsidR="00190C28" w:rsidRPr="00214610">
        <w:rPr>
          <w:rFonts w:ascii="Arial" w:hAnsi="Arial" w:cs="Arial"/>
          <w:sz w:val="22"/>
          <w:szCs w:val="22"/>
          <w:lang w:val="es-ES_tradnl"/>
        </w:rPr>
        <w:t>20</w:t>
      </w:r>
      <w:r w:rsidR="00190C28">
        <w:rPr>
          <w:rFonts w:ascii="Arial" w:hAnsi="Arial" w:cs="Arial"/>
          <w:sz w:val="22"/>
          <w:szCs w:val="22"/>
          <w:lang w:val="es-ES_tradnl"/>
        </w:rPr>
        <w:t>31</w:t>
      </w:r>
      <w:r w:rsidRPr="00214610">
        <w:rPr>
          <w:rFonts w:ascii="Arial" w:hAnsi="Arial" w:cs="Arial"/>
          <w:sz w:val="22"/>
          <w:szCs w:val="22"/>
          <w:lang w:val="es-ES_tradnl"/>
        </w:rPr>
        <w:t xml:space="preserve">). Este periodo contempla los 5 años de inversión del programa </w:t>
      </w:r>
      <w:r w:rsidR="008C7F37" w:rsidRPr="00214610">
        <w:rPr>
          <w:rFonts w:ascii="Arial" w:hAnsi="Arial" w:cs="Arial"/>
          <w:sz w:val="22"/>
          <w:szCs w:val="22"/>
          <w:lang w:val="es-ES_tradnl"/>
        </w:rPr>
        <w:t>más</w:t>
      </w:r>
      <w:r w:rsidRPr="00214610">
        <w:rPr>
          <w:rFonts w:ascii="Arial" w:hAnsi="Arial" w:cs="Arial"/>
          <w:sz w:val="22"/>
          <w:szCs w:val="22"/>
          <w:lang w:val="es-ES_tradnl"/>
        </w:rPr>
        <w:t xml:space="preserve"> 5</w:t>
      </w:r>
      <w:r w:rsidR="00AA7FA5">
        <w:rPr>
          <w:rFonts w:ascii="Arial" w:hAnsi="Arial" w:cs="Arial"/>
          <w:sz w:val="22"/>
          <w:szCs w:val="22"/>
          <w:lang w:val="es-ES_tradnl"/>
        </w:rPr>
        <w:t> </w:t>
      </w:r>
      <w:r w:rsidRPr="00214610">
        <w:rPr>
          <w:rFonts w:ascii="Arial" w:hAnsi="Arial" w:cs="Arial"/>
          <w:sz w:val="22"/>
          <w:szCs w:val="22"/>
          <w:lang w:val="es-ES_tradnl"/>
        </w:rPr>
        <w:t>años de madurez (</w:t>
      </w:r>
      <w:r w:rsidR="008C7F37">
        <w:rPr>
          <w:rFonts w:ascii="Arial" w:hAnsi="Arial" w:cs="Arial"/>
          <w:sz w:val="22"/>
          <w:szCs w:val="22"/>
          <w:lang w:val="es-ES_tradnl"/>
        </w:rPr>
        <w:t xml:space="preserve">tomando en cuenta la </w:t>
      </w:r>
      <w:r w:rsidRPr="00214610">
        <w:rPr>
          <w:rFonts w:ascii="Arial" w:hAnsi="Arial" w:cs="Arial"/>
          <w:sz w:val="22"/>
          <w:szCs w:val="22"/>
          <w:lang w:val="es-ES_tradnl"/>
        </w:rPr>
        <w:t>vida útil estimada de los equipos de TI). A cada uno de los flujos se le ha aplicado la tasa de descuento (7%)</w:t>
      </w:r>
      <w:r w:rsidR="007700EE">
        <w:rPr>
          <w:rStyle w:val="FootnoteReference"/>
          <w:rFonts w:ascii="Arial" w:hAnsi="Arial" w:cs="Arial"/>
          <w:sz w:val="22"/>
          <w:szCs w:val="22"/>
          <w:lang w:val="es-ES_tradnl"/>
        </w:rPr>
        <w:footnoteReference w:id="33"/>
      </w:r>
      <w:r w:rsidRPr="00214610">
        <w:rPr>
          <w:rFonts w:ascii="Arial" w:hAnsi="Arial" w:cs="Arial"/>
          <w:sz w:val="22"/>
          <w:szCs w:val="22"/>
          <w:lang w:val="es-ES_tradnl"/>
        </w:rPr>
        <w:t xml:space="preserve"> para obtener los valores presentes netos (VPN) de los costos y de la efectividad de los componentes con y sin el impacto del programa.</w:t>
      </w:r>
      <w:r w:rsidR="005841ED">
        <w:rPr>
          <w:rFonts w:ascii="Arial" w:hAnsi="Arial" w:cs="Arial"/>
          <w:sz w:val="22"/>
          <w:szCs w:val="22"/>
          <w:lang w:val="es-ES_tradnl"/>
        </w:rPr>
        <w:t xml:space="preserve"> Al presupuesto sin programa se le han descontado la reducción de costos que se obtendrían con el programa y se le ha sumado los costos asociados a la </w:t>
      </w:r>
      <w:r w:rsidR="005841ED" w:rsidRPr="000015B2">
        <w:rPr>
          <w:rFonts w:ascii="Arial" w:hAnsi="Arial" w:cs="Arial"/>
          <w:sz w:val="22"/>
          <w:szCs w:val="22"/>
          <w:highlight w:val="yellow"/>
          <w:lang w:val="es-ES_tradnl"/>
        </w:rPr>
        <w:t>inversi</w:t>
      </w:r>
      <w:r w:rsidR="00081E3C">
        <w:rPr>
          <w:rFonts w:ascii="Arial" w:hAnsi="Arial" w:cs="Arial"/>
          <w:sz w:val="22"/>
          <w:szCs w:val="22"/>
          <w:highlight w:val="yellow"/>
          <w:lang w:val="es-ES_tradnl"/>
        </w:rPr>
        <w:t>ó</w:t>
      </w:r>
      <w:r w:rsidR="005841ED" w:rsidRPr="000015B2">
        <w:rPr>
          <w:rFonts w:ascii="Arial" w:hAnsi="Arial" w:cs="Arial"/>
          <w:sz w:val="22"/>
          <w:szCs w:val="22"/>
          <w:highlight w:val="yellow"/>
          <w:lang w:val="es-ES_tradnl"/>
        </w:rPr>
        <w:t>n</w:t>
      </w:r>
      <w:r w:rsidR="005841ED">
        <w:rPr>
          <w:rFonts w:ascii="Arial" w:hAnsi="Arial" w:cs="Arial"/>
          <w:sz w:val="22"/>
          <w:szCs w:val="22"/>
          <w:lang w:val="es-ES_tradnl"/>
        </w:rPr>
        <w:t xml:space="preserve"> programada.</w:t>
      </w:r>
    </w:p>
    <w:p w14:paraId="020D707A" w14:textId="3BE6D84A" w:rsidR="009B2519" w:rsidRPr="00214610" w:rsidRDefault="009B2519" w:rsidP="005D44DB">
      <w:pPr>
        <w:pStyle w:val="Paragraph"/>
        <w:numPr>
          <w:ilvl w:val="1"/>
          <w:numId w:val="2"/>
        </w:numPr>
        <w:ind w:left="720" w:hanging="720"/>
        <w:outlineLvl w:val="9"/>
        <w:rPr>
          <w:rFonts w:ascii="Arial" w:hAnsi="Arial" w:cs="Arial"/>
          <w:sz w:val="22"/>
          <w:szCs w:val="22"/>
          <w:lang w:val="es-ES_tradnl"/>
        </w:rPr>
      </w:pPr>
      <w:r w:rsidRPr="00214610">
        <w:rPr>
          <w:rFonts w:ascii="Arial" w:hAnsi="Arial" w:cs="Arial"/>
          <w:sz w:val="22"/>
          <w:szCs w:val="22"/>
          <w:lang w:val="es-ES_tradnl"/>
        </w:rPr>
        <w:t>En el caso del SRI, el VPN de los costos de las labores de control tributario sin programa (C</w:t>
      </w:r>
      <w:r w:rsidRPr="00214610">
        <w:rPr>
          <w:rFonts w:ascii="Arial" w:hAnsi="Arial" w:cs="Arial"/>
          <w:sz w:val="22"/>
          <w:szCs w:val="22"/>
          <w:vertAlign w:val="subscript"/>
          <w:lang w:val="es-ES_tradnl"/>
        </w:rPr>
        <w:t>A</w:t>
      </w:r>
      <w:r w:rsidRPr="00214610">
        <w:rPr>
          <w:rFonts w:ascii="Arial" w:hAnsi="Arial" w:cs="Arial"/>
          <w:sz w:val="22"/>
          <w:szCs w:val="22"/>
          <w:lang w:val="es-ES_tradnl"/>
        </w:rPr>
        <w:t xml:space="preserve"> – costo sin proyecto) ascienden a US$ </w:t>
      </w:r>
      <w:r w:rsidR="00155F94">
        <w:rPr>
          <w:rFonts w:ascii="Arial" w:hAnsi="Arial" w:cs="Arial"/>
          <w:sz w:val="22"/>
          <w:szCs w:val="22"/>
          <w:lang w:val="es-ES_tradnl"/>
        </w:rPr>
        <w:t>886.6</w:t>
      </w:r>
      <w:r w:rsidRPr="00214610">
        <w:rPr>
          <w:rFonts w:ascii="Arial" w:hAnsi="Arial" w:cs="Arial"/>
          <w:sz w:val="22"/>
          <w:szCs w:val="22"/>
          <w:lang w:val="es-ES_tradnl"/>
        </w:rPr>
        <w:t xml:space="preserve"> millones, mientras que el VPN de los rendimientos de la recaudación de tributos internos asciende a US$</w:t>
      </w:r>
      <w:r w:rsidR="00AA7FA5">
        <w:rPr>
          <w:rFonts w:ascii="Arial" w:hAnsi="Arial" w:cs="Arial"/>
          <w:sz w:val="22"/>
          <w:szCs w:val="22"/>
          <w:lang w:val="es-ES_tradnl"/>
        </w:rPr>
        <w:t> </w:t>
      </w:r>
      <w:r w:rsidR="00155F94">
        <w:rPr>
          <w:rFonts w:ascii="Arial" w:hAnsi="Arial" w:cs="Arial"/>
          <w:sz w:val="22"/>
          <w:szCs w:val="22"/>
          <w:lang w:val="es-ES_tradnl"/>
        </w:rPr>
        <w:t>110</w:t>
      </w:r>
      <w:r w:rsidR="00AA7FA5">
        <w:rPr>
          <w:rFonts w:ascii="Arial" w:hAnsi="Arial" w:cs="Arial"/>
          <w:sz w:val="22"/>
          <w:szCs w:val="22"/>
          <w:lang w:val="es-ES_tradnl"/>
        </w:rPr>
        <w:t>.</w:t>
      </w:r>
      <w:r w:rsidR="00155F94">
        <w:rPr>
          <w:rFonts w:ascii="Arial" w:hAnsi="Arial" w:cs="Arial"/>
          <w:sz w:val="22"/>
          <w:szCs w:val="22"/>
          <w:lang w:val="es-ES_tradnl"/>
        </w:rPr>
        <w:t>663</w:t>
      </w:r>
      <w:r w:rsidR="00AA7FA5">
        <w:rPr>
          <w:rFonts w:ascii="Arial" w:hAnsi="Arial" w:cs="Arial"/>
          <w:sz w:val="22"/>
          <w:szCs w:val="22"/>
          <w:lang w:val="es-ES_tradnl"/>
        </w:rPr>
        <w:t>,</w:t>
      </w:r>
      <w:r w:rsidR="00155F94">
        <w:rPr>
          <w:rFonts w:ascii="Arial" w:hAnsi="Arial" w:cs="Arial"/>
          <w:sz w:val="22"/>
          <w:szCs w:val="22"/>
          <w:lang w:val="es-ES_tradnl"/>
        </w:rPr>
        <w:t>9</w:t>
      </w:r>
      <w:r w:rsidR="002301B7">
        <w:rPr>
          <w:rFonts w:ascii="Arial" w:hAnsi="Arial" w:cs="Arial"/>
          <w:sz w:val="22"/>
          <w:szCs w:val="22"/>
          <w:lang w:val="es-ES_tradnl"/>
        </w:rPr>
        <w:t xml:space="preserve"> </w:t>
      </w:r>
      <w:r w:rsidRPr="00214610">
        <w:rPr>
          <w:rFonts w:ascii="Arial" w:hAnsi="Arial" w:cs="Arial"/>
          <w:sz w:val="22"/>
          <w:szCs w:val="22"/>
          <w:lang w:val="es-ES_tradnl"/>
        </w:rPr>
        <w:t>millones (E</w:t>
      </w:r>
      <w:r w:rsidRPr="00214610">
        <w:rPr>
          <w:rFonts w:ascii="Arial" w:hAnsi="Arial" w:cs="Arial"/>
          <w:sz w:val="22"/>
          <w:szCs w:val="22"/>
          <w:vertAlign w:val="subscript"/>
          <w:lang w:val="es-ES_tradnl"/>
        </w:rPr>
        <w:t>A</w:t>
      </w:r>
      <w:r w:rsidRPr="00214610">
        <w:rPr>
          <w:rFonts w:ascii="Arial" w:hAnsi="Arial" w:cs="Arial"/>
          <w:sz w:val="22"/>
          <w:szCs w:val="22"/>
          <w:lang w:val="es-ES_tradnl"/>
        </w:rPr>
        <w:t xml:space="preserve"> – Efectividad sin proyecto). El costo efectividad medio (CEM</w:t>
      </w:r>
      <w:r w:rsidRPr="00214610">
        <w:rPr>
          <w:rFonts w:ascii="Arial" w:hAnsi="Arial" w:cs="Arial"/>
          <w:sz w:val="22"/>
          <w:szCs w:val="22"/>
          <w:vertAlign w:val="subscript"/>
          <w:lang w:val="es-ES_tradnl"/>
        </w:rPr>
        <w:t>A</w:t>
      </w:r>
      <w:r w:rsidRPr="00214610">
        <w:rPr>
          <w:rFonts w:ascii="Arial" w:hAnsi="Arial" w:cs="Arial"/>
          <w:sz w:val="22"/>
          <w:szCs w:val="22"/>
          <w:lang w:val="es-ES_tradnl"/>
        </w:rPr>
        <w:t xml:space="preserve"> – sin proyecto) de las actividades de control tributario tomando en cuenta los VPN</w:t>
      </w:r>
      <w:r w:rsidR="00583C1C">
        <w:rPr>
          <w:rFonts w:ascii="Arial" w:hAnsi="Arial" w:cs="Arial"/>
          <w:sz w:val="22"/>
          <w:szCs w:val="22"/>
          <w:lang w:val="es-ES_tradnl"/>
        </w:rPr>
        <w:t xml:space="preserve"> </w:t>
      </w:r>
      <w:r w:rsidRPr="00214610">
        <w:rPr>
          <w:rFonts w:ascii="Arial" w:hAnsi="Arial" w:cs="Arial"/>
          <w:sz w:val="22"/>
          <w:szCs w:val="22"/>
          <w:lang w:val="es-ES_tradnl"/>
        </w:rPr>
        <w:t>del costo y la efectividad es de US$0</w:t>
      </w:r>
      <w:r w:rsidR="00583C1C">
        <w:rPr>
          <w:rFonts w:ascii="Arial" w:hAnsi="Arial" w:cs="Arial"/>
          <w:sz w:val="22"/>
          <w:szCs w:val="22"/>
          <w:lang w:val="es-ES_tradnl"/>
        </w:rPr>
        <w:t>,</w:t>
      </w:r>
      <w:r w:rsidRPr="00214610">
        <w:rPr>
          <w:rFonts w:ascii="Arial" w:hAnsi="Arial" w:cs="Arial"/>
          <w:sz w:val="22"/>
          <w:szCs w:val="22"/>
          <w:lang w:val="es-ES_tradnl"/>
        </w:rPr>
        <w:t>00</w:t>
      </w:r>
      <w:r w:rsidR="00155F94">
        <w:rPr>
          <w:rFonts w:ascii="Arial" w:hAnsi="Arial" w:cs="Arial"/>
          <w:sz w:val="22"/>
          <w:szCs w:val="22"/>
          <w:lang w:val="es-ES_tradnl"/>
        </w:rPr>
        <w:t>801</w:t>
      </w:r>
      <w:r w:rsidR="00A63E1E">
        <w:rPr>
          <w:rFonts w:ascii="Arial" w:hAnsi="Arial" w:cs="Arial"/>
          <w:sz w:val="22"/>
          <w:szCs w:val="22"/>
          <w:lang w:val="es-ES_tradnl"/>
        </w:rPr>
        <w:t xml:space="preserve"> (ver Tabla 1)</w:t>
      </w:r>
      <w:r w:rsidRPr="00214610">
        <w:rPr>
          <w:rFonts w:ascii="Arial" w:hAnsi="Arial" w:cs="Arial"/>
          <w:sz w:val="22"/>
          <w:szCs w:val="22"/>
          <w:lang w:val="es-ES_tradnl"/>
        </w:rPr>
        <w:t>.</w:t>
      </w:r>
    </w:p>
    <w:p w14:paraId="58A0AC05" w14:textId="76BA1806" w:rsidR="009B2519" w:rsidRDefault="009B2519" w:rsidP="005D44DB">
      <w:pPr>
        <w:pStyle w:val="Paragraph"/>
        <w:numPr>
          <w:ilvl w:val="1"/>
          <w:numId w:val="2"/>
        </w:numPr>
        <w:ind w:left="720" w:hanging="720"/>
        <w:outlineLvl w:val="9"/>
        <w:rPr>
          <w:rFonts w:ascii="Arial" w:hAnsi="Arial" w:cs="Arial"/>
          <w:sz w:val="22"/>
          <w:szCs w:val="22"/>
          <w:lang w:val="es-ES_tradnl"/>
        </w:rPr>
      </w:pPr>
      <w:r w:rsidRPr="009E5AE2">
        <w:rPr>
          <w:rFonts w:ascii="Arial" w:hAnsi="Arial" w:cs="Arial"/>
          <w:sz w:val="22"/>
          <w:szCs w:val="22"/>
          <w:lang w:val="es-ES_tradnl"/>
        </w:rPr>
        <w:t>En el caso del componente II correspondiente al SENAE, el VPN de los costos asociados a las labores de control aduanero (presupuesto de gastos) es de US$</w:t>
      </w:r>
      <w:r w:rsidR="00155F94">
        <w:rPr>
          <w:rFonts w:ascii="Arial" w:hAnsi="Arial" w:cs="Arial"/>
          <w:sz w:val="22"/>
          <w:szCs w:val="22"/>
          <w:lang w:val="es-ES_tradnl"/>
        </w:rPr>
        <w:t>342</w:t>
      </w:r>
      <w:r w:rsidR="00583C1C">
        <w:rPr>
          <w:rFonts w:ascii="Arial" w:hAnsi="Arial" w:cs="Arial"/>
          <w:sz w:val="22"/>
          <w:szCs w:val="22"/>
          <w:lang w:val="es-ES_tradnl"/>
        </w:rPr>
        <w:t>,</w:t>
      </w:r>
      <w:r w:rsidR="00155F94">
        <w:rPr>
          <w:rFonts w:ascii="Arial" w:hAnsi="Arial" w:cs="Arial"/>
          <w:sz w:val="22"/>
          <w:szCs w:val="22"/>
          <w:lang w:val="es-ES_tradnl"/>
        </w:rPr>
        <w:t>7</w:t>
      </w:r>
      <w:r w:rsidR="00583C1C">
        <w:rPr>
          <w:rFonts w:ascii="Arial" w:hAnsi="Arial" w:cs="Arial"/>
          <w:sz w:val="22"/>
          <w:szCs w:val="22"/>
          <w:lang w:val="es-ES_tradnl"/>
        </w:rPr>
        <w:t> </w:t>
      </w:r>
      <w:r w:rsidRPr="009E5AE2">
        <w:rPr>
          <w:rFonts w:ascii="Arial" w:hAnsi="Arial" w:cs="Arial"/>
          <w:sz w:val="22"/>
          <w:szCs w:val="22"/>
          <w:lang w:val="es-ES_tradnl"/>
        </w:rPr>
        <w:t>millones (C</w:t>
      </w:r>
      <w:r w:rsidRPr="009E5AE2">
        <w:rPr>
          <w:rFonts w:ascii="Arial" w:hAnsi="Arial" w:cs="Arial"/>
          <w:sz w:val="22"/>
          <w:szCs w:val="22"/>
          <w:vertAlign w:val="subscript"/>
          <w:lang w:val="es-ES_tradnl"/>
        </w:rPr>
        <w:t>A</w:t>
      </w:r>
      <w:r w:rsidRPr="009E5AE2">
        <w:rPr>
          <w:rFonts w:ascii="Arial" w:hAnsi="Arial" w:cs="Arial"/>
          <w:sz w:val="22"/>
          <w:szCs w:val="22"/>
          <w:lang w:val="es-ES_tradnl"/>
        </w:rPr>
        <w:t xml:space="preserve"> – costo sin proyecto) mientras que el VPN de los rendimientos de la recaudación de aranceles ascienden a US$</w:t>
      </w:r>
      <w:r w:rsidR="00155F94">
        <w:rPr>
          <w:rFonts w:ascii="Arial" w:hAnsi="Arial" w:cs="Arial"/>
          <w:sz w:val="22"/>
          <w:szCs w:val="22"/>
          <w:lang w:val="es-ES_tradnl"/>
        </w:rPr>
        <w:t>10</w:t>
      </w:r>
      <w:r w:rsidR="003375C4">
        <w:rPr>
          <w:rFonts w:ascii="Arial" w:hAnsi="Arial" w:cs="Arial"/>
          <w:sz w:val="22"/>
          <w:szCs w:val="22"/>
          <w:lang w:val="es-ES_tradnl"/>
        </w:rPr>
        <w:t>.</w:t>
      </w:r>
      <w:r w:rsidR="00155F94">
        <w:rPr>
          <w:rFonts w:ascii="Arial" w:hAnsi="Arial" w:cs="Arial"/>
          <w:sz w:val="22"/>
          <w:szCs w:val="22"/>
          <w:lang w:val="es-ES_tradnl"/>
        </w:rPr>
        <w:t>440</w:t>
      </w:r>
      <w:r w:rsidR="003375C4">
        <w:rPr>
          <w:rFonts w:ascii="Arial" w:hAnsi="Arial" w:cs="Arial"/>
          <w:sz w:val="22"/>
          <w:szCs w:val="22"/>
          <w:lang w:val="es-ES_tradnl"/>
        </w:rPr>
        <w:t>,</w:t>
      </w:r>
      <w:r w:rsidR="00155F94">
        <w:rPr>
          <w:rFonts w:ascii="Arial" w:hAnsi="Arial" w:cs="Arial"/>
          <w:sz w:val="22"/>
          <w:szCs w:val="22"/>
          <w:lang w:val="es-ES_tradnl"/>
        </w:rPr>
        <w:t>8</w:t>
      </w:r>
      <w:r w:rsidRPr="009E5AE2">
        <w:rPr>
          <w:rFonts w:ascii="Arial" w:hAnsi="Arial" w:cs="Arial"/>
          <w:sz w:val="22"/>
          <w:szCs w:val="22"/>
          <w:lang w:val="es-ES_tradnl"/>
        </w:rPr>
        <w:t xml:space="preserve"> millones (E</w:t>
      </w:r>
      <w:r w:rsidRPr="009E5AE2">
        <w:rPr>
          <w:rFonts w:ascii="Arial" w:hAnsi="Arial" w:cs="Arial"/>
          <w:sz w:val="22"/>
          <w:szCs w:val="22"/>
          <w:vertAlign w:val="subscript"/>
          <w:lang w:val="es-ES_tradnl"/>
        </w:rPr>
        <w:t>A</w:t>
      </w:r>
      <w:r w:rsidRPr="009E5AE2">
        <w:rPr>
          <w:rFonts w:ascii="Arial" w:hAnsi="Arial" w:cs="Arial"/>
          <w:sz w:val="22"/>
          <w:szCs w:val="22"/>
          <w:lang w:val="es-ES_tradnl"/>
        </w:rPr>
        <w:t xml:space="preserve"> – Efectividad </w:t>
      </w:r>
      <w:r w:rsidRPr="009E5AE2">
        <w:rPr>
          <w:rFonts w:ascii="Arial" w:hAnsi="Arial" w:cs="Arial"/>
          <w:sz w:val="22"/>
          <w:szCs w:val="22"/>
          <w:lang w:val="es-ES_tradnl"/>
        </w:rPr>
        <w:lastRenderedPageBreak/>
        <w:t>sin proyecto). El costo efectividad medio (CEMA – sin proyecto) de las actividades del SENAE, tomando en cuenta los VPN es de US$0</w:t>
      </w:r>
      <w:r w:rsidR="003375C4">
        <w:rPr>
          <w:rFonts w:ascii="Arial" w:hAnsi="Arial" w:cs="Arial"/>
          <w:sz w:val="22"/>
          <w:szCs w:val="22"/>
          <w:lang w:val="es-ES_tradnl"/>
        </w:rPr>
        <w:t>,</w:t>
      </w:r>
      <w:r w:rsidRPr="009E5AE2">
        <w:rPr>
          <w:rFonts w:ascii="Arial" w:hAnsi="Arial" w:cs="Arial"/>
          <w:sz w:val="22"/>
          <w:szCs w:val="22"/>
          <w:lang w:val="es-ES_tradnl"/>
        </w:rPr>
        <w:t>0</w:t>
      </w:r>
      <w:r w:rsidR="00155F94">
        <w:rPr>
          <w:rFonts w:ascii="Arial" w:hAnsi="Arial" w:cs="Arial"/>
          <w:sz w:val="22"/>
          <w:szCs w:val="22"/>
          <w:lang w:val="es-ES_tradnl"/>
        </w:rPr>
        <w:t>3282</w:t>
      </w:r>
      <w:r w:rsidR="00A63E1E">
        <w:rPr>
          <w:rFonts w:ascii="Arial" w:hAnsi="Arial" w:cs="Arial"/>
          <w:sz w:val="22"/>
          <w:szCs w:val="22"/>
          <w:lang w:val="es-ES_tradnl"/>
        </w:rPr>
        <w:t xml:space="preserve"> (ver Tabla 1)</w:t>
      </w:r>
      <w:r w:rsidRPr="009E5AE2">
        <w:rPr>
          <w:rFonts w:ascii="Arial" w:hAnsi="Arial" w:cs="Arial"/>
          <w:sz w:val="22"/>
          <w:szCs w:val="22"/>
          <w:lang w:val="es-ES_tradnl"/>
        </w:rPr>
        <w:t>.</w:t>
      </w:r>
    </w:p>
    <w:p w14:paraId="26F42266" w14:textId="03FE8752" w:rsidR="009B2519" w:rsidRPr="00F12D0B" w:rsidRDefault="009B2519" w:rsidP="005D44DB">
      <w:pPr>
        <w:pStyle w:val="Paragraph"/>
        <w:numPr>
          <w:ilvl w:val="1"/>
          <w:numId w:val="2"/>
        </w:numPr>
        <w:ind w:left="720" w:hanging="720"/>
        <w:outlineLvl w:val="9"/>
        <w:rPr>
          <w:rFonts w:ascii="Arial" w:hAnsi="Arial" w:cs="Arial"/>
          <w:sz w:val="22"/>
          <w:szCs w:val="22"/>
          <w:lang w:val="es-ES_tradnl"/>
        </w:rPr>
      </w:pPr>
      <w:r w:rsidRPr="009E5AE2">
        <w:rPr>
          <w:rFonts w:ascii="Arial" w:hAnsi="Arial" w:cs="Arial"/>
          <w:sz w:val="22"/>
          <w:szCs w:val="22"/>
          <w:lang w:val="es-ES_tradnl"/>
        </w:rPr>
        <w:t xml:space="preserve">Para el programa total (SRI + SENAE), </w:t>
      </w:r>
      <w:r w:rsidRPr="00F57D6C">
        <w:rPr>
          <w:rFonts w:ascii="Arial" w:hAnsi="Arial" w:cs="Arial"/>
          <w:sz w:val="22"/>
          <w:szCs w:val="22"/>
          <w:lang w:val="es-ES_tradnl"/>
        </w:rPr>
        <w:t xml:space="preserve">el VPN de los costos de las labores de control </w:t>
      </w:r>
      <w:r>
        <w:rPr>
          <w:rFonts w:ascii="Arial" w:hAnsi="Arial" w:cs="Arial"/>
          <w:sz w:val="22"/>
          <w:szCs w:val="22"/>
          <w:lang w:val="es-ES_tradnl"/>
        </w:rPr>
        <w:t>del SRI y el SENAE</w:t>
      </w:r>
      <w:r w:rsidRPr="00F57D6C">
        <w:rPr>
          <w:rFonts w:ascii="Arial" w:hAnsi="Arial" w:cs="Arial"/>
          <w:sz w:val="22"/>
          <w:szCs w:val="22"/>
          <w:lang w:val="es-ES_tradnl"/>
        </w:rPr>
        <w:t xml:space="preserve"> sin programa </w:t>
      </w:r>
      <w:r w:rsidRPr="009E5AE2">
        <w:rPr>
          <w:rFonts w:ascii="Arial" w:hAnsi="Arial" w:cs="Arial"/>
          <w:sz w:val="22"/>
          <w:szCs w:val="22"/>
          <w:lang w:val="es-ES_tradnl"/>
        </w:rPr>
        <w:t>(C</w:t>
      </w:r>
      <w:r w:rsidRPr="009E5AE2">
        <w:rPr>
          <w:rFonts w:ascii="Arial" w:hAnsi="Arial" w:cs="Arial"/>
          <w:sz w:val="22"/>
          <w:szCs w:val="22"/>
          <w:vertAlign w:val="subscript"/>
          <w:lang w:val="es-ES_tradnl"/>
        </w:rPr>
        <w:t>A</w:t>
      </w:r>
      <w:r w:rsidRPr="009E5AE2">
        <w:rPr>
          <w:rFonts w:ascii="Arial" w:hAnsi="Arial" w:cs="Arial"/>
          <w:sz w:val="22"/>
          <w:szCs w:val="22"/>
          <w:lang w:val="es-ES_tradnl"/>
        </w:rPr>
        <w:t xml:space="preserve"> – costo sin proyecto) ascienden a US$ 1,</w:t>
      </w:r>
      <w:r w:rsidR="00155F94">
        <w:rPr>
          <w:rFonts w:ascii="Arial" w:hAnsi="Arial" w:cs="Arial"/>
          <w:sz w:val="22"/>
          <w:szCs w:val="22"/>
          <w:lang w:val="es-ES_tradnl"/>
        </w:rPr>
        <w:t>229.3</w:t>
      </w:r>
      <w:r w:rsidRPr="009E5AE2">
        <w:rPr>
          <w:rFonts w:ascii="Arial" w:hAnsi="Arial" w:cs="Arial"/>
          <w:sz w:val="22"/>
          <w:szCs w:val="22"/>
          <w:lang w:val="es-ES_tradnl"/>
        </w:rPr>
        <w:t xml:space="preserve"> millones, mientras que el VPN de los rendimientos de las labores de control de ambas instituciones asciende a US$</w:t>
      </w:r>
      <w:r w:rsidR="00155F94">
        <w:rPr>
          <w:rFonts w:ascii="Arial" w:hAnsi="Arial" w:cs="Arial"/>
          <w:sz w:val="22"/>
          <w:szCs w:val="22"/>
          <w:lang w:val="es-ES_tradnl"/>
        </w:rPr>
        <w:t>121</w:t>
      </w:r>
      <w:r w:rsidR="003375C4">
        <w:rPr>
          <w:rFonts w:ascii="Arial" w:hAnsi="Arial" w:cs="Arial"/>
          <w:sz w:val="22"/>
          <w:szCs w:val="22"/>
          <w:lang w:val="es-ES_tradnl"/>
        </w:rPr>
        <w:t>.</w:t>
      </w:r>
      <w:r w:rsidR="00155F94">
        <w:rPr>
          <w:rFonts w:ascii="Arial" w:hAnsi="Arial" w:cs="Arial"/>
          <w:sz w:val="22"/>
          <w:szCs w:val="22"/>
          <w:lang w:val="es-ES_tradnl"/>
        </w:rPr>
        <w:t>104</w:t>
      </w:r>
      <w:r w:rsidR="003375C4">
        <w:rPr>
          <w:rFonts w:ascii="Arial" w:hAnsi="Arial" w:cs="Arial"/>
          <w:sz w:val="22"/>
          <w:szCs w:val="22"/>
          <w:lang w:val="es-ES_tradnl"/>
        </w:rPr>
        <w:t>,</w:t>
      </w:r>
      <w:r w:rsidR="00155F94">
        <w:rPr>
          <w:rFonts w:ascii="Arial" w:hAnsi="Arial" w:cs="Arial"/>
          <w:sz w:val="22"/>
          <w:szCs w:val="22"/>
          <w:lang w:val="es-ES_tradnl"/>
        </w:rPr>
        <w:t>7</w:t>
      </w:r>
      <w:r w:rsidRPr="009E5AE2">
        <w:rPr>
          <w:rFonts w:ascii="Arial" w:hAnsi="Arial" w:cs="Arial"/>
          <w:sz w:val="22"/>
          <w:szCs w:val="22"/>
          <w:lang w:val="es-ES_tradnl"/>
        </w:rPr>
        <w:t xml:space="preserve"> millones (E</w:t>
      </w:r>
      <w:r w:rsidRPr="009E5AE2">
        <w:rPr>
          <w:rFonts w:ascii="Arial" w:hAnsi="Arial" w:cs="Arial"/>
          <w:sz w:val="22"/>
          <w:szCs w:val="22"/>
          <w:vertAlign w:val="subscript"/>
          <w:lang w:val="es-ES_tradnl"/>
        </w:rPr>
        <w:t>A</w:t>
      </w:r>
      <w:r w:rsidRPr="009E5AE2">
        <w:rPr>
          <w:rFonts w:ascii="Arial" w:hAnsi="Arial" w:cs="Arial"/>
          <w:sz w:val="22"/>
          <w:szCs w:val="22"/>
          <w:lang w:val="es-ES_tradnl"/>
        </w:rPr>
        <w:t xml:space="preserve"> – Efectividad sin proyecto). El costo efectividad medio (CEM</w:t>
      </w:r>
      <w:r w:rsidRPr="009E5AE2">
        <w:rPr>
          <w:rFonts w:ascii="Arial" w:hAnsi="Arial" w:cs="Arial"/>
          <w:sz w:val="22"/>
          <w:szCs w:val="22"/>
          <w:vertAlign w:val="subscript"/>
          <w:lang w:val="es-ES_tradnl"/>
        </w:rPr>
        <w:t>A</w:t>
      </w:r>
      <w:r w:rsidRPr="009E5AE2">
        <w:rPr>
          <w:rFonts w:ascii="Arial" w:hAnsi="Arial" w:cs="Arial"/>
          <w:sz w:val="22"/>
          <w:szCs w:val="22"/>
          <w:lang w:val="es-ES_tradnl"/>
        </w:rPr>
        <w:t xml:space="preserve"> – sin proyecto) de las actividades de control de ambas instituciones, tomando en cuenta los VPN es de US$0</w:t>
      </w:r>
      <w:r w:rsidR="0069590A">
        <w:rPr>
          <w:rFonts w:ascii="Arial" w:hAnsi="Arial" w:cs="Arial"/>
          <w:sz w:val="22"/>
          <w:szCs w:val="22"/>
          <w:lang w:val="es-ES_tradnl"/>
        </w:rPr>
        <w:t>,</w:t>
      </w:r>
      <w:r w:rsidRPr="009E5AE2">
        <w:rPr>
          <w:rFonts w:ascii="Arial" w:hAnsi="Arial" w:cs="Arial"/>
          <w:sz w:val="22"/>
          <w:szCs w:val="22"/>
          <w:lang w:val="es-ES_tradnl"/>
        </w:rPr>
        <w:t>0</w:t>
      </w:r>
      <w:r w:rsidR="007021F5">
        <w:rPr>
          <w:rFonts w:ascii="Arial" w:hAnsi="Arial" w:cs="Arial"/>
          <w:sz w:val="22"/>
          <w:szCs w:val="22"/>
          <w:lang w:val="es-ES_tradnl"/>
        </w:rPr>
        <w:t>1</w:t>
      </w:r>
      <w:r w:rsidR="00155F94">
        <w:rPr>
          <w:rFonts w:ascii="Arial" w:hAnsi="Arial" w:cs="Arial"/>
          <w:sz w:val="22"/>
          <w:szCs w:val="22"/>
          <w:lang w:val="es-ES_tradnl"/>
        </w:rPr>
        <w:t>015</w:t>
      </w:r>
      <w:r w:rsidR="00A63E1E">
        <w:rPr>
          <w:rFonts w:ascii="Arial" w:hAnsi="Arial" w:cs="Arial"/>
          <w:sz w:val="22"/>
          <w:szCs w:val="22"/>
          <w:lang w:val="es-ES_tradnl"/>
        </w:rPr>
        <w:t xml:space="preserve"> (ver Tabla 1)</w:t>
      </w:r>
      <w:r w:rsidRPr="009E5AE2">
        <w:rPr>
          <w:rFonts w:ascii="Arial" w:hAnsi="Arial" w:cs="Arial"/>
          <w:sz w:val="22"/>
          <w:szCs w:val="22"/>
          <w:lang w:val="es-ES_tradnl"/>
        </w:rPr>
        <w:t>.</w:t>
      </w:r>
    </w:p>
    <w:p w14:paraId="7ED860B8" w14:textId="6BB80757" w:rsidR="009B2519" w:rsidRPr="00F12D0B" w:rsidRDefault="009B2519" w:rsidP="005D44DB">
      <w:pPr>
        <w:pStyle w:val="Paragraph"/>
        <w:numPr>
          <w:ilvl w:val="1"/>
          <w:numId w:val="2"/>
        </w:numPr>
        <w:tabs>
          <w:tab w:val="clear" w:pos="1296"/>
        </w:tabs>
        <w:ind w:left="720" w:hanging="720"/>
        <w:outlineLvl w:val="9"/>
        <w:rPr>
          <w:rFonts w:ascii="Arial" w:hAnsi="Arial" w:cs="Arial"/>
          <w:sz w:val="22"/>
          <w:szCs w:val="22"/>
          <w:lang w:val="es-ES_tradnl"/>
        </w:rPr>
      </w:pPr>
      <w:r w:rsidRPr="009E5AE2">
        <w:rPr>
          <w:rFonts w:ascii="Arial" w:hAnsi="Arial" w:cs="Arial"/>
          <w:sz w:val="22"/>
          <w:szCs w:val="22"/>
          <w:lang w:val="es-ES_tradnl"/>
        </w:rPr>
        <w:t xml:space="preserve">Con el programa en el caso del SRI, una vez implementada la </w:t>
      </w:r>
      <w:r w:rsidR="00624308">
        <w:rPr>
          <w:rFonts w:ascii="Arial" w:hAnsi="Arial" w:cs="Arial"/>
          <w:sz w:val="22"/>
          <w:szCs w:val="22"/>
          <w:lang w:val="es-ES_tradnl"/>
        </w:rPr>
        <w:t>modernización de la</w:t>
      </w:r>
      <w:r w:rsidRPr="009E5AE2">
        <w:rPr>
          <w:rFonts w:ascii="Arial" w:hAnsi="Arial" w:cs="Arial"/>
          <w:sz w:val="22"/>
          <w:szCs w:val="22"/>
          <w:lang w:val="es-ES_tradnl"/>
        </w:rPr>
        <w:t xml:space="preserve"> plataforma de TI y los nuevos procesos de fiscalización, el VPN del costo anual se incrementará a US$</w:t>
      </w:r>
      <w:r w:rsidR="00190C28">
        <w:rPr>
          <w:rFonts w:ascii="Arial" w:hAnsi="Arial" w:cs="Arial"/>
          <w:sz w:val="22"/>
          <w:szCs w:val="22"/>
          <w:lang w:val="es-ES_tradnl"/>
        </w:rPr>
        <w:t>899.2</w:t>
      </w:r>
      <w:r w:rsidRPr="009E5AE2">
        <w:rPr>
          <w:rFonts w:ascii="Arial" w:hAnsi="Arial" w:cs="Arial"/>
          <w:sz w:val="22"/>
          <w:szCs w:val="22"/>
          <w:lang w:val="es-ES_tradnl"/>
        </w:rPr>
        <w:t xml:space="preserve"> millones (C</w:t>
      </w:r>
      <w:r w:rsidRPr="009E5AE2">
        <w:rPr>
          <w:rFonts w:ascii="Arial" w:hAnsi="Arial" w:cs="Arial"/>
          <w:sz w:val="22"/>
          <w:szCs w:val="22"/>
          <w:vertAlign w:val="subscript"/>
          <w:lang w:val="es-ES_tradnl"/>
        </w:rPr>
        <w:t>B</w:t>
      </w:r>
      <w:r w:rsidRPr="009E5AE2">
        <w:rPr>
          <w:rFonts w:ascii="Arial" w:hAnsi="Arial" w:cs="Arial"/>
          <w:sz w:val="22"/>
          <w:szCs w:val="22"/>
          <w:lang w:val="es-ES_tradnl"/>
        </w:rPr>
        <w:t xml:space="preserve"> – costo con proyecto)</w:t>
      </w:r>
      <w:r w:rsidR="005841ED">
        <w:rPr>
          <w:rStyle w:val="FootnoteReference"/>
          <w:rFonts w:ascii="Arial" w:hAnsi="Arial" w:cs="Arial"/>
          <w:sz w:val="22"/>
          <w:szCs w:val="22"/>
          <w:lang w:val="es-ES_tradnl"/>
        </w:rPr>
        <w:footnoteReference w:id="34"/>
      </w:r>
      <w:r w:rsidRPr="009E5AE2">
        <w:rPr>
          <w:rFonts w:ascii="Arial" w:hAnsi="Arial" w:cs="Arial"/>
          <w:sz w:val="22"/>
          <w:szCs w:val="22"/>
          <w:lang w:val="es-ES_tradnl"/>
        </w:rPr>
        <w:t xml:space="preserve">. Sin embargo, la </w:t>
      </w:r>
      <w:r w:rsidR="00624308">
        <w:rPr>
          <w:rFonts w:ascii="Arial" w:hAnsi="Arial" w:cs="Arial"/>
          <w:sz w:val="22"/>
          <w:szCs w:val="22"/>
          <w:lang w:val="es-ES_tradnl"/>
        </w:rPr>
        <w:t>modernización de la</w:t>
      </w:r>
      <w:r w:rsidRPr="009E5AE2">
        <w:rPr>
          <w:rFonts w:ascii="Arial" w:hAnsi="Arial" w:cs="Arial"/>
          <w:sz w:val="22"/>
          <w:szCs w:val="22"/>
          <w:lang w:val="es-ES_tradnl"/>
        </w:rPr>
        <w:t xml:space="preserve"> plataforma tecnológica en combinación con las acciones a ser implementadas por el componente I del programa (especialmente la fiscalización electrónica masiva y la fiscalización intensiva), se espera generar una mayor recaudación de </w:t>
      </w:r>
      <w:r w:rsidR="007021F5">
        <w:rPr>
          <w:rFonts w:ascii="Arial" w:hAnsi="Arial" w:cs="Arial"/>
          <w:sz w:val="22"/>
          <w:szCs w:val="22"/>
          <w:lang w:val="es-ES_tradnl"/>
        </w:rPr>
        <w:t>2.5</w:t>
      </w:r>
      <w:r w:rsidRPr="009E5AE2">
        <w:rPr>
          <w:rFonts w:ascii="Arial" w:hAnsi="Arial" w:cs="Arial"/>
          <w:sz w:val="22"/>
          <w:szCs w:val="22"/>
          <w:lang w:val="es-ES_tradnl"/>
        </w:rPr>
        <w:t>%</w:t>
      </w:r>
      <w:r w:rsidR="00A63E1E">
        <w:rPr>
          <w:rStyle w:val="FootnoteReference"/>
          <w:rFonts w:ascii="Arial" w:hAnsi="Arial" w:cs="Arial"/>
          <w:sz w:val="22"/>
          <w:szCs w:val="22"/>
          <w:lang w:val="es-ES_tradnl"/>
        </w:rPr>
        <w:footnoteReference w:id="35"/>
      </w:r>
      <w:r w:rsidRPr="009E5AE2">
        <w:rPr>
          <w:rFonts w:ascii="Arial" w:hAnsi="Arial" w:cs="Arial"/>
          <w:sz w:val="22"/>
          <w:szCs w:val="22"/>
          <w:lang w:val="es-ES_tradnl"/>
        </w:rPr>
        <w:t xml:space="preserve"> sobre el escenario sin programa (E</w:t>
      </w:r>
      <w:r w:rsidRPr="009E5AE2">
        <w:rPr>
          <w:rFonts w:ascii="Arial" w:hAnsi="Arial" w:cs="Arial"/>
          <w:sz w:val="22"/>
          <w:szCs w:val="22"/>
          <w:vertAlign w:val="subscript"/>
          <w:lang w:val="es-ES_tradnl"/>
        </w:rPr>
        <w:t>B</w:t>
      </w:r>
      <w:r w:rsidRPr="009E5AE2">
        <w:rPr>
          <w:rFonts w:ascii="Arial" w:hAnsi="Arial" w:cs="Arial"/>
          <w:sz w:val="22"/>
          <w:szCs w:val="22"/>
          <w:lang w:val="es-ES_tradnl"/>
        </w:rPr>
        <w:t xml:space="preserve"> – Efectividad con proyecto). En este caso, el VPN de la efectividad se elevará a US$ </w:t>
      </w:r>
      <w:r w:rsidR="00155F94">
        <w:rPr>
          <w:rFonts w:ascii="Arial" w:hAnsi="Arial" w:cs="Arial"/>
          <w:sz w:val="22"/>
          <w:szCs w:val="22"/>
          <w:lang w:val="es-ES_tradnl"/>
        </w:rPr>
        <w:t>112,973.0</w:t>
      </w:r>
      <w:r w:rsidRPr="009E5AE2">
        <w:rPr>
          <w:rFonts w:ascii="Arial" w:hAnsi="Arial" w:cs="Arial"/>
          <w:sz w:val="22"/>
          <w:szCs w:val="22"/>
          <w:lang w:val="es-ES_tradnl"/>
        </w:rPr>
        <w:t xml:space="preserve"> millones. Por tanto, el nuevo costo - efectividad del componente I (SRI) para generar un dólar de recaudación disminuirá a US$ 0.</w:t>
      </w:r>
      <w:r w:rsidR="00190C28">
        <w:rPr>
          <w:rFonts w:ascii="Arial" w:hAnsi="Arial" w:cs="Arial"/>
          <w:sz w:val="22"/>
          <w:szCs w:val="22"/>
          <w:lang w:val="es-ES_tradnl"/>
        </w:rPr>
        <w:t>0.00796</w:t>
      </w:r>
      <w:r w:rsidR="00190C28" w:rsidRPr="009E5AE2">
        <w:rPr>
          <w:rFonts w:ascii="Arial" w:hAnsi="Arial" w:cs="Arial"/>
          <w:sz w:val="22"/>
          <w:szCs w:val="22"/>
          <w:lang w:val="es-ES_tradnl"/>
        </w:rPr>
        <w:t xml:space="preserve"> </w:t>
      </w:r>
      <w:r w:rsidRPr="009E5AE2">
        <w:rPr>
          <w:rFonts w:ascii="Arial" w:hAnsi="Arial" w:cs="Arial"/>
          <w:sz w:val="22"/>
          <w:szCs w:val="22"/>
          <w:lang w:val="es-ES_tradnl"/>
        </w:rPr>
        <w:t>(CEM</w:t>
      </w:r>
      <w:r w:rsidRPr="009E5AE2">
        <w:rPr>
          <w:rFonts w:ascii="Arial" w:hAnsi="Arial" w:cs="Arial"/>
          <w:sz w:val="22"/>
          <w:szCs w:val="22"/>
          <w:vertAlign w:val="subscript"/>
          <w:lang w:val="es-ES_tradnl"/>
        </w:rPr>
        <w:t>B</w:t>
      </w:r>
      <w:r w:rsidRPr="009E5AE2">
        <w:rPr>
          <w:rFonts w:ascii="Arial" w:hAnsi="Arial" w:cs="Arial"/>
          <w:sz w:val="22"/>
          <w:szCs w:val="22"/>
          <w:lang w:val="es-ES_tradnl"/>
        </w:rPr>
        <w:t xml:space="preserve"> = US$ </w:t>
      </w:r>
      <w:r w:rsidR="00190C28">
        <w:rPr>
          <w:rFonts w:ascii="Arial" w:hAnsi="Arial" w:cs="Arial"/>
          <w:sz w:val="22"/>
          <w:szCs w:val="22"/>
          <w:lang w:val="es-ES_tradnl"/>
        </w:rPr>
        <w:t>899.2</w:t>
      </w:r>
      <w:r w:rsidRPr="009E5AE2">
        <w:rPr>
          <w:rFonts w:ascii="Arial" w:hAnsi="Arial" w:cs="Arial"/>
          <w:sz w:val="22"/>
          <w:szCs w:val="22"/>
          <w:lang w:val="es-ES_tradnl"/>
        </w:rPr>
        <w:t xml:space="preserve"> millones de costo / US$</w:t>
      </w:r>
      <w:r w:rsidR="00155F94">
        <w:rPr>
          <w:rFonts w:ascii="Arial" w:hAnsi="Arial" w:cs="Arial"/>
          <w:sz w:val="22"/>
          <w:szCs w:val="22"/>
          <w:lang w:val="es-ES_tradnl"/>
        </w:rPr>
        <w:t>112,973.0</w:t>
      </w:r>
      <w:r w:rsidRPr="009E5AE2">
        <w:rPr>
          <w:rFonts w:ascii="Arial" w:hAnsi="Arial" w:cs="Arial"/>
          <w:sz w:val="22"/>
          <w:szCs w:val="22"/>
          <w:lang w:val="es-ES_tradnl"/>
        </w:rPr>
        <w:t xml:space="preserve"> millones de recaudación)</w:t>
      </w:r>
      <w:r w:rsidR="0045350B">
        <w:rPr>
          <w:rFonts w:ascii="Arial" w:hAnsi="Arial" w:cs="Arial"/>
          <w:sz w:val="22"/>
          <w:szCs w:val="22"/>
          <w:lang w:val="es-ES_tradnl"/>
        </w:rPr>
        <w:t xml:space="preserve"> (ver Tabla 1)</w:t>
      </w:r>
      <w:r w:rsidRPr="009E5AE2">
        <w:rPr>
          <w:rFonts w:ascii="Arial" w:hAnsi="Arial" w:cs="Arial"/>
          <w:sz w:val="22"/>
          <w:szCs w:val="22"/>
          <w:lang w:val="es-ES_tradnl"/>
        </w:rPr>
        <w:t xml:space="preserve">. </w:t>
      </w:r>
    </w:p>
    <w:p w14:paraId="4E035F7D" w14:textId="5C095F94" w:rsidR="009B2519" w:rsidRDefault="009B2519" w:rsidP="005D44DB">
      <w:pPr>
        <w:pStyle w:val="Paragraph"/>
        <w:numPr>
          <w:ilvl w:val="1"/>
          <w:numId w:val="2"/>
        </w:numPr>
        <w:ind w:left="720" w:hanging="720"/>
        <w:outlineLvl w:val="9"/>
        <w:rPr>
          <w:rFonts w:ascii="Arial" w:hAnsi="Arial" w:cs="Arial"/>
          <w:sz w:val="22"/>
          <w:szCs w:val="22"/>
          <w:lang w:val="es-ES_tradnl"/>
        </w:rPr>
      </w:pPr>
      <w:r w:rsidRPr="009E5AE2">
        <w:rPr>
          <w:rFonts w:ascii="Arial" w:hAnsi="Arial" w:cs="Arial"/>
          <w:sz w:val="22"/>
          <w:szCs w:val="22"/>
          <w:lang w:val="es-ES_tradnl"/>
        </w:rPr>
        <w:t xml:space="preserve">En el caso del SENAE, una vez implementada la </w:t>
      </w:r>
      <w:r w:rsidR="008C7F37">
        <w:rPr>
          <w:rFonts w:ascii="Arial" w:hAnsi="Arial" w:cs="Arial"/>
          <w:sz w:val="22"/>
          <w:szCs w:val="22"/>
          <w:lang w:val="es-ES_tradnl"/>
        </w:rPr>
        <w:t>modernización de la</w:t>
      </w:r>
      <w:r w:rsidRPr="009E5AE2">
        <w:rPr>
          <w:rFonts w:ascii="Arial" w:hAnsi="Arial" w:cs="Arial"/>
          <w:sz w:val="22"/>
          <w:szCs w:val="22"/>
          <w:lang w:val="es-ES_tradnl"/>
        </w:rPr>
        <w:t xml:space="preserve"> plataforma de TI y los nuevos procesos de control, el VPN del costo anual de TI incluyendo el costo de los nuevos procesos de fiscalización se incrementará a US$ </w:t>
      </w:r>
      <w:r w:rsidR="002C76EF">
        <w:rPr>
          <w:rFonts w:ascii="Arial" w:hAnsi="Arial" w:cs="Arial"/>
          <w:sz w:val="22"/>
          <w:szCs w:val="22"/>
          <w:lang w:val="es-ES_tradnl"/>
        </w:rPr>
        <w:t>350.8</w:t>
      </w:r>
      <w:r w:rsidRPr="009E5AE2">
        <w:rPr>
          <w:rFonts w:ascii="Arial" w:hAnsi="Arial" w:cs="Arial"/>
          <w:sz w:val="22"/>
          <w:szCs w:val="22"/>
          <w:lang w:val="es-ES_tradnl"/>
        </w:rPr>
        <w:t xml:space="preserve"> millones (CB – costo con proyecto). Sin embargo, la </w:t>
      </w:r>
      <w:r w:rsidR="008C7F37">
        <w:rPr>
          <w:rFonts w:ascii="Arial" w:hAnsi="Arial" w:cs="Arial"/>
          <w:sz w:val="22"/>
          <w:szCs w:val="22"/>
          <w:lang w:val="es-ES_tradnl"/>
        </w:rPr>
        <w:t>modernización de la</w:t>
      </w:r>
      <w:r w:rsidRPr="009E5AE2">
        <w:rPr>
          <w:rFonts w:ascii="Arial" w:hAnsi="Arial" w:cs="Arial"/>
          <w:sz w:val="22"/>
          <w:szCs w:val="22"/>
          <w:lang w:val="es-ES_tradnl"/>
        </w:rPr>
        <w:t xml:space="preserve"> plataforma tecnológica en combinación con las acciones a ser implementadas por el componente II del programa (especialmente los controles del aforo intrusivo y control posterior), se espera generar un mayor rendimiento equivalente a </w:t>
      </w:r>
      <w:r w:rsidR="00C91009">
        <w:rPr>
          <w:rFonts w:ascii="Arial" w:hAnsi="Arial" w:cs="Arial"/>
          <w:sz w:val="22"/>
          <w:szCs w:val="22"/>
          <w:lang w:val="es-ES_tradnl"/>
        </w:rPr>
        <w:t>6</w:t>
      </w:r>
      <w:r w:rsidRPr="009E5AE2">
        <w:rPr>
          <w:rFonts w:ascii="Arial" w:hAnsi="Arial" w:cs="Arial"/>
          <w:sz w:val="22"/>
          <w:szCs w:val="22"/>
          <w:lang w:val="es-ES_tradnl"/>
        </w:rPr>
        <w:t>% superior al escenario sin programa (E</w:t>
      </w:r>
      <w:r w:rsidRPr="008D04E6">
        <w:rPr>
          <w:rFonts w:ascii="Arial" w:hAnsi="Arial" w:cs="Arial"/>
          <w:sz w:val="22"/>
          <w:szCs w:val="22"/>
          <w:vertAlign w:val="subscript"/>
          <w:lang w:val="es-ES_tradnl"/>
        </w:rPr>
        <w:t>B</w:t>
      </w:r>
      <w:r w:rsidRPr="009E5AE2">
        <w:rPr>
          <w:rFonts w:ascii="Arial" w:hAnsi="Arial" w:cs="Arial"/>
          <w:sz w:val="22"/>
          <w:szCs w:val="22"/>
          <w:lang w:val="es-ES_tradnl"/>
        </w:rPr>
        <w:t xml:space="preserve"> – Efectividad con proyecto)</w:t>
      </w:r>
      <w:r w:rsidR="004E01F1">
        <w:rPr>
          <w:rFonts w:ascii="Arial" w:hAnsi="Arial" w:cs="Arial"/>
          <w:sz w:val="22"/>
          <w:szCs w:val="22"/>
          <w:lang w:val="es-ES_tradnl"/>
        </w:rPr>
        <w:t xml:space="preserve"> (ver referencia 27)</w:t>
      </w:r>
      <w:r w:rsidRPr="009E5AE2">
        <w:rPr>
          <w:rFonts w:ascii="Arial" w:hAnsi="Arial" w:cs="Arial"/>
          <w:sz w:val="22"/>
          <w:szCs w:val="22"/>
          <w:lang w:val="es-ES_tradnl"/>
        </w:rPr>
        <w:t xml:space="preserve">. En este escenario, el VPN de la efectividad se elevará a US$ </w:t>
      </w:r>
      <w:r w:rsidR="00C40A9C">
        <w:rPr>
          <w:rFonts w:ascii="Arial" w:hAnsi="Arial" w:cs="Arial"/>
          <w:sz w:val="22"/>
          <w:szCs w:val="22"/>
          <w:lang w:val="es-ES_tradnl"/>
        </w:rPr>
        <w:t>10,961.5</w:t>
      </w:r>
      <w:r w:rsidRPr="009E5AE2">
        <w:rPr>
          <w:rFonts w:ascii="Arial" w:hAnsi="Arial" w:cs="Arial"/>
          <w:sz w:val="22"/>
          <w:szCs w:val="22"/>
          <w:lang w:val="es-ES_tradnl"/>
        </w:rPr>
        <w:t xml:space="preserve"> millones. Por tanto, el nuevo costo - efectividad del SENAE con programa para generar un dólar de rendimiento neto disminuirá a US$</w:t>
      </w:r>
      <w:r w:rsidR="002C76EF">
        <w:rPr>
          <w:rFonts w:ascii="Arial" w:hAnsi="Arial" w:cs="Arial"/>
          <w:sz w:val="22"/>
          <w:szCs w:val="22"/>
          <w:lang w:val="es-ES_tradnl"/>
        </w:rPr>
        <w:t>0</w:t>
      </w:r>
      <w:r w:rsidR="0069590A">
        <w:rPr>
          <w:rFonts w:ascii="Arial" w:hAnsi="Arial" w:cs="Arial"/>
          <w:sz w:val="22"/>
          <w:szCs w:val="22"/>
          <w:lang w:val="es-ES_tradnl"/>
        </w:rPr>
        <w:t>,</w:t>
      </w:r>
      <w:r w:rsidR="002C76EF">
        <w:rPr>
          <w:rFonts w:ascii="Arial" w:hAnsi="Arial" w:cs="Arial"/>
          <w:sz w:val="22"/>
          <w:szCs w:val="22"/>
          <w:lang w:val="es-ES_tradnl"/>
        </w:rPr>
        <w:t>03200</w:t>
      </w:r>
      <w:r w:rsidRPr="009E5AE2">
        <w:rPr>
          <w:rFonts w:ascii="Arial" w:hAnsi="Arial" w:cs="Arial"/>
          <w:sz w:val="22"/>
          <w:szCs w:val="22"/>
          <w:lang w:val="es-ES_tradnl"/>
        </w:rPr>
        <w:t xml:space="preserve"> (CEM</w:t>
      </w:r>
      <w:r w:rsidRPr="008D04E6">
        <w:rPr>
          <w:rFonts w:ascii="Arial" w:hAnsi="Arial" w:cs="Arial"/>
          <w:sz w:val="22"/>
          <w:szCs w:val="22"/>
          <w:vertAlign w:val="subscript"/>
          <w:lang w:val="es-ES_tradnl"/>
        </w:rPr>
        <w:t>B</w:t>
      </w:r>
      <w:r w:rsidRPr="009E5AE2">
        <w:rPr>
          <w:rFonts w:ascii="Arial" w:hAnsi="Arial" w:cs="Arial"/>
          <w:sz w:val="22"/>
          <w:szCs w:val="22"/>
          <w:lang w:val="es-ES_tradnl"/>
        </w:rPr>
        <w:t xml:space="preserve"> = US$ </w:t>
      </w:r>
      <w:r w:rsidR="002C76EF">
        <w:rPr>
          <w:rFonts w:ascii="Arial" w:hAnsi="Arial" w:cs="Arial"/>
          <w:sz w:val="22"/>
          <w:szCs w:val="22"/>
          <w:lang w:val="es-ES_tradnl"/>
        </w:rPr>
        <w:t>350.8</w:t>
      </w:r>
      <w:r w:rsidRPr="009E5AE2">
        <w:rPr>
          <w:rFonts w:ascii="Arial" w:hAnsi="Arial" w:cs="Arial"/>
          <w:sz w:val="22"/>
          <w:szCs w:val="22"/>
          <w:lang w:val="es-ES_tradnl"/>
        </w:rPr>
        <w:t xml:space="preserve"> millones de costo / US$</w:t>
      </w:r>
      <w:r w:rsidR="00C40A9C">
        <w:rPr>
          <w:rFonts w:ascii="Arial" w:hAnsi="Arial" w:cs="Arial"/>
          <w:sz w:val="22"/>
          <w:szCs w:val="22"/>
          <w:lang w:val="es-ES_tradnl"/>
        </w:rPr>
        <w:t>10</w:t>
      </w:r>
      <w:r w:rsidR="0069590A">
        <w:rPr>
          <w:rFonts w:ascii="Arial" w:hAnsi="Arial" w:cs="Arial"/>
          <w:sz w:val="22"/>
          <w:szCs w:val="22"/>
          <w:lang w:val="es-ES_tradnl"/>
        </w:rPr>
        <w:t>.</w:t>
      </w:r>
      <w:r w:rsidR="00C40A9C">
        <w:rPr>
          <w:rFonts w:ascii="Arial" w:hAnsi="Arial" w:cs="Arial"/>
          <w:sz w:val="22"/>
          <w:szCs w:val="22"/>
          <w:lang w:val="es-ES_tradnl"/>
        </w:rPr>
        <w:t>961</w:t>
      </w:r>
      <w:r w:rsidR="0069590A">
        <w:rPr>
          <w:rFonts w:ascii="Arial" w:hAnsi="Arial" w:cs="Arial"/>
          <w:sz w:val="22"/>
          <w:szCs w:val="22"/>
          <w:lang w:val="es-ES_tradnl"/>
        </w:rPr>
        <w:t>,</w:t>
      </w:r>
      <w:r w:rsidR="00C40A9C">
        <w:rPr>
          <w:rFonts w:ascii="Arial" w:hAnsi="Arial" w:cs="Arial"/>
          <w:sz w:val="22"/>
          <w:szCs w:val="22"/>
          <w:lang w:val="es-ES_tradnl"/>
        </w:rPr>
        <w:t>5</w:t>
      </w:r>
      <w:r w:rsidRPr="009E5AE2">
        <w:rPr>
          <w:rFonts w:ascii="Arial" w:hAnsi="Arial" w:cs="Arial"/>
          <w:sz w:val="22"/>
          <w:szCs w:val="22"/>
          <w:lang w:val="es-ES_tradnl"/>
        </w:rPr>
        <w:t xml:space="preserve"> millones de rendimiento neto)</w:t>
      </w:r>
      <w:r w:rsidR="0045350B">
        <w:rPr>
          <w:rFonts w:ascii="Arial" w:hAnsi="Arial" w:cs="Arial"/>
          <w:sz w:val="22"/>
          <w:szCs w:val="22"/>
          <w:lang w:val="es-ES_tradnl"/>
        </w:rPr>
        <w:t xml:space="preserve"> (ver Tabla 1)</w:t>
      </w:r>
      <w:r w:rsidRPr="009E5AE2">
        <w:rPr>
          <w:rFonts w:ascii="Arial" w:hAnsi="Arial" w:cs="Arial"/>
          <w:sz w:val="22"/>
          <w:szCs w:val="22"/>
          <w:lang w:val="es-ES_tradnl"/>
        </w:rPr>
        <w:t xml:space="preserve">. </w:t>
      </w:r>
    </w:p>
    <w:p w14:paraId="727326EF" w14:textId="38EA938B" w:rsidR="009B2519" w:rsidRDefault="009B2519" w:rsidP="005D44DB">
      <w:pPr>
        <w:pStyle w:val="Paragraph"/>
        <w:numPr>
          <w:ilvl w:val="1"/>
          <w:numId w:val="2"/>
        </w:numPr>
        <w:ind w:left="720" w:hanging="720"/>
        <w:outlineLvl w:val="9"/>
        <w:rPr>
          <w:rFonts w:ascii="Arial" w:hAnsi="Arial" w:cs="Arial"/>
          <w:sz w:val="22"/>
          <w:szCs w:val="22"/>
          <w:lang w:val="es-ES_tradnl"/>
        </w:rPr>
      </w:pPr>
      <w:r w:rsidRPr="009E5AE2">
        <w:rPr>
          <w:rFonts w:ascii="Arial" w:hAnsi="Arial" w:cs="Arial"/>
          <w:sz w:val="22"/>
          <w:szCs w:val="22"/>
          <w:lang w:val="es-ES_tradnl"/>
        </w:rPr>
        <w:t xml:space="preserve">Para el programa total (SRI + SENAE), </w:t>
      </w:r>
      <w:r w:rsidRPr="002421EB">
        <w:rPr>
          <w:rFonts w:ascii="Arial" w:hAnsi="Arial" w:cs="Arial"/>
          <w:sz w:val="22"/>
          <w:szCs w:val="22"/>
          <w:lang w:val="es-ES_tradnl"/>
        </w:rPr>
        <w:t xml:space="preserve">el VPN de los costos de las labores de control del SRI y el SENAE </w:t>
      </w:r>
      <w:r>
        <w:rPr>
          <w:rFonts w:ascii="Arial" w:hAnsi="Arial" w:cs="Arial"/>
          <w:sz w:val="22"/>
          <w:szCs w:val="22"/>
          <w:lang w:val="es-ES_tradnl"/>
        </w:rPr>
        <w:t>con</w:t>
      </w:r>
      <w:r w:rsidRPr="002421EB">
        <w:rPr>
          <w:rFonts w:ascii="Arial" w:hAnsi="Arial" w:cs="Arial"/>
          <w:sz w:val="22"/>
          <w:szCs w:val="22"/>
          <w:lang w:val="es-ES_tradnl"/>
        </w:rPr>
        <w:t xml:space="preserve"> programa </w:t>
      </w:r>
      <w:r w:rsidRPr="009E5AE2">
        <w:rPr>
          <w:rFonts w:ascii="Arial" w:hAnsi="Arial" w:cs="Arial"/>
          <w:sz w:val="22"/>
          <w:szCs w:val="22"/>
          <w:lang w:val="es-ES_tradnl"/>
        </w:rPr>
        <w:t>(C</w:t>
      </w:r>
      <w:r w:rsidRPr="008D04E6">
        <w:rPr>
          <w:rFonts w:ascii="Arial" w:hAnsi="Arial" w:cs="Arial"/>
          <w:sz w:val="22"/>
          <w:szCs w:val="22"/>
          <w:vertAlign w:val="subscript"/>
          <w:lang w:val="es-ES_tradnl"/>
        </w:rPr>
        <w:t>B</w:t>
      </w:r>
      <w:r w:rsidRPr="009E5AE2">
        <w:rPr>
          <w:rFonts w:ascii="Arial" w:hAnsi="Arial" w:cs="Arial"/>
          <w:sz w:val="22"/>
          <w:szCs w:val="22"/>
          <w:lang w:val="es-ES_tradnl"/>
        </w:rPr>
        <w:t xml:space="preserve"> – costo con proyecto) ascienden a US$ </w:t>
      </w:r>
      <w:r w:rsidR="002C76EF">
        <w:rPr>
          <w:rFonts w:ascii="Arial" w:hAnsi="Arial" w:cs="Arial"/>
          <w:sz w:val="22"/>
          <w:szCs w:val="22"/>
          <w:lang w:val="es-ES_tradnl"/>
        </w:rPr>
        <w:t>1.250.1</w:t>
      </w:r>
      <w:r w:rsidRPr="009E5AE2">
        <w:rPr>
          <w:rFonts w:ascii="Arial" w:hAnsi="Arial" w:cs="Arial"/>
          <w:sz w:val="22"/>
          <w:szCs w:val="22"/>
          <w:lang w:val="es-ES_tradnl"/>
        </w:rPr>
        <w:t xml:space="preserve"> millones, mientras que el VPN de los rendimientos de las labores de control de ambas instituciones asciende a US$ </w:t>
      </w:r>
      <w:r w:rsidR="00C40A9C">
        <w:rPr>
          <w:rFonts w:ascii="Arial" w:hAnsi="Arial" w:cs="Arial"/>
          <w:sz w:val="22"/>
          <w:szCs w:val="22"/>
          <w:lang w:val="es-ES_tradnl"/>
        </w:rPr>
        <w:t>123,934.5</w:t>
      </w:r>
      <w:r w:rsidRPr="009E5AE2">
        <w:rPr>
          <w:rFonts w:ascii="Arial" w:hAnsi="Arial" w:cs="Arial"/>
          <w:sz w:val="22"/>
          <w:szCs w:val="22"/>
          <w:lang w:val="es-ES_tradnl"/>
        </w:rPr>
        <w:t xml:space="preserve"> millones (E</w:t>
      </w:r>
      <w:r w:rsidRPr="008D04E6">
        <w:rPr>
          <w:rFonts w:ascii="Arial" w:hAnsi="Arial" w:cs="Arial"/>
          <w:sz w:val="22"/>
          <w:szCs w:val="22"/>
          <w:vertAlign w:val="subscript"/>
          <w:lang w:val="es-ES_tradnl"/>
        </w:rPr>
        <w:t>B</w:t>
      </w:r>
      <w:r w:rsidRPr="009E5AE2">
        <w:rPr>
          <w:rFonts w:ascii="Arial" w:hAnsi="Arial" w:cs="Arial"/>
          <w:sz w:val="22"/>
          <w:szCs w:val="22"/>
          <w:lang w:val="es-ES_tradnl"/>
        </w:rPr>
        <w:t xml:space="preserve"> – Efectividad con proyecto). El costo efectividad medio (CEM</w:t>
      </w:r>
      <w:r w:rsidRPr="008D04E6">
        <w:rPr>
          <w:rFonts w:ascii="Arial" w:hAnsi="Arial" w:cs="Arial"/>
          <w:sz w:val="22"/>
          <w:szCs w:val="22"/>
          <w:vertAlign w:val="subscript"/>
          <w:lang w:val="es-ES_tradnl"/>
        </w:rPr>
        <w:t>B</w:t>
      </w:r>
      <w:r w:rsidRPr="009E5AE2">
        <w:rPr>
          <w:rFonts w:ascii="Arial" w:hAnsi="Arial" w:cs="Arial"/>
          <w:sz w:val="22"/>
          <w:szCs w:val="22"/>
          <w:lang w:val="es-ES_tradnl"/>
        </w:rPr>
        <w:t xml:space="preserve"> – con proyecto) de las actividades de control de ambas instituciones, tomando en cuenta los VPN es de US$</w:t>
      </w:r>
      <w:r w:rsidR="002C76EF">
        <w:rPr>
          <w:rFonts w:ascii="Arial" w:hAnsi="Arial" w:cs="Arial"/>
          <w:sz w:val="22"/>
          <w:szCs w:val="22"/>
          <w:lang w:val="es-ES_tradnl"/>
        </w:rPr>
        <w:t>0.01009</w:t>
      </w:r>
      <w:r w:rsidRPr="009E5AE2">
        <w:rPr>
          <w:rFonts w:ascii="Arial" w:hAnsi="Arial" w:cs="Arial"/>
          <w:sz w:val="22"/>
          <w:szCs w:val="22"/>
          <w:lang w:val="es-ES_tradnl"/>
        </w:rPr>
        <w:t xml:space="preserve"> ligeramente inferior al costo efectivo medio sin programa</w:t>
      </w:r>
      <w:r w:rsidR="0045350B">
        <w:rPr>
          <w:rFonts w:ascii="Arial" w:hAnsi="Arial" w:cs="Arial"/>
          <w:sz w:val="22"/>
          <w:szCs w:val="22"/>
          <w:lang w:val="es-ES_tradnl"/>
        </w:rPr>
        <w:t xml:space="preserve"> (ver Tabla 1)</w:t>
      </w:r>
      <w:r w:rsidRPr="009E5AE2">
        <w:rPr>
          <w:rFonts w:ascii="Arial" w:hAnsi="Arial" w:cs="Arial"/>
          <w:sz w:val="22"/>
          <w:szCs w:val="22"/>
          <w:lang w:val="es-ES_tradnl"/>
        </w:rPr>
        <w:t>.</w:t>
      </w:r>
    </w:p>
    <w:p w14:paraId="6C2188A5" w14:textId="057E0316" w:rsidR="005841ED" w:rsidRDefault="001D700C" w:rsidP="005D44DB">
      <w:pPr>
        <w:pStyle w:val="Paragraph"/>
        <w:numPr>
          <w:ilvl w:val="1"/>
          <w:numId w:val="2"/>
        </w:numPr>
        <w:ind w:left="720" w:hanging="720"/>
        <w:outlineLvl w:val="9"/>
        <w:rPr>
          <w:rFonts w:ascii="Arial" w:hAnsi="Arial" w:cs="Arial"/>
          <w:sz w:val="22"/>
          <w:szCs w:val="22"/>
          <w:lang w:val="es-ES_tradnl"/>
        </w:rPr>
      </w:pPr>
      <w:r>
        <w:rPr>
          <w:rFonts w:ascii="Arial" w:hAnsi="Arial" w:cs="Arial"/>
          <w:sz w:val="22"/>
          <w:szCs w:val="22"/>
          <w:lang w:val="es-ES_tradnl"/>
        </w:rPr>
        <w:t>Adicionalmente se ha asumido una reducción de costos del presupuesto original de ambas instituciones equivalente a 4% de dichos presupuestos. La reducción de costos es menor en los dos primeros años y equivalente a 2%.</w:t>
      </w:r>
    </w:p>
    <w:p w14:paraId="55613650" w14:textId="21FACA47" w:rsidR="008D04E6" w:rsidRDefault="008D04E6" w:rsidP="002301B7">
      <w:pPr>
        <w:pStyle w:val="BodyText"/>
        <w:jc w:val="center"/>
        <w:rPr>
          <w:lang w:val="es-ES_tradnl"/>
        </w:rPr>
      </w:pPr>
    </w:p>
    <w:p w14:paraId="5B8CEE25" w14:textId="2782A234" w:rsidR="0031485C" w:rsidRDefault="0031485C" w:rsidP="002301B7">
      <w:pPr>
        <w:pStyle w:val="BodyText"/>
        <w:jc w:val="center"/>
        <w:rPr>
          <w:lang w:val="es-ES_tradnl"/>
        </w:rPr>
      </w:pPr>
    </w:p>
    <w:p w14:paraId="4EDE6E3B" w14:textId="16D9E45B" w:rsidR="002C76EF" w:rsidRPr="00C91009" w:rsidRDefault="002C76EF" w:rsidP="002301B7">
      <w:pPr>
        <w:pStyle w:val="BodyText"/>
        <w:jc w:val="center"/>
        <w:rPr>
          <w:lang w:val="es-ES_tradnl"/>
        </w:rPr>
      </w:pPr>
      <w:r w:rsidRPr="002C76EF">
        <w:rPr>
          <w:noProof/>
        </w:rPr>
        <w:drawing>
          <wp:inline distT="0" distB="0" distL="0" distR="0" wp14:anchorId="7B74D0EF" wp14:editId="74D0C97C">
            <wp:extent cx="5786120" cy="2244090"/>
            <wp:effectExtent l="0" t="0" r="5080" b="381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86120" cy="2244090"/>
                    </a:xfrm>
                    <a:prstGeom prst="rect">
                      <a:avLst/>
                    </a:prstGeom>
                    <a:noFill/>
                    <a:ln>
                      <a:noFill/>
                    </a:ln>
                  </pic:spPr>
                </pic:pic>
              </a:graphicData>
            </a:graphic>
          </wp:inline>
        </w:drawing>
      </w:r>
    </w:p>
    <w:p w14:paraId="477FB396" w14:textId="77777777" w:rsidR="008D04E6" w:rsidRPr="00642B7E" w:rsidRDefault="008D04E6" w:rsidP="008D04E6">
      <w:pPr>
        <w:pStyle w:val="BodyText"/>
        <w:rPr>
          <w:lang w:val="es-ES_tradnl"/>
        </w:rPr>
      </w:pPr>
    </w:p>
    <w:p w14:paraId="154FAD23" w14:textId="02DA6E22" w:rsidR="002554F8" w:rsidRPr="009C0E1F" w:rsidRDefault="002554F8" w:rsidP="005D44DB">
      <w:pPr>
        <w:pStyle w:val="Paragraph"/>
        <w:numPr>
          <w:ilvl w:val="1"/>
          <w:numId w:val="2"/>
        </w:numPr>
        <w:ind w:left="720" w:hanging="720"/>
        <w:outlineLvl w:val="9"/>
        <w:rPr>
          <w:rFonts w:ascii="Arial" w:hAnsi="Arial" w:cs="Arial"/>
          <w:sz w:val="22"/>
          <w:szCs w:val="22"/>
          <w:lang w:val="es-ES_tradnl"/>
        </w:rPr>
      </w:pPr>
      <w:r w:rsidRPr="009C0E1F">
        <w:rPr>
          <w:rFonts w:ascii="Arial" w:hAnsi="Arial" w:cs="Arial"/>
          <w:b/>
          <w:sz w:val="22"/>
          <w:szCs w:val="22"/>
          <w:lang w:val="es-ES_tradnl"/>
        </w:rPr>
        <w:t>Cálculo del Costo-</w:t>
      </w:r>
      <w:r w:rsidR="00046BB1">
        <w:rPr>
          <w:rFonts w:ascii="Arial" w:hAnsi="Arial" w:cs="Arial"/>
          <w:b/>
          <w:sz w:val="22"/>
          <w:szCs w:val="22"/>
          <w:lang w:val="es-ES_tradnl"/>
        </w:rPr>
        <w:t>Efectividad</w:t>
      </w:r>
      <w:r w:rsidRPr="009C0E1F">
        <w:rPr>
          <w:rFonts w:ascii="Arial" w:hAnsi="Arial" w:cs="Arial"/>
          <w:b/>
          <w:sz w:val="22"/>
          <w:szCs w:val="22"/>
          <w:lang w:val="es-ES_tradnl"/>
        </w:rPr>
        <w:t xml:space="preserve"> Incremental (CEI</w:t>
      </w:r>
      <w:r w:rsidRPr="009C0E1F">
        <w:rPr>
          <w:rFonts w:ascii="Arial" w:hAnsi="Arial" w:cs="Arial"/>
          <w:sz w:val="22"/>
          <w:szCs w:val="22"/>
          <w:lang w:val="es-ES_tradnl"/>
        </w:rPr>
        <w:t xml:space="preserve">). </w:t>
      </w:r>
      <w:r w:rsidR="00D3577B" w:rsidRPr="009C0E1F">
        <w:rPr>
          <w:rFonts w:ascii="Arial" w:hAnsi="Arial" w:cs="Arial"/>
          <w:sz w:val="22"/>
          <w:szCs w:val="22"/>
          <w:lang w:val="es-ES_tradnl"/>
        </w:rPr>
        <w:t>También se utilizó el indicador numérico conocido como costo-</w:t>
      </w:r>
      <w:r w:rsidR="00046BB1">
        <w:rPr>
          <w:rFonts w:ascii="Arial" w:hAnsi="Arial" w:cs="Arial"/>
          <w:sz w:val="22"/>
          <w:szCs w:val="22"/>
          <w:lang w:val="es-ES_tradnl"/>
        </w:rPr>
        <w:t>efectividad</w:t>
      </w:r>
      <w:r w:rsidR="00D3577B" w:rsidRPr="009C0E1F">
        <w:rPr>
          <w:rFonts w:ascii="Arial" w:hAnsi="Arial" w:cs="Arial"/>
          <w:sz w:val="22"/>
          <w:szCs w:val="22"/>
          <w:lang w:val="es-ES_tradnl"/>
        </w:rPr>
        <w:t xml:space="preserve"> incremental (CEI)</w:t>
      </w:r>
      <w:r w:rsidR="00C012D6" w:rsidRPr="009C0E1F">
        <w:rPr>
          <w:rFonts w:ascii="Arial" w:hAnsi="Arial" w:cs="Arial"/>
          <w:sz w:val="22"/>
          <w:szCs w:val="22"/>
          <w:lang w:val="es-ES_tradnl"/>
        </w:rPr>
        <w:t>,</w:t>
      </w:r>
      <w:r w:rsidRPr="009C0E1F">
        <w:rPr>
          <w:rFonts w:ascii="Arial" w:hAnsi="Arial" w:cs="Arial"/>
          <w:sz w:val="22"/>
          <w:szCs w:val="22"/>
          <w:lang w:val="es-ES_tradnl"/>
        </w:rPr>
        <w:t xml:space="preserve"> </w:t>
      </w:r>
      <w:r w:rsidR="00C012D6" w:rsidRPr="009C0E1F">
        <w:rPr>
          <w:rFonts w:ascii="Arial" w:hAnsi="Arial" w:cs="Arial"/>
          <w:sz w:val="22"/>
          <w:szCs w:val="22"/>
          <w:lang w:val="es-ES_tradnl"/>
        </w:rPr>
        <w:t xml:space="preserve">el cual estima cuánto costará, con proyecto, </w:t>
      </w:r>
      <w:r w:rsidR="008D04E6">
        <w:rPr>
          <w:rFonts w:ascii="Arial" w:hAnsi="Arial" w:cs="Arial"/>
          <w:sz w:val="22"/>
          <w:szCs w:val="22"/>
          <w:lang w:val="es-ES_tradnl"/>
        </w:rPr>
        <w:t>recaudar un dólar adicional.</w:t>
      </w:r>
      <w:r w:rsidR="00C012D6" w:rsidRPr="009C0E1F">
        <w:rPr>
          <w:rFonts w:ascii="Arial" w:hAnsi="Arial" w:cs="Arial"/>
          <w:sz w:val="22"/>
          <w:szCs w:val="22"/>
          <w:lang w:val="es-ES_tradnl"/>
        </w:rPr>
        <w:t xml:space="preserve"> </w:t>
      </w:r>
      <w:r w:rsidRPr="009C0E1F">
        <w:rPr>
          <w:rFonts w:ascii="Arial" w:hAnsi="Arial" w:cs="Arial"/>
          <w:sz w:val="22"/>
          <w:szCs w:val="22"/>
          <w:lang w:val="es-ES_tradnl"/>
        </w:rPr>
        <w:t xml:space="preserve">El CEI con proyecto se </w:t>
      </w:r>
      <w:r w:rsidR="00C012D6" w:rsidRPr="009C0E1F">
        <w:rPr>
          <w:rFonts w:ascii="Arial" w:hAnsi="Arial" w:cs="Arial"/>
          <w:sz w:val="22"/>
          <w:szCs w:val="22"/>
          <w:lang w:val="es-ES_tradnl"/>
        </w:rPr>
        <w:t>calculó</w:t>
      </w:r>
      <w:r w:rsidR="002F168C" w:rsidRPr="009C0E1F">
        <w:rPr>
          <w:rFonts w:ascii="Arial" w:hAnsi="Arial" w:cs="Arial"/>
          <w:sz w:val="22"/>
          <w:szCs w:val="22"/>
          <w:lang w:val="es-ES_tradnl"/>
        </w:rPr>
        <w:t xml:space="preserve"> de la siguiente forma</w:t>
      </w:r>
      <w:r w:rsidRPr="009C0E1F">
        <w:rPr>
          <w:rFonts w:ascii="Arial" w:hAnsi="Arial" w:cs="Arial"/>
          <w:sz w:val="22"/>
          <w:szCs w:val="22"/>
          <w:lang w:val="es-ES_tradnl"/>
        </w:rPr>
        <w:t>:</w:t>
      </w:r>
    </w:p>
    <w:p w14:paraId="7E8BCF29" w14:textId="77777777" w:rsidR="002554F8" w:rsidRPr="009C0E1F" w:rsidRDefault="00D3577B" w:rsidP="004F08AE">
      <w:pPr>
        <w:pStyle w:val="Paragraph"/>
        <w:numPr>
          <w:ilvl w:val="0"/>
          <w:numId w:val="0"/>
        </w:numPr>
        <w:spacing w:before="240" w:after="240"/>
        <w:ind w:left="1987"/>
        <w:outlineLvl w:val="9"/>
        <w:rPr>
          <w:rFonts w:ascii="Arial" w:hAnsi="Arial" w:cs="Arial"/>
          <w:sz w:val="22"/>
          <w:szCs w:val="22"/>
          <w:lang w:val="pt-BR"/>
        </w:rPr>
      </w:pPr>
      <w:r w:rsidRPr="009C0E1F">
        <w:rPr>
          <w:rFonts w:ascii="Arial" w:hAnsi="Arial" w:cs="Arial"/>
          <w:sz w:val="22"/>
          <w:szCs w:val="22"/>
          <w:lang w:val="pt-BR"/>
        </w:rPr>
        <w:t>CEI = (C</w:t>
      </w:r>
      <w:r w:rsidRPr="009C0E1F">
        <w:rPr>
          <w:rFonts w:ascii="Arial" w:hAnsi="Arial" w:cs="Arial"/>
          <w:sz w:val="22"/>
          <w:szCs w:val="22"/>
          <w:vertAlign w:val="subscript"/>
          <w:lang w:val="pt-BR"/>
        </w:rPr>
        <w:t>B</w:t>
      </w:r>
      <w:r w:rsidRPr="009C0E1F">
        <w:rPr>
          <w:rFonts w:ascii="Arial" w:hAnsi="Arial" w:cs="Arial"/>
          <w:sz w:val="22"/>
          <w:szCs w:val="22"/>
          <w:lang w:val="pt-BR"/>
        </w:rPr>
        <w:t xml:space="preserve"> – C</w:t>
      </w:r>
      <w:r w:rsidRPr="009C0E1F">
        <w:rPr>
          <w:rFonts w:ascii="Arial" w:hAnsi="Arial" w:cs="Arial"/>
          <w:sz w:val="22"/>
          <w:szCs w:val="22"/>
          <w:vertAlign w:val="subscript"/>
          <w:lang w:val="pt-BR"/>
        </w:rPr>
        <w:t>A</w:t>
      </w:r>
      <w:r w:rsidRPr="009C0E1F">
        <w:rPr>
          <w:rFonts w:ascii="Arial" w:hAnsi="Arial" w:cs="Arial"/>
          <w:sz w:val="22"/>
          <w:szCs w:val="22"/>
          <w:lang w:val="pt-BR"/>
        </w:rPr>
        <w:t>) / (E</w:t>
      </w:r>
      <w:r w:rsidRPr="009C0E1F">
        <w:rPr>
          <w:rFonts w:ascii="Arial" w:hAnsi="Arial" w:cs="Arial"/>
          <w:sz w:val="22"/>
          <w:szCs w:val="22"/>
          <w:vertAlign w:val="subscript"/>
          <w:lang w:val="pt-BR"/>
        </w:rPr>
        <w:t>B</w:t>
      </w:r>
      <w:r w:rsidRPr="009C0E1F">
        <w:rPr>
          <w:rFonts w:ascii="Arial" w:hAnsi="Arial" w:cs="Arial"/>
          <w:sz w:val="22"/>
          <w:szCs w:val="22"/>
          <w:lang w:val="pt-BR"/>
        </w:rPr>
        <w:t xml:space="preserve"> – E</w:t>
      </w:r>
      <w:r w:rsidRPr="009C0E1F">
        <w:rPr>
          <w:rFonts w:ascii="Arial" w:hAnsi="Arial" w:cs="Arial"/>
          <w:sz w:val="22"/>
          <w:szCs w:val="22"/>
          <w:vertAlign w:val="subscript"/>
          <w:lang w:val="pt-BR"/>
        </w:rPr>
        <w:t>A</w:t>
      </w:r>
      <w:r w:rsidRPr="009C0E1F">
        <w:rPr>
          <w:rFonts w:ascii="Arial" w:hAnsi="Arial" w:cs="Arial"/>
          <w:sz w:val="22"/>
          <w:szCs w:val="22"/>
          <w:lang w:val="pt-BR"/>
        </w:rPr>
        <w:t>),</w:t>
      </w:r>
    </w:p>
    <w:p w14:paraId="752F96D6" w14:textId="4EB6F28A" w:rsidR="002554F8" w:rsidRDefault="00D3577B" w:rsidP="004F08AE">
      <w:pPr>
        <w:pStyle w:val="Paragraph"/>
        <w:numPr>
          <w:ilvl w:val="0"/>
          <w:numId w:val="0"/>
        </w:numPr>
        <w:spacing w:before="240" w:after="240"/>
        <w:ind w:left="1987"/>
        <w:outlineLvl w:val="9"/>
        <w:rPr>
          <w:rFonts w:ascii="Arial" w:hAnsi="Arial" w:cs="Arial"/>
          <w:sz w:val="22"/>
          <w:szCs w:val="22"/>
          <w:lang w:val="es-ES_tradnl"/>
        </w:rPr>
      </w:pPr>
      <w:r w:rsidRPr="009C0E1F">
        <w:rPr>
          <w:rFonts w:ascii="Arial" w:hAnsi="Arial" w:cs="Arial"/>
          <w:sz w:val="22"/>
          <w:szCs w:val="22"/>
          <w:lang w:val="es-ES_tradnl"/>
        </w:rPr>
        <w:t>CEI = (US$</w:t>
      </w:r>
      <w:r w:rsidR="008D04E6">
        <w:rPr>
          <w:rFonts w:ascii="Arial" w:hAnsi="Arial" w:cs="Arial"/>
          <w:sz w:val="22"/>
          <w:szCs w:val="22"/>
          <w:lang w:val="es-ES_tradnl"/>
        </w:rPr>
        <w:t>1,</w:t>
      </w:r>
      <w:r w:rsidR="00C40A9C">
        <w:rPr>
          <w:rFonts w:ascii="Arial" w:hAnsi="Arial" w:cs="Arial"/>
          <w:sz w:val="22"/>
          <w:szCs w:val="22"/>
          <w:lang w:val="es-ES_tradnl"/>
        </w:rPr>
        <w:t>1,229.34</w:t>
      </w:r>
      <w:r w:rsidRPr="009C0E1F">
        <w:rPr>
          <w:rFonts w:ascii="Arial" w:hAnsi="Arial" w:cs="Arial"/>
          <w:sz w:val="22"/>
          <w:szCs w:val="22"/>
          <w:lang w:val="es-ES_tradnl"/>
        </w:rPr>
        <w:t xml:space="preserve"> millones - US$</w:t>
      </w:r>
      <w:r w:rsidR="002C76EF">
        <w:rPr>
          <w:rFonts w:ascii="Arial" w:hAnsi="Arial" w:cs="Arial"/>
          <w:sz w:val="22"/>
          <w:szCs w:val="22"/>
          <w:lang w:val="es-ES_tradnl"/>
        </w:rPr>
        <w:t>1,250.06</w:t>
      </w:r>
      <w:r w:rsidRPr="009C0E1F">
        <w:rPr>
          <w:rFonts w:ascii="Arial" w:hAnsi="Arial" w:cs="Arial"/>
          <w:sz w:val="22"/>
          <w:szCs w:val="22"/>
          <w:lang w:val="es-ES_tradnl"/>
        </w:rPr>
        <w:t xml:space="preserve"> millones) / (</w:t>
      </w:r>
      <w:r w:rsidR="00C40A9C">
        <w:rPr>
          <w:rFonts w:ascii="Arial" w:hAnsi="Arial" w:cs="Arial"/>
          <w:sz w:val="22"/>
          <w:szCs w:val="22"/>
          <w:lang w:val="es-ES_tradnl"/>
        </w:rPr>
        <w:t>121,104.69</w:t>
      </w:r>
      <w:r w:rsidR="001B18E7" w:rsidRPr="009C0E1F">
        <w:rPr>
          <w:rFonts w:ascii="Arial" w:hAnsi="Arial" w:cs="Arial"/>
          <w:sz w:val="22"/>
          <w:szCs w:val="22"/>
          <w:lang w:val="es-ES_tradnl"/>
        </w:rPr>
        <w:t xml:space="preserve"> </w:t>
      </w:r>
      <w:r w:rsidR="001B0C33" w:rsidRPr="009C0E1F">
        <w:rPr>
          <w:rFonts w:ascii="Arial" w:hAnsi="Arial" w:cs="Arial"/>
          <w:sz w:val="22"/>
          <w:szCs w:val="22"/>
          <w:lang w:val="es-ES_tradnl"/>
        </w:rPr>
        <w:t>millones de</w:t>
      </w:r>
      <w:r w:rsidRPr="009C0E1F">
        <w:rPr>
          <w:rFonts w:ascii="Arial" w:hAnsi="Arial" w:cs="Arial"/>
          <w:sz w:val="22"/>
          <w:szCs w:val="22"/>
          <w:lang w:val="es-ES_tradnl"/>
        </w:rPr>
        <w:t xml:space="preserve"> </w:t>
      </w:r>
      <w:r w:rsidR="008D04E6">
        <w:rPr>
          <w:rFonts w:ascii="Arial" w:hAnsi="Arial" w:cs="Arial"/>
          <w:sz w:val="22"/>
          <w:szCs w:val="22"/>
          <w:lang w:val="es-ES_tradnl"/>
        </w:rPr>
        <w:t>US$</w:t>
      </w:r>
      <w:r w:rsidRPr="009C0E1F">
        <w:rPr>
          <w:rFonts w:ascii="Arial" w:hAnsi="Arial" w:cs="Arial"/>
          <w:sz w:val="22"/>
          <w:szCs w:val="22"/>
          <w:lang w:val="es-ES_tradnl"/>
        </w:rPr>
        <w:t xml:space="preserve"> – </w:t>
      </w:r>
      <w:r w:rsidR="00C40A9C">
        <w:rPr>
          <w:rFonts w:ascii="Arial" w:hAnsi="Arial" w:cs="Arial"/>
          <w:sz w:val="22"/>
          <w:szCs w:val="22"/>
          <w:lang w:val="es-ES_tradnl"/>
        </w:rPr>
        <w:t>123,934.47</w:t>
      </w:r>
      <w:r w:rsidR="001B0C33" w:rsidRPr="009C0E1F">
        <w:rPr>
          <w:rFonts w:ascii="Arial" w:hAnsi="Arial" w:cs="Arial"/>
          <w:sz w:val="22"/>
          <w:szCs w:val="22"/>
          <w:lang w:val="es-ES_tradnl"/>
        </w:rPr>
        <w:t xml:space="preserve"> </w:t>
      </w:r>
      <w:r w:rsidR="00B04658" w:rsidRPr="009C0E1F">
        <w:rPr>
          <w:rFonts w:ascii="Arial" w:hAnsi="Arial" w:cs="Arial"/>
          <w:sz w:val="22"/>
          <w:szCs w:val="22"/>
          <w:lang w:val="es-ES_tradnl"/>
        </w:rPr>
        <w:t>millones</w:t>
      </w:r>
      <w:r w:rsidR="001B0C33" w:rsidRPr="009C0E1F">
        <w:rPr>
          <w:rFonts w:ascii="Arial" w:hAnsi="Arial" w:cs="Arial"/>
          <w:sz w:val="22"/>
          <w:szCs w:val="22"/>
          <w:lang w:val="es-ES_tradnl"/>
        </w:rPr>
        <w:t xml:space="preserve"> de</w:t>
      </w:r>
      <w:r w:rsidRPr="009C0E1F">
        <w:rPr>
          <w:rFonts w:ascii="Arial" w:hAnsi="Arial" w:cs="Arial"/>
          <w:sz w:val="22"/>
          <w:szCs w:val="22"/>
          <w:lang w:val="es-ES_tradnl"/>
        </w:rPr>
        <w:t xml:space="preserve"> </w:t>
      </w:r>
      <w:r w:rsidR="008D04E6">
        <w:rPr>
          <w:rFonts w:ascii="Arial" w:hAnsi="Arial" w:cs="Arial"/>
          <w:sz w:val="22"/>
          <w:szCs w:val="22"/>
          <w:lang w:val="es-ES_tradnl"/>
        </w:rPr>
        <w:t>US$</w:t>
      </w:r>
      <w:r w:rsidRPr="009C0E1F">
        <w:rPr>
          <w:rFonts w:ascii="Arial" w:hAnsi="Arial" w:cs="Arial"/>
          <w:sz w:val="22"/>
          <w:szCs w:val="22"/>
          <w:lang w:val="es-ES_tradnl"/>
        </w:rPr>
        <w:t>) = US$</w:t>
      </w:r>
      <w:r w:rsidR="008D04E6">
        <w:rPr>
          <w:rFonts w:ascii="Arial" w:hAnsi="Arial" w:cs="Arial"/>
          <w:sz w:val="22"/>
          <w:szCs w:val="22"/>
          <w:lang w:val="es-ES_tradnl"/>
        </w:rPr>
        <w:t xml:space="preserve"> </w:t>
      </w:r>
      <w:r w:rsidR="002C76EF">
        <w:rPr>
          <w:rFonts w:ascii="Arial" w:hAnsi="Arial" w:cs="Arial"/>
          <w:sz w:val="22"/>
          <w:szCs w:val="22"/>
          <w:lang w:val="es-ES_tradnl"/>
        </w:rPr>
        <w:t>0.00732</w:t>
      </w:r>
      <w:r w:rsidR="00212F92">
        <w:rPr>
          <w:rFonts w:ascii="Arial" w:hAnsi="Arial" w:cs="Arial"/>
          <w:sz w:val="22"/>
          <w:szCs w:val="22"/>
          <w:lang w:val="es-ES_tradnl"/>
        </w:rPr>
        <w:t xml:space="preserve"> por </w:t>
      </w:r>
      <w:r w:rsidR="008D04E6">
        <w:rPr>
          <w:rFonts w:ascii="Arial" w:hAnsi="Arial" w:cs="Arial"/>
          <w:sz w:val="22"/>
          <w:szCs w:val="22"/>
          <w:lang w:val="es-ES_tradnl"/>
        </w:rPr>
        <w:t>dólar adicional recaudado</w:t>
      </w:r>
      <w:r w:rsidR="0045350B">
        <w:rPr>
          <w:rFonts w:ascii="Arial" w:hAnsi="Arial" w:cs="Arial"/>
          <w:sz w:val="22"/>
          <w:szCs w:val="22"/>
          <w:lang w:val="es-ES_tradnl"/>
        </w:rPr>
        <w:t xml:space="preserve"> (ver Tabla 1)</w:t>
      </w:r>
      <w:r w:rsidRPr="009C0E1F">
        <w:rPr>
          <w:rFonts w:ascii="Arial" w:hAnsi="Arial" w:cs="Arial"/>
          <w:sz w:val="22"/>
          <w:szCs w:val="22"/>
          <w:lang w:val="es-ES_tradnl"/>
        </w:rPr>
        <w:t>.</w:t>
      </w:r>
    </w:p>
    <w:p w14:paraId="45409C8E" w14:textId="46428425" w:rsidR="008D04E6" w:rsidRPr="008D04E6" w:rsidRDefault="008D04E6" w:rsidP="005D44DB">
      <w:pPr>
        <w:pStyle w:val="Paragraph"/>
        <w:numPr>
          <w:ilvl w:val="1"/>
          <w:numId w:val="2"/>
        </w:numPr>
        <w:ind w:left="720" w:hanging="720"/>
        <w:outlineLvl w:val="9"/>
        <w:rPr>
          <w:rFonts w:ascii="Arial" w:hAnsi="Arial" w:cs="Arial"/>
          <w:bCs/>
          <w:sz w:val="22"/>
          <w:szCs w:val="22"/>
          <w:lang w:val="es-ES_tradnl"/>
        </w:rPr>
      </w:pPr>
      <w:r w:rsidRPr="008D04E6">
        <w:rPr>
          <w:rFonts w:ascii="Arial" w:hAnsi="Arial" w:cs="Arial"/>
          <w:bCs/>
          <w:sz w:val="22"/>
          <w:szCs w:val="22"/>
          <w:lang w:val="es-ES_tradnl"/>
        </w:rPr>
        <w:t xml:space="preserve">La conclusión es que, con la implementación del proyecto, el SRI y el SENAE contarán con una gestión </w:t>
      </w:r>
      <w:r w:rsidR="00624308">
        <w:rPr>
          <w:rFonts w:ascii="Arial" w:hAnsi="Arial" w:cs="Arial"/>
          <w:bCs/>
          <w:sz w:val="22"/>
          <w:szCs w:val="22"/>
          <w:lang w:val="es-ES_tradnl"/>
        </w:rPr>
        <w:t>tributaria y aduanera</w:t>
      </w:r>
      <w:r w:rsidRPr="008D04E6">
        <w:rPr>
          <w:rFonts w:ascii="Arial" w:hAnsi="Arial" w:cs="Arial"/>
          <w:bCs/>
          <w:sz w:val="22"/>
          <w:szCs w:val="22"/>
          <w:lang w:val="es-ES_tradnl"/>
        </w:rPr>
        <w:t xml:space="preserve"> más efectiva que sin proyecto, comprobado por la reducción del costo para generar un dólar adicional de recaudación de US$ 0.0</w:t>
      </w:r>
      <w:r w:rsidR="00C91009">
        <w:rPr>
          <w:rFonts w:ascii="Arial" w:hAnsi="Arial" w:cs="Arial"/>
          <w:bCs/>
          <w:sz w:val="22"/>
          <w:szCs w:val="22"/>
          <w:lang w:val="es-ES_tradnl"/>
        </w:rPr>
        <w:t>1</w:t>
      </w:r>
      <w:r w:rsidR="009A37AF">
        <w:rPr>
          <w:rFonts w:ascii="Arial" w:hAnsi="Arial" w:cs="Arial"/>
          <w:bCs/>
          <w:sz w:val="22"/>
          <w:szCs w:val="22"/>
          <w:lang w:val="es-ES_tradnl"/>
        </w:rPr>
        <w:t>015</w:t>
      </w:r>
      <w:r w:rsidRPr="008D04E6">
        <w:rPr>
          <w:rFonts w:ascii="Arial" w:hAnsi="Arial" w:cs="Arial"/>
          <w:bCs/>
          <w:sz w:val="22"/>
          <w:szCs w:val="22"/>
          <w:lang w:val="es-ES_tradnl"/>
        </w:rPr>
        <w:t xml:space="preserve"> sin proyecto para US$ </w:t>
      </w:r>
      <w:r w:rsidR="001D5DFB">
        <w:rPr>
          <w:rFonts w:ascii="Arial" w:hAnsi="Arial" w:cs="Arial"/>
          <w:bCs/>
          <w:sz w:val="22"/>
          <w:szCs w:val="22"/>
          <w:lang w:val="es-ES_tradnl"/>
        </w:rPr>
        <w:t>0.01009</w:t>
      </w:r>
      <w:r w:rsidRPr="008D04E6">
        <w:rPr>
          <w:rFonts w:ascii="Arial" w:hAnsi="Arial" w:cs="Arial"/>
          <w:bCs/>
          <w:sz w:val="22"/>
          <w:szCs w:val="22"/>
          <w:lang w:val="es-ES_tradnl"/>
        </w:rPr>
        <w:t xml:space="preserve"> con proyecto. Adicionalmente, con el proyecto el costo para lograr un nuevo dólar de recaudación será de apenas US$ </w:t>
      </w:r>
      <w:r w:rsidR="001D5DFB">
        <w:rPr>
          <w:rFonts w:ascii="Arial" w:hAnsi="Arial" w:cs="Arial"/>
          <w:bCs/>
          <w:sz w:val="22"/>
          <w:szCs w:val="22"/>
          <w:lang w:val="es-ES_tradnl"/>
        </w:rPr>
        <w:t>0.00732</w:t>
      </w:r>
      <w:r w:rsidRPr="008D04E6">
        <w:rPr>
          <w:rFonts w:ascii="Arial" w:hAnsi="Arial" w:cs="Arial"/>
          <w:bCs/>
          <w:sz w:val="22"/>
          <w:szCs w:val="22"/>
          <w:lang w:val="es-ES_tradnl"/>
        </w:rPr>
        <w:t>.</w:t>
      </w:r>
    </w:p>
    <w:p w14:paraId="7E1902B9" w14:textId="77777777" w:rsidR="008D04E6" w:rsidRDefault="008D04E6" w:rsidP="008D04E6">
      <w:pPr>
        <w:pStyle w:val="Paragraph"/>
        <w:numPr>
          <w:ilvl w:val="0"/>
          <w:numId w:val="0"/>
        </w:numPr>
        <w:ind w:left="1296" w:hanging="1296"/>
        <w:outlineLvl w:val="9"/>
        <w:rPr>
          <w:rFonts w:ascii="Arial" w:hAnsi="Arial" w:cs="Arial"/>
          <w:sz w:val="22"/>
          <w:szCs w:val="22"/>
          <w:lang w:val="es-ES_tradnl"/>
        </w:rPr>
      </w:pPr>
    </w:p>
    <w:p w14:paraId="6D619D56" w14:textId="77777777" w:rsidR="00F10D9A" w:rsidRPr="009C0E1F" w:rsidRDefault="007E781F" w:rsidP="005D44DB">
      <w:pPr>
        <w:pStyle w:val="Chapter"/>
        <w:numPr>
          <w:ilvl w:val="0"/>
          <w:numId w:val="2"/>
        </w:numPr>
        <w:spacing w:before="120"/>
        <w:ind w:left="1454" w:hanging="619"/>
        <w:jc w:val="left"/>
        <w:outlineLvl w:val="0"/>
        <w:rPr>
          <w:rFonts w:ascii="Arial" w:hAnsi="Arial" w:cs="Arial"/>
          <w:sz w:val="22"/>
          <w:szCs w:val="22"/>
          <w:lang w:val="es-ES_tradnl"/>
        </w:rPr>
      </w:pPr>
      <w:bookmarkStart w:id="94" w:name="_Toc506126054"/>
      <w:bookmarkStart w:id="95" w:name="_Toc506126083"/>
      <w:bookmarkStart w:id="96" w:name="_Toc506126107"/>
      <w:bookmarkStart w:id="97" w:name="_Toc506126055"/>
      <w:bookmarkStart w:id="98" w:name="_Toc506126084"/>
      <w:bookmarkStart w:id="99" w:name="_Toc506126108"/>
      <w:bookmarkStart w:id="100" w:name="_Toc30183899"/>
      <w:bookmarkEnd w:id="94"/>
      <w:bookmarkEnd w:id="95"/>
      <w:bookmarkEnd w:id="96"/>
      <w:bookmarkEnd w:id="97"/>
      <w:bookmarkEnd w:id="98"/>
      <w:bookmarkEnd w:id="99"/>
      <w:r w:rsidRPr="009C0E1F">
        <w:rPr>
          <w:rFonts w:ascii="Arial" w:hAnsi="Arial" w:cs="Arial"/>
          <w:sz w:val="22"/>
          <w:szCs w:val="22"/>
          <w:lang w:val="es-ES_tradnl"/>
        </w:rPr>
        <w:t>Análisis de Sensibilidad</w:t>
      </w:r>
      <w:bookmarkEnd w:id="100"/>
    </w:p>
    <w:p w14:paraId="04E0DB07" w14:textId="502D8F42" w:rsidR="00B87228" w:rsidRDefault="00B87228" w:rsidP="005D44DB">
      <w:pPr>
        <w:pStyle w:val="Paragraph"/>
        <w:numPr>
          <w:ilvl w:val="1"/>
          <w:numId w:val="2"/>
        </w:numPr>
        <w:ind w:left="720" w:hanging="720"/>
        <w:outlineLvl w:val="9"/>
        <w:rPr>
          <w:rFonts w:ascii="Arial" w:hAnsi="Arial" w:cs="Arial"/>
          <w:bCs/>
          <w:sz w:val="22"/>
          <w:szCs w:val="22"/>
          <w:lang w:val="es-ES_tradnl"/>
        </w:rPr>
      </w:pPr>
      <w:r w:rsidRPr="008D04E6">
        <w:rPr>
          <w:rFonts w:ascii="Arial" w:hAnsi="Arial" w:cs="Arial"/>
          <w:bCs/>
          <w:sz w:val="22"/>
          <w:szCs w:val="22"/>
          <w:lang w:val="es-ES_tradnl"/>
        </w:rPr>
        <w:t>Se realiz</w:t>
      </w:r>
      <w:r>
        <w:rPr>
          <w:rFonts w:ascii="Arial" w:hAnsi="Arial" w:cs="Arial"/>
          <w:bCs/>
          <w:sz w:val="22"/>
          <w:szCs w:val="22"/>
          <w:lang w:val="es-ES_tradnl"/>
        </w:rPr>
        <w:t>ó un</w:t>
      </w:r>
      <w:r w:rsidRPr="008D04E6">
        <w:rPr>
          <w:rFonts w:ascii="Arial" w:hAnsi="Arial" w:cs="Arial"/>
          <w:bCs/>
          <w:sz w:val="22"/>
          <w:szCs w:val="22"/>
          <w:lang w:val="es-ES_tradnl"/>
        </w:rPr>
        <w:t xml:space="preserve"> análisis de sensibilidad para determinar cuál sería el mínimo porcentaje de recaudación adicional del SRI y el SENAE respecto a la línea base que se requiere para que el costo / efectividad del programa se mantenga en los mimos niveles que el costo / efectividad sin programa. Los resultados del análisis muestran que para que esto ocurra se necesita un incremento de la recaudación del SRI de </w:t>
      </w:r>
      <w:r w:rsidR="0068280D">
        <w:rPr>
          <w:rFonts w:ascii="Arial" w:hAnsi="Arial" w:cs="Arial"/>
          <w:bCs/>
          <w:sz w:val="22"/>
          <w:szCs w:val="22"/>
          <w:lang w:val="es-ES_tradnl"/>
        </w:rPr>
        <w:t>1.70</w:t>
      </w:r>
      <w:r w:rsidRPr="008D04E6">
        <w:rPr>
          <w:rFonts w:ascii="Arial" w:hAnsi="Arial" w:cs="Arial"/>
          <w:bCs/>
          <w:sz w:val="22"/>
          <w:szCs w:val="22"/>
          <w:lang w:val="es-ES_tradnl"/>
        </w:rPr>
        <w:t xml:space="preserve">% y de </w:t>
      </w:r>
      <w:r w:rsidR="001D5DFB">
        <w:rPr>
          <w:rFonts w:ascii="Arial" w:hAnsi="Arial" w:cs="Arial"/>
          <w:bCs/>
          <w:sz w:val="22"/>
          <w:szCs w:val="22"/>
          <w:lang w:val="es-ES_tradnl"/>
        </w:rPr>
        <w:t>2.85</w:t>
      </w:r>
      <w:r w:rsidRPr="008D04E6">
        <w:rPr>
          <w:rFonts w:ascii="Arial" w:hAnsi="Arial" w:cs="Arial"/>
          <w:bCs/>
          <w:sz w:val="22"/>
          <w:szCs w:val="22"/>
          <w:lang w:val="es-ES_tradnl"/>
        </w:rPr>
        <w:t>% en el caso del SENAE.</w:t>
      </w:r>
    </w:p>
    <w:p w14:paraId="7B07E7A8" w14:textId="5E65C1B7" w:rsidR="00B87228" w:rsidRDefault="00B87228" w:rsidP="005D44DB">
      <w:pPr>
        <w:pStyle w:val="Paragraph"/>
        <w:numPr>
          <w:ilvl w:val="1"/>
          <w:numId w:val="2"/>
        </w:numPr>
        <w:ind w:left="720" w:hanging="720"/>
        <w:outlineLvl w:val="9"/>
        <w:rPr>
          <w:rFonts w:ascii="Arial" w:hAnsi="Arial" w:cs="Arial"/>
          <w:bCs/>
          <w:sz w:val="22"/>
          <w:szCs w:val="22"/>
          <w:lang w:val="es-ES_tradnl"/>
        </w:rPr>
      </w:pPr>
      <w:r>
        <w:rPr>
          <w:rFonts w:ascii="Arial" w:hAnsi="Arial" w:cs="Arial"/>
          <w:bCs/>
          <w:sz w:val="22"/>
          <w:szCs w:val="22"/>
          <w:lang w:val="es-ES_tradnl"/>
        </w:rPr>
        <w:t xml:space="preserve">En el caso del SRI el aumento mínimo de recaudación adicional de </w:t>
      </w:r>
      <w:r w:rsidR="0068280D">
        <w:rPr>
          <w:rFonts w:ascii="Arial" w:hAnsi="Arial" w:cs="Arial"/>
          <w:bCs/>
          <w:sz w:val="22"/>
          <w:szCs w:val="22"/>
          <w:lang w:val="es-ES_tradnl"/>
        </w:rPr>
        <w:t>1.70</w:t>
      </w:r>
      <w:r>
        <w:rPr>
          <w:rFonts w:ascii="Arial" w:hAnsi="Arial" w:cs="Arial"/>
          <w:bCs/>
          <w:sz w:val="22"/>
          <w:szCs w:val="22"/>
          <w:lang w:val="es-ES_tradnl"/>
        </w:rPr>
        <w:t>% garantiza que el C/E medio de 0.00</w:t>
      </w:r>
      <w:r w:rsidR="009A37AF">
        <w:rPr>
          <w:rFonts w:ascii="Arial" w:hAnsi="Arial" w:cs="Arial"/>
          <w:bCs/>
          <w:sz w:val="22"/>
          <w:szCs w:val="22"/>
          <w:lang w:val="es-ES_tradnl"/>
        </w:rPr>
        <w:t>801</w:t>
      </w:r>
      <w:r>
        <w:rPr>
          <w:rFonts w:ascii="Arial" w:hAnsi="Arial" w:cs="Arial"/>
          <w:bCs/>
          <w:sz w:val="22"/>
          <w:szCs w:val="22"/>
          <w:lang w:val="es-ES_tradnl"/>
        </w:rPr>
        <w:t xml:space="preserve"> sea igual al C/E medio sin programa. En este caso el costo incremental es </w:t>
      </w:r>
      <w:r w:rsidR="0068280D">
        <w:rPr>
          <w:rFonts w:ascii="Arial" w:hAnsi="Arial" w:cs="Arial"/>
          <w:bCs/>
          <w:sz w:val="22"/>
          <w:szCs w:val="22"/>
          <w:lang w:val="es-ES_tradnl"/>
        </w:rPr>
        <w:t>igual</w:t>
      </w:r>
      <w:r w:rsidR="004E01F1">
        <w:rPr>
          <w:rFonts w:ascii="Arial" w:hAnsi="Arial" w:cs="Arial"/>
          <w:bCs/>
          <w:sz w:val="22"/>
          <w:szCs w:val="22"/>
          <w:lang w:val="es-ES_tradnl"/>
        </w:rPr>
        <w:t xml:space="preserve"> (0.</w:t>
      </w:r>
      <w:r w:rsidR="0068280D">
        <w:rPr>
          <w:rFonts w:ascii="Arial" w:hAnsi="Arial" w:cs="Arial"/>
          <w:bCs/>
          <w:sz w:val="22"/>
          <w:szCs w:val="22"/>
          <w:lang w:val="es-ES_tradnl"/>
        </w:rPr>
        <w:t>00801</w:t>
      </w:r>
      <w:r w:rsidR="004E01F1">
        <w:rPr>
          <w:rFonts w:ascii="Arial" w:hAnsi="Arial" w:cs="Arial"/>
          <w:bCs/>
          <w:sz w:val="22"/>
          <w:szCs w:val="22"/>
          <w:lang w:val="es-ES_tradnl"/>
        </w:rPr>
        <w:t>)</w:t>
      </w:r>
      <w:r>
        <w:rPr>
          <w:rFonts w:ascii="Arial" w:hAnsi="Arial" w:cs="Arial"/>
          <w:bCs/>
          <w:sz w:val="22"/>
          <w:szCs w:val="22"/>
          <w:lang w:val="es-ES_tradnl"/>
        </w:rPr>
        <w:t xml:space="preserve"> al costo medio del programa</w:t>
      </w:r>
      <w:r w:rsidR="004E01F1">
        <w:rPr>
          <w:rFonts w:ascii="Arial" w:hAnsi="Arial" w:cs="Arial"/>
          <w:bCs/>
          <w:sz w:val="22"/>
          <w:szCs w:val="22"/>
          <w:lang w:val="es-ES_tradnl"/>
        </w:rPr>
        <w:t xml:space="preserve"> (ver Tabla 2)</w:t>
      </w:r>
      <w:r>
        <w:rPr>
          <w:rFonts w:ascii="Arial" w:hAnsi="Arial" w:cs="Arial"/>
          <w:bCs/>
          <w:sz w:val="22"/>
          <w:szCs w:val="22"/>
          <w:lang w:val="es-ES_tradnl"/>
        </w:rPr>
        <w:t>.</w:t>
      </w:r>
    </w:p>
    <w:p w14:paraId="1B5D0905" w14:textId="24316987" w:rsidR="00B87228" w:rsidRDefault="00B87228" w:rsidP="005D44DB">
      <w:pPr>
        <w:pStyle w:val="Paragraph"/>
        <w:numPr>
          <w:ilvl w:val="1"/>
          <w:numId w:val="2"/>
        </w:numPr>
        <w:ind w:left="720" w:hanging="720"/>
        <w:outlineLvl w:val="9"/>
        <w:rPr>
          <w:rFonts w:ascii="Arial" w:hAnsi="Arial" w:cs="Arial"/>
          <w:bCs/>
          <w:sz w:val="22"/>
          <w:szCs w:val="22"/>
          <w:lang w:val="es-ES_tradnl"/>
        </w:rPr>
      </w:pPr>
      <w:r>
        <w:rPr>
          <w:rFonts w:ascii="Arial" w:hAnsi="Arial" w:cs="Arial"/>
          <w:bCs/>
          <w:sz w:val="22"/>
          <w:szCs w:val="22"/>
          <w:lang w:val="es-ES_tradnl"/>
        </w:rPr>
        <w:t xml:space="preserve">En el caso del SENAE el aumento mínimo de recaudación de aranceles de </w:t>
      </w:r>
      <w:r w:rsidR="001D5DFB">
        <w:rPr>
          <w:rFonts w:ascii="Arial" w:hAnsi="Arial" w:cs="Arial"/>
          <w:bCs/>
          <w:sz w:val="22"/>
          <w:szCs w:val="22"/>
          <w:lang w:val="es-ES_tradnl"/>
        </w:rPr>
        <w:t>2.85</w:t>
      </w:r>
      <w:r>
        <w:rPr>
          <w:rFonts w:ascii="Arial" w:hAnsi="Arial" w:cs="Arial"/>
          <w:bCs/>
          <w:sz w:val="22"/>
          <w:szCs w:val="22"/>
          <w:lang w:val="es-ES_tradnl"/>
        </w:rPr>
        <w:t>% garantiza que el C/E medio de 0.0</w:t>
      </w:r>
      <w:r w:rsidR="009A37AF">
        <w:rPr>
          <w:rFonts w:ascii="Arial" w:hAnsi="Arial" w:cs="Arial"/>
          <w:bCs/>
          <w:sz w:val="22"/>
          <w:szCs w:val="22"/>
          <w:lang w:val="es-ES_tradnl"/>
        </w:rPr>
        <w:t>3282</w:t>
      </w:r>
      <w:r>
        <w:rPr>
          <w:rFonts w:ascii="Arial" w:hAnsi="Arial" w:cs="Arial"/>
          <w:bCs/>
          <w:sz w:val="22"/>
          <w:szCs w:val="22"/>
          <w:lang w:val="es-ES_tradnl"/>
        </w:rPr>
        <w:t xml:space="preserve"> sea igual al C/E medio sin programa. </w:t>
      </w:r>
    </w:p>
    <w:p w14:paraId="28E4FC1D" w14:textId="6E9CF343" w:rsidR="00B87228" w:rsidRDefault="00B87228" w:rsidP="005D44DB">
      <w:pPr>
        <w:pStyle w:val="Paragraph"/>
        <w:numPr>
          <w:ilvl w:val="1"/>
          <w:numId w:val="2"/>
        </w:numPr>
        <w:ind w:left="720" w:hanging="720"/>
        <w:outlineLvl w:val="9"/>
        <w:rPr>
          <w:rFonts w:ascii="Arial" w:hAnsi="Arial" w:cs="Arial"/>
          <w:bCs/>
          <w:sz w:val="22"/>
          <w:szCs w:val="22"/>
          <w:lang w:val="es-ES_tradnl"/>
        </w:rPr>
      </w:pPr>
      <w:r>
        <w:rPr>
          <w:rFonts w:ascii="Arial" w:hAnsi="Arial" w:cs="Arial"/>
          <w:bCs/>
          <w:sz w:val="22"/>
          <w:szCs w:val="22"/>
          <w:lang w:val="es-ES_tradnl"/>
        </w:rPr>
        <w:t xml:space="preserve">Enel caso del programa total (SRI + SENAE) </w:t>
      </w:r>
      <w:r w:rsidR="00ED13ED">
        <w:rPr>
          <w:rFonts w:ascii="Arial" w:hAnsi="Arial" w:cs="Arial"/>
          <w:bCs/>
          <w:sz w:val="22"/>
          <w:szCs w:val="22"/>
          <w:lang w:val="es-ES_tradnl"/>
        </w:rPr>
        <w:t xml:space="preserve">el aumento mínimo de recaudación seria de </w:t>
      </w:r>
      <w:r w:rsidR="001D5DFB">
        <w:rPr>
          <w:rFonts w:ascii="Arial" w:hAnsi="Arial" w:cs="Arial"/>
          <w:bCs/>
          <w:sz w:val="22"/>
          <w:szCs w:val="22"/>
          <w:lang w:val="es-ES_tradnl"/>
        </w:rPr>
        <w:t>1.80</w:t>
      </w:r>
      <w:r w:rsidR="00ED13ED">
        <w:rPr>
          <w:rFonts w:ascii="Arial" w:hAnsi="Arial" w:cs="Arial"/>
          <w:bCs/>
          <w:sz w:val="22"/>
          <w:szCs w:val="22"/>
          <w:lang w:val="es-ES_tradnl"/>
        </w:rPr>
        <w:t>%. Este aumento garantiza que el C/E medio sea de 0.</w:t>
      </w:r>
      <w:r w:rsidR="001D5DFB">
        <w:rPr>
          <w:rFonts w:ascii="Arial" w:hAnsi="Arial" w:cs="Arial"/>
          <w:bCs/>
          <w:sz w:val="22"/>
          <w:szCs w:val="22"/>
          <w:lang w:val="es-ES_tradnl"/>
        </w:rPr>
        <w:t>0102</w:t>
      </w:r>
      <w:r w:rsidR="0068280D">
        <w:rPr>
          <w:rFonts w:ascii="Arial" w:hAnsi="Arial" w:cs="Arial"/>
          <w:bCs/>
          <w:sz w:val="22"/>
          <w:szCs w:val="22"/>
          <w:lang w:val="es-ES_tradnl"/>
        </w:rPr>
        <w:t xml:space="preserve"> </w:t>
      </w:r>
      <w:r w:rsidR="00ED13ED">
        <w:rPr>
          <w:rFonts w:ascii="Arial" w:hAnsi="Arial" w:cs="Arial"/>
          <w:bCs/>
          <w:sz w:val="22"/>
          <w:szCs w:val="22"/>
          <w:lang w:val="es-ES_tradnl"/>
        </w:rPr>
        <w:t>igual al C/E medio sin programa</w:t>
      </w:r>
      <w:r w:rsidR="004E01F1">
        <w:rPr>
          <w:rFonts w:ascii="Arial" w:hAnsi="Arial" w:cs="Arial"/>
          <w:bCs/>
          <w:sz w:val="22"/>
          <w:szCs w:val="22"/>
          <w:lang w:val="es-ES_tradnl"/>
        </w:rPr>
        <w:t xml:space="preserve"> (ver Tabla </w:t>
      </w:r>
      <w:r w:rsidR="0026345A">
        <w:rPr>
          <w:rFonts w:ascii="Arial" w:hAnsi="Arial" w:cs="Arial"/>
          <w:bCs/>
          <w:sz w:val="22"/>
          <w:szCs w:val="22"/>
          <w:lang w:val="es-ES_tradnl"/>
        </w:rPr>
        <w:t>2</w:t>
      </w:r>
      <w:r w:rsidR="004E01F1">
        <w:rPr>
          <w:rFonts w:ascii="Arial" w:hAnsi="Arial" w:cs="Arial"/>
          <w:bCs/>
          <w:sz w:val="22"/>
          <w:szCs w:val="22"/>
          <w:lang w:val="es-ES_tradnl"/>
        </w:rPr>
        <w:t>)</w:t>
      </w:r>
      <w:r w:rsidR="00ED13ED">
        <w:rPr>
          <w:rFonts w:ascii="Arial" w:hAnsi="Arial" w:cs="Arial"/>
          <w:bCs/>
          <w:sz w:val="22"/>
          <w:szCs w:val="22"/>
          <w:lang w:val="es-ES_tradnl"/>
        </w:rPr>
        <w:t>.</w:t>
      </w:r>
    </w:p>
    <w:p w14:paraId="3AAB3BF9" w14:textId="562885D0" w:rsidR="00B87228" w:rsidRDefault="00B87228" w:rsidP="00B87228">
      <w:pPr>
        <w:pStyle w:val="Paragraph"/>
        <w:numPr>
          <w:ilvl w:val="0"/>
          <w:numId w:val="0"/>
        </w:numPr>
        <w:ind w:left="1296" w:hanging="1296"/>
        <w:outlineLvl w:val="9"/>
        <w:rPr>
          <w:rFonts w:ascii="Arial" w:hAnsi="Arial" w:cs="Arial"/>
          <w:bCs/>
          <w:sz w:val="22"/>
          <w:szCs w:val="22"/>
          <w:lang w:val="es-ES_tradnl"/>
        </w:rPr>
      </w:pPr>
    </w:p>
    <w:p w14:paraId="4DC5E036" w14:textId="162D4734" w:rsidR="005421E8" w:rsidRDefault="005421E8" w:rsidP="004E01F1">
      <w:pPr>
        <w:pStyle w:val="Paragraph"/>
        <w:numPr>
          <w:ilvl w:val="1"/>
          <w:numId w:val="0"/>
        </w:numPr>
        <w:ind w:left="1296" w:hanging="1296"/>
        <w:outlineLvl w:val="9"/>
        <w:rPr>
          <w:rFonts w:ascii="Arial" w:hAnsi="Arial" w:cs="Arial"/>
          <w:sz w:val="22"/>
          <w:szCs w:val="22"/>
          <w:lang w:val="es-ES_tradnl"/>
        </w:rPr>
      </w:pPr>
    </w:p>
    <w:p w14:paraId="4362FFE3" w14:textId="2028109B" w:rsidR="0068280D" w:rsidRDefault="0068280D" w:rsidP="004E01F1">
      <w:pPr>
        <w:pStyle w:val="Paragraph"/>
        <w:numPr>
          <w:ilvl w:val="1"/>
          <w:numId w:val="0"/>
        </w:numPr>
        <w:ind w:left="1296" w:hanging="1296"/>
        <w:outlineLvl w:val="9"/>
        <w:rPr>
          <w:rFonts w:ascii="Arial" w:hAnsi="Arial" w:cs="Arial"/>
          <w:sz w:val="22"/>
          <w:szCs w:val="22"/>
          <w:lang w:val="es-ES_tradnl"/>
        </w:rPr>
      </w:pPr>
    </w:p>
    <w:p w14:paraId="52B5DBF8" w14:textId="12B24152" w:rsidR="001D5DFB" w:rsidRPr="0026345A" w:rsidRDefault="001D5DFB" w:rsidP="004E01F1">
      <w:pPr>
        <w:pStyle w:val="Paragraph"/>
        <w:numPr>
          <w:ilvl w:val="1"/>
          <w:numId w:val="0"/>
        </w:numPr>
        <w:ind w:left="1296" w:hanging="1296"/>
        <w:outlineLvl w:val="9"/>
        <w:rPr>
          <w:rFonts w:ascii="Arial" w:hAnsi="Arial" w:cs="Arial"/>
          <w:sz w:val="22"/>
          <w:szCs w:val="22"/>
          <w:lang w:val="es-ES_tradnl"/>
        </w:rPr>
      </w:pPr>
      <w:r w:rsidRPr="001D5DFB">
        <w:rPr>
          <w:noProof/>
        </w:rPr>
        <w:lastRenderedPageBreak/>
        <w:drawing>
          <wp:inline distT="0" distB="0" distL="0" distR="0" wp14:anchorId="3F10047A" wp14:editId="478D88FF">
            <wp:extent cx="5786120" cy="2209165"/>
            <wp:effectExtent l="0" t="0" r="5080" b="635"/>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786120" cy="2209165"/>
                    </a:xfrm>
                    <a:prstGeom prst="rect">
                      <a:avLst/>
                    </a:prstGeom>
                    <a:noFill/>
                    <a:ln>
                      <a:noFill/>
                    </a:ln>
                  </pic:spPr>
                </pic:pic>
              </a:graphicData>
            </a:graphic>
          </wp:inline>
        </w:drawing>
      </w:r>
    </w:p>
    <w:p w14:paraId="3BA97D83" w14:textId="7040F057" w:rsidR="00CF039F" w:rsidRDefault="00CF039F" w:rsidP="004E01F1">
      <w:pPr>
        <w:pStyle w:val="Paragraph"/>
        <w:numPr>
          <w:ilvl w:val="1"/>
          <w:numId w:val="0"/>
        </w:numPr>
        <w:ind w:left="1296" w:hanging="1296"/>
        <w:outlineLvl w:val="9"/>
        <w:rPr>
          <w:rFonts w:ascii="Arial" w:hAnsi="Arial" w:cs="Arial"/>
          <w:sz w:val="22"/>
          <w:szCs w:val="22"/>
          <w:lang w:val="es-ES_tradnl"/>
        </w:rPr>
      </w:pPr>
    </w:p>
    <w:p w14:paraId="292AC1FB" w14:textId="6CFD844B" w:rsidR="00CF039F" w:rsidRDefault="00CF039F" w:rsidP="005D44DB">
      <w:pPr>
        <w:pStyle w:val="Paragraph"/>
        <w:numPr>
          <w:ilvl w:val="1"/>
          <w:numId w:val="2"/>
        </w:numPr>
        <w:outlineLvl w:val="9"/>
        <w:rPr>
          <w:rFonts w:ascii="Arial" w:hAnsi="Arial" w:cs="Arial"/>
          <w:sz w:val="22"/>
          <w:szCs w:val="22"/>
          <w:lang w:val="es-ES_tradnl"/>
        </w:rPr>
      </w:pPr>
      <w:r>
        <w:rPr>
          <w:rFonts w:ascii="Arial" w:hAnsi="Arial" w:cs="Arial"/>
          <w:sz w:val="22"/>
          <w:szCs w:val="22"/>
          <w:lang w:val="es-ES_tradnl"/>
        </w:rPr>
        <w:t>Adicionalmente se hizo un análisis de sensibilidad respecto al impacto de la reducción de costos del presupuesto original. En este caso el objetivo fue determinar el mínimo porcentaje de reducción de costos como porcentaje del presupuesto que se necesita para mantener los niveles que el costo / efectividad sin programa. En este caso los resultados del análisis muestran que para esto ocurra se necesita que la reducción de costos del S</w:t>
      </w:r>
      <w:r w:rsidR="0026345A">
        <w:rPr>
          <w:rFonts w:ascii="Arial" w:hAnsi="Arial" w:cs="Arial"/>
          <w:sz w:val="22"/>
          <w:szCs w:val="22"/>
          <w:lang w:val="es-ES_tradnl"/>
        </w:rPr>
        <w:t>RI</w:t>
      </w:r>
      <w:r>
        <w:rPr>
          <w:rFonts w:ascii="Arial" w:hAnsi="Arial" w:cs="Arial"/>
          <w:sz w:val="22"/>
          <w:szCs w:val="22"/>
          <w:lang w:val="es-ES_tradnl"/>
        </w:rPr>
        <w:t xml:space="preserve"> respecto a su presup</w:t>
      </w:r>
      <w:r w:rsidR="00B96FF1">
        <w:rPr>
          <w:rFonts w:ascii="Arial" w:hAnsi="Arial" w:cs="Arial"/>
          <w:sz w:val="22"/>
          <w:szCs w:val="22"/>
          <w:lang w:val="es-ES_tradnl"/>
        </w:rPr>
        <w:t>u</w:t>
      </w:r>
      <w:r>
        <w:rPr>
          <w:rFonts w:ascii="Arial" w:hAnsi="Arial" w:cs="Arial"/>
          <w:sz w:val="22"/>
          <w:szCs w:val="22"/>
          <w:lang w:val="es-ES_tradnl"/>
        </w:rPr>
        <w:t xml:space="preserve">esto original sea de </w:t>
      </w:r>
      <w:r w:rsidR="005141B5">
        <w:rPr>
          <w:rFonts w:ascii="Arial" w:hAnsi="Arial" w:cs="Arial"/>
          <w:sz w:val="22"/>
          <w:szCs w:val="22"/>
          <w:lang w:val="es-ES_tradnl"/>
        </w:rPr>
        <w:t>3.3</w:t>
      </w:r>
      <w:r>
        <w:rPr>
          <w:rFonts w:ascii="Arial" w:hAnsi="Arial" w:cs="Arial"/>
          <w:sz w:val="22"/>
          <w:szCs w:val="22"/>
          <w:lang w:val="es-ES_tradnl"/>
        </w:rPr>
        <w:t xml:space="preserve">% y en el caso del SENAE de </w:t>
      </w:r>
      <w:r w:rsidR="00492C74">
        <w:rPr>
          <w:rFonts w:ascii="Arial" w:hAnsi="Arial" w:cs="Arial"/>
          <w:sz w:val="22"/>
          <w:szCs w:val="22"/>
          <w:lang w:val="es-ES_tradnl"/>
        </w:rPr>
        <w:t>1.2</w:t>
      </w:r>
      <w:r>
        <w:rPr>
          <w:rFonts w:ascii="Arial" w:hAnsi="Arial" w:cs="Arial"/>
          <w:sz w:val="22"/>
          <w:szCs w:val="22"/>
          <w:lang w:val="es-ES_tradnl"/>
        </w:rPr>
        <w:t xml:space="preserve">% (ver Tabla </w:t>
      </w:r>
      <w:r w:rsidR="0026345A">
        <w:rPr>
          <w:rFonts w:ascii="Arial" w:hAnsi="Arial" w:cs="Arial"/>
          <w:sz w:val="22"/>
          <w:szCs w:val="22"/>
          <w:lang w:val="es-ES_tradnl"/>
        </w:rPr>
        <w:t>3</w:t>
      </w:r>
      <w:r>
        <w:rPr>
          <w:rFonts w:ascii="Arial" w:hAnsi="Arial" w:cs="Arial"/>
          <w:sz w:val="22"/>
          <w:szCs w:val="22"/>
          <w:lang w:val="es-ES_tradnl"/>
        </w:rPr>
        <w:t>)</w:t>
      </w:r>
    </w:p>
    <w:p w14:paraId="68607573" w14:textId="54C91F64" w:rsidR="00CF039F" w:rsidRDefault="00CF039F" w:rsidP="0026345A">
      <w:pPr>
        <w:pStyle w:val="Paragraph"/>
        <w:numPr>
          <w:ilvl w:val="0"/>
          <w:numId w:val="0"/>
        </w:numPr>
        <w:jc w:val="center"/>
        <w:outlineLvl w:val="9"/>
        <w:rPr>
          <w:rFonts w:ascii="Arial" w:hAnsi="Arial" w:cs="Arial"/>
          <w:sz w:val="22"/>
          <w:szCs w:val="22"/>
          <w:lang w:val="es-ES_tradnl"/>
        </w:rPr>
      </w:pPr>
    </w:p>
    <w:p w14:paraId="0472FCB0" w14:textId="58E227F0" w:rsidR="005141B5" w:rsidRDefault="005141B5" w:rsidP="0026345A">
      <w:pPr>
        <w:pStyle w:val="Paragraph"/>
        <w:numPr>
          <w:ilvl w:val="0"/>
          <w:numId w:val="0"/>
        </w:numPr>
        <w:jc w:val="center"/>
        <w:outlineLvl w:val="9"/>
        <w:rPr>
          <w:rFonts w:ascii="Arial" w:hAnsi="Arial" w:cs="Arial"/>
          <w:sz w:val="22"/>
          <w:szCs w:val="22"/>
        </w:rPr>
      </w:pPr>
    </w:p>
    <w:p w14:paraId="328969F4" w14:textId="350FAE38" w:rsidR="00492C74" w:rsidRPr="007700EE" w:rsidRDefault="00492C74" w:rsidP="0026345A">
      <w:pPr>
        <w:pStyle w:val="Paragraph"/>
        <w:numPr>
          <w:ilvl w:val="0"/>
          <w:numId w:val="0"/>
        </w:numPr>
        <w:jc w:val="center"/>
        <w:outlineLvl w:val="9"/>
        <w:rPr>
          <w:rFonts w:ascii="Arial" w:hAnsi="Arial" w:cs="Arial"/>
          <w:sz w:val="22"/>
          <w:szCs w:val="22"/>
        </w:rPr>
      </w:pPr>
      <w:r w:rsidRPr="00492C74">
        <w:rPr>
          <w:noProof/>
        </w:rPr>
        <w:drawing>
          <wp:inline distT="0" distB="0" distL="0" distR="0" wp14:anchorId="144A90F4" wp14:editId="5A039E14">
            <wp:extent cx="5786120" cy="2244090"/>
            <wp:effectExtent l="0" t="0" r="5080" b="381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86120" cy="2244090"/>
                    </a:xfrm>
                    <a:prstGeom prst="rect">
                      <a:avLst/>
                    </a:prstGeom>
                    <a:noFill/>
                    <a:ln>
                      <a:noFill/>
                    </a:ln>
                  </pic:spPr>
                </pic:pic>
              </a:graphicData>
            </a:graphic>
          </wp:inline>
        </w:drawing>
      </w:r>
    </w:p>
    <w:p w14:paraId="7E9B15BA" w14:textId="0E9965BC" w:rsidR="00B96FF1" w:rsidRDefault="00B96FF1" w:rsidP="005D44DB">
      <w:pPr>
        <w:pStyle w:val="Paragraph"/>
        <w:numPr>
          <w:ilvl w:val="1"/>
          <w:numId w:val="2"/>
        </w:numPr>
        <w:outlineLvl w:val="9"/>
        <w:rPr>
          <w:rFonts w:ascii="Arial" w:hAnsi="Arial" w:cs="Arial"/>
          <w:sz w:val="22"/>
          <w:szCs w:val="22"/>
          <w:lang w:val="es-ES_tradnl"/>
        </w:rPr>
      </w:pPr>
      <w:r>
        <w:rPr>
          <w:rFonts w:ascii="Arial" w:hAnsi="Arial" w:cs="Arial"/>
          <w:sz w:val="22"/>
          <w:szCs w:val="22"/>
          <w:lang w:val="es-ES_tradnl"/>
        </w:rPr>
        <w:t>S</w:t>
      </w:r>
      <w:r w:rsidR="007B386C">
        <w:rPr>
          <w:rFonts w:ascii="Arial" w:hAnsi="Arial" w:cs="Arial"/>
          <w:sz w:val="22"/>
          <w:szCs w:val="22"/>
          <w:lang w:val="es-ES_tradnl"/>
        </w:rPr>
        <w:t>e realizaron pruebas de sensibilidad relacionadas al impacto del COVID 19.</w:t>
      </w:r>
      <w:r>
        <w:rPr>
          <w:rFonts w:ascii="Arial" w:hAnsi="Arial" w:cs="Arial"/>
          <w:sz w:val="22"/>
          <w:szCs w:val="22"/>
          <w:lang w:val="es-ES_tradnl"/>
        </w:rPr>
        <w:t xml:space="preserve"> El escenario base asume que la recuperación del impacto de la pandemia será lenta y tomará más de 2 años para volver a la normalidad. Simulaciones de recuperaciones más rápidas arrojan mejores resultados tanto en el SRI como el SENAE.</w:t>
      </w:r>
    </w:p>
    <w:p w14:paraId="3F6E4D4F" w14:textId="33DFDA66" w:rsidR="00B96FF1" w:rsidRDefault="0082702B" w:rsidP="005D44DB">
      <w:pPr>
        <w:pStyle w:val="Paragraph"/>
        <w:numPr>
          <w:ilvl w:val="1"/>
          <w:numId w:val="2"/>
        </w:numPr>
        <w:outlineLvl w:val="9"/>
        <w:rPr>
          <w:rFonts w:ascii="Arial" w:hAnsi="Arial" w:cs="Arial"/>
          <w:sz w:val="22"/>
          <w:szCs w:val="22"/>
          <w:lang w:val="es-ES_tradnl"/>
        </w:rPr>
      </w:pPr>
      <w:r>
        <w:rPr>
          <w:rFonts w:ascii="Arial" w:hAnsi="Arial" w:cs="Arial"/>
          <w:sz w:val="22"/>
          <w:szCs w:val="22"/>
          <w:lang w:val="es-ES_tradnl"/>
        </w:rPr>
        <w:t>También</w:t>
      </w:r>
      <w:r w:rsidR="00B96FF1">
        <w:rPr>
          <w:rFonts w:ascii="Arial" w:hAnsi="Arial" w:cs="Arial"/>
          <w:sz w:val="22"/>
          <w:szCs w:val="22"/>
          <w:lang w:val="es-ES_tradnl"/>
        </w:rPr>
        <w:t xml:space="preserve"> se hicieron análisis de sensibilidad de los efectos combinados de reducción de recaudación y reducción de costos. Los resultados de estas simulaciones que no se reportan en este informe por razones de espacio indican que el resultado del programa es más sensible a aumentos o disminuciones de las metas de recaudación que a la reducción o aumento de costos.</w:t>
      </w:r>
    </w:p>
    <w:p w14:paraId="637AF25F" w14:textId="77777777" w:rsidR="0026345A" w:rsidRDefault="0026345A" w:rsidP="0026345A">
      <w:pPr>
        <w:pStyle w:val="Paragraph"/>
        <w:numPr>
          <w:ilvl w:val="0"/>
          <w:numId w:val="0"/>
        </w:numPr>
        <w:ind w:left="1296"/>
        <w:outlineLvl w:val="9"/>
        <w:rPr>
          <w:rFonts w:ascii="Arial" w:hAnsi="Arial" w:cs="Arial"/>
          <w:sz w:val="22"/>
          <w:szCs w:val="22"/>
          <w:lang w:val="es-ES_tradnl"/>
        </w:rPr>
        <w:sectPr w:rsidR="0026345A" w:rsidSect="007F34D5">
          <w:type w:val="continuous"/>
          <w:pgSz w:w="11906" w:h="16838"/>
          <w:pgMar w:top="994" w:right="1440" w:bottom="1166" w:left="1354" w:header="720" w:footer="720" w:gutter="0"/>
          <w:cols w:space="720"/>
          <w:docGrid w:linePitch="360"/>
        </w:sectPr>
      </w:pPr>
    </w:p>
    <w:p w14:paraId="445142BF" w14:textId="7C7A6117" w:rsidR="007B386C" w:rsidRDefault="007B386C" w:rsidP="00CF039F">
      <w:pPr>
        <w:pStyle w:val="Paragraph"/>
        <w:numPr>
          <w:ilvl w:val="0"/>
          <w:numId w:val="0"/>
        </w:numPr>
        <w:ind w:left="1440"/>
        <w:jc w:val="center"/>
        <w:outlineLvl w:val="9"/>
        <w:rPr>
          <w:rFonts w:ascii="Arial" w:hAnsi="Arial" w:cs="Arial"/>
          <w:sz w:val="22"/>
          <w:szCs w:val="22"/>
          <w:lang w:val="es-ES_tradnl"/>
        </w:rPr>
      </w:pPr>
    </w:p>
    <w:p w14:paraId="7DEBA909" w14:textId="77777777" w:rsidR="007B386C" w:rsidRDefault="007B386C" w:rsidP="00CF039F">
      <w:pPr>
        <w:pStyle w:val="Paragraph"/>
        <w:numPr>
          <w:ilvl w:val="0"/>
          <w:numId w:val="0"/>
        </w:numPr>
        <w:ind w:left="1440"/>
        <w:jc w:val="center"/>
        <w:outlineLvl w:val="9"/>
        <w:rPr>
          <w:rFonts w:ascii="Arial" w:hAnsi="Arial" w:cs="Arial"/>
          <w:sz w:val="22"/>
          <w:szCs w:val="22"/>
          <w:lang w:val="es-ES_tradnl"/>
        </w:rPr>
      </w:pPr>
    </w:p>
    <w:p w14:paraId="5786B09E" w14:textId="77777777" w:rsidR="00CF039F" w:rsidRDefault="00CF039F" w:rsidP="00CF039F">
      <w:pPr>
        <w:pStyle w:val="Paragraph"/>
        <w:numPr>
          <w:ilvl w:val="0"/>
          <w:numId w:val="0"/>
        </w:numPr>
        <w:ind w:left="1296" w:hanging="1296"/>
        <w:outlineLvl w:val="9"/>
        <w:rPr>
          <w:rFonts w:ascii="Arial" w:hAnsi="Arial" w:cs="Arial"/>
          <w:sz w:val="22"/>
          <w:szCs w:val="22"/>
          <w:lang w:val="es-ES_tradnl"/>
        </w:rPr>
      </w:pPr>
    </w:p>
    <w:p w14:paraId="06512D13" w14:textId="77777777" w:rsidR="00CF039F" w:rsidRPr="008E5AD5" w:rsidRDefault="00CF039F" w:rsidP="004E01F1">
      <w:pPr>
        <w:pStyle w:val="Paragraph"/>
        <w:numPr>
          <w:ilvl w:val="1"/>
          <w:numId w:val="0"/>
        </w:numPr>
        <w:ind w:left="1296" w:hanging="1296"/>
        <w:outlineLvl w:val="9"/>
        <w:rPr>
          <w:rFonts w:ascii="Arial" w:hAnsi="Arial" w:cs="Arial"/>
          <w:sz w:val="22"/>
          <w:szCs w:val="22"/>
          <w:lang w:val="es-ES_tradnl"/>
        </w:rPr>
      </w:pPr>
    </w:p>
    <w:p w14:paraId="5FE40117" w14:textId="199B630D" w:rsidR="00596765" w:rsidRPr="009C0E1F" w:rsidRDefault="00596765" w:rsidP="004828C8">
      <w:pPr>
        <w:pStyle w:val="Paragraph"/>
        <w:numPr>
          <w:ilvl w:val="0"/>
          <w:numId w:val="0"/>
        </w:numPr>
        <w:ind w:left="1080" w:hanging="1260"/>
        <w:jc w:val="right"/>
        <w:outlineLvl w:val="9"/>
        <w:rPr>
          <w:rFonts w:ascii="Arial" w:hAnsi="Arial" w:cs="Arial"/>
          <w:sz w:val="22"/>
          <w:szCs w:val="22"/>
          <w:lang w:val="es-ES_tradnl"/>
        </w:rPr>
      </w:pPr>
    </w:p>
    <w:p w14:paraId="3B390D59" w14:textId="055701D5" w:rsidR="00F10D9A" w:rsidRPr="009C0E1F" w:rsidRDefault="00B04658" w:rsidP="005D44DB">
      <w:pPr>
        <w:pStyle w:val="Chapter"/>
        <w:numPr>
          <w:ilvl w:val="0"/>
          <w:numId w:val="2"/>
        </w:numPr>
        <w:spacing w:before="120"/>
        <w:ind w:left="1454" w:hanging="619"/>
        <w:jc w:val="left"/>
        <w:outlineLvl w:val="0"/>
        <w:rPr>
          <w:rFonts w:ascii="Arial" w:hAnsi="Arial" w:cs="Arial"/>
          <w:b w:val="0"/>
          <w:spacing w:val="-2"/>
          <w:lang w:val="es-ES_tradnl"/>
        </w:rPr>
      </w:pPr>
      <w:r w:rsidRPr="009C0E1F">
        <w:rPr>
          <w:rFonts w:ascii="Arial" w:hAnsi="Arial" w:cs="Arial"/>
          <w:lang w:val="es-ES_tradnl"/>
        </w:rPr>
        <w:br w:type="page"/>
      </w:r>
      <w:bookmarkStart w:id="101" w:name="_Toc30183900"/>
      <w:r w:rsidR="005D5FF0" w:rsidRPr="00CE5690">
        <w:rPr>
          <w:rFonts w:ascii="Arial" w:hAnsi="Arial" w:cs="Arial"/>
          <w:sz w:val="22"/>
          <w:szCs w:val="22"/>
          <w:lang w:val="es-ES_tradnl"/>
        </w:rPr>
        <w:lastRenderedPageBreak/>
        <w:t>Bibliografía</w:t>
      </w:r>
      <w:bookmarkEnd w:id="101"/>
    </w:p>
    <w:p w14:paraId="67179B78" w14:textId="77777777" w:rsidR="00316B69" w:rsidRPr="009C0E1F" w:rsidRDefault="00316B69" w:rsidP="00316B69">
      <w:pPr>
        <w:spacing w:before="120" w:after="120"/>
        <w:contextualSpacing/>
        <w:rPr>
          <w:rFonts w:ascii="Arial" w:hAnsi="Arial" w:cs="Arial"/>
          <w:lang w:val="es-ES_tradnl"/>
        </w:rPr>
      </w:pPr>
    </w:p>
    <w:p w14:paraId="5EAC177B" w14:textId="5A0D3836" w:rsidR="00177DBD" w:rsidRPr="009427BA" w:rsidRDefault="00177DBD" w:rsidP="004967BB">
      <w:pPr>
        <w:pStyle w:val="Paragraph"/>
        <w:numPr>
          <w:ilvl w:val="0"/>
          <w:numId w:val="4"/>
        </w:numPr>
        <w:spacing w:after="60"/>
        <w:outlineLvl w:val="9"/>
        <w:rPr>
          <w:rFonts w:ascii="Arial" w:hAnsi="Arial" w:cs="Arial"/>
          <w:spacing w:val="-2"/>
          <w:sz w:val="22"/>
          <w:szCs w:val="22"/>
          <w:lang w:val="en-US"/>
        </w:rPr>
      </w:pPr>
      <w:r w:rsidRPr="009C0E1F">
        <w:rPr>
          <w:rFonts w:ascii="Arial" w:hAnsi="Arial" w:cs="Arial"/>
          <w:spacing w:val="-2"/>
          <w:sz w:val="22"/>
          <w:szCs w:val="22"/>
          <w:lang w:val="en-US"/>
        </w:rPr>
        <w:t xml:space="preserve">Alesina, A., et al. </w:t>
      </w:r>
      <w:r w:rsidR="009427BA">
        <w:rPr>
          <w:rFonts w:ascii="Arial" w:hAnsi="Arial" w:cs="Arial"/>
          <w:spacing w:val="-2"/>
          <w:sz w:val="22"/>
          <w:szCs w:val="22"/>
          <w:lang w:val="en-US"/>
        </w:rPr>
        <w:t xml:space="preserve">(1999). </w:t>
      </w:r>
      <w:r w:rsidRPr="009C0E1F">
        <w:rPr>
          <w:rFonts w:ascii="Arial" w:hAnsi="Arial" w:cs="Arial"/>
          <w:spacing w:val="-2"/>
          <w:sz w:val="22"/>
          <w:szCs w:val="22"/>
          <w:lang w:val="en-US"/>
        </w:rPr>
        <w:t xml:space="preserve">"Budget institutions and fiscal performance in Latin America”.  </w:t>
      </w:r>
      <w:r w:rsidRPr="009427BA">
        <w:rPr>
          <w:rFonts w:ascii="Arial" w:hAnsi="Arial" w:cs="Arial"/>
          <w:spacing w:val="-2"/>
          <w:sz w:val="22"/>
          <w:szCs w:val="22"/>
          <w:lang w:val="en-US"/>
        </w:rPr>
        <w:t>Journal of Development Economics</w:t>
      </w:r>
      <w:r w:rsidR="009427BA">
        <w:rPr>
          <w:rFonts w:ascii="Arial" w:hAnsi="Arial" w:cs="Arial"/>
          <w:spacing w:val="-2"/>
          <w:sz w:val="22"/>
          <w:szCs w:val="22"/>
          <w:lang w:val="en-US"/>
        </w:rPr>
        <w:t>.</w:t>
      </w:r>
    </w:p>
    <w:p w14:paraId="291DB7D1" w14:textId="393FEBCC" w:rsidR="00E77D40" w:rsidRPr="009C0E1F" w:rsidRDefault="00E77D40" w:rsidP="004967BB">
      <w:pPr>
        <w:pStyle w:val="ListParagraph"/>
        <w:numPr>
          <w:ilvl w:val="0"/>
          <w:numId w:val="4"/>
        </w:numPr>
        <w:spacing w:before="120" w:after="60"/>
        <w:contextualSpacing w:val="0"/>
        <w:rPr>
          <w:rFonts w:ascii="Arial" w:hAnsi="Arial" w:cs="Arial"/>
          <w:lang w:val="es-ES_tradnl"/>
        </w:rPr>
      </w:pPr>
      <w:proofErr w:type="spellStart"/>
      <w:r w:rsidRPr="009C0E1F">
        <w:rPr>
          <w:rFonts w:ascii="Arial" w:hAnsi="Arial" w:cs="Arial"/>
          <w:lang w:val="pt-BR"/>
        </w:rPr>
        <w:t>Almunia</w:t>
      </w:r>
      <w:proofErr w:type="spellEnd"/>
      <w:r w:rsidRPr="009C0E1F">
        <w:rPr>
          <w:rFonts w:ascii="Arial" w:hAnsi="Arial" w:cs="Arial"/>
          <w:lang w:val="pt-BR"/>
        </w:rPr>
        <w:t xml:space="preserve">, Miguel, and David Lopez-Rodriguez. </w:t>
      </w:r>
      <w:r w:rsidR="009427BA" w:rsidRPr="00A71E20">
        <w:rPr>
          <w:rFonts w:ascii="Arial" w:hAnsi="Arial" w:cs="Arial"/>
        </w:rPr>
        <w:t>(</w:t>
      </w:r>
      <w:r w:rsidRPr="00A71E20">
        <w:rPr>
          <w:rFonts w:ascii="Arial" w:hAnsi="Arial" w:cs="Arial"/>
        </w:rPr>
        <w:t>2018</w:t>
      </w:r>
      <w:r w:rsidR="009427BA" w:rsidRPr="00A71E20">
        <w:rPr>
          <w:rFonts w:ascii="Arial" w:hAnsi="Arial" w:cs="Arial"/>
        </w:rPr>
        <w:t>)</w:t>
      </w:r>
      <w:r w:rsidRPr="00A71E20">
        <w:rPr>
          <w:rFonts w:ascii="Arial" w:hAnsi="Arial" w:cs="Arial"/>
        </w:rPr>
        <w:t xml:space="preserve">. </w:t>
      </w:r>
      <w:r w:rsidRPr="009C0E1F">
        <w:rPr>
          <w:rFonts w:ascii="Arial" w:hAnsi="Arial" w:cs="Arial"/>
        </w:rPr>
        <w:t xml:space="preserve">"Under the Radar: The Effects of Monitoring Firms on Tax Compliance." </w:t>
      </w:r>
      <w:r w:rsidRPr="009C0E1F">
        <w:rPr>
          <w:rFonts w:ascii="Arial" w:hAnsi="Arial" w:cs="Arial"/>
          <w:lang w:val="es-ES_tradnl"/>
        </w:rPr>
        <w:t xml:space="preserve">American Economic Journal: Economic Policy, 10(1): 1-38. </w:t>
      </w:r>
    </w:p>
    <w:p w14:paraId="5614A57C" w14:textId="77777777" w:rsidR="00E77D40" w:rsidRPr="009C0E1F" w:rsidRDefault="00E77D40" w:rsidP="004967BB">
      <w:pPr>
        <w:pStyle w:val="ListParagraph"/>
        <w:numPr>
          <w:ilvl w:val="0"/>
          <w:numId w:val="4"/>
        </w:numPr>
        <w:autoSpaceDE w:val="0"/>
        <w:autoSpaceDN w:val="0"/>
        <w:adjustRightInd w:val="0"/>
        <w:spacing w:before="120" w:after="60"/>
        <w:contextualSpacing w:val="0"/>
        <w:rPr>
          <w:rFonts w:ascii="Arial" w:eastAsia="Arial" w:hAnsi="Arial" w:cs="Arial"/>
          <w:lang w:val="es-ES_tradnl"/>
        </w:rPr>
      </w:pPr>
      <w:r w:rsidRPr="009C0E1F">
        <w:rPr>
          <w:rFonts w:ascii="Arial" w:hAnsi="Arial" w:cs="Arial"/>
          <w:spacing w:val="-2"/>
          <w:lang w:val="es-ES_tradnl"/>
        </w:rPr>
        <w:t xml:space="preserve">Arenas de Mesa, A. (2016). Sostenibilidad fiscal y reformas tributarias en América Latina. </w:t>
      </w:r>
    </w:p>
    <w:p w14:paraId="0B0DAAB8" w14:textId="5CC52EB3" w:rsidR="00177DBD" w:rsidRPr="009C0E1F" w:rsidRDefault="00177DBD" w:rsidP="004967BB">
      <w:pPr>
        <w:pStyle w:val="ListParagraph"/>
        <w:numPr>
          <w:ilvl w:val="0"/>
          <w:numId w:val="4"/>
        </w:numPr>
        <w:autoSpaceDE w:val="0"/>
        <w:autoSpaceDN w:val="0"/>
        <w:adjustRightInd w:val="0"/>
        <w:spacing w:before="120" w:after="60"/>
        <w:contextualSpacing w:val="0"/>
        <w:rPr>
          <w:rFonts w:ascii="Arial" w:hAnsi="Arial" w:cs="Arial"/>
          <w:lang w:val="es-ES_tradnl"/>
        </w:rPr>
      </w:pPr>
      <w:r w:rsidRPr="009C0E1F">
        <w:rPr>
          <w:rFonts w:ascii="Arial" w:hAnsi="Arial" w:cs="Arial"/>
        </w:rPr>
        <w:t xml:space="preserve">Banerjee, </w:t>
      </w:r>
      <w:proofErr w:type="spellStart"/>
      <w:r w:rsidRPr="009C0E1F">
        <w:rPr>
          <w:rFonts w:ascii="Arial" w:hAnsi="Arial" w:cs="Arial"/>
        </w:rPr>
        <w:t>Ritwik</w:t>
      </w:r>
      <w:proofErr w:type="spellEnd"/>
      <w:r w:rsidRPr="009C0E1F">
        <w:rPr>
          <w:rFonts w:ascii="Arial" w:hAnsi="Arial" w:cs="Arial"/>
        </w:rPr>
        <w:t xml:space="preserve">, </w:t>
      </w:r>
      <w:proofErr w:type="spellStart"/>
      <w:r w:rsidRPr="009C0E1F">
        <w:rPr>
          <w:rFonts w:ascii="Arial" w:hAnsi="Arial" w:cs="Arial"/>
        </w:rPr>
        <w:t>Tushi</w:t>
      </w:r>
      <w:proofErr w:type="spellEnd"/>
      <w:r w:rsidRPr="009C0E1F">
        <w:rPr>
          <w:rFonts w:ascii="Arial" w:hAnsi="Arial" w:cs="Arial"/>
        </w:rPr>
        <w:t xml:space="preserve"> </w:t>
      </w:r>
      <w:proofErr w:type="spellStart"/>
      <w:r w:rsidRPr="009C0E1F">
        <w:rPr>
          <w:rFonts w:ascii="Arial" w:hAnsi="Arial" w:cs="Arial"/>
        </w:rPr>
        <w:t>Baul</w:t>
      </w:r>
      <w:proofErr w:type="spellEnd"/>
      <w:r w:rsidRPr="009C0E1F">
        <w:rPr>
          <w:rFonts w:ascii="Arial" w:hAnsi="Arial" w:cs="Arial"/>
        </w:rPr>
        <w:t xml:space="preserve">, and Tanya </w:t>
      </w:r>
      <w:proofErr w:type="spellStart"/>
      <w:r w:rsidRPr="009C0E1F">
        <w:rPr>
          <w:rFonts w:ascii="Arial" w:hAnsi="Arial" w:cs="Arial"/>
        </w:rPr>
        <w:t>Rosenblat</w:t>
      </w:r>
      <w:proofErr w:type="spellEnd"/>
      <w:r w:rsidRPr="009C0E1F">
        <w:rPr>
          <w:rFonts w:ascii="Arial" w:hAnsi="Arial" w:cs="Arial"/>
        </w:rPr>
        <w:t xml:space="preserve">. </w:t>
      </w:r>
      <w:r w:rsidR="009427BA">
        <w:rPr>
          <w:rFonts w:ascii="Arial" w:hAnsi="Arial" w:cs="Arial"/>
        </w:rPr>
        <w:t>(</w:t>
      </w:r>
      <w:r w:rsidRPr="009C0E1F">
        <w:rPr>
          <w:rFonts w:ascii="Arial" w:hAnsi="Arial" w:cs="Arial"/>
        </w:rPr>
        <w:t>2017</w:t>
      </w:r>
      <w:r w:rsidR="009427BA">
        <w:rPr>
          <w:rFonts w:ascii="Arial" w:hAnsi="Arial" w:cs="Arial"/>
        </w:rPr>
        <w:t>)</w:t>
      </w:r>
      <w:r w:rsidRPr="009C0E1F">
        <w:rPr>
          <w:rFonts w:ascii="Arial" w:hAnsi="Arial" w:cs="Arial"/>
        </w:rPr>
        <w:t xml:space="preserve">. “E-governance, Accountability, and Leakage in Public Programs: Experimental Evidence from a Financial Management Reform in India.” </w:t>
      </w:r>
      <w:proofErr w:type="spellStart"/>
      <w:r w:rsidRPr="009C0E1F">
        <w:rPr>
          <w:rFonts w:ascii="Arial" w:hAnsi="Arial" w:cs="Arial"/>
          <w:lang w:val="es-ES_tradnl"/>
        </w:rPr>
        <w:t>Unpublished</w:t>
      </w:r>
      <w:proofErr w:type="spellEnd"/>
      <w:r w:rsidRPr="009C0E1F">
        <w:rPr>
          <w:rFonts w:ascii="Arial" w:hAnsi="Arial" w:cs="Arial"/>
          <w:lang w:val="es-ES_tradnl"/>
        </w:rPr>
        <w:t>. https://scholar.harvard.edu/files/rpande/files/biharnregapaper_20170831_final.pdf Consultado el 14 de Octubre de 2017.</w:t>
      </w:r>
    </w:p>
    <w:p w14:paraId="265B10F0" w14:textId="19C6BABA" w:rsidR="00177DBD" w:rsidRPr="009C0E1F" w:rsidRDefault="00177DBD" w:rsidP="004967BB">
      <w:pPr>
        <w:pStyle w:val="ListParagraph"/>
        <w:numPr>
          <w:ilvl w:val="0"/>
          <w:numId w:val="4"/>
        </w:numPr>
        <w:autoSpaceDE w:val="0"/>
        <w:autoSpaceDN w:val="0"/>
        <w:adjustRightInd w:val="0"/>
        <w:spacing w:before="120" w:after="60"/>
        <w:contextualSpacing w:val="0"/>
        <w:rPr>
          <w:rFonts w:ascii="Arial" w:hAnsi="Arial" w:cs="Arial"/>
          <w:lang w:val="es-ES_tradnl"/>
        </w:rPr>
      </w:pPr>
      <w:proofErr w:type="spellStart"/>
      <w:r w:rsidRPr="009C0E1F">
        <w:rPr>
          <w:rFonts w:ascii="Arial" w:hAnsi="Arial" w:cs="Arial"/>
        </w:rPr>
        <w:t>Dhaliwa</w:t>
      </w:r>
      <w:proofErr w:type="spellEnd"/>
      <w:r w:rsidRPr="009C0E1F">
        <w:rPr>
          <w:rFonts w:ascii="Arial" w:hAnsi="Arial" w:cs="Arial"/>
        </w:rPr>
        <w:t xml:space="preserve">, Iqbal l, and Rema Hanna. </w:t>
      </w:r>
      <w:r w:rsidR="009427BA">
        <w:rPr>
          <w:rFonts w:ascii="Arial" w:hAnsi="Arial" w:cs="Arial"/>
        </w:rPr>
        <w:t>(</w:t>
      </w:r>
      <w:r w:rsidRPr="009C0E1F">
        <w:rPr>
          <w:rFonts w:ascii="Arial" w:hAnsi="Arial" w:cs="Arial"/>
        </w:rPr>
        <w:t>2017</w:t>
      </w:r>
      <w:r w:rsidR="009427BA">
        <w:rPr>
          <w:rFonts w:ascii="Arial" w:hAnsi="Arial" w:cs="Arial"/>
        </w:rPr>
        <w:t>)</w:t>
      </w:r>
      <w:r w:rsidRPr="009C0E1F">
        <w:rPr>
          <w:rFonts w:ascii="Arial" w:hAnsi="Arial" w:cs="Arial"/>
        </w:rPr>
        <w:t xml:space="preserve">. ¨The devil is in the details: The successes and limitations of bureaucratic reform in </w:t>
      </w:r>
      <w:proofErr w:type="gramStart"/>
      <w:r w:rsidRPr="009C0E1F">
        <w:rPr>
          <w:rFonts w:ascii="Arial" w:hAnsi="Arial" w:cs="Arial"/>
        </w:rPr>
        <w:t>India.¨</w:t>
      </w:r>
      <w:proofErr w:type="gramEnd"/>
      <w:r w:rsidRPr="009C0E1F">
        <w:rPr>
          <w:rFonts w:ascii="Arial" w:hAnsi="Arial" w:cs="Arial"/>
        </w:rPr>
        <w:t xml:space="preserve">  </w:t>
      </w:r>
      <w:r w:rsidRPr="009C0E1F">
        <w:rPr>
          <w:rFonts w:ascii="Arial" w:hAnsi="Arial" w:cs="Arial"/>
          <w:i/>
          <w:lang w:val="es-ES_tradnl"/>
        </w:rPr>
        <w:t xml:space="preserve">Journal of </w:t>
      </w:r>
      <w:proofErr w:type="spellStart"/>
      <w:r w:rsidRPr="009C0E1F">
        <w:rPr>
          <w:rFonts w:ascii="Arial" w:hAnsi="Arial" w:cs="Arial"/>
          <w:i/>
          <w:lang w:val="es-ES_tradnl"/>
        </w:rPr>
        <w:t>Development</w:t>
      </w:r>
      <w:proofErr w:type="spellEnd"/>
      <w:r w:rsidRPr="009C0E1F">
        <w:rPr>
          <w:rFonts w:ascii="Arial" w:hAnsi="Arial" w:cs="Arial"/>
          <w:i/>
          <w:lang w:val="es-ES_tradnl"/>
        </w:rPr>
        <w:t xml:space="preserve"> </w:t>
      </w:r>
      <w:proofErr w:type="spellStart"/>
      <w:r w:rsidRPr="009C0E1F">
        <w:rPr>
          <w:rFonts w:ascii="Arial" w:hAnsi="Arial" w:cs="Arial"/>
          <w:i/>
          <w:lang w:val="es-ES_tradnl"/>
        </w:rPr>
        <w:t>Economics</w:t>
      </w:r>
      <w:proofErr w:type="spellEnd"/>
      <w:r w:rsidRPr="009C0E1F">
        <w:rPr>
          <w:rFonts w:ascii="Arial" w:hAnsi="Arial" w:cs="Arial"/>
          <w:i/>
          <w:lang w:val="es-ES_tradnl"/>
        </w:rPr>
        <w:t>,</w:t>
      </w:r>
      <w:r w:rsidRPr="009C0E1F">
        <w:rPr>
          <w:rFonts w:ascii="Arial" w:hAnsi="Arial" w:cs="Arial"/>
          <w:lang w:val="es-ES_tradnl"/>
        </w:rPr>
        <w:t xml:space="preserve"> </w:t>
      </w:r>
      <w:proofErr w:type="spellStart"/>
      <w:r w:rsidRPr="009C0E1F">
        <w:rPr>
          <w:rFonts w:ascii="Arial" w:hAnsi="Arial" w:cs="Arial"/>
          <w:lang w:val="es-ES_tradnl"/>
        </w:rPr>
        <w:t>Volume</w:t>
      </w:r>
      <w:proofErr w:type="spellEnd"/>
      <w:r w:rsidRPr="009C0E1F">
        <w:rPr>
          <w:rFonts w:ascii="Arial" w:hAnsi="Arial" w:cs="Arial"/>
          <w:lang w:val="es-ES_tradnl"/>
        </w:rPr>
        <w:t xml:space="preserve"> 124, 2017, Pages 1-21.</w:t>
      </w:r>
    </w:p>
    <w:p w14:paraId="3CDE037F" w14:textId="783D0D94" w:rsidR="00E77D40" w:rsidRPr="009C0E1F" w:rsidRDefault="00E77D40" w:rsidP="004967BB">
      <w:pPr>
        <w:pStyle w:val="ListParagraph"/>
        <w:numPr>
          <w:ilvl w:val="0"/>
          <w:numId w:val="4"/>
        </w:numPr>
        <w:autoSpaceDE w:val="0"/>
        <w:autoSpaceDN w:val="0"/>
        <w:adjustRightInd w:val="0"/>
        <w:spacing w:before="120" w:after="60"/>
        <w:contextualSpacing w:val="0"/>
        <w:jc w:val="both"/>
        <w:rPr>
          <w:rFonts w:ascii="Arial" w:hAnsi="Arial" w:cs="Arial"/>
          <w:lang w:val="es-ES_tradnl"/>
        </w:rPr>
      </w:pPr>
      <w:r w:rsidRPr="009C0E1F">
        <w:rPr>
          <w:rFonts w:ascii="Arial" w:hAnsi="Arial" w:cs="Arial"/>
          <w:lang w:val="es-ES_tradnl"/>
        </w:rPr>
        <w:t xml:space="preserve">Khan, A., A. Khwaja, y B. Olken. </w:t>
      </w:r>
      <w:r w:rsidR="009427BA" w:rsidRPr="00A71E20">
        <w:rPr>
          <w:rFonts w:ascii="Arial" w:hAnsi="Arial" w:cs="Arial"/>
        </w:rPr>
        <w:t>(</w:t>
      </w:r>
      <w:r w:rsidRPr="009C0E1F">
        <w:rPr>
          <w:rFonts w:ascii="Arial" w:hAnsi="Arial" w:cs="Arial"/>
        </w:rPr>
        <w:t>2016</w:t>
      </w:r>
      <w:r w:rsidR="009427BA">
        <w:rPr>
          <w:rFonts w:ascii="Arial" w:hAnsi="Arial" w:cs="Arial"/>
        </w:rPr>
        <w:t>)</w:t>
      </w:r>
      <w:r w:rsidRPr="009C0E1F">
        <w:rPr>
          <w:rFonts w:ascii="Arial" w:hAnsi="Arial" w:cs="Arial"/>
        </w:rPr>
        <w:t xml:space="preserve">. Tax farming redux: experimental evidence on performance </w:t>
      </w:r>
      <w:proofErr w:type="gramStart"/>
      <w:r w:rsidRPr="009C0E1F">
        <w:rPr>
          <w:rFonts w:ascii="Arial" w:hAnsi="Arial" w:cs="Arial"/>
        </w:rPr>
        <w:t>pay</w:t>
      </w:r>
      <w:proofErr w:type="gramEnd"/>
      <w:r w:rsidRPr="009C0E1F">
        <w:rPr>
          <w:rFonts w:ascii="Arial" w:hAnsi="Arial" w:cs="Arial"/>
        </w:rPr>
        <w:t xml:space="preserve"> for tax collectors. </w:t>
      </w:r>
      <w:proofErr w:type="spellStart"/>
      <w:r w:rsidRPr="009C0E1F">
        <w:rPr>
          <w:rFonts w:ascii="Arial" w:hAnsi="Arial" w:cs="Arial"/>
          <w:i/>
          <w:lang w:val="es-ES_tradnl"/>
        </w:rPr>
        <w:t>Quarterly</w:t>
      </w:r>
      <w:proofErr w:type="spellEnd"/>
      <w:r w:rsidRPr="009C0E1F">
        <w:rPr>
          <w:rFonts w:ascii="Arial" w:hAnsi="Arial" w:cs="Arial"/>
          <w:i/>
          <w:lang w:val="es-ES_tradnl"/>
        </w:rPr>
        <w:t xml:space="preserve"> </w:t>
      </w:r>
      <w:proofErr w:type="spellStart"/>
      <w:r w:rsidRPr="009C0E1F">
        <w:rPr>
          <w:rFonts w:ascii="Arial" w:hAnsi="Arial" w:cs="Arial"/>
          <w:i/>
          <w:lang w:val="es-ES_tradnl"/>
        </w:rPr>
        <w:t>Journal</w:t>
      </w:r>
      <w:proofErr w:type="spellEnd"/>
      <w:r w:rsidRPr="009C0E1F">
        <w:rPr>
          <w:rFonts w:ascii="Arial" w:hAnsi="Arial" w:cs="Arial"/>
          <w:i/>
          <w:lang w:val="es-ES_tradnl"/>
        </w:rPr>
        <w:t xml:space="preserve"> of </w:t>
      </w:r>
      <w:proofErr w:type="spellStart"/>
      <w:r w:rsidRPr="009C0E1F">
        <w:rPr>
          <w:rFonts w:ascii="Arial" w:hAnsi="Arial" w:cs="Arial"/>
          <w:i/>
          <w:lang w:val="es-ES_tradnl"/>
        </w:rPr>
        <w:t>Economics</w:t>
      </w:r>
      <w:proofErr w:type="spellEnd"/>
      <w:r w:rsidRPr="009C0E1F">
        <w:rPr>
          <w:rFonts w:ascii="Arial" w:hAnsi="Arial" w:cs="Arial"/>
          <w:lang w:val="es-ES_tradnl"/>
        </w:rPr>
        <w:t>.</w:t>
      </w:r>
    </w:p>
    <w:p w14:paraId="6E7FD714" w14:textId="3A915261" w:rsidR="00177DBD" w:rsidRPr="009C0E1F" w:rsidRDefault="00177DBD" w:rsidP="004967BB">
      <w:pPr>
        <w:pStyle w:val="ListParagraph"/>
        <w:numPr>
          <w:ilvl w:val="0"/>
          <w:numId w:val="4"/>
        </w:numPr>
        <w:autoSpaceDE w:val="0"/>
        <w:autoSpaceDN w:val="0"/>
        <w:adjustRightInd w:val="0"/>
        <w:spacing w:before="120" w:after="60"/>
        <w:contextualSpacing w:val="0"/>
        <w:jc w:val="both"/>
        <w:rPr>
          <w:rFonts w:ascii="Arial" w:hAnsi="Arial" w:cs="Arial"/>
        </w:rPr>
      </w:pPr>
      <w:r w:rsidRPr="009C0E1F">
        <w:rPr>
          <w:rFonts w:ascii="Arial" w:hAnsi="Arial" w:cs="Arial"/>
        </w:rPr>
        <w:t xml:space="preserve">Kleven, H. J., Knudsen, M. B., </w:t>
      </w:r>
      <w:proofErr w:type="spellStart"/>
      <w:r w:rsidRPr="009C0E1F">
        <w:rPr>
          <w:rFonts w:ascii="Arial" w:hAnsi="Arial" w:cs="Arial"/>
        </w:rPr>
        <w:t>Kreiner</w:t>
      </w:r>
      <w:proofErr w:type="spellEnd"/>
      <w:r w:rsidRPr="009C0E1F">
        <w:rPr>
          <w:rFonts w:ascii="Arial" w:hAnsi="Arial" w:cs="Arial"/>
        </w:rPr>
        <w:t xml:space="preserve">, C. T., Pedersen, S., and </w:t>
      </w:r>
      <w:proofErr w:type="spellStart"/>
      <w:r w:rsidRPr="009C0E1F">
        <w:rPr>
          <w:rFonts w:ascii="Arial" w:hAnsi="Arial" w:cs="Arial"/>
        </w:rPr>
        <w:t>Saez</w:t>
      </w:r>
      <w:proofErr w:type="spellEnd"/>
      <w:r w:rsidRPr="009C0E1F">
        <w:rPr>
          <w:rFonts w:ascii="Arial" w:hAnsi="Arial" w:cs="Arial"/>
        </w:rPr>
        <w:t xml:space="preserve">, E. </w:t>
      </w:r>
      <w:r w:rsidR="009427BA">
        <w:rPr>
          <w:rFonts w:ascii="Arial" w:hAnsi="Arial" w:cs="Arial"/>
        </w:rPr>
        <w:t>(</w:t>
      </w:r>
      <w:r w:rsidRPr="009C0E1F">
        <w:rPr>
          <w:rFonts w:ascii="Arial" w:hAnsi="Arial" w:cs="Arial"/>
        </w:rPr>
        <w:t>2011</w:t>
      </w:r>
      <w:r w:rsidR="009427BA">
        <w:rPr>
          <w:rFonts w:ascii="Arial" w:hAnsi="Arial" w:cs="Arial"/>
        </w:rPr>
        <w:t>)</w:t>
      </w:r>
      <w:r w:rsidRPr="009C0E1F">
        <w:rPr>
          <w:rFonts w:ascii="Arial" w:hAnsi="Arial" w:cs="Arial"/>
        </w:rPr>
        <w:t xml:space="preserve">. ‘Unwilling or Unable to Cheat? Evidence from a Tax Audit Experiment in Denmark’, </w:t>
      </w:r>
      <w:proofErr w:type="spellStart"/>
      <w:r w:rsidRPr="009C0E1F">
        <w:rPr>
          <w:rFonts w:ascii="Arial" w:hAnsi="Arial" w:cs="Arial"/>
          <w:i/>
          <w:iCs/>
        </w:rPr>
        <w:t>Econometrica</w:t>
      </w:r>
      <w:proofErr w:type="spellEnd"/>
      <w:r w:rsidRPr="009C0E1F">
        <w:rPr>
          <w:rFonts w:ascii="Arial" w:hAnsi="Arial" w:cs="Arial"/>
        </w:rPr>
        <w:t xml:space="preserve">, </w:t>
      </w:r>
      <w:r w:rsidRPr="009C0E1F">
        <w:rPr>
          <w:rFonts w:ascii="Arial" w:hAnsi="Arial" w:cs="Arial"/>
          <w:bCs/>
        </w:rPr>
        <w:t>79</w:t>
      </w:r>
      <w:r w:rsidRPr="009C0E1F">
        <w:rPr>
          <w:rFonts w:ascii="Arial" w:hAnsi="Arial" w:cs="Arial"/>
        </w:rPr>
        <w:t>, 651–92.</w:t>
      </w:r>
    </w:p>
    <w:p w14:paraId="581D9661" w14:textId="00C95842" w:rsidR="00177DBD" w:rsidRPr="009C0E1F" w:rsidRDefault="00177DBD" w:rsidP="004967BB">
      <w:pPr>
        <w:pStyle w:val="ListParagraph"/>
        <w:numPr>
          <w:ilvl w:val="0"/>
          <w:numId w:val="4"/>
        </w:numPr>
        <w:spacing w:before="120" w:after="60"/>
        <w:contextualSpacing w:val="0"/>
        <w:rPr>
          <w:rStyle w:val="pages4"/>
          <w:rFonts w:ascii="Arial" w:hAnsi="Arial" w:cs="Arial"/>
          <w:iCs/>
          <w:lang w:val="es-ES_tradnl"/>
        </w:rPr>
      </w:pPr>
      <w:r w:rsidRPr="009C0E1F">
        <w:rPr>
          <w:rFonts w:ascii="Arial" w:hAnsi="Arial" w:cs="Arial"/>
        </w:rPr>
        <w:t xml:space="preserve">Hallsworth, M. </w:t>
      </w:r>
      <w:r w:rsidR="009427BA">
        <w:rPr>
          <w:rFonts w:ascii="Arial" w:hAnsi="Arial" w:cs="Arial"/>
        </w:rPr>
        <w:t>(</w:t>
      </w:r>
      <w:r w:rsidRPr="009C0E1F">
        <w:rPr>
          <w:rFonts w:ascii="Arial" w:hAnsi="Arial" w:cs="Arial"/>
        </w:rPr>
        <w:t>2014</w:t>
      </w:r>
      <w:r w:rsidR="009427BA">
        <w:rPr>
          <w:rFonts w:ascii="Arial" w:hAnsi="Arial" w:cs="Arial"/>
        </w:rPr>
        <w:t>)</w:t>
      </w:r>
      <w:r w:rsidRPr="009C0E1F">
        <w:rPr>
          <w:rFonts w:ascii="Arial" w:hAnsi="Arial" w:cs="Arial"/>
        </w:rPr>
        <w:t xml:space="preserve">. </w:t>
      </w:r>
      <w:r w:rsidRPr="009C0E1F">
        <w:rPr>
          <w:rStyle w:val="pages4"/>
          <w:rFonts w:ascii="Arial" w:hAnsi="Arial" w:cs="Arial"/>
          <w:iCs/>
        </w:rPr>
        <w:t xml:space="preserve">“The Use of Field Experiments to Increase Tax Compliance. </w:t>
      </w:r>
      <w:r w:rsidRPr="009C0E1F">
        <w:rPr>
          <w:rStyle w:val="pages4"/>
          <w:rFonts w:ascii="Arial" w:hAnsi="Arial" w:cs="Arial"/>
          <w:iCs/>
          <w:lang w:val="es-ES_tradnl"/>
        </w:rPr>
        <w:t>“Oxford Review of Economic Policy 30(4), pp 658-679.</w:t>
      </w:r>
    </w:p>
    <w:p w14:paraId="21C29E05" w14:textId="77777777" w:rsidR="00E77D40" w:rsidRPr="009C0E1F" w:rsidRDefault="00E77D40" w:rsidP="004967BB">
      <w:pPr>
        <w:pStyle w:val="ListParagraph"/>
        <w:numPr>
          <w:ilvl w:val="0"/>
          <w:numId w:val="4"/>
        </w:numPr>
        <w:spacing w:before="120" w:after="60"/>
        <w:contextualSpacing w:val="0"/>
        <w:rPr>
          <w:rFonts w:ascii="Arial" w:hAnsi="Arial" w:cs="Arial"/>
          <w:lang w:val="es-ES_tradnl"/>
        </w:rPr>
      </w:pPr>
      <w:r w:rsidRPr="009C0E1F">
        <w:rPr>
          <w:rFonts w:ascii="Arial" w:hAnsi="Arial" w:cs="Arial"/>
        </w:rPr>
        <w:t xml:space="preserve">Pomeranz, D.D., 2015. No taxation without information: deterrence and self-enforcement in the value added tax. </w:t>
      </w:r>
      <w:r w:rsidRPr="009C0E1F">
        <w:rPr>
          <w:rFonts w:ascii="Arial" w:hAnsi="Arial" w:cs="Arial"/>
          <w:lang w:val="es-ES_tradnl"/>
        </w:rPr>
        <w:t>Am. Econ. Rev. 105 (8), 2539–2569.</w:t>
      </w:r>
    </w:p>
    <w:p w14:paraId="493C01FA" w14:textId="535C8DA4" w:rsidR="00E77D40" w:rsidRDefault="00E77D40" w:rsidP="004967BB">
      <w:pPr>
        <w:pStyle w:val="ListParagraph"/>
        <w:numPr>
          <w:ilvl w:val="0"/>
          <w:numId w:val="4"/>
        </w:numPr>
        <w:spacing w:before="120" w:after="60"/>
        <w:contextualSpacing w:val="0"/>
        <w:rPr>
          <w:rFonts w:ascii="Arial" w:hAnsi="Arial" w:cs="Arial"/>
        </w:rPr>
      </w:pPr>
      <w:r w:rsidRPr="00E77D40">
        <w:rPr>
          <w:rFonts w:ascii="Arial" w:hAnsi="Arial" w:cs="Arial"/>
        </w:rPr>
        <w:t>Poterba, James M., and Jürgen von Hagen</w:t>
      </w:r>
      <w:r w:rsidR="009427BA">
        <w:rPr>
          <w:rFonts w:ascii="Arial" w:hAnsi="Arial" w:cs="Arial"/>
        </w:rPr>
        <w:t xml:space="preserve"> (1999)</w:t>
      </w:r>
      <w:r w:rsidRPr="00E77D40">
        <w:rPr>
          <w:rFonts w:ascii="Arial" w:hAnsi="Arial" w:cs="Arial"/>
        </w:rPr>
        <w:t>. Fiscal Institutions and Fiscal Performance. University of Chicago Press</w:t>
      </w:r>
      <w:r w:rsidR="009427BA">
        <w:rPr>
          <w:rFonts w:ascii="Arial" w:hAnsi="Arial" w:cs="Arial"/>
        </w:rPr>
        <w:t>.</w:t>
      </w:r>
    </w:p>
    <w:p w14:paraId="48633C49" w14:textId="1BBE4E44" w:rsidR="009427BA" w:rsidRPr="009427BA" w:rsidRDefault="009427BA" w:rsidP="004967BB">
      <w:pPr>
        <w:pStyle w:val="ListParagraph"/>
        <w:numPr>
          <w:ilvl w:val="0"/>
          <w:numId w:val="4"/>
        </w:numPr>
        <w:spacing w:before="120" w:after="60"/>
        <w:contextualSpacing w:val="0"/>
        <w:rPr>
          <w:rFonts w:ascii="Arial" w:hAnsi="Arial" w:cs="Arial"/>
          <w:lang w:val="es-419"/>
        </w:rPr>
      </w:pPr>
      <w:r w:rsidRPr="009427BA">
        <w:rPr>
          <w:rFonts w:ascii="Arial" w:hAnsi="Arial" w:cs="Arial"/>
          <w:lang w:val="es-419"/>
        </w:rPr>
        <w:t>Servicio de Impuestos Internos</w:t>
      </w:r>
      <w:r>
        <w:rPr>
          <w:rFonts w:ascii="Arial" w:hAnsi="Arial" w:cs="Arial"/>
          <w:lang w:val="es-419"/>
        </w:rPr>
        <w:t xml:space="preserve"> (2012). </w:t>
      </w:r>
      <w:r w:rsidRPr="009427BA">
        <w:rPr>
          <w:rFonts w:ascii="Arial" w:hAnsi="Arial" w:cs="Arial"/>
          <w:lang w:val="es-419"/>
        </w:rPr>
        <w:t>“Cuenta Pública 2012</w:t>
      </w:r>
      <w:r>
        <w:rPr>
          <w:rFonts w:ascii="Arial" w:hAnsi="Arial" w:cs="Arial"/>
          <w:lang w:val="es-419"/>
        </w:rPr>
        <w:t xml:space="preserve">”.  Disponible en:  </w:t>
      </w:r>
      <w:r w:rsidRPr="009427BA">
        <w:rPr>
          <w:rFonts w:ascii="Arial" w:hAnsi="Arial" w:cs="Arial"/>
          <w:lang w:val="es-419"/>
        </w:rPr>
        <w:t>http://www.sii.cl/cuenta_publica/cta_2012.pdf</w:t>
      </w:r>
    </w:p>
    <w:p w14:paraId="284493A4" w14:textId="77777777" w:rsidR="004E01F1" w:rsidRDefault="00E77D40" w:rsidP="004E01F1">
      <w:pPr>
        <w:pStyle w:val="ListParagraph"/>
        <w:numPr>
          <w:ilvl w:val="0"/>
          <w:numId w:val="4"/>
        </w:numPr>
        <w:spacing w:before="120" w:after="60"/>
        <w:contextualSpacing w:val="0"/>
        <w:rPr>
          <w:rFonts w:ascii="Arial" w:hAnsi="Arial" w:cs="Arial"/>
        </w:rPr>
      </w:pPr>
      <w:r w:rsidRPr="009C0E1F">
        <w:rPr>
          <w:rFonts w:ascii="Arial" w:hAnsi="Arial" w:cs="Arial"/>
        </w:rPr>
        <w:t xml:space="preserve">Slemrod, Joel &amp; Collins, Brett &amp; Hoopes, Jeffrey L. &amp; Reck, Daniel &amp; </w:t>
      </w:r>
      <w:proofErr w:type="spellStart"/>
      <w:r w:rsidRPr="009C0E1F">
        <w:rPr>
          <w:rFonts w:ascii="Arial" w:hAnsi="Arial" w:cs="Arial"/>
        </w:rPr>
        <w:t>Sebastiani</w:t>
      </w:r>
      <w:proofErr w:type="spellEnd"/>
      <w:r w:rsidRPr="009C0E1F">
        <w:rPr>
          <w:rFonts w:ascii="Arial" w:hAnsi="Arial" w:cs="Arial"/>
        </w:rPr>
        <w:t xml:space="preserve">, Michael, </w:t>
      </w:r>
      <w:r w:rsidR="009427BA">
        <w:rPr>
          <w:rFonts w:ascii="Arial" w:hAnsi="Arial" w:cs="Arial"/>
        </w:rPr>
        <w:t>(</w:t>
      </w:r>
      <w:r w:rsidRPr="009C0E1F">
        <w:rPr>
          <w:rFonts w:ascii="Arial" w:hAnsi="Arial" w:cs="Arial"/>
        </w:rPr>
        <w:t>2017</w:t>
      </w:r>
      <w:r w:rsidR="009427BA">
        <w:rPr>
          <w:rFonts w:ascii="Arial" w:hAnsi="Arial" w:cs="Arial"/>
        </w:rPr>
        <w:t>)</w:t>
      </w:r>
      <w:r w:rsidRPr="009C0E1F">
        <w:rPr>
          <w:rFonts w:ascii="Arial" w:hAnsi="Arial" w:cs="Arial"/>
        </w:rPr>
        <w:t xml:space="preserve">."Does credit-card information reporting improve small-business tax </w:t>
      </w:r>
      <w:proofErr w:type="gramStart"/>
      <w:r w:rsidRPr="009C0E1F">
        <w:rPr>
          <w:rFonts w:ascii="Arial" w:hAnsi="Arial" w:cs="Arial"/>
        </w:rPr>
        <w:t>compliance?,</w:t>
      </w:r>
      <w:proofErr w:type="gramEnd"/>
      <w:r w:rsidRPr="009C0E1F">
        <w:rPr>
          <w:rFonts w:ascii="Arial" w:hAnsi="Arial" w:cs="Arial"/>
        </w:rPr>
        <w:t>" Journal of Public Economics, Elsevier, vol. 149(C), pages 1-19.</w:t>
      </w:r>
    </w:p>
    <w:p w14:paraId="3EDED99A" w14:textId="3C2C19A6" w:rsidR="004E01F1" w:rsidRDefault="004E01F1" w:rsidP="004E01F1">
      <w:pPr>
        <w:pStyle w:val="ListParagraph"/>
        <w:numPr>
          <w:ilvl w:val="0"/>
          <w:numId w:val="4"/>
        </w:numPr>
        <w:spacing w:before="120" w:after="60"/>
        <w:contextualSpacing w:val="0"/>
        <w:rPr>
          <w:rFonts w:ascii="Arial" w:hAnsi="Arial" w:cs="Arial"/>
        </w:rPr>
      </w:pPr>
      <w:proofErr w:type="spellStart"/>
      <w:r w:rsidRPr="004E01F1">
        <w:rPr>
          <w:rFonts w:ascii="Arial" w:hAnsi="Arial" w:cs="Arial"/>
        </w:rPr>
        <w:t>Fondo</w:t>
      </w:r>
      <w:proofErr w:type="spellEnd"/>
      <w:r w:rsidRPr="004E01F1">
        <w:rPr>
          <w:rFonts w:ascii="Arial" w:hAnsi="Arial" w:cs="Arial"/>
        </w:rPr>
        <w:t xml:space="preserve"> </w:t>
      </w:r>
      <w:proofErr w:type="spellStart"/>
      <w:r w:rsidRPr="004E01F1">
        <w:rPr>
          <w:rFonts w:ascii="Arial" w:hAnsi="Arial" w:cs="Arial"/>
        </w:rPr>
        <w:t>Monetario</w:t>
      </w:r>
      <w:proofErr w:type="spellEnd"/>
      <w:r w:rsidRPr="004E01F1">
        <w:rPr>
          <w:rFonts w:ascii="Arial" w:hAnsi="Arial" w:cs="Arial"/>
        </w:rPr>
        <w:t xml:space="preserve"> </w:t>
      </w:r>
      <w:proofErr w:type="spellStart"/>
      <w:r w:rsidRPr="004E01F1">
        <w:rPr>
          <w:rFonts w:ascii="Arial" w:hAnsi="Arial" w:cs="Arial"/>
        </w:rPr>
        <w:t>Internacional</w:t>
      </w:r>
      <w:proofErr w:type="spellEnd"/>
      <w:r w:rsidRPr="004E01F1">
        <w:rPr>
          <w:rFonts w:ascii="Arial" w:hAnsi="Arial" w:cs="Arial"/>
        </w:rPr>
        <w:t xml:space="preserve"> (2019). </w:t>
      </w:r>
      <w:proofErr w:type="gramStart"/>
      <w:r w:rsidRPr="004E01F1">
        <w:rPr>
          <w:rFonts w:ascii="Arial" w:hAnsi="Arial" w:cs="Arial"/>
        </w:rPr>
        <w:t>Ecuador :</w:t>
      </w:r>
      <w:proofErr w:type="gramEnd"/>
      <w:r w:rsidRPr="004E01F1">
        <w:rPr>
          <w:rFonts w:ascii="Arial" w:hAnsi="Arial" w:cs="Arial"/>
        </w:rPr>
        <w:t xml:space="preserve"> Staff Report for the 2019 Article IV Consultation and Request for an Extended Arrangement Under the Extended Fund Facility Staff Report</w:t>
      </w:r>
      <w:r>
        <w:rPr>
          <w:rFonts w:ascii="Arial" w:hAnsi="Arial" w:cs="Arial"/>
        </w:rPr>
        <w:t>, March 20, 2019</w:t>
      </w:r>
    </w:p>
    <w:p w14:paraId="02E0BDEA" w14:textId="6994F547" w:rsidR="004E01F1" w:rsidRPr="004E01F1" w:rsidRDefault="004E01F1" w:rsidP="004E01F1">
      <w:pPr>
        <w:pStyle w:val="ListParagraph"/>
        <w:numPr>
          <w:ilvl w:val="0"/>
          <w:numId w:val="4"/>
        </w:numPr>
        <w:spacing w:before="120" w:after="60"/>
        <w:contextualSpacing w:val="0"/>
        <w:rPr>
          <w:rFonts w:ascii="Arial" w:hAnsi="Arial" w:cs="Arial"/>
        </w:rPr>
      </w:pPr>
      <w:r w:rsidRPr="004E01F1">
        <w:rPr>
          <w:rFonts w:ascii="Arial" w:hAnsi="Arial" w:cs="Arial"/>
        </w:rPr>
        <w:t xml:space="preserve">IMF: World Economic Outlook (WEO), </w:t>
      </w:r>
      <w:r w:rsidR="006779A0">
        <w:rPr>
          <w:rFonts w:ascii="Arial" w:hAnsi="Arial" w:cs="Arial"/>
        </w:rPr>
        <w:t>January 202</w:t>
      </w:r>
      <w:r w:rsidR="0026345A">
        <w:rPr>
          <w:rFonts w:ascii="Arial" w:hAnsi="Arial" w:cs="Arial"/>
        </w:rPr>
        <w:t>2</w:t>
      </w:r>
      <w:r w:rsidR="00313FBF">
        <w:rPr>
          <w:rFonts w:ascii="Arial" w:hAnsi="Arial" w:cs="Arial"/>
        </w:rPr>
        <w:t xml:space="preserve">. </w:t>
      </w:r>
    </w:p>
    <w:p w14:paraId="20247DE5" w14:textId="064EC556" w:rsidR="00316B69" w:rsidRPr="004E01F1" w:rsidRDefault="00316B69" w:rsidP="002301B7">
      <w:pPr>
        <w:pStyle w:val="ListParagraph"/>
        <w:spacing w:before="120" w:after="60"/>
        <w:ind w:left="-446"/>
        <w:outlineLvl w:val="0"/>
        <w:rPr>
          <w:rFonts w:ascii="Arial" w:hAnsi="Arial" w:cs="Arial"/>
          <w:b/>
          <w:spacing w:val="-2"/>
          <w:sz w:val="20"/>
          <w:szCs w:val="20"/>
        </w:rPr>
      </w:pPr>
    </w:p>
    <w:p w14:paraId="16C1E0DB" w14:textId="77777777" w:rsidR="005D5FF0" w:rsidRPr="004E01F1" w:rsidRDefault="005D5FF0" w:rsidP="00316B69">
      <w:pPr>
        <w:pStyle w:val="Paragraph"/>
        <w:numPr>
          <w:ilvl w:val="0"/>
          <w:numId w:val="0"/>
        </w:numPr>
        <w:ind w:left="-446"/>
        <w:contextualSpacing/>
        <w:outlineLvl w:val="9"/>
        <w:rPr>
          <w:rFonts w:ascii="Arial" w:hAnsi="Arial" w:cs="Arial"/>
          <w:spacing w:val="-2"/>
          <w:sz w:val="20"/>
          <w:szCs w:val="20"/>
          <w:lang w:val="en-US"/>
        </w:rPr>
      </w:pPr>
    </w:p>
    <w:p w14:paraId="1C29AE2E" w14:textId="77777777" w:rsidR="0056292F" w:rsidRPr="004E01F1" w:rsidRDefault="0056292F" w:rsidP="00316B69">
      <w:pPr>
        <w:spacing w:before="120" w:after="120"/>
        <w:contextualSpacing/>
        <w:rPr>
          <w:rFonts w:ascii="Arial" w:hAnsi="Arial" w:cs="Arial"/>
          <w:sz w:val="20"/>
          <w:szCs w:val="20"/>
        </w:rPr>
      </w:pPr>
    </w:p>
    <w:p w14:paraId="060BDD7A" w14:textId="526D06A2" w:rsidR="00B04658" w:rsidRPr="004E01F1" w:rsidRDefault="00B04658">
      <w:pPr>
        <w:rPr>
          <w:rFonts w:ascii="Arial" w:hAnsi="Arial" w:cs="Arial"/>
          <w:b/>
          <w:sz w:val="20"/>
          <w:szCs w:val="20"/>
        </w:rPr>
      </w:pPr>
      <w:r w:rsidRPr="004E01F1">
        <w:rPr>
          <w:rFonts w:ascii="Arial" w:hAnsi="Arial" w:cs="Arial"/>
          <w:b/>
          <w:sz w:val="20"/>
          <w:szCs w:val="20"/>
        </w:rPr>
        <w:br w:type="page"/>
      </w:r>
    </w:p>
    <w:p w14:paraId="261C003E" w14:textId="77777777" w:rsidR="00644167" w:rsidRPr="004E01F1" w:rsidRDefault="00644167" w:rsidP="00F918EF">
      <w:pPr>
        <w:pStyle w:val="Heading1"/>
        <w:jc w:val="center"/>
        <w:rPr>
          <w:rFonts w:cs="Arial"/>
          <w:bCs/>
          <w:sz w:val="20"/>
          <w:lang w:val="en-US"/>
        </w:rPr>
        <w:sectPr w:rsidR="00644167" w:rsidRPr="004E01F1" w:rsidSect="007F34D5">
          <w:type w:val="continuous"/>
          <w:pgSz w:w="11906" w:h="16838"/>
          <w:pgMar w:top="994" w:right="1440" w:bottom="1166" w:left="1354" w:header="720" w:footer="720" w:gutter="0"/>
          <w:cols w:space="720"/>
          <w:docGrid w:linePitch="360"/>
        </w:sectPr>
      </w:pPr>
    </w:p>
    <w:p w14:paraId="38BF36A1" w14:textId="77777777" w:rsidR="00313FBF" w:rsidRDefault="00B04658" w:rsidP="00313FBF">
      <w:pPr>
        <w:pStyle w:val="Heading1"/>
        <w:jc w:val="center"/>
        <w:rPr>
          <w:rFonts w:cs="Arial"/>
          <w:bCs/>
          <w:sz w:val="20"/>
          <w:lang w:val="es-PE"/>
        </w:rPr>
      </w:pPr>
      <w:bookmarkStart w:id="102" w:name="_Toc30183901"/>
      <w:r w:rsidRPr="00F918EF">
        <w:rPr>
          <w:rFonts w:cs="Arial"/>
          <w:bCs/>
          <w:sz w:val="20"/>
          <w:lang w:val="es-PE"/>
        </w:rPr>
        <w:lastRenderedPageBreak/>
        <w:t xml:space="preserve">Anexo I – </w:t>
      </w:r>
      <w:r w:rsidR="004E1DD6" w:rsidRPr="00F918EF">
        <w:rPr>
          <w:rFonts w:cs="Arial"/>
          <w:bCs/>
          <w:sz w:val="20"/>
          <w:lang w:val="es-PE"/>
        </w:rPr>
        <w:t>Estimación del C</w:t>
      </w:r>
      <w:r w:rsidRPr="00F918EF">
        <w:rPr>
          <w:rFonts w:cs="Arial"/>
          <w:bCs/>
          <w:sz w:val="20"/>
          <w:lang w:val="es-PE"/>
        </w:rPr>
        <w:t xml:space="preserve">osto </w:t>
      </w:r>
      <w:r w:rsidR="00644167">
        <w:rPr>
          <w:rFonts w:cs="Arial"/>
          <w:bCs/>
          <w:sz w:val="20"/>
          <w:lang w:val="es-PE"/>
        </w:rPr>
        <w:t>y Efectividad</w:t>
      </w:r>
      <w:r w:rsidR="004D42BE">
        <w:rPr>
          <w:rFonts w:cs="Arial"/>
          <w:bCs/>
          <w:sz w:val="20"/>
          <w:lang w:val="es-PE"/>
        </w:rPr>
        <w:t xml:space="preserve"> </w:t>
      </w:r>
      <w:r w:rsidRPr="00F918EF">
        <w:rPr>
          <w:rFonts w:cs="Arial"/>
          <w:bCs/>
          <w:sz w:val="20"/>
          <w:lang w:val="es-PE"/>
        </w:rPr>
        <w:t>de</w:t>
      </w:r>
      <w:r w:rsidR="00F918EF" w:rsidRPr="00F918EF">
        <w:rPr>
          <w:rFonts w:cs="Arial"/>
          <w:bCs/>
          <w:sz w:val="20"/>
          <w:lang w:val="es-PE"/>
        </w:rPr>
        <w:t>l SRI</w:t>
      </w:r>
      <w:bookmarkEnd w:id="102"/>
      <w:r w:rsidR="00E77D40" w:rsidRPr="00F918EF">
        <w:rPr>
          <w:rFonts w:cs="Arial"/>
          <w:bCs/>
          <w:sz w:val="20"/>
          <w:lang w:val="es-PE"/>
        </w:rPr>
        <w:t xml:space="preserve"> </w:t>
      </w:r>
      <w:bookmarkStart w:id="103" w:name="_Hlk22480561"/>
    </w:p>
    <w:p w14:paraId="6891044F" w14:textId="77777777" w:rsidR="00313FBF" w:rsidRPr="00313FBF" w:rsidRDefault="00820615" w:rsidP="00313FBF">
      <w:pPr>
        <w:pStyle w:val="Heading1"/>
        <w:jc w:val="both"/>
        <w:rPr>
          <w:b w:val="0"/>
          <w:bCs/>
          <w:sz w:val="22"/>
          <w:szCs w:val="16"/>
          <w:lang w:val="es-PE"/>
        </w:rPr>
      </w:pPr>
      <w:bookmarkStart w:id="104" w:name="_Toc30183902"/>
      <w:r w:rsidRPr="00313FBF">
        <w:rPr>
          <w:b w:val="0"/>
          <w:bCs/>
          <w:sz w:val="22"/>
          <w:szCs w:val="16"/>
          <w:lang w:val="es-PE"/>
        </w:rPr>
        <w:t xml:space="preserve">Para la evaluación de costo </w:t>
      </w:r>
      <w:r w:rsidR="00046BB1" w:rsidRPr="00313FBF">
        <w:rPr>
          <w:b w:val="0"/>
          <w:bCs/>
          <w:sz w:val="22"/>
          <w:szCs w:val="16"/>
          <w:lang w:val="es-PE"/>
        </w:rPr>
        <w:t>efectividad</w:t>
      </w:r>
      <w:r w:rsidRPr="00313FBF">
        <w:rPr>
          <w:b w:val="0"/>
          <w:bCs/>
          <w:sz w:val="22"/>
          <w:szCs w:val="16"/>
          <w:lang w:val="es-PE"/>
        </w:rPr>
        <w:t xml:space="preserve"> se utilizaron datos del costo sin proyecto y con proyecto.  </w:t>
      </w:r>
      <w:r w:rsidR="004E1DD6" w:rsidRPr="00313FBF">
        <w:rPr>
          <w:b w:val="0"/>
          <w:bCs/>
          <w:sz w:val="22"/>
          <w:szCs w:val="16"/>
          <w:lang w:val="es-PE"/>
        </w:rPr>
        <w:t xml:space="preserve">A continuación, se presenta la información que se utiliza de base para la cuantificación de </w:t>
      </w:r>
      <w:r w:rsidRPr="00313FBF">
        <w:rPr>
          <w:b w:val="0"/>
          <w:bCs/>
          <w:sz w:val="22"/>
          <w:szCs w:val="16"/>
          <w:lang w:val="es-PE"/>
        </w:rPr>
        <w:t>cada uno de los casos.</w:t>
      </w:r>
      <w:bookmarkEnd w:id="104"/>
    </w:p>
    <w:p w14:paraId="01B4608E" w14:textId="2DCA3B6B" w:rsidR="00F760E3" w:rsidRDefault="00F760E3" w:rsidP="00313FBF">
      <w:pPr>
        <w:pStyle w:val="Heading1"/>
        <w:jc w:val="center"/>
        <w:rPr>
          <w:rFonts w:cs="Arial"/>
          <w:bCs/>
          <w:sz w:val="20"/>
          <w:lang w:val="es-PE"/>
        </w:rPr>
      </w:pPr>
    </w:p>
    <w:p w14:paraId="329814B4" w14:textId="425652D6" w:rsidR="0082702B" w:rsidRDefault="0082702B">
      <w:pPr>
        <w:rPr>
          <w:lang w:val="es-PE"/>
        </w:rPr>
      </w:pPr>
    </w:p>
    <w:p w14:paraId="553F3EB1" w14:textId="5BD0266F" w:rsidR="00492C74" w:rsidRPr="007700EE" w:rsidRDefault="00492C74" w:rsidP="007700EE">
      <w:pPr>
        <w:rPr>
          <w:lang w:val="es-PE"/>
        </w:rPr>
      </w:pPr>
      <w:r w:rsidRPr="00492C74">
        <w:rPr>
          <w:noProof/>
        </w:rPr>
        <w:lastRenderedPageBreak/>
        <w:drawing>
          <wp:inline distT="0" distB="0" distL="0" distR="0" wp14:anchorId="5C4DC791" wp14:editId="31A17E21">
            <wp:extent cx="9320530" cy="5386705"/>
            <wp:effectExtent l="0" t="0" r="0" b="4445"/>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9320530" cy="5386705"/>
                    </a:xfrm>
                    <a:prstGeom prst="rect">
                      <a:avLst/>
                    </a:prstGeom>
                    <a:noFill/>
                    <a:ln>
                      <a:noFill/>
                    </a:ln>
                  </pic:spPr>
                </pic:pic>
              </a:graphicData>
            </a:graphic>
          </wp:inline>
        </w:drawing>
      </w:r>
    </w:p>
    <w:p w14:paraId="68408AEB" w14:textId="64BA82E8" w:rsidR="001A5C0F" w:rsidRDefault="001A5C0F" w:rsidP="00B04658">
      <w:pPr>
        <w:pStyle w:val="Heading1"/>
        <w:jc w:val="center"/>
        <w:rPr>
          <w:rFonts w:cs="Arial"/>
          <w:bCs/>
          <w:sz w:val="20"/>
          <w:lang w:val="es-PE"/>
        </w:rPr>
      </w:pPr>
      <w:bookmarkStart w:id="105" w:name="_Toc30183904"/>
      <w:bookmarkStart w:id="106" w:name="_Hlk29227395"/>
      <w:bookmarkStart w:id="107" w:name="_Hlk22465102"/>
      <w:bookmarkEnd w:id="103"/>
      <w:r w:rsidRPr="00F918EF">
        <w:rPr>
          <w:rFonts w:cs="Arial"/>
          <w:bCs/>
          <w:sz w:val="20"/>
          <w:lang w:val="es-PE"/>
        </w:rPr>
        <w:lastRenderedPageBreak/>
        <w:t xml:space="preserve">Anexo II – </w:t>
      </w:r>
      <w:r w:rsidR="00A874D2">
        <w:rPr>
          <w:rFonts w:cs="Arial"/>
          <w:bCs/>
          <w:sz w:val="20"/>
          <w:lang w:val="es-PE"/>
        </w:rPr>
        <w:t xml:space="preserve">Estimación del </w:t>
      </w:r>
      <w:r w:rsidR="00F918EF" w:rsidRPr="00F918EF">
        <w:rPr>
          <w:rFonts w:cs="Arial"/>
          <w:bCs/>
          <w:sz w:val="20"/>
          <w:lang w:val="es-PE"/>
        </w:rPr>
        <w:t xml:space="preserve">Costo </w:t>
      </w:r>
      <w:r w:rsidR="00644167">
        <w:rPr>
          <w:rFonts w:cs="Arial"/>
          <w:bCs/>
          <w:sz w:val="20"/>
          <w:lang w:val="es-PE"/>
        </w:rPr>
        <w:t>y Efectividad</w:t>
      </w:r>
      <w:r w:rsidR="004D42BE">
        <w:rPr>
          <w:rFonts w:cs="Arial"/>
          <w:bCs/>
          <w:sz w:val="20"/>
          <w:lang w:val="es-PE"/>
        </w:rPr>
        <w:t xml:space="preserve"> </w:t>
      </w:r>
      <w:r w:rsidR="00F918EF">
        <w:rPr>
          <w:rFonts w:cs="Arial"/>
          <w:bCs/>
          <w:sz w:val="20"/>
          <w:lang w:val="es-PE"/>
        </w:rPr>
        <w:t>del SENAE</w:t>
      </w:r>
      <w:bookmarkEnd w:id="105"/>
    </w:p>
    <w:bookmarkEnd w:id="106"/>
    <w:p w14:paraId="623CDBB7" w14:textId="04B4A2DA" w:rsidR="00644167" w:rsidRDefault="00644167" w:rsidP="00644167">
      <w:pPr>
        <w:rPr>
          <w:lang w:val="es-PE"/>
        </w:rPr>
      </w:pPr>
    </w:p>
    <w:p w14:paraId="58C32169" w14:textId="20D84722" w:rsidR="0082702B" w:rsidRDefault="0082702B" w:rsidP="00644167">
      <w:pPr>
        <w:rPr>
          <w:lang w:val="es-PE"/>
        </w:rPr>
      </w:pPr>
    </w:p>
    <w:p w14:paraId="1E937EF7" w14:textId="65CA94A9" w:rsidR="00492C74" w:rsidRPr="00644167" w:rsidRDefault="00492C74" w:rsidP="00644167">
      <w:pPr>
        <w:rPr>
          <w:lang w:val="es-PE"/>
        </w:rPr>
      </w:pPr>
      <w:r w:rsidRPr="00492C74">
        <w:rPr>
          <w:noProof/>
        </w:rPr>
        <w:lastRenderedPageBreak/>
        <w:drawing>
          <wp:inline distT="0" distB="0" distL="0" distR="0" wp14:anchorId="13763748" wp14:editId="25EC5270">
            <wp:extent cx="9320530" cy="5270500"/>
            <wp:effectExtent l="0" t="0" r="0" b="635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9320530" cy="5270500"/>
                    </a:xfrm>
                    <a:prstGeom prst="rect">
                      <a:avLst/>
                    </a:prstGeom>
                    <a:noFill/>
                    <a:ln>
                      <a:noFill/>
                    </a:ln>
                  </pic:spPr>
                </pic:pic>
              </a:graphicData>
            </a:graphic>
          </wp:inline>
        </w:drawing>
      </w:r>
    </w:p>
    <w:p w14:paraId="2AD0504D" w14:textId="37BC15B5" w:rsidR="00644167" w:rsidRDefault="00644167" w:rsidP="00644167">
      <w:pPr>
        <w:pStyle w:val="Heading1"/>
        <w:jc w:val="center"/>
        <w:rPr>
          <w:rFonts w:cs="Arial"/>
          <w:bCs/>
          <w:sz w:val="20"/>
          <w:lang w:val="es-PE"/>
        </w:rPr>
      </w:pPr>
      <w:bookmarkStart w:id="108" w:name="_Toc30183905"/>
      <w:bookmarkEnd w:id="107"/>
      <w:r w:rsidRPr="00F918EF">
        <w:rPr>
          <w:rFonts w:cs="Arial"/>
          <w:bCs/>
          <w:sz w:val="20"/>
          <w:lang w:val="es-PE"/>
        </w:rPr>
        <w:lastRenderedPageBreak/>
        <w:t>Anexo II</w:t>
      </w:r>
      <w:r>
        <w:rPr>
          <w:rFonts w:cs="Arial"/>
          <w:bCs/>
          <w:sz w:val="20"/>
          <w:lang w:val="es-PE"/>
        </w:rPr>
        <w:t>I</w:t>
      </w:r>
      <w:r w:rsidRPr="00F918EF">
        <w:rPr>
          <w:rFonts w:cs="Arial"/>
          <w:bCs/>
          <w:sz w:val="20"/>
          <w:lang w:val="es-PE"/>
        </w:rPr>
        <w:t xml:space="preserve"> – </w:t>
      </w:r>
      <w:r>
        <w:rPr>
          <w:rFonts w:cs="Arial"/>
          <w:bCs/>
          <w:sz w:val="20"/>
          <w:lang w:val="es-PE"/>
        </w:rPr>
        <w:t xml:space="preserve">Estimación del </w:t>
      </w:r>
      <w:r w:rsidRPr="00F918EF">
        <w:rPr>
          <w:rFonts w:cs="Arial"/>
          <w:bCs/>
          <w:sz w:val="20"/>
          <w:lang w:val="es-PE"/>
        </w:rPr>
        <w:t xml:space="preserve">Costo </w:t>
      </w:r>
      <w:r>
        <w:rPr>
          <w:rFonts w:cs="Arial"/>
          <w:bCs/>
          <w:sz w:val="20"/>
          <w:lang w:val="es-PE"/>
        </w:rPr>
        <w:t>y Efectividad Total (SRI + SENAE)</w:t>
      </w:r>
      <w:bookmarkEnd w:id="108"/>
    </w:p>
    <w:p w14:paraId="4599A036" w14:textId="77777777" w:rsidR="00E05671" w:rsidRPr="00E05671" w:rsidRDefault="00E05671" w:rsidP="00E05671">
      <w:pPr>
        <w:rPr>
          <w:lang w:val="es-PE"/>
        </w:rPr>
      </w:pPr>
    </w:p>
    <w:p w14:paraId="4C31874E" w14:textId="0AA809DF" w:rsidR="00644167" w:rsidRDefault="00644167" w:rsidP="00644167">
      <w:pPr>
        <w:ind w:left="-720"/>
        <w:jc w:val="center"/>
        <w:rPr>
          <w:rFonts w:ascii="Arial" w:hAnsi="Arial" w:cs="Arial"/>
          <w:noProof/>
          <w:lang w:val="es-PE"/>
        </w:rPr>
      </w:pPr>
    </w:p>
    <w:p w14:paraId="51607334" w14:textId="1A1D211E" w:rsidR="00161C98" w:rsidRDefault="00161C98" w:rsidP="00644167">
      <w:pPr>
        <w:ind w:left="-720"/>
        <w:jc w:val="center"/>
        <w:rPr>
          <w:rFonts w:ascii="Arial" w:hAnsi="Arial" w:cs="Arial"/>
          <w:noProof/>
          <w:lang w:val="es-PE"/>
        </w:rPr>
      </w:pPr>
    </w:p>
    <w:p w14:paraId="2B0C57DD" w14:textId="77777777" w:rsidR="00512C46" w:rsidRPr="00313FBF" w:rsidRDefault="00512C46" w:rsidP="00644167">
      <w:pPr>
        <w:ind w:left="-720"/>
        <w:jc w:val="center"/>
        <w:rPr>
          <w:rFonts w:ascii="Arial" w:hAnsi="Arial" w:cs="Arial"/>
          <w:noProof/>
          <w:lang w:val="es-PE"/>
        </w:rPr>
      </w:pPr>
    </w:p>
    <w:p w14:paraId="740E0AE8" w14:textId="6188BDEB" w:rsidR="00DA03BB" w:rsidRDefault="00512C46" w:rsidP="00F918EF">
      <w:pPr>
        <w:pStyle w:val="Heading1"/>
        <w:jc w:val="center"/>
        <w:rPr>
          <w:rFonts w:cs="Arial"/>
          <w:bCs/>
          <w:sz w:val="20"/>
          <w:lang w:val="es-PE"/>
        </w:rPr>
        <w:sectPr w:rsidR="00DA03BB" w:rsidSect="00644167">
          <w:pgSz w:w="16838" w:h="11906" w:orient="landscape"/>
          <w:pgMar w:top="1440" w:right="1166" w:bottom="1354" w:left="994" w:header="720" w:footer="720" w:gutter="0"/>
          <w:cols w:space="720"/>
          <w:docGrid w:linePitch="360"/>
        </w:sectPr>
      </w:pPr>
      <w:r w:rsidRPr="00512C46">
        <w:rPr>
          <w:noProof/>
        </w:rPr>
        <w:lastRenderedPageBreak/>
        <w:drawing>
          <wp:inline distT="0" distB="0" distL="0" distR="0" wp14:anchorId="3E1F98EB" wp14:editId="767171C6">
            <wp:extent cx="9320530" cy="4646930"/>
            <wp:effectExtent l="0" t="0" r="0" b="127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9320530" cy="4646930"/>
                    </a:xfrm>
                    <a:prstGeom prst="rect">
                      <a:avLst/>
                    </a:prstGeom>
                    <a:noFill/>
                    <a:ln>
                      <a:noFill/>
                    </a:ln>
                  </pic:spPr>
                </pic:pic>
              </a:graphicData>
            </a:graphic>
          </wp:inline>
        </w:drawing>
      </w:r>
    </w:p>
    <w:p w14:paraId="3A93BF27" w14:textId="25A2DD3C" w:rsidR="00DA03BB" w:rsidRDefault="00DA03BB" w:rsidP="00F918EF">
      <w:pPr>
        <w:pStyle w:val="Heading1"/>
        <w:jc w:val="center"/>
        <w:rPr>
          <w:rFonts w:cs="Arial"/>
          <w:bCs/>
          <w:sz w:val="20"/>
          <w:lang w:val="es-PE"/>
        </w:rPr>
      </w:pPr>
    </w:p>
    <w:p w14:paraId="2503AF0D" w14:textId="633D1D23" w:rsidR="00F918EF" w:rsidRPr="00F918EF" w:rsidRDefault="00F918EF" w:rsidP="00F918EF">
      <w:pPr>
        <w:pStyle w:val="Heading1"/>
        <w:jc w:val="center"/>
        <w:rPr>
          <w:rFonts w:cs="Arial"/>
          <w:bCs/>
          <w:sz w:val="20"/>
          <w:lang w:val="es-PE"/>
        </w:rPr>
      </w:pPr>
      <w:bookmarkStart w:id="109" w:name="_Toc30183906"/>
      <w:r w:rsidRPr="00F918EF">
        <w:rPr>
          <w:rFonts w:cs="Arial"/>
          <w:bCs/>
          <w:sz w:val="20"/>
          <w:lang w:val="es-PE"/>
        </w:rPr>
        <w:t>Anexo I</w:t>
      </w:r>
      <w:r w:rsidR="00644167">
        <w:rPr>
          <w:rFonts w:cs="Arial"/>
          <w:bCs/>
          <w:sz w:val="20"/>
          <w:lang w:val="es-PE"/>
        </w:rPr>
        <w:t>V</w:t>
      </w:r>
      <w:r w:rsidRPr="00F918EF">
        <w:rPr>
          <w:rFonts w:cs="Arial"/>
          <w:bCs/>
          <w:sz w:val="20"/>
          <w:lang w:val="es-PE"/>
        </w:rPr>
        <w:t xml:space="preserve"> – Algebra del </w:t>
      </w:r>
      <w:r w:rsidR="00FB1468">
        <w:rPr>
          <w:rFonts w:cs="Arial"/>
          <w:bCs/>
          <w:sz w:val="20"/>
          <w:lang w:val="es-PE"/>
        </w:rPr>
        <w:t>A</w:t>
      </w:r>
      <w:r w:rsidRPr="00F918EF">
        <w:rPr>
          <w:rFonts w:cs="Arial"/>
          <w:bCs/>
          <w:sz w:val="20"/>
          <w:lang w:val="es-PE"/>
        </w:rPr>
        <w:t xml:space="preserve">nálisis de </w:t>
      </w:r>
      <w:r w:rsidR="00FB1468">
        <w:rPr>
          <w:rFonts w:cs="Arial"/>
          <w:bCs/>
          <w:sz w:val="20"/>
          <w:lang w:val="es-PE"/>
        </w:rPr>
        <w:t>C</w:t>
      </w:r>
      <w:r w:rsidRPr="00F918EF">
        <w:rPr>
          <w:rFonts w:cs="Arial"/>
          <w:bCs/>
          <w:sz w:val="20"/>
          <w:lang w:val="es-PE"/>
        </w:rPr>
        <w:t xml:space="preserve">osto </w:t>
      </w:r>
      <w:r w:rsidR="00046BB1">
        <w:rPr>
          <w:rFonts w:cs="Arial"/>
          <w:bCs/>
          <w:sz w:val="20"/>
          <w:lang w:val="es-PE"/>
        </w:rPr>
        <w:t>Efectividad</w:t>
      </w:r>
      <w:bookmarkEnd w:id="109"/>
    </w:p>
    <w:p w14:paraId="772B7100" w14:textId="77777777" w:rsidR="00F918EF" w:rsidRPr="00F918EF" w:rsidRDefault="00F918EF" w:rsidP="00F918EF">
      <w:pPr>
        <w:rPr>
          <w:lang w:val="es-PE"/>
        </w:rPr>
      </w:pPr>
    </w:p>
    <w:p w14:paraId="45493B70" w14:textId="6BB80665" w:rsidR="0085725E" w:rsidRDefault="00806AA1" w:rsidP="00FB1468">
      <w:pPr>
        <w:jc w:val="both"/>
        <w:rPr>
          <w:rFonts w:ascii="Arial" w:eastAsia="Times New Roman" w:hAnsi="Arial" w:cs="Arial"/>
          <w:bCs/>
          <w:kern w:val="28"/>
          <w:sz w:val="20"/>
          <w:szCs w:val="20"/>
          <w:lang w:val="es-ES"/>
        </w:rPr>
      </w:pPr>
      <w:r w:rsidRPr="008004E8">
        <w:rPr>
          <w:rFonts w:ascii="Arial" w:eastAsia="Times New Roman" w:hAnsi="Arial" w:cs="Arial"/>
          <w:bCs/>
          <w:kern w:val="28"/>
          <w:sz w:val="20"/>
          <w:szCs w:val="20"/>
          <w:lang w:val="es-ES"/>
        </w:rPr>
        <w:t>Para hacer transparente y explícita la forma como se comput</w:t>
      </w:r>
      <w:r w:rsidR="00AE7F44">
        <w:rPr>
          <w:rFonts w:ascii="Arial" w:eastAsia="Times New Roman" w:hAnsi="Arial" w:cs="Arial"/>
          <w:bCs/>
          <w:kern w:val="28"/>
          <w:sz w:val="20"/>
          <w:szCs w:val="20"/>
          <w:lang w:val="es-ES"/>
        </w:rPr>
        <w:t>a</w:t>
      </w:r>
      <w:r w:rsidRPr="008004E8">
        <w:rPr>
          <w:rFonts w:ascii="Arial" w:eastAsia="Times New Roman" w:hAnsi="Arial" w:cs="Arial"/>
          <w:bCs/>
          <w:kern w:val="28"/>
          <w:sz w:val="20"/>
          <w:szCs w:val="20"/>
          <w:lang w:val="es-ES"/>
        </w:rPr>
        <w:t xml:space="preserve"> el </w:t>
      </w:r>
      <w:r>
        <w:rPr>
          <w:rFonts w:ascii="Arial" w:eastAsia="Times New Roman" w:hAnsi="Arial" w:cs="Arial"/>
          <w:bCs/>
          <w:kern w:val="28"/>
          <w:sz w:val="20"/>
          <w:szCs w:val="20"/>
          <w:lang w:val="es-ES"/>
        </w:rPr>
        <w:t>análisis de costo-</w:t>
      </w:r>
      <w:r w:rsidR="001869A8">
        <w:rPr>
          <w:rFonts w:ascii="Arial" w:eastAsia="Times New Roman" w:hAnsi="Arial" w:cs="Arial"/>
          <w:bCs/>
          <w:kern w:val="28"/>
          <w:sz w:val="20"/>
          <w:szCs w:val="20"/>
          <w:lang w:val="es-ES"/>
        </w:rPr>
        <w:t>e</w:t>
      </w:r>
      <w:r w:rsidR="00046BB1">
        <w:rPr>
          <w:rFonts w:ascii="Arial" w:eastAsia="Times New Roman" w:hAnsi="Arial" w:cs="Arial"/>
          <w:bCs/>
          <w:kern w:val="28"/>
          <w:sz w:val="20"/>
          <w:szCs w:val="20"/>
          <w:lang w:val="es-ES"/>
        </w:rPr>
        <w:t>fectividad</w:t>
      </w:r>
      <w:r>
        <w:rPr>
          <w:rFonts w:ascii="Arial" w:eastAsia="Times New Roman" w:hAnsi="Arial" w:cs="Arial"/>
          <w:bCs/>
          <w:kern w:val="28"/>
          <w:sz w:val="20"/>
          <w:szCs w:val="20"/>
          <w:lang w:val="es-ES"/>
        </w:rPr>
        <w:t xml:space="preserve"> presentamos a continuación un modelo formal simplificado.</w:t>
      </w:r>
      <w:r w:rsidR="003E4758">
        <w:rPr>
          <w:rFonts w:ascii="Arial" w:eastAsia="Times New Roman" w:hAnsi="Arial" w:cs="Arial"/>
          <w:bCs/>
          <w:kern w:val="28"/>
          <w:sz w:val="20"/>
          <w:szCs w:val="20"/>
          <w:lang w:val="es-ES"/>
        </w:rPr>
        <w:t xml:space="preserve"> </w:t>
      </w:r>
      <w:r>
        <w:rPr>
          <w:rFonts w:ascii="Arial" w:eastAsia="Times New Roman" w:hAnsi="Arial" w:cs="Arial"/>
          <w:bCs/>
          <w:kern w:val="28"/>
          <w:sz w:val="20"/>
          <w:szCs w:val="20"/>
          <w:lang w:val="es-ES"/>
        </w:rPr>
        <w:t xml:space="preserve">Llamemos </w:t>
      </w:r>
      <w:proofErr w:type="spellStart"/>
      <w:r>
        <w:rPr>
          <w:rFonts w:ascii="Arial" w:eastAsia="Times New Roman" w:hAnsi="Arial" w:cs="Arial"/>
          <w:bCs/>
          <w:kern w:val="28"/>
          <w:sz w:val="20"/>
          <w:szCs w:val="20"/>
          <w:lang w:val="es-ES"/>
        </w:rPr>
        <w:t>X</w:t>
      </w:r>
      <w:r w:rsidR="00A516E4">
        <w:rPr>
          <w:rFonts w:ascii="Arial" w:eastAsia="Times New Roman" w:hAnsi="Arial" w:cs="Arial"/>
          <w:bCs/>
          <w:kern w:val="28"/>
          <w:sz w:val="20"/>
          <w:szCs w:val="20"/>
          <w:vertAlign w:val="subscript"/>
          <w:lang w:val="es-ES"/>
        </w:rPr>
        <w:t>ij</w:t>
      </w:r>
      <w:proofErr w:type="spellEnd"/>
      <w:r>
        <w:rPr>
          <w:rFonts w:ascii="Arial" w:eastAsia="Times New Roman" w:hAnsi="Arial" w:cs="Arial"/>
          <w:bCs/>
          <w:kern w:val="28"/>
          <w:sz w:val="20"/>
          <w:szCs w:val="20"/>
          <w:lang w:val="es-ES"/>
        </w:rPr>
        <w:t xml:space="preserve"> a los costos</w:t>
      </w:r>
      <w:r w:rsidR="003E4758">
        <w:rPr>
          <w:rFonts w:ascii="Arial" w:eastAsia="Times New Roman" w:hAnsi="Arial" w:cs="Arial"/>
          <w:bCs/>
          <w:kern w:val="28"/>
          <w:sz w:val="20"/>
          <w:szCs w:val="20"/>
          <w:lang w:val="es-ES"/>
        </w:rPr>
        <w:t xml:space="preserve"> corrientes</w:t>
      </w:r>
      <w:r>
        <w:rPr>
          <w:rFonts w:ascii="Arial" w:eastAsia="Times New Roman" w:hAnsi="Arial" w:cs="Arial"/>
          <w:bCs/>
          <w:kern w:val="28"/>
          <w:sz w:val="20"/>
          <w:szCs w:val="20"/>
          <w:lang w:val="es-ES"/>
        </w:rPr>
        <w:t xml:space="preserve"> asociados a las actividades que se busca impactar con los componentes </w:t>
      </w:r>
      <w:r w:rsidR="00A516E4">
        <w:rPr>
          <w:rFonts w:ascii="Arial" w:eastAsia="Times New Roman" w:hAnsi="Arial" w:cs="Arial"/>
          <w:bCs/>
          <w:kern w:val="28"/>
          <w:sz w:val="20"/>
          <w:szCs w:val="20"/>
          <w:lang w:val="es-ES"/>
        </w:rPr>
        <w:t xml:space="preserve">i del programa en los tiempos j (en donde i=1,2 para denotar los </w:t>
      </w:r>
      <w:r w:rsidR="001869A8">
        <w:rPr>
          <w:rFonts w:ascii="Arial" w:eastAsia="Times New Roman" w:hAnsi="Arial" w:cs="Arial"/>
          <w:bCs/>
          <w:kern w:val="28"/>
          <w:sz w:val="20"/>
          <w:szCs w:val="20"/>
          <w:lang w:val="es-ES"/>
        </w:rPr>
        <w:t>dos</w:t>
      </w:r>
      <w:r w:rsidR="00A516E4">
        <w:rPr>
          <w:rFonts w:ascii="Arial" w:eastAsia="Times New Roman" w:hAnsi="Arial" w:cs="Arial"/>
          <w:bCs/>
          <w:kern w:val="28"/>
          <w:sz w:val="20"/>
          <w:szCs w:val="20"/>
          <w:lang w:val="es-ES"/>
        </w:rPr>
        <w:t xml:space="preserve"> componentes</w:t>
      </w:r>
      <w:r w:rsidR="004A4E68">
        <w:rPr>
          <w:rFonts w:ascii="Arial" w:eastAsia="Times New Roman" w:hAnsi="Arial" w:cs="Arial"/>
          <w:bCs/>
          <w:kern w:val="28"/>
          <w:sz w:val="20"/>
          <w:szCs w:val="20"/>
          <w:lang w:val="es-ES"/>
        </w:rPr>
        <w:t>,</w:t>
      </w:r>
      <w:r w:rsidR="00A516E4">
        <w:rPr>
          <w:rFonts w:ascii="Arial" w:eastAsia="Times New Roman" w:hAnsi="Arial" w:cs="Arial"/>
          <w:bCs/>
          <w:kern w:val="28"/>
          <w:sz w:val="20"/>
          <w:szCs w:val="20"/>
          <w:lang w:val="es-ES"/>
        </w:rPr>
        <w:t xml:space="preserve"> j= 0,1 para indicar la línea de base “0” y el momento del tiempo luego de implementado el programa “1”)</w:t>
      </w:r>
      <w:r w:rsidR="004A4E68">
        <w:rPr>
          <w:rFonts w:ascii="Arial" w:eastAsia="Times New Roman" w:hAnsi="Arial" w:cs="Arial"/>
          <w:bCs/>
          <w:kern w:val="28"/>
          <w:sz w:val="20"/>
          <w:szCs w:val="20"/>
          <w:lang w:val="es-ES"/>
        </w:rPr>
        <w:t>. Denotemos también</w:t>
      </w:r>
      <w:r w:rsidR="003E4758">
        <w:rPr>
          <w:rFonts w:ascii="Arial" w:eastAsia="Times New Roman" w:hAnsi="Arial" w:cs="Arial"/>
          <w:bCs/>
          <w:kern w:val="28"/>
          <w:sz w:val="20"/>
          <w:szCs w:val="20"/>
          <w:lang w:val="es-ES"/>
        </w:rPr>
        <w:t xml:space="preserve"> I</w:t>
      </w:r>
      <w:proofErr w:type="gramStart"/>
      <w:r w:rsidR="004A4E68">
        <w:rPr>
          <w:rFonts w:ascii="Arial" w:eastAsia="Times New Roman" w:hAnsi="Arial" w:cs="Arial"/>
          <w:bCs/>
          <w:kern w:val="28"/>
          <w:sz w:val="20"/>
          <w:szCs w:val="20"/>
          <w:vertAlign w:val="subscript"/>
          <w:lang w:val="es-ES"/>
        </w:rPr>
        <w:t>1</w:t>
      </w:r>
      <w:r w:rsidR="003E4758">
        <w:rPr>
          <w:rFonts w:ascii="Arial" w:eastAsia="Times New Roman" w:hAnsi="Arial" w:cs="Arial"/>
          <w:bCs/>
          <w:kern w:val="28"/>
          <w:sz w:val="20"/>
          <w:szCs w:val="20"/>
          <w:lang w:val="es-ES"/>
        </w:rPr>
        <w:t xml:space="preserve"> ,</w:t>
      </w:r>
      <w:proofErr w:type="gramEnd"/>
      <w:r w:rsidR="003E4758">
        <w:rPr>
          <w:rFonts w:ascii="Arial" w:eastAsia="Times New Roman" w:hAnsi="Arial" w:cs="Arial"/>
          <w:bCs/>
          <w:kern w:val="28"/>
          <w:sz w:val="20"/>
          <w:szCs w:val="20"/>
          <w:lang w:val="es-ES"/>
        </w:rPr>
        <w:t xml:space="preserve"> I</w:t>
      </w:r>
      <w:r w:rsidR="004A4E68">
        <w:rPr>
          <w:rFonts w:ascii="Arial" w:eastAsia="Times New Roman" w:hAnsi="Arial" w:cs="Arial"/>
          <w:bCs/>
          <w:kern w:val="28"/>
          <w:sz w:val="20"/>
          <w:szCs w:val="20"/>
          <w:vertAlign w:val="subscript"/>
          <w:lang w:val="es-ES"/>
        </w:rPr>
        <w:t>2</w:t>
      </w:r>
      <w:r w:rsidR="001869A8">
        <w:rPr>
          <w:rFonts w:ascii="Arial" w:eastAsia="Times New Roman" w:hAnsi="Arial" w:cs="Arial"/>
          <w:bCs/>
          <w:kern w:val="28"/>
          <w:sz w:val="20"/>
          <w:szCs w:val="20"/>
          <w:lang w:val="es-ES"/>
        </w:rPr>
        <w:t xml:space="preserve"> </w:t>
      </w:r>
      <w:r w:rsidR="003E4758">
        <w:rPr>
          <w:rFonts w:ascii="Arial" w:eastAsia="Times New Roman" w:hAnsi="Arial" w:cs="Arial"/>
          <w:bCs/>
          <w:kern w:val="28"/>
          <w:sz w:val="20"/>
          <w:szCs w:val="20"/>
          <w:vertAlign w:val="subscript"/>
          <w:lang w:val="es-ES"/>
        </w:rPr>
        <w:t xml:space="preserve"> </w:t>
      </w:r>
      <w:r w:rsidR="003E4758">
        <w:rPr>
          <w:rFonts w:ascii="Arial" w:eastAsia="Times New Roman" w:hAnsi="Arial" w:cs="Arial"/>
          <w:bCs/>
          <w:kern w:val="28"/>
          <w:sz w:val="20"/>
          <w:szCs w:val="20"/>
          <w:lang w:val="es-ES"/>
        </w:rPr>
        <w:t>a</w:t>
      </w:r>
      <w:r w:rsidR="001D4108">
        <w:rPr>
          <w:rFonts w:ascii="Arial" w:eastAsia="Times New Roman" w:hAnsi="Arial" w:cs="Arial"/>
          <w:bCs/>
          <w:kern w:val="28"/>
          <w:sz w:val="20"/>
          <w:szCs w:val="20"/>
          <w:lang w:val="es-ES"/>
        </w:rPr>
        <w:t>l monto de</w:t>
      </w:r>
      <w:r w:rsidR="003E4758">
        <w:rPr>
          <w:rFonts w:ascii="Arial" w:eastAsia="Times New Roman" w:hAnsi="Arial" w:cs="Arial"/>
          <w:bCs/>
          <w:kern w:val="28"/>
          <w:sz w:val="20"/>
          <w:szCs w:val="20"/>
          <w:lang w:val="es-ES"/>
        </w:rPr>
        <w:t xml:space="preserve"> los gastos de inversión </w:t>
      </w:r>
      <w:r w:rsidR="001D4108">
        <w:rPr>
          <w:rFonts w:ascii="Arial" w:eastAsia="Times New Roman" w:hAnsi="Arial" w:cs="Arial"/>
          <w:bCs/>
          <w:kern w:val="28"/>
          <w:sz w:val="20"/>
          <w:szCs w:val="20"/>
          <w:lang w:val="es-ES"/>
        </w:rPr>
        <w:t xml:space="preserve">anualizados sobre la base de sus respectivas tasas de depreciación </w:t>
      </w:r>
      <w:r w:rsidR="003E4758">
        <w:rPr>
          <w:rFonts w:ascii="Arial" w:eastAsia="Times New Roman" w:hAnsi="Arial" w:cs="Arial"/>
          <w:bCs/>
          <w:kern w:val="28"/>
          <w:sz w:val="20"/>
          <w:szCs w:val="20"/>
          <w:lang w:val="es-ES"/>
        </w:rPr>
        <w:t xml:space="preserve">que se </w:t>
      </w:r>
      <w:r w:rsidR="001D4108">
        <w:rPr>
          <w:rFonts w:ascii="Arial" w:eastAsia="Times New Roman" w:hAnsi="Arial" w:cs="Arial"/>
          <w:bCs/>
          <w:kern w:val="28"/>
          <w:sz w:val="20"/>
          <w:szCs w:val="20"/>
          <w:lang w:val="es-ES"/>
        </w:rPr>
        <w:t>tendrían que realizar</w:t>
      </w:r>
      <w:r w:rsidR="003E4758">
        <w:rPr>
          <w:rFonts w:ascii="Arial" w:eastAsia="Times New Roman" w:hAnsi="Arial" w:cs="Arial"/>
          <w:bCs/>
          <w:kern w:val="28"/>
          <w:sz w:val="20"/>
          <w:szCs w:val="20"/>
          <w:lang w:val="es-ES"/>
        </w:rPr>
        <w:t xml:space="preserve"> en el marco del programa </w:t>
      </w:r>
      <w:r w:rsidR="00EB3F8E">
        <w:rPr>
          <w:rFonts w:ascii="Arial" w:eastAsia="Times New Roman" w:hAnsi="Arial" w:cs="Arial"/>
          <w:bCs/>
          <w:kern w:val="28"/>
          <w:sz w:val="20"/>
          <w:szCs w:val="20"/>
          <w:lang w:val="es-ES"/>
        </w:rPr>
        <w:t>EC-L1253</w:t>
      </w:r>
      <w:r w:rsidR="004A4E68">
        <w:rPr>
          <w:rFonts w:ascii="Arial" w:eastAsia="Times New Roman" w:hAnsi="Arial" w:cs="Arial"/>
          <w:bCs/>
          <w:kern w:val="28"/>
          <w:sz w:val="20"/>
          <w:szCs w:val="20"/>
          <w:lang w:val="es-ES"/>
        </w:rPr>
        <w:t xml:space="preserve"> para cada uno de los componentes (estos costos de inversión s</w:t>
      </w:r>
      <w:r w:rsidR="00AE7F44">
        <w:rPr>
          <w:rFonts w:ascii="Arial" w:eastAsia="Times New Roman" w:hAnsi="Arial" w:cs="Arial"/>
          <w:bCs/>
          <w:kern w:val="28"/>
          <w:sz w:val="20"/>
          <w:szCs w:val="20"/>
          <w:lang w:val="es-ES"/>
        </w:rPr>
        <w:t>ó</w:t>
      </w:r>
      <w:r w:rsidR="004A4E68">
        <w:rPr>
          <w:rFonts w:ascii="Arial" w:eastAsia="Times New Roman" w:hAnsi="Arial" w:cs="Arial"/>
          <w:bCs/>
          <w:kern w:val="28"/>
          <w:sz w:val="20"/>
          <w:szCs w:val="20"/>
          <w:lang w:val="es-ES"/>
        </w:rPr>
        <w:t>lo se realizan en el tiempo 1, es decir post línea de base)</w:t>
      </w:r>
      <w:r w:rsidR="003E4758">
        <w:rPr>
          <w:rFonts w:ascii="Arial" w:eastAsia="Times New Roman" w:hAnsi="Arial" w:cs="Arial"/>
          <w:bCs/>
          <w:kern w:val="28"/>
          <w:sz w:val="20"/>
          <w:szCs w:val="20"/>
          <w:lang w:val="es-ES"/>
        </w:rPr>
        <w:t xml:space="preserve">. Llamemos también T al </w:t>
      </w:r>
      <w:r w:rsidR="00054D7B">
        <w:rPr>
          <w:rFonts w:ascii="Arial" w:eastAsia="Times New Roman" w:hAnsi="Arial" w:cs="Arial"/>
          <w:bCs/>
          <w:kern w:val="28"/>
          <w:sz w:val="20"/>
          <w:szCs w:val="20"/>
          <w:lang w:val="es-ES"/>
        </w:rPr>
        <w:t>total de recaudación forzada y generación de deuda</w:t>
      </w:r>
      <w:r w:rsidR="003E4758">
        <w:rPr>
          <w:rFonts w:ascii="Arial" w:eastAsia="Times New Roman" w:hAnsi="Arial" w:cs="Arial"/>
          <w:bCs/>
          <w:kern w:val="28"/>
          <w:sz w:val="20"/>
          <w:szCs w:val="20"/>
          <w:lang w:val="es-ES"/>
        </w:rPr>
        <w:t xml:space="preserve"> en el escenario contrafactual sin </w:t>
      </w:r>
      <w:r w:rsidR="00E960D1">
        <w:rPr>
          <w:rFonts w:ascii="Arial" w:eastAsia="Times New Roman" w:hAnsi="Arial" w:cs="Arial"/>
          <w:bCs/>
          <w:kern w:val="28"/>
          <w:sz w:val="20"/>
          <w:szCs w:val="20"/>
          <w:lang w:val="es-ES"/>
        </w:rPr>
        <w:t>programa y</w:t>
      </w:r>
      <w:r w:rsidR="003E4758">
        <w:rPr>
          <w:rFonts w:ascii="Arial" w:eastAsia="Times New Roman" w:hAnsi="Arial" w:cs="Arial"/>
          <w:bCs/>
          <w:kern w:val="28"/>
          <w:sz w:val="20"/>
          <w:szCs w:val="20"/>
          <w:lang w:val="es-ES"/>
        </w:rPr>
        <w:t xml:space="preserve"> W</w:t>
      </w:r>
      <w:r w:rsidR="00E960D1">
        <w:rPr>
          <w:rFonts w:ascii="Arial" w:eastAsia="Times New Roman" w:hAnsi="Arial" w:cs="Arial"/>
          <w:bCs/>
          <w:kern w:val="28"/>
          <w:sz w:val="20"/>
          <w:szCs w:val="20"/>
          <w:lang w:val="es-ES"/>
        </w:rPr>
        <w:t xml:space="preserve"> al total de recaudación forzada y generación de deuda en el escenario con programa. Con W</w:t>
      </w:r>
      <w:r w:rsidR="003E4758">
        <w:rPr>
          <w:rFonts w:ascii="Arial" w:eastAsia="Times New Roman" w:hAnsi="Arial" w:cs="Arial"/>
          <w:bCs/>
          <w:kern w:val="28"/>
          <w:sz w:val="20"/>
          <w:szCs w:val="20"/>
          <w:lang w:val="es-ES"/>
        </w:rPr>
        <w:t>=T+S</w:t>
      </w:r>
      <w:r w:rsidR="00E960D1">
        <w:rPr>
          <w:rFonts w:ascii="Arial" w:eastAsia="Times New Roman" w:hAnsi="Arial" w:cs="Arial"/>
          <w:bCs/>
          <w:kern w:val="28"/>
          <w:sz w:val="20"/>
          <w:szCs w:val="20"/>
          <w:lang w:val="es-ES"/>
        </w:rPr>
        <w:t xml:space="preserve"> donde S es la recaudación forzada y generación de deuda adicional que se produce como consecuencia del programa.</w:t>
      </w:r>
      <w:r w:rsidR="00AE7F44">
        <w:rPr>
          <w:rFonts w:ascii="Arial" w:eastAsia="Times New Roman" w:hAnsi="Arial" w:cs="Arial"/>
          <w:bCs/>
          <w:kern w:val="28"/>
          <w:sz w:val="20"/>
          <w:szCs w:val="20"/>
          <w:lang w:val="es-ES"/>
        </w:rPr>
        <w:t xml:space="preserve"> </w:t>
      </w:r>
    </w:p>
    <w:p w14:paraId="68CCC164" w14:textId="3455F52A" w:rsidR="0085725E" w:rsidRDefault="0085725E">
      <w:pPr>
        <w:rPr>
          <w:rFonts w:ascii="Arial" w:eastAsia="Times New Roman" w:hAnsi="Arial" w:cs="Arial"/>
          <w:bCs/>
          <w:kern w:val="28"/>
          <w:sz w:val="20"/>
          <w:szCs w:val="20"/>
          <w:lang w:val="es-ES"/>
        </w:rPr>
      </w:pPr>
      <w:r>
        <w:rPr>
          <w:rFonts w:ascii="Arial" w:eastAsia="Times New Roman" w:hAnsi="Arial" w:cs="Arial"/>
          <w:bCs/>
          <w:kern w:val="28"/>
          <w:sz w:val="20"/>
          <w:szCs w:val="20"/>
          <w:lang w:val="es-ES"/>
        </w:rPr>
        <w:t>El indicador de costo-</w:t>
      </w:r>
      <w:r w:rsidR="00054D7B">
        <w:rPr>
          <w:rFonts w:ascii="Arial" w:eastAsia="Times New Roman" w:hAnsi="Arial" w:cs="Arial"/>
          <w:bCs/>
          <w:kern w:val="28"/>
          <w:sz w:val="20"/>
          <w:szCs w:val="20"/>
          <w:lang w:val="es-ES"/>
        </w:rPr>
        <w:t>e</w:t>
      </w:r>
      <w:r w:rsidR="00046BB1">
        <w:rPr>
          <w:rFonts w:ascii="Arial" w:eastAsia="Times New Roman" w:hAnsi="Arial" w:cs="Arial"/>
          <w:bCs/>
          <w:kern w:val="28"/>
          <w:sz w:val="20"/>
          <w:szCs w:val="20"/>
          <w:lang w:val="es-ES"/>
        </w:rPr>
        <w:t>fectividad</w:t>
      </w:r>
      <w:r>
        <w:rPr>
          <w:rFonts w:ascii="Arial" w:eastAsia="Times New Roman" w:hAnsi="Arial" w:cs="Arial"/>
          <w:bCs/>
          <w:kern w:val="28"/>
          <w:sz w:val="20"/>
          <w:szCs w:val="20"/>
          <w:lang w:val="es-ES"/>
        </w:rPr>
        <w:t xml:space="preserve"> en el escenario sin programa vienen dado por </w:t>
      </w:r>
      <w:r w:rsidR="00AE7F44">
        <w:rPr>
          <w:rFonts w:ascii="Arial" w:eastAsia="Times New Roman" w:hAnsi="Arial" w:cs="Arial"/>
          <w:bCs/>
          <w:kern w:val="28"/>
          <w:sz w:val="20"/>
          <w:szCs w:val="20"/>
          <w:lang w:val="es-ES"/>
        </w:rPr>
        <w:t>la razón</w:t>
      </w:r>
      <w:r>
        <w:rPr>
          <w:rFonts w:ascii="Arial" w:eastAsia="Times New Roman" w:hAnsi="Arial" w:cs="Arial"/>
          <w:bCs/>
          <w:kern w:val="28"/>
          <w:sz w:val="20"/>
          <w:szCs w:val="20"/>
          <w:lang w:val="es-ES"/>
        </w:rPr>
        <w:t>:</w:t>
      </w:r>
    </w:p>
    <w:p w14:paraId="67A99801" w14:textId="3D64E7E8" w:rsidR="00806AA1" w:rsidRPr="008004E8" w:rsidRDefault="0085725E" w:rsidP="003E4758">
      <w:pPr>
        <w:rPr>
          <w:rFonts w:ascii="Arial" w:hAnsi="Arial" w:cs="Arial"/>
          <w:lang w:val="es-AR"/>
        </w:rPr>
      </w:pPr>
      <w:r w:rsidRPr="008004E8">
        <w:rPr>
          <w:rFonts w:ascii="Arial" w:eastAsia="Times New Roman" w:hAnsi="Arial" w:cs="Arial"/>
          <w:bCs/>
          <w:kern w:val="28"/>
          <w:sz w:val="20"/>
          <w:szCs w:val="20"/>
          <w:lang w:val="es-AR"/>
        </w:rPr>
        <w:t>CE</w:t>
      </w:r>
      <w:r w:rsidR="00935B7F">
        <w:rPr>
          <w:rFonts w:ascii="Arial" w:eastAsia="Times New Roman" w:hAnsi="Arial" w:cs="Arial"/>
          <w:bCs/>
          <w:kern w:val="28"/>
          <w:sz w:val="20"/>
          <w:szCs w:val="20"/>
          <w:lang w:val="es-AR"/>
        </w:rPr>
        <w:t>M</w:t>
      </w:r>
      <w:r w:rsidRPr="008004E8">
        <w:rPr>
          <w:rFonts w:ascii="Arial" w:eastAsia="Times New Roman" w:hAnsi="Arial" w:cs="Arial"/>
          <w:bCs/>
          <w:kern w:val="28"/>
          <w:sz w:val="20"/>
          <w:szCs w:val="20"/>
          <w:vertAlign w:val="subscript"/>
          <w:lang w:val="es-AR"/>
        </w:rPr>
        <w:t>A</w:t>
      </w:r>
      <w:r w:rsidRPr="008004E8">
        <w:rPr>
          <w:rFonts w:ascii="Arial" w:eastAsia="Times New Roman" w:hAnsi="Arial" w:cs="Arial"/>
          <w:bCs/>
          <w:kern w:val="28"/>
          <w:sz w:val="20"/>
          <w:szCs w:val="20"/>
          <w:lang w:val="es-AR"/>
        </w:rPr>
        <w:t>= (X</w:t>
      </w:r>
      <w:r w:rsidR="00A516E4" w:rsidRPr="008004E8">
        <w:rPr>
          <w:rFonts w:ascii="Arial" w:eastAsia="Times New Roman" w:hAnsi="Arial" w:cs="Arial"/>
          <w:bCs/>
          <w:kern w:val="28"/>
          <w:sz w:val="20"/>
          <w:szCs w:val="20"/>
          <w:vertAlign w:val="subscript"/>
          <w:lang w:val="es-AR"/>
        </w:rPr>
        <w:t>10</w:t>
      </w:r>
      <w:r w:rsidRPr="008004E8">
        <w:rPr>
          <w:rFonts w:ascii="Arial" w:eastAsia="Times New Roman" w:hAnsi="Arial" w:cs="Arial"/>
          <w:bCs/>
          <w:kern w:val="28"/>
          <w:sz w:val="20"/>
          <w:szCs w:val="20"/>
          <w:lang w:val="es-AR"/>
        </w:rPr>
        <w:t xml:space="preserve"> + X</w:t>
      </w:r>
      <w:proofErr w:type="gramStart"/>
      <w:r w:rsidR="00A516E4" w:rsidRPr="008004E8">
        <w:rPr>
          <w:rFonts w:ascii="Arial" w:eastAsia="Times New Roman" w:hAnsi="Arial" w:cs="Arial"/>
          <w:bCs/>
          <w:kern w:val="28"/>
          <w:sz w:val="20"/>
          <w:szCs w:val="20"/>
          <w:vertAlign w:val="subscript"/>
          <w:lang w:val="es-AR"/>
        </w:rPr>
        <w:t>20</w:t>
      </w:r>
      <w:r w:rsidRPr="008004E8">
        <w:rPr>
          <w:rFonts w:ascii="Arial" w:hAnsi="Arial" w:cs="Arial"/>
          <w:lang w:val="es-AR"/>
        </w:rPr>
        <w:t>)/</w:t>
      </w:r>
      <w:proofErr w:type="gramEnd"/>
      <w:r w:rsidRPr="008004E8">
        <w:rPr>
          <w:rFonts w:ascii="Arial" w:hAnsi="Arial" w:cs="Arial"/>
          <w:lang w:val="es-AR"/>
        </w:rPr>
        <w:t>T</w:t>
      </w:r>
    </w:p>
    <w:p w14:paraId="4B8A3FED" w14:textId="695AC1C8" w:rsidR="0085725E" w:rsidRDefault="0085725E" w:rsidP="0085725E">
      <w:pPr>
        <w:rPr>
          <w:rFonts w:ascii="Arial" w:eastAsia="Times New Roman" w:hAnsi="Arial" w:cs="Arial"/>
          <w:bCs/>
          <w:kern w:val="28"/>
          <w:sz w:val="20"/>
          <w:szCs w:val="20"/>
          <w:lang w:val="es-ES"/>
        </w:rPr>
      </w:pPr>
      <w:r>
        <w:rPr>
          <w:rFonts w:ascii="Arial" w:eastAsia="Times New Roman" w:hAnsi="Arial" w:cs="Arial"/>
          <w:bCs/>
          <w:kern w:val="28"/>
          <w:sz w:val="20"/>
          <w:szCs w:val="20"/>
          <w:lang w:val="es-ES"/>
        </w:rPr>
        <w:t>El indicador de costo-</w:t>
      </w:r>
      <w:r w:rsidR="00054D7B">
        <w:rPr>
          <w:rFonts w:ascii="Arial" w:eastAsia="Times New Roman" w:hAnsi="Arial" w:cs="Arial"/>
          <w:bCs/>
          <w:kern w:val="28"/>
          <w:sz w:val="20"/>
          <w:szCs w:val="20"/>
          <w:lang w:val="es-ES"/>
        </w:rPr>
        <w:t>e</w:t>
      </w:r>
      <w:r w:rsidR="00046BB1">
        <w:rPr>
          <w:rFonts w:ascii="Arial" w:eastAsia="Times New Roman" w:hAnsi="Arial" w:cs="Arial"/>
          <w:bCs/>
          <w:kern w:val="28"/>
          <w:sz w:val="20"/>
          <w:szCs w:val="20"/>
          <w:lang w:val="es-ES"/>
        </w:rPr>
        <w:t>fectividad</w:t>
      </w:r>
      <w:r>
        <w:rPr>
          <w:rFonts w:ascii="Arial" w:eastAsia="Times New Roman" w:hAnsi="Arial" w:cs="Arial"/>
          <w:bCs/>
          <w:kern w:val="28"/>
          <w:sz w:val="20"/>
          <w:szCs w:val="20"/>
          <w:lang w:val="es-ES"/>
        </w:rPr>
        <w:t xml:space="preserve"> en el escenario con programa vienen dado por </w:t>
      </w:r>
      <w:r w:rsidR="00AE7F44">
        <w:rPr>
          <w:rFonts w:ascii="Arial" w:eastAsia="Times New Roman" w:hAnsi="Arial" w:cs="Arial"/>
          <w:bCs/>
          <w:kern w:val="28"/>
          <w:sz w:val="20"/>
          <w:szCs w:val="20"/>
          <w:lang w:val="es-ES"/>
        </w:rPr>
        <w:t>la razón</w:t>
      </w:r>
      <w:r>
        <w:rPr>
          <w:rFonts w:ascii="Arial" w:eastAsia="Times New Roman" w:hAnsi="Arial" w:cs="Arial"/>
          <w:bCs/>
          <w:kern w:val="28"/>
          <w:sz w:val="20"/>
          <w:szCs w:val="20"/>
          <w:lang w:val="es-ES"/>
        </w:rPr>
        <w:t>:</w:t>
      </w:r>
    </w:p>
    <w:p w14:paraId="1F3B932F" w14:textId="4B404A24" w:rsidR="0085725E" w:rsidRPr="008004E8" w:rsidRDefault="0085725E" w:rsidP="003E4758">
      <w:pPr>
        <w:rPr>
          <w:rFonts w:ascii="Arial" w:eastAsia="Times New Roman" w:hAnsi="Arial" w:cs="Arial"/>
          <w:bCs/>
          <w:kern w:val="28"/>
          <w:sz w:val="20"/>
          <w:szCs w:val="20"/>
          <w:lang w:val="es-PE"/>
        </w:rPr>
      </w:pPr>
      <w:r w:rsidRPr="008004E8">
        <w:rPr>
          <w:rFonts w:ascii="Arial" w:eastAsia="Times New Roman" w:hAnsi="Arial" w:cs="Arial"/>
          <w:bCs/>
          <w:kern w:val="28"/>
          <w:sz w:val="20"/>
          <w:szCs w:val="20"/>
          <w:lang w:val="es-PE"/>
        </w:rPr>
        <w:t>CE</w:t>
      </w:r>
      <w:r w:rsidR="00935B7F" w:rsidRPr="008004E8">
        <w:rPr>
          <w:rFonts w:ascii="Arial" w:eastAsia="Times New Roman" w:hAnsi="Arial" w:cs="Arial"/>
          <w:bCs/>
          <w:kern w:val="28"/>
          <w:sz w:val="20"/>
          <w:szCs w:val="20"/>
          <w:lang w:val="es-PE"/>
        </w:rPr>
        <w:t>M</w:t>
      </w:r>
      <w:r w:rsidR="0047435A" w:rsidRPr="008004E8">
        <w:rPr>
          <w:rFonts w:ascii="Arial" w:eastAsia="Times New Roman" w:hAnsi="Arial" w:cs="Arial"/>
          <w:bCs/>
          <w:kern w:val="28"/>
          <w:sz w:val="20"/>
          <w:szCs w:val="20"/>
          <w:vertAlign w:val="subscript"/>
          <w:lang w:val="es-PE"/>
        </w:rPr>
        <w:t>B</w:t>
      </w:r>
      <w:r w:rsidRPr="008004E8">
        <w:rPr>
          <w:rFonts w:ascii="Arial" w:eastAsia="Times New Roman" w:hAnsi="Arial" w:cs="Arial"/>
          <w:bCs/>
          <w:kern w:val="28"/>
          <w:sz w:val="20"/>
          <w:szCs w:val="20"/>
          <w:lang w:val="es-PE"/>
        </w:rPr>
        <w:t>= [(X</w:t>
      </w:r>
      <w:r w:rsidR="00A516E4" w:rsidRPr="008004E8">
        <w:rPr>
          <w:rFonts w:ascii="Arial" w:eastAsia="Times New Roman" w:hAnsi="Arial" w:cs="Arial"/>
          <w:bCs/>
          <w:kern w:val="28"/>
          <w:sz w:val="20"/>
          <w:szCs w:val="20"/>
          <w:vertAlign w:val="subscript"/>
          <w:lang w:val="es-PE"/>
        </w:rPr>
        <w:t>11</w:t>
      </w:r>
      <w:r w:rsidRPr="008004E8">
        <w:rPr>
          <w:rFonts w:ascii="Arial" w:eastAsia="Times New Roman" w:hAnsi="Arial" w:cs="Arial"/>
          <w:bCs/>
          <w:kern w:val="28"/>
          <w:sz w:val="20"/>
          <w:szCs w:val="20"/>
          <w:lang w:val="es-PE"/>
        </w:rPr>
        <w:t xml:space="preserve"> + I</w:t>
      </w:r>
      <w:r w:rsidR="00A516E4" w:rsidRPr="008004E8">
        <w:rPr>
          <w:rFonts w:ascii="Arial" w:eastAsia="Times New Roman" w:hAnsi="Arial" w:cs="Arial"/>
          <w:bCs/>
          <w:kern w:val="28"/>
          <w:sz w:val="20"/>
          <w:szCs w:val="20"/>
          <w:vertAlign w:val="subscript"/>
          <w:lang w:val="es-PE"/>
        </w:rPr>
        <w:t>1</w:t>
      </w:r>
      <w:r w:rsidRPr="008004E8">
        <w:rPr>
          <w:rFonts w:ascii="Arial" w:eastAsia="Times New Roman" w:hAnsi="Arial" w:cs="Arial"/>
          <w:bCs/>
          <w:kern w:val="28"/>
          <w:sz w:val="20"/>
          <w:szCs w:val="20"/>
          <w:lang w:val="es-PE"/>
        </w:rPr>
        <w:t>) + (X</w:t>
      </w:r>
      <w:r w:rsidR="00A516E4" w:rsidRPr="008004E8">
        <w:rPr>
          <w:rFonts w:ascii="Arial" w:eastAsia="Times New Roman" w:hAnsi="Arial" w:cs="Arial"/>
          <w:bCs/>
          <w:kern w:val="28"/>
          <w:sz w:val="20"/>
          <w:szCs w:val="20"/>
          <w:vertAlign w:val="subscript"/>
          <w:lang w:val="es-PE"/>
        </w:rPr>
        <w:t>21</w:t>
      </w:r>
      <w:r w:rsidRPr="008004E8">
        <w:rPr>
          <w:rFonts w:ascii="Arial" w:eastAsia="Times New Roman" w:hAnsi="Arial" w:cs="Arial"/>
          <w:bCs/>
          <w:kern w:val="28"/>
          <w:sz w:val="20"/>
          <w:szCs w:val="20"/>
          <w:lang w:val="es-PE"/>
        </w:rPr>
        <w:t xml:space="preserve"> + I</w:t>
      </w:r>
      <w:r w:rsidR="00A516E4" w:rsidRPr="008004E8">
        <w:rPr>
          <w:rFonts w:ascii="Arial" w:eastAsia="Times New Roman" w:hAnsi="Arial" w:cs="Arial"/>
          <w:bCs/>
          <w:kern w:val="28"/>
          <w:sz w:val="20"/>
          <w:szCs w:val="20"/>
          <w:vertAlign w:val="subscript"/>
          <w:lang w:val="es-PE"/>
        </w:rPr>
        <w:t>2</w:t>
      </w:r>
      <w:r w:rsidRPr="008004E8">
        <w:rPr>
          <w:rFonts w:ascii="Arial" w:eastAsia="Times New Roman" w:hAnsi="Arial" w:cs="Arial"/>
          <w:bCs/>
          <w:kern w:val="28"/>
          <w:sz w:val="20"/>
          <w:szCs w:val="20"/>
          <w:lang w:val="es-PE"/>
        </w:rPr>
        <w:t>)]/W</w:t>
      </w:r>
    </w:p>
    <w:p w14:paraId="6C1BDD63" w14:textId="74E1B8BB" w:rsidR="0085725E" w:rsidRDefault="00E93156" w:rsidP="003E4758">
      <w:pPr>
        <w:rPr>
          <w:rFonts w:ascii="Arial" w:eastAsia="Times New Roman" w:hAnsi="Arial" w:cs="Arial"/>
          <w:bCs/>
          <w:kern w:val="28"/>
          <w:sz w:val="20"/>
          <w:szCs w:val="20"/>
          <w:lang w:val="es-AR"/>
        </w:rPr>
      </w:pPr>
      <w:r>
        <w:rPr>
          <w:rFonts w:ascii="Arial" w:eastAsia="Times New Roman" w:hAnsi="Arial" w:cs="Arial"/>
          <w:bCs/>
          <w:kern w:val="28"/>
          <w:sz w:val="20"/>
          <w:szCs w:val="20"/>
          <w:lang w:val="es-AR"/>
        </w:rPr>
        <w:t>Algunos de l</w:t>
      </w:r>
      <w:r w:rsidR="0085725E" w:rsidRPr="008004E8">
        <w:rPr>
          <w:rFonts w:ascii="Arial" w:eastAsia="Times New Roman" w:hAnsi="Arial" w:cs="Arial"/>
          <w:bCs/>
          <w:kern w:val="28"/>
          <w:sz w:val="20"/>
          <w:szCs w:val="20"/>
          <w:lang w:val="es-AR"/>
        </w:rPr>
        <w:t>os supuestos b</w:t>
      </w:r>
      <w:r w:rsidR="0085725E">
        <w:rPr>
          <w:rFonts w:ascii="Arial" w:eastAsia="Times New Roman" w:hAnsi="Arial" w:cs="Arial"/>
          <w:bCs/>
          <w:kern w:val="28"/>
          <w:sz w:val="20"/>
          <w:szCs w:val="20"/>
          <w:lang w:val="es-AR"/>
        </w:rPr>
        <w:t>á</w:t>
      </w:r>
      <w:r w:rsidR="0085725E" w:rsidRPr="008004E8">
        <w:rPr>
          <w:rFonts w:ascii="Arial" w:eastAsia="Times New Roman" w:hAnsi="Arial" w:cs="Arial"/>
          <w:bCs/>
          <w:kern w:val="28"/>
          <w:sz w:val="20"/>
          <w:szCs w:val="20"/>
          <w:lang w:val="es-AR"/>
        </w:rPr>
        <w:t>sicos del a</w:t>
      </w:r>
      <w:r w:rsidR="0085725E">
        <w:rPr>
          <w:rFonts w:ascii="Arial" w:eastAsia="Times New Roman" w:hAnsi="Arial" w:cs="Arial"/>
          <w:bCs/>
          <w:kern w:val="28"/>
          <w:sz w:val="20"/>
          <w:szCs w:val="20"/>
          <w:lang w:val="es-AR"/>
        </w:rPr>
        <w:t xml:space="preserve">nálisis se </w:t>
      </w:r>
      <w:r w:rsidR="00996108">
        <w:rPr>
          <w:rFonts w:ascii="Arial" w:eastAsia="Times New Roman" w:hAnsi="Arial" w:cs="Arial"/>
          <w:bCs/>
          <w:kern w:val="28"/>
          <w:sz w:val="20"/>
          <w:szCs w:val="20"/>
          <w:lang w:val="es-AR"/>
        </w:rPr>
        <w:t>explicitan</w:t>
      </w:r>
      <w:r w:rsidR="0085725E">
        <w:rPr>
          <w:rFonts w:ascii="Arial" w:eastAsia="Times New Roman" w:hAnsi="Arial" w:cs="Arial"/>
          <w:bCs/>
          <w:kern w:val="28"/>
          <w:sz w:val="20"/>
          <w:szCs w:val="20"/>
          <w:lang w:val="es-AR"/>
        </w:rPr>
        <w:t xml:space="preserve"> a continuación:</w:t>
      </w:r>
    </w:p>
    <w:p w14:paraId="69D5CAC8" w14:textId="157E6AEE" w:rsidR="0085725E" w:rsidRPr="008A63CD" w:rsidRDefault="00E93156" w:rsidP="008A63CD">
      <w:pPr>
        <w:jc w:val="both"/>
        <w:rPr>
          <w:rFonts w:ascii="Arial" w:hAnsi="Arial" w:cs="Arial"/>
          <w:vertAlign w:val="subscript"/>
          <w:lang w:val="es-AR"/>
        </w:rPr>
      </w:pPr>
      <w:r w:rsidRPr="008004E8">
        <w:rPr>
          <w:rFonts w:ascii="Arial" w:eastAsia="Times New Roman" w:hAnsi="Arial" w:cs="Arial"/>
          <w:b/>
          <w:bCs/>
          <w:i/>
          <w:kern w:val="28"/>
          <w:sz w:val="20"/>
          <w:szCs w:val="20"/>
          <w:lang w:val="es-AR"/>
        </w:rPr>
        <w:t xml:space="preserve">Supuesto </w:t>
      </w:r>
      <w:r w:rsidR="00A516E4" w:rsidRPr="008004E8">
        <w:rPr>
          <w:rFonts w:ascii="Arial" w:eastAsia="Times New Roman" w:hAnsi="Arial" w:cs="Arial"/>
          <w:b/>
          <w:bCs/>
          <w:i/>
          <w:kern w:val="28"/>
          <w:sz w:val="20"/>
          <w:szCs w:val="20"/>
          <w:lang w:val="es-AR"/>
        </w:rPr>
        <w:t>1</w:t>
      </w:r>
      <w:r w:rsidR="00A516E4">
        <w:rPr>
          <w:rFonts w:ascii="Arial" w:eastAsia="Times New Roman" w:hAnsi="Arial" w:cs="Arial"/>
          <w:bCs/>
          <w:kern w:val="28"/>
          <w:sz w:val="20"/>
          <w:szCs w:val="20"/>
          <w:lang w:val="es-AR"/>
        </w:rPr>
        <w:t>. L</w:t>
      </w:r>
      <w:r w:rsidR="0047435A">
        <w:rPr>
          <w:rFonts w:ascii="Arial" w:eastAsia="Times New Roman" w:hAnsi="Arial" w:cs="Arial"/>
          <w:bCs/>
          <w:kern w:val="28"/>
          <w:sz w:val="20"/>
          <w:szCs w:val="20"/>
          <w:lang w:val="es-ES"/>
        </w:rPr>
        <w:t>os costos corrientes asociados a las actividades que se busca impactar con los componentes</w:t>
      </w:r>
      <w:r w:rsidR="00D84E30">
        <w:rPr>
          <w:rFonts w:ascii="Arial" w:eastAsia="Times New Roman" w:hAnsi="Arial" w:cs="Arial"/>
          <w:bCs/>
          <w:kern w:val="28"/>
          <w:sz w:val="20"/>
          <w:szCs w:val="20"/>
          <w:lang w:val="es-ES"/>
        </w:rPr>
        <w:t xml:space="preserve"> 1 y 2 del programa cambian como consecuencia de la intervención</w:t>
      </w:r>
      <w:r w:rsidR="00175A6B">
        <w:rPr>
          <w:rFonts w:ascii="Arial" w:eastAsia="Times New Roman" w:hAnsi="Arial" w:cs="Arial"/>
          <w:bCs/>
          <w:kern w:val="28"/>
          <w:sz w:val="20"/>
          <w:szCs w:val="20"/>
          <w:lang w:val="es-ES"/>
        </w:rPr>
        <w:t xml:space="preserve">: </w:t>
      </w:r>
      <w:r w:rsidR="00175A6B" w:rsidRPr="008004E8">
        <w:rPr>
          <w:rFonts w:ascii="Arial" w:eastAsia="Times New Roman" w:hAnsi="Arial" w:cs="Arial"/>
          <w:bCs/>
          <w:kern w:val="28"/>
          <w:sz w:val="20"/>
          <w:szCs w:val="20"/>
          <w:lang w:val="es-AR"/>
        </w:rPr>
        <w:t>X</w:t>
      </w:r>
      <w:r w:rsidR="00175A6B" w:rsidRPr="008004E8">
        <w:rPr>
          <w:rFonts w:ascii="Arial" w:eastAsia="Times New Roman" w:hAnsi="Arial" w:cs="Arial"/>
          <w:bCs/>
          <w:kern w:val="28"/>
          <w:sz w:val="20"/>
          <w:szCs w:val="20"/>
          <w:vertAlign w:val="subscript"/>
          <w:lang w:val="es-AR"/>
        </w:rPr>
        <w:t>1</w:t>
      </w:r>
      <w:r w:rsidR="008A63CD">
        <w:rPr>
          <w:rFonts w:ascii="Arial" w:eastAsia="Times New Roman" w:hAnsi="Arial" w:cs="Arial"/>
          <w:bCs/>
          <w:kern w:val="28"/>
          <w:sz w:val="20"/>
          <w:szCs w:val="20"/>
          <w:vertAlign w:val="subscript"/>
          <w:lang w:val="es-AR"/>
        </w:rPr>
        <w:t>1</w:t>
      </w:r>
      <w:r w:rsidR="00175A6B">
        <w:rPr>
          <w:rFonts w:ascii="Arial" w:eastAsia="Times New Roman" w:hAnsi="Arial" w:cs="Arial"/>
          <w:bCs/>
          <w:kern w:val="28"/>
          <w:sz w:val="20"/>
          <w:szCs w:val="20"/>
          <w:lang w:val="es-AR"/>
        </w:rPr>
        <w:t>=</w:t>
      </w:r>
      <w:r w:rsidR="00175A6B" w:rsidRPr="008004E8">
        <w:rPr>
          <w:rFonts w:ascii="Arial" w:eastAsia="Times New Roman" w:hAnsi="Arial" w:cs="Arial"/>
          <w:bCs/>
          <w:kern w:val="28"/>
          <w:sz w:val="20"/>
          <w:szCs w:val="20"/>
          <w:lang w:val="es-AR"/>
        </w:rPr>
        <w:t xml:space="preserve"> X</w:t>
      </w:r>
      <w:r w:rsidR="00175A6B" w:rsidRPr="008004E8">
        <w:rPr>
          <w:rFonts w:ascii="Arial" w:eastAsia="Times New Roman" w:hAnsi="Arial" w:cs="Arial"/>
          <w:bCs/>
          <w:kern w:val="28"/>
          <w:sz w:val="20"/>
          <w:szCs w:val="20"/>
          <w:vertAlign w:val="subscript"/>
          <w:lang w:val="es-AR"/>
        </w:rPr>
        <w:t>1</w:t>
      </w:r>
      <w:r w:rsidR="00115131">
        <w:rPr>
          <w:rFonts w:ascii="Arial" w:eastAsia="Times New Roman" w:hAnsi="Arial" w:cs="Arial"/>
          <w:bCs/>
          <w:kern w:val="28"/>
          <w:sz w:val="20"/>
          <w:szCs w:val="20"/>
          <w:vertAlign w:val="subscript"/>
          <w:lang w:val="es-AR"/>
        </w:rPr>
        <w:t xml:space="preserve">0 </w:t>
      </w:r>
      <w:r w:rsidR="00115131">
        <w:rPr>
          <w:rFonts w:ascii="Arial" w:eastAsia="Times New Roman" w:hAnsi="Arial" w:cs="Arial"/>
          <w:bCs/>
          <w:kern w:val="28"/>
          <w:sz w:val="20"/>
          <w:szCs w:val="20"/>
          <w:lang w:val="es-AR"/>
        </w:rPr>
        <w:t>+ Z</w:t>
      </w:r>
      <w:proofErr w:type="gramStart"/>
      <w:r w:rsidR="00115131">
        <w:rPr>
          <w:rFonts w:ascii="Arial" w:eastAsia="Times New Roman" w:hAnsi="Arial" w:cs="Arial"/>
          <w:bCs/>
          <w:kern w:val="28"/>
          <w:sz w:val="20"/>
          <w:szCs w:val="20"/>
          <w:vertAlign w:val="subscript"/>
          <w:lang w:val="es-AR"/>
        </w:rPr>
        <w:t>1</w:t>
      </w:r>
      <w:r w:rsidR="00175A6B">
        <w:rPr>
          <w:rFonts w:ascii="Arial" w:eastAsia="Times New Roman" w:hAnsi="Arial" w:cs="Arial"/>
          <w:bCs/>
          <w:kern w:val="28"/>
          <w:sz w:val="20"/>
          <w:szCs w:val="20"/>
          <w:vertAlign w:val="subscript"/>
          <w:lang w:val="es-AR"/>
        </w:rPr>
        <w:t xml:space="preserve"> </w:t>
      </w:r>
      <w:r w:rsidR="00175A6B">
        <w:rPr>
          <w:rFonts w:ascii="Arial" w:eastAsia="Times New Roman" w:hAnsi="Arial" w:cs="Arial"/>
          <w:bCs/>
          <w:kern w:val="28"/>
          <w:sz w:val="20"/>
          <w:szCs w:val="20"/>
          <w:lang w:val="es-AR"/>
        </w:rPr>
        <w:t>;</w:t>
      </w:r>
      <w:proofErr w:type="gramEnd"/>
      <w:r w:rsidR="00175A6B">
        <w:rPr>
          <w:rFonts w:ascii="Arial" w:eastAsia="Times New Roman" w:hAnsi="Arial" w:cs="Arial"/>
          <w:bCs/>
          <w:kern w:val="28"/>
          <w:sz w:val="20"/>
          <w:szCs w:val="20"/>
          <w:lang w:val="es-AR"/>
        </w:rPr>
        <w:t xml:space="preserve"> </w:t>
      </w:r>
      <w:r w:rsidR="00175A6B" w:rsidRPr="00246D0F">
        <w:rPr>
          <w:rFonts w:ascii="Arial" w:eastAsia="Times New Roman" w:hAnsi="Arial" w:cs="Arial"/>
          <w:bCs/>
          <w:kern w:val="28"/>
          <w:sz w:val="20"/>
          <w:szCs w:val="20"/>
          <w:lang w:val="es-AR"/>
        </w:rPr>
        <w:t>X</w:t>
      </w:r>
      <w:r w:rsidR="00175A6B">
        <w:rPr>
          <w:rFonts w:ascii="Arial" w:eastAsia="Times New Roman" w:hAnsi="Arial" w:cs="Arial"/>
          <w:bCs/>
          <w:kern w:val="28"/>
          <w:sz w:val="20"/>
          <w:szCs w:val="20"/>
          <w:vertAlign w:val="subscript"/>
          <w:lang w:val="es-AR"/>
        </w:rPr>
        <w:t>2</w:t>
      </w:r>
      <w:r w:rsidR="008A63CD">
        <w:rPr>
          <w:rFonts w:ascii="Arial" w:eastAsia="Times New Roman" w:hAnsi="Arial" w:cs="Arial"/>
          <w:bCs/>
          <w:kern w:val="28"/>
          <w:sz w:val="20"/>
          <w:szCs w:val="20"/>
          <w:vertAlign w:val="subscript"/>
          <w:lang w:val="es-AR"/>
        </w:rPr>
        <w:t>1</w:t>
      </w:r>
      <w:r w:rsidR="00175A6B">
        <w:rPr>
          <w:rFonts w:ascii="Arial" w:eastAsia="Times New Roman" w:hAnsi="Arial" w:cs="Arial"/>
          <w:bCs/>
          <w:kern w:val="28"/>
          <w:sz w:val="20"/>
          <w:szCs w:val="20"/>
          <w:lang w:val="es-AR"/>
        </w:rPr>
        <w:t>=</w:t>
      </w:r>
      <w:r w:rsidR="00175A6B" w:rsidRPr="00246D0F">
        <w:rPr>
          <w:rFonts w:ascii="Arial" w:eastAsia="Times New Roman" w:hAnsi="Arial" w:cs="Arial"/>
          <w:bCs/>
          <w:kern w:val="28"/>
          <w:sz w:val="20"/>
          <w:szCs w:val="20"/>
          <w:lang w:val="es-AR"/>
        </w:rPr>
        <w:t xml:space="preserve"> X</w:t>
      </w:r>
      <w:r w:rsidR="00175A6B">
        <w:rPr>
          <w:rFonts w:ascii="Arial" w:eastAsia="Times New Roman" w:hAnsi="Arial" w:cs="Arial"/>
          <w:bCs/>
          <w:kern w:val="28"/>
          <w:sz w:val="20"/>
          <w:szCs w:val="20"/>
          <w:vertAlign w:val="subscript"/>
          <w:lang w:val="es-AR"/>
        </w:rPr>
        <w:t>2</w:t>
      </w:r>
      <w:r w:rsidR="00115131">
        <w:rPr>
          <w:rFonts w:ascii="Arial" w:eastAsia="Times New Roman" w:hAnsi="Arial" w:cs="Arial"/>
          <w:bCs/>
          <w:kern w:val="28"/>
          <w:sz w:val="20"/>
          <w:szCs w:val="20"/>
          <w:vertAlign w:val="subscript"/>
          <w:lang w:val="es-AR"/>
        </w:rPr>
        <w:t>0</w:t>
      </w:r>
      <w:r w:rsidR="008A63CD">
        <w:rPr>
          <w:rFonts w:ascii="Arial" w:eastAsia="Times New Roman" w:hAnsi="Arial" w:cs="Arial"/>
          <w:bCs/>
          <w:kern w:val="28"/>
          <w:sz w:val="20"/>
          <w:szCs w:val="20"/>
          <w:lang w:val="es-AR"/>
        </w:rPr>
        <w:t xml:space="preserve"> + Z</w:t>
      </w:r>
      <w:r w:rsidR="008A63CD">
        <w:rPr>
          <w:rFonts w:ascii="Arial" w:eastAsia="Times New Roman" w:hAnsi="Arial" w:cs="Arial"/>
          <w:bCs/>
          <w:kern w:val="28"/>
          <w:sz w:val="20"/>
          <w:szCs w:val="20"/>
          <w:vertAlign w:val="subscript"/>
          <w:lang w:val="es-AR"/>
        </w:rPr>
        <w:t>2</w:t>
      </w:r>
    </w:p>
    <w:p w14:paraId="2387B9EC" w14:textId="402221BD" w:rsidR="005C73F9" w:rsidRDefault="00E93156" w:rsidP="000D4FEB">
      <w:pPr>
        <w:rPr>
          <w:rFonts w:ascii="Arial" w:eastAsia="Times New Roman" w:hAnsi="Arial" w:cs="Arial"/>
          <w:bCs/>
          <w:kern w:val="28"/>
          <w:sz w:val="20"/>
          <w:szCs w:val="20"/>
          <w:lang w:val="es-ES"/>
        </w:rPr>
      </w:pPr>
      <w:r w:rsidRPr="00BB2405">
        <w:rPr>
          <w:rFonts w:ascii="Arial" w:eastAsia="Times New Roman" w:hAnsi="Arial" w:cs="Arial"/>
          <w:b/>
          <w:bCs/>
          <w:i/>
          <w:kern w:val="28"/>
          <w:sz w:val="20"/>
          <w:szCs w:val="20"/>
          <w:lang w:val="es-AR"/>
        </w:rPr>
        <w:t xml:space="preserve">Supuesto </w:t>
      </w:r>
      <w:r w:rsidR="008A63CD">
        <w:rPr>
          <w:rFonts w:ascii="Arial" w:eastAsia="Times New Roman" w:hAnsi="Arial" w:cs="Arial"/>
          <w:b/>
          <w:bCs/>
          <w:i/>
          <w:kern w:val="28"/>
          <w:sz w:val="20"/>
          <w:szCs w:val="20"/>
          <w:lang w:val="es-AR"/>
        </w:rPr>
        <w:t>2</w:t>
      </w:r>
      <w:r w:rsidR="005C73F9">
        <w:rPr>
          <w:rFonts w:ascii="Arial" w:eastAsia="Times New Roman" w:hAnsi="Arial" w:cs="Arial"/>
          <w:bCs/>
          <w:kern w:val="28"/>
          <w:sz w:val="20"/>
          <w:szCs w:val="20"/>
          <w:lang w:val="es-ES"/>
        </w:rPr>
        <w:t>. Solo hay costos de inversión</w:t>
      </w:r>
      <w:r w:rsidR="003B0655">
        <w:rPr>
          <w:rFonts w:ascii="Arial" w:eastAsia="Times New Roman" w:hAnsi="Arial" w:cs="Arial"/>
          <w:bCs/>
          <w:kern w:val="28"/>
          <w:sz w:val="20"/>
          <w:szCs w:val="20"/>
          <w:lang w:val="es-ES"/>
        </w:rPr>
        <w:t xml:space="preserve"> </w:t>
      </w:r>
      <m:oMath>
        <m:d>
          <m:dPr>
            <m:ctrlPr>
              <w:rPr>
                <w:rFonts w:ascii="Cambria Math" w:eastAsia="Times New Roman" w:hAnsi="Cambria Math" w:cs="Arial"/>
                <w:i/>
                <w:lang w:val="es-AR"/>
              </w:rPr>
            </m:ctrlPr>
          </m:dPr>
          <m:e>
            <m:sSub>
              <m:sSubPr>
                <m:ctrlPr>
                  <w:rPr>
                    <w:rFonts w:ascii="Cambria Math" w:eastAsia="Times New Roman" w:hAnsi="Cambria Math" w:cs="Arial"/>
                    <w:bCs/>
                    <w:i/>
                    <w:kern w:val="28"/>
                    <w:sz w:val="20"/>
                    <w:szCs w:val="20"/>
                    <w:vertAlign w:val="subscript"/>
                    <w:lang w:val="es-AR"/>
                  </w:rPr>
                </m:ctrlPr>
              </m:sSubPr>
              <m:e>
                <m:r>
                  <w:rPr>
                    <w:rFonts w:ascii="Cambria Math" w:eastAsia="Times New Roman" w:hAnsi="Cambria Math" w:cs="Arial"/>
                    <w:kern w:val="28"/>
                    <w:sz w:val="20"/>
                    <w:szCs w:val="20"/>
                    <w:vertAlign w:val="subscript"/>
                    <w:lang w:val="es-AR"/>
                  </w:rPr>
                  <m:t>I</m:t>
                </m:r>
              </m:e>
              <m:sub>
                <m:r>
                  <w:rPr>
                    <w:rFonts w:ascii="Cambria Math" w:eastAsia="Times New Roman" w:hAnsi="Cambria Math" w:cs="Arial"/>
                    <w:kern w:val="28"/>
                    <w:sz w:val="20"/>
                    <w:szCs w:val="20"/>
                    <w:vertAlign w:val="subscript"/>
                    <w:lang w:val="es-AR"/>
                  </w:rPr>
                  <m:t>1</m:t>
                </m:r>
              </m:sub>
            </m:sSub>
            <m:r>
              <w:rPr>
                <w:rFonts w:ascii="Cambria Math" w:eastAsia="Times New Roman" w:hAnsi="Cambria Math" w:cs="Arial"/>
                <w:kern w:val="28"/>
                <w:sz w:val="20"/>
                <w:szCs w:val="20"/>
                <w:lang w:val="es-AR"/>
              </w:rPr>
              <m:t xml:space="preserve"> + </m:t>
            </m:r>
            <m:sSub>
              <m:sSubPr>
                <m:ctrlPr>
                  <w:rPr>
                    <w:rFonts w:ascii="Cambria Math" w:eastAsia="Times New Roman" w:hAnsi="Cambria Math" w:cs="Arial"/>
                    <w:bCs/>
                    <w:i/>
                    <w:kern w:val="28"/>
                    <w:sz w:val="20"/>
                    <w:szCs w:val="20"/>
                    <w:vertAlign w:val="subscript"/>
                    <w:lang w:val="es-AR"/>
                  </w:rPr>
                </m:ctrlPr>
              </m:sSubPr>
              <m:e>
                <m:r>
                  <w:rPr>
                    <w:rFonts w:ascii="Cambria Math" w:eastAsia="Times New Roman" w:hAnsi="Cambria Math" w:cs="Arial"/>
                    <w:kern w:val="28"/>
                    <w:sz w:val="20"/>
                    <w:szCs w:val="20"/>
                    <w:vertAlign w:val="subscript"/>
                    <w:lang w:val="es-AR"/>
                  </w:rPr>
                  <m:t>I</m:t>
                </m:r>
              </m:e>
              <m:sub>
                <m:r>
                  <w:rPr>
                    <w:rFonts w:ascii="Cambria Math" w:eastAsia="Times New Roman" w:hAnsi="Cambria Math" w:cs="Arial"/>
                    <w:kern w:val="28"/>
                    <w:sz w:val="20"/>
                    <w:szCs w:val="20"/>
                    <w:vertAlign w:val="subscript"/>
                    <w:lang w:val="es-AR"/>
                  </w:rPr>
                  <m:t>2</m:t>
                </m:r>
              </m:sub>
            </m:sSub>
            <m:r>
              <w:rPr>
                <w:rFonts w:ascii="Cambria Math" w:eastAsia="Times New Roman" w:hAnsi="Cambria Math" w:cs="Arial"/>
                <w:kern w:val="28"/>
                <w:sz w:val="20"/>
                <w:szCs w:val="20"/>
                <w:vertAlign w:val="subscript"/>
                <w:lang w:val="es-AR"/>
              </w:rPr>
              <m:t xml:space="preserve"> </m:t>
            </m:r>
          </m:e>
        </m:d>
      </m:oMath>
      <w:r w:rsidR="005C73F9">
        <w:rPr>
          <w:rFonts w:ascii="Arial" w:eastAsia="Times New Roman" w:hAnsi="Arial" w:cs="Arial"/>
          <w:bCs/>
          <w:kern w:val="28"/>
          <w:sz w:val="20"/>
          <w:szCs w:val="20"/>
          <w:lang w:val="es-ES"/>
        </w:rPr>
        <w:t xml:space="preserve"> realizados en el periodo</w:t>
      </w:r>
      <w:r w:rsidR="00072327">
        <w:rPr>
          <w:rFonts w:ascii="Arial" w:eastAsia="Times New Roman" w:hAnsi="Arial" w:cs="Arial"/>
          <w:bCs/>
          <w:kern w:val="28"/>
          <w:sz w:val="20"/>
          <w:szCs w:val="20"/>
          <w:lang w:val="es-ES"/>
        </w:rPr>
        <w:t xml:space="preserve"> j=</w:t>
      </w:r>
      <w:r w:rsidR="005C73F9">
        <w:rPr>
          <w:rFonts w:ascii="Arial" w:eastAsia="Times New Roman" w:hAnsi="Arial" w:cs="Arial"/>
          <w:bCs/>
          <w:kern w:val="28"/>
          <w:sz w:val="20"/>
          <w:szCs w:val="20"/>
          <w:lang w:val="es-ES"/>
        </w:rPr>
        <w:t>1.</w:t>
      </w:r>
    </w:p>
    <w:p w14:paraId="08F2FECD" w14:textId="49137389" w:rsidR="003327A8" w:rsidRDefault="003327A8" w:rsidP="000D4FEB">
      <w:pPr>
        <w:rPr>
          <w:rFonts w:ascii="Arial" w:eastAsia="Times New Roman" w:hAnsi="Arial" w:cs="Arial"/>
          <w:bCs/>
          <w:kern w:val="28"/>
          <w:sz w:val="20"/>
          <w:szCs w:val="20"/>
          <w:lang w:val="es-ES"/>
        </w:rPr>
      </w:pPr>
      <w:r>
        <w:rPr>
          <w:rFonts w:ascii="Arial" w:eastAsia="Times New Roman" w:hAnsi="Arial" w:cs="Arial"/>
          <w:bCs/>
          <w:kern w:val="28"/>
          <w:sz w:val="20"/>
          <w:szCs w:val="20"/>
          <w:lang w:val="es-ES"/>
        </w:rPr>
        <w:t>Sobre la base de esos supuestos</w:t>
      </w:r>
      <w:r w:rsidR="00AB6415">
        <w:rPr>
          <w:rFonts w:ascii="Arial" w:eastAsia="Times New Roman" w:hAnsi="Arial" w:cs="Arial"/>
          <w:bCs/>
          <w:kern w:val="28"/>
          <w:sz w:val="20"/>
          <w:szCs w:val="20"/>
          <w:lang w:val="es-ES"/>
        </w:rPr>
        <w:t xml:space="preserve">, </w:t>
      </w:r>
      <w:r w:rsidR="00115131">
        <w:rPr>
          <w:rFonts w:ascii="Arial" w:eastAsia="Times New Roman" w:hAnsi="Arial" w:cs="Arial"/>
          <w:bCs/>
          <w:kern w:val="28"/>
          <w:sz w:val="20"/>
          <w:szCs w:val="20"/>
          <w:lang w:val="es-ES"/>
        </w:rPr>
        <w:t>el</w:t>
      </w:r>
      <w:r w:rsidR="00AB6415">
        <w:rPr>
          <w:rFonts w:ascii="Arial" w:eastAsia="Times New Roman" w:hAnsi="Arial" w:cs="Arial"/>
          <w:bCs/>
          <w:kern w:val="28"/>
          <w:sz w:val="20"/>
          <w:szCs w:val="20"/>
          <w:lang w:val="es-ES"/>
        </w:rPr>
        <w:t xml:space="preserve"> costo-</w:t>
      </w:r>
      <w:r w:rsidR="00115131">
        <w:rPr>
          <w:rFonts w:ascii="Arial" w:eastAsia="Times New Roman" w:hAnsi="Arial" w:cs="Arial"/>
          <w:bCs/>
          <w:kern w:val="28"/>
          <w:sz w:val="20"/>
          <w:szCs w:val="20"/>
          <w:lang w:val="es-ES"/>
        </w:rPr>
        <w:t>e</w:t>
      </w:r>
      <w:r w:rsidR="00046BB1">
        <w:rPr>
          <w:rFonts w:ascii="Arial" w:eastAsia="Times New Roman" w:hAnsi="Arial" w:cs="Arial"/>
          <w:bCs/>
          <w:kern w:val="28"/>
          <w:sz w:val="20"/>
          <w:szCs w:val="20"/>
          <w:lang w:val="es-ES"/>
        </w:rPr>
        <w:t>fectividad</w:t>
      </w:r>
      <w:r w:rsidR="00AB6415">
        <w:rPr>
          <w:rFonts w:ascii="Arial" w:eastAsia="Times New Roman" w:hAnsi="Arial" w:cs="Arial"/>
          <w:bCs/>
          <w:kern w:val="28"/>
          <w:sz w:val="20"/>
          <w:szCs w:val="20"/>
          <w:lang w:val="es-ES"/>
        </w:rPr>
        <w:t xml:space="preserve"> del programa supone</w:t>
      </w:r>
      <w:r>
        <w:rPr>
          <w:rFonts w:ascii="Arial" w:eastAsia="Times New Roman" w:hAnsi="Arial" w:cs="Arial"/>
          <w:bCs/>
          <w:kern w:val="28"/>
          <w:sz w:val="20"/>
          <w:szCs w:val="20"/>
          <w:lang w:val="es-ES"/>
        </w:rPr>
        <w:t>:</w:t>
      </w:r>
    </w:p>
    <w:p w14:paraId="1857164E" w14:textId="0BE8DEF7" w:rsidR="003327A8" w:rsidRPr="00E61B1C" w:rsidRDefault="00074170" w:rsidP="003327A8">
      <w:pPr>
        <w:rPr>
          <w:rFonts w:ascii="Arial" w:eastAsia="Times New Roman" w:hAnsi="Arial" w:cs="Arial"/>
          <w:lang w:val="es-AR"/>
        </w:rPr>
      </w:pPr>
      <m:oMathPara>
        <m:oMathParaPr>
          <m:jc m:val="left"/>
        </m:oMathParaPr>
        <m:oMath>
          <m:r>
            <w:rPr>
              <w:rFonts w:ascii="Cambria Math" w:eastAsia="Times New Roman" w:hAnsi="Cambria Math" w:cs="Arial"/>
              <w:kern w:val="28"/>
              <w:sz w:val="20"/>
              <w:szCs w:val="20"/>
              <w:lang w:val="es-AR"/>
            </w:rPr>
            <m:t xml:space="preserve">Ecuacion 1.      </m:t>
          </m:r>
          <m:f>
            <m:fPr>
              <m:ctrlPr>
                <w:rPr>
                  <w:rFonts w:ascii="Cambria Math" w:eastAsia="Times New Roman" w:hAnsi="Cambria Math" w:cs="Arial"/>
                  <w:bCs/>
                  <w:i/>
                  <w:kern w:val="28"/>
                  <w:sz w:val="20"/>
                  <w:szCs w:val="20"/>
                  <w:lang w:val="es-AR"/>
                </w:rPr>
              </m:ctrlPr>
            </m:fPr>
            <m:num>
              <m:r>
                <w:rPr>
                  <w:rFonts w:ascii="Cambria Math" w:eastAsia="Times New Roman" w:hAnsi="Cambria Math" w:cs="Arial"/>
                  <w:kern w:val="28"/>
                  <w:sz w:val="20"/>
                  <w:szCs w:val="20"/>
                  <w:lang w:val="es-AR"/>
                </w:rPr>
                <m:t>(</m:t>
              </m:r>
              <m:sSub>
                <m:sSubPr>
                  <m:ctrlPr>
                    <w:rPr>
                      <w:rFonts w:ascii="Cambria Math" w:eastAsia="Times New Roman" w:hAnsi="Cambria Math" w:cs="Arial"/>
                      <w:bCs/>
                      <w:i/>
                      <w:kern w:val="28"/>
                      <w:sz w:val="20"/>
                      <w:szCs w:val="20"/>
                      <w:vertAlign w:val="subscript"/>
                      <w:lang w:val="es-AR"/>
                    </w:rPr>
                  </m:ctrlPr>
                </m:sSubPr>
                <m:e>
                  <m:r>
                    <w:rPr>
                      <w:rFonts w:ascii="Cambria Math" w:eastAsia="Times New Roman" w:hAnsi="Cambria Math" w:cs="Arial"/>
                      <w:kern w:val="28"/>
                      <w:sz w:val="20"/>
                      <w:szCs w:val="20"/>
                      <w:vertAlign w:val="subscript"/>
                      <w:lang w:val="es-AR"/>
                    </w:rPr>
                    <m:t>X</m:t>
                  </m:r>
                </m:e>
                <m:sub>
                  <m:r>
                    <w:rPr>
                      <w:rFonts w:ascii="Cambria Math" w:eastAsia="Times New Roman" w:hAnsi="Cambria Math" w:cs="Arial"/>
                      <w:kern w:val="28"/>
                      <w:sz w:val="20"/>
                      <w:szCs w:val="20"/>
                      <w:vertAlign w:val="subscript"/>
                      <w:lang w:val="es-AR"/>
                    </w:rPr>
                    <m:t>10</m:t>
                  </m:r>
                </m:sub>
              </m:sSub>
              <m:r>
                <w:rPr>
                  <w:rFonts w:ascii="Cambria Math" w:eastAsia="Times New Roman" w:hAnsi="Cambria Math" w:cs="Arial"/>
                  <w:kern w:val="28"/>
                  <w:sz w:val="20"/>
                  <w:szCs w:val="20"/>
                  <w:lang w:val="es-AR"/>
                </w:rPr>
                <m:t xml:space="preserve"> + </m:t>
              </m:r>
              <m:sSub>
                <m:sSubPr>
                  <m:ctrlPr>
                    <w:rPr>
                      <w:rFonts w:ascii="Cambria Math" w:eastAsia="Times New Roman" w:hAnsi="Cambria Math" w:cs="Arial"/>
                      <w:bCs/>
                      <w:i/>
                      <w:kern w:val="28"/>
                      <w:sz w:val="20"/>
                      <w:szCs w:val="20"/>
                      <w:vertAlign w:val="subscript"/>
                      <w:lang w:val="es-AR"/>
                    </w:rPr>
                  </m:ctrlPr>
                </m:sSubPr>
                <m:e>
                  <m:r>
                    <w:rPr>
                      <w:rFonts w:ascii="Cambria Math" w:eastAsia="Times New Roman" w:hAnsi="Cambria Math" w:cs="Arial"/>
                      <w:kern w:val="28"/>
                      <w:sz w:val="20"/>
                      <w:szCs w:val="20"/>
                      <w:vertAlign w:val="subscript"/>
                      <w:lang w:val="es-AR"/>
                    </w:rPr>
                    <m:t>X</m:t>
                  </m:r>
                </m:e>
                <m:sub>
                  <m:r>
                    <w:rPr>
                      <w:rFonts w:ascii="Cambria Math" w:eastAsia="Times New Roman" w:hAnsi="Cambria Math" w:cs="Arial"/>
                      <w:kern w:val="28"/>
                      <w:sz w:val="20"/>
                      <w:szCs w:val="20"/>
                      <w:vertAlign w:val="subscript"/>
                      <w:lang w:val="es-AR"/>
                    </w:rPr>
                    <m:t>20</m:t>
                  </m:r>
                </m:sub>
              </m:sSub>
              <m:r>
                <w:rPr>
                  <w:rFonts w:ascii="Cambria Math" w:eastAsia="Times New Roman" w:hAnsi="Cambria Math" w:cs="Arial"/>
                  <w:lang w:val="es-AR"/>
                </w:rPr>
                <m:t>)</m:t>
              </m:r>
            </m:num>
            <m:den>
              <m:r>
                <w:rPr>
                  <w:rFonts w:ascii="Cambria Math" w:eastAsia="Times New Roman" w:hAnsi="Cambria Math" w:cs="Arial"/>
                  <w:kern w:val="28"/>
                  <w:sz w:val="20"/>
                  <w:szCs w:val="20"/>
                  <w:lang w:val="es-AR"/>
                </w:rPr>
                <m:t>T</m:t>
              </m:r>
            </m:den>
          </m:f>
          <m:r>
            <w:rPr>
              <w:rFonts w:ascii="Cambria Math" w:eastAsia="Times New Roman" w:hAnsi="Cambria Math" w:cs="Arial"/>
              <w:kern w:val="28"/>
              <w:sz w:val="20"/>
              <w:szCs w:val="20"/>
              <w:lang w:val="es-AR"/>
            </w:rPr>
            <m:t xml:space="preserve">&gt; </m:t>
          </m:r>
          <m:f>
            <m:fPr>
              <m:ctrlPr>
                <w:rPr>
                  <w:rFonts w:ascii="Cambria Math" w:eastAsia="Times New Roman" w:hAnsi="Cambria Math" w:cs="Arial"/>
                  <w:bCs/>
                  <w:i/>
                  <w:kern w:val="28"/>
                  <w:sz w:val="20"/>
                  <w:szCs w:val="20"/>
                  <w:lang w:val="es-AR"/>
                </w:rPr>
              </m:ctrlPr>
            </m:fPr>
            <m:num>
              <m:r>
                <w:rPr>
                  <w:rFonts w:ascii="Cambria Math" w:eastAsia="Times New Roman" w:hAnsi="Cambria Math" w:cs="Arial"/>
                  <w:kern w:val="28"/>
                  <w:sz w:val="20"/>
                  <w:szCs w:val="20"/>
                  <w:lang w:val="es-AR"/>
                </w:rPr>
                <m:t>[</m:t>
              </m:r>
              <m:d>
                <m:dPr>
                  <m:ctrlPr>
                    <w:rPr>
                      <w:rFonts w:ascii="Cambria Math" w:eastAsia="Times New Roman" w:hAnsi="Cambria Math" w:cs="Arial"/>
                      <w:bCs/>
                      <w:i/>
                      <w:kern w:val="28"/>
                      <w:sz w:val="20"/>
                      <w:szCs w:val="20"/>
                      <w:lang w:val="es-AR"/>
                    </w:rPr>
                  </m:ctrlPr>
                </m:dPr>
                <m:e>
                  <m:sSub>
                    <m:sSubPr>
                      <m:ctrlPr>
                        <w:rPr>
                          <w:rFonts w:ascii="Cambria Math" w:eastAsia="Times New Roman" w:hAnsi="Cambria Math" w:cs="Arial"/>
                          <w:bCs/>
                          <w:i/>
                          <w:kern w:val="28"/>
                          <w:sz w:val="20"/>
                          <w:szCs w:val="20"/>
                          <w:vertAlign w:val="subscript"/>
                          <w:lang w:val="es-AR"/>
                        </w:rPr>
                      </m:ctrlPr>
                    </m:sSubPr>
                    <m:e>
                      <m:r>
                        <w:rPr>
                          <w:rFonts w:ascii="Cambria Math" w:eastAsia="Times New Roman" w:hAnsi="Cambria Math" w:cs="Arial"/>
                          <w:kern w:val="28"/>
                          <w:sz w:val="20"/>
                          <w:szCs w:val="20"/>
                          <w:vertAlign w:val="subscript"/>
                          <w:lang w:val="es-AR"/>
                        </w:rPr>
                        <m:t>X</m:t>
                      </m:r>
                    </m:e>
                    <m:sub>
                      <m:r>
                        <w:rPr>
                          <w:rFonts w:ascii="Cambria Math" w:eastAsia="Times New Roman" w:hAnsi="Cambria Math" w:cs="Arial"/>
                          <w:kern w:val="28"/>
                          <w:sz w:val="20"/>
                          <w:szCs w:val="20"/>
                          <w:vertAlign w:val="subscript"/>
                          <w:lang w:val="es-AR"/>
                        </w:rPr>
                        <m:t>11</m:t>
                      </m:r>
                    </m:sub>
                  </m:sSub>
                  <m:r>
                    <w:rPr>
                      <w:rFonts w:ascii="Cambria Math" w:eastAsia="Times New Roman" w:hAnsi="Cambria Math" w:cs="Arial"/>
                      <w:kern w:val="28"/>
                      <w:sz w:val="20"/>
                      <w:szCs w:val="20"/>
                      <w:lang w:val="es-AR"/>
                    </w:rPr>
                    <m:t xml:space="preserve"> + </m:t>
                  </m:r>
                  <m:sSub>
                    <m:sSubPr>
                      <m:ctrlPr>
                        <w:rPr>
                          <w:rFonts w:ascii="Cambria Math" w:eastAsia="Times New Roman" w:hAnsi="Cambria Math" w:cs="Arial"/>
                          <w:bCs/>
                          <w:i/>
                          <w:kern w:val="28"/>
                          <w:sz w:val="20"/>
                          <w:szCs w:val="20"/>
                          <w:vertAlign w:val="subscript"/>
                          <w:lang w:val="es-AR"/>
                        </w:rPr>
                      </m:ctrlPr>
                    </m:sSubPr>
                    <m:e>
                      <m:r>
                        <w:rPr>
                          <w:rFonts w:ascii="Cambria Math" w:eastAsia="Times New Roman" w:hAnsi="Cambria Math" w:cs="Arial"/>
                          <w:kern w:val="28"/>
                          <w:sz w:val="20"/>
                          <w:szCs w:val="20"/>
                          <w:vertAlign w:val="subscript"/>
                          <w:lang w:val="es-AR"/>
                        </w:rPr>
                        <m:t>X</m:t>
                      </m:r>
                    </m:e>
                    <m:sub>
                      <m:r>
                        <w:rPr>
                          <w:rFonts w:ascii="Cambria Math" w:eastAsia="Times New Roman" w:hAnsi="Cambria Math" w:cs="Arial"/>
                          <w:kern w:val="28"/>
                          <w:sz w:val="20"/>
                          <w:szCs w:val="20"/>
                          <w:vertAlign w:val="subscript"/>
                          <w:lang w:val="es-AR"/>
                        </w:rPr>
                        <m:t>21</m:t>
                      </m:r>
                    </m:sub>
                  </m:sSub>
                  <m:r>
                    <w:rPr>
                      <w:rFonts w:ascii="Cambria Math" w:eastAsia="Times New Roman" w:hAnsi="Cambria Math" w:cs="Arial"/>
                      <w:kern w:val="28"/>
                      <w:sz w:val="20"/>
                      <w:szCs w:val="20"/>
                      <w:vertAlign w:val="subscript"/>
                      <w:lang w:val="es-AR"/>
                    </w:rPr>
                    <m:t xml:space="preserve"> </m:t>
                  </m:r>
                  <m:ctrlPr>
                    <w:rPr>
                      <w:rFonts w:ascii="Cambria Math" w:eastAsia="Times New Roman" w:hAnsi="Cambria Math" w:cs="Arial"/>
                      <w:i/>
                      <w:lang w:val="es-AR"/>
                    </w:rPr>
                  </m:ctrlPr>
                </m:e>
              </m:d>
              <m:r>
                <w:rPr>
                  <w:rFonts w:ascii="Cambria Math" w:eastAsia="Times New Roman" w:hAnsi="Cambria Math" w:cs="Arial"/>
                  <w:lang w:val="es-AR"/>
                </w:rPr>
                <m:t>+</m:t>
              </m:r>
              <m:d>
                <m:dPr>
                  <m:ctrlPr>
                    <w:rPr>
                      <w:rFonts w:ascii="Cambria Math" w:eastAsia="Times New Roman" w:hAnsi="Cambria Math" w:cs="Arial"/>
                      <w:i/>
                      <w:lang w:val="es-AR"/>
                    </w:rPr>
                  </m:ctrlPr>
                </m:dPr>
                <m:e>
                  <m:sSub>
                    <m:sSubPr>
                      <m:ctrlPr>
                        <w:rPr>
                          <w:rFonts w:ascii="Cambria Math" w:eastAsia="Times New Roman" w:hAnsi="Cambria Math" w:cs="Arial"/>
                          <w:bCs/>
                          <w:i/>
                          <w:kern w:val="28"/>
                          <w:sz w:val="20"/>
                          <w:szCs w:val="20"/>
                          <w:vertAlign w:val="subscript"/>
                          <w:lang w:val="es-AR"/>
                        </w:rPr>
                      </m:ctrlPr>
                    </m:sSubPr>
                    <m:e>
                      <m:r>
                        <w:rPr>
                          <w:rFonts w:ascii="Cambria Math" w:eastAsia="Times New Roman" w:hAnsi="Cambria Math" w:cs="Arial"/>
                          <w:kern w:val="28"/>
                          <w:sz w:val="20"/>
                          <w:szCs w:val="20"/>
                          <w:vertAlign w:val="subscript"/>
                          <w:lang w:val="es-AR"/>
                        </w:rPr>
                        <m:t>I</m:t>
                      </m:r>
                    </m:e>
                    <m:sub>
                      <m:r>
                        <w:rPr>
                          <w:rFonts w:ascii="Cambria Math" w:eastAsia="Times New Roman" w:hAnsi="Cambria Math" w:cs="Arial"/>
                          <w:kern w:val="28"/>
                          <w:sz w:val="20"/>
                          <w:szCs w:val="20"/>
                          <w:vertAlign w:val="subscript"/>
                          <w:lang w:val="es-AR"/>
                        </w:rPr>
                        <m:t>1</m:t>
                      </m:r>
                    </m:sub>
                  </m:sSub>
                  <m:r>
                    <w:rPr>
                      <w:rFonts w:ascii="Cambria Math" w:eastAsia="Times New Roman" w:hAnsi="Cambria Math" w:cs="Arial"/>
                      <w:kern w:val="28"/>
                      <w:sz w:val="20"/>
                      <w:szCs w:val="20"/>
                      <w:lang w:val="es-AR"/>
                    </w:rPr>
                    <m:t xml:space="preserve"> + </m:t>
                  </m:r>
                  <m:sSub>
                    <m:sSubPr>
                      <m:ctrlPr>
                        <w:rPr>
                          <w:rFonts w:ascii="Cambria Math" w:eastAsia="Times New Roman" w:hAnsi="Cambria Math" w:cs="Arial"/>
                          <w:bCs/>
                          <w:i/>
                          <w:kern w:val="28"/>
                          <w:sz w:val="20"/>
                          <w:szCs w:val="20"/>
                          <w:vertAlign w:val="subscript"/>
                          <w:lang w:val="es-AR"/>
                        </w:rPr>
                      </m:ctrlPr>
                    </m:sSubPr>
                    <m:e>
                      <m:r>
                        <w:rPr>
                          <w:rFonts w:ascii="Cambria Math" w:eastAsia="Times New Roman" w:hAnsi="Cambria Math" w:cs="Arial"/>
                          <w:kern w:val="28"/>
                          <w:sz w:val="20"/>
                          <w:szCs w:val="20"/>
                          <w:vertAlign w:val="subscript"/>
                          <w:lang w:val="es-AR"/>
                        </w:rPr>
                        <m:t>I</m:t>
                      </m:r>
                    </m:e>
                    <m:sub>
                      <m:r>
                        <w:rPr>
                          <w:rFonts w:ascii="Cambria Math" w:eastAsia="Times New Roman" w:hAnsi="Cambria Math" w:cs="Arial"/>
                          <w:kern w:val="28"/>
                          <w:sz w:val="20"/>
                          <w:szCs w:val="20"/>
                          <w:vertAlign w:val="subscript"/>
                          <w:lang w:val="es-AR"/>
                        </w:rPr>
                        <m:t>2</m:t>
                      </m:r>
                    </m:sub>
                  </m:sSub>
                  <m:r>
                    <w:rPr>
                      <w:rFonts w:ascii="Cambria Math" w:eastAsia="Times New Roman" w:hAnsi="Cambria Math" w:cs="Arial"/>
                      <w:kern w:val="28"/>
                      <w:sz w:val="20"/>
                      <w:szCs w:val="20"/>
                      <w:vertAlign w:val="subscript"/>
                      <w:lang w:val="es-AR"/>
                    </w:rPr>
                    <m:t xml:space="preserve"> </m:t>
                  </m:r>
                </m:e>
              </m:d>
              <m:r>
                <w:rPr>
                  <w:rFonts w:ascii="Cambria Math" w:eastAsia="Times New Roman" w:hAnsi="Cambria Math" w:cs="Arial"/>
                  <w:lang w:val="es-AR"/>
                </w:rPr>
                <m:t>]</m:t>
              </m:r>
            </m:num>
            <m:den>
              <m:r>
                <w:rPr>
                  <w:rFonts w:ascii="Cambria Math" w:eastAsia="Times New Roman" w:hAnsi="Cambria Math" w:cs="Arial"/>
                  <w:kern w:val="28"/>
                  <w:sz w:val="20"/>
                  <w:szCs w:val="20"/>
                  <w:lang w:val="es-AR"/>
                </w:rPr>
                <m:t>T+S</m:t>
              </m:r>
            </m:den>
          </m:f>
          <m:r>
            <w:rPr>
              <w:rFonts w:ascii="Cambria Math" w:eastAsia="Times New Roman" w:hAnsi="Cambria Math" w:cs="Arial"/>
              <w:kern w:val="28"/>
              <w:sz w:val="20"/>
              <w:szCs w:val="20"/>
              <w:lang w:val="es-AR"/>
            </w:rPr>
            <m:t xml:space="preserve"> </m:t>
          </m:r>
        </m:oMath>
      </m:oMathPara>
    </w:p>
    <w:p w14:paraId="5D49824F" w14:textId="77777777" w:rsidR="00CA787D" w:rsidRDefault="00CA787D" w:rsidP="000D4FEB">
      <w:pPr>
        <w:rPr>
          <w:rFonts w:ascii="Arial" w:eastAsia="Times New Roman" w:hAnsi="Arial" w:cs="Arial"/>
          <w:bCs/>
          <w:kern w:val="28"/>
          <w:sz w:val="20"/>
          <w:szCs w:val="20"/>
          <w:lang w:val="es-AR"/>
        </w:rPr>
      </w:pPr>
    </w:p>
    <w:p w14:paraId="76CF6C9F" w14:textId="496EAF0C" w:rsidR="00CA787D" w:rsidRDefault="00CA787D" w:rsidP="00115131">
      <w:pPr>
        <w:jc w:val="both"/>
        <w:rPr>
          <w:rFonts w:ascii="Arial" w:eastAsia="Times New Roman" w:hAnsi="Arial" w:cs="Arial"/>
          <w:bCs/>
          <w:kern w:val="28"/>
          <w:sz w:val="20"/>
          <w:szCs w:val="20"/>
          <w:lang w:val="es-AR"/>
        </w:rPr>
      </w:pPr>
      <w:r>
        <w:rPr>
          <w:rFonts w:ascii="Arial" w:eastAsia="Times New Roman" w:hAnsi="Arial" w:cs="Arial"/>
          <w:bCs/>
          <w:kern w:val="28"/>
          <w:sz w:val="20"/>
          <w:szCs w:val="20"/>
          <w:lang w:val="es-AR"/>
        </w:rPr>
        <w:t>Llamemos Z</w:t>
      </w:r>
      <w:r w:rsidR="008A63CD">
        <w:rPr>
          <w:rFonts w:ascii="Arial" w:eastAsia="Times New Roman" w:hAnsi="Arial" w:cs="Arial"/>
          <w:bCs/>
          <w:kern w:val="28"/>
          <w:sz w:val="20"/>
          <w:szCs w:val="20"/>
          <w:vertAlign w:val="subscript"/>
          <w:lang w:val="es-AR"/>
        </w:rPr>
        <w:t>1</w:t>
      </w:r>
      <w:r w:rsidR="008A63CD">
        <w:rPr>
          <w:rFonts w:ascii="Arial" w:eastAsia="Times New Roman" w:hAnsi="Arial" w:cs="Arial"/>
          <w:bCs/>
          <w:kern w:val="28"/>
          <w:sz w:val="20"/>
          <w:szCs w:val="20"/>
          <w:lang w:val="es-AR"/>
        </w:rPr>
        <w:t xml:space="preserve"> y Z</w:t>
      </w:r>
      <w:r w:rsidR="008A63CD">
        <w:rPr>
          <w:rFonts w:ascii="Arial" w:eastAsia="Times New Roman" w:hAnsi="Arial" w:cs="Arial"/>
          <w:bCs/>
          <w:kern w:val="28"/>
          <w:sz w:val="20"/>
          <w:szCs w:val="20"/>
          <w:vertAlign w:val="subscript"/>
          <w:lang w:val="es-AR"/>
        </w:rPr>
        <w:t>2</w:t>
      </w:r>
      <w:r>
        <w:rPr>
          <w:rFonts w:ascii="Arial" w:eastAsia="Times New Roman" w:hAnsi="Arial" w:cs="Arial"/>
          <w:bCs/>
          <w:kern w:val="28"/>
          <w:sz w:val="20"/>
          <w:szCs w:val="20"/>
          <w:lang w:val="es-AR"/>
        </w:rPr>
        <w:t xml:space="preserve"> a la diferencia en costos corrientes asociados al componente </w:t>
      </w:r>
      <w:r w:rsidR="008A63CD">
        <w:rPr>
          <w:rFonts w:ascii="Arial" w:eastAsia="Times New Roman" w:hAnsi="Arial" w:cs="Arial"/>
          <w:bCs/>
          <w:kern w:val="28"/>
          <w:sz w:val="20"/>
          <w:szCs w:val="20"/>
          <w:lang w:val="es-AR"/>
        </w:rPr>
        <w:t>1 y 2</w:t>
      </w:r>
      <w:r>
        <w:rPr>
          <w:rFonts w:ascii="Arial" w:eastAsia="Times New Roman" w:hAnsi="Arial" w:cs="Arial"/>
          <w:bCs/>
          <w:kern w:val="28"/>
          <w:sz w:val="20"/>
          <w:szCs w:val="20"/>
          <w:lang w:val="es-AR"/>
        </w:rPr>
        <w:t xml:space="preserve"> que resultan de la intervención entre el periodo inicial de línea</w:t>
      </w:r>
      <w:r w:rsidR="00457FD0">
        <w:rPr>
          <w:rFonts w:ascii="Arial" w:eastAsia="Times New Roman" w:hAnsi="Arial" w:cs="Arial"/>
          <w:bCs/>
          <w:kern w:val="28"/>
          <w:sz w:val="20"/>
          <w:szCs w:val="20"/>
          <w:lang w:val="es-AR"/>
        </w:rPr>
        <w:t xml:space="preserve"> j=0</w:t>
      </w:r>
      <w:r>
        <w:rPr>
          <w:rFonts w:ascii="Arial" w:eastAsia="Times New Roman" w:hAnsi="Arial" w:cs="Arial"/>
          <w:bCs/>
          <w:kern w:val="28"/>
          <w:sz w:val="20"/>
          <w:szCs w:val="20"/>
          <w:lang w:val="es-AR"/>
        </w:rPr>
        <w:t xml:space="preserve"> de base y el período </w:t>
      </w:r>
      <w:r w:rsidR="00457FD0">
        <w:rPr>
          <w:rFonts w:ascii="Arial" w:eastAsia="Times New Roman" w:hAnsi="Arial" w:cs="Arial"/>
          <w:bCs/>
          <w:kern w:val="28"/>
          <w:sz w:val="20"/>
          <w:szCs w:val="20"/>
          <w:lang w:val="es-AR"/>
        </w:rPr>
        <w:t>de</w:t>
      </w:r>
      <w:r>
        <w:rPr>
          <w:rFonts w:ascii="Arial" w:eastAsia="Times New Roman" w:hAnsi="Arial" w:cs="Arial"/>
          <w:bCs/>
          <w:kern w:val="28"/>
          <w:sz w:val="20"/>
          <w:szCs w:val="20"/>
          <w:lang w:val="es-AR"/>
        </w:rPr>
        <w:t>l programa</w:t>
      </w:r>
      <w:r w:rsidR="00457FD0">
        <w:rPr>
          <w:rFonts w:ascii="Arial" w:eastAsia="Times New Roman" w:hAnsi="Arial" w:cs="Arial"/>
          <w:bCs/>
          <w:kern w:val="28"/>
          <w:sz w:val="20"/>
          <w:szCs w:val="20"/>
          <w:lang w:val="es-AR"/>
        </w:rPr>
        <w:t xml:space="preserve"> j=1</w:t>
      </w:r>
      <w:r>
        <w:rPr>
          <w:rFonts w:ascii="Arial" w:eastAsia="Times New Roman" w:hAnsi="Arial" w:cs="Arial"/>
          <w:bCs/>
          <w:kern w:val="28"/>
          <w:sz w:val="20"/>
          <w:szCs w:val="20"/>
          <w:lang w:val="es-AR"/>
        </w:rPr>
        <w:t xml:space="preserve">, entonces: </w:t>
      </w:r>
    </w:p>
    <w:p w14:paraId="5F4A7988" w14:textId="7E46C4CB" w:rsidR="00CA787D" w:rsidRPr="00E61B1C" w:rsidRDefault="00074170" w:rsidP="000D4FEB">
      <w:pPr>
        <w:rPr>
          <w:rFonts w:ascii="Arial" w:eastAsia="Times New Roman" w:hAnsi="Arial" w:cs="Arial"/>
          <w:bCs/>
          <w:kern w:val="28"/>
          <w:sz w:val="20"/>
          <w:szCs w:val="20"/>
          <w:vertAlign w:val="subscript"/>
          <w:lang w:val="es-AR"/>
        </w:rPr>
      </w:pPr>
      <m:oMathPara>
        <m:oMathParaPr>
          <m:jc m:val="left"/>
        </m:oMathParaPr>
        <m:oMath>
          <m:r>
            <w:rPr>
              <w:rFonts w:ascii="Cambria Math" w:eastAsia="Times New Roman" w:hAnsi="Cambria Math" w:cs="Arial"/>
              <w:kern w:val="28"/>
              <w:sz w:val="20"/>
              <w:szCs w:val="20"/>
              <w:lang w:val="es-AR"/>
            </w:rPr>
            <m:t xml:space="preserve">Ecuación 2.   </m:t>
          </m:r>
          <m:sSub>
            <m:sSubPr>
              <m:ctrlPr>
                <w:rPr>
                  <w:rFonts w:ascii="Cambria Math" w:eastAsia="Times New Roman" w:hAnsi="Cambria Math" w:cs="Arial"/>
                  <w:bCs/>
                  <w:i/>
                  <w:kern w:val="28"/>
                  <w:sz w:val="20"/>
                  <w:szCs w:val="20"/>
                  <w:vertAlign w:val="subscript"/>
                  <w:lang w:val="es-AR"/>
                </w:rPr>
              </m:ctrlPr>
            </m:sSubPr>
            <m:e>
              <m:r>
                <w:rPr>
                  <w:rFonts w:ascii="Cambria Math" w:eastAsia="Times New Roman" w:hAnsi="Cambria Math" w:cs="Arial"/>
                  <w:kern w:val="28"/>
                  <w:sz w:val="20"/>
                  <w:szCs w:val="20"/>
                  <w:vertAlign w:val="subscript"/>
                  <w:lang w:val="es-AR"/>
                </w:rPr>
                <m:t xml:space="preserve">     X</m:t>
              </m:r>
            </m:e>
            <m:sub>
              <m:r>
                <w:rPr>
                  <w:rFonts w:ascii="Cambria Math" w:eastAsia="Times New Roman" w:hAnsi="Cambria Math" w:cs="Arial"/>
                  <w:kern w:val="28"/>
                  <w:sz w:val="20"/>
                  <w:szCs w:val="20"/>
                  <w:vertAlign w:val="subscript"/>
                  <w:lang w:val="es-AR"/>
                </w:rPr>
                <m:t>11</m:t>
              </m:r>
            </m:sub>
          </m:sSub>
          <m:r>
            <w:rPr>
              <w:rFonts w:ascii="Cambria Math" w:eastAsia="Times New Roman" w:hAnsi="Cambria Math" w:cs="Arial"/>
              <w:kern w:val="28"/>
              <w:sz w:val="20"/>
              <w:szCs w:val="20"/>
              <w:lang w:val="es-AR"/>
            </w:rPr>
            <m:t xml:space="preserve">= </m:t>
          </m:r>
          <w:bookmarkStart w:id="110" w:name="_Hlk25499571"/>
          <m:sSub>
            <m:sSubPr>
              <m:ctrlPr>
                <w:rPr>
                  <w:rFonts w:ascii="Cambria Math" w:eastAsia="Times New Roman" w:hAnsi="Cambria Math" w:cs="Arial"/>
                  <w:bCs/>
                  <w:i/>
                  <w:kern w:val="28"/>
                  <w:sz w:val="20"/>
                  <w:szCs w:val="20"/>
                  <w:vertAlign w:val="subscript"/>
                  <w:lang w:val="es-AR"/>
                </w:rPr>
              </m:ctrlPr>
            </m:sSubPr>
            <m:e>
              <m:r>
                <w:rPr>
                  <w:rFonts w:ascii="Cambria Math" w:eastAsia="Times New Roman" w:hAnsi="Cambria Math" w:cs="Arial"/>
                  <w:kern w:val="28"/>
                  <w:sz w:val="20"/>
                  <w:szCs w:val="20"/>
                  <w:vertAlign w:val="subscript"/>
                  <w:lang w:val="es-AR"/>
                </w:rPr>
                <m:t>X</m:t>
              </m:r>
            </m:e>
            <m:sub>
              <m:r>
                <w:rPr>
                  <w:rFonts w:ascii="Cambria Math" w:eastAsia="Times New Roman" w:hAnsi="Cambria Math" w:cs="Arial"/>
                  <w:kern w:val="28"/>
                  <w:sz w:val="20"/>
                  <w:szCs w:val="20"/>
                  <w:vertAlign w:val="subscript"/>
                  <w:lang w:val="es-AR"/>
                </w:rPr>
                <m:t>10</m:t>
              </m:r>
            </m:sub>
          </m:sSub>
          <w:bookmarkEnd w:id="110"/>
          <m:r>
            <w:rPr>
              <w:rFonts w:ascii="Cambria Math" w:eastAsia="Times New Roman" w:hAnsi="Cambria Math" w:cs="Arial"/>
              <w:kern w:val="28"/>
              <w:sz w:val="20"/>
              <w:szCs w:val="20"/>
              <w:lang w:val="es-AR"/>
            </w:rPr>
            <m:t>+</m:t>
          </m:r>
          <m:sSub>
            <m:sSubPr>
              <m:ctrlPr>
                <w:rPr>
                  <w:rFonts w:ascii="Cambria Math" w:eastAsia="Times New Roman" w:hAnsi="Cambria Math" w:cs="Arial"/>
                  <w:bCs/>
                  <w:i/>
                  <w:kern w:val="28"/>
                  <w:sz w:val="20"/>
                  <w:szCs w:val="20"/>
                  <w:vertAlign w:val="subscript"/>
                  <w:lang w:val="es-AR"/>
                </w:rPr>
              </m:ctrlPr>
            </m:sSubPr>
            <m:e>
              <m:r>
                <w:rPr>
                  <w:rFonts w:ascii="Cambria Math" w:eastAsia="Times New Roman" w:hAnsi="Cambria Math" w:cs="Arial"/>
                  <w:kern w:val="28"/>
                  <w:sz w:val="20"/>
                  <w:szCs w:val="20"/>
                  <w:vertAlign w:val="subscript"/>
                  <w:lang w:val="es-AR"/>
                </w:rPr>
                <m:t>Z</m:t>
              </m:r>
            </m:e>
            <m:sub>
              <m:r>
                <w:rPr>
                  <w:rFonts w:ascii="Cambria Math" w:eastAsia="Times New Roman" w:hAnsi="Cambria Math" w:cs="Arial"/>
                  <w:kern w:val="28"/>
                  <w:sz w:val="20"/>
                  <w:szCs w:val="20"/>
                  <w:vertAlign w:val="subscript"/>
                  <w:lang w:val="es-AR"/>
                </w:rPr>
                <m:t>1</m:t>
              </m:r>
            </m:sub>
          </m:sSub>
        </m:oMath>
      </m:oMathPara>
    </w:p>
    <w:p w14:paraId="0BEF0119" w14:textId="3C694864" w:rsidR="008A63CD" w:rsidRPr="00E61B1C" w:rsidRDefault="008A63CD" w:rsidP="008A63CD">
      <w:pPr>
        <w:rPr>
          <w:rFonts w:ascii="Arial" w:eastAsia="Times New Roman" w:hAnsi="Arial" w:cs="Arial"/>
          <w:bCs/>
          <w:kern w:val="28"/>
          <w:sz w:val="20"/>
          <w:szCs w:val="20"/>
          <w:lang w:val="es-AR"/>
        </w:rPr>
      </w:pPr>
      <m:oMathPara>
        <m:oMathParaPr>
          <m:jc m:val="left"/>
        </m:oMathParaPr>
        <m:oMath>
          <m:r>
            <w:rPr>
              <w:rFonts w:ascii="Cambria Math" w:eastAsia="Times New Roman" w:hAnsi="Cambria Math" w:cs="Arial"/>
              <w:kern w:val="28"/>
              <w:sz w:val="20"/>
              <w:szCs w:val="20"/>
              <w:lang w:val="es-AR"/>
            </w:rPr>
            <m:t xml:space="preserve">Ecuación 3.   </m:t>
          </m:r>
          <m:sSub>
            <m:sSubPr>
              <m:ctrlPr>
                <w:rPr>
                  <w:rFonts w:ascii="Cambria Math" w:eastAsia="Times New Roman" w:hAnsi="Cambria Math" w:cs="Arial"/>
                  <w:bCs/>
                  <w:i/>
                  <w:kern w:val="28"/>
                  <w:sz w:val="20"/>
                  <w:szCs w:val="20"/>
                  <w:vertAlign w:val="subscript"/>
                  <w:lang w:val="es-AR"/>
                </w:rPr>
              </m:ctrlPr>
            </m:sSubPr>
            <m:e>
              <m:r>
                <w:rPr>
                  <w:rFonts w:ascii="Cambria Math" w:eastAsia="Times New Roman" w:hAnsi="Cambria Math" w:cs="Arial"/>
                  <w:kern w:val="28"/>
                  <w:sz w:val="20"/>
                  <w:szCs w:val="20"/>
                  <w:vertAlign w:val="subscript"/>
                  <w:lang w:val="es-AR"/>
                </w:rPr>
                <m:t xml:space="preserve">     X</m:t>
              </m:r>
            </m:e>
            <m:sub>
              <m:r>
                <w:rPr>
                  <w:rFonts w:ascii="Cambria Math" w:eastAsia="Times New Roman" w:hAnsi="Cambria Math" w:cs="Arial"/>
                  <w:kern w:val="28"/>
                  <w:sz w:val="20"/>
                  <w:szCs w:val="20"/>
                  <w:vertAlign w:val="subscript"/>
                  <w:lang w:val="es-AR"/>
                </w:rPr>
                <m:t>21</m:t>
              </m:r>
            </m:sub>
          </m:sSub>
          <m:r>
            <w:rPr>
              <w:rFonts w:ascii="Cambria Math" w:eastAsia="Times New Roman" w:hAnsi="Cambria Math" w:cs="Arial"/>
              <w:kern w:val="28"/>
              <w:sz w:val="20"/>
              <w:szCs w:val="20"/>
              <w:lang w:val="es-AR"/>
            </w:rPr>
            <m:t xml:space="preserve">= </m:t>
          </m:r>
          <m:sSub>
            <m:sSubPr>
              <m:ctrlPr>
                <w:rPr>
                  <w:rFonts w:ascii="Cambria Math" w:eastAsia="Times New Roman" w:hAnsi="Cambria Math" w:cs="Arial"/>
                  <w:bCs/>
                  <w:i/>
                  <w:kern w:val="28"/>
                  <w:sz w:val="20"/>
                  <w:szCs w:val="20"/>
                  <w:vertAlign w:val="subscript"/>
                  <w:lang w:val="es-AR"/>
                </w:rPr>
              </m:ctrlPr>
            </m:sSubPr>
            <m:e>
              <m:r>
                <w:rPr>
                  <w:rFonts w:ascii="Cambria Math" w:eastAsia="Times New Roman" w:hAnsi="Cambria Math" w:cs="Arial"/>
                  <w:kern w:val="28"/>
                  <w:sz w:val="20"/>
                  <w:szCs w:val="20"/>
                  <w:vertAlign w:val="subscript"/>
                  <w:lang w:val="es-AR"/>
                </w:rPr>
                <m:t>X</m:t>
              </m:r>
            </m:e>
            <m:sub>
              <m:r>
                <w:rPr>
                  <w:rFonts w:ascii="Cambria Math" w:eastAsia="Times New Roman" w:hAnsi="Cambria Math" w:cs="Arial"/>
                  <w:kern w:val="28"/>
                  <w:sz w:val="20"/>
                  <w:szCs w:val="20"/>
                  <w:vertAlign w:val="subscript"/>
                  <w:lang w:val="es-AR"/>
                </w:rPr>
                <m:t>20</m:t>
              </m:r>
            </m:sub>
          </m:sSub>
          <m:r>
            <w:rPr>
              <w:rFonts w:ascii="Cambria Math" w:eastAsia="Times New Roman" w:hAnsi="Cambria Math" w:cs="Arial"/>
              <w:kern w:val="28"/>
              <w:sz w:val="20"/>
              <w:szCs w:val="20"/>
              <w:lang w:val="es-AR"/>
            </w:rPr>
            <m:t>+</m:t>
          </m:r>
          <m:sSub>
            <m:sSubPr>
              <m:ctrlPr>
                <w:rPr>
                  <w:rFonts w:ascii="Cambria Math" w:eastAsia="Times New Roman" w:hAnsi="Cambria Math" w:cs="Arial"/>
                  <w:bCs/>
                  <w:i/>
                  <w:kern w:val="28"/>
                  <w:sz w:val="20"/>
                  <w:szCs w:val="20"/>
                  <w:vertAlign w:val="subscript"/>
                  <w:lang w:val="es-AR"/>
                </w:rPr>
              </m:ctrlPr>
            </m:sSubPr>
            <m:e>
              <m:r>
                <w:rPr>
                  <w:rFonts w:ascii="Cambria Math" w:eastAsia="Times New Roman" w:hAnsi="Cambria Math" w:cs="Arial"/>
                  <w:kern w:val="28"/>
                  <w:sz w:val="20"/>
                  <w:szCs w:val="20"/>
                  <w:vertAlign w:val="subscript"/>
                  <w:lang w:val="es-AR"/>
                </w:rPr>
                <m:t>Z</m:t>
              </m:r>
            </m:e>
            <m:sub>
              <m:r>
                <w:rPr>
                  <w:rFonts w:ascii="Cambria Math" w:eastAsia="Times New Roman" w:hAnsi="Cambria Math" w:cs="Arial"/>
                  <w:kern w:val="28"/>
                  <w:sz w:val="20"/>
                  <w:szCs w:val="20"/>
                  <w:vertAlign w:val="subscript"/>
                  <w:lang w:val="es-AR"/>
                </w:rPr>
                <m:t>2</m:t>
              </m:r>
            </m:sub>
          </m:sSub>
        </m:oMath>
      </m:oMathPara>
    </w:p>
    <w:p w14:paraId="7BF89EBF" w14:textId="77777777" w:rsidR="008A63CD" w:rsidRDefault="008A63CD" w:rsidP="000D4FEB">
      <w:pPr>
        <w:rPr>
          <w:rFonts w:ascii="Arial" w:eastAsia="Times New Roman" w:hAnsi="Arial" w:cs="Arial"/>
          <w:bCs/>
          <w:kern w:val="28"/>
          <w:sz w:val="20"/>
          <w:szCs w:val="20"/>
          <w:lang w:val="es-AR"/>
        </w:rPr>
      </w:pPr>
    </w:p>
    <w:p w14:paraId="3125F5E5" w14:textId="1D5FC719" w:rsidR="003327A8" w:rsidRPr="008004E8" w:rsidRDefault="00EB77EC" w:rsidP="00115131">
      <w:pPr>
        <w:jc w:val="both"/>
        <w:rPr>
          <w:rFonts w:ascii="Arial" w:eastAsia="Times New Roman" w:hAnsi="Arial" w:cs="Arial"/>
          <w:bCs/>
          <w:kern w:val="28"/>
          <w:sz w:val="20"/>
          <w:szCs w:val="20"/>
          <w:lang w:val="es-AR"/>
        </w:rPr>
      </w:pPr>
      <w:r>
        <w:rPr>
          <w:rFonts w:ascii="Arial" w:eastAsia="Times New Roman" w:hAnsi="Arial" w:cs="Arial"/>
          <w:bCs/>
          <w:kern w:val="28"/>
          <w:sz w:val="20"/>
          <w:szCs w:val="20"/>
          <w:lang w:val="es-AR"/>
        </w:rPr>
        <w:t>Sustituyendo los valores asociados a los supuestos 1 y 2</w:t>
      </w:r>
      <w:r w:rsidR="001D4108">
        <w:rPr>
          <w:rFonts w:ascii="Arial" w:eastAsia="Times New Roman" w:hAnsi="Arial" w:cs="Arial"/>
          <w:bCs/>
          <w:kern w:val="28"/>
          <w:sz w:val="20"/>
          <w:szCs w:val="20"/>
          <w:lang w:val="es-AR"/>
        </w:rPr>
        <w:t xml:space="preserve">, </w:t>
      </w:r>
      <w:r w:rsidR="00AB6415" w:rsidRPr="008004E8">
        <w:rPr>
          <w:rFonts w:ascii="Arial" w:eastAsia="Times New Roman" w:hAnsi="Arial" w:cs="Arial"/>
          <w:bCs/>
          <w:kern w:val="28"/>
          <w:sz w:val="20"/>
          <w:szCs w:val="20"/>
          <w:lang w:val="es-AR"/>
        </w:rPr>
        <w:t>el p</w:t>
      </w:r>
      <w:r w:rsidR="00AB6415">
        <w:rPr>
          <w:rFonts w:ascii="Arial" w:eastAsia="Times New Roman" w:hAnsi="Arial" w:cs="Arial"/>
          <w:bCs/>
          <w:kern w:val="28"/>
          <w:sz w:val="20"/>
          <w:szCs w:val="20"/>
          <w:lang w:val="es-AR"/>
        </w:rPr>
        <w:t xml:space="preserve">rograma será costo efectivo siempre que </w:t>
      </w:r>
      <w:r w:rsidR="004613C7">
        <w:rPr>
          <w:rFonts w:ascii="Arial" w:eastAsia="Times New Roman" w:hAnsi="Arial" w:cs="Arial"/>
          <w:bCs/>
          <w:kern w:val="28"/>
          <w:sz w:val="20"/>
          <w:szCs w:val="20"/>
          <w:lang w:val="es-AR"/>
        </w:rPr>
        <w:t xml:space="preserve">se satisfaga </w:t>
      </w:r>
      <w:r w:rsidR="00AB6415">
        <w:rPr>
          <w:rFonts w:ascii="Arial" w:eastAsia="Times New Roman" w:hAnsi="Arial" w:cs="Arial"/>
          <w:bCs/>
          <w:kern w:val="28"/>
          <w:sz w:val="20"/>
          <w:szCs w:val="20"/>
          <w:lang w:val="es-AR"/>
        </w:rPr>
        <w:t xml:space="preserve">la </w:t>
      </w:r>
      <w:r w:rsidR="00253F2E">
        <w:rPr>
          <w:rFonts w:ascii="Arial" w:eastAsia="Times New Roman" w:hAnsi="Arial" w:cs="Arial"/>
          <w:bCs/>
          <w:kern w:val="28"/>
          <w:sz w:val="20"/>
          <w:szCs w:val="20"/>
          <w:lang w:val="es-AR"/>
        </w:rPr>
        <w:t>desigualdad siguiente</w:t>
      </w:r>
      <w:r w:rsidR="00AB6415">
        <w:rPr>
          <w:rFonts w:ascii="Arial" w:eastAsia="Times New Roman" w:hAnsi="Arial" w:cs="Arial"/>
          <w:bCs/>
          <w:kern w:val="28"/>
          <w:sz w:val="20"/>
          <w:szCs w:val="20"/>
          <w:lang w:val="es-AR"/>
        </w:rPr>
        <w:t xml:space="preserve">:  </w:t>
      </w:r>
    </w:p>
    <w:p w14:paraId="48E3B8A2" w14:textId="01A13A50" w:rsidR="001D4108" w:rsidRPr="00E61B1C" w:rsidRDefault="00074170" w:rsidP="001D4108">
      <w:pPr>
        <w:rPr>
          <w:rFonts w:ascii="Arial" w:eastAsia="Times New Roman" w:hAnsi="Arial" w:cs="Arial"/>
          <w:lang w:val="es-AR"/>
        </w:rPr>
      </w:pPr>
      <m:oMathPara>
        <m:oMathParaPr>
          <m:jc m:val="left"/>
        </m:oMathParaPr>
        <m:oMath>
          <m:r>
            <w:rPr>
              <w:rFonts w:ascii="Cambria Math" w:eastAsia="Times New Roman" w:hAnsi="Cambria Math" w:cs="Arial"/>
              <w:kern w:val="28"/>
              <w:sz w:val="20"/>
              <w:szCs w:val="20"/>
              <w:lang w:val="es-AR"/>
            </w:rPr>
            <m:t xml:space="preserve">Ecuación 4.         </m:t>
          </m:r>
          <m:f>
            <m:fPr>
              <m:ctrlPr>
                <w:rPr>
                  <w:rFonts w:ascii="Cambria Math" w:eastAsia="Times New Roman" w:hAnsi="Cambria Math" w:cs="Arial"/>
                  <w:bCs/>
                  <w:i/>
                  <w:kern w:val="28"/>
                  <w:sz w:val="20"/>
                  <w:szCs w:val="20"/>
                  <w:lang w:val="es-AR"/>
                </w:rPr>
              </m:ctrlPr>
            </m:fPr>
            <m:num>
              <m:r>
                <w:rPr>
                  <w:rFonts w:ascii="Cambria Math" w:eastAsia="Times New Roman" w:hAnsi="Cambria Math" w:cs="Arial"/>
                  <w:kern w:val="28"/>
                  <w:sz w:val="20"/>
                  <w:szCs w:val="20"/>
                  <w:lang w:val="es-AR"/>
                </w:rPr>
                <m:t>S</m:t>
              </m:r>
            </m:num>
            <m:den>
              <m:r>
                <w:rPr>
                  <w:rFonts w:ascii="Cambria Math" w:eastAsia="Times New Roman" w:hAnsi="Cambria Math" w:cs="Arial"/>
                  <w:kern w:val="28"/>
                  <w:sz w:val="20"/>
                  <w:szCs w:val="20"/>
                  <w:lang w:val="es-AR"/>
                </w:rPr>
                <m:t>T</m:t>
              </m:r>
            </m:den>
          </m:f>
          <m:r>
            <w:rPr>
              <w:rFonts w:ascii="Cambria Math" w:eastAsia="Times New Roman" w:hAnsi="Cambria Math" w:cs="Arial"/>
              <w:kern w:val="28"/>
              <w:sz w:val="20"/>
              <w:szCs w:val="20"/>
              <w:lang w:val="es-AR"/>
            </w:rPr>
            <m:t xml:space="preserve">&gt; </m:t>
          </m:r>
          <m:f>
            <m:fPr>
              <m:ctrlPr>
                <w:rPr>
                  <w:rFonts w:ascii="Cambria Math" w:eastAsia="Times New Roman" w:hAnsi="Cambria Math" w:cs="Arial"/>
                  <w:bCs/>
                  <w:i/>
                  <w:kern w:val="28"/>
                  <w:sz w:val="20"/>
                  <w:szCs w:val="20"/>
                  <w:lang w:val="es-AR"/>
                </w:rPr>
              </m:ctrlPr>
            </m:fPr>
            <m:num>
              <m:d>
                <m:dPr>
                  <m:ctrlPr>
                    <w:rPr>
                      <w:rFonts w:ascii="Cambria Math" w:eastAsia="Times New Roman" w:hAnsi="Cambria Math" w:cs="Arial"/>
                      <w:i/>
                      <w:lang w:val="es-AR"/>
                    </w:rPr>
                  </m:ctrlPr>
                </m:dPr>
                <m:e>
                  <m:sSub>
                    <m:sSubPr>
                      <m:ctrlPr>
                        <w:rPr>
                          <w:rFonts w:ascii="Cambria Math" w:eastAsia="Times New Roman" w:hAnsi="Cambria Math" w:cs="Arial"/>
                          <w:bCs/>
                          <w:i/>
                          <w:kern w:val="28"/>
                          <w:sz w:val="20"/>
                          <w:szCs w:val="20"/>
                          <w:vertAlign w:val="subscript"/>
                          <w:lang w:val="es-AR"/>
                        </w:rPr>
                      </m:ctrlPr>
                    </m:sSubPr>
                    <m:e>
                      <m:r>
                        <w:rPr>
                          <w:rFonts w:ascii="Cambria Math" w:eastAsia="Times New Roman" w:hAnsi="Cambria Math" w:cs="Arial"/>
                          <w:kern w:val="28"/>
                          <w:sz w:val="20"/>
                          <w:szCs w:val="20"/>
                          <w:vertAlign w:val="subscript"/>
                          <w:lang w:val="es-AR"/>
                        </w:rPr>
                        <m:t>Z</m:t>
                      </m:r>
                    </m:e>
                    <m:sub>
                      <m:r>
                        <w:rPr>
                          <w:rFonts w:ascii="Cambria Math" w:eastAsia="Times New Roman" w:hAnsi="Cambria Math" w:cs="Arial"/>
                          <w:kern w:val="28"/>
                          <w:sz w:val="20"/>
                          <w:szCs w:val="20"/>
                          <w:vertAlign w:val="subscript"/>
                          <w:lang w:val="es-AR"/>
                        </w:rPr>
                        <m:t>1</m:t>
                      </m:r>
                    </m:sub>
                  </m:sSub>
                  <m:r>
                    <w:rPr>
                      <w:rFonts w:ascii="Cambria Math" w:eastAsia="Times New Roman" w:hAnsi="Cambria Math" w:cs="Arial"/>
                      <w:kern w:val="28"/>
                      <w:sz w:val="20"/>
                      <w:szCs w:val="20"/>
                      <w:lang w:val="es-AR"/>
                    </w:rPr>
                    <m:t xml:space="preserve">+ </m:t>
                  </m:r>
                  <m:sSub>
                    <m:sSubPr>
                      <m:ctrlPr>
                        <w:rPr>
                          <w:rFonts w:ascii="Cambria Math" w:eastAsia="Times New Roman" w:hAnsi="Cambria Math" w:cs="Arial"/>
                          <w:bCs/>
                          <w:i/>
                          <w:kern w:val="28"/>
                          <w:sz w:val="20"/>
                          <w:szCs w:val="20"/>
                          <w:vertAlign w:val="subscript"/>
                          <w:lang w:val="es-AR"/>
                        </w:rPr>
                      </m:ctrlPr>
                    </m:sSubPr>
                    <m:e>
                      <m:r>
                        <w:rPr>
                          <w:rFonts w:ascii="Cambria Math" w:eastAsia="Times New Roman" w:hAnsi="Cambria Math" w:cs="Arial"/>
                          <w:kern w:val="28"/>
                          <w:sz w:val="20"/>
                          <w:szCs w:val="20"/>
                          <w:vertAlign w:val="subscript"/>
                          <w:lang w:val="es-AR"/>
                        </w:rPr>
                        <m:t>Z</m:t>
                      </m:r>
                    </m:e>
                    <m:sub>
                      <m:r>
                        <w:rPr>
                          <w:rFonts w:ascii="Cambria Math" w:eastAsia="Times New Roman" w:hAnsi="Cambria Math" w:cs="Arial"/>
                          <w:kern w:val="28"/>
                          <w:sz w:val="20"/>
                          <w:szCs w:val="20"/>
                          <w:vertAlign w:val="subscript"/>
                          <w:lang w:val="es-AR"/>
                        </w:rPr>
                        <m:t>2</m:t>
                      </m:r>
                    </m:sub>
                  </m:sSub>
                  <m:r>
                    <w:rPr>
                      <w:rFonts w:ascii="Cambria Math" w:eastAsia="Times New Roman" w:hAnsi="Cambria Math" w:cs="Arial"/>
                      <w:kern w:val="28"/>
                      <w:sz w:val="20"/>
                      <w:szCs w:val="20"/>
                      <w:lang w:val="es-AR"/>
                    </w:rPr>
                    <m:t xml:space="preserve">+ </m:t>
                  </m:r>
                  <m:sSub>
                    <m:sSubPr>
                      <m:ctrlPr>
                        <w:rPr>
                          <w:rFonts w:ascii="Cambria Math" w:eastAsia="Times New Roman" w:hAnsi="Cambria Math" w:cs="Arial"/>
                          <w:bCs/>
                          <w:i/>
                          <w:kern w:val="28"/>
                          <w:sz w:val="20"/>
                          <w:szCs w:val="20"/>
                          <w:vertAlign w:val="subscript"/>
                          <w:lang w:val="es-AR"/>
                        </w:rPr>
                      </m:ctrlPr>
                    </m:sSubPr>
                    <m:e>
                      <m:r>
                        <w:rPr>
                          <w:rFonts w:ascii="Cambria Math" w:eastAsia="Times New Roman" w:hAnsi="Cambria Math" w:cs="Arial"/>
                          <w:kern w:val="28"/>
                          <w:sz w:val="20"/>
                          <w:szCs w:val="20"/>
                          <w:vertAlign w:val="subscript"/>
                          <w:lang w:val="es-AR"/>
                        </w:rPr>
                        <m:t>I</m:t>
                      </m:r>
                    </m:e>
                    <m:sub>
                      <m:r>
                        <w:rPr>
                          <w:rFonts w:ascii="Cambria Math" w:eastAsia="Times New Roman" w:hAnsi="Cambria Math" w:cs="Arial"/>
                          <w:kern w:val="28"/>
                          <w:sz w:val="20"/>
                          <w:szCs w:val="20"/>
                          <w:vertAlign w:val="subscript"/>
                          <w:lang w:val="es-AR"/>
                        </w:rPr>
                        <m:t>1</m:t>
                      </m:r>
                    </m:sub>
                  </m:sSub>
                  <m:r>
                    <w:rPr>
                      <w:rFonts w:ascii="Cambria Math" w:eastAsia="Times New Roman" w:hAnsi="Cambria Math" w:cs="Arial"/>
                      <w:kern w:val="28"/>
                      <w:sz w:val="20"/>
                      <w:szCs w:val="20"/>
                      <w:vertAlign w:val="subscript"/>
                      <w:lang w:val="es-AR"/>
                    </w:rPr>
                    <m:t xml:space="preserve"> </m:t>
                  </m:r>
                  <m:r>
                    <w:rPr>
                      <w:rFonts w:ascii="Cambria Math" w:eastAsia="Times New Roman" w:hAnsi="Cambria Math" w:cs="Arial"/>
                      <w:kern w:val="28"/>
                      <w:sz w:val="20"/>
                      <w:szCs w:val="20"/>
                      <w:lang w:val="es-AR"/>
                    </w:rPr>
                    <m:t xml:space="preserve">+ </m:t>
                  </m:r>
                  <m:sSub>
                    <m:sSubPr>
                      <m:ctrlPr>
                        <w:rPr>
                          <w:rFonts w:ascii="Cambria Math" w:eastAsia="Times New Roman" w:hAnsi="Cambria Math" w:cs="Arial"/>
                          <w:bCs/>
                          <w:i/>
                          <w:kern w:val="28"/>
                          <w:sz w:val="20"/>
                          <w:szCs w:val="20"/>
                          <w:vertAlign w:val="subscript"/>
                          <w:lang w:val="es-AR"/>
                        </w:rPr>
                      </m:ctrlPr>
                    </m:sSubPr>
                    <m:e>
                      <m:r>
                        <w:rPr>
                          <w:rFonts w:ascii="Cambria Math" w:eastAsia="Times New Roman" w:hAnsi="Cambria Math" w:cs="Arial"/>
                          <w:kern w:val="28"/>
                          <w:sz w:val="20"/>
                          <w:szCs w:val="20"/>
                          <w:vertAlign w:val="subscript"/>
                          <w:lang w:val="es-AR"/>
                        </w:rPr>
                        <m:t>I</m:t>
                      </m:r>
                    </m:e>
                    <m:sub>
                      <m:r>
                        <w:rPr>
                          <w:rFonts w:ascii="Cambria Math" w:eastAsia="Times New Roman" w:hAnsi="Cambria Math" w:cs="Arial"/>
                          <w:kern w:val="28"/>
                          <w:sz w:val="20"/>
                          <w:szCs w:val="20"/>
                          <w:vertAlign w:val="subscript"/>
                          <w:lang w:val="es-AR"/>
                        </w:rPr>
                        <m:t>2</m:t>
                      </m:r>
                    </m:sub>
                  </m:sSub>
                </m:e>
              </m:d>
            </m:num>
            <m:den>
              <m:r>
                <w:rPr>
                  <w:rFonts w:ascii="Cambria Math" w:eastAsia="Times New Roman" w:hAnsi="Cambria Math" w:cs="Arial"/>
                  <w:kern w:val="28"/>
                  <w:sz w:val="20"/>
                  <w:szCs w:val="20"/>
                  <w:lang w:val="es-AR"/>
                </w:rPr>
                <m:t>(</m:t>
              </m:r>
              <m:sSub>
                <m:sSubPr>
                  <m:ctrlPr>
                    <w:rPr>
                      <w:rFonts w:ascii="Cambria Math" w:eastAsia="Times New Roman" w:hAnsi="Cambria Math" w:cs="Arial"/>
                      <w:bCs/>
                      <w:i/>
                      <w:kern w:val="28"/>
                      <w:sz w:val="20"/>
                      <w:szCs w:val="20"/>
                      <w:vertAlign w:val="subscript"/>
                      <w:lang w:val="es-AR"/>
                    </w:rPr>
                  </m:ctrlPr>
                </m:sSubPr>
                <m:e>
                  <m:r>
                    <w:rPr>
                      <w:rFonts w:ascii="Cambria Math" w:eastAsia="Times New Roman" w:hAnsi="Cambria Math" w:cs="Arial"/>
                      <w:kern w:val="28"/>
                      <w:sz w:val="20"/>
                      <w:szCs w:val="20"/>
                      <w:vertAlign w:val="subscript"/>
                      <w:lang w:val="es-AR"/>
                    </w:rPr>
                    <m:t>X</m:t>
                  </m:r>
                </m:e>
                <m:sub>
                  <m:r>
                    <w:rPr>
                      <w:rFonts w:ascii="Cambria Math" w:eastAsia="Times New Roman" w:hAnsi="Cambria Math" w:cs="Arial"/>
                      <w:kern w:val="28"/>
                      <w:sz w:val="20"/>
                      <w:szCs w:val="20"/>
                      <w:vertAlign w:val="subscript"/>
                      <w:lang w:val="es-AR"/>
                    </w:rPr>
                    <m:t>10</m:t>
                  </m:r>
                </m:sub>
              </m:sSub>
              <m:r>
                <w:rPr>
                  <w:rFonts w:ascii="Cambria Math" w:eastAsia="Times New Roman" w:hAnsi="Cambria Math" w:cs="Arial"/>
                  <w:kern w:val="28"/>
                  <w:sz w:val="20"/>
                  <w:szCs w:val="20"/>
                  <w:lang w:val="es-AR"/>
                </w:rPr>
                <m:t xml:space="preserve"> + </m:t>
              </m:r>
              <m:sSub>
                <m:sSubPr>
                  <m:ctrlPr>
                    <w:rPr>
                      <w:rFonts w:ascii="Cambria Math" w:eastAsia="Times New Roman" w:hAnsi="Cambria Math" w:cs="Arial"/>
                      <w:bCs/>
                      <w:i/>
                      <w:kern w:val="28"/>
                      <w:sz w:val="20"/>
                      <w:szCs w:val="20"/>
                      <w:vertAlign w:val="subscript"/>
                      <w:lang w:val="es-AR"/>
                    </w:rPr>
                  </m:ctrlPr>
                </m:sSubPr>
                <m:e>
                  <m:r>
                    <w:rPr>
                      <w:rFonts w:ascii="Cambria Math" w:eastAsia="Times New Roman" w:hAnsi="Cambria Math" w:cs="Arial"/>
                      <w:kern w:val="28"/>
                      <w:sz w:val="20"/>
                      <w:szCs w:val="20"/>
                      <w:vertAlign w:val="subscript"/>
                      <w:lang w:val="es-AR"/>
                    </w:rPr>
                    <m:t>X</m:t>
                  </m:r>
                </m:e>
                <m:sub>
                  <m:r>
                    <w:rPr>
                      <w:rFonts w:ascii="Cambria Math" w:eastAsia="Times New Roman" w:hAnsi="Cambria Math" w:cs="Arial"/>
                      <w:kern w:val="28"/>
                      <w:sz w:val="20"/>
                      <w:szCs w:val="20"/>
                      <w:vertAlign w:val="subscript"/>
                      <w:lang w:val="es-AR"/>
                    </w:rPr>
                    <m:t>20</m:t>
                  </m:r>
                </m:sub>
              </m:sSub>
              <m:r>
                <w:rPr>
                  <w:rFonts w:ascii="Cambria Math" w:eastAsia="Times New Roman" w:hAnsi="Cambria Math" w:cs="Arial"/>
                  <w:lang w:val="es-AR"/>
                </w:rPr>
                <m:t>)</m:t>
              </m:r>
            </m:den>
          </m:f>
          <m:r>
            <w:rPr>
              <w:rFonts w:ascii="Cambria Math" w:eastAsia="Times New Roman" w:hAnsi="Cambria Math" w:cs="Arial"/>
              <w:kern w:val="28"/>
              <w:sz w:val="20"/>
              <w:szCs w:val="20"/>
              <w:lang w:val="es-AR"/>
            </w:rPr>
            <m:t xml:space="preserve"> </m:t>
          </m:r>
        </m:oMath>
      </m:oMathPara>
    </w:p>
    <w:p w14:paraId="3F8E1A3D" w14:textId="59C54FE4" w:rsidR="00253F2E" w:rsidRDefault="00074170" w:rsidP="00115131">
      <w:pPr>
        <w:jc w:val="both"/>
        <w:rPr>
          <w:rFonts w:ascii="Arial" w:eastAsia="Times New Roman" w:hAnsi="Arial" w:cs="Arial"/>
          <w:bCs/>
          <w:kern w:val="28"/>
          <w:sz w:val="20"/>
          <w:szCs w:val="20"/>
          <w:lang w:val="es-AR"/>
        </w:rPr>
      </w:pPr>
      <w:r>
        <w:rPr>
          <w:rFonts w:ascii="Arial" w:eastAsia="Times New Roman" w:hAnsi="Arial" w:cs="Arial"/>
          <w:bCs/>
          <w:kern w:val="28"/>
          <w:sz w:val="20"/>
          <w:szCs w:val="20"/>
          <w:lang w:val="es-AR"/>
        </w:rPr>
        <w:t>Una</w:t>
      </w:r>
      <w:r w:rsidR="00253F2E">
        <w:rPr>
          <w:rFonts w:ascii="Arial" w:eastAsia="Times New Roman" w:hAnsi="Arial" w:cs="Arial"/>
          <w:bCs/>
          <w:kern w:val="28"/>
          <w:sz w:val="20"/>
          <w:szCs w:val="20"/>
          <w:lang w:val="es-AR"/>
        </w:rPr>
        <w:t xml:space="preserve"> interpretación económica </w:t>
      </w:r>
      <w:r>
        <w:rPr>
          <w:rFonts w:ascii="Arial" w:eastAsia="Times New Roman" w:hAnsi="Arial" w:cs="Arial"/>
          <w:bCs/>
          <w:kern w:val="28"/>
          <w:sz w:val="20"/>
          <w:szCs w:val="20"/>
          <w:lang w:val="es-AR"/>
        </w:rPr>
        <w:t xml:space="preserve">directa que deriva </w:t>
      </w:r>
      <w:r w:rsidR="00253F2E">
        <w:rPr>
          <w:rFonts w:ascii="Arial" w:eastAsia="Times New Roman" w:hAnsi="Arial" w:cs="Arial"/>
          <w:bCs/>
          <w:kern w:val="28"/>
          <w:sz w:val="20"/>
          <w:szCs w:val="20"/>
          <w:lang w:val="es-AR"/>
        </w:rPr>
        <w:t xml:space="preserve">de dicha </w:t>
      </w:r>
      <w:r w:rsidR="001D4108">
        <w:rPr>
          <w:rFonts w:ascii="Arial" w:eastAsia="Times New Roman" w:hAnsi="Arial" w:cs="Arial"/>
          <w:bCs/>
          <w:kern w:val="28"/>
          <w:sz w:val="20"/>
          <w:szCs w:val="20"/>
          <w:lang w:val="es-AR"/>
        </w:rPr>
        <w:t>desigualdad es que</w:t>
      </w:r>
      <w:r>
        <w:rPr>
          <w:rFonts w:ascii="Arial" w:eastAsia="Times New Roman" w:hAnsi="Arial" w:cs="Arial"/>
          <w:bCs/>
          <w:kern w:val="28"/>
          <w:sz w:val="20"/>
          <w:szCs w:val="20"/>
          <w:lang w:val="es-AR"/>
        </w:rPr>
        <w:t>, para ser costo efectiv</w:t>
      </w:r>
      <w:r w:rsidR="00E61B1C">
        <w:rPr>
          <w:rFonts w:ascii="Arial" w:eastAsia="Times New Roman" w:hAnsi="Arial" w:cs="Arial"/>
          <w:bCs/>
          <w:kern w:val="28"/>
          <w:sz w:val="20"/>
          <w:szCs w:val="20"/>
          <w:lang w:val="es-AR"/>
        </w:rPr>
        <w:t>o</w:t>
      </w:r>
      <w:r>
        <w:rPr>
          <w:rFonts w:ascii="Arial" w:eastAsia="Times New Roman" w:hAnsi="Arial" w:cs="Arial"/>
          <w:bCs/>
          <w:kern w:val="28"/>
          <w:sz w:val="20"/>
          <w:szCs w:val="20"/>
          <w:lang w:val="es-AR"/>
        </w:rPr>
        <w:t>,</w:t>
      </w:r>
      <w:r w:rsidR="001D4108">
        <w:rPr>
          <w:rFonts w:ascii="Arial" w:eastAsia="Times New Roman" w:hAnsi="Arial" w:cs="Arial"/>
          <w:bCs/>
          <w:kern w:val="28"/>
          <w:sz w:val="20"/>
          <w:szCs w:val="20"/>
          <w:lang w:val="es-AR"/>
        </w:rPr>
        <w:t xml:space="preserve"> la proporción de variación en </w:t>
      </w:r>
      <w:r w:rsidR="00046BB1">
        <w:rPr>
          <w:rFonts w:ascii="Arial" w:eastAsia="Times New Roman" w:hAnsi="Arial" w:cs="Arial"/>
          <w:bCs/>
          <w:kern w:val="28"/>
          <w:sz w:val="20"/>
          <w:szCs w:val="20"/>
          <w:lang w:val="es-AR"/>
        </w:rPr>
        <w:t>efectividad</w:t>
      </w:r>
      <w:r w:rsidR="001D4108">
        <w:rPr>
          <w:rFonts w:ascii="Arial" w:eastAsia="Times New Roman" w:hAnsi="Arial" w:cs="Arial"/>
          <w:bCs/>
          <w:kern w:val="28"/>
          <w:sz w:val="20"/>
          <w:szCs w:val="20"/>
          <w:lang w:val="es-AR"/>
        </w:rPr>
        <w:t xml:space="preserve"> </w:t>
      </w:r>
      <w:r>
        <w:rPr>
          <w:rFonts w:ascii="Arial" w:eastAsia="Times New Roman" w:hAnsi="Arial" w:cs="Arial"/>
          <w:bCs/>
          <w:kern w:val="28"/>
          <w:sz w:val="20"/>
          <w:szCs w:val="20"/>
          <w:lang w:val="es-AR"/>
        </w:rPr>
        <w:t>que resulta de la intervención</w:t>
      </w:r>
      <w:r w:rsidR="001D4108">
        <w:rPr>
          <w:rFonts w:ascii="Arial" w:eastAsia="Times New Roman" w:hAnsi="Arial" w:cs="Arial"/>
          <w:bCs/>
          <w:kern w:val="28"/>
          <w:sz w:val="20"/>
          <w:szCs w:val="20"/>
          <w:lang w:val="es-AR"/>
        </w:rPr>
        <w:t xml:space="preserve"> debe ser mayor que la proporción de variación en los costos </w:t>
      </w:r>
      <w:r w:rsidR="006702CD">
        <w:rPr>
          <w:rFonts w:ascii="Arial" w:eastAsia="Times New Roman" w:hAnsi="Arial" w:cs="Arial"/>
          <w:bCs/>
          <w:kern w:val="28"/>
          <w:sz w:val="20"/>
          <w:szCs w:val="20"/>
          <w:lang w:val="es-AR"/>
        </w:rPr>
        <w:t>afectados por</w:t>
      </w:r>
      <w:r w:rsidR="001D4108">
        <w:rPr>
          <w:rFonts w:ascii="Arial" w:eastAsia="Times New Roman" w:hAnsi="Arial" w:cs="Arial"/>
          <w:bCs/>
          <w:kern w:val="28"/>
          <w:sz w:val="20"/>
          <w:szCs w:val="20"/>
          <w:lang w:val="es-AR"/>
        </w:rPr>
        <w:t xml:space="preserve"> la in</w:t>
      </w:r>
      <w:r w:rsidR="006702CD">
        <w:rPr>
          <w:rFonts w:ascii="Arial" w:eastAsia="Times New Roman" w:hAnsi="Arial" w:cs="Arial"/>
          <w:bCs/>
          <w:kern w:val="28"/>
          <w:sz w:val="20"/>
          <w:szCs w:val="20"/>
          <w:lang w:val="es-AR"/>
        </w:rPr>
        <w:t>tervención</w:t>
      </w:r>
      <w:r w:rsidR="008465BA">
        <w:rPr>
          <w:rFonts w:ascii="Arial" w:eastAsia="Times New Roman" w:hAnsi="Arial" w:cs="Arial"/>
          <w:bCs/>
          <w:kern w:val="28"/>
          <w:sz w:val="20"/>
          <w:szCs w:val="20"/>
          <w:lang w:val="es-AR"/>
        </w:rPr>
        <w:t xml:space="preserve"> (esto incluye gastos corrientes y de inversión)</w:t>
      </w:r>
      <w:r w:rsidR="001D4108">
        <w:rPr>
          <w:rFonts w:ascii="Arial" w:eastAsia="Times New Roman" w:hAnsi="Arial" w:cs="Arial"/>
          <w:bCs/>
          <w:kern w:val="28"/>
          <w:sz w:val="20"/>
          <w:szCs w:val="20"/>
          <w:lang w:val="es-AR"/>
        </w:rPr>
        <w:t>.</w:t>
      </w:r>
    </w:p>
    <w:p w14:paraId="2C0FDBD6" w14:textId="77777777" w:rsidR="00DA03BB" w:rsidRDefault="00DA03BB" w:rsidP="00115131">
      <w:pPr>
        <w:jc w:val="both"/>
        <w:rPr>
          <w:rFonts w:ascii="Arial" w:eastAsia="Times New Roman" w:hAnsi="Arial" w:cs="Arial"/>
          <w:bCs/>
          <w:kern w:val="28"/>
          <w:sz w:val="20"/>
          <w:szCs w:val="20"/>
          <w:lang w:val="es-AR"/>
        </w:rPr>
        <w:sectPr w:rsidR="00DA03BB" w:rsidSect="00DA03BB">
          <w:pgSz w:w="11906" w:h="16838"/>
          <w:pgMar w:top="1166" w:right="1354" w:bottom="994" w:left="1440" w:header="720" w:footer="720" w:gutter="0"/>
          <w:cols w:space="720"/>
          <w:docGrid w:linePitch="360"/>
        </w:sectPr>
      </w:pPr>
    </w:p>
    <w:p w14:paraId="3EB28878" w14:textId="396B2B73" w:rsidR="001D4108" w:rsidRDefault="001D4108" w:rsidP="00253F2E">
      <w:pPr>
        <w:rPr>
          <w:rFonts w:ascii="Arial" w:eastAsia="Times New Roman" w:hAnsi="Arial" w:cs="Arial"/>
          <w:bCs/>
          <w:kern w:val="28"/>
          <w:sz w:val="20"/>
          <w:szCs w:val="20"/>
          <w:lang w:val="es-AR"/>
        </w:rPr>
      </w:pPr>
    </w:p>
    <w:p w14:paraId="4D2B0540" w14:textId="5F10DB69" w:rsidR="00EB261C" w:rsidRDefault="001D4108" w:rsidP="00286949">
      <w:pPr>
        <w:rPr>
          <w:rFonts w:ascii="Arial" w:hAnsi="Arial" w:cs="Arial"/>
          <w:lang w:val="es-AR"/>
        </w:rPr>
      </w:pPr>
      <w:bookmarkStart w:id="111" w:name="_Hlk29224872"/>
      <w:r>
        <w:rPr>
          <w:rFonts w:ascii="Arial" w:hAnsi="Arial" w:cs="Arial"/>
          <w:lang w:val="es-AR"/>
        </w:rPr>
        <w:t>C</w:t>
      </w:r>
      <w:r w:rsidR="00286949">
        <w:rPr>
          <w:rFonts w:ascii="Arial" w:hAnsi="Arial" w:cs="Arial"/>
          <w:lang w:val="es-AR"/>
        </w:rPr>
        <w:t>álculo de</w:t>
      </w:r>
      <w:r w:rsidR="00286949" w:rsidRPr="00246D0F">
        <w:rPr>
          <w:rFonts w:ascii="Arial" w:hAnsi="Arial" w:cs="Arial"/>
          <w:lang w:val="es-AR"/>
        </w:rPr>
        <w:t xml:space="preserve"> </w:t>
      </w:r>
      <w:r w:rsidR="00286949">
        <w:rPr>
          <w:rFonts w:ascii="Arial" w:hAnsi="Arial" w:cs="Arial"/>
          <w:lang w:val="es-AR"/>
        </w:rPr>
        <w:t>costo-</w:t>
      </w:r>
      <w:r w:rsidR="00E61B1C">
        <w:rPr>
          <w:rFonts w:ascii="Arial" w:hAnsi="Arial" w:cs="Arial"/>
          <w:lang w:val="es-AR"/>
        </w:rPr>
        <w:t>e</w:t>
      </w:r>
      <w:r w:rsidR="00046BB1">
        <w:rPr>
          <w:rFonts w:ascii="Arial" w:hAnsi="Arial" w:cs="Arial"/>
          <w:lang w:val="es-AR"/>
        </w:rPr>
        <w:t>fectividad</w:t>
      </w:r>
      <w:r w:rsidR="00226E63">
        <w:rPr>
          <w:rFonts w:ascii="Arial" w:hAnsi="Arial" w:cs="Arial"/>
          <w:lang w:val="es-AR"/>
        </w:rPr>
        <w:t xml:space="preserve"> SRI</w:t>
      </w:r>
    </w:p>
    <w:p w14:paraId="24BE2A15" w14:textId="77777777" w:rsidR="009B189F" w:rsidRDefault="009B189F" w:rsidP="00286949">
      <w:pPr>
        <w:rPr>
          <w:rFonts w:ascii="Arial" w:hAnsi="Arial" w:cs="Arial"/>
          <w:lang w:val="es-AR"/>
        </w:rPr>
      </w:pPr>
    </w:p>
    <w:p w14:paraId="4BC3A4E4" w14:textId="4E0127A1" w:rsidR="00286949" w:rsidRDefault="00286949" w:rsidP="00286949">
      <w:pPr>
        <w:rPr>
          <w:rFonts w:ascii="Arial" w:hAnsi="Arial" w:cs="Arial"/>
          <w:lang w:val="es-AR"/>
        </w:rPr>
      </w:pPr>
    </w:p>
    <w:p w14:paraId="3F32D53B" w14:textId="1D5A1A8A" w:rsidR="00161C98" w:rsidRDefault="00161C98" w:rsidP="00286949">
      <w:pPr>
        <w:rPr>
          <w:rFonts w:ascii="Arial" w:hAnsi="Arial" w:cs="Arial"/>
          <w:lang w:val="es-AR"/>
        </w:rPr>
      </w:pPr>
    </w:p>
    <w:p w14:paraId="3DCAE531" w14:textId="2EFEC96B" w:rsidR="00512C46" w:rsidRDefault="00512C46" w:rsidP="00286949">
      <w:pPr>
        <w:rPr>
          <w:rFonts w:ascii="Arial" w:hAnsi="Arial" w:cs="Arial"/>
          <w:lang w:val="es-AR"/>
        </w:rPr>
      </w:pPr>
      <w:r w:rsidRPr="00512C46">
        <w:rPr>
          <w:noProof/>
        </w:rPr>
        <w:drawing>
          <wp:inline distT="0" distB="0" distL="0" distR="0" wp14:anchorId="429ED55C" wp14:editId="222FAA5D">
            <wp:extent cx="9320530" cy="4189730"/>
            <wp:effectExtent l="0" t="0" r="0" b="127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9320530" cy="4189730"/>
                    </a:xfrm>
                    <a:prstGeom prst="rect">
                      <a:avLst/>
                    </a:prstGeom>
                    <a:noFill/>
                    <a:ln>
                      <a:noFill/>
                    </a:ln>
                  </pic:spPr>
                </pic:pic>
              </a:graphicData>
            </a:graphic>
          </wp:inline>
        </w:drawing>
      </w:r>
    </w:p>
    <w:p w14:paraId="491BDAD7" w14:textId="07E3F54B" w:rsidR="00161C98" w:rsidRDefault="00161C98" w:rsidP="00286949">
      <w:pPr>
        <w:rPr>
          <w:rFonts w:ascii="Arial" w:hAnsi="Arial" w:cs="Arial"/>
          <w:lang w:val="es-AR"/>
        </w:rPr>
      </w:pPr>
    </w:p>
    <w:p w14:paraId="4F45F89D" w14:textId="4A102162" w:rsidR="00161C98" w:rsidRDefault="00161C98" w:rsidP="00286949">
      <w:pPr>
        <w:rPr>
          <w:rFonts w:ascii="Arial" w:hAnsi="Arial" w:cs="Arial"/>
          <w:lang w:val="es-AR"/>
        </w:rPr>
      </w:pPr>
    </w:p>
    <w:p w14:paraId="67DD8AA2" w14:textId="461AA58F" w:rsidR="00161C98" w:rsidRDefault="00161C98" w:rsidP="00286949">
      <w:pPr>
        <w:rPr>
          <w:rFonts w:ascii="Arial" w:hAnsi="Arial" w:cs="Arial"/>
          <w:lang w:val="es-AR"/>
        </w:rPr>
      </w:pPr>
    </w:p>
    <w:p w14:paraId="748B0329" w14:textId="77777777" w:rsidR="00161C98" w:rsidRDefault="00161C98" w:rsidP="00286949">
      <w:pPr>
        <w:rPr>
          <w:rFonts w:ascii="Arial" w:hAnsi="Arial" w:cs="Arial"/>
          <w:lang w:val="es-AR"/>
        </w:rPr>
      </w:pPr>
    </w:p>
    <w:p w14:paraId="7D4ED8B1" w14:textId="79C65D56" w:rsidR="00226E63" w:rsidRDefault="00226E63" w:rsidP="00226E63">
      <w:pPr>
        <w:rPr>
          <w:rFonts w:ascii="Arial" w:hAnsi="Arial" w:cs="Arial"/>
          <w:lang w:val="es-AR"/>
        </w:rPr>
      </w:pPr>
      <w:bookmarkStart w:id="112" w:name="_Hlk29224942"/>
      <w:bookmarkEnd w:id="111"/>
      <w:r>
        <w:rPr>
          <w:rFonts w:ascii="Arial" w:hAnsi="Arial" w:cs="Arial"/>
          <w:lang w:val="es-AR"/>
        </w:rPr>
        <w:t>Cálculo de</w:t>
      </w:r>
      <w:r w:rsidRPr="00246D0F">
        <w:rPr>
          <w:rFonts w:ascii="Arial" w:hAnsi="Arial" w:cs="Arial"/>
          <w:lang w:val="es-AR"/>
        </w:rPr>
        <w:t xml:space="preserve"> </w:t>
      </w:r>
      <w:r>
        <w:rPr>
          <w:rFonts w:ascii="Arial" w:hAnsi="Arial" w:cs="Arial"/>
          <w:lang w:val="es-AR"/>
        </w:rPr>
        <w:t>costo-efectividad SENAE</w:t>
      </w:r>
    </w:p>
    <w:p w14:paraId="49F79EA8" w14:textId="77777777" w:rsidR="009B189F" w:rsidRDefault="009B189F" w:rsidP="00226E63">
      <w:pPr>
        <w:rPr>
          <w:rFonts w:ascii="Arial" w:hAnsi="Arial" w:cs="Arial"/>
          <w:lang w:val="es-AR"/>
        </w:rPr>
      </w:pPr>
    </w:p>
    <w:bookmarkEnd w:id="112"/>
    <w:p w14:paraId="3AE11AAE" w14:textId="38905EA3" w:rsidR="00226E63" w:rsidRDefault="00226E63" w:rsidP="00226E63">
      <w:pPr>
        <w:rPr>
          <w:rFonts w:ascii="Arial" w:hAnsi="Arial" w:cs="Arial"/>
          <w:lang w:val="es-AR"/>
        </w:rPr>
      </w:pPr>
    </w:p>
    <w:p w14:paraId="5BF7C5E1" w14:textId="77777777" w:rsidR="00161C98" w:rsidRDefault="00161C98" w:rsidP="00226E63">
      <w:pPr>
        <w:rPr>
          <w:rFonts w:ascii="Arial" w:hAnsi="Arial" w:cs="Arial"/>
          <w:lang w:val="es-AR"/>
        </w:rPr>
      </w:pPr>
    </w:p>
    <w:p w14:paraId="6D3C9D7D" w14:textId="01CBE5A9" w:rsidR="00226E63" w:rsidRDefault="00226E63" w:rsidP="00140755">
      <w:pPr>
        <w:rPr>
          <w:rFonts w:ascii="Arial" w:hAnsi="Arial" w:cs="Arial"/>
          <w:bCs/>
          <w:kern w:val="28"/>
          <w:sz w:val="20"/>
          <w:szCs w:val="20"/>
          <w:lang w:val="es-AR"/>
        </w:rPr>
      </w:pPr>
    </w:p>
    <w:p w14:paraId="5A5EB962" w14:textId="63DA1C19" w:rsidR="00512C46" w:rsidRDefault="00512C46" w:rsidP="00140755">
      <w:pPr>
        <w:rPr>
          <w:rFonts w:ascii="Arial" w:hAnsi="Arial" w:cs="Arial"/>
          <w:bCs/>
          <w:kern w:val="28"/>
          <w:sz w:val="20"/>
          <w:szCs w:val="20"/>
          <w:lang w:val="es-AR"/>
        </w:rPr>
      </w:pPr>
      <w:r w:rsidRPr="00512C46">
        <w:rPr>
          <w:noProof/>
        </w:rPr>
        <w:lastRenderedPageBreak/>
        <w:drawing>
          <wp:inline distT="0" distB="0" distL="0" distR="0" wp14:anchorId="1044F076" wp14:editId="0955A4F7">
            <wp:extent cx="9320530" cy="4060825"/>
            <wp:effectExtent l="0" t="0" r="0"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9320530" cy="4060825"/>
                    </a:xfrm>
                    <a:prstGeom prst="rect">
                      <a:avLst/>
                    </a:prstGeom>
                    <a:noFill/>
                    <a:ln>
                      <a:noFill/>
                    </a:ln>
                  </pic:spPr>
                </pic:pic>
              </a:graphicData>
            </a:graphic>
          </wp:inline>
        </w:drawing>
      </w:r>
    </w:p>
    <w:p w14:paraId="1EF72ED3" w14:textId="62F50757" w:rsidR="00161C98" w:rsidRDefault="00161C98" w:rsidP="00140755">
      <w:pPr>
        <w:rPr>
          <w:rFonts w:ascii="Arial" w:hAnsi="Arial" w:cs="Arial"/>
          <w:bCs/>
          <w:kern w:val="28"/>
          <w:sz w:val="20"/>
          <w:szCs w:val="20"/>
          <w:lang w:val="es-AR"/>
        </w:rPr>
      </w:pPr>
    </w:p>
    <w:p w14:paraId="6D277F27" w14:textId="5FD0293E" w:rsidR="00161C98" w:rsidRDefault="00161C98" w:rsidP="00140755">
      <w:pPr>
        <w:rPr>
          <w:rFonts w:ascii="Arial" w:hAnsi="Arial" w:cs="Arial"/>
          <w:bCs/>
          <w:kern w:val="28"/>
          <w:sz w:val="20"/>
          <w:szCs w:val="20"/>
          <w:lang w:val="es-AR"/>
        </w:rPr>
      </w:pPr>
    </w:p>
    <w:p w14:paraId="4FCB1A12" w14:textId="6D7D7E30" w:rsidR="00161C98" w:rsidRDefault="00161C98" w:rsidP="00140755">
      <w:pPr>
        <w:rPr>
          <w:rFonts w:ascii="Arial" w:hAnsi="Arial" w:cs="Arial"/>
          <w:bCs/>
          <w:kern w:val="28"/>
          <w:sz w:val="20"/>
          <w:szCs w:val="20"/>
          <w:lang w:val="es-AR"/>
        </w:rPr>
      </w:pPr>
    </w:p>
    <w:p w14:paraId="025EF865" w14:textId="77777777" w:rsidR="00161C98" w:rsidRDefault="00161C98" w:rsidP="00140755">
      <w:pPr>
        <w:rPr>
          <w:rFonts w:ascii="Arial" w:hAnsi="Arial" w:cs="Arial"/>
          <w:bCs/>
          <w:kern w:val="28"/>
          <w:sz w:val="20"/>
          <w:szCs w:val="20"/>
          <w:lang w:val="es-AR"/>
        </w:rPr>
      </w:pPr>
    </w:p>
    <w:p w14:paraId="537D4651" w14:textId="07FF638D" w:rsidR="00226E63" w:rsidRDefault="00226E63" w:rsidP="00140755">
      <w:pPr>
        <w:rPr>
          <w:rFonts w:ascii="Arial" w:hAnsi="Arial" w:cs="Arial"/>
          <w:bCs/>
          <w:kern w:val="28"/>
          <w:sz w:val="20"/>
          <w:szCs w:val="20"/>
          <w:lang w:val="es-AR"/>
        </w:rPr>
      </w:pPr>
    </w:p>
    <w:p w14:paraId="0836B3D9" w14:textId="3C8AF668" w:rsidR="00226E63" w:rsidRDefault="00226E63" w:rsidP="00226E63">
      <w:pPr>
        <w:rPr>
          <w:rFonts w:ascii="Arial" w:hAnsi="Arial" w:cs="Arial"/>
          <w:lang w:val="es-AR"/>
        </w:rPr>
      </w:pPr>
      <w:r>
        <w:rPr>
          <w:rFonts w:ascii="Arial" w:hAnsi="Arial" w:cs="Arial"/>
          <w:lang w:val="es-AR"/>
        </w:rPr>
        <w:lastRenderedPageBreak/>
        <w:t>Cálculo de</w:t>
      </w:r>
      <w:r w:rsidRPr="00246D0F">
        <w:rPr>
          <w:rFonts w:ascii="Arial" w:hAnsi="Arial" w:cs="Arial"/>
          <w:lang w:val="es-AR"/>
        </w:rPr>
        <w:t xml:space="preserve"> </w:t>
      </w:r>
      <w:r>
        <w:rPr>
          <w:rFonts w:ascii="Arial" w:hAnsi="Arial" w:cs="Arial"/>
          <w:lang w:val="es-AR"/>
        </w:rPr>
        <w:t>costo-efectividad Total (SRI + SENAE)</w:t>
      </w:r>
    </w:p>
    <w:p w14:paraId="3A1BC348" w14:textId="58463BB9" w:rsidR="009B189F" w:rsidRDefault="009B189F" w:rsidP="00226E63">
      <w:pPr>
        <w:rPr>
          <w:rFonts w:ascii="Arial" w:hAnsi="Arial" w:cs="Arial"/>
          <w:lang w:val="es-AR"/>
        </w:rPr>
      </w:pPr>
    </w:p>
    <w:p w14:paraId="196E0D96" w14:textId="77777777" w:rsidR="009B189F" w:rsidRDefault="009B189F" w:rsidP="00226E63">
      <w:pPr>
        <w:rPr>
          <w:rFonts w:ascii="Arial" w:hAnsi="Arial" w:cs="Arial"/>
          <w:lang w:val="es-AR"/>
        </w:rPr>
      </w:pPr>
    </w:p>
    <w:p w14:paraId="727F8757" w14:textId="7B1CF31C" w:rsidR="00226E63" w:rsidRDefault="00226E63" w:rsidP="00226E63">
      <w:pPr>
        <w:rPr>
          <w:rFonts w:ascii="Arial" w:hAnsi="Arial" w:cs="Arial"/>
          <w:lang w:val="es-AR"/>
        </w:rPr>
      </w:pPr>
    </w:p>
    <w:p w14:paraId="1D8BF415" w14:textId="71E3E543" w:rsidR="00E76783" w:rsidRDefault="00E76783" w:rsidP="00226E63">
      <w:pPr>
        <w:rPr>
          <w:rFonts w:ascii="Arial" w:hAnsi="Arial" w:cs="Arial"/>
          <w:lang w:val="es-AR"/>
        </w:rPr>
      </w:pPr>
    </w:p>
    <w:p w14:paraId="4EDF3D31" w14:textId="1CF7BBA6" w:rsidR="00E76783" w:rsidRDefault="00E76783" w:rsidP="00226E63">
      <w:pPr>
        <w:rPr>
          <w:rFonts w:ascii="Arial" w:hAnsi="Arial" w:cs="Arial"/>
          <w:lang w:val="es-AR"/>
        </w:rPr>
      </w:pPr>
    </w:p>
    <w:p w14:paraId="44837D86" w14:textId="491AD34B" w:rsidR="00512C46" w:rsidRDefault="00512C46" w:rsidP="00226E63">
      <w:pPr>
        <w:rPr>
          <w:rFonts w:ascii="Arial" w:hAnsi="Arial" w:cs="Arial"/>
          <w:lang w:val="es-AR"/>
        </w:rPr>
      </w:pPr>
      <w:r w:rsidRPr="00512C46">
        <w:rPr>
          <w:noProof/>
        </w:rPr>
        <w:drawing>
          <wp:inline distT="0" distB="0" distL="0" distR="0" wp14:anchorId="3426FB6C" wp14:editId="74D415BE">
            <wp:extent cx="9320530" cy="3549650"/>
            <wp:effectExtent l="0" t="0" r="0"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9320530" cy="3549650"/>
                    </a:xfrm>
                    <a:prstGeom prst="rect">
                      <a:avLst/>
                    </a:prstGeom>
                    <a:noFill/>
                    <a:ln>
                      <a:noFill/>
                    </a:ln>
                  </pic:spPr>
                </pic:pic>
              </a:graphicData>
            </a:graphic>
          </wp:inline>
        </w:drawing>
      </w:r>
    </w:p>
    <w:p w14:paraId="28C93E46" w14:textId="3416414D" w:rsidR="00982A92" w:rsidRDefault="00982A92" w:rsidP="00226E63">
      <w:pPr>
        <w:rPr>
          <w:rFonts w:ascii="Arial" w:hAnsi="Arial" w:cs="Arial"/>
          <w:lang w:val="es-AR"/>
        </w:rPr>
      </w:pPr>
    </w:p>
    <w:p w14:paraId="54D3F02D" w14:textId="62023A54" w:rsidR="00982A92" w:rsidRDefault="00982A92" w:rsidP="00226E63">
      <w:pPr>
        <w:rPr>
          <w:rFonts w:ascii="Arial" w:hAnsi="Arial" w:cs="Arial"/>
          <w:lang w:val="es-AR"/>
        </w:rPr>
      </w:pPr>
    </w:p>
    <w:p w14:paraId="0A848129" w14:textId="0B0C709A" w:rsidR="00E76783" w:rsidRDefault="00E76783" w:rsidP="00226E63">
      <w:pPr>
        <w:rPr>
          <w:rFonts w:ascii="Arial" w:hAnsi="Arial" w:cs="Arial"/>
          <w:lang w:val="es-AR"/>
        </w:rPr>
      </w:pPr>
    </w:p>
    <w:p w14:paraId="7748740C" w14:textId="17211904" w:rsidR="00E76783" w:rsidRDefault="00E76783" w:rsidP="00226E63">
      <w:pPr>
        <w:rPr>
          <w:rFonts w:ascii="Arial" w:hAnsi="Arial" w:cs="Arial"/>
          <w:lang w:val="es-AR"/>
        </w:rPr>
      </w:pPr>
    </w:p>
    <w:p w14:paraId="6BC95D95" w14:textId="05FD4CF9" w:rsidR="00E76783" w:rsidRDefault="00E76783" w:rsidP="00226E63">
      <w:pPr>
        <w:rPr>
          <w:rFonts w:ascii="Arial" w:hAnsi="Arial" w:cs="Arial"/>
          <w:lang w:val="es-AR"/>
        </w:rPr>
      </w:pPr>
    </w:p>
    <w:p w14:paraId="617EAF24" w14:textId="6120A0AD" w:rsidR="00E76783" w:rsidRDefault="00E76783" w:rsidP="00226E63">
      <w:pPr>
        <w:rPr>
          <w:rFonts w:ascii="Arial" w:hAnsi="Arial" w:cs="Arial"/>
          <w:lang w:val="es-AR"/>
        </w:rPr>
      </w:pPr>
    </w:p>
    <w:p w14:paraId="3BC0F8AC" w14:textId="77777777" w:rsidR="00E76783" w:rsidRDefault="00E76783" w:rsidP="00226E63">
      <w:pPr>
        <w:rPr>
          <w:rFonts w:ascii="Arial" w:hAnsi="Arial" w:cs="Arial"/>
          <w:lang w:val="es-AR"/>
        </w:rPr>
      </w:pPr>
    </w:p>
    <w:p w14:paraId="4E7E0057" w14:textId="13E39146" w:rsidR="00226E63" w:rsidRDefault="00140755" w:rsidP="00140755">
      <w:pPr>
        <w:rPr>
          <w:rFonts w:ascii="Arial" w:hAnsi="Arial" w:cs="Arial"/>
          <w:lang w:val="es-AR"/>
        </w:rPr>
      </w:pPr>
      <w:bookmarkStart w:id="113" w:name="_Hlk66269172"/>
      <w:bookmarkStart w:id="114" w:name="_Hlk29225149"/>
      <w:r w:rsidRPr="00226E63">
        <w:rPr>
          <w:rFonts w:ascii="Arial" w:hAnsi="Arial" w:cs="Arial"/>
          <w:lang w:val="es-AR"/>
        </w:rPr>
        <w:t>Análisis de sensibilidad</w:t>
      </w:r>
      <w:r w:rsidR="00226E63">
        <w:rPr>
          <w:rFonts w:ascii="Arial" w:hAnsi="Arial" w:cs="Arial"/>
          <w:lang w:val="es-AR"/>
        </w:rPr>
        <w:t xml:space="preserve"> SRI</w:t>
      </w:r>
      <w:r w:rsidR="00522963">
        <w:rPr>
          <w:rFonts w:ascii="Arial" w:hAnsi="Arial" w:cs="Arial"/>
          <w:lang w:val="es-AR"/>
        </w:rPr>
        <w:t xml:space="preserve"> </w:t>
      </w:r>
      <w:bookmarkStart w:id="115" w:name="_Hlk66269099"/>
      <w:r w:rsidR="00522963">
        <w:rPr>
          <w:rFonts w:ascii="Arial" w:hAnsi="Arial" w:cs="Arial"/>
          <w:lang w:val="es-AR"/>
        </w:rPr>
        <w:t>Escenario Reducción de Recaudación Adicional</w:t>
      </w:r>
      <w:bookmarkEnd w:id="115"/>
    </w:p>
    <w:bookmarkEnd w:id="113"/>
    <w:p w14:paraId="59178F6D" w14:textId="77777777" w:rsidR="009B189F" w:rsidRDefault="009B189F" w:rsidP="00140755">
      <w:pPr>
        <w:rPr>
          <w:rFonts w:ascii="Arial" w:hAnsi="Arial" w:cs="Arial"/>
          <w:lang w:val="es-AR"/>
        </w:rPr>
      </w:pPr>
    </w:p>
    <w:bookmarkEnd w:id="114"/>
    <w:p w14:paraId="5E8B4DE0" w14:textId="17655427" w:rsidR="00226E63" w:rsidRDefault="00226E63" w:rsidP="00140755">
      <w:pPr>
        <w:rPr>
          <w:rFonts w:ascii="Arial" w:hAnsi="Arial" w:cs="Arial"/>
          <w:bCs/>
          <w:kern w:val="28"/>
          <w:sz w:val="20"/>
          <w:szCs w:val="20"/>
          <w:lang w:val="es-AR"/>
        </w:rPr>
      </w:pPr>
    </w:p>
    <w:p w14:paraId="116F3FB2" w14:textId="528C724E" w:rsidR="00E76783" w:rsidRDefault="00E76783" w:rsidP="00140755">
      <w:pPr>
        <w:rPr>
          <w:rFonts w:ascii="Arial" w:hAnsi="Arial" w:cs="Arial"/>
          <w:bCs/>
          <w:kern w:val="28"/>
          <w:sz w:val="20"/>
          <w:szCs w:val="20"/>
          <w:lang w:val="es-AR"/>
        </w:rPr>
      </w:pPr>
    </w:p>
    <w:p w14:paraId="7109EA5B" w14:textId="270EA56E" w:rsidR="00E76783" w:rsidRDefault="00E76783" w:rsidP="00140755">
      <w:pPr>
        <w:rPr>
          <w:rFonts w:ascii="Arial" w:hAnsi="Arial" w:cs="Arial"/>
          <w:bCs/>
          <w:kern w:val="28"/>
          <w:sz w:val="20"/>
          <w:szCs w:val="20"/>
          <w:lang w:val="es-AR"/>
        </w:rPr>
      </w:pPr>
    </w:p>
    <w:p w14:paraId="01760E65" w14:textId="3FE8E82A" w:rsidR="00512C46" w:rsidRDefault="00512C46" w:rsidP="00140755">
      <w:pPr>
        <w:rPr>
          <w:rFonts w:ascii="Arial" w:hAnsi="Arial" w:cs="Arial"/>
          <w:bCs/>
          <w:kern w:val="28"/>
          <w:sz w:val="20"/>
          <w:szCs w:val="20"/>
          <w:lang w:val="es-AR"/>
        </w:rPr>
      </w:pPr>
      <w:r w:rsidRPr="00512C46">
        <w:rPr>
          <w:noProof/>
        </w:rPr>
        <w:lastRenderedPageBreak/>
        <w:drawing>
          <wp:inline distT="0" distB="0" distL="0" distR="0" wp14:anchorId="05D420C8" wp14:editId="4BC0C419">
            <wp:extent cx="9320530" cy="4189730"/>
            <wp:effectExtent l="0" t="0" r="0" b="127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9320530" cy="4189730"/>
                    </a:xfrm>
                    <a:prstGeom prst="rect">
                      <a:avLst/>
                    </a:prstGeom>
                    <a:noFill/>
                    <a:ln>
                      <a:noFill/>
                    </a:ln>
                  </pic:spPr>
                </pic:pic>
              </a:graphicData>
            </a:graphic>
          </wp:inline>
        </w:drawing>
      </w:r>
    </w:p>
    <w:p w14:paraId="57C44DB8" w14:textId="2B2BA9CB" w:rsidR="00E76783" w:rsidRDefault="00E76783" w:rsidP="00140755">
      <w:pPr>
        <w:rPr>
          <w:rFonts w:ascii="Arial" w:hAnsi="Arial" w:cs="Arial"/>
          <w:bCs/>
          <w:kern w:val="28"/>
          <w:sz w:val="20"/>
          <w:szCs w:val="20"/>
          <w:lang w:val="es-AR"/>
        </w:rPr>
      </w:pPr>
    </w:p>
    <w:p w14:paraId="451DA950" w14:textId="35BA77F5" w:rsidR="00E76783" w:rsidRDefault="00E76783" w:rsidP="00140755">
      <w:pPr>
        <w:rPr>
          <w:rFonts w:ascii="Arial" w:hAnsi="Arial" w:cs="Arial"/>
          <w:bCs/>
          <w:kern w:val="28"/>
          <w:sz w:val="20"/>
          <w:szCs w:val="20"/>
          <w:lang w:val="es-AR"/>
        </w:rPr>
      </w:pPr>
    </w:p>
    <w:p w14:paraId="4D98B331" w14:textId="1648635D" w:rsidR="00E76783" w:rsidRDefault="00E76783" w:rsidP="00140755">
      <w:pPr>
        <w:rPr>
          <w:rFonts w:ascii="Arial" w:hAnsi="Arial" w:cs="Arial"/>
          <w:bCs/>
          <w:kern w:val="28"/>
          <w:sz w:val="20"/>
          <w:szCs w:val="20"/>
          <w:lang w:val="es-AR"/>
        </w:rPr>
      </w:pPr>
    </w:p>
    <w:p w14:paraId="721895EA" w14:textId="2905CE72" w:rsidR="00E76783" w:rsidRDefault="00E76783" w:rsidP="00140755">
      <w:pPr>
        <w:rPr>
          <w:rFonts w:ascii="Arial" w:hAnsi="Arial" w:cs="Arial"/>
          <w:bCs/>
          <w:kern w:val="28"/>
          <w:sz w:val="20"/>
          <w:szCs w:val="20"/>
          <w:lang w:val="es-AR"/>
        </w:rPr>
      </w:pPr>
    </w:p>
    <w:p w14:paraId="1A55253C" w14:textId="4197C3B4" w:rsidR="009B189F" w:rsidRDefault="00226E63" w:rsidP="00226E63">
      <w:pPr>
        <w:rPr>
          <w:rFonts w:ascii="Arial" w:hAnsi="Arial" w:cs="Arial"/>
          <w:lang w:val="es-AR"/>
        </w:rPr>
      </w:pPr>
      <w:bookmarkStart w:id="116" w:name="_Hlk29225226"/>
      <w:r w:rsidRPr="00226E63">
        <w:rPr>
          <w:rFonts w:ascii="Arial" w:hAnsi="Arial" w:cs="Arial"/>
          <w:lang w:val="es-AR"/>
        </w:rPr>
        <w:t>Análisis de sensibilidad</w:t>
      </w:r>
      <w:r>
        <w:rPr>
          <w:rFonts w:ascii="Arial" w:hAnsi="Arial" w:cs="Arial"/>
          <w:lang w:val="es-AR"/>
        </w:rPr>
        <w:t xml:space="preserve"> SENAE</w:t>
      </w:r>
      <w:r w:rsidR="00522963">
        <w:rPr>
          <w:rFonts w:ascii="Arial" w:hAnsi="Arial" w:cs="Arial"/>
          <w:lang w:val="es-AR"/>
        </w:rPr>
        <w:t xml:space="preserve"> Escenario Reducción de Recaudación Adicional</w:t>
      </w:r>
    </w:p>
    <w:bookmarkEnd w:id="116"/>
    <w:p w14:paraId="3037CAF1" w14:textId="1A686338" w:rsidR="00226E63" w:rsidRDefault="00226E63" w:rsidP="00226E63">
      <w:pPr>
        <w:rPr>
          <w:rFonts w:ascii="Arial" w:hAnsi="Arial" w:cs="Arial"/>
          <w:lang w:val="es-AR"/>
        </w:rPr>
      </w:pPr>
    </w:p>
    <w:p w14:paraId="5DB61792" w14:textId="4D2B0ACA" w:rsidR="00E76783" w:rsidRDefault="00E76783" w:rsidP="00226E63">
      <w:pPr>
        <w:rPr>
          <w:rFonts w:ascii="Arial" w:hAnsi="Arial" w:cs="Arial"/>
          <w:lang w:val="es-AR"/>
        </w:rPr>
      </w:pPr>
    </w:p>
    <w:p w14:paraId="0749D741" w14:textId="5BC6372F" w:rsidR="00E76783" w:rsidRDefault="00E76783" w:rsidP="00226E63">
      <w:pPr>
        <w:rPr>
          <w:rFonts w:ascii="Arial" w:hAnsi="Arial" w:cs="Arial"/>
          <w:lang w:val="es-AR"/>
        </w:rPr>
      </w:pPr>
    </w:p>
    <w:p w14:paraId="72B7A229" w14:textId="0C5F38D9" w:rsidR="00512C46" w:rsidRDefault="00DD00F1" w:rsidP="00226E63">
      <w:pPr>
        <w:rPr>
          <w:rFonts w:ascii="Arial" w:hAnsi="Arial" w:cs="Arial"/>
          <w:lang w:val="es-AR"/>
        </w:rPr>
      </w:pPr>
      <w:r w:rsidRPr="00DD00F1">
        <w:rPr>
          <w:noProof/>
        </w:rPr>
        <w:drawing>
          <wp:inline distT="0" distB="0" distL="0" distR="0" wp14:anchorId="7B552F89" wp14:editId="351633B4">
            <wp:extent cx="9320530" cy="4060825"/>
            <wp:effectExtent l="0" t="0" r="0"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9320530" cy="4060825"/>
                    </a:xfrm>
                    <a:prstGeom prst="rect">
                      <a:avLst/>
                    </a:prstGeom>
                    <a:noFill/>
                    <a:ln>
                      <a:noFill/>
                    </a:ln>
                  </pic:spPr>
                </pic:pic>
              </a:graphicData>
            </a:graphic>
          </wp:inline>
        </w:drawing>
      </w:r>
    </w:p>
    <w:p w14:paraId="34049C90" w14:textId="37D999C2" w:rsidR="00E76783" w:rsidRDefault="00E76783" w:rsidP="00226E63">
      <w:pPr>
        <w:rPr>
          <w:rFonts w:ascii="Arial" w:hAnsi="Arial" w:cs="Arial"/>
          <w:lang w:val="es-AR"/>
        </w:rPr>
      </w:pPr>
    </w:p>
    <w:p w14:paraId="31EC6D16" w14:textId="77777777" w:rsidR="00E76783" w:rsidRDefault="00E76783" w:rsidP="00226E63">
      <w:pPr>
        <w:rPr>
          <w:rFonts w:ascii="Arial" w:hAnsi="Arial" w:cs="Arial"/>
          <w:lang w:val="es-AR"/>
        </w:rPr>
      </w:pPr>
    </w:p>
    <w:p w14:paraId="411C1B4D" w14:textId="32E7EA37" w:rsidR="002551E5" w:rsidRDefault="002551E5" w:rsidP="002551E5">
      <w:pPr>
        <w:rPr>
          <w:rFonts w:ascii="Arial" w:hAnsi="Arial" w:cs="Arial"/>
          <w:lang w:val="es-AR"/>
        </w:rPr>
      </w:pPr>
      <w:r w:rsidRPr="00226E63">
        <w:rPr>
          <w:rFonts w:ascii="Arial" w:hAnsi="Arial" w:cs="Arial"/>
          <w:lang w:val="es-AR"/>
        </w:rPr>
        <w:lastRenderedPageBreak/>
        <w:t>Análisis de sensibilidad</w:t>
      </w:r>
      <w:r>
        <w:rPr>
          <w:rFonts w:ascii="Arial" w:hAnsi="Arial" w:cs="Arial"/>
          <w:lang w:val="es-AR"/>
        </w:rPr>
        <w:t xml:space="preserve"> Total (SRI + SENAE)</w:t>
      </w:r>
      <w:r w:rsidR="00522963">
        <w:rPr>
          <w:rFonts w:ascii="Arial" w:hAnsi="Arial" w:cs="Arial"/>
          <w:lang w:val="es-AR"/>
        </w:rPr>
        <w:t xml:space="preserve"> Escenario Reducción de Recaudación Adicional</w:t>
      </w:r>
    </w:p>
    <w:p w14:paraId="450AE433" w14:textId="214E5F2B" w:rsidR="00226E63" w:rsidRPr="005C4EE7" w:rsidRDefault="00226E63" w:rsidP="00140755">
      <w:pPr>
        <w:rPr>
          <w:noProof/>
          <w:lang w:val="es-PE"/>
        </w:rPr>
      </w:pPr>
    </w:p>
    <w:p w14:paraId="56A5C5B1" w14:textId="6E0AB390" w:rsidR="009B189F" w:rsidRDefault="009B189F" w:rsidP="00140755">
      <w:pPr>
        <w:rPr>
          <w:rFonts w:ascii="Arial" w:hAnsi="Arial" w:cs="Arial"/>
          <w:bCs/>
          <w:kern w:val="28"/>
          <w:sz w:val="20"/>
          <w:szCs w:val="20"/>
          <w:lang w:val="es-AR"/>
        </w:rPr>
      </w:pPr>
    </w:p>
    <w:p w14:paraId="54930AE8" w14:textId="77777777" w:rsidR="00E76783" w:rsidRDefault="00E76783" w:rsidP="00140755">
      <w:pPr>
        <w:rPr>
          <w:rFonts w:ascii="Arial" w:hAnsi="Arial" w:cs="Arial"/>
          <w:bCs/>
          <w:kern w:val="28"/>
          <w:sz w:val="20"/>
          <w:szCs w:val="20"/>
          <w:lang w:val="es-AR"/>
        </w:rPr>
      </w:pPr>
    </w:p>
    <w:p w14:paraId="59EFF543" w14:textId="65A0E28E" w:rsidR="00522963" w:rsidRDefault="00522963" w:rsidP="00140755">
      <w:pPr>
        <w:rPr>
          <w:rFonts w:ascii="Arial" w:hAnsi="Arial" w:cs="Arial"/>
          <w:bCs/>
          <w:kern w:val="28"/>
          <w:sz w:val="20"/>
          <w:szCs w:val="20"/>
          <w:lang w:val="es-AR"/>
        </w:rPr>
      </w:pPr>
    </w:p>
    <w:p w14:paraId="68204BE8" w14:textId="3A0CF9D2" w:rsidR="00522963" w:rsidRDefault="00522963" w:rsidP="00140755">
      <w:pPr>
        <w:rPr>
          <w:rFonts w:ascii="Arial" w:hAnsi="Arial" w:cs="Arial"/>
          <w:bCs/>
          <w:kern w:val="28"/>
          <w:sz w:val="20"/>
          <w:szCs w:val="20"/>
          <w:lang w:val="es-AR"/>
        </w:rPr>
      </w:pPr>
    </w:p>
    <w:p w14:paraId="1ED8AE67" w14:textId="1D5E5475" w:rsidR="00522963" w:rsidRDefault="00522963" w:rsidP="00140755">
      <w:pPr>
        <w:rPr>
          <w:rFonts w:ascii="Arial" w:hAnsi="Arial" w:cs="Arial"/>
          <w:bCs/>
          <w:kern w:val="28"/>
          <w:sz w:val="20"/>
          <w:szCs w:val="20"/>
          <w:lang w:val="es-AR"/>
        </w:rPr>
      </w:pPr>
    </w:p>
    <w:p w14:paraId="5B5B5D21" w14:textId="3A5E17A4" w:rsidR="00DD00F1" w:rsidRDefault="00DD00F1" w:rsidP="00140755">
      <w:pPr>
        <w:rPr>
          <w:rFonts w:ascii="Arial" w:hAnsi="Arial" w:cs="Arial"/>
          <w:bCs/>
          <w:kern w:val="28"/>
          <w:sz w:val="20"/>
          <w:szCs w:val="20"/>
          <w:lang w:val="es-AR"/>
        </w:rPr>
      </w:pPr>
    </w:p>
    <w:p w14:paraId="46BDD082" w14:textId="3A8BE27E" w:rsidR="00DD00F1" w:rsidRDefault="00DD00F1" w:rsidP="00140755">
      <w:pPr>
        <w:rPr>
          <w:rFonts w:ascii="Arial" w:hAnsi="Arial" w:cs="Arial"/>
          <w:bCs/>
          <w:kern w:val="28"/>
          <w:sz w:val="20"/>
          <w:szCs w:val="20"/>
          <w:lang w:val="es-AR"/>
        </w:rPr>
      </w:pPr>
      <w:r w:rsidRPr="00DD00F1">
        <w:rPr>
          <w:noProof/>
        </w:rPr>
        <w:lastRenderedPageBreak/>
        <w:drawing>
          <wp:inline distT="0" distB="0" distL="0" distR="0" wp14:anchorId="63E5280B" wp14:editId="1079451A">
            <wp:extent cx="9320530" cy="3406775"/>
            <wp:effectExtent l="0" t="0" r="0" b="3175"/>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9320530" cy="3406775"/>
                    </a:xfrm>
                    <a:prstGeom prst="rect">
                      <a:avLst/>
                    </a:prstGeom>
                    <a:noFill/>
                    <a:ln>
                      <a:noFill/>
                    </a:ln>
                  </pic:spPr>
                </pic:pic>
              </a:graphicData>
            </a:graphic>
          </wp:inline>
        </w:drawing>
      </w:r>
    </w:p>
    <w:p w14:paraId="237CD970" w14:textId="30A25AFE" w:rsidR="00DD00F1" w:rsidRDefault="00DD00F1" w:rsidP="00140755">
      <w:pPr>
        <w:rPr>
          <w:rFonts w:ascii="Arial" w:hAnsi="Arial" w:cs="Arial"/>
          <w:bCs/>
          <w:kern w:val="28"/>
          <w:sz w:val="20"/>
          <w:szCs w:val="20"/>
          <w:lang w:val="es-AR"/>
        </w:rPr>
      </w:pPr>
    </w:p>
    <w:p w14:paraId="5F899FA2" w14:textId="22AD42FE" w:rsidR="00DD00F1" w:rsidRDefault="00DD00F1" w:rsidP="00140755">
      <w:pPr>
        <w:rPr>
          <w:rFonts w:ascii="Arial" w:hAnsi="Arial" w:cs="Arial"/>
          <w:bCs/>
          <w:kern w:val="28"/>
          <w:sz w:val="20"/>
          <w:szCs w:val="20"/>
          <w:lang w:val="es-AR"/>
        </w:rPr>
      </w:pPr>
    </w:p>
    <w:p w14:paraId="6BEFD9EB" w14:textId="4B9E1763" w:rsidR="00DD00F1" w:rsidRDefault="00DD00F1" w:rsidP="00140755">
      <w:pPr>
        <w:rPr>
          <w:rFonts w:ascii="Arial" w:hAnsi="Arial" w:cs="Arial"/>
          <w:bCs/>
          <w:kern w:val="28"/>
          <w:sz w:val="20"/>
          <w:szCs w:val="20"/>
          <w:lang w:val="es-AR"/>
        </w:rPr>
      </w:pPr>
    </w:p>
    <w:p w14:paraId="0AF41FA3" w14:textId="10EBD8DB" w:rsidR="00DD00F1" w:rsidRDefault="00DD00F1" w:rsidP="00140755">
      <w:pPr>
        <w:rPr>
          <w:rFonts w:ascii="Arial" w:hAnsi="Arial" w:cs="Arial"/>
          <w:bCs/>
          <w:kern w:val="28"/>
          <w:sz w:val="20"/>
          <w:szCs w:val="20"/>
          <w:lang w:val="es-AR"/>
        </w:rPr>
      </w:pPr>
    </w:p>
    <w:p w14:paraId="42EAF9F6" w14:textId="77777777" w:rsidR="00DD00F1" w:rsidRDefault="00DD00F1" w:rsidP="00140755">
      <w:pPr>
        <w:rPr>
          <w:rFonts w:ascii="Arial" w:hAnsi="Arial" w:cs="Arial"/>
          <w:bCs/>
          <w:kern w:val="28"/>
          <w:sz w:val="20"/>
          <w:szCs w:val="20"/>
          <w:lang w:val="es-AR"/>
        </w:rPr>
      </w:pPr>
    </w:p>
    <w:p w14:paraId="762032ED" w14:textId="0F095F39" w:rsidR="00522963" w:rsidRDefault="00522963" w:rsidP="00522963">
      <w:pPr>
        <w:rPr>
          <w:rFonts w:ascii="Arial" w:hAnsi="Arial" w:cs="Arial"/>
          <w:lang w:val="es-AR"/>
        </w:rPr>
      </w:pPr>
      <w:bookmarkStart w:id="117" w:name="_Hlk66269279"/>
      <w:r w:rsidRPr="00226E63">
        <w:rPr>
          <w:rFonts w:ascii="Arial" w:hAnsi="Arial" w:cs="Arial"/>
          <w:lang w:val="es-AR"/>
        </w:rPr>
        <w:t>Análisis de sensibilidad</w:t>
      </w:r>
      <w:r>
        <w:rPr>
          <w:rFonts w:ascii="Arial" w:hAnsi="Arial" w:cs="Arial"/>
          <w:lang w:val="es-AR"/>
        </w:rPr>
        <w:t xml:space="preserve"> SRI Escenario Reducción de Presupuesto de Gastos Original</w:t>
      </w:r>
    </w:p>
    <w:p w14:paraId="7596CC7E" w14:textId="77777777" w:rsidR="0098077E" w:rsidRDefault="0098077E" w:rsidP="00522963">
      <w:pPr>
        <w:rPr>
          <w:rFonts w:ascii="Arial" w:hAnsi="Arial" w:cs="Arial"/>
          <w:lang w:val="es-AR"/>
        </w:rPr>
      </w:pPr>
    </w:p>
    <w:bookmarkEnd w:id="117"/>
    <w:p w14:paraId="7E364CF8" w14:textId="27AB4CC6" w:rsidR="00522963" w:rsidRDefault="00522963" w:rsidP="00522963">
      <w:pPr>
        <w:rPr>
          <w:rFonts w:ascii="Arial" w:hAnsi="Arial" w:cs="Arial"/>
          <w:lang w:val="es-AR"/>
        </w:rPr>
      </w:pPr>
    </w:p>
    <w:p w14:paraId="5EF0751C" w14:textId="0A9E4785" w:rsidR="001C69BB" w:rsidRDefault="001C69BB" w:rsidP="00522963">
      <w:pPr>
        <w:rPr>
          <w:rFonts w:ascii="Arial" w:hAnsi="Arial" w:cs="Arial"/>
          <w:lang w:val="es-AR"/>
        </w:rPr>
      </w:pPr>
    </w:p>
    <w:p w14:paraId="752A8152" w14:textId="7E12B502" w:rsidR="001C69BB" w:rsidRDefault="001C69BB" w:rsidP="00522963">
      <w:pPr>
        <w:rPr>
          <w:rFonts w:ascii="Arial" w:hAnsi="Arial" w:cs="Arial"/>
          <w:lang w:val="es-AR"/>
        </w:rPr>
      </w:pPr>
    </w:p>
    <w:p w14:paraId="69A50D9C" w14:textId="7AB36FB5" w:rsidR="00DD00F1" w:rsidRDefault="00DD00F1" w:rsidP="00522963">
      <w:pPr>
        <w:rPr>
          <w:rFonts w:ascii="Arial" w:hAnsi="Arial" w:cs="Arial"/>
          <w:lang w:val="es-AR"/>
        </w:rPr>
      </w:pPr>
    </w:p>
    <w:p w14:paraId="50D1731B" w14:textId="7934CA17" w:rsidR="00DD00F1" w:rsidRDefault="00DD00F1" w:rsidP="00522963">
      <w:pPr>
        <w:rPr>
          <w:rFonts w:ascii="Arial" w:hAnsi="Arial" w:cs="Arial"/>
          <w:lang w:val="es-AR"/>
        </w:rPr>
      </w:pPr>
      <w:r w:rsidRPr="00DD00F1">
        <w:rPr>
          <w:noProof/>
        </w:rPr>
        <w:drawing>
          <wp:inline distT="0" distB="0" distL="0" distR="0" wp14:anchorId="45412EFB" wp14:editId="36F6AD17">
            <wp:extent cx="9320530" cy="4189730"/>
            <wp:effectExtent l="0" t="0" r="0" b="127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9320530" cy="4189730"/>
                    </a:xfrm>
                    <a:prstGeom prst="rect">
                      <a:avLst/>
                    </a:prstGeom>
                    <a:noFill/>
                    <a:ln>
                      <a:noFill/>
                    </a:ln>
                  </pic:spPr>
                </pic:pic>
              </a:graphicData>
            </a:graphic>
          </wp:inline>
        </w:drawing>
      </w:r>
    </w:p>
    <w:p w14:paraId="7939C3EC" w14:textId="370A0F02" w:rsidR="00DD00F1" w:rsidRDefault="00DD00F1" w:rsidP="00522963">
      <w:pPr>
        <w:rPr>
          <w:rFonts w:ascii="Arial" w:hAnsi="Arial" w:cs="Arial"/>
          <w:lang w:val="es-AR"/>
        </w:rPr>
      </w:pPr>
    </w:p>
    <w:p w14:paraId="17EE7DC5" w14:textId="192CBA2D" w:rsidR="00DD00F1" w:rsidRDefault="00DD00F1" w:rsidP="00522963">
      <w:pPr>
        <w:rPr>
          <w:rFonts w:ascii="Arial" w:hAnsi="Arial" w:cs="Arial"/>
          <w:lang w:val="es-AR"/>
        </w:rPr>
      </w:pPr>
    </w:p>
    <w:p w14:paraId="63EF17AD" w14:textId="77777777" w:rsidR="00DD00F1" w:rsidRDefault="00DD00F1" w:rsidP="00522963">
      <w:pPr>
        <w:rPr>
          <w:rFonts w:ascii="Arial" w:hAnsi="Arial" w:cs="Arial"/>
          <w:lang w:val="es-AR"/>
        </w:rPr>
      </w:pPr>
    </w:p>
    <w:p w14:paraId="1828C78F" w14:textId="1799C772" w:rsidR="00522963" w:rsidRDefault="00522963" w:rsidP="00522963">
      <w:pPr>
        <w:rPr>
          <w:rFonts w:ascii="Arial" w:hAnsi="Arial" w:cs="Arial"/>
          <w:lang w:val="es-AR"/>
        </w:rPr>
      </w:pPr>
    </w:p>
    <w:p w14:paraId="01852953" w14:textId="6C8EFE83" w:rsidR="00522963" w:rsidRDefault="00522963" w:rsidP="00522963">
      <w:pPr>
        <w:rPr>
          <w:rFonts w:ascii="Arial" w:hAnsi="Arial" w:cs="Arial"/>
          <w:lang w:val="es-AR"/>
        </w:rPr>
      </w:pPr>
    </w:p>
    <w:p w14:paraId="5FE3C14F" w14:textId="5AB7C3F6" w:rsidR="00522963" w:rsidRDefault="00522963" w:rsidP="00522963">
      <w:pPr>
        <w:rPr>
          <w:rFonts w:ascii="Arial" w:hAnsi="Arial" w:cs="Arial"/>
          <w:lang w:val="es-AR"/>
        </w:rPr>
      </w:pPr>
      <w:bookmarkStart w:id="118" w:name="_Hlk66269351"/>
      <w:r w:rsidRPr="00226E63">
        <w:rPr>
          <w:rFonts w:ascii="Arial" w:hAnsi="Arial" w:cs="Arial"/>
          <w:lang w:val="es-AR"/>
        </w:rPr>
        <w:t>Análisis de sensibilidad</w:t>
      </w:r>
      <w:r>
        <w:rPr>
          <w:rFonts w:ascii="Arial" w:hAnsi="Arial" w:cs="Arial"/>
          <w:lang w:val="es-AR"/>
        </w:rPr>
        <w:t xml:space="preserve"> SENAE Escenario Reducción de Presupuesto de Gastos Original</w:t>
      </w:r>
    </w:p>
    <w:p w14:paraId="56E5ACC7" w14:textId="77777777" w:rsidR="0098077E" w:rsidRDefault="0098077E" w:rsidP="00522963">
      <w:pPr>
        <w:rPr>
          <w:rFonts w:ascii="Arial" w:hAnsi="Arial" w:cs="Arial"/>
          <w:lang w:val="es-AR"/>
        </w:rPr>
      </w:pPr>
    </w:p>
    <w:bookmarkEnd w:id="118"/>
    <w:p w14:paraId="20E86F54" w14:textId="6284EB12" w:rsidR="00522963" w:rsidRDefault="00522963" w:rsidP="00522963">
      <w:pPr>
        <w:rPr>
          <w:rFonts w:ascii="Arial" w:hAnsi="Arial" w:cs="Arial"/>
          <w:lang w:val="es-AR"/>
        </w:rPr>
      </w:pPr>
    </w:p>
    <w:p w14:paraId="3D6A87A6" w14:textId="4B501FF5" w:rsidR="001C69BB" w:rsidRDefault="001C69BB" w:rsidP="00522963">
      <w:pPr>
        <w:rPr>
          <w:rFonts w:ascii="Arial" w:hAnsi="Arial" w:cs="Arial"/>
          <w:lang w:val="es-AR"/>
        </w:rPr>
      </w:pPr>
    </w:p>
    <w:p w14:paraId="5BE6DDBB" w14:textId="24D47E48" w:rsidR="001C69BB" w:rsidRDefault="001C69BB" w:rsidP="00522963">
      <w:pPr>
        <w:rPr>
          <w:rFonts w:ascii="Arial" w:hAnsi="Arial" w:cs="Arial"/>
          <w:lang w:val="es-AR"/>
        </w:rPr>
      </w:pPr>
    </w:p>
    <w:p w14:paraId="5DA76A37" w14:textId="399F53EA" w:rsidR="00DD00F1" w:rsidRDefault="00DD00F1" w:rsidP="00522963">
      <w:pPr>
        <w:rPr>
          <w:rFonts w:ascii="Arial" w:hAnsi="Arial" w:cs="Arial"/>
          <w:lang w:val="es-AR"/>
        </w:rPr>
      </w:pPr>
      <w:r w:rsidRPr="00DD00F1">
        <w:rPr>
          <w:noProof/>
        </w:rPr>
        <w:lastRenderedPageBreak/>
        <w:drawing>
          <wp:inline distT="0" distB="0" distL="0" distR="0" wp14:anchorId="19A70DC8" wp14:editId="141A07AA">
            <wp:extent cx="9320530" cy="4060825"/>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9320530" cy="4060825"/>
                    </a:xfrm>
                    <a:prstGeom prst="rect">
                      <a:avLst/>
                    </a:prstGeom>
                    <a:noFill/>
                    <a:ln>
                      <a:noFill/>
                    </a:ln>
                  </pic:spPr>
                </pic:pic>
              </a:graphicData>
            </a:graphic>
          </wp:inline>
        </w:drawing>
      </w:r>
    </w:p>
    <w:p w14:paraId="53A17BC3" w14:textId="4C0A3CDE" w:rsidR="001C69BB" w:rsidRDefault="001C69BB" w:rsidP="00522963">
      <w:pPr>
        <w:rPr>
          <w:rFonts w:ascii="Arial" w:hAnsi="Arial" w:cs="Arial"/>
          <w:lang w:val="es-AR"/>
        </w:rPr>
      </w:pPr>
    </w:p>
    <w:p w14:paraId="3FCDF401" w14:textId="0B0B01F3" w:rsidR="001C69BB" w:rsidRDefault="001C69BB" w:rsidP="00522963">
      <w:pPr>
        <w:rPr>
          <w:rFonts w:ascii="Arial" w:hAnsi="Arial" w:cs="Arial"/>
          <w:lang w:val="es-AR"/>
        </w:rPr>
      </w:pPr>
    </w:p>
    <w:p w14:paraId="40568924" w14:textId="0F2342C9" w:rsidR="001C69BB" w:rsidRDefault="001C69BB" w:rsidP="00522963">
      <w:pPr>
        <w:rPr>
          <w:rFonts w:ascii="Arial" w:hAnsi="Arial" w:cs="Arial"/>
          <w:lang w:val="es-AR"/>
        </w:rPr>
      </w:pPr>
    </w:p>
    <w:p w14:paraId="56C5D317" w14:textId="1E1CCDCD" w:rsidR="001C69BB" w:rsidRDefault="001C69BB" w:rsidP="00522963">
      <w:pPr>
        <w:rPr>
          <w:rFonts w:ascii="Arial" w:hAnsi="Arial" w:cs="Arial"/>
          <w:lang w:val="es-AR"/>
        </w:rPr>
      </w:pPr>
    </w:p>
    <w:p w14:paraId="520FE493" w14:textId="77777777" w:rsidR="001C69BB" w:rsidRPr="0098077E" w:rsidRDefault="001C69BB" w:rsidP="00522963">
      <w:pPr>
        <w:rPr>
          <w:rFonts w:ascii="Arial" w:hAnsi="Arial" w:cs="Arial"/>
          <w:lang w:val="es-AR"/>
        </w:rPr>
      </w:pPr>
    </w:p>
    <w:p w14:paraId="6E9E49E0" w14:textId="538E473B" w:rsidR="00522963" w:rsidRDefault="00522963" w:rsidP="00522963">
      <w:pPr>
        <w:rPr>
          <w:rFonts w:ascii="Arial" w:hAnsi="Arial" w:cs="Arial"/>
          <w:lang w:val="es-AR"/>
        </w:rPr>
      </w:pPr>
      <w:r w:rsidRPr="00226E63">
        <w:rPr>
          <w:rFonts w:ascii="Arial" w:hAnsi="Arial" w:cs="Arial"/>
          <w:lang w:val="es-AR"/>
        </w:rPr>
        <w:lastRenderedPageBreak/>
        <w:t>Análisis de sensibilidad</w:t>
      </w:r>
      <w:r>
        <w:rPr>
          <w:rFonts w:ascii="Arial" w:hAnsi="Arial" w:cs="Arial"/>
          <w:lang w:val="es-AR"/>
        </w:rPr>
        <w:t xml:space="preserve"> Total (SRI + SENAE) Escenario Reducción de Presupuesto de Gastos Original</w:t>
      </w:r>
    </w:p>
    <w:p w14:paraId="351B9021" w14:textId="695EDB3C" w:rsidR="00522963" w:rsidRDefault="00522963" w:rsidP="00522963">
      <w:pPr>
        <w:rPr>
          <w:rFonts w:ascii="Arial" w:hAnsi="Arial" w:cs="Arial"/>
          <w:lang w:val="es-AR"/>
        </w:rPr>
      </w:pPr>
    </w:p>
    <w:p w14:paraId="0E8D7E07" w14:textId="26C7F492" w:rsidR="001C69BB" w:rsidRDefault="001C69BB" w:rsidP="00522963">
      <w:pPr>
        <w:rPr>
          <w:rFonts w:ascii="Arial" w:hAnsi="Arial" w:cs="Arial"/>
          <w:lang w:val="es-AR"/>
        </w:rPr>
      </w:pPr>
    </w:p>
    <w:p w14:paraId="5FFE44BA" w14:textId="5435B001" w:rsidR="001C69BB" w:rsidRDefault="001C69BB" w:rsidP="00522963">
      <w:pPr>
        <w:rPr>
          <w:rFonts w:ascii="Arial" w:hAnsi="Arial" w:cs="Arial"/>
          <w:lang w:val="es-AR"/>
        </w:rPr>
      </w:pPr>
    </w:p>
    <w:p w14:paraId="3549692A" w14:textId="01ADAAD6" w:rsidR="00DD00F1" w:rsidRDefault="00DD00F1" w:rsidP="00522963">
      <w:pPr>
        <w:rPr>
          <w:rFonts w:ascii="Arial" w:hAnsi="Arial" w:cs="Arial"/>
          <w:lang w:val="es-AR"/>
        </w:rPr>
      </w:pPr>
      <w:r w:rsidRPr="00DD00F1">
        <w:rPr>
          <w:noProof/>
        </w:rPr>
        <w:drawing>
          <wp:inline distT="0" distB="0" distL="0" distR="0" wp14:anchorId="6783463F" wp14:editId="788DC88D">
            <wp:extent cx="9320530" cy="3406775"/>
            <wp:effectExtent l="0" t="0" r="0" b="3175"/>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9320530" cy="3406775"/>
                    </a:xfrm>
                    <a:prstGeom prst="rect">
                      <a:avLst/>
                    </a:prstGeom>
                    <a:noFill/>
                    <a:ln>
                      <a:noFill/>
                    </a:ln>
                  </pic:spPr>
                </pic:pic>
              </a:graphicData>
            </a:graphic>
          </wp:inline>
        </w:drawing>
      </w:r>
    </w:p>
    <w:p w14:paraId="112980A6" w14:textId="77777777" w:rsidR="00522963" w:rsidRDefault="00522963" w:rsidP="00522963">
      <w:pPr>
        <w:rPr>
          <w:rFonts w:ascii="Arial" w:hAnsi="Arial" w:cs="Arial"/>
          <w:lang w:val="es-AR"/>
        </w:rPr>
      </w:pPr>
    </w:p>
    <w:p w14:paraId="28E6C2DE" w14:textId="37CE8468" w:rsidR="00522963" w:rsidRDefault="00522963" w:rsidP="00140755">
      <w:pPr>
        <w:rPr>
          <w:rFonts w:ascii="Arial" w:hAnsi="Arial" w:cs="Arial"/>
          <w:bCs/>
          <w:kern w:val="28"/>
          <w:sz w:val="20"/>
          <w:szCs w:val="20"/>
          <w:lang w:val="es-AR"/>
        </w:rPr>
      </w:pPr>
    </w:p>
    <w:p w14:paraId="08BA67BF" w14:textId="77777777" w:rsidR="00522963" w:rsidRDefault="00522963" w:rsidP="00140755">
      <w:pPr>
        <w:rPr>
          <w:rFonts w:ascii="Arial" w:hAnsi="Arial" w:cs="Arial"/>
          <w:bCs/>
          <w:kern w:val="28"/>
          <w:sz w:val="20"/>
          <w:szCs w:val="20"/>
          <w:lang w:val="es-AR"/>
        </w:rPr>
      </w:pPr>
    </w:p>
    <w:p w14:paraId="6A707337" w14:textId="77777777" w:rsidR="00140755" w:rsidRPr="008004E8" w:rsidRDefault="00140755" w:rsidP="00140755">
      <w:pPr>
        <w:rPr>
          <w:rFonts w:ascii="Arial" w:hAnsi="Arial" w:cs="Arial"/>
          <w:b/>
          <w:lang w:val="es-AR"/>
        </w:rPr>
      </w:pPr>
    </w:p>
    <w:sectPr w:rsidR="00140755" w:rsidRPr="008004E8" w:rsidSect="00226E63">
      <w:pgSz w:w="16838" w:h="11906" w:orient="landscape"/>
      <w:pgMar w:top="1354" w:right="994" w:bottom="1440" w:left="116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7922B1" w14:textId="77777777" w:rsidR="001D1EA6" w:rsidRDefault="001D1EA6">
      <w:pPr>
        <w:spacing w:after="0" w:line="240" w:lineRule="auto"/>
      </w:pPr>
      <w:r>
        <w:separator/>
      </w:r>
    </w:p>
  </w:endnote>
  <w:endnote w:type="continuationSeparator" w:id="0">
    <w:p w14:paraId="02FEE07E" w14:textId="77777777" w:rsidR="001D1EA6" w:rsidRDefault="001D1EA6">
      <w:pPr>
        <w:spacing w:after="0" w:line="240" w:lineRule="auto"/>
      </w:pPr>
      <w:r>
        <w:continuationSeparator/>
      </w:r>
    </w:p>
  </w:endnote>
  <w:endnote w:type="continuationNotice" w:id="1">
    <w:p w14:paraId="4CD1F6EA" w14:textId="77777777" w:rsidR="001D1EA6" w:rsidRDefault="001D1EA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37DD7" w14:textId="77777777" w:rsidR="006354D8" w:rsidRDefault="006354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99126B" w14:textId="77777777" w:rsidR="001D1EA6" w:rsidRDefault="001D1EA6">
      <w:pPr>
        <w:spacing w:after="0" w:line="240" w:lineRule="auto"/>
      </w:pPr>
      <w:r>
        <w:separator/>
      </w:r>
    </w:p>
  </w:footnote>
  <w:footnote w:type="continuationSeparator" w:id="0">
    <w:p w14:paraId="32AF38B9" w14:textId="77777777" w:rsidR="001D1EA6" w:rsidRDefault="001D1EA6">
      <w:pPr>
        <w:spacing w:after="0" w:line="240" w:lineRule="auto"/>
      </w:pPr>
      <w:r>
        <w:continuationSeparator/>
      </w:r>
    </w:p>
  </w:footnote>
  <w:footnote w:type="continuationNotice" w:id="1">
    <w:p w14:paraId="6DA30760" w14:textId="77777777" w:rsidR="001D1EA6" w:rsidRDefault="001D1EA6">
      <w:pPr>
        <w:spacing w:after="0" w:line="240" w:lineRule="auto"/>
      </w:pPr>
    </w:p>
  </w:footnote>
  <w:footnote w:id="2">
    <w:p w14:paraId="6DE472AC" w14:textId="77777777" w:rsidR="00B96FF1" w:rsidRPr="00C362AD" w:rsidRDefault="00B96FF1" w:rsidP="005D44DB">
      <w:pPr>
        <w:pStyle w:val="FootnoteText"/>
        <w:ind w:left="360" w:hanging="360"/>
        <w:jc w:val="both"/>
        <w:rPr>
          <w:rFonts w:ascii="Arial" w:hAnsi="Arial" w:cs="Arial"/>
          <w:sz w:val="18"/>
          <w:szCs w:val="18"/>
          <w:lang w:val="es-419"/>
        </w:rPr>
      </w:pPr>
      <w:r w:rsidRPr="00C362AD">
        <w:rPr>
          <w:rStyle w:val="FootnoteReference"/>
          <w:rFonts w:ascii="Arial" w:hAnsi="Arial" w:cs="Arial"/>
          <w:sz w:val="18"/>
          <w:szCs w:val="18"/>
        </w:rPr>
        <w:footnoteRef/>
      </w:r>
      <w:r w:rsidRPr="00C362AD">
        <w:rPr>
          <w:rFonts w:ascii="Arial" w:hAnsi="Arial" w:cs="Arial"/>
          <w:sz w:val="18"/>
          <w:szCs w:val="18"/>
          <w:lang w:val="es-419"/>
        </w:rPr>
        <w:t xml:space="preserve"> </w:t>
      </w:r>
      <w:r w:rsidRPr="00C362AD">
        <w:rPr>
          <w:rFonts w:ascii="Arial" w:hAnsi="Arial" w:cs="Arial"/>
          <w:sz w:val="18"/>
          <w:szCs w:val="18"/>
          <w:lang w:val="es-419"/>
        </w:rPr>
        <w:tab/>
        <w:t xml:space="preserve">Este estado representaría el estado contrafactual de </w:t>
      </w:r>
      <w:proofErr w:type="spellStart"/>
      <w:r w:rsidRPr="00C362AD">
        <w:rPr>
          <w:rFonts w:ascii="Arial" w:hAnsi="Arial" w:cs="Arial"/>
          <w:i/>
          <w:sz w:val="18"/>
          <w:szCs w:val="18"/>
          <w:lang w:val="es-419"/>
        </w:rPr>
        <w:t>business</w:t>
      </w:r>
      <w:proofErr w:type="spellEnd"/>
      <w:r w:rsidRPr="00C362AD">
        <w:rPr>
          <w:rFonts w:ascii="Arial" w:hAnsi="Arial" w:cs="Arial"/>
          <w:i/>
          <w:sz w:val="18"/>
          <w:szCs w:val="18"/>
          <w:lang w:val="es-419"/>
        </w:rPr>
        <w:t xml:space="preserve"> as usual.</w:t>
      </w:r>
    </w:p>
  </w:footnote>
  <w:footnote w:id="3">
    <w:p w14:paraId="701017F5" w14:textId="77777777" w:rsidR="00B96FF1" w:rsidRPr="00C362AD" w:rsidRDefault="00B96FF1" w:rsidP="005D44DB">
      <w:pPr>
        <w:pStyle w:val="FootnoteText"/>
        <w:ind w:left="360" w:hanging="360"/>
        <w:jc w:val="both"/>
        <w:rPr>
          <w:rFonts w:ascii="Arial" w:hAnsi="Arial" w:cs="Arial"/>
          <w:sz w:val="18"/>
          <w:szCs w:val="18"/>
          <w:lang w:val="es-419"/>
        </w:rPr>
      </w:pPr>
      <w:r w:rsidRPr="00C362AD">
        <w:rPr>
          <w:rStyle w:val="FootnoteReference"/>
          <w:rFonts w:ascii="Arial" w:hAnsi="Arial" w:cs="Arial"/>
          <w:sz w:val="18"/>
          <w:szCs w:val="18"/>
        </w:rPr>
        <w:footnoteRef/>
      </w:r>
      <w:r w:rsidRPr="00C362AD">
        <w:rPr>
          <w:rFonts w:ascii="Arial" w:hAnsi="Arial" w:cs="Arial"/>
          <w:sz w:val="18"/>
          <w:szCs w:val="18"/>
          <w:lang w:val="es-419"/>
        </w:rPr>
        <w:t xml:space="preserve"> </w:t>
      </w:r>
      <w:r w:rsidRPr="00C362AD">
        <w:rPr>
          <w:rFonts w:ascii="Arial" w:hAnsi="Arial" w:cs="Arial"/>
          <w:sz w:val="18"/>
          <w:szCs w:val="18"/>
          <w:lang w:val="es-419"/>
        </w:rPr>
        <w:tab/>
        <w:t>Fuente: Ejecución presupuestal del SRI.</w:t>
      </w:r>
    </w:p>
  </w:footnote>
  <w:footnote w:id="4">
    <w:p w14:paraId="34740C5D" w14:textId="77777777" w:rsidR="00B96FF1" w:rsidRPr="00C362AD" w:rsidRDefault="00B96FF1" w:rsidP="005D44DB">
      <w:pPr>
        <w:pStyle w:val="FootnoteText"/>
        <w:ind w:left="360" w:hanging="360"/>
        <w:jc w:val="both"/>
        <w:rPr>
          <w:rFonts w:ascii="Arial" w:hAnsi="Arial" w:cs="Arial"/>
          <w:sz w:val="18"/>
          <w:szCs w:val="18"/>
          <w:lang w:val="es-419"/>
        </w:rPr>
      </w:pPr>
      <w:r w:rsidRPr="00C362AD">
        <w:rPr>
          <w:rStyle w:val="FootnoteReference"/>
          <w:rFonts w:ascii="Arial" w:hAnsi="Arial" w:cs="Arial"/>
          <w:sz w:val="18"/>
          <w:szCs w:val="18"/>
        </w:rPr>
        <w:footnoteRef/>
      </w:r>
      <w:r w:rsidRPr="00C362AD">
        <w:rPr>
          <w:rFonts w:ascii="Arial" w:hAnsi="Arial" w:cs="Arial"/>
          <w:sz w:val="18"/>
          <w:szCs w:val="18"/>
          <w:lang w:val="es-419"/>
        </w:rPr>
        <w:t xml:space="preserve"> </w:t>
      </w:r>
      <w:r w:rsidRPr="00C362AD">
        <w:rPr>
          <w:rFonts w:ascii="Arial" w:hAnsi="Arial" w:cs="Arial"/>
          <w:sz w:val="18"/>
          <w:szCs w:val="18"/>
          <w:lang w:val="es-419"/>
        </w:rPr>
        <w:tab/>
        <w:t>Fuente: Dirección de Gestión de Recaudo y Cobranzas del SRI y el SENAE.</w:t>
      </w:r>
    </w:p>
  </w:footnote>
  <w:footnote w:id="5">
    <w:p w14:paraId="4CFE4745" w14:textId="0BF32DCE" w:rsidR="00B96FF1" w:rsidRPr="005D44DB" w:rsidRDefault="00B96FF1" w:rsidP="005D44DB">
      <w:pPr>
        <w:pStyle w:val="FootnoteText"/>
        <w:ind w:left="360" w:hanging="360"/>
        <w:jc w:val="both"/>
        <w:rPr>
          <w:rFonts w:ascii="Arial" w:hAnsi="Arial" w:cs="Arial"/>
          <w:sz w:val="18"/>
          <w:szCs w:val="18"/>
          <w:lang w:val="es-ES"/>
        </w:rPr>
      </w:pPr>
      <w:r w:rsidRPr="005D44DB">
        <w:rPr>
          <w:rStyle w:val="FootnoteReference"/>
          <w:rFonts w:ascii="Arial" w:hAnsi="Arial" w:cs="Arial"/>
          <w:sz w:val="18"/>
          <w:szCs w:val="18"/>
        </w:rPr>
        <w:footnoteRef/>
      </w:r>
      <w:r w:rsidRPr="005D44DB">
        <w:rPr>
          <w:rFonts w:ascii="Arial" w:hAnsi="Arial" w:cs="Arial"/>
          <w:sz w:val="18"/>
          <w:szCs w:val="18"/>
          <w:lang w:val="es-ES"/>
        </w:rPr>
        <w:t xml:space="preserve"> </w:t>
      </w:r>
      <w:r w:rsidR="0082405A" w:rsidRPr="00C362AD">
        <w:rPr>
          <w:rFonts w:ascii="Arial" w:hAnsi="Arial" w:cs="Arial"/>
          <w:sz w:val="18"/>
          <w:szCs w:val="18"/>
          <w:lang w:val="es-ES"/>
        </w:rPr>
        <w:tab/>
      </w:r>
      <w:r w:rsidRPr="005D44DB">
        <w:rPr>
          <w:rFonts w:ascii="Arial" w:hAnsi="Arial" w:cs="Arial"/>
          <w:sz w:val="18"/>
          <w:szCs w:val="18"/>
          <w:lang w:val="es-ES"/>
        </w:rPr>
        <w:t>La pandemia impactó este indicador en 2020 elevándolo a US$0</w:t>
      </w:r>
      <w:r w:rsidR="005217D5" w:rsidRPr="00C362AD">
        <w:rPr>
          <w:rFonts w:ascii="Arial" w:hAnsi="Arial" w:cs="Arial"/>
          <w:sz w:val="18"/>
          <w:szCs w:val="18"/>
          <w:lang w:val="es-ES"/>
        </w:rPr>
        <w:t>,</w:t>
      </w:r>
      <w:r w:rsidRPr="005D44DB">
        <w:rPr>
          <w:rFonts w:ascii="Arial" w:hAnsi="Arial" w:cs="Arial"/>
          <w:sz w:val="18"/>
          <w:szCs w:val="18"/>
          <w:lang w:val="es-ES"/>
        </w:rPr>
        <w:t>00</w:t>
      </w:r>
      <w:r w:rsidR="009B294F" w:rsidRPr="005D44DB">
        <w:rPr>
          <w:rFonts w:ascii="Arial" w:hAnsi="Arial" w:cs="Arial"/>
          <w:sz w:val="18"/>
          <w:szCs w:val="18"/>
          <w:lang w:val="es-ES"/>
        </w:rPr>
        <w:t>83</w:t>
      </w:r>
    </w:p>
  </w:footnote>
  <w:footnote w:id="6">
    <w:p w14:paraId="630B1716" w14:textId="77777777" w:rsidR="00B96FF1" w:rsidRPr="00C362AD" w:rsidRDefault="00B96FF1" w:rsidP="005D44DB">
      <w:pPr>
        <w:pStyle w:val="FootnoteText"/>
        <w:ind w:left="360" w:hanging="360"/>
        <w:jc w:val="both"/>
        <w:rPr>
          <w:rFonts w:ascii="Arial" w:hAnsi="Arial" w:cs="Arial"/>
          <w:sz w:val="18"/>
          <w:szCs w:val="18"/>
          <w:lang w:val="es-419"/>
        </w:rPr>
      </w:pPr>
      <w:r w:rsidRPr="00C362AD">
        <w:rPr>
          <w:rStyle w:val="FootnoteReference"/>
          <w:rFonts w:ascii="Arial" w:hAnsi="Arial" w:cs="Arial"/>
          <w:sz w:val="18"/>
          <w:szCs w:val="18"/>
        </w:rPr>
        <w:footnoteRef/>
      </w:r>
      <w:r w:rsidRPr="00C362AD">
        <w:rPr>
          <w:rFonts w:ascii="Arial" w:hAnsi="Arial" w:cs="Arial"/>
          <w:sz w:val="18"/>
          <w:szCs w:val="18"/>
          <w:lang w:val="es-419"/>
        </w:rPr>
        <w:t xml:space="preserve"> </w:t>
      </w:r>
      <w:r w:rsidRPr="00C362AD">
        <w:rPr>
          <w:rFonts w:ascii="Arial" w:hAnsi="Arial" w:cs="Arial"/>
          <w:sz w:val="18"/>
          <w:szCs w:val="18"/>
          <w:lang w:val="es-419"/>
        </w:rPr>
        <w:tab/>
        <w:t>Fuente: Ejecución presupuestal del SENAE.</w:t>
      </w:r>
    </w:p>
  </w:footnote>
  <w:footnote w:id="7">
    <w:p w14:paraId="3B8195E3" w14:textId="77777777" w:rsidR="00B96FF1" w:rsidRPr="00C362AD" w:rsidRDefault="00B96FF1" w:rsidP="005D44DB">
      <w:pPr>
        <w:pStyle w:val="FootnoteText"/>
        <w:ind w:left="360" w:hanging="360"/>
        <w:jc w:val="both"/>
        <w:rPr>
          <w:rFonts w:ascii="Arial" w:hAnsi="Arial" w:cs="Arial"/>
          <w:sz w:val="18"/>
          <w:szCs w:val="18"/>
          <w:lang w:val="es-419"/>
        </w:rPr>
      </w:pPr>
      <w:r w:rsidRPr="00C362AD">
        <w:rPr>
          <w:rStyle w:val="FootnoteReference"/>
          <w:rFonts w:ascii="Arial" w:hAnsi="Arial" w:cs="Arial"/>
          <w:sz w:val="18"/>
          <w:szCs w:val="18"/>
        </w:rPr>
        <w:footnoteRef/>
      </w:r>
      <w:r w:rsidRPr="00C362AD">
        <w:rPr>
          <w:rFonts w:ascii="Arial" w:hAnsi="Arial" w:cs="Arial"/>
          <w:sz w:val="18"/>
          <w:szCs w:val="18"/>
          <w:lang w:val="es-419"/>
        </w:rPr>
        <w:t xml:space="preserve"> </w:t>
      </w:r>
      <w:r w:rsidRPr="00C362AD">
        <w:rPr>
          <w:rFonts w:ascii="Arial" w:hAnsi="Arial" w:cs="Arial"/>
          <w:sz w:val="18"/>
          <w:szCs w:val="18"/>
          <w:lang w:val="es-419"/>
        </w:rPr>
        <w:tab/>
        <w:t>Fuente: Dirección de Gestión de Recaudo y Cobranzas del SENAE.</w:t>
      </w:r>
    </w:p>
  </w:footnote>
  <w:footnote w:id="8">
    <w:p w14:paraId="410B66BF" w14:textId="1E70365C" w:rsidR="00B96FF1" w:rsidRPr="005D44DB" w:rsidRDefault="00B96FF1" w:rsidP="005D44DB">
      <w:pPr>
        <w:pStyle w:val="FootnoteText"/>
        <w:ind w:left="360" w:hanging="360"/>
        <w:jc w:val="both"/>
        <w:rPr>
          <w:rFonts w:ascii="Arial" w:hAnsi="Arial" w:cs="Arial"/>
          <w:sz w:val="18"/>
          <w:szCs w:val="18"/>
          <w:highlight w:val="yellow"/>
          <w:lang w:val="es-ES"/>
        </w:rPr>
      </w:pPr>
      <w:r w:rsidRPr="005D44DB">
        <w:rPr>
          <w:rStyle w:val="FootnoteReference"/>
          <w:rFonts w:ascii="Arial" w:hAnsi="Arial" w:cs="Arial"/>
          <w:sz w:val="18"/>
          <w:szCs w:val="18"/>
        </w:rPr>
        <w:footnoteRef/>
      </w:r>
      <w:r w:rsidRPr="005D44DB">
        <w:rPr>
          <w:rFonts w:ascii="Arial" w:hAnsi="Arial" w:cs="Arial"/>
          <w:sz w:val="18"/>
          <w:szCs w:val="18"/>
          <w:lang w:val="es-ES"/>
        </w:rPr>
        <w:t xml:space="preserve"> </w:t>
      </w:r>
      <w:r w:rsidR="0082405A" w:rsidRPr="00C362AD">
        <w:rPr>
          <w:rFonts w:ascii="Arial" w:hAnsi="Arial" w:cs="Arial"/>
          <w:sz w:val="18"/>
          <w:szCs w:val="18"/>
          <w:lang w:val="es-ES"/>
        </w:rPr>
        <w:tab/>
      </w:r>
      <w:r w:rsidRPr="00C362AD">
        <w:rPr>
          <w:rFonts w:ascii="Arial" w:hAnsi="Arial" w:cs="Arial"/>
          <w:sz w:val="18"/>
          <w:szCs w:val="18"/>
          <w:lang w:val="es-419"/>
        </w:rPr>
        <w:t>En el 2020 como consecuencia de la pandemia, este indicador en el caso del SENAE se ha elevado a US$0</w:t>
      </w:r>
      <w:r w:rsidR="00F6040A" w:rsidRPr="00C362AD">
        <w:rPr>
          <w:rFonts w:ascii="Arial" w:hAnsi="Arial" w:cs="Arial"/>
          <w:sz w:val="18"/>
          <w:szCs w:val="18"/>
          <w:lang w:val="es-419"/>
        </w:rPr>
        <w:t>,</w:t>
      </w:r>
      <w:r w:rsidRPr="00C362AD">
        <w:rPr>
          <w:rFonts w:ascii="Arial" w:hAnsi="Arial" w:cs="Arial"/>
          <w:sz w:val="18"/>
          <w:szCs w:val="18"/>
          <w:lang w:val="es-419"/>
        </w:rPr>
        <w:t>0</w:t>
      </w:r>
      <w:r w:rsidR="009B294F" w:rsidRPr="00C362AD">
        <w:rPr>
          <w:rFonts w:ascii="Arial" w:hAnsi="Arial" w:cs="Arial"/>
          <w:sz w:val="18"/>
          <w:szCs w:val="18"/>
          <w:lang w:val="es-419"/>
        </w:rPr>
        <w:t>508</w:t>
      </w:r>
    </w:p>
  </w:footnote>
  <w:footnote w:id="9">
    <w:p w14:paraId="415D77CB" w14:textId="19622436" w:rsidR="00B96FF1" w:rsidRPr="00C362AD" w:rsidRDefault="00B96FF1" w:rsidP="00C362AD">
      <w:pPr>
        <w:pStyle w:val="FootnoteText"/>
        <w:ind w:left="360" w:hanging="360"/>
        <w:jc w:val="both"/>
        <w:rPr>
          <w:rFonts w:ascii="Arial" w:hAnsi="Arial" w:cs="Arial"/>
          <w:sz w:val="18"/>
          <w:szCs w:val="18"/>
          <w:lang w:val="es-PE"/>
        </w:rPr>
      </w:pPr>
      <w:r w:rsidRPr="00C362AD">
        <w:rPr>
          <w:rStyle w:val="FootnoteReference"/>
          <w:rFonts w:ascii="Arial" w:hAnsi="Arial" w:cs="Arial"/>
          <w:sz w:val="18"/>
          <w:szCs w:val="18"/>
        </w:rPr>
        <w:footnoteRef/>
      </w:r>
      <w:r w:rsidRPr="00C362AD">
        <w:rPr>
          <w:rFonts w:ascii="Arial" w:hAnsi="Arial" w:cs="Arial"/>
          <w:sz w:val="18"/>
          <w:szCs w:val="18"/>
          <w:lang w:val="es-PE"/>
        </w:rPr>
        <w:t xml:space="preserve"> </w:t>
      </w:r>
      <w:bookmarkStart w:id="12" w:name="_Hlk66194518"/>
      <w:r w:rsidR="00EA3285" w:rsidRPr="00C362AD">
        <w:rPr>
          <w:rFonts w:ascii="Arial" w:hAnsi="Arial" w:cs="Arial"/>
          <w:sz w:val="18"/>
          <w:szCs w:val="18"/>
          <w:lang w:val="es-PE"/>
        </w:rPr>
        <w:tab/>
      </w:r>
      <w:r w:rsidRPr="00C362AD">
        <w:rPr>
          <w:rFonts w:ascii="Arial" w:hAnsi="Arial" w:cs="Arial"/>
          <w:sz w:val="18"/>
          <w:szCs w:val="18"/>
          <w:lang w:val="es-PE"/>
        </w:rPr>
        <w:t>El VPN del costo anual con programa contempla el monto de inversión del programa menos la reducción de costos que se lograría en el presupuesto inicial producto de los ahorros que se generan por la introducción de nuevos equipos. Un ejemplo de esta reducción es el ahorro en gastos de notificaciones a los contribuyentes que pasarían de notificaciones físicas a notificaciones electrónicas. El ahorro se ha estimado como el 4</w:t>
      </w:r>
      <w:r w:rsidR="00D759DD" w:rsidRPr="00C362AD">
        <w:rPr>
          <w:rFonts w:ascii="Arial" w:hAnsi="Arial" w:cs="Arial"/>
          <w:sz w:val="18"/>
          <w:szCs w:val="18"/>
          <w:lang w:val="es-PE"/>
        </w:rPr>
        <w:t>% del</w:t>
      </w:r>
      <w:r w:rsidRPr="00C362AD">
        <w:rPr>
          <w:rFonts w:ascii="Arial" w:hAnsi="Arial" w:cs="Arial"/>
          <w:sz w:val="18"/>
          <w:szCs w:val="18"/>
          <w:lang w:val="es-PE"/>
        </w:rPr>
        <w:t xml:space="preserve"> presupuesto original tanto del SRI como del SENAE.</w:t>
      </w:r>
      <w:bookmarkEnd w:id="12"/>
      <w:r w:rsidRPr="00C362AD">
        <w:rPr>
          <w:rFonts w:ascii="Arial" w:hAnsi="Arial" w:cs="Arial"/>
          <w:sz w:val="18"/>
          <w:szCs w:val="18"/>
          <w:lang w:val="es-PE"/>
        </w:rPr>
        <w:t xml:space="preserve"> En los dos primeros años del programa se asume que la reducción es solo del 2% del presupuesto original.</w:t>
      </w:r>
    </w:p>
  </w:footnote>
  <w:footnote w:id="10">
    <w:p w14:paraId="46D4943E" w14:textId="3011140F" w:rsidR="00B96FF1" w:rsidRPr="00C362AD" w:rsidRDefault="00B96FF1" w:rsidP="00C362AD">
      <w:pPr>
        <w:pStyle w:val="FootnoteText"/>
        <w:ind w:left="360" w:hanging="360"/>
        <w:jc w:val="both"/>
        <w:rPr>
          <w:rFonts w:ascii="Arial" w:hAnsi="Arial" w:cs="Arial"/>
          <w:sz w:val="18"/>
          <w:szCs w:val="18"/>
          <w:lang w:val="es-419"/>
        </w:rPr>
      </w:pPr>
      <w:r w:rsidRPr="00C362AD">
        <w:rPr>
          <w:rStyle w:val="FootnoteReference"/>
          <w:rFonts w:ascii="Arial" w:hAnsi="Arial" w:cs="Arial"/>
          <w:sz w:val="18"/>
          <w:szCs w:val="18"/>
        </w:rPr>
        <w:footnoteRef/>
      </w:r>
      <w:r w:rsidRPr="00C362AD">
        <w:rPr>
          <w:rFonts w:ascii="Arial" w:hAnsi="Arial" w:cs="Arial"/>
          <w:sz w:val="18"/>
          <w:szCs w:val="18"/>
          <w:lang w:val="es-419"/>
        </w:rPr>
        <w:t xml:space="preserve"> </w:t>
      </w:r>
      <w:r w:rsidRPr="00C362AD">
        <w:rPr>
          <w:rFonts w:ascii="Arial" w:hAnsi="Arial" w:cs="Arial"/>
          <w:sz w:val="18"/>
          <w:szCs w:val="18"/>
          <w:lang w:val="es-419"/>
        </w:rPr>
        <w:tab/>
        <w:t>El SRI Y el SENAE son responsable por la recaudación tributaria y aduanera del Gobierno Central. El tercio restante de los ingresos del gobierno general corresponde a ingresos de los gobiernos locales y contribuciones a la seguridad social.</w:t>
      </w:r>
    </w:p>
  </w:footnote>
  <w:footnote w:id="11">
    <w:p w14:paraId="3557A322" w14:textId="59345D3F" w:rsidR="00B96FF1" w:rsidRPr="00C362AD" w:rsidRDefault="00B96FF1" w:rsidP="00C362AD">
      <w:pPr>
        <w:pStyle w:val="FootnoteText"/>
        <w:ind w:left="360" w:hanging="360"/>
        <w:jc w:val="both"/>
        <w:rPr>
          <w:rFonts w:ascii="Arial" w:hAnsi="Arial" w:cs="Arial"/>
          <w:sz w:val="18"/>
          <w:szCs w:val="18"/>
          <w:lang w:val="es-419"/>
        </w:rPr>
      </w:pPr>
      <w:r w:rsidRPr="00C362AD">
        <w:rPr>
          <w:rStyle w:val="FootnoteReference"/>
          <w:rFonts w:ascii="Arial" w:hAnsi="Arial" w:cs="Arial"/>
          <w:sz w:val="18"/>
          <w:szCs w:val="18"/>
        </w:rPr>
        <w:footnoteRef/>
      </w:r>
      <w:r w:rsidRPr="00C362AD">
        <w:rPr>
          <w:rFonts w:ascii="Arial" w:hAnsi="Arial" w:cs="Arial"/>
          <w:sz w:val="18"/>
          <w:szCs w:val="18"/>
          <w:lang w:val="es-419"/>
        </w:rPr>
        <w:t xml:space="preserve"> </w:t>
      </w:r>
      <w:r w:rsidRPr="00C362AD">
        <w:rPr>
          <w:rFonts w:ascii="Arial" w:hAnsi="Arial" w:cs="Arial"/>
          <w:sz w:val="18"/>
          <w:szCs w:val="18"/>
          <w:lang w:val="es-419"/>
        </w:rPr>
        <w:tab/>
        <w:t>Los ingresos tributarios no incluyen las rentas provenientes del petróleo y las contribuciones a la seguridad social.</w:t>
      </w:r>
    </w:p>
  </w:footnote>
  <w:footnote w:id="12">
    <w:p w14:paraId="75D2EB6F" w14:textId="2A2EC377" w:rsidR="00B96FF1" w:rsidRPr="00C362AD" w:rsidRDefault="00B96FF1" w:rsidP="00C362AD">
      <w:pPr>
        <w:pStyle w:val="FootnoteText"/>
        <w:ind w:left="360" w:hanging="360"/>
        <w:jc w:val="both"/>
        <w:rPr>
          <w:rFonts w:ascii="Arial" w:hAnsi="Arial" w:cs="Arial"/>
          <w:sz w:val="18"/>
          <w:szCs w:val="18"/>
          <w:lang w:val="es-419"/>
        </w:rPr>
      </w:pPr>
      <w:r w:rsidRPr="00C362AD">
        <w:rPr>
          <w:rStyle w:val="FootnoteReference"/>
          <w:rFonts w:ascii="Arial" w:hAnsi="Arial" w:cs="Arial"/>
          <w:sz w:val="18"/>
          <w:szCs w:val="18"/>
        </w:rPr>
        <w:footnoteRef/>
      </w:r>
      <w:r w:rsidRPr="00C362AD">
        <w:rPr>
          <w:rFonts w:ascii="Arial" w:hAnsi="Arial" w:cs="Arial"/>
          <w:sz w:val="18"/>
          <w:szCs w:val="18"/>
          <w:lang w:val="es-419"/>
        </w:rPr>
        <w:t xml:space="preserve"> </w:t>
      </w:r>
      <w:r w:rsidRPr="00C362AD">
        <w:rPr>
          <w:rFonts w:ascii="Arial" w:hAnsi="Arial" w:cs="Arial"/>
          <w:sz w:val="18"/>
          <w:szCs w:val="18"/>
          <w:lang w:val="es-419"/>
        </w:rPr>
        <w:tab/>
        <w:t>La limitada recaudación tributaria es consecuencia de: (i) una política tributaria nacional con exenciones que erosionan la base impositiva y con bajas alícuotas en los principales impuestos; y (ii) una deficiente administración tributaria y aduanera, tanto en cuestiones normativas como de capacidad de fiscalización.</w:t>
      </w:r>
    </w:p>
  </w:footnote>
  <w:footnote w:id="13">
    <w:p w14:paraId="1177477A" w14:textId="179AB875" w:rsidR="00B96FF1" w:rsidRPr="00C362AD" w:rsidRDefault="00B96FF1" w:rsidP="00C362AD">
      <w:pPr>
        <w:pStyle w:val="FootnoteText"/>
        <w:ind w:left="360" w:hanging="360"/>
        <w:jc w:val="both"/>
        <w:rPr>
          <w:rFonts w:ascii="Arial" w:hAnsi="Arial" w:cs="Arial"/>
          <w:sz w:val="18"/>
          <w:szCs w:val="18"/>
          <w:lang w:val="es-419"/>
        </w:rPr>
      </w:pPr>
      <w:r w:rsidRPr="00C362AD">
        <w:rPr>
          <w:rStyle w:val="FootnoteReference"/>
          <w:rFonts w:ascii="Arial" w:hAnsi="Arial" w:cs="Arial"/>
          <w:sz w:val="18"/>
          <w:szCs w:val="18"/>
        </w:rPr>
        <w:footnoteRef/>
      </w:r>
      <w:r w:rsidRPr="00C362AD">
        <w:rPr>
          <w:rFonts w:ascii="Arial" w:hAnsi="Arial" w:cs="Arial"/>
          <w:sz w:val="18"/>
          <w:szCs w:val="18"/>
          <w:lang w:val="es-ES"/>
        </w:rPr>
        <w:t xml:space="preserve"> </w:t>
      </w:r>
      <w:r w:rsidRPr="00C362AD">
        <w:rPr>
          <w:rFonts w:ascii="Arial" w:hAnsi="Arial" w:cs="Arial"/>
          <w:sz w:val="18"/>
          <w:szCs w:val="18"/>
          <w:lang w:val="es-ES"/>
        </w:rPr>
        <w:tab/>
        <w:t xml:space="preserve">Banco Mundial, </w:t>
      </w:r>
      <w:proofErr w:type="spellStart"/>
      <w:r w:rsidRPr="005D44DB">
        <w:rPr>
          <w:rFonts w:ascii="Arial" w:hAnsi="Arial" w:cs="Arial"/>
          <w:i/>
          <w:sz w:val="18"/>
          <w:szCs w:val="18"/>
          <w:lang w:val="es-ES"/>
        </w:rPr>
        <w:t>Paying</w:t>
      </w:r>
      <w:proofErr w:type="spellEnd"/>
      <w:r w:rsidRPr="005D44DB">
        <w:rPr>
          <w:rFonts w:ascii="Arial" w:hAnsi="Arial" w:cs="Arial"/>
          <w:i/>
          <w:sz w:val="18"/>
          <w:szCs w:val="18"/>
          <w:lang w:val="es-ES"/>
        </w:rPr>
        <w:t xml:space="preserve"> </w:t>
      </w:r>
      <w:proofErr w:type="spellStart"/>
      <w:r w:rsidRPr="005D44DB">
        <w:rPr>
          <w:rFonts w:ascii="Arial" w:hAnsi="Arial" w:cs="Arial"/>
          <w:i/>
          <w:sz w:val="18"/>
          <w:szCs w:val="18"/>
          <w:lang w:val="es-ES"/>
        </w:rPr>
        <w:t>Taxes</w:t>
      </w:r>
      <w:proofErr w:type="spellEnd"/>
      <w:r w:rsidRPr="00C362AD">
        <w:rPr>
          <w:rFonts w:ascii="Arial" w:hAnsi="Arial" w:cs="Arial"/>
          <w:sz w:val="18"/>
          <w:szCs w:val="18"/>
          <w:lang w:val="es-ES"/>
        </w:rPr>
        <w:t xml:space="preserve"> 2019.</w:t>
      </w:r>
    </w:p>
  </w:footnote>
  <w:footnote w:id="14">
    <w:p w14:paraId="05340B5C" w14:textId="6EEEA485" w:rsidR="008542EE" w:rsidRPr="005D44DB" w:rsidRDefault="008542EE" w:rsidP="005D44DB">
      <w:pPr>
        <w:pStyle w:val="FootnoteText"/>
        <w:ind w:left="360" w:hanging="360"/>
        <w:rPr>
          <w:rFonts w:ascii="Arial" w:hAnsi="Arial" w:cs="Arial"/>
          <w:sz w:val="18"/>
          <w:szCs w:val="18"/>
          <w:lang w:val="es-ES"/>
        </w:rPr>
      </w:pPr>
      <w:r w:rsidRPr="00C362AD">
        <w:rPr>
          <w:rStyle w:val="FootnoteReference"/>
          <w:rFonts w:ascii="Arial" w:hAnsi="Arial" w:cs="Arial"/>
          <w:sz w:val="18"/>
          <w:szCs w:val="18"/>
        </w:rPr>
        <w:footnoteRef/>
      </w:r>
      <w:r w:rsidRPr="00C362AD">
        <w:rPr>
          <w:rFonts w:ascii="Arial" w:hAnsi="Arial" w:cs="Arial"/>
          <w:sz w:val="18"/>
          <w:szCs w:val="18"/>
          <w:lang w:val="es-ES"/>
        </w:rPr>
        <w:t xml:space="preserve"> </w:t>
      </w:r>
      <w:r w:rsidR="009C2957" w:rsidRPr="00C362AD">
        <w:rPr>
          <w:rFonts w:ascii="Arial" w:hAnsi="Arial" w:cs="Arial"/>
          <w:sz w:val="18"/>
          <w:szCs w:val="18"/>
          <w:lang w:val="es-ES"/>
        </w:rPr>
        <w:tab/>
      </w:r>
      <w:r w:rsidR="00CA6AA4">
        <w:fldChar w:fldCharType="begin"/>
      </w:r>
      <w:r w:rsidR="00CA6AA4" w:rsidRPr="00CA6AA4">
        <w:rPr>
          <w:lang w:val="es-ES"/>
        </w:rPr>
        <w:instrText xml:space="preserve"> HYPERLINK "https://www3.weforum.org/docs/WEF_TheGlobalCompetitivenessReport2019.pdf" </w:instrText>
      </w:r>
      <w:r w:rsidR="00CA6AA4">
        <w:fldChar w:fldCharType="separate"/>
      </w:r>
      <w:r w:rsidR="009C2957" w:rsidRPr="00C362AD">
        <w:rPr>
          <w:rStyle w:val="Hyperlink"/>
          <w:rFonts w:ascii="Arial" w:hAnsi="Arial" w:cs="Arial"/>
          <w:sz w:val="18"/>
          <w:szCs w:val="18"/>
          <w:lang w:val="es-ES"/>
        </w:rPr>
        <w:t xml:space="preserve">Global </w:t>
      </w:r>
      <w:proofErr w:type="spellStart"/>
      <w:r w:rsidR="009C2957" w:rsidRPr="00C362AD">
        <w:rPr>
          <w:rStyle w:val="Hyperlink"/>
          <w:rFonts w:ascii="Arial" w:hAnsi="Arial" w:cs="Arial"/>
          <w:sz w:val="18"/>
          <w:szCs w:val="18"/>
          <w:lang w:val="es-ES"/>
        </w:rPr>
        <w:t>Competitiveness</w:t>
      </w:r>
      <w:proofErr w:type="spellEnd"/>
      <w:r w:rsidR="009C2957" w:rsidRPr="00C362AD">
        <w:rPr>
          <w:rStyle w:val="Hyperlink"/>
          <w:rFonts w:ascii="Arial" w:hAnsi="Arial" w:cs="Arial"/>
          <w:sz w:val="18"/>
          <w:szCs w:val="18"/>
          <w:lang w:val="es-ES"/>
        </w:rPr>
        <w:t xml:space="preserve"> </w:t>
      </w:r>
      <w:proofErr w:type="spellStart"/>
      <w:r w:rsidR="009C2957" w:rsidRPr="00C362AD">
        <w:rPr>
          <w:rStyle w:val="Hyperlink"/>
          <w:rFonts w:ascii="Arial" w:hAnsi="Arial" w:cs="Arial"/>
          <w:sz w:val="18"/>
          <w:szCs w:val="18"/>
          <w:lang w:val="es-ES"/>
        </w:rPr>
        <w:t>Report</w:t>
      </w:r>
      <w:proofErr w:type="spellEnd"/>
      <w:r w:rsidR="00CA6AA4">
        <w:rPr>
          <w:rStyle w:val="Hyperlink"/>
          <w:rFonts w:ascii="Arial" w:hAnsi="Arial" w:cs="Arial"/>
          <w:sz w:val="18"/>
          <w:szCs w:val="18"/>
          <w:lang w:val="es-ES"/>
        </w:rPr>
        <w:fldChar w:fldCharType="end"/>
      </w:r>
    </w:p>
  </w:footnote>
  <w:footnote w:id="15">
    <w:p w14:paraId="2BED25D0" w14:textId="6608F52D" w:rsidR="0054340B" w:rsidRPr="005D44DB" w:rsidRDefault="0054340B" w:rsidP="005D44DB">
      <w:pPr>
        <w:pStyle w:val="FootnoteText"/>
        <w:ind w:left="360" w:hanging="360"/>
        <w:rPr>
          <w:rFonts w:ascii="Arial" w:hAnsi="Arial" w:cs="Arial"/>
          <w:sz w:val="18"/>
          <w:szCs w:val="18"/>
          <w:lang w:val="es-ES"/>
        </w:rPr>
      </w:pPr>
      <w:r w:rsidRPr="00C362AD">
        <w:rPr>
          <w:rStyle w:val="FootnoteReference"/>
          <w:rFonts w:ascii="Arial" w:hAnsi="Arial" w:cs="Arial"/>
          <w:sz w:val="18"/>
          <w:szCs w:val="18"/>
        </w:rPr>
        <w:footnoteRef/>
      </w:r>
      <w:r w:rsidRPr="005D44DB">
        <w:rPr>
          <w:rFonts w:ascii="Arial" w:hAnsi="Arial" w:cs="Arial"/>
          <w:sz w:val="18"/>
          <w:szCs w:val="18"/>
          <w:lang w:val="es-ES"/>
        </w:rPr>
        <w:t xml:space="preserve"> </w:t>
      </w:r>
      <w:r w:rsidRPr="005D44DB">
        <w:rPr>
          <w:rFonts w:ascii="Arial" w:hAnsi="Arial" w:cs="Arial"/>
          <w:sz w:val="18"/>
          <w:szCs w:val="18"/>
          <w:lang w:val="es-ES"/>
        </w:rPr>
        <w:tab/>
      </w:r>
      <w:r w:rsidR="00A263F7" w:rsidRPr="00C362AD">
        <w:rPr>
          <w:rFonts w:ascii="Arial" w:hAnsi="Arial" w:cs="Arial"/>
          <w:sz w:val="18"/>
          <w:szCs w:val="18"/>
          <w:lang w:val="es-419"/>
        </w:rPr>
        <w:t>El 1 de enero de 2019 comenzó el proceso de masificación de la FE.</w:t>
      </w:r>
    </w:p>
  </w:footnote>
  <w:footnote w:id="16">
    <w:p w14:paraId="0ADE31C6" w14:textId="21504C52" w:rsidR="00B96FF1" w:rsidRPr="00C362AD" w:rsidRDefault="00B96FF1" w:rsidP="00C362AD">
      <w:pPr>
        <w:pStyle w:val="FootnoteText"/>
        <w:ind w:left="360" w:hanging="360"/>
        <w:jc w:val="both"/>
        <w:rPr>
          <w:rFonts w:ascii="Arial" w:hAnsi="Arial" w:cs="Arial"/>
          <w:sz w:val="18"/>
          <w:szCs w:val="18"/>
          <w:lang w:val="es-419"/>
        </w:rPr>
      </w:pPr>
      <w:r w:rsidRPr="00C362AD">
        <w:rPr>
          <w:rStyle w:val="FootnoteReference"/>
          <w:rFonts w:ascii="Arial" w:hAnsi="Arial" w:cs="Arial"/>
          <w:sz w:val="18"/>
          <w:szCs w:val="18"/>
        </w:rPr>
        <w:footnoteRef/>
      </w:r>
      <w:r w:rsidRPr="00C362AD">
        <w:rPr>
          <w:rFonts w:ascii="Arial" w:hAnsi="Arial" w:cs="Arial"/>
          <w:sz w:val="18"/>
          <w:szCs w:val="18"/>
          <w:lang w:val="es-419"/>
        </w:rPr>
        <w:t xml:space="preserve"> </w:t>
      </w:r>
      <w:r w:rsidRPr="00C362AD">
        <w:rPr>
          <w:rFonts w:ascii="Arial" w:hAnsi="Arial" w:cs="Arial"/>
          <w:sz w:val="18"/>
          <w:szCs w:val="18"/>
          <w:lang w:val="es-419"/>
        </w:rPr>
        <w:tab/>
        <w:t>La efectividad y eficiencia de las instituciones públicas se limitan por restricciones que enfrentan los funcionarios públicos que las conforman.</w:t>
      </w:r>
    </w:p>
  </w:footnote>
  <w:footnote w:id="17">
    <w:p w14:paraId="3E25495A" w14:textId="207B4BA9" w:rsidR="00B96FF1" w:rsidRPr="00C362AD" w:rsidRDefault="00B96FF1" w:rsidP="00C362AD">
      <w:pPr>
        <w:pStyle w:val="FootnoteText"/>
        <w:ind w:left="360" w:hanging="360"/>
        <w:rPr>
          <w:rFonts w:ascii="Arial" w:hAnsi="Arial" w:cs="Arial"/>
          <w:sz w:val="18"/>
          <w:szCs w:val="18"/>
          <w:lang w:val="es-PE"/>
        </w:rPr>
      </w:pPr>
      <w:r w:rsidRPr="00C362AD">
        <w:rPr>
          <w:rStyle w:val="FootnoteReference"/>
          <w:rFonts w:ascii="Arial" w:hAnsi="Arial" w:cs="Arial"/>
          <w:sz w:val="18"/>
          <w:szCs w:val="18"/>
        </w:rPr>
        <w:footnoteRef/>
      </w:r>
      <w:r w:rsidRPr="00C362AD">
        <w:rPr>
          <w:rFonts w:ascii="Arial" w:hAnsi="Arial" w:cs="Arial"/>
          <w:sz w:val="18"/>
          <w:szCs w:val="18"/>
          <w:lang w:val="es-PE"/>
        </w:rPr>
        <w:t xml:space="preserve"> </w:t>
      </w:r>
      <w:r w:rsidR="00807E9B" w:rsidRPr="00C362AD">
        <w:rPr>
          <w:rFonts w:ascii="Arial" w:hAnsi="Arial" w:cs="Arial"/>
          <w:sz w:val="18"/>
          <w:szCs w:val="18"/>
          <w:lang w:val="es-PE"/>
        </w:rPr>
        <w:tab/>
      </w:r>
      <w:r w:rsidRPr="00C362AD">
        <w:rPr>
          <w:rFonts w:ascii="Arial" w:hAnsi="Arial" w:cs="Arial"/>
          <w:sz w:val="18"/>
          <w:szCs w:val="18"/>
          <w:lang w:val="es-PE"/>
        </w:rPr>
        <w:t>FMI 2019a.</w:t>
      </w:r>
    </w:p>
  </w:footnote>
  <w:footnote w:id="18">
    <w:p w14:paraId="377BCC79" w14:textId="449429E7" w:rsidR="00B96FF1" w:rsidRPr="00C362AD" w:rsidRDefault="00B96FF1" w:rsidP="00C362AD">
      <w:pPr>
        <w:pStyle w:val="FootnoteText"/>
        <w:ind w:left="360" w:hanging="360"/>
        <w:rPr>
          <w:rFonts w:ascii="Arial" w:hAnsi="Arial" w:cs="Arial"/>
          <w:sz w:val="18"/>
          <w:szCs w:val="18"/>
          <w:lang w:val="es-ES"/>
        </w:rPr>
      </w:pPr>
      <w:r w:rsidRPr="00C362AD">
        <w:rPr>
          <w:rStyle w:val="FootnoteReference"/>
          <w:rFonts w:ascii="Arial" w:hAnsi="Arial" w:cs="Arial"/>
          <w:sz w:val="18"/>
          <w:szCs w:val="18"/>
        </w:rPr>
        <w:footnoteRef/>
      </w:r>
      <w:r w:rsidRPr="00C362AD">
        <w:rPr>
          <w:rFonts w:ascii="Arial" w:hAnsi="Arial" w:cs="Arial"/>
          <w:sz w:val="18"/>
          <w:szCs w:val="18"/>
          <w:lang w:val="es-PE"/>
        </w:rPr>
        <w:t xml:space="preserve"> </w:t>
      </w:r>
      <w:r w:rsidRPr="00C362AD">
        <w:rPr>
          <w:rFonts w:ascii="Arial" w:hAnsi="Arial" w:cs="Arial"/>
          <w:sz w:val="18"/>
          <w:szCs w:val="18"/>
          <w:lang w:val="es-PE"/>
        </w:rPr>
        <w:tab/>
        <w:t xml:space="preserve">Véase el </w:t>
      </w:r>
      <w:r w:rsidR="00CA6AA4">
        <w:fldChar w:fldCharType="begin"/>
      </w:r>
      <w:r w:rsidR="00CA6AA4" w:rsidRPr="00CA6AA4">
        <w:rPr>
          <w:lang w:val="es-ES"/>
        </w:rPr>
        <w:instrText xml:space="preserve"> HYPERLINK "https://www.finanzas.gob.ec/wp-content/uploads/downloads/2018/08/Plan20Prosperidad20RV.pdf" </w:instrText>
      </w:r>
      <w:r w:rsidR="00CA6AA4">
        <w:fldChar w:fldCharType="separate"/>
      </w:r>
      <w:r w:rsidRPr="00C362AD">
        <w:rPr>
          <w:rStyle w:val="Hyperlink"/>
          <w:rFonts w:ascii="Arial" w:hAnsi="Arial" w:cs="Arial"/>
          <w:sz w:val="18"/>
          <w:szCs w:val="18"/>
          <w:lang w:val="es-PE"/>
        </w:rPr>
        <w:t>Plan de Prosperidad 2018-2021</w:t>
      </w:r>
      <w:r w:rsidR="00CA6AA4">
        <w:rPr>
          <w:rStyle w:val="Hyperlink"/>
          <w:rFonts w:ascii="Arial" w:hAnsi="Arial" w:cs="Arial"/>
          <w:sz w:val="18"/>
          <w:szCs w:val="18"/>
          <w:lang w:val="es-PE"/>
        </w:rPr>
        <w:fldChar w:fldCharType="end"/>
      </w:r>
      <w:r w:rsidRPr="00C362AD">
        <w:rPr>
          <w:rFonts w:ascii="Arial" w:hAnsi="Arial" w:cs="Arial"/>
          <w:sz w:val="18"/>
          <w:szCs w:val="18"/>
          <w:lang w:val="es-PE"/>
        </w:rPr>
        <w:t xml:space="preserve"> y la </w:t>
      </w:r>
      <w:r w:rsidR="00CA6AA4">
        <w:fldChar w:fldCharType="begin"/>
      </w:r>
      <w:r w:rsidR="00CA6AA4" w:rsidRPr="00CA6AA4">
        <w:rPr>
          <w:lang w:val="es-ES"/>
        </w:rPr>
        <w:instrText xml:space="preserve"> HYPERLINK "https://www.sri.gob.ec/web/guest/ley-organica-fomento-productivo" </w:instrText>
      </w:r>
      <w:r w:rsidR="00CA6AA4">
        <w:fldChar w:fldCharType="separate"/>
      </w:r>
      <w:r w:rsidRPr="00C362AD">
        <w:rPr>
          <w:rStyle w:val="Hyperlink"/>
          <w:rFonts w:ascii="Arial" w:hAnsi="Arial" w:cs="Arial"/>
          <w:sz w:val="18"/>
          <w:szCs w:val="18"/>
          <w:lang w:val="es-PE"/>
        </w:rPr>
        <w:t>Ley Orgánica de Fomento Productivo de 2018</w:t>
      </w:r>
      <w:r w:rsidR="00CA6AA4">
        <w:rPr>
          <w:rStyle w:val="Hyperlink"/>
          <w:rFonts w:ascii="Arial" w:hAnsi="Arial" w:cs="Arial"/>
          <w:sz w:val="18"/>
          <w:szCs w:val="18"/>
          <w:lang w:val="es-PE"/>
        </w:rPr>
        <w:fldChar w:fldCharType="end"/>
      </w:r>
      <w:r w:rsidRPr="00C362AD">
        <w:rPr>
          <w:rFonts w:ascii="Arial" w:hAnsi="Arial" w:cs="Arial"/>
          <w:sz w:val="18"/>
          <w:szCs w:val="18"/>
          <w:lang w:val="es-PE"/>
        </w:rPr>
        <w:t>.</w:t>
      </w:r>
    </w:p>
  </w:footnote>
  <w:footnote w:id="19">
    <w:p w14:paraId="23602270" w14:textId="351245A5" w:rsidR="00B96FF1" w:rsidRPr="00C362AD" w:rsidRDefault="00B96FF1" w:rsidP="005D44DB">
      <w:pPr>
        <w:pStyle w:val="FootnoteText"/>
        <w:ind w:left="360" w:hanging="360"/>
        <w:contextualSpacing/>
        <w:rPr>
          <w:rFonts w:ascii="Arial" w:hAnsi="Arial" w:cs="Arial"/>
          <w:sz w:val="18"/>
          <w:szCs w:val="18"/>
          <w:lang w:val="es-ES"/>
        </w:rPr>
      </w:pPr>
      <w:r w:rsidRPr="00C362AD">
        <w:rPr>
          <w:rStyle w:val="FootnoteReference"/>
          <w:rFonts w:ascii="Arial" w:hAnsi="Arial" w:cs="Arial"/>
          <w:sz w:val="18"/>
          <w:szCs w:val="18"/>
        </w:rPr>
        <w:footnoteRef/>
      </w:r>
      <w:r w:rsidRPr="00C362AD">
        <w:rPr>
          <w:rFonts w:ascii="Arial" w:hAnsi="Arial" w:cs="Arial"/>
          <w:sz w:val="18"/>
          <w:szCs w:val="18"/>
          <w:lang w:val="es-ES"/>
        </w:rPr>
        <w:t xml:space="preserve"> </w:t>
      </w:r>
      <w:r w:rsidR="00C07259" w:rsidRPr="00C362AD">
        <w:rPr>
          <w:rFonts w:ascii="Arial" w:hAnsi="Arial" w:cs="Arial"/>
          <w:sz w:val="18"/>
          <w:szCs w:val="18"/>
          <w:lang w:val="es-ES"/>
        </w:rPr>
        <w:tab/>
      </w:r>
      <w:r w:rsidRPr="00C362AD">
        <w:rPr>
          <w:rFonts w:ascii="Arial" w:hAnsi="Arial" w:cs="Arial"/>
          <w:sz w:val="18"/>
          <w:szCs w:val="18"/>
          <w:lang w:val="es-ES"/>
        </w:rPr>
        <w:t xml:space="preserve">FMI, 2019a.  </w:t>
      </w:r>
    </w:p>
  </w:footnote>
  <w:footnote w:id="20">
    <w:p w14:paraId="6D56C195" w14:textId="77777777" w:rsidR="00081E3C" w:rsidRPr="004118AD" w:rsidRDefault="00081E3C" w:rsidP="00081E3C">
      <w:pPr>
        <w:pStyle w:val="FootnoteText"/>
        <w:ind w:left="360" w:hanging="360"/>
        <w:rPr>
          <w:rFonts w:asciiTheme="minorBidi" w:hAnsiTheme="minorBidi"/>
          <w:sz w:val="18"/>
          <w:szCs w:val="18"/>
          <w:lang w:val="es-ES"/>
        </w:rPr>
      </w:pPr>
      <w:r w:rsidRPr="004118AD">
        <w:rPr>
          <w:rStyle w:val="FootnoteReference"/>
          <w:rFonts w:asciiTheme="minorBidi" w:hAnsiTheme="minorBidi"/>
          <w:sz w:val="18"/>
          <w:szCs w:val="18"/>
        </w:rPr>
        <w:footnoteRef/>
      </w:r>
      <w:r w:rsidRPr="004118AD">
        <w:rPr>
          <w:rFonts w:asciiTheme="minorBidi" w:hAnsiTheme="minorBidi"/>
          <w:sz w:val="18"/>
          <w:szCs w:val="18"/>
          <w:lang w:val="es-ES"/>
        </w:rPr>
        <w:t xml:space="preserve"> </w:t>
      </w:r>
      <w:r>
        <w:rPr>
          <w:rFonts w:asciiTheme="minorBidi" w:hAnsiTheme="minorBidi"/>
          <w:sz w:val="18"/>
          <w:szCs w:val="18"/>
          <w:lang w:val="es-ES"/>
        </w:rPr>
        <w:tab/>
      </w:r>
      <w:r w:rsidR="00CA6AA4">
        <w:fldChar w:fldCharType="begin"/>
      </w:r>
      <w:r w:rsidR="00CA6AA4" w:rsidRPr="00CA6AA4">
        <w:rPr>
          <w:lang w:val="es-ES"/>
        </w:rPr>
        <w:instrText xml:space="preserve"> HYPERLINK "https://www.finanzas.gob.ec/wp-content/uploads/downloads/2022/01/Boleti%CC%81n-Agosto-2021.pdf" </w:instrText>
      </w:r>
      <w:r w:rsidR="00CA6AA4">
        <w:fldChar w:fldCharType="separate"/>
      </w:r>
      <w:r w:rsidRPr="00C87EC3">
        <w:rPr>
          <w:rStyle w:val="Hyperlink"/>
          <w:rFonts w:asciiTheme="minorBidi" w:hAnsiTheme="minorBidi"/>
          <w:sz w:val="18"/>
          <w:szCs w:val="18"/>
          <w:lang w:val="es-ES"/>
        </w:rPr>
        <w:t>Boletín de Deuda Pública del MEF</w:t>
      </w:r>
      <w:r w:rsidR="00CA6AA4">
        <w:rPr>
          <w:rStyle w:val="Hyperlink"/>
          <w:rFonts w:asciiTheme="minorBidi" w:hAnsiTheme="minorBidi"/>
          <w:sz w:val="18"/>
          <w:szCs w:val="18"/>
          <w:lang w:val="es-ES"/>
        </w:rPr>
        <w:fldChar w:fldCharType="end"/>
      </w:r>
      <w:r>
        <w:rPr>
          <w:rFonts w:asciiTheme="minorBidi" w:hAnsiTheme="minorBidi"/>
          <w:sz w:val="18"/>
          <w:szCs w:val="18"/>
          <w:lang w:val="es-ES"/>
        </w:rPr>
        <w:t>.</w:t>
      </w:r>
    </w:p>
  </w:footnote>
  <w:footnote w:id="21">
    <w:p w14:paraId="7E570A00" w14:textId="77777777" w:rsidR="0001252F" w:rsidRPr="00C17C55" w:rsidRDefault="0001252F" w:rsidP="0001252F">
      <w:pPr>
        <w:pStyle w:val="FootnoteText"/>
        <w:ind w:left="360" w:hanging="360"/>
        <w:rPr>
          <w:rFonts w:cs="Arial"/>
          <w:szCs w:val="18"/>
        </w:rPr>
      </w:pPr>
      <w:r w:rsidRPr="00C17C55">
        <w:rPr>
          <w:rStyle w:val="FootnoteReference"/>
          <w:rFonts w:cs="Arial"/>
          <w:szCs w:val="18"/>
        </w:rPr>
        <w:footnoteRef/>
      </w:r>
      <w:r w:rsidRPr="00C17C55">
        <w:rPr>
          <w:rStyle w:val="FootnoteReference"/>
          <w:rFonts w:cs="Arial"/>
          <w:szCs w:val="18"/>
        </w:rPr>
        <w:t xml:space="preserve"> </w:t>
      </w:r>
      <w:r w:rsidRPr="00C17C55">
        <w:rPr>
          <w:rFonts w:cs="Arial"/>
          <w:szCs w:val="18"/>
        </w:rPr>
        <w:t xml:space="preserve"> </w:t>
      </w:r>
      <w:r w:rsidRPr="00C17C55">
        <w:rPr>
          <w:rFonts w:cs="Arial"/>
          <w:szCs w:val="18"/>
        </w:rPr>
        <w:tab/>
      </w:r>
      <w:hyperlink r:id="rId1" w:history="1">
        <w:r w:rsidRPr="00C17C55">
          <w:rPr>
            <w:rStyle w:val="Hyperlink"/>
            <w:rFonts w:cs="Arial"/>
            <w:i/>
            <w:iCs/>
            <w:szCs w:val="18"/>
          </w:rPr>
          <w:t>2021 Best Practice Guidelines for the EU Code of Conduct on Data Centre Energy Efficiency</w:t>
        </w:r>
      </w:hyperlink>
      <w:r w:rsidRPr="00C17C55">
        <w:rPr>
          <w:rFonts w:cs="Arial"/>
          <w:i/>
          <w:szCs w:val="18"/>
        </w:rPr>
        <w:t>.</w:t>
      </w:r>
      <w:r w:rsidRPr="00C17C55">
        <w:rPr>
          <w:rStyle w:val="Hyperlink"/>
          <w:rFonts w:cs="Arial"/>
          <w:i/>
          <w:szCs w:val="18"/>
        </w:rPr>
        <w:t xml:space="preserve"> </w:t>
      </w:r>
    </w:p>
  </w:footnote>
  <w:footnote w:id="22">
    <w:p w14:paraId="6C27A6B2" w14:textId="77777777" w:rsidR="0001252F" w:rsidRPr="00CA6AA4" w:rsidRDefault="0001252F" w:rsidP="0001252F">
      <w:pPr>
        <w:pStyle w:val="FootnoteText"/>
        <w:ind w:left="360" w:hanging="360"/>
        <w:rPr>
          <w:rFonts w:cs="Arial"/>
          <w:szCs w:val="18"/>
          <w:lang w:val="es-ES"/>
        </w:rPr>
      </w:pPr>
      <w:r w:rsidRPr="000F4C36">
        <w:rPr>
          <w:rStyle w:val="FootnoteReference"/>
          <w:rFonts w:cs="Arial"/>
          <w:szCs w:val="18"/>
        </w:rPr>
        <w:footnoteRef/>
      </w:r>
      <w:r w:rsidRPr="00CA6AA4">
        <w:rPr>
          <w:rFonts w:cs="Arial"/>
          <w:szCs w:val="18"/>
          <w:lang w:val="es-ES"/>
        </w:rPr>
        <w:t xml:space="preserve"> </w:t>
      </w:r>
      <w:r w:rsidRPr="00CA6AA4">
        <w:rPr>
          <w:rFonts w:cs="Arial"/>
          <w:szCs w:val="18"/>
          <w:lang w:val="es-ES"/>
        </w:rPr>
        <w:tab/>
        <w:t xml:space="preserve">Los equipamientos deberán considerar la eficiencia energética, con la certificación </w:t>
      </w:r>
      <w:r w:rsidRPr="00CA6AA4">
        <w:rPr>
          <w:rFonts w:cs="Arial"/>
          <w:i/>
          <w:szCs w:val="18"/>
          <w:lang w:val="es-ES"/>
        </w:rPr>
        <w:t>Energy Star</w:t>
      </w:r>
      <w:r w:rsidRPr="000F4C36">
        <w:rPr>
          <w:rFonts w:cs="Arial"/>
          <w:szCs w:val="18"/>
          <w:lang w:val="es-419"/>
        </w:rPr>
        <w:t xml:space="preserve"> </w:t>
      </w:r>
      <w:r w:rsidRPr="00CA6AA4">
        <w:rPr>
          <w:rFonts w:cs="Arial"/>
          <w:szCs w:val="18"/>
          <w:lang w:val="es-ES"/>
        </w:rPr>
        <w:t>o equivalente.</w:t>
      </w:r>
    </w:p>
  </w:footnote>
  <w:footnote w:id="23">
    <w:p w14:paraId="4832EEE1" w14:textId="77777777" w:rsidR="0001252F" w:rsidRPr="00C17C55" w:rsidRDefault="0001252F" w:rsidP="0001252F">
      <w:pPr>
        <w:pStyle w:val="FootnoteText"/>
        <w:ind w:left="360" w:hanging="360"/>
        <w:rPr>
          <w:rFonts w:cs="Arial"/>
          <w:szCs w:val="18"/>
          <w:lang w:val="es-ES"/>
        </w:rPr>
      </w:pPr>
      <w:r w:rsidRPr="00C17C55">
        <w:rPr>
          <w:rStyle w:val="FootnoteReference"/>
          <w:rFonts w:cs="Arial"/>
          <w:szCs w:val="18"/>
        </w:rPr>
        <w:footnoteRef/>
      </w:r>
      <w:r w:rsidRPr="00CA6AA4">
        <w:rPr>
          <w:rFonts w:cs="Arial"/>
          <w:szCs w:val="18"/>
          <w:lang w:val="es-ES"/>
        </w:rPr>
        <w:t xml:space="preserve"> </w:t>
      </w:r>
      <w:r w:rsidRPr="00CA6AA4">
        <w:rPr>
          <w:rFonts w:cs="Arial"/>
          <w:szCs w:val="18"/>
          <w:lang w:val="es-ES"/>
        </w:rPr>
        <w:tab/>
      </w:r>
      <w:r w:rsidRPr="00C17C55">
        <w:rPr>
          <w:rFonts w:cs="Arial"/>
          <w:szCs w:val="18"/>
          <w:lang w:val="es-ES"/>
        </w:rPr>
        <w:t>Pese al traslado al DCS-CNT, SRI seguirá teniendo un centro alterno para garantizar la continuidad del negocio.</w:t>
      </w:r>
    </w:p>
  </w:footnote>
  <w:footnote w:id="24">
    <w:p w14:paraId="6502FD16" w14:textId="77777777" w:rsidR="0001252F" w:rsidRPr="00CA6AA4" w:rsidRDefault="0001252F" w:rsidP="0001252F">
      <w:pPr>
        <w:pStyle w:val="FootnoteText"/>
        <w:ind w:left="360" w:hanging="360"/>
        <w:rPr>
          <w:rFonts w:cs="Arial"/>
          <w:szCs w:val="18"/>
          <w:lang w:val="es-ES"/>
        </w:rPr>
      </w:pPr>
      <w:r w:rsidRPr="00C17C55">
        <w:rPr>
          <w:rStyle w:val="FootnoteReference"/>
          <w:rFonts w:cs="Arial"/>
          <w:szCs w:val="18"/>
        </w:rPr>
        <w:footnoteRef/>
      </w:r>
      <w:r w:rsidRPr="00CA6AA4">
        <w:rPr>
          <w:rFonts w:cs="Arial"/>
          <w:szCs w:val="18"/>
          <w:lang w:val="es-ES"/>
        </w:rPr>
        <w:t xml:space="preserve"> </w:t>
      </w:r>
      <w:r w:rsidRPr="00CA6AA4">
        <w:rPr>
          <w:rFonts w:cs="Arial"/>
          <w:szCs w:val="18"/>
          <w:lang w:val="es-ES"/>
        </w:rPr>
        <w:tab/>
        <w:t xml:space="preserve">La evaluación de reducción de emisiones de carbono debido a medidas de digitalización se encuentra resumida en el </w:t>
      </w:r>
      <w:r w:rsidR="00CA6AA4">
        <w:fldChar w:fldCharType="begin"/>
      </w:r>
      <w:r w:rsidR="00CA6AA4" w:rsidRPr="00CA6AA4">
        <w:rPr>
          <w:lang w:val="es-ES"/>
        </w:rPr>
        <w:instrText xml:space="preserve"> HYPERLINK "http://idbdocs.iadb.org/wsdocs/getDocument.aspx?DOCNUM=EZSHARE-1787844502-36" </w:instrText>
      </w:r>
      <w:r w:rsidR="00CA6AA4">
        <w:fldChar w:fldCharType="separate"/>
      </w:r>
      <w:r w:rsidRPr="00CA6AA4">
        <w:rPr>
          <w:rStyle w:val="Hyperlink"/>
          <w:rFonts w:cs="Arial"/>
          <w:szCs w:val="18"/>
          <w:lang w:val="es-ES"/>
        </w:rPr>
        <w:t>Anexo de Cambio Climático</w:t>
      </w:r>
      <w:r w:rsidR="00CA6AA4">
        <w:rPr>
          <w:rStyle w:val="Hyperlink"/>
          <w:rFonts w:cs="Arial"/>
          <w:szCs w:val="18"/>
        </w:rPr>
        <w:fldChar w:fldCharType="end"/>
      </w:r>
      <w:r w:rsidRPr="00CA6AA4">
        <w:rPr>
          <w:rFonts w:cs="Arial"/>
          <w:szCs w:val="18"/>
          <w:lang w:val="es-ES"/>
        </w:rPr>
        <w:t>.</w:t>
      </w:r>
    </w:p>
  </w:footnote>
  <w:footnote w:id="25">
    <w:p w14:paraId="3EB41C8B" w14:textId="77777777" w:rsidR="0001252F" w:rsidRPr="00CA6AA4" w:rsidRDefault="0001252F" w:rsidP="0001252F">
      <w:pPr>
        <w:pStyle w:val="FootnoteText"/>
        <w:ind w:left="360" w:hanging="360"/>
        <w:rPr>
          <w:rFonts w:cs="Arial"/>
          <w:szCs w:val="18"/>
          <w:lang w:val="es-ES"/>
        </w:rPr>
      </w:pPr>
      <w:r w:rsidRPr="00C17C55">
        <w:rPr>
          <w:rStyle w:val="FootnoteReference"/>
          <w:rFonts w:cs="Arial"/>
          <w:szCs w:val="18"/>
        </w:rPr>
        <w:footnoteRef/>
      </w:r>
      <w:r w:rsidRPr="00CA6AA4">
        <w:rPr>
          <w:rFonts w:cs="Arial"/>
          <w:szCs w:val="18"/>
          <w:lang w:val="es-ES"/>
        </w:rPr>
        <w:t xml:space="preserve"> </w:t>
      </w:r>
      <w:r w:rsidRPr="00CA6AA4">
        <w:rPr>
          <w:rFonts w:cs="Arial"/>
          <w:szCs w:val="18"/>
          <w:lang w:val="es-ES"/>
        </w:rPr>
        <w:tab/>
        <w:t>Incluye recursos de libre disponibilidad.</w:t>
      </w:r>
    </w:p>
  </w:footnote>
  <w:footnote w:id="26">
    <w:p w14:paraId="46A98793" w14:textId="77777777" w:rsidR="00B96FF1" w:rsidRPr="00C362AD" w:rsidRDefault="00B96FF1" w:rsidP="005D44DB">
      <w:pPr>
        <w:pStyle w:val="FootnoteText"/>
        <w:ind w:left="360" w:hanging="360"/>
        <w:jc w:val="both"/>
        <w:rPr>
          <w:rFonts w:ascii="Arial" w:hAnsi="Arial" w:cs="Arial"/>
          <w:sz w:val="18"/>
          <w:szCs w:val="18"/>
          <w:lang w:val="es-419"/>
        </w:rPr>
      </w:pPr>
      <w:r w:rsidRPr="00C362AD">
        <w:rPr>
          <w:rStyle w:val="FootnoteReference"/>
          <w:rFonts w:ascii="Arial" w:hAnsi="Arial" w:cs="Arial"/>
          <w:sz w:val="18"/>
          <w:szCs w:val="18"/>
        </w:rPr>
        <w:footnoteRef/>
      </w:r>
      <w:r w:rsidRPr="00C362AD">
        <w:rPr>
          <w:rFonts w:ascii="Arial" w:hAnsi="Arial" w:cs="Arial"/>
          <w:sz w:val="18"/>
          <w:szCs w:val="18"/>
          <w:lang w:val="es-419"/>
        </w:rPr>
        <w:t xml:space="preserve"> </w:t>
      </w:r>
      <w:r w:rsidRPr="00C362AD">
        <w:rPr>
          <w:rFonts w:ascii="Arial" w:hAnsi="Arial" w:cs="Arial"/>
          <w:sz w:val="18"/>
          <w:szCs w:val="18"/>
          <w:lang w:val="es-419"/>
        </w:rPr>
        <w:tab/>
        <w:t xml:space="preserve">Este estado representaría el estado contrafactual de </w:t>
      </w:r>
      <w:proofErr w:type="spellStart"/>
      <w:r w:rsidRPr="00C362AD">
        <w:rPr>
          <w:rFonts w:ascii="Arial" w:hAnsi="Arial" w:cs="Arial"/>
          <w:i/>
          <w:sz w:val="18"/>
          <w:szCs w:val="18"/>
          <w:lang w:val="es-419"/>
        </w:rPr>
        <w:t>business</w:t>
      </w:r>
      <w:proofErr w:type="spellEnd"/>
      <w:r w:rsidRPr="00C362AD">
        <w:rPr>
          <w:rFonts w:ascii="Arial" w:hAnsi="Arial" w:cs="Arial"/>
          <w:i/>
          <w:sz w:val="18"/>
          <w:szCs w:val="18"/>
          <w:lang w:val="es-419"/>
        </w:rPr>
        <w:t xml:space="preserve"> as usual.</w:t>
      </w:r>
    </w:p>
  </w:footnote>
  <w:footnote w:id="27">
    <w:p w14:paraId="0F91E77D" w14:textId="77777777" w:rsidR="00B96FF1" w:rsidRPr="00C362AD" w:rsidRDefault="00B96FF1" w:rsidP="005D44DB">
      <w:pPr>
        <w:pStyle w:val="FootnoteText"/>
        <w:ind w:left="360" w:hanging="360"/>
        <w:jc w:val="both"/>
        <w:rPr>
          <w:rFonts w:ascii="Arial" w:hAnsi="Arial" w:cs="Arial"/>
          <w:sz w:val="18"/>
          <w:szCs w:val="18"/>
          <w:lang w:val="es-419"/>
        </w:rPr>
      </w:pPr>
      <w:r w:rsidRPr="00C362AD">
        <w:rPr>
          <w:rStyle w:val="FootnoteReference"/>
          <w:rFonts w:ascii="Arial" w:hAnsi="Arial" w:cs="Arial"/>
          <w:sz w:val="18"/>
          <w:szCs w:val="18"/>
        </w:rPr>
        <w:footnoteRef/>
      </w:r>
      <w:r w:rsidRPr="00C362AD">
        <w:rPr>
          <w:rFonts w:ascii="Arial" w:hAnsi="Arial" w:cs="Arial"/>
          <w:sz w:val="18"/>
          <w:szCs w:val="18"/>
          <w:lang w:val="es-419"/>
        </w:rPr>
        <w:t xml:space="preserve"> </w:t>
      </w:r>
      <w:r w:rsidRPr="00C362AD">
        <w:rPr>
          <w:rFonts w:ascii="Arial" w:hAnsi="Arial" w:cs="Arial"/>
          <w:sz w:val="18"/>
          <w:szCs w:val="18"/>
          <w:lang w:val="es-419"/>
        </w:rPr>
        <w:tab/>
        <w:t>Fuente: Ejecución presupuestal del SRI.</w:t>
      </w:r>
    </w:p>
  </w:footnote>
  <w:footnote w:id="28">
    <w:p w14:paraId="6B6A6A5E" w14:textId="77777777" w:rsidR="00B96FF1" w:rsidRPr="00C362AD" w:rsidRDefault="00B96FF1" w:rsidP="005D44DB">
      <w:pPr>
        <w:pStyle w:val="FootnoteText"/>
        <w:ind w:left="360" w:hanging="360"/>
        <w:jc w:val="both"/>
        <w:rPr>
          <w:rFonts w:ascii="Arial" w:hAnsi="Arial" w:cs="Arial"/>
          <w:sz w:val="18"/>
          <w:szCs w:val="18"/>
          <w:lang w:val="es-419"/>
        </w:rPr>
      </w:pPr>
      <w:r w:rsidRPr="00C362AD">
        <w:rPr>
          <w:rStyle w:val="FootnoteReference"/>
          <w:rFonts w:ascii="Arial" w:hAnsi="Arial" w:cs="Arial"/>
          <w:sz w:val="18"/>
          <w:szCs w:val="18"/>
        </w:rPr>
        <w:footnoteRef/>
      </w:r>
      <w:r w:rsidRPr="00C362AD">
        <w:rPr>
          <w:rFonts w:ascii="Arial" w:hAnsi="Arial" w:cs="Arial"/>
          <w:sz w:val="18"/>
          <w:szCs w:val="18"/>
          <w:lang w:val="es-419"/>
        </w:rPr>
        <w:t xml:space="preserve"> </w:t>
      </w:r>
      <w:r w:rsidRPr="00C362AD">
        <w:rPr>
          <w:rFonts w:ascii="Arial" w:hAnsi="Arial" w:cs="Arial"/>
          <w:sz w:val="18"/>
          <w:szCs w:val="18"/>
          <w:lang w:val="es-419"/>
        </w:rPr>
        <w:tab/>
        <w:t>Fuente: Dirección de Gestión de Recaudo y Cobranzas del SRI y el SENAE.</w:t>
      </w:r>
    </w:p>
  </w:footnote>
  <w:footnote w:id="29">
    <w:p w14:paraId="0E635C6E" w14:textId="7B45F7DC" w:rsidR="00B96FF1" w:rsidRPr="005D44DB" w:rsidRDefault="00B96FF1" w:rsidP="005D44DB">
      <w:pPr>
        <w:pStyle w:val="FootnoteText"/>
        <w:ind w:left="360" w:hanging="360"/>
        <w:jc w:val="both"/>
        <w:rPr>
          <w:rFonts w:ascii="Arial" w:hAnsi="Arial" w:cs="Arial"/>
          <w:sz w:val="18"/>
          <w:szCs w:val="18"/>
          <w:lang w:val="es-PE"/>
        </w:rPr>
      </w:pPr>
      <w:r w:rsidRPr="005D44DB">
        <w:rPr>
          <w:rStyle w:val="FootnoteReference"/>
          <w:rFonts w:ascii="Arial" w:hAnsi="Arial" w:cs="Arial"/>
          <w:sz w:val="18"/>
          <w:szCs w:val="18"/>
        </w:rPr>
        <w:footnoteRef/>
      </w:r>
      <w:r w:rsidRPr="005D44DB">
        <w:rPr>
          <w:rFonts w:ascii="Arial" w:hAnsi="Arial" w:cs="Arial"/>
          <w:sz w:val="18"/>
          <w:szCs w:val="18"/>
          <w:lang w:val="es-PE"/>
        </w:rPr>
        <w:t xml:space="preserve"> </w:t>
      </w:r>
      <w:r w:rsidR="003375C4" w:rsidRPr="00C362AD">
        <w:rPr>
          <w:rFonts w:ascii="Arial" w:hAnsi="Arial" w:cs="Arial"/>
          <w:sz w:val="18"/>
          <w:szCs w:val="18"/>
          <w:lang w:val="es-PE"/>
        </w:rPr>
        <w:tab/>
      </w:r>
      <w:r w:rsidRPr="005D44DB">
        <w:rPr>
          <w:rFonts w:ascii="Arial" w:hAnsi="Arial" w:cs="Arial"/>
          <w:sz w:val="18"/>
          <w:szCs w:val="18"/>
          <w:lang w:val="es-PE"/>
        </w:rPr>
        <w:t>Este indicador se ha elevado en el 2020 a US$ 0.00</w:t>
      </w:r>
      <w:r w:rsidR="006E262D" w:rsidRPr="005D44DB">
        <w:rPr>
          <w:rFonts w:ascii="Arial" w:hAnsi="Arial" w:cs="Arial"/>
          <w:sz w:val="18"/>
          <w:szCs w:val="18"/>
          <w:lang w:val="es-PE"/>
        </w:rPr>
        <w:t>83</w:t>
      </w:r>
      <w:r w:rsidRPr="005D44DB">
        <w:rPr>
          <w:rFonts w:ascii="Arial" w:hAnsi="Arial" w:cs="Arial"/>
          <w:sz w:val="18"/>
          <w:szCs w:val="18"/>
          <w:lang w:val="es-PE"/>
        </w:rPr>
        <w:t xml:space="preserve"> como consecuencia de la pandemia de COVID</w:t>
      </w:r>
      <w:r w:rsidR="003375C4" w:rsidRPr="00C362AD">
        <w:rPr>
          <w:rFonts w:ascii="Arial" w:hAnsi="Arial" w:cs="Arial"/>
          <w:sz w:val="18"/>
          <w:szCs w:val="18"/>
          <w:lang w:val="es-PE"/>
        </w:rPr>
        <w:noBreakHyphen/>
      </w:r>
      <w:r w:rsidRPr="005D44DB">
        <w:rPr>
          <w:rFonts w:ascii="Arial" w:hAnsi="Arial" w:cs="Arial"/>
          <w:sz w:val="18"/>
          <w:szCs w:val="18"/>
          <w:lang w:val="es-PE"/>
        </w:rPr>
        <w:t>19</w:t>
      </w:r>
    </w:p>
  </w:footnote>
  <w:footnote w:id="30">
    <w:p w14:paraId="6F3FCE2F" w14:textId="77777777" w:rsidR="00B96FF1" w:rsidRPr="00C362AD" w:rsidRDefault="00B96FF1" w:rsidP="005D44DB">
      <w:pPr>
        <w:pStyle w:val="FootnoteText"/>
        <w:ind w:left="360" w:hanging="360"/>
        <w:jc w:val="both"/>
        <w:rPr>
          <w:rFonts w:ascii="Arial" w:hAnsi="Arial" w:cs="Arial"/>
          <w:sz w:val="18"/>
          <w:szCs w:val="18"/>
          <w:lang w:val="es-419"/>
        </w:rPr>
      </w:pPr>
      <w:r w:rsidRPr="00C362AD">
        <w:rPr>
          <w:rStyle w:val="FootnoteReference"/>
          <w:rFonts w:ascii="Arial" w:hAnsi="Arial" w:cs="Arial"/>
          <w:sz w:val="18"/>
          <w:szCs w:val="18"/>
        </w:rPr>
        <w:footnoteRef/>
      </w:r>
      <w:r w:rsidRPr="00C362AD">
        <w:rPr>
          <w:rFonts w:ascii="Arial" w:hAnsi="Arial" w:cs="Arial"/>
          <w:sz w:val="18"/>
          <w:szCs w:val="18"/>
          <w:lang w:val="es-419"/>
        </w:rPr>
        <w:t xml:space="preserve"> </w:t>
      </w:r>
      <w:r w:rsidRPr="00C362AD">
        <w:rPr>
          <w:rFonts w:ascii="Arial" w:hAnsi="Arial" w:cs="Arial"/>
          <w:sz w:val="18"/>
          <w:szCs w:val="18"/>
          <w:lang w:val="es-419"/>
        </w:rPr>
        <w:tab/>
        <w:t>Fuente: Ejecución presupuestal del SENAE.</w:t>
      </w:r>
    </w:p>
  </w:footnote>
  <w:footnote w:id="31">
    <w:p w14:paraId="7DD5C194" w14:textId="77777777" w:rsidR="00B96FF1" w:rsidRPr="00C362AD" w:rsidRDefault="00B96FF1" w:rsidP="005D44DB">
      <w:pPr>
        <w:pStyle w:val="FootnoteText"/>
        <w:ind w:left="360" w:hanging="360"/>
        <w:jc w:val="both"/>
        <w:rPr>
          <w:rFonts w:ascii="Arial" w:hAnsi="Arial" w:cs="Arial"/>
          <w:sz w:val="18"/>
          <w:szCs w:val="18"/>
          <w:lang w:val="es-419"/>
        </w:rPr>
      </w:pPr>
      <w:r w:rsidRPr="00C362AD">
        <w:rPr>
          <w:rStyle w:val="FootnoteReference"/>
          <w:rFonts w:ascii="Arial" w:hAnsi="Arial" w:cs="Arial"/>
          <w:sz w:val="18"/>
          <w:szCs w:val="18"/>
        </w:rPr>
        <w:footnoteRef/>
      </w:r>
      <w:r w:rsidRPr="00C362AD">
        <w:rPr>
          <w:rFonts w:ascii="Arial" w:hAnsi="Arial" w:cs="Arial"/>
          <w:sz w:val="18"/>
          <w:szCs w:val="18"/>
          <w:lang w:val="es-419"/>
        </w:rPr>
        <w:t xml:space="preserve"> </w:t>
      </w:r>
      <w:r w:rsidRPr="00C362AD">
        <w:rPr>
          <w:rFonts w:ascii="Arial" w:hAnsi="Arial" w:cs="Arial"/>
          <w:sz w:val="18"/>
          <w:szCs w:val="18"/>
          <w:lang w:val="es-419"/>
        </w:rPr>
        <w:tab/>
        <w:t>Fuente: Dirección de Gestión de Recaudo y Cobranzas del SENAE.</w:t>
      </w:r>
    </w:p>
  </w:footnote>
  <w:footnote w:id="32">
    <w:p w14:paraId="4650C404" w14:textId="018FC9CA" w:rsidR="00B96FF1" w:rsidRPr="005D44DB" w:rsidRDefault="00B96FF1" w:rsidP="005D44DB">
      <w:pPr>
        <w:pStyle w:val="FootnoteText"/>
        <w:ind w:left="360" w:hanging="360"/>
        <w:jc w:val="both"/>
        <w:rPr>
          <w:rFonts w:ascii="Arial" w:hAnsi="Arial" w:cs="Arial"/>
          <w:sz w:val="18"/>
          <w:szCs w:val="18"/>
          <w:lang w:val="es-PE"/>
        </w:rPr>
      </w:pPr>
      <w:r w:rsidRPr="005D44DB">
        <w:rPr>
          <w:rStyle w:val="FootnoteReference"/>
          <w:rFonts w:ascii="Arial" w:hAnsi="Arial" w:cs="Arial"/>
          <w:sz w:val="18"/>
          <w:szCs w:val="18"/>
        </w:rPr>
        <w:footnoteRef/>
      </w:r>
      <w:r w:rsidRPr="005D44DB">
        <w:rPr>
          <w:rFonts w:ascii="Arial" w:hAnsi="Arial" w:cs="Arial"/>
          <w:sz w:val="18"/>
          <w:szCs w:val="18"/>
          <w:lang w:val="es-PE"/>
        </w:rPr>
        <w:t xml:space="preserve"> </w:t>
      </w:r>
      <w:r w:rsidR="003375C4" w:rsidRPr="00C362AD">
        <w:rPr>
          <w:rFonts w:ascii="Arial" w:hAnsi="Arial" w:cs="Arial"/>
          <w:sz w:val="18"/>
          <w:szCs w:val="18"/>
          <w:lang w:val="es-PE"/>
        </w:rPr>
        <w:tab/>
      </w:r>
      <w:r w:rsidRPr="005D44DB">
        <w:rPr>
          <w:rFonts w:ascii="Arial" w:hAnsi="Arial" w:cs="Arial"/>
          <w:sz w:val="18"/>
          <w:szCs w:val="18"/>
          <w:lang w:val="es-PE"/>
        </w:rPr>
        <w:t>Este indicador se ha elevado en 2020 a US$ 0.0</w:t>
      </w:r>
      <w:r w:rsidR="006E262D" w:rsidRPr="005D44DB">
        <w:rPr>
          <w:rFonts w:ascii="Arial" w:hAnsi="Arial" w:cs="Arial"/>
          <w:sz w:val="18"/>
          <w:szCs w:val="18"/>
          <w:lang w:val="es-PE"/>
        </w:rPr>
        <w:t>508</w:t>
      </w:r>
      <w:r w:rsidRPr="005D44DB">
        <w:rPr>
          <w:rFonts w:ascii="Arial" w:hAnsi="Arial" w:cs="Arial"/>
          <w:sz w:val="18"/>
          <w:szCs w:val="18"/>
          <w:lang w:val="es-PE"/>
        </w:rPr>
        <w:t xml:space="preserve"> como consecuencia de la pandemia de COVID</w:t>
      </w:r>
      <w:r w:rsidR="003375C4" w:rsidRPr="00C362AD">
        <w:rPr>
          <w:rFonts w:ascii="Arial" w:hAnsi="Arial" w:cs="Arial"/>
          <w:sz w:val="18"/>
          <w:szCs w:val="18"/>
          <w:lang w:val="es-PE"/>
        </w:rPr>
        <w:t>-</w:t>
      </w:r>
      <w:r w:rsidRPr="005D44DB">
        <w:rPr>
          <w:rFonts w:ascii="Arial" w:hAnsi="Arial" w:cs="Arial"/>
          <w:sz w:val="18"/>
          <w:szCs w:val="18"/>
          <w:lang w:val="es-PE"/>
        </w:rPr>
        <w:t>19.</w:t>
      </w:r>
    </w:p>
  </w:footnote>
  <w:footnote w:id="33">
    <w:p w14:paraId="24F83B7C" w14:textId="41509E50" w:rsidR="007700EE" w:rsidRPr="00C362AD" w:rsidRDefault="007700EE" w:rsidP="00C362AD">
      <w:pPr>
        <w:pStyle w:val="FootnoteText"/>
        <w:ind w:left="360" w:hanging="360"/>
        <w:jc w:val="both"/>
        <w:rPr>
          <w:rFonts w:ascii="Arial" w:hAnsi="Arial" w:cs="Arial"/>
          <w:sz w:val="18"/>
          <w:szCs w:val="18"/>
          <w:lang w:val="es-PE"/>
        </w:rPr>
      </w:pPr>
      <w:r w:rsidRPr="00C362AD">
        <w:rPr>
          <w:rStyle w:val="FootnoteReference"/>
          <w:rFonts w:ascii="Arial" w:hAnsi="Arial" w:cs="Arial"/>
          <w:sz w:val="18"/>
          <w:szCs w:val="18"/>
        </w:rPr>
        <w:footnoteRef/>
      </w:r>
      <w:r w:rsidRPr="00C362AD">
        <w:rPr>
          <w:rFonts w:ascii="Arial" w:hAnsi="Arial" w:cs="Arial"/>
          <w:sz w:val="18"/>
          <w:szCs w:val="18"/>
          <w:lang w:val="es-PE"/>
        </w:rPr>
        <w:t xml:space="preserve"> </w:t>
      </w:r>
      <w:r w:rsidR="003375C4" w:rsidRPr="00C362AD">
        <w:rPr>
          <w:rFonts w:ascii="Arial" w:hAnsi="Arial" w:cs="Arial"/>
          <w:sz w:val="18"/>
          <w:szCs w:val="18"/>
          <w:lang w:val="es-PE"/>
        </w:rPr>
        <w:tab/>
      </w:r>
      <w:r w:rsidR="00791266" w:rsidRPr="00C362AD">
        <w:rPr>
          <w:rFonts w:ascii="Arial" w:hAnsi="Arial" w:cs="Arial"/>
          <w:sz w:val="18"/>
          <w:szCs w:val="18"/>
          <w:lang w:val="es-PE"/>
        </w:rPr>
        <w:t xml:space="preserve">Hay dos razones que justifican el uso de 7% en lugar de 12% que es la tasa que generalmente se usa en análisis de proyectos de </w:t>
      </w:r>
      <w:proofErr w:type="spellStart"/>
      <w:r w:rsidR="00791266" w:rsidRPr="005A3719">
        <w:rPr>
          <w:rFonts w:ascii="Arial" w:hAnsi="Arial" w:cs="Arial"/>
          <w:sz w:val="18"/>
          <w:szCs w:val="18"/>
          <w:highlight w:val="yellow"/>
          <w:lang w:val="es-PE"/>
        </w:rPr>
        <w:t>inversi</w:t>
      </w:r>
      <w:r w:rsidR="00081E3C">
        <w:rPr>
          <w:rFonts w:ascii="Arial" w:hAnsi="Arial" w:cs="Arial"/>
          <w:sz w:val="18"/>
          <w:szCs w:val="18"/>
          <w:highlight w:val="yellow"/>
          <w:lang w:val="es-ES"/>
        </w:rPr>
        <w:t>ó</w:t>
      </w:r>
      <w:proofErr w:type="spellEnd"/>
      <w:r w:rsidR="00791266" w:rsidRPr="005A3719">
        <w:rPr>
          <w:rFonts w:ascii="Arial" w:hAnsi="Arial" w:cs="Arial"/>
          <w:sz w:val="18"/>
          <w:szCs w:val="18"/>
          <w:highlight w:val="yellow"/>
          <w:lang w:val="es-PE"/>
        </w:rPr>
        <w:t>n</w:t>
      </w:r>
      <w:r w:rsidR="00791266" w:rsidRPr="00C362AD">
        <w:rPr>
          <w:rFonts w:ascii="Arial" w:hAnsi="Arial" w:cs="Arial"/>
          <w:sz w:val="18"/>
          <w:szCs w:val="18"/>
          <w:lang w:val="es-PE"/>
        </w:rPr>
        <w:t xml:space="preserve">: a) La tendencia mundial reciente para definir la tasa de descuento social es utilizar la tasa de los bonos soberanos para evaluar proyectos de inversión. La tasa de los bonos soberanos promedio de países desarrollados es de 7% y los bonos soberanos del Ecuador caen en esa categoría </w:t>
      </w:r>
      <w:r w:rsidR="00791266" w:rsidRPr="000015B2">
        <w:rPr>
          <w:rFonts w:ascii="Arial" w:hAnsi="Arial" w:cs="Arial"/>
          <w:sz w:val="18"/>
          <w:szCs w:val="18"/>
          <w:highlight w:val="yellow"/>
          <w:lang w:val="es-PE"/>
        </w:rPr>
        <w:t>(</w:t>
      </w:r>
      <w:r w:rsidR="00791266" w:rsidRPr="00C362AD">
        <w:rPr>
          <w:rFonts w:ascii="Arial" w:hAnsi="Arial" w:cs="Arial"/>
          <w:sz w:val="18"/>
          <w:szCs w:val="18"/>
          <w:lang w:val="es-PE"/>
        </w:rPr>
        <w:t xml:space="preserve">ver nota del </w:t>
      </w:r>
      <w:r w:rsidR="00CA6AA4">
        <w:fldChar w:fldCharType="begin"/>
      </w:r>
      <w:r w:rsidR="00CA6AA4" w:rsidRPr="00CA6AA4">
        <w:rPr>
          <w:lang w:val="es-ES"/>
        </w:rPr>
        <w:instrText xml:space="preserve"> HYPERLINK "https://www.federalreserve.gov/econresdata/notes/feds-notes/201</w:instrText>
      </w:r>
      <w:r w:rsidR="00CA6AA4" w:rsidRPr="00CA6AA4">
        <w:rPr>
          <w:lang w:val="es-ES"/>
        </w:rPr>
        <w:instrText xml:space="preserve">4/the-social-discount-rate-in-developing-countries-20141009.html" </w:instrText>
      </w:r>
      <w:r w:rsidR="00CA6AA4">
        <w:fldChar w:fldCharType="separate"/>
      </w:r>
      <w:r w:rsidR="00791266" w:rsidRPr="00C362AD">
        <w:rPr>
          <w:rStyle w:val="Hyperlink"/>
          <w:rFonts w:ascii="Arial" w:hAnsi="Arial" w:cs="Arial"/>
          <w:sz w:val="18"/>
          <w:szCs w:val="18"/>
          <w:lang w:val="es-ES"/>
        </w:rPr>
        <w:t>FED americano</w:t>
      </w:r>
      <w:r w:rsidR="00CA6AA4">
        <w:rPr>
          <w:rStyle w:val="Hyperlink"/>
          <w:rFonts w:ascii="Arial" w:hAnsi="Arial" w:cs="Arial"/>
          <w:sz w:val="18"/>
          <w:szCs w:val="18"/>
          <w:lang w:val="es-ES"/>
        </w:rPr>
        <w:fldChar w:fldCharType="end"/>
      </w:r>
      <w:r w:rsidR="00791266" w:rsidRPr="00C362AD">
        <w:rPr>
          <w:rFonts w:ascii="Arial" w:hAnsi="Arial" w:cs="Arial"/>
          <w:sz w:val="18"/>
          <w:szCs w:val="18"/>
          <w:lang w:val="es-PE"/>
        </w:rPr>
        <w:t xml:space="preserve"> </w:t>
      </w:r>
      <w:r w:rsidR="00920F51" w:rsidRPr="00C362AD">
        <w:rPr>
          <w:rFonts w:ascii="Arial" w:hAnsi="Arial" w:cs="Arial"/>
          <w:sz w:val="18"/>
          <w:szCs w:val="18"/>
          <w:lang w:val="es-PE"/>
        </w:rPr>
        <w:t>sobre esta materia</w:t>
      </w:r>
      <w:r w:rsidR="00791266" w:rsidRPr="00C362AD">
        <w:rPr>
          <w:rFonts w:ascii="Arial" w:hAnsi="Arial" w:cs="Arial"/>
          <w:sz w:val="18"/>
          <w:szCs w:val="18"/>
          <w:lang w:val="es-PE"/>
        </w:rPr>
        <w:t>. Hace 15 años no se utilizaba la tasa de los bonos soberanos porque los países en desarrollo no tenían acceso a estos mercados; b) La economía ecuatoriana usa el dólar americano como moneda oficial. En los Estados Unidos, las tasas de descuento que la Oficina de Administración y Presupuesto (OMB) recomienda que los costos y beneficios del proyecto se descuenten a dos tasas constantes: 3% y 7%. El primero es el rendimiento promedio a 10 años de los bonos del gobierno, tomado como una estimación de la tasa social de preferencia temporal. El segundo es la tasa media de rendimiento antes de impuestos del capital privado, tomada como una estimación del costo de oportunidad del capital. Adicionalmente, la metodología que se usa no es la metodología tradicional de Valor Presente Neto sino de costo-efectividad, donde la tasa de descuento se aplica tanto a los costos como a la efectividad, esta metodología hace que los resultados sean menos sensibles a la tasa de descuento utilizada. Se hicieron pruebas con diferentes tasas de descuento (7%, 10%, y 12%) y los resultados son muy similares para las diferentes tasas.</w:t>
      </w:r>
    </w:p>
  </w:footnote>
  <w:footnote w:id="34">
    <w:p w14:paraId="588D4507" w14:textId="5E518BD0" w:rsidR="00B96FF1" w:rsidRPr="00C362AD" w:rsidRDefault="00B96FF1" w:rsidP="00C362AD">
      <w:pPr>
        <w:pStyle w:val="FootnoteText"/>
        <w:ind w:left="360" w:hanging="360"/>
        <w:rPr>
          <w:rFonts w:ascii="Arial" w:hAnsi="Arial" w:cs="Arial"/>
          <w:sz w:val="18"/>
          <w:szCs w:val="18"/>
          <w:lang w:val="es-PE"/>
        </w:rPr>
      </w:pPr>
      <w:r w:rsidRPr="00C362AD">
        <w:rPr>
          <w:rStyle w:val="FootnoteReference"/>
          <w:rFonts w:ascii="Arial" w:hAnsi="Arial" w:cs="Arial"/>
          <w:sz w:val="18"/>
          <w:szCs w:val="18"/>
        </w:rPr>
        <w:footnoteRef/>
      </w:r>
      <w:r w:rsidR="00C362AD">
        <w:rPr>
          <w:rFonts w:ascii="Arial" w:hAnsi="Arial" w:cs="Arial"/>
          <w:sz w:val="18"/>
          <w:szCs w:val="18"/>
          <w:lang w:val="es-PE"/>
        </w:rPr>
        <w:t xml:space="preserve"> </w:t>
      </w:r>
      <w:r w:rsidR="00C362AD">
        <w:rPr>
          <w:rFonts w:ascii="Arial" w:hAnsi="Arial" w:cs="Arial"/>
          <w:sz w:val="18"/>
          <w:szCs w:val="18"/>
          <w:lang w:val="es-PE"/>
        </w:rPr>
        <w:tab/>
      </w:r>
      <w:r w:rsidRPr="00C362AD">
        <w:rPr>
          <w:rFonts w:ascii="Arial" w:hAnsi="Arial" w:cs="Arial"/>
          <w:sz w:val="18"/>
          <w:szCs w:val="18"/>
          <w:lang w:val="es-PE"/>
        </w:rPr>
        <w:t xml:space="preserve">El VPN del costo anual con programa contempla el monto de inversión del programa menos la reducción de costos que se lograría en el presupuesto inicial producto de los ahorros que se generan por la introducción de nuevos equipos. Un ejemplo de esta reducción es el ahorro en gastos de notificaciones a los contribuyentes que pasarían de notificaciones físicas a notificaciones </w:t>
      </w:r>
      <w:proofErr w:type="spellStart"/>
      <w:r w:rsidRPr="00C362AD">
        <w:rPr>
          <w:rFonts w:ascii="Arial" w:hAnsi="Arial" w:cs="Arial"/>
          <w:sz w:val="18"/>
          <w:szCs w:val="18"/>
          <w:lang w:val="es-PE"/>
        </w:rPr>
        <w:t>electronicas</w:t>
      </w:r>
      <w:proofErr w:type="spellEnd"/>
      <w:r w:rsidRPr="00C362AD">
        <w:rPr>
          <w:rFonts w:ascii="Arial" w:hAnsi="Arial" w:cs="Arial"/>
          <w:sz w:val="18"/>
          <w:szCs w:val="18"/>
          <w:lang w:val="es-PE"/>
        </w:rPr>
        <w:t xml:space="preserve">. El ahorro se ha estimado en </w:t>
      </w:r>
      <w:proofErr w:type="spellStart"/>
      <w:r w:rsidRPr="00C362AD">
        <w:rPr>
          <w:rFonts w:ascii="Arial" w:hAnsi="Arial" w:cs="Arial"/>
          <w:sz w:val="18"/>
          <w:szCs w:val="18"/>
          <w:lang w:val="es-PE"/>
        </w:rPr>
        <w:t>en</w:t>
      </w:r>
      <w:proofErr w:type="spellEnd"/>
      <w:r w:rsidRPr="00C362AD">
        <w:rPr>
          <w:rFonts w:ascii="Arial" w:hAnsi="Arial" w:cs="Arial"/>
          <w:sz w:val="18"/>
          <w:szCs w:val="18"/>
          <w:lang w:val="es-PE"/>
        </w:rPr>
        <w:t xml:space="preserve"> 4% del presupuesto original tanto del SRI como del SENAE. Para los dos primeros años del programa se ha estimado que el ahorro es equivalente a 2% del presupuesto original.</w:t>
      </w:r>
    </w:p>
  </w:footnote>
  <w:footnote w:id="35">
    <w:p w14:paraId="297F8A90" w14:textId="53FD93B1" w:rsidR="00B96FF1" w:rsidRPr="00C362AD" w:rsidRDefault="00B96FF1" w:rsidP="00C362AD">
      <w:pPr>
        <w:pStyle w:val="FootnoteText"/>
        <w:ind w:left="360" w:hanging="360"/>
        <w:jc w:val="both"/>
        <w:rPr>
          <w:rFonts w:ascii="Arial" w:hAnsi="Arial" w:cs="Arial"/>
          <w:sz w:val="18"/>
          <w:szCs w:val="18"/>
          <w:lang w:val="es-PE"/>
        </w:rPr>
      </w:pPr>
      <w:r w:rsidRPr="00C362AD">
        <w:rPr>
          <w:rStyle w:val="FootnoteReference"/>
          <w:rFonts w:ascii="Arial" w:hAnsi="Arial" w:cs="Arial"/>
          <w:sz w:val="18"/>
          <w:szCs w:val="18"/>
        </w:rPr>
        <w:footnoteRef/>
      </w:r>
      <w:r w:rsidRPr="00C362AD">
        <w:rPr>
          <w:rFonts w:ascii="Arial" w:hAnsi="Arial" w:cs="Arial"/>
          <w:sz w:val="18"/>
          <w:szCs w:val="18"/>
          <w:lang w:val="es-PE"/>
        </w:rPr>
        <w:t xml:space="preserve"> </w:t>
      </w:r>
      <w:r w:rsidR="00C362AD">
        <w:rPr>
          <w:rFonts w:ascii="Arial" w:hAnsi="Arial" w:cs="Arial"/>
          <w:sz w:val="18"/>
          <w:szCs w:val="18"/>
          <w:lang w:val="es-PE"/>
        </w:rPr>
        <w:tab/>
      </w:r>
      <w:r w:rsidRPr="00C362AD">
        <w:rPr>
          <w:rFonts w:ascii="Arial" w:hAnsi="Arial" w:cs="Arial"/>
          <w:sz w:val="18"/>
          <w:szCs w:val="18"/>
          <w:lang w:val="es-PE"/>
        </w:rPr>
        <w:t xml:space="preserve">El incremento de la recaudación adicional se ha estimado con base a las metas definidas por el SRI y el SENAE y la experiencia de países en la región. Se han realizado análisis de sensibilidad para confirmar la validez de estos supuestos. </w:t>
      </w:r>
      <w:r w:rsidR="00580BAD" w:rsidRPr="00C362AD">
        <w:rPr>
          <w:rFonts w:ascii="Arial" w:hAnsi="Arial" w:cs="Arial"/>
          <w:sz w:val="18"/>
          <w:szCs w:val="18"/>
          <w:lang w:val="es-PE"/>
        </w:rPr>
        <w:t xml:space="preserve">Los incrementos de 2.5% y 6% fueron negociados directamente con el staff del SRI y el SENAE. Por lo </w:t>
      </w:r>
      <w:r w:rsidR="00081E3C" w:rsidRPr="00C362AD">
        <w:rPr>
          <w:rFonts w:ascii="Arial" w:hAnsi="Arial" w:cs="Arial"/>
          <w:sz w:val="18"/>
          <w:szCs w:val="18"/>
          <w:lang w:val="es-PE"/>
        </w:rPr>
        <w:t>tanto,</w:t>
      </w:r>
      <w:r w:rsidR="00580BAD" w:rsidRPr="00C362AD">
        <w:rPr>
          <w:rFonts w:ascii="Arial" w:hAnsi="Arial" w:cs="Arial"/>
          <w:sz w:val="18"/>
          <w:szCs w:val="18"/>
          <w:lang w:val="es-PE"/>
        </w:rPr>
        <w:t xml:space="preserve"> son supuestos para el modelo de evaluación económica.  Como resultado de estos supuestos y los supuestos macroeconómicos (basados en las proyecciones del FMI) se obtienen los indicadores de </w:t>
      </w:r>
      <w:r w:rsidR="00081E3C" w:rsidRPr="00C362AD">
        <w:rPr>
          <w:rFonts w:ascii="Arial" w:hAnsi="Arial" w:cs="Arial"/>
          <w:sz w:val="18"/>
          <w:szCs w:val="18"/>
          <w:lang w:val="es-PE"/>
        </w:rPr>
        <w:t>impacto que</w:t>
      </w:r>
      <w:r w:rsidR="00580BAD" w:rsidRPr="00C362AD">
        <w:rPr>
          <w:rFonts w:ascii="Arial" w:hAnsi="Arial" w:cs="Arial"/>
          <w:sz w:val="18"/>
          <w:szCs w:val="18"/>
          <w:lang w:val="es-PE"/>
        </w:rPr>
        <w:t xml:space="preserve"> arroja que la Recaudación/PIB pasará de 12.8% para 13% en 2027. Los incrementos negociados con el staff del SRI y SENAE son bastante conservadores como lo demuestran los estudios de sensibilidad realizados tanto por el lado de los costos como por el lado de la efectividad.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1865486865"/>
      <w:docPartObj>
        <w:docPartGallery w:val="Page Numbers (Top of Page)"/>
        <w:docPartUnique/>
      </w:docPartObj>
    </w:sdtPr>
    <w:sdtEndPr>
      <w:rPr>
        <w:noProof/>
      </w:rPr>
    </w:sdtEndPr>
    <w:sdtContent>
      <w:p w14:paraId="4140B010" w14:textId="77777777" w:rsidR="00B96FF1" w:rsidRDefault="00B96FF1" w:rsidP="001E6003">
        <w:pPr>
          <w:pStyle w:val="Header"/>
          <w:jc w:val="center"/>
          <w:rPr>
            <w:rFonts w:ascii="Arial" w:hAnsi="Arial" w:cs="Arial"/>
            <w:sz w:val="18"/>
            <w:szCs w:val="18"/>
          </w:rPr>
        </w:pPr>
        <w:r>
          <w:rPr>
            <w:rFonts w:ascii="Arial" w:hAnsi="Arial" w:cs="Arial"/>
            <w:sz w:val="18"/>
            <w:szCs w:val="18"/>
          </w:rPr>
          <w:t xml:space="preserve">- </w:t>
        </w:r>
        <w:r>
          <w:rPr>
            <w:rFonts w:ascii="Arial" w:hAnsi="Arial" w:cs="Arial"/>
            <w:sz w:val="18"/>
            <w:szCs w:val="18"/>
          </w:rPr>
          <w:fldChar w:fldCharType="begin"/>
        </w:r>
        <w:r>
          <w:rPr>
            <w:rFonts w:ascii="Arial" w:hAnsi="Arial" w:cs="Arial"/>
            <w:sz w:val="18"/>
            <w:szCs w:val="18"/>
          </w:rPr>
          <w:instrText xml:space="preserve"> PAGE   \* MERGEFORMAT </w:instrText>
        </w:r>
        <w:r>
          <w:rPr>
            <w:rFonts w:ascii="Arial" w:hAnsi="Arial" w:cs="Arial"/>
            <w:sz w:val="18"/>
            <w:szCs w:val="18"/>
          </w:rPr>
          <w:fldChar w:fldCharType="separate"/>
        </w:r>
        <w:r>
          <w:rPr>
            <w:rFonts w:ascii="Arial" w:hAnsi="Arial" w:cs="Arial"/>
            <w:noProof/>
            <w:sz w:val="18"/>
            <w:szCs w:val="18"/>
          </w:rPr>
          <w:t>4</w:t>
        </w:r>
        <w:r>
          <w:rPr>
            <w:rFonts w:ascii="Arial" w:hAnsi="Arial" w:cs="Arial"/>
            <w:noProof/>
            <w:sz w:val="18"/>
            <w:szCs w:val="18"/>
          </w:rPr>
          <w:fldChar w:fldCharType="end"/>
        </w:r>
        <w:r>
          <w:rPr>
            <w:rFonts w:ascii="Arial" w:hAnsi="Arial" w:cs="Arial"/>
            <w:noProof/>
            <w:sz w:val="18"/>
            <w:szCs w:val="18"/>
          </w:rPr>
          <w:t xml:space="preserve"> -</w:t>
        </w:r>
      </w:p>
    </w:sdtContent>
  </w:sdt>
  <w:p w14:paraId="69AF393D" w14:textId="77777777" w:rsidR="00B96FF1" w:rsidRDefault="00B96FF1">
    <w:pPr>
      <w:pStyle w:val="Header"/>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856FE4"/>
    <w:multiLevelType w:val="hybridMultilevel"/>
    <w:tmpl w:val="61AA10A8"/>
    <w:lvl w:ilvl="0" w:tplc="E638B49C">
      <w:start w:val="1"/>
      <w:numFmt w:val="lowerRoman"/>
      <w:lvlText w:val="(%1)"/>
      <w:lvlJc w:val="left"/>
      <w:pPr>
        <w:ind w:left="1710" w:hanging="360"/>
      </w:pPr>
      <w:rPr>
        <w:rFonts w:hint="default"/>
        <w:b w:val="0"/>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E903921"/>
    <w:multiLevelType w:val="multilevel"/>
    <w:tmpl w:val="59628D86"/>
    <w:lvl w:ilvl="0">
      <w:start w:val="1"/>
      <w:numFmt w:val="upperRoman"/>
      <w:lvlText w:val="%1."/>
      <w:lvlJc w:val="center"/>
      <w:pPr>
        <w:tabs>
          <w:tab w:val="num" w:pos="1800"/>
        </w:tabs>
        <w:ind w:left="1152" w:firstLine="288"/>
      </w:pPr>
      <w:rPr>
        <w:b/>
        <w:i w:val="0"/>
      </w:rPr>
    </w:lvl>
    <w:lvl w:ilvl="1">
      <w:start w:val="1"/>
      <w:numFmt w:val="decimal"/>
      <w:lvlText w:val="%1.%2"/>
      <w:lvlJc w:val="left"/>
      <w:pPr>
        <w:tabs>
          <w:tab w:val="num" w:pos="1296"/>
        </w:tabs>
        <w:ind w:left="1296" w:hanging="1296"/>
      </w:pPr>
      <w:rPr>
        <w:b w:val="0"/>
        <w:sz w:val="22"/>
        <w:szCs w:val="22"/>
      </w:rPr>
    </w:lvl>
    <w:lvl w:ilvl="2">
      <w:start w:val="1"/>
      <w:numFmt w:val="lowerRoman"/>
      <w:lvlText w:val="(%3)"/>
      <w:lvlJc w:val="left"/>
      <w:pPr>
        <w:tabs>
          <w:tab w:val="num" w:pos="2304"/>
        </w:tabs>
        <w:ind w:left="2304" w:hanging="432"/>
      </w:pPr>
      <w:rPr>
        <w:rFonts w:ascii="Arial" w:eastAsiaTheme="minorEastAsia" w:hAnsi="Arial" w:cs="Arial"/>
        <w:b w:val="0"/>
      </w:r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 w15:restartNumberingAfterBreak="0">
    <w:nsid w:val="24F6308C"/>
    <w:multiLevelType w:val="multilevel"/>
    <w:tmpl w:val="DEEC9A92"/>
    <w:lvl w:ilvl="0">
      <w:start w:val="1"/>
      <w:numFmt w:val="upperRoman"/>
      <w:lvlText w:val="%1."/>
      <w:lvlJc w:val="center"/>
      <w:pPr>
        <w:tabs>
          <w:tab w:val="num" w:pos="1800"/>
        </w:tabs>
        <w:ind w:left="1152" w:firstLine="288"/>
      </w:pPr>
      <w:rPr>
        <w:b/>
        <w:i w:val="0"/>
      </w:rPr>
    </w:lvl>
    <w:lvl w:ilvl="1">
      <w:start w:val="1"/>
      <w:numFmt w:val="decimal"/>
      <w:lvlText w:val="%1.%2"/>
      <w:lvlJc w:val="left"/>
      <w:pPr>
        <w:tabs>
          <w:tab w:val="num" w:pos="1296"/>
        </w:tabs>
        <w:ind w:left="1296" w:hanging="1296"/>
      </w:pPr>
      <w:rPr>
        <w:b w:val="0"/>
        <w:sz w:val="22"/>
        <w:szCs w:val="22"/>
      </w:rPr>
    </w:lvl>
    <w:lvl w:ilvl="2">
      <w:start w:val="1"/>
      <w:numFmt w:val="lowerRoman"/>
      <w:lvlText w:val="(%3)"/>
      <w:lvlJc w:val="left"/>
      <w:pPr>
        <w:ind w:left="2232" w:hanging="360"/>
      </w:pPr>
      <w:rPr>
        <w:rFonts w:ascii="Arial" w:hAnsi="Arial" w:cs="Arial" w:hint="default"/>
        <w:color w:val="auto"/>
        <w:sz w:val="22"/>
        <w:szCs w:val="22"/>
      </w:r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3" w15:restartNumberingAfterBreak="0">
    <w:nsid w:val="29EF02CD"/>
    <w:multiLevelType w:val="multilevel"/>
    <w:tmpl w:val="C7D4C750"/>
    <w:lvl w:ilvl="0">
      <w:start w:val="1"/>
      <w:numFmt w:val="upperRoman"/>
      <w:lvlText w:val="%1."/>
      <w:lvlJc w:val="center"/>
      <w:pPr>
        <w:tabs>
          <w:tab w:val="num" w:pos="1800"/>
        </w:tabs>
        <w:ind w:left="1152" w:firstLine="288"/>
      </w:pPr>
      <w:rPr>
        <w:b/>
        <w:i w:val="0"/>
      </w:rPr>
    </w:lvl>
    <w:lvl w:ilvl="1">
      <w:start w:val="1"/>
      <w:numFmt w:val="decimal"/>
      <w:lvlText w:val="%1.%2"/>
      <w:lvlJc w:val="left"/>
      <w:pPr>
        <w:tabs>
          <w:tab w:val="num" w:pos="1296"/>
        </w:tabs>
        <w:ind w:left="1296" w:hanging="1296"/>
      </w:pPr>
      <w:rPr>
        <w:b w:val="0"/>
        <w:sz w:val="22"/>
        <w:szCs w:val="22"/>
      </w:rPr>
    </w:lvl>
    <w:lvl w:ilvl="2">
      <w:start w:val="1"/>
      <w:numFmt w:val="lowerRoman"/>
      <w:lvlText w:val="(%3)"/>
      <w:lvlJc w:val="left"/>
      <w:pPr>
        <w:ind w:left="2232" w:hanging="360"/>
      </w:pPr>
      <w:rPr>
        <w:rFonts w:ascii="Arial" w:hAnsi="Arial" w:cs="Arial" w:hint="default"/>
        <w:color w:val="auto"/>
        <w:sz w:val="22"/>
        <w:szCs w:val="22"/>
      </w:r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4" w15:restartNumberingAfterBreak="0">
    <w:nsid w:val="2CB6018D"/>
    <w:multiLevelType w:val="hybridMultilevel"/>
    <w:tmpl w:val="668CAA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25073F6"/>
    <w:multiLevelType w:val="hybridMultilevel"/>
    <w:tmpl w:val="477CACE8"/>
    <w:lvl w:ilvl="0" w:tplc="7C5422F6">
      <w:start w:val="1"/>
      <w:numFmt w:val="lowerRoman"/>
      <w:lvlText w:val="(%1)"/>
      <w:lvlJc w:val="left"/>
      <w:pPr>
        <w:ind w:left="1440" w:hanging="360"/>
      </w:pPr>
      <w:rPr>
        <w:rFonts w:hint="default"/>
      </w:rPr>
    </w:lvl>
    <w:lvl w:ilvl="1" w:tplc="300A0019">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6" w15:restartNumberingAfterBreak="0">
    <w:nsid w:val="359B4991"/>
    <w:multiLevelType w:val="multilevel"/>
    <w:tmpl w:val="0F9E94C8"/>
    <w:lvl w:ilvl="0">
      <w:start w:val="1"/>
      <w:numFmt w:val="upperRoman"/>
      <w:lvlRestart w:val="0"/>
      <w:lvlText w:val="%1."/>
      <w:lvlJc w:val="center"/>
      <w:pPr>
        <w:tabs>
          <w:tab w:val="num" w:pos="1800"/>
        </w:tabs>
        <w:ind w:left="1152" w:firstLine="288"/>
      </w:pPr>
      <w:rPr>
        <w:b/>
        <w:i w:val="0"/>
        <w:lang w:val="es-ES_tradnl"/>
      </w:rPr>
    </w:lvl>
    <w:lvl w:ilvl="1">
      <w:start w:val="1"/>
      <w:numFmt w:val="decima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7" w15:restartNumberingAfterBreak="0">
    <w:nsid w:val="36870FCB"/>
    <w:multiLevelType w:val="hybridMultilevel"/>
    <w:tmpl w:val="8898AA26"/>
    <w:lvl w:ilvl="0" w:tplc="FE7219BC">
      <w:start w:val="1"/>
      <w:numFmt w:val="lowerRoman"/>
      <w:lvlText w:val="(%1)"/>
      <w:lvlJc w:val="left"/>
      <w:pPr>
        <w:ind w:left="2160" w:hanging="720"/>
      </w:pPr>
      <w:rPr>
        <w:rFonts w:hint="default"/>
        <w:b w:val="0"/>
        <w:color w:val="auto"/>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44594911"/>
    <w:multiLevelType w:val="multilevel"/>
    <w:tmpl w:val="12FA4342"/>
    <w:lvl w:ilvl="0">
      <w:start w:val="1"/>
      <w:numFmt w:val="decimal"/>
      <w:lvlText w:val="%1"/>
      <w:lvlJc w:val="left"/>
      <w:pPr>
        <w:ind w:left="360" w:hanging="360"/>
      </w:pPr>
      <w:rPr>
        <w:rFonts w:hint="default"/>
      </w:rPr>
    </w:lvl>
    <w:lvl w:ilvl="1">
      <w:start w:val="1"/>
      <w:numFmt w:val="decimal"/>
      <w:lvlText w:val="%1.%2"/>
      <w:lvlJc w:val="left"/>
      <w:pPr>
        <w:ind w:left="1260" w:hanging="360"/>
      </w:pPr>
      <w:rPr>
        <w:rFonts w:ascii="Arial" w:hAnsi="Arial" w:cs="Arial"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CDB4241"/>
    <w:multiLevelType w:val="hybridMultilevel"/>
    <w:tmpl w:val="914691EA"/>
    <w:lvl w:ilvl="0" w:tplc="4CD4CEC8">
      <w:start w:val="1"/>
      <w:numFmt w:val="lowerLetter"/>
      <w:lvlText w:val="(%1)"/>
      <w:lvlJc w:val="left"/>
      <w:pPr>
        <w:ind w:left="274" w:hanging="360"/>
      </w:pPr>
      <w:rPr>
        <w:rFonts w:hint="default"/>
        <w:sz w:val="16"/>
        <w:szCs w:val="16"/>
        <w:vertAlign w:val="subscript"/>
      </w:rPr>
    </w:lvl>
    <w:lvl w:ilvl="1" w:tplc="04090019" w:tentative="1">
      <w:start w:val="1"/>
      <w:numFmt w:val="lowerLetter"/>
      <w:lvlText w:val="%2."/>
      <w:lvlJc w:val="left"/>
      <w:pPr>
        <w:ind w:left="994" w:hanging="360"/>
      </w:pPr>
    </w:lvl>
    <w:lvl w:ilvl="2" w:tplc="0409001B" w:tentative="1">
      <w:start w:val="1"/>
      <w:numFmt w:val="lowerRoman"/>
      <w:lvlText w:val="%3."/>
      <w:lvlJc w:val="right"/>
      <w:pPr>
        <w:ind w:left="1714" w:hanging="180"/>
      </w:pPr>
    </w:lvl>
    <w:lvl w:ilvl="3" w:tplc="0409000F" w:tentative="1">
      <w:start w:val="1"/>
      <w:numFmt w:val="decimal"/>
      <w:lvlText w:val="%4."/>
      <w:lvlJc w:val="left"/>
      <w:pPr>
        <w:ind w:left="2434" w:hanging="360"/>
      </w:pPr>
    </w:lvl>
    <w:lvl w:ilvl="4" w:tplc="04090019" w:tentative="1">
      <w:start w:val="1"/>
      <w:numFmt w:val="lowerLetter"/>
      <w:lvlText w:val="%5."/>
      <w:lvlJc w:val="left"/>
      <w:pPr>
        <w:ind w:left="3154" w:hanging="360"/>
      </w:pPr>
    </w:lvl>
    <w:lvl w:ilvl="5" w:tplc="0409001B" w:tentative="1">
      <w:start w:val="1"/>
      <w:numFmt w:val="lowerRoman"/>
      <w:lvlText w:val="%6."/>
      <w:lvlJc w:val="right"/>
      <w:pPr>
        <w:ind w:left="3874" w:hanging="180"/>
      </w:pPr>
    </w:lvl>
    <w:lvl w:ilvl="6" w:tplc="0409000F" w:tentative="1">
      <w:start w:val="1"/>
      <w:numFmt w:val="decimal"/>
      <w:lvlText w:val="%7."/>
      <w:lvlJc w:val="left"/>
      <w:pPr>
        <w:ind w:left="4594" w:hanging="360"/>
      </w:pPr>
    </w:lvl>
    <w:lvl w:ilvl="7" w:tplc="04090019" w:tentative="1">
      <w:start w:val="1"/>
      <w:numFmt w:val="lowerLetter"/>
      <w:lvlText w:val="%8."/>
      <w:lvlJc w:val="left"/>
      <w:pPr>
        <w:ind w:left="5314" w:hanging="360"/>
      </w:pPr>
    </w:lvl>
    <w:lvl w:ilvl="8" w:tplc="0409001B" w:tentative="1">
      <w:start w:val="1"/>
      <w:numFmt w:val="lowerRoman"/>
      <w:lvlText w:val="%9."/>
      <w:lvlJc w:val="right"/>
      <w:pPr>
        <w:ind w:left="6034" w:hanging="180"/>
      </w:pPr>
    </w:lvl>
  </w:abstractNum>
  <w:abstractNum w:abstractNumId="10" w15:restartNumberingAfterBreak="0">
    <w:nsid w:val="4F303563"/>
    <w:multiLevelType w:val="multilevel"/>
    <w:tmpl w:val="C486C47E"/>
    <w:lvl w:ilvl="0">
      <w:start w:val="1"/>
      <w:numFmt w:val="lowerRoman"/>
      <w:lvlText w:val="(%1)"/>
      <w:lvlJc w:val="left"/>
      <w:pPr>
        <w:ind w:left="1080" w:hanging="360"/>
      </w:pPr>
      <w:rPr>
        <w:rFonts w:hint="default"/>
      </w:rPr>
    </w:lvl>
    <w:lvl w:ilvl="1">
      <w:start w:val="1"/>
      <w:numFmt w:val="decimal"/>
      <w:lvlText w:val="%1.%2"/>
      <w:lvlJc w:val="left"/>
      <w:pPr>
        <w:ind w:left="1980" w:hanging="360"/>
      </w:pPr>
      <w:rPr>
        <w:rFonts w:ascii="Arial" w:hAnsi="Arial" w:cs="Arial" w:hint="default"/>
        <w:b w:val="0"/>
        <w:bCs w:val="0"/>
      </w:rPr>
    </w:lvl>
    <w:lvl w:ilvl="2">
      <w:start w:val="1"/>
      <w:numFmt w:val="decimal"/>
      <w:lvlText w:val="%1.%2.%3"/>
      <w:lvlJc w:val="left"/>
      <w:pPr>
        <w:ind w:left="144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80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520" w:hanging="1800"/>
      </w:pPr>
      <w:rPr>
        <w:rFonts w:hint="default"/>
      </w:rPr>
    </w:lvl>
  </w:abstractNum>
  <w:abstractNum w:abstractNumId="11" w15:restartNumberingAfterBreak="0">
    <w:nsid w:val="51167283"/>
    <w:multiLevelType w:val="multilevel"/>
    <w:tmpl w:val="D7EE6046"/>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12" w15:restartNumberingAfterBreak="0">
    <w:nsid w:val="51C96177"/>
    <w:multiLevelType w:val="multilevel"/>
    <w:tmpl w:val="5596BE06"/>
    <w:lvl w:ilvl="0">
      <w:start w:val="1"/>
      <w:numFmt w:val="decimal"/>
      <w:lvlText w:val="%1"/>
      <w:lvlJc w:val="left"/>
      <w:pPr>
        <w:ind w:left="360" w:hanging="360"/>
      </w:pPr>
      <w:rPr>
        <w:rFonts w:eastAsia="Calibri" w:hint="default"/>
        <w:color w:val="auto"/>
      </w:rPr>
    </w:lvl>
    <w:lvl w:ilvl="1">
      <w:start w:val="1"/>
      <w:numFmt w:val="decimal"/>
      <w:lvlText w:val="%1.%2"/>
      <w:lvlJc w:val="left"/>
      <w:pPr>
        <w:ind w:left="1080" w:hanging="360"/>
      </w:pPr>
      <w:rPr>
        <w:rFonts w:eastAsia="Calibri" w:hint="default"/>
        <w:b w:val="0"/>
        <w:bCs/>
        <w:color w:val="auto"/>
      </w:rPr>
    </w:lvl>
    <w:lvl w:ilvl="2">
      <w:start w:val="1"/>
      <w:numFmt w:val="decimal"/>
      <w:lvlText w:val="%1.%2.%3"/>
      <w:lvlJc w:val="left"/>
      <w:pPr>
        <w:ind w:left="2160" w:hanging="720"/>
      </w:pPr>
      <w:rPr>
        <w:rFonts w:eastAsia="Calibri" w:hint="default"/>
        <w:color w:val="auto"/>
      </w:rPr>
    </w:lvl>
    <w:lvl w:ilvl="3">
      <w:start w:val="1"/>
      <w:numFmt w:val="decimal"/>
      <w:lvlText w:val="%1.%2.%3.%4"/>
      <w:lvlJc w:val="left"/>
      <w:pPr>
        <w:ind w:left="2880" w:hanging="720"/>
      </w:pPr>
      <w:rPr>
        <w:rFonts w:eastAsia="Calibri" w:hint="default"/>
        <w:color w:val="auto"/>
      </w:rPr>
    </w:lvl>
    <w:lvl w:ilvl="4">
      <w:start w:val="1"/>
      <w:numFmt w:val="decimal"/>
      <w:lvlText w:val="%1.%2.%3.%4.%5"/>
      <w:lvlJc w:val="left"/>
      <w:pPr>
        <w:ind w:left="3960" w:hanging="1080"/>
      </w:pPr>
      <w:rPr>
        <w:rFonts w:eastAsia="Calibri" w:hint="default"/>
        <w:color w:val="auto"/>
      </w:rPr>
    </w:lvl>
    <w:lvl w:ilvl="5">
      <w:start w:val="1"/>
      <w:numFmt w:val="decimal"/>
      <w:lvlText w:val="%1.%2.%3.%4.%5.%6"/>
      <w:lvlJc w:val="left"/>
      <w:pPr>
        <w:ind w:left="4680" w:hanging="1080"/>
      </w:pPr>
      <w:rPr>
        <w:rFonts w:eastAsia="Calibri" w:hint="default"/>
        <w:color w:val="auto"/>
      </w:rPr>
    </w:lvl>
    <w:lvl w:ilvl="6">
      <w:start w:val="1"/>
      <w:numFmt w:val="decimal"/>
      <w:lvlText w:val="%1.%2.%3.%4.%5.%6.%7"/>
      <w:lvlJc w:val="left"/>
      <w:pPr>
        <w:ind w:left="5760" w:hanging="1440"/>
      </w:pPr>
      <w:rPr>
        <w:rFonts w:eastAsia="Calibri" w:hint="default"/>
        <w:color w:val="auto"/>
      </w:rPr>
    </w:lvl>
    <w:lvl w:ilvl="7">
      <w:start w:val="1"/>
      <w:numFmt w:val="decimal"/>
      <w:lvlText w:val="%1.%2.%3.%4.%5.%6.%7.%8"/>
      <w:lvlJc w:val="left"/>
      <w:pPr>
        <w:ind w:left="6480" w:hanging="1440"/>
      </w:pPr>
      <w:rPr>
        <w:rFonts w:eastAsia="Calibri" w:hint="default"/>
        <w:color w:val="auto"/>
      </w:rPr>
    </w:lvl>
    <w:lvl w:ilvl="8">
      <w:start w:val="1"/>
      <w:numFmt w:val="decimal"/>
      <w:lvlText w:val="%1.%2.%3.%4.%5.%6.%7.%8.%9"/>
      <w:lvlJc w:val="left"/>
      <w:pPr>
        <w:ind w:left="7560" w:hanging="1800"/>
      </w:pPr>
      <w:rPr>
        <w:rFonts w:eastAsia="Calibri" w:hint="default"/>
        <w:color w:val="auto"/>
      </w:rPr>
    </w:lvl>
  </w:abstractNum>
  <w:abstractNum w:abstractNumId="13" w15:restartNumberingAfterBreak="0">
    <w:nsid w:val="569905A8"/>
    <w:multiLevelType w:val="multilevel"/>
    <w:tmpl w:val="B262F862"/>
    <w:lvl w:ilvl="0">
      <w:start w:val="1"/>
      <w:numFmt w:val="upperRoman"/>
      <w:lvlRestart w:val="0"/>
      <w:lvlText w:val="%1."/>
      <w:lvlJc w:val="center"/>
      <w:pPr>
        <w:tabs>
          <w:tab w:val="num" w:pos="2070"/>
        </w:tabs>
        <w:ind w:left="1422" w:firstLine="288"/>
      </w:pPr>
      <w:rPr>
        <w:b/>
        <w:i w:val="0"/>
      </w:rPr>
    </w:lvl>
    <w:lvl w:ilvl="1">
      <w:start w:val="1"/>
      <w:numFmt w:val="decimal"/>
      <w:lvlText w:val="%1.%2"/>
      <w:lvlJc w:val="left"/>
      <w:pPr>
        <w:tabs>
          <w:tab w:val="num" w:pos="1296"/>
        </w:tabs>
        <w:ind w:left="1296" w:hanging="1296"/>
      </w:pPr>
      <w:rPr>
        <w:b w:val="0"/>
        <w:bCs w:val="0"/>
        <w:i w:val="0"/>
        <w:color w:val="auto"/>
        <w:lang w:val="es-ES"/>
      </w:rPr>
    </w:lvl>
    <w:lvl w:ilvl="2">
      <w:start w:val="1"/>
      <w:numFmt w:val="lowerRoman"/>
      <w:lvlText w:val="%3."/>
      <w:lvlJc w:val="right"/>
      <w:pPr>
        <w:tabs>
          <w:tab w:val="num" w:pos="1332"/>
        </w:tabs>
        <w:ind w:left="1332" w:hanging="432"/>
      </w:pPr>
      <w:rPr>
        <w:rFonts w:hint="default"/>
        <w:b w:val="0"/>
        <w:bCs/>
        <w:sz w:val="22"/>
        <w:szCs w:val="22"/>
        <w:lang w:val="es-ES"/>
      </w:rPr>
    </w:lvl>
    <w:lvl w:ilvl="3">
      <w:start w:val="1"/>
      <w:numFmt w:val="lowerLetter"/>
      <w:lvlText w:val="%4."/>
      <w:lvlJc w:val="left"/>
      <w:pPr>
        <w:tabs>
          <w:tab w:val="num" w:pos="738"/>
        </w:tabs>
        <w:ind w:left="738"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14" w15:restartNumberingAfterBreak="0">
    <w:nsid w:val="5B477BC7"/>
    <w:multiLevelType w:val="multilevel"/>
    <w:tmpl w:val="4FC6DC7C"/>
    <w:lvl w:ilvl="0">
      <w:start w:val="1"/>
      <w:numFmt w:val="upperRoman"/>
      <w:lvlText w:val="%1."/>
      <w:lvlJc w:val="center"/>
      <w:pPr>
        <w:tabs>
          <w:tab w:val="num" w:pos="1800"/>
        </w:tabs>
        <w:ind w:left="1152" w:firstLine="288"/>
      </w:pPr>
      <w:rPr>
        <w:b/>
        <w:i w:val="0"/>
      </w:rPr>
    </w:lvl>
    <w:lvl w:ilvl="1">
      <w:start w:val="1"/>
      <w:numFmt w:val="decimal"/>
      <w:lvlText w:val="%1.%2"/>
      <w:lvlJc w:val="left"/>
      <w:pPr>
        <w:tabs>
          <w:tab w:val="num" w:pos="1296"/>
        </w:tabs>
        <w:ind w:left="1296" w:hanging="1296"/>
      </w:pPr>
      <w:rPr>
        <w:b w:val="0"/>
        <w:sz w:val="22"/>
        <w:szCs w:val="22"/>
      </w:rPr>
    </w:lvl>
    <w:lvl w:ilvl="2">
      <w:start w:val="1"/>
      <w:numFmt w:val="lowerLetter"/>
      <w:lvlText w:val="%3."/>
      <w:lvlJc w:val="left"/>
      <w:pPr>
        <w:tabs>
          <w:tab w:val="num" w:pos="2304"/>
        </w:tabs>
        <w:ind w:left="2304" w:hanging="432"/>
      </w:pPr>
      <w:rPr>
        <w:rFonts w:ascii="Arial" w:eastAsiaTheme="minorEastAsia" w:hAnsi="Arial" w:cs="Arial" w:hint="default"/>
        <w:b w:val="0"/>
      </w:r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5" w15:restartNumberingAfterBreak="0">
    <w:nsid w:val="607E0DA0"/>
    <w:multiLevelType w:val="hybridMultilevel"/>
    <w:tmpl w:val="1FFA285C"/>
    <w:lvl w:ilvl="0" w:tplc="CDE2F6AE">
      <w:start w:val="1"/>
      <w:numFmt w:val="lowerRoman"/>
      <w:lvlText w:val="(%1)"/>
      <w:lvlJc w:val="left"/>
      <w:pPr>
        <w:ind w:left="2160" w:hanging="720"/>
      </w:pPr>
      <w:rPr>
        <w:rFonts w:hint="default"/>
        <w:b w:val="0"/>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64C5303E"/>
    <w:multiLevelType w:val="multilevel"/>
    <w:tmpl w:val="78EEA9D4"/>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1296"/>
        </w:tabs>
        <w:ind w:left="1296" w:hanging="1296"/>
      </w:pPr>
      <w:rPr>
        <w:b w:val="0"/>
      </w:rPr>
    </w:lvl>
    <w:lvl w:ilvl="2">
      <w:start w:val="1"/>
      <w:numFmt w:val="lowerLetter"/>
      <w:pStyle w:val="subpar"/>
      <w:lvlText w:val="%3."/>
      <w:lvlJc w:val="left"/>
      <w:pPr>
        <w:tabs>
          <w:tab w:val="num" w:pos="1152"/>
        </w:tabs>
        <w:ind w:left="1152" w:hanging="432"/>
      </w:pPr>
    </w:lvl>
    <w:lvl w:ilvl="3">
      <w:start w:val="1"/>
      <w:numFmt w:val="lowerRoman"/>
      <w:lvlText w:val="%4."/>
      <w:lvlJc w:val="right"/>
      <w:pPr>
        <w:tabs>
          <w:tab w:val="num" w:pos="1584"/>
        </w:tabs>
        <w:ind w:left="1584" w:hanging="288"/>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64DE66CA"/>
    <w:multiLevelType w:val="hybridMultilevel"/>
    <w:tmpl w:val="477CACE8"/>
    <w:lvl w:ilvl="0" w:tplc="7C5422F6">
      <w:start w:val="1"/>
      <w:numFmt w:val="lowerRoman"/>
      <w:lvlText w:val="(%1)"/>
      <w:lvlJc w:val="left"/>
      <w:pPr>
        <w:ind w:left="3081" w:hanging="360"/>
      </w:pPr>
      <w:rPr>
        <w:rFonts w:hint="default"/>
      </w:rPr>
    </w:lvl>
    <w:lvl w:ilvl="1" w:tplc="300A0019" w:tentative="1">
      <w:start w:val="1"/>
      <w:numFmt w:val="lowerLetter"/>
      <w:lvlText w:val="%2."/>
      <w:lvlJc w:val="left"/>
      <w:pPr>
        <w:ind w:left="3801" w:hanging="360"/>
      </w:pPr>
    </w:lvl>
    <w:lvl w:ilvl="2" w:tplc="300A001B" w:tentative="1">
      <w:start w:val="1"/>
      <w:numFmt w:val="lowerRoman"/>
      <w:lvlText w:val="%3."/>
      <w:lvlJc w:val="right"/>
      <w:pPr>
        <w:ind w:left="4521" w:hanging="180"/>
      </w:pPr>
    </w:lvl>
    <w:lvl w:ilvl="3" w:tplc="300A000F" w:tentative="1">
      <w:start w:val="1"/>
      <w:numFmt w:val="decimal"/>
      <w:lvlText w:val="%4."/>
      <w:lvlJc w:val="left"/>
      <w:pPr>
        <w:ind w:left="5241" w:hanging="360"/>
      </w:pPr>
    </w:lvl>
    <w:lvl w:ilvl="4" w:tplc="300A0019" w:tentative="1">
      <w:start w:val="1"/>
      <w:numFmt w:val="lowerLetter"/>
      <w:lvlText w:val="%5."/>
      <w:lvlJc w:val="left"/>
      <w:pPr>
        <w:ind w:left="5961" w:hanging="360"/>
      </w:pPr>
    </w:lvl>
    <w:lvl w:ilvl="5" w:tplc="300A001B" w:tentative="1">
      <w:start w:val="1"/>
      <w:numFmt w:val="lowerRoman"/>
      <w:lvlText w:val="%6."/>
      <w:lvlJc w:val="right"/>
      <w:pPr>
        <w:ind w:left="6681" w:hanging="180"/>
      </w:pPr>
    </w:lvl>
    <w:lvl w:ilvl="6" w:tplc="300A000F" w:tentative="1">
      <w:start w:val="1"/>
      <w:numFmt w:val="decimal"/>
      <w:lvlText w:val="%7."/>
      <w:lvlJc w:val="left"/>
      <w:pPr>
        <w:ind w:left="7401" w:hanging="360"/>
      </w:pPr>
    </w:lvl>
    <w:lvl w:ilvl="7" w:tplc="300A0019" w:tentative="1">
      <w:start w:val="1"/>
      <w:numFmt w:val="lowerLetter"/>
      <w:lvlText w:val="%8."/>
      <w:lvlJc w:val="left"/>
      <w:pPr>
        <w:ind w:left="8121" w:hanging="360"/>
      </w:pPr>
    </w:lvl>
    <w:lvl w:ilvl="8" w:tplc="300A001B" w:tentative="1">
      <w:start w:val="1"/>
      <w:numFmt w:val="lowerRoman"/>
      <w:lvlText w:val="%9."/>
      <w:lvlJc w:val="right"/>
      <w:pPr>
        <w:ind w:left="8841" w:hanging="180"/>
      </w:pPr>
    </w:lvl>
  </w:abstractNum>
  <w:abstractNum w:abstractNumId="18" w15:restartNumberingAfterBreak="0">
    <w:nsid w:val="67B67BA1"/>
    <w:multiLevelType w:val="hybridMultilevel"/>
    <w:tmpl w:val="5F6285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BD522DF"/>
    <w:multiLevelType w:val="hybridMultilevel"/>
    <w:tmpl w:val="1BB8BE1E"/>
    <w:lvl w:ilvl="0" w:tplc="04090001">
      <w:start w:val="1"/>
      <w:numFmt w:val="bullet"/>
      <w:lvlText w:val=""/>
      <w:lvlJc w:val="left"/>
      <w:pPr>
        <w:ind w:left="274" w:hanging="360"/>
      </w:pPr>
      <w:rPr>
        <w:rFonts w:ascii="Symbol" w:hAnsi="Symbol" w:hint="default"/>
      </w:rPr>
    </w:lvl>
    <w:lvl w:ilvl="1" w:tplc="04090003">
      <w:start w:val="1"/>
      <w:numFmt w:val="bullet"/>
      <w:lvlText w:val="o"/>
      <w:lvlJc w:val="left"/>
      <w:pPr>
        <w:ind w:left="994" w:hanging="360"/>
      </w:pPr>
      <w:rPr>
        <w:rFonts w:ascii="Courier New" w:hAnsi="Courier New" w:cs="Courier New" w:hint="default"/>
      </w:rPr>
    </w:lvl>
    <w:lvl w:ilvl="2" w:tplc="04090005" w:tentative="1">
      <w:start w:val="1"/>
      <w:numFmt w:val="bullet"/>
      <w:lvlText w:val=""/>
      <w:lvlJc w:val="left"/>
      <w:pPr>
        <w:ind w:left="1714" w:hanging="360"/>
      </w:pPr>
      <w:rPr>
        <w:rFonts w:ascii="Wingdings" w:hAnsi="Wingdings" w:hint="default"/>
      </w:rPr>
    </w:lvl>
    <w:lvl w:ilvl="3" w:tplc="04090001" w:tentative="1">
      <w:start w:val="1"/>
      <w:numFmt w:val="bullet"/>
      <w:lvlText w:val=""/>
      <w:lvlJc w:val="left"/>
      <w:pPr>
        <w:ind w:left="2434" w:hanging="360"/>
      </w:pPr>
      <w:rPr>
        <w:rFonts w:ascii="Symbol" w:hAnsi="Symbol" w:hint="default"/>
      </w:rPr>
    </w:lvl>
    <w:lvl w:ilvl="4" w:tplc="04090003" w:tentative="1">
      <w:start w:val="1"/>
      <w:numFmt w:val="bullet"/>
      <w:lvlText w:val="o"/>
      <w:lvlJc w:val="left"/>
      <w:pPr>
        <w:ind w:left="3154" w:hanging="360"/>
      </w:pPr>
      <w:rPr>
        <w:rFonts w:ascii="Courier New" w:hAnsi="Courier New" w:cs="Courier New" w:hint="default"/>
      </w:rPr>
    </w:lvl>
    <w:lvl w:ilvl="5" w:tplc="04090005" w:tentative="1">
      <w:start w:val="1"/>
      <w:numFmt w:val="bullet"/>
      <w:lvlText w:val=""/>
      <w:lvlJc w:val="left"/>
      <w:pPr>
        <w:ind w:left="3874" w:hanging="360"/>
      </w:pPr>
      <w:rPr>
        <w:rFonts w:ascii="Wingdings" w:hAnsi="Wingdings" w:hint="default"/>
      </w:rPr>
    </w:lvl>
    <w:lvl w:ilvl="6" w:tplc="04090001" w:tentative="1">
      <w:start w:val="1"/>
      <w:numFmt w:val="bullet"/>
      <w:lvlText w:val=""/>
      <w:lvlJc w:val="left"/>
      <w:pPr>
        <w:ind w:left="4594" w:hanging="360"/>
      </w:pPr>
      <w:rPr>
        <w:rFonts w:ascii="Symbol" w:hAnsi="Symbol" w:hint="default"/>
      </w:rPr>
    </w:lvl>
    <w:lvl w:ilvl="7" w:tplc="04090003" w:tentative="1">
      <w:start w:val="1"/>
      <w:numFmt w:val="bullet"/>
      <w:lvlText w:val="o"/>
      <w:lvlJc w:val="left"/>
      <w:pPr>
        <w:ind w:left="5314" w:hanging="360"/>
      </w:pPr>
      <w:rPr>
        <w:rFonts w:ascii="Courier New" w:hAnsi="Courier New" w:cs="Courier New" w:hint="default"/>
      </w:rPr>
    </w:lvl>
    <w:lvl w:ilvl="8" w:tplc="04090005" w:tentative="1">
      <w:start w:val="1"/>
      <w:numFmt w:val="bullet"/>
      <w:lvlText w:val=""/>
      <w:lvlJc w:val="left"/>
      <w:pPr>
        <w:ind w:left="6034" w:hanging="360"/>
      </w:pPr>
      <w:rPr>
        <w:rFonts w:ascii="Wingdings" w:hAnsi="Wingdings" w:hint="default"/>
      </w:rPr>
    </w:lvl>
  </w:abstractNum>
  <w:abstractNum w:abstractNumId="20" w15:restartNumberingAfterBreak="0">
    <w:nsid w:val="6D761B4E"/>
    <w:multiLevelType w:val="multilevel"/>
    <w:tmpl w:val="8A24FA7E"/>
    <w:lvl w:ilvl="0">
      <w:start w:val="1"/>
      <w:numFmt w:val="decimal"/>
      <w:lvlText w:val="%1"/>
      <w:lvlJc w:val="left"/>
      <w:pPr>
        <w:ind w:left="420" w:hanging="420"/>
      </w:pPr>
      <w:rPr>
        <w:rFonts w:hint="default"/>
      </w:rPr>
    </w:lvl>
    <w:lvl w:ilvl="1">
      <w:start w:val="22"/>
      <w:numFmt w:val="decimal"/>
      <w:lvlText w:val="%1.%2"/>
      <w:lvlJc w:val="left"/>
      <w:pPr>
        <w:ind w:left="1680" w:hanging="420"/>
      </w:pPr>
      <w:rPr>
        <w:rFonts w:hint="default"/>
        <w:b w:val="0"/>
        <w:bCs/>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21" w15:restartNumberingAfterBreak="0">
    <w:nsid w:val="7DB0209E"/>
    <w:multiLevelType w:val="hybridMultilevel"/>
    <w:tmpl w:val="3BD4BD88"/>
    <w:lvl w:ilvl="0" w:tplc="213A261A">
      <w:start w:val="1"/>
      <w:numFmt w:val="lowerRoman"/>
      <w:lvlText w:val="(%1)"/>
      <w:lvlJc w:val="left"/>
      <w:pPr>
        <w:ind w:left="2016" w:hanging="720"/>
      </w:pPr>
      <w:rPr>
        <w:rFonts w:hint="default"/>
        <w:b/>
        <w:color w:val="auto"/>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num w:numId="1" w16cid:durableId="690843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35217195">
    <w:abstractNumId w:val="1"/>
  </w:num>
  <w:num w:numId="3" w16cid:durableId="52198642">
    <w:abstractNumId w:val="11"/>
  </w:num>
  <w:num w:numId="4" w16cid:durableId="452671761">
    <w:abstractNumId w:val="19"/>
  </w:num>
  <w:num w:numId="5" w16cid:durableId="899443257">
    <w:abstractNumId w:val="14"/>
  </w:num>
  <w:num w:numId="6" w16cid:durableId="1294940887">
    <w:abstractNumId w:val="4"/>
  </w:num>
  <w:num w:numId="7" w16cid:durableId="784080860">
    <w:abstractNumId w:val="13"/>
  </w:num>
  <w:num w:numId="8" w16cid:durableId="133872694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887197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6683329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72758766">
    <w:abstractNumId w:val="18"/>
  </w:num>
  <w:num w:numId="12" w16cid:durableId="10113017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28402630">
    <w:abstractNumId w:val="9"/>
  </w:num>
  <w:num w:numId="14" w16cid:durableId="461849897">
    <w:abstractNumId w:val="8"/>
  </w:num>
  <w:num w:numId="15" w16cid:durableId="1153063740">
    <w:abstractNumId w:val="0"/>
  </w:num>
  <w:num w:numId="16" w16cid:durableId="614291177">
    <w:abstractNumId w:val="17"/>
  </w:num>
  <w:num w:numId="17" w16cid:durableId="66001294">
    <w:abstractNumId w:val="10"/>
  </w:num>
  <w:num w:numId="18" w16cid:durableId="2038506576">
    <w:abstractNumId w:val="5"/>
  </w:num>
  <w:num w:numId="19" w16cid:durableId="1799181087">
    <w:abstractNumId w:val="2"/>
  </w:num>
  <w:num w:numId="20" w16cid:durableId="1100876716">
    <w:abstractNumId w:val="3"/>
  </w:num>
  <w:num w:numId="21" w16cid:durableId="1182745136">
    <w:abstractNumId w:val="6"/>
  </w:num>
  <w:num w:numId="22" w16cid:durableId="1849560570">
    <w:abstractNumId w:val="20"/>
  </w:num>
  <w:num w:numId="23" w16cid:durableId="1507599179">
    <w:abstractNumId w:val="15"/>
  </w:num>
  <w:num w:numId="24" w16cid:durableId="449667711">
    <w:abstractNumId w:val="7"/>
  </w:num>
  <w:num w:numId="25" w16cid:durableId="433325132">
    <w:abstractNumId w:val="21"/>
  </w:num>
  <w:num w:numId="26" w16cid:durableId="2073431195">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D9A"/>
    <w:rsid w:val="00001532"/>
    <w:rsid w:val="000015B2"/>
    <w:rsid w:val="000018E1"/>
    <w:rsid w:val="00003699"/>
    <w:rsid w:val="00011DF5"/>
    <w:rsid w:val="00011F2C"/>
    <w:rsid w:val="0001252F"/>
    <w:rsid w:val="00012749"/>
    <w:rsid w:val="00012FF9"/>
    <w:rsid w:val="00013F9F"/>
    <w:rsid w:val="00015722"/>
    <w:rsid w:val="000163FC"/>
    <w:rsid w:val="00016624"/>
    <w:rsid w:val="000221EB"/>
    <w:rsid w:val="0002257E"/>
    <w:rsid w:val="00023A0B"/>
    <w:rsid w:val="00025C9A"/>
    <w:rsid w:val="000324EB"/>
    <w:rsid w:val="000331D4"/>
    <w:rsid w:val="00034AB6"/>
    <w:rsid w:val="000354D6"/>
    <w:rsid w:val="000369EA"/>
    <w:rsid w:val="00042C82"/>
    <w:rsid w:val="00046BB1"/>
    <w:rsid w:val="00046D9F"/>
    <w:rsid w:val="00047BB6"/>
    <w:rsid w:val="00051413"/>
    <w:rsid w:val="000527F2"/>
    <w:rsid w:val="00054D7B"/>
    <w:rsid w:val="000554A3"/>
    <w:rsid w:val="000560F2"/>
    <w:rsid w:val="00062BC3"/>
    <w:rsid w:val="00063974"/>
    <w:rsid w:val="00063EAE"/>
    <w:rsid w:val="00064522"/>
    <w:rsid w:val="00064998"/>
    <w:rsid w:val="00064F1E"/>
    <w:rsid w:val="00066C15"/>
    <w:rsid w:val="00071EF4"/>
    <w:rsid w:val="00072327"/>
    <w:rsid w:val="00072603"/>
    <w:rsid w:val="00072AB2"/>
    <w:rsid w:val="00074170"/>
    <w:rsid w:val="000744C4"/>
    <w:rsid w:val="0007480C"/>
    <w:rsid w:val="000756FD"/>
    <w:rsid w:val="00081E3C"/>
    <w:rsid w:val="0008250F"/>
    <w:rsid w:val="00083701"/>
    <w:rsid w:val="00085C44"/>
    <w:rsid w:val="0008691D"/>
    <w:rsid w:val="00086AE3"/>
    <w:rsid w:val="000879A9"/>
    <w:rsid w:val="00087E27"/>
    <w:rsid w:val="00087ED9"/>
    <w:rsid w:val="00090728"/>
    <w:rsid w:val="000955B5"/>
    <w:rsid w:val="000A00D9"/>
    <w:rsid w:val="000A5397"/>
    <w:rsid w:val="000A7866"/>
    <w:rsid w:val="000A7F66"/>
    <w:rsid w:val="000B1F6A"/>
    <w:rsid w:val="000B2F70"/>
    <w:rsid w:val="000B33A4"/>
    <w:rsid w:val="000B5FE6"/>
    <w:rsid w:val="000B7385"/>
    <w:rsid w:val="000C0E1B"/>
    <w:rsid w:val="000C1826"/>
    <w:rsid w:val="000C41E7"/>
    <w:rsid w:val="000C5BD9"/>
    <w:rsid w:val="000D2CC1"/>
    <w:rsid w:val="000D347A"/>
    <w:rsid w:val="000D4FEB"/>
    <w:rsid w:val="000D74A0"/>
    <w:rsid w:val="000E21AB"/>
    <w:rsid w:val="000E30F9"/>
    <w:rsid w:val="000E51E5"/>
    <w:rsid w:val="000E5D0E"/>
    <w:rsid w:val="000F2B24"/>
    <w:rsid w:val="001036DE"/>
    <w:rsid w:val="00105156"/>
    <w:rsid w:val="00112F05"/>
    <w:rsid w:val="00115131"/>
    <w:rsid w:val="001154CC"/>
    <w:rsid w:val="001214C6"/>
    <w:rsid w:val="00122A1D"/>
    <w:rsid w:val="0012473F"/>
    <w:rsid w:val="0012615A"/>
    <w:rsid w:val="001267C3"/>
    <w:rsid w:val="0013004D"/>
    <w:rsid w:val="00130A45"/>
    <w:rsid w:val="001324C6"/>
    <w:rsid w:val="001338F9"/>
    <w:rsid w:val="001361A7"/>
    <w:rsid w:val="00137600"/>
    <w:rsid w:val="0014064A"/>
    <w:rsid w:val="00140755"/>
    <w:rsid w:val="00141258"/>
    <w:rsid w:val="00141DBD"/>
    <w:rsid w:val="00143CEA"/>
    <w:rsid w:val="001453F7"/>
    <w:rsid w:val="001473EE"/>
    <w:rsid w:val="0015059B"/>
    <w:rsid w:val="00151386"/>
    <w:rsid w:val="00153171"/>
    <w:rsid w:val="001538B4"/>
    <w:rsid w:val="0015400B"/>
    <w:rsid w:val="001546D1"/>
    <w:rsid w:val="00155F94"/>
    <w:rsid w:val="00156B79"/>
    <w:rsid w:val="001572A8"/>
    <w:rsid w:val="00157821"/>
    <w:rsid w:val="00160AC4"/>
    <w:rsid w:val="00161C98"/>
    <w:rsid w:val="00167213"/>
    <w:rsid w:val="00170160"/>
    <w:rsid w:val="00173088"/>
    <w:rsid w:val="00174B44"/>
    <w:rsid w:val="00175A6B"/>
    <w:rsid w:val="00176DF0"/>
    <w:rsid w:val="00176FB6"/>
    <w:rsid w:val="00177DBD"/>
    <w:rsid w:val="001803BA"/>
    <w:rsid w:val="00180949"/>
    <w:rsid w:val="00184A3F"/>
    <w:rsid w:val="001856A9"/>
    <w:rsid w:val="001861DA"/>
    <w:rsid w:val="001869A8"/>
    <w:rsid w:val="001909FC"/>
    <w:rsid w:val="00190C28"/>
    <w:rsid w:val="0019137A"/>
    <w:rsid w:val="001928C4"/>
    <w:rsid w:val="00193500"/>
    <w:rsid w:val="00194DF7"/>
    <w:rsid w:val="001A0D24"/>
    <w:rsid w:val="001A354D"/>
    <w:rsid w:val="001A4AE2"/>
    <w:rsid w:val="001A5218"/>
    <w:rsid w:val="001A5333"/>
    <w:rsid w:val="001A5C0F"/>
    <w:rsid w:val="001B0C33"/>
    <w:rsid w:val="001B18E7"/>
    <w:rsid w:val="001B4469"/>
    <w:rsid w:val="001B5D3B"/>
    <w:rsid w:val="001B6A05"/>
    <w:rsid w:val="001C00C6"/>
    <w:rsid w:val="001C17C8"/>
    <w:rsid w:val="001C609C"/>
    <w:rsid w:val="001C69BB"/>
    <w:rsid w:val="001C7319"/>
    <w:rsid w:val="001D08F5"/>
    <w:rsid w:val="001D1EA6"/>
    <w:rsid w:val="001D20E3"/>
    <w:rsid w:val="001D4108"/>
    <w:rsid w:val="001D5DFB"/>
    <w:rsid w:val="001D700C"/>
    <w:rsid w:val="001E1C1D"/>
    <w:rsid w:val="001E2EE4"/>
    <w:rsid w:val="001E3C81"/>
    <w:rsid w:val="001E6003"/>
    <w:rsid w:val="001E63AA"/>
    <w:rsid w:val="001F0EB5"/>
    <w:rsid w:val="001F1038"/>
    <w:rsid w:val="001F39B6"/>
    <w:rsid w:val="00200DB7"/>
    <w:rsid w:val="002036C3"/>
    <w:rsid w:val="002040E0"/>
    <w:rsid w:val="00205195"/>
    <w:rsid w:val="00211A18"/>
    <w:rsid w:val="00212079"/>
    <w:rsid w:val="00212F92"/>
    <w:rsid w:val="0021331B"/>
    <w:rsid w:val="00213EB9"/>
    <w:rsid w:val="002140A2"/>
    <w:rsid w:val="00214610"/>
    <w:rsid w:val="0022085A"/>
    <w:rsid w:val="00222D8B"/>
    <w:rsid w:val="0022309B"/>
    <w:rsid w:val="00224A3B"/>
    <w:rsid w:val="00225E6C"/>
    <w:rsid w:val="00226E63"/>
    <w:rsid w:val="002301B7"/>
    <w:rsid w:val="002328DF"/>
    <w:rsid w:val="002342D2"/>
    <w:rsid w:val="00235318"/>
    <w:rsid w:val="00241E6D"/>
    <w:rsid w:val="002421EB"/>
    <w:rsid w:val="00243A23"/>
    <w:rsid w:val="00243C50"/>
    <w:rsid w:val="00244CEF"/>
    <w:rsid w:val="002474B9"/>
    <w:rsid w:val="00251792"/>
    <w:rsid w:val="00252D49"/>
    <w:rsid w:val="00253E54"/>
    <w:rsid w:val="00253F2E"/>
    <w:rsid w:val="0025445A"/>
    <w:rsid w:val="002551E5"/>
    <w:rsid w:val="002554F8"/>
    <w:rsid w:val="00256E65"/>
    <w:rsid w:val="00261EFB"/>
    <w:rsid w:val="0026345A"/>
    <w:rsid w:val="00265BE5"/>
    <w:rsid w:val="0026614B"/>
    <w:rsid w:val="00270019"/>
    <w:rsid w:val="00274593"/>
    <w:rsid w:val="00274F27"/>
    <w:rsid w:val="00280B52"/>
    <w:rsid w:val="00280E74"/>
    <w:rsid w:val="00283A59"/>
    <w:rsid w:val="00286949"/>
    <w:rsid w:val="0028712C"/>
    <w:rsid w:val="00292F94"/>
    <w:rsid w:val="002A007B"/>
    <w:rsid w:val="002A379E"/>
    <w:rsid w:val="002B24AC"/>
    <w:rsid w:val="002B35B2"/>
    <w:rsid w:val="002C53EA"/>
    <w:rsid w:val="002C5BCB"/>
    <w:rsid w:val="002C76EF"/>
    <w:rsid w:val="002C7835"/>
    <w:rsid w:val="002C7DF4"/>
    <w:rsid w:val="002D2B80"/>
    <w:rsid w:val="002D42D5"/>
    <w:rsid w:val="002D499A"/>
    <w:rsid w:val="002D72C5"/>
    <w:rsid w:val="002E1DEF"/>
    <w:rsid w:val="002E2A2F"/>
    <w:rsid w:val="002E36C3"/>
    <w:rsid w:val="002E3EF6"/>
    <w:rsid w:val="002E516B"/>
    <w:rsid w:val="002E55DE"/>
    <w:rsid w:val="002E5ECA"/>
    <w:rsid w:val="002E74D1"/>
    <w:rsid w:val="002E75E5"/>
    <w:rsid w:val="002E7ABF"/>
    <w:rsid w:val="002E7FA4"/>
    <w:rsid w:val="002F168C"/>
    <w:rsid w:val="002F2FDD"/>
    <w:rsid w:val="002F46A3"/>
    <w:rsid w:val="002F4C6B"/>
    <w:rsid w:val="002F6D23"/>
    <w:rsid w:val="00300831"/>
    <w:rsid w:val="00300DA2"/>
    <w:rsid w:val="003030AD"/>
    <w:rsid w:val="00310A2D"/>
    <w:rsid w:val="00312ED3"/>
    <w:rsid w:val="00312FE1"/>
    <w:rsid w:val="00313FBF"/>
    <w:rsid w:val="0031485C"/>
    <w:rsid w:val="0031624F"/>
    <w:rsid w:val="00316B69"/>
    <w:rsid w:val="00316D68"/>
    <w:rsid w:val="003173D5"/>
    <w:rsid w:val="003213E7"/>
    <w:rsid w:val="00321473"/>
    <w:rsid w:val="00322343"/>
    <w:rsid w:val="00323F8C"/>
    <w:rsid w:val="00326209"/>
    <w:rsid w:val="0033168C"/>
    <w:rsid w:val="00331B16"/>
    <w:rsid w:val="00331CDB"/>
    <w:rsid w:val="003327A8"/>
    <w:rsid w:val="0033382B"/>
    <w:rsid w:val="003366F5"/>
    <w:rsid w:val="003375C4"/>
    <w:rsid w:val="0034184F"/>
    <w:rsid w:val="003432C2"/>
    <w:rsid w:val="0034421D"/>
    <w:rsid w:val="00344353"/>
    <w:rsid w:val="00344A1C"/>
    <w:rsid w:val="00351E68"/>
    <w:rsid w:val="0035299C"/>
    <w:rsid w:val="00360037"/>
    <w:rsid w:val="00361299"/>
    <w:rsid w:val="00364572"/>
    <w:rsid w:val="00366303"/>
    <w:rsid w:val="003719F1"/>
    <w:rsid w:val="00371F75"/>
    <w:rsid w:val="00372583"/>
    <w:rsid w:val="0037451B"/>
    <w:rsid w:val="00376E87"/>
    <w:rsid w:val="003815F0"/>
    <w:rsid w:val="00382487"/>
    <w:rsid w:val="00387186"/>
    <w:rsid w:val="00393BB0"/>
    <w:rsid w:val="00393BE9"/>
    <w:rsid w:val="00393BF2"/>
    <w:rsid w:val="00394339"/>
    <w:rsid w:val="0039523D"/>
    <w:rsid w:val="00397767"/>
    <w:rsid w:val="003A1AFD"/>
    <w:rsid w:val="003A25ED"/>
    <w:rsid w:val="003A37B5"/>
    <w:rsid w:val="003A473F"/>
    <w:rsid w:val="003A62AF"/>
    <w:rsid w:val="003B0655"/>
    <w:rsid w:val="003B54E8"/>
    <w:rsid w:val="003B6012"/>
    <w:rsid w:val="003C40A5"/>
    <w:rsid w:val="003C5663"/>
    <w:rsid w:val="003C65B9"/>
    <w:rsid w:val="003C6CA8"/>
    <w:rsid w:val="003C6D77"/>
    <w:rsid w:val="003C6E24"/>
    <w:rsid w:val="003C79BF"/>
    <w:rsid w:val="003D07C2"/>
    <w:rsid w:val="003D17BB"/>
    <w:rsid w:val="003D1DBF"/>
    <w:rsid w:val="003D5F07"/>
    <w:rsid w:val="003D788B"/>
    <w:rsid w:val="003E0288"/>
    <w:rsid w:val="003E28D7"/>
    <w:rsid w:val="003E30AA"/>
    <w:rsid w:val="003E3382"/>
    <w:rsid w:val="003E38EF"/>
    <w:rsid w:val="003E4758"/>
    <w:rsid w:val="003E5D36"/>
    <w:rsid w:val="003F0507"/>
    <w:rsid w:val="003F2E62"/>
    <w:rsid w:val="003F616C"/>
    <w:rsid w:val="00400564"/>
    <w:rsid w:val="004016D7"/>
    <w:rsid w:val="00401710"/>
    <w:rsid w:val="00401981"/>
    <w:rsid w:val="004069C2"/>
    <w:rsid w:val="00406D7D"/>
    <w:rsid w:val="00406E86"/>
    <w:rsid w:val="00407398"/>
    <w:rsid w:val="00407896"/>
    <w:rsid w:val="004105D1"/>
    <w:rsid w:val="0041184F"/>
    <w:rsid w:val="00412C76"/>
    <w:rsid w:val="0041406E"/>
    <w:rsid w:val="00416078"/>
    <w:rsid w:val="00421038"/>
    <w:rsid w:val="00421655"/>
    <w:rsid w:val="0042188B"/>
    <w:rsid w:val="0042228B"/>
    <w:rsid w:val="004254E5"/>
    <w:rsid w:val="00426587"/>
    <w:rsid w:val="00431416"/>
    <w:rsid w:val="00434003"/>
    <w:rsid w:val="004354EC"/>
    <w:rsid w:val="00435D3B"/>
    <w:rsid w:val="0043682F"/>
    <w:rsid w:val="00437BC8"/>
    <w:rsid w:val="004458F1"/>
    <w:rsid w:val="00450A9B"/>
    <w:rsid w:val="00452130"/>
    <w:rsid w:val="0045350B"/>
    <w:rsid w:val="00453848"/>
    <w:rsid w:val="00455AD3"/>
    <w:rsid w:val="00455D87"/>
    <w:rsid w:val="00457EBA"/>
    <w:rsid w:val="00457FD0"/>
    <w:rsid w:val="004613C7"/>
    <w:rsid w:val="00462765"/>
    <w:rsid w:val="00465B24"/>
    <w:rsid w:val="0046741D"/>
    <w:rsid w:val="004713DE"/>
    <w:rsid w:val="0047287A"/>
    <w:rsid w:val="00473645"/>
    <w:rsid w:val="00473D2D"/>
    <w:rsid w:val="0047435A"/>
    <w:rsid w:val="00474661"/>
    <w:rsid w:val="0047530D"/>
    <w:rsid w:val="00475EAD"/>
    <w:rsid w:val="00476189"/>
    <w:rsid w:val="00476DF2"/>
    <w:rsid w:val="004828C8"/>
    <w:rsid w:val="00483AB9"/>
    <w:rsid w:val="00484672"/>
    <w:rsid w:val="00487F61"/>
    <w:rsid w:val="00490D0E"/>
    <w:rsid w:val="004912CE"/>
    <w:rsid w:val="004926F6"/>
    <w:rsid w:val="004927D5"/>
    <w:rsid w:val="00492A7C"/>
    <w:rsid w:val="00492C74"/>
    <w:rsid w:val="0049458C"/>
    <w:rsid w:val="00494FDF"/>
    <w:rsid w:val="00495621"/>
    <w:rsid w:val="004967BB"/>
    <w:rsid w:val="00497415"/>
    <w:rsid w:val="004A2AB6"/>
    <w:rsid w:val="004A3024"/>
    <w:rsid w:val="004A3587"/>
    <w:rsid w:val="004A3D27"/>
    <w:rsid w:val="004A49A7"/>
    <w:rsid w:val="004A4E68"/>
    <w:rsid w:val="004A5810"/>
    <w:rsid w:val="004A74C4"/>
    <w:rsid w:val="004A77D7"/>
    <w:rsid w:val="004B006B"/>
    <w:rsid w:val="004B3455"/>
    <w:rsid w:val="004B63C8"/>
    <w:rsid w:val="004B7A68"/>
    <w:rsid w:val="004C37DE"/>
    <w:rsid w:val="004C738C"/>
    <w:rsid w:val="004D1EA7"/>
    <w:rsid w:val="004D2331"/>
    <w:rsid w:val="004D3D57"/>
    <w:rsid w:val="004D42BE"/>
    <w:rsid w:val="004D6653"/>
    <w:rsid w:val="004D7291"/>
    <w:rsid w:val="004E01F1"/>
    <w:rsid w:val="004E1DD6"/>
    <w:rsid w:val="004E2DF2"/>
    <w:rsid w:val="004E3295"/>
    <w:rsid w:val="004E5522"/>
    <w:rsid w:val="004E6853"/>
    <w:rsid w:val="004E7759"/>
    <w:rsid w:val="004F08AE"/>
    <w:rsid w:val="004F08D2"/>
    <w:rsid w:val="004F17F0"/>
    <w:rsid w:val="004F229F"/>
    <w:rsid w:val="004F30C7"/>
    <w:rsid w:val="004F5C13"/>
    <w:rsid w:val="004F77AA"/>
    <w:rsid w:val="005038E2"/>
    <w:rsid w:val="00512C46"/>
    <w:rsid w:val="005141B5"/>
    <w:rsid w:val="00516386"/>
    <w:rsid w:val="00517E83"/>
    <w:rsid w:val="005217D5"/>
    <w:rsid w:val="00522963"/>
    <w:rsid w:val="005251D2"/>
    <w:rsid w:val="005274FC"/>
    <w:rsid w:val="00530ECD"/>
    <w:rsid w:val="00531889"/>
    <w:rsid w:val="00532D98"/>
    <w:rsid w:val="00535F39"/>
    <w:rsid w:val="005368D8"/>
    <w:rsid w:val="005406BB"/>
    <w:rsid w:val="00541328"/>
    <w:rsid w:val="00541DCE"/>
    <w:rsid w:val="005421E8"/>
    <w:rsid w:val="0054340B"/>
    <w:rsid w:val="00543A76"/>
    <w:rsid w:val="00551681"/>
    <w:rsid w:val="00552654"/>
    <w:rsid w:val="00553347"/>
    <w:rsid w:val="00553D78"/>
    <w:rsid w:val="00553F18"/>
    <w:rsid w:val="00555D4B"/>
    <w:rsid w:val="00555ED6"/>
    <w:rsid w:val="00556249"/>
    <w:rsid w:val="00556BAB"/>
    <w:rsid w:val="00561013"/>
    <w:rsid w:val="00561CA3"/>
    <w:rsid w:val="0056250F"/>
    <w:rsid w:val="00562765"/>
    <w:rsid w:val="0056292F"/>
    <w:rsid w:val="00563603"/>
    <w:rsid w:val="00563F8A"/>
    <w:rsid w:val="005654A4"/>
    <w:rsid w:val="00565BC9"/>
    <w:rsid w:val="00566C14"/>
    <w:rsid w:val="005708C8"/>
    <w:rsid w:val="00573A65"/>
    <w:rsid w:val="005742AF"/>
    <w:rsid w:val="00575751"/>
    <w:rsid w:val="00576D71"/>
    <w:rsid w:val="005802A3"/>
    <w:rsid w:val="0058037B"/>
    <w:rsid w:val="00580BAD"/>
    <w:rsid w:val="005812CD"/>
    <w:rsid w:val="00583C1C"/>
    <w:rsid w:val="005841ED"/>
    <w:rsid w:val="0058450F"/>
    <w:rsid w:val="005851ED"/>
    <w:rsid w:val="00591E3D"/>
    <w:rsid w:val="005934B4"/>
    <w:rsid w:val="00596765"/>
    <w:rsid w:val="00596C72"/>
    <w:rsid w:val="00597AAE"/>
    <w:rsid w:val="005A0804"/>
    <w:rsid w:val="005A0F57"/>
    <w:rsid w:val="005A3719"/>
    <w:rsid w:val="005A6D57"/>
    <w:rsid w:val="005A707C"/>
    <w:rsid w:val="005B4D3B"/>
    <w:rsid w:val="005C178A"/>
    <w:rsid w:val="005C4732"/>
    <w:rsid w:val="005C4EE7"/>
    <w:rsid w:val="005C5556"/>
    <w:rsid w:val="005C6CA6"/>
    <w:rsid w:val="005C73F9"/>
    <w:rsid w:val="005D196C"/>
    <w:rsid w:val="005D240D"/>
    <w:rsid w:val="005D2830"/>
    <w:rsid w:val="005D44DB"/>
    <w:rsid w:val="005D5735"/>
    <w:rsid w:val="005D5FF0"/>
    <w:rsid w:val="005D66F5"/>
    <w:rsid w:val="005E4FF4"/>
    <w:rsid w:val="005E71AB"/>
    <w:rsid w:val="005F035B"/>
    <w:rsid w:val="005F572A"/>
    <w:rsid w:val="00603A2A"/>
    <w:rsid w:val="00604773"/>
    <w:rsid w:val="00605274"/>
    <w:rsid w:val="00605849"/>
    <w:rsid w:val="00607EA8"/>
    <w:rsid w:val="00612D85"/>
    <w:rsid w:val="00615669"/>
    <w:rsid w:val="00616FFD"/>
    <w:rsid w:val="00624308"/>
    <w:rsid w:val="00624E61"/>
    <w:rsid w:val="00626269"/>
    <w:rsid w:val="006316D4"/>
    <w:rsid w:val="00631F4A"/>
    <w:rsid w:val="006354D8"/>
    <w:rsid w:val="0063588A"/>
    <w:rsid w:val="00642B7E"/>
    <w:rsid w:val="00643F0F"/>
    <w:rsid w:val="00644167"/>
    <w:rsid w:val="00645B73"/>
    <w:rsid w:val="0064609F"/>
    <w:rsid w:val="00647581"/>
    <w:rsid w:val="00651C46"/>
    <w:rsid w:val="00653EC1"/>
    <w:rsid w:val="00657733"/>
    <w:rsid w:val="00661FA7"/>
    <w:rsid w:val="006621EA"/>
    <w:rsid w:val="00663924"/>
    <w:rsid w:val="006650C7"/>
    <w:rsid w:val="00665247"/>
    <w:rsid w:val="00665E63"/>
    <w:rsid w:val="00666405"/>
    <w:rsid w:val="006702CD"/>
    <w:rsid w:val="0067256A"/>
    <w:rsid w:val="00673EF7"/>
    <w:rsid w:val="006779A0"/>
    <w:rsid w:val="00677D82"/>
    <w:rsid w:val="0068280D"/>
    <w:rsid w:val="00682BB6"/>
    <w:rsid w:val="00682C62"/>
    <w:rsid w:val="00686AB3"/>
    <w:rsid w:val="00687961"/>
    <w:rsid w:val="00690E84"/>
    <w:rsid w:val="00692C02"/>
    <w:rsid w:val="00692CC6"/>
    <w:rsid w:val="00694E1B"/>
    <w:rsid w:val="006956D2"/>
    <w:rsid w:val="0069590A"/>
    <w:rsid w:val="0069601C"/>
    <w:rsid w:val="00696730"/>
    <w:rsid w:val="006A1E95"/>
    <w:rsid w:val="006A7030"/>
    <w:rsid w:val="006A7FF3"/>
    <w:rsid w:val="006B1B9E"/>
    <w:rsid w:val="006B1E2C"/>
    <w:rsid w:val="006B25F7"/>
    <w:rsid w:val="006B3230"/>
    <w:rsid w:val="006B4477"/>
    <w:rsid w:val="006B4BC8"/>
    <w:rsid w:val="006B7743"/>
    <w:rsid w:val="006C3A51"/>
    <w:rsid w:val="006C418B"/>
    <w:rsid w:val="006C4B97"/>
    <w:rsid w:val="006C6243"/>
    <w:rsid w:val="006D2FE7"/>
    <w:rsid w:val="006D5395"/>
    <w:rsid w:val="006D53B1"/>
    <w:rsid w:val="006E0D95"/>
    <w:rsid w:val="006E13C3"/>
    <w:rsid w:val="006E262D"/>
    <w:rsid w:val="006E5436"/>
    <w:rsid w:val="006E6D11"/>
    <w:rsid w:val="006E726A"/>
    <w:rsid w:val="006E761F"/>
    <w:rsid w:val="006F1C2D"/>
    <w:rsid w:val="006F1F8F"/>
    <w:rsid w:val="006F4293"/>
    <w:rsid w:val="006F6DE7"/>
    <w:rsid w:val="00702182"/>
    <w:rsid w:val="007021F5"/>
    <w:rsid w:val="00702F43"/>
    <w:rsid w:val="00703F5C"/>
    <w:rsid w:val="00710807"/>
    <w:rsid w:val="00711156"/>
    <w:rsid w:val="00711F3A"/>
    <w:rsid w:val="0071521D"/>
    <w:rsid w:val="007164E4"/>
    <w:rsid w:val="00717A48"/>
    <w:rsid w:val="00720CE6"/>
    <w:rsid w:val="0072229A"/>
    <w:rsid w:val="00722440"/>
    <w:rsid w:val="00722C5E"/>
    <w:rsid w:val="007265C3"/>
    <w:rsid w:val="00730A5C"/>
    <w:rsid w:val="0073406E"/>
    <w:rsid w:val="00735E6B"/>
    <w:rsid w:val="0074076C"/>
    <w:rsid w:val="007418A5"/>
    <w:rsid w:val="00742DE8"/>
    <w:rsid w:val="007470FD"/>
    <w:rsid w:val="00747EF3"/>
    <w:rsid w:val="007500AE"/>
    <w:rsid w:val="00750D41"/>
    <w:rsid w:val="00762BCA"/>
    <w:rsid w:val="007638C8"/>
    <w:rsid w:val="0076395F"/>
    <w:rsid w:val="0076432E"/>
    <w:rsid w:val="007700EE"/>
    <w:rsid w:val="00770AC0"/>
    <w:rsid w:val="007728E0"/>
    <w:rsid w:val="0077396F"/>
    <w:rsid w:val="00773BA5"/>
    <w:rsid w:val="00775BFC"/>
    <w:rsid w:val="0077697A"/>
    <w:rsid w:val="00776B21"/>
    <w:rsid w:val="00777447"/>
    <w:rsid w:val="007807BF"/>
    <w:rsid w:val="0078084A"/>
    <w:rsid w:val="00781197"/>
    <w:rsid w:val="007816B1"/>
    <w:rsid w:val="007840A5"/>
    <w:rsid w:val="00784FFB"/>
    <w:rsid w:val="00785925"/>
    <w:rsid w:val="0078646F"/>
    <w:rsid w:val="00787311"/>
    <w:rsid w:val="00791266"/>
    <w:rsid w:val="00791913"/>
    <w:rsid w:val="00794887"/>
    <w:rsid w:val="007965FA"/>
    <w:rsid w:val="007A0CEB"/>
    <w:rsid w:val="007A22A6"/>
    <w:rsid w:val="007B2203"/>
    <w:rsid w:val="007B2607"/>
    <w:rsid w:val="007B349C"/>
    <w:rsid w:val="007B386C"/>
    <w:rsid w:val="007B42AF"/>
    <w:rsid w:val="007B5E15"/>
    <w:rsid w:val="007B6DDA"/>
    <w:rsid w:val="007C3A45"/>
    <w:rsid w:val="007C4D29"/>
    <w:rsid w:val="007D6D45"/>
    <w:rsid w:val="007E1F0B"/>
    <w:rsid w:val="007E3936"/>
    <w:rsid w:val="007E4E23"/>
    <w:rsid w:val="007E6FC6"/>
    <w:rsid w:val="007E781F"/>
    <w:rsid w:val="007F2370"/>
    <w:rsid w:val="007F34D5"/>
    <w:rsid w:val="007F5067"/>
    <w:rsid w:val="007F5AA7"/>
    <w:rsid w:val="007F6E6C"/>
    <w:rsid w:val="00800204"/>
    <w:rsid w:val="008004E8"/>
    <w:rsid w:val="0080391E"/>
    <w:rsid w:val="008039A7"/>
    <w:rsid w:val="00805EEA"/>
    <w:rsid w:val="00806837"/>
    <w:rsid w:val="00806AA1"/>
    <w:rsid w:val="00806BF9"/>
    <w:rsid w:val="008073A8"/>
    <w:rsid w:val="00807E9B"/>
    <w:rsid w:val="00811E46"/>
    <w:rsid w:val="00814590"/>
    <w:rsid w:val="00815925"/>
    <w:rsid w:val="008159CA"/>
    <w:rsid w:val="00815CCB"/>
    <w:rsid w:val="008174BE"/>
    <w:rsid w:val="00820615"/>
    <w:rsid w:val="00823961"/>
    <w:rsid w:val="0082405A"/>
    <w:rsid w:val="008247F6"/>
    <w:rsid w:val="00824BEE"/>
    <w:rsid w:val="008260DB"/>
    <w:rsid w:val="0082702B"/>
    <w:rsid w:val="00827F72"/>
    <w:rsid w:val="0083023A"/>
    <w:rsid w:val="00830B7D"/>
    <w:rsid w:val="00834443"/>
    <w:rsid w:val="00834469"/>
    <w:rsid w:val="00835C4A"/>
    <w:rsid w:val="00837110"/>
    <w:rsid w:val="00843A7E"/>
    <w:rsid w:val="00845081"/>
    <w:rsid w:val="008465BA"/>
    <w:rsid w:val="008476D3"/>
    <w:rsid w:val="00847978"/>
    <w:rsid w:val="008510EF"/>
    <w:rsid w:val="008542EE"/>
    <w:rsid w:val="0085725E"/>
    <w:rsid w:val="00862A43"/>
    <w:rsid w:val="00862F45"/>
    <w:rsid w:val="00865DB4"/>
    <w:rsid w:val="00867208"/>
    <w:rsid w:val="00873662"/>
    <w:rsid w:val="00874252"/>
    <w:rsid w:val="00874C98"/>
    <w:rsid w:val="0087524D"/>
    <w:rsid w:val="00877351"/>
    <w:rsid w:val="008842D9"/>
    <w:rsid w:val="00885625"/>
    <w:rsid w:val="00886E39"/>
    <w:rsid w:val="008877FC"/>
    <w:rsid w:val="0088781C"/>
    <w:rsid w:val="00894348"/>
    <w:rsid w:val="00896279"/>
    <w:rsid w:val="00896C8F"/>
    <w:rsid w:val="008A065B"/>
    <w:rsid w:val="008A20BF"/>
    <w:rsid w:val="008A274A"/>
    <w:rsid w:val="008A2C15"/>
    <w:rsid w:val="008A3560"/>
    <w:rsid w:val="008A4068"/>
    <w:rsid w:val="008A63CD"/>
    <w:rsid w:val="008B3F1A"/>
    <w:rsid w:val="008B43B3"/>
    <w:rsid w:val="008C0BA3"/>
    <w:rsid w:val="008C7F37"/>
    <w:rsid w:val="008D04E6"/>
    <w:rsid w:val="008D178A"/>
    <w:rsid w:val="008D1BEF"/>
    <w:rsid w:val="008D2335"/>
    <w:rsid w:val="008D2F6B"/>
    <w:rsid w:val="008E16E2"/>
    <w:rsid w:val="008E2155"/>
    <w:rsid w:val="008E336B"/>
    <w:rsid w:val="008E3BA4"/>
    <w:rsid w:val="008E49E1"/>
    <w:rsid w:val="008E4AEC"/>
    <w:rsid w:val="008E4B9E"/>
    <w:rsid w:val="008E5AD5"/>
    <w:rsid w:val="008E757B"/>
    <w:rsid w:val="008F0B2E"/>
    <w:rsid w:val="008F1639"/>
    <w:rsid w:val="008F1A52"/>
    <w:rsid w:val="008F65EB"/>
    <w:rsid w:val="008F7275"/>
    <w:rsid w:val="00900FF8"/>
    <w:rsid w:val="009027FD"/>
    <w:rsid w:val="00903D5B"/>
    <w:rsid w:val="00903E28"/>
    <w:rsid w:val="0090574E"/>
    <w:rsid w:val="0090592F"/>
    <w:rsid w:val="00905D64"/>
    <w:rsid w:val="00906129"/>
    <w:rsid w:val="0090626A"/>
    <w:rsid w:val="00906B91"/>
    <w:rsid w:val="00910BE0"/>
    <w:rsid w:val="009148F0"/>
    <w:rsid w:val="00915D3F"/>
    <w:rsid w:val="00915E29"/>
    <w:rsid w:val="009167C2"/>
    <w:rsid w:val="00916EFF"/>
    <w:rsid w:val="00917E92"/>
    <w:rsid w:val="009209D2"/>
    <w:rsid w:val="00920F51"/>
    <w:rsid w:val="00921771"/>
    <w:rsid w:val="0092375D"/>
    <w:rsid w:val="009254FE"/>
    <w:rsid w:val="00927B67"/>
    <w:rsid w:val="00927C36"/>
    <w:rsid w:val="00932887"/>
    <w:rsid w:val="00933D3C"/>
    <w:rsid w:val="0093405D"/>
    <w:rsid w:val="00935B7F"/>
    <w:rsid w:val="0093767B"/>
    <w:rsid w:val="009376F3"/>
    <w:rsid w:val="009403E7"/>
    <w:rsid w:val="009407D6"/>
    <w:rsid w:val="00941126"/>
    <w:rsid w:val="00941779"/>
    <w:rsid w:val="009427BA"/>
    <w:rsid w:val="00942BC1"/>
    <w:rsid w:val="00942EE7"/>
    <w:rsid w:val="00946EF2"/>
    <w:rsid w:val="009507C0"/>
    <w:rsid w:val="009534E6"/>
    <w:rsid w:val="0095399D"/>
    <w:rsid w:val="00955561"/>
    <w:rsid w:val="00961C02"/>
    <w:rsid w:val="00963D2D"/>
    <w:rsid w:val="00964C0E"/>
    <w:rsid w:val="00964DDF"/>
    <w:rsid w:val="0096543F"/>
    <w:rsid w:val="00965841"/>
    <w:rsid w:val="00966D60"/>
    <w:rsid w:val="00972975"/>
    <w:rsid w:val="00975613"/>
    <w:rsid w:val="0098077E"/>
    <w:rsid w:val="0098181D"/>
    <w:rsid w:val="00982656"/>
    <w:rsid w:val="00982A92"/>
    <w:rsid w:val="00984CBA"/>
    <w:rsid w:val="00992181"/>
    <w:rsid w:val="009950A7"/>
    <w:rsid w:val="00996108"/>
    <w:rsid w:val="0099637B"/>
    <w:rsid w:val="009A16AD"/>
    <w:rsid w:val="009A27C7"/>
    <w:rsid w:val="009A378F"/>
    <w:rsid w:val="009A37AF"/>
    <w:rsid w:val="009A7B39"/>
    <w:rsid w:val="009B165C"/>
    <w:rsid w:val="009B189F"/>
    <w:rsid w:val="009B2519"/>
    <w:rsid w:val="009B294F"/>
    <w:rsid w:val="009B427B"/>
    <w:rsid w:val="009B642E"/>
    <w:rsid w:val="009B768E"/>
    <w:rsid w:val="009C0E1F"/>
    <w:rsid w:val="009C1095"/>
    <w:rsid w:val="009C2957"/>
    <w:rsid w:val="009C45A1"/>
    <w:rsid w:val="009C6AF4"/>
    <w:rsid w:val="009D15E2"/>
    <w:rsid w:val="009E39C7"/>
    <w:rsid w:val="009E496B"/>
    <w:rsid w:val="009E5AE2"/>
    <w:rsid w:val="009E6529"/>
    <w:rsid w:val="009F0748"/>
    <w:rsid w:val="009F104C"/>
    <w:rsid w:val="009F3375"/>
    <w:rsid w:val="009F7B83"/>
    <w:rsid w:val="00A00C2D"/>
    <w:rsid w:val="00A023CF"/>
    <w:rsid w:val="00A04159"/>
    <w:rsid w:val="00A060F5"/>
    <w:rsid w:val="00A07CD2"/>
    <w:rsid w:val="00A104E5"/>
    <w:rsid w:val="00A1100B"/>
    <w:rsid w:val="00A1138D"/>
    <w:rsid w:val="00A13808"/>
    <w:rsid w:val="00A14756"/>
    <w:rsid w:val="00A149ED"/>
    <w:rsid w:val="00A14C8D"/>
    <w:rsid w:val="00A20892"/>
    <w:rsid w:val="00A212DE"/>
    <w:rsid w:val="00A21474"/>
    <w:rsid w:val="00A2382B"/>
    <w:rsid w:val="00A263F7"/>
    <w:rsid w:val="00A3101B"/>
    <w:rsid w:val="00A3109C"/>
    <w:rsid w:val="00A33F07"/>
    <w:rsid w:val="00A42168"/>
    <w:rsid w:val="00A434F0"/>
    <w:rsid w:val="00A446A3"/>
    <w:rsid w:val="00A447BA"/>
    <w:rsid w:val="00A46062"/>
    <w:rsid w:val="00A46BDF"/>
    <w:rsid w:val="00A5085B"/>
    <w:rsid w:val="00A516E4"/>
    <w:rsid w:val="00A54606"/>
    <w:rsid w:val="00A54BA0"/>
    <w:rsid w:val="00A5505C"/>
    <w:rsid w:val="00A55FE8"/>
    <w:rsid w:val="00A608AC"/>
    <w:rsid w:val="00A60A19"/>
    <w:rsid w:val="00A63149"/>
    <w:rsid w:val="00A63E1E"/>
    <w:rsid w:val="00A64282"/>
    <w:rsid w:val="00A71E20"/>
    <w:rsid w:val="00A730BA"/>
    <w:rsid w:val="00A73236"/>
    <w:rsid w:val="00A73796"/>
    <w:rsid w:val="00A74791"/>
    <w:rsid w:val="00A74AEF"/>
    <w:rsid w:val="00A77D06"/>
    <w:rsid w:val="00A802F2"/>
    <w:rsid w:val="00A81E0C"/>
    <w:rsid w:val="00A827D0"/>
    <w:rsid w:val="00A85F7F"/>
    <w:rsid w:val="00A874D2"/>
    <w:rsid w:val="00A87EF7"/>
    <w:rsid w:val="00A901A2"/>
    <w:rsid w:val="00A9306A"/>
    <w:rsid w:val="00A93F7A"/>
    <w:rsid w:val="00A944F1"/>
    <w:rsid w:val="00A96EE4"/>
    <w:rsid w:val="00AA19BC"/>
    <w:rsid w:val="00AA1F80"/>
    <w:rsid w:val="00AA23B6"/>
    <w:rsid w:val="00AA273C"/>
    <w:rsid w:val="00AA5CB8"/>
    <w:rsid w:val="00AA5E8C"/>
    <w:rsid w:val="00AA7643"/>
    <w:rsid w:val="00AA7FA5"/>
    <w:rsid w:val="00AB16E5"/>
    <w:rsid w:val="00AB27FA"/>
    <w:rsid w:val="00AB3782"/>
    <w:rsid w:val="00AB5B0C"/>
    <w:rsid w:val="00AB6415"/>
    <w:rsid w:val="00AB68A9"/>
    <w:rsid w:val="00AC1C7F"/>
    <w:rsid w:val="00AC2A0C"/>
    <w:rsid w:val="00AC345D"/>
    <w:rsid w:val="00AC3B02"/>
    <w:rsid w:val="00AD0C17"/>
    <w:rsid w:val="00AD4DAC"/>
    <w:rsid w:val="00AE02A6"/>
    <w:rsid w:val="00AE0A8D"/>
    <w:rsid w:val="00AE1597"/>
    <w:rsid w:val="00AE3094"/>
    <w:rsid w:val="00AE711D"/>
    <w:rsid w:val="00AE7F44"/>
    <w:rsid w:val="00AF2778"/>
    <w:rsid w:val="00AF615E"/>
    <w:rsid w:val="00AF7C74"/>
    <w:rsid w:val="00B04658"/>
    <w:rsid w:val="00B07B09"/>
    <w:rsid w:val="00B11817"/>
    <w:rsid w:val="00B11DB1"/>
    <w:rsid w:val="00B12195"/>
    <w:rsid w:val="00B125C5"/>
    <w:rsid w:val="00B13904"/>
    <w:rsid w:val="00B149F0"/>
    <w:rsid w:val="00B14F1D"/>
    <w:rsid w:val="00B162FC"/>
    <w:rsid w:val="00B1716B"/>
    <w:rsid w:val="00B20922"/>
    <w:rsid w:val="00B21662"/>
    <w:rsid w:val="00B25440"/>
    <w:rsid w:val="00B27F86"/>
    <w:rsid w:val="00B3029B"/>
    <w:rsid w:val="00B30F24"/>
    <w:rsid w:val="00B37882"/>
    <w:rsid w:val="00B4019D"/>
    <w:rsid w:val="00B47FC9"/>
    <w:rsid w:val="00B511A7"/>
    <w:rsid w:val="00B544A9"/>
    <w:rsid w:val="00B5488C"/>
    <w:rsid w:val="00B56FFA"/>
    <w:rsid w:val="00B635B9"/>
    <w:rsid w:val="00B63B13"/>
    <w:rsid w:val="00B66D35"/>
    <w:rsid w:val="00B70987"/>
    <w:rsid w:val="00B722A8"/>
    <w:rsid w:val="00B7616D"/>
    <w:rsid w:val="00B81EE2"/>
    <w:rsid w:val="00B8507C"/>
    <w:rsid w:val="00B85A1B"/>
    <w:rsid w:val="00B87228"/>
    <w:rsid w:val="00B876F4"/>
    <w:rsid w:val="00B909E6"/>
    <w:rsid w:val="00B9232C"/>
    <w:rsid w:val="00B94BDB"/>
    <w:rsid w:val="00B957C2"/>
    <w:rsid w:val="00B96FF1"/>
    <w:rsid w:val="00B97C43"/>
    <w:rsid w:val="00BA203B"/>
    <w:rsid w:val="00BA30CD"/>
    <w:rsid w:val="00BA4A6D"/>
    <w:rsid w:val="00BB3EC9"/>
    <w:rsid w:val="00BB6781"/>
    <w:rsid w:val="00BC0AB6"/>
    <w:rsid w:val="00BC3884"/>
    <w:rsid w:val="00BC3B91"/>
    <w:rsid w:val="00BC6E31"/>
    <w:rsid w:val="00BC7670"/>
    <w:rsid w:val="00BD28FC"/>
    <w:rsid w:val="00BD49C1"/>
    <w:rsid w:val="00BD4DFC"/>
    <w:rsid w:val="00BD5E91"/>
    <w:rsid w:val="00BE2FB4"/>
    <w:rsid w:val="00BE343D"/>
    <w:rsid w:val="00BE3461"/>
    <w:rsid w:val="00BE46C7"/>
    <w:rsid w:val="00BE51C5"/>
    <w:rsid w:val="00BE550A"/>
    <w:rsid w:val="00BE7BC0"/>
    <w:rsid w:val="00BF33CD"/>
    <w:rsid w:val="00BF5805"/>
    <w:rsid w:val="00BF5BF1"/>
    <w:rsid w:val="00BF6B9F"/>
    <w:rsid w:val="00C012D6"/>
    <w:rsid w:val="00C0287D"/>
    <w:rsid w:val="00C05F1E"/>
    <w:rsid w:val="00C06D9C"/>
    <w:rsid w:val="00C07259"/>
    <w:rsid w:val="00C0754F"/>
    <w:rsid w:val="00C10224"/>
    <w:rsid w:val="00C1172E"/>
    <w:rsid w:val="00C13620"/>
    <w:rsid w:val="00C13FC6"/>
    <w:rsid w:val="00C1461A"/>
    <w:rsid w:val="00C22B1B"/>
    <w:rsid w:val="00C24A79"/>
    <w:rsid w:val="00C24B29"/>
    <w:rsid w:val="00C301C7"/>
    <w:rsid w:val="00C30926"/>
    <w:rsid w:val="00C31A56"/>
    <w:rsid w:val="00C32CF3"/>
    <w:rsid w:val="00C34608"/>
    <w:rsid w:val="00C362AD"/>
    <w:rsid w:val="00C36BD9"/>
    <w:rsid w:val="00C40A9C"/>
    <w:rsid w:val="00C4375B"/>
    <w:rsid w:val="00C4713F"/>
    <w:rsid w:val="00C536A9"/>
    <w:rsid w:val="00C57F18"/>
    <w:rsid w:val="00C629DC"/>
    <w:rsid w:val="00C715F9"/>
    <w:rsid w:val="00C737DC"/>
    <w:rsid w:val="00C76368"/>
    <w:rsid w:val="00C779D3"/>
    <w:rsid w:val="00C8122C"/>
    <w:rsid w:val="00C82E58"/>
    <w:rsid w:val="00C85C09"/>
    <w:rsid w:val="00C90AFF"/>
    <w:rsid w:val="00C91009"/>
    <w:rsid w:val="00C93080"/>
    <w:rsid w:val="00C941D1"/>
    <w:rsid w:val="00C95FE3"/>
    <w:rsid w:val="00C97A9C"/>
    <w:rsid w:val="00CA233C"/>
    <w:rsid w:val="00CA2EA0"/>
    <w:rsid w:val="00CA3FCE"/>
    <w:rsid w:val="00CA42A0"/>
    <w:rsid w:val="00CA4F2C"/>
    <w:rsid w:val="00CA6AA4"/>
    <w:rsid w:val="00CA787D"/>
    <w:rsid w:val="00CA7C2B"/>
    <w:rsid w:val="00CB011B"/>
    <w:rsid w:val="00CB0355"/>
    <w:rsid w:val="00CB03B7"/>
    <w:rsid w:val="00CB114C"/>
    <w:rsid w:val="00CB350D"/>
    <w:rsid w:val="00CB754D"/>
    <w:rsid w:val="00CC1321"/>
    <w:rsid w:val="00CC1A9D"/>
    <w:rsid w:val="00CC2AFD"/>
    <w:rsid w:val="00CC2BC4"/>
    <w:rsid w:val="00CC38B2"/>
    <w:rsid w:val="00CC5DD5"/>
    <w:rsid w:val="00CC7DDD"/>
    <w:rsid w:val="00CD074B"/>
    <w:rsid w:val="00CD0973"/>
    <w:rsid w:val="00CD13A7"/>
    <w:rsid w:val="00CD62C0"/>
    <w:rsid w:val="00CD6480"/>
    <w:rsid w:val="00CD68A9"/>
    <w:rsid w:val="00CD69AA"/>
    <w:rsid w:val="00CE28EC"/>
    <w:rsid w:val="00CE53D3"/>
    <w:rsid w:val="00CE5690"/>
    <w:rsid w:val="00CE75FE"/>
    <w:rsid w:val="00CF0115"/>
    <w:rsid w:val="00CF039F"/>
    <w:rsid w:val="00CF16AC"/>
    <w:rsid w:val="00CF1DBA"/>
    <w:rsid w:val="00D0100F"/>
    <w:rsid w:val="00D025A6"/>
    <w:rsid w:val="00D0332D"/>
    <w:rsid w:val="00D03701"/>
    <w:rsid w:val="00D04159"/>
    <w:rsid w:val="00D04939"/>
    <w:rsid w:val="00D07E34"/>
    <w:rsid w:val="00D101E0"/>
    <w:rsid w:val="00D15CEA"/>
    <w:rsid w:val="00D161BA"/>
    <w:rsid w:val="00D16D5E"/>
    <w:rsid w:val="00D2040E"/>
    <w:rsid w:val="00D22A64"/>
    <w:rsid w:val="00D23213"/>
    <w:rsid w:val="00D23926"/>
    <w:rsid w:val="00D25366"/>
    <w:rsid w:val="00D310F3"/>
    <w:rsid w:val="00D3244D"/>
    <w:rsid w:val="00D3577B"/>
    <w:rsid w:val="00D36D27"/>
    <w:rsid w:val="00D552AB"/>
    <w:rsid w:val="00D55A5E"/>
    <w:rsid w:val="00D65292"/>
    <w:rsid w:val="00D6689C"/>
    <w:rsid w:val="00D67D24"/>
    <w:rsid w:val="00D7029F"/>
    <w:rsid w:val="00D70DD6"/>
    <w:rsid w:val="00D73408"/>
    <w:rsid w:val="00D74597"/>
    <w:rsid w:val="00D759DD"/>
    <w:rsid w:val="00D803EF"/>
    <w:rsid w:val="00D82122"/>
    <w:rsid w:val="00D84E30"/>
    <w:rsid w:val="00D8726A"/>
    <w:rsid w:val="00D87AF6"/>
    <w:rsid w:val="00D90F39"/>
    <w:rsid w:val="00D91510"/>
    <w:rsid w:val="00D92ACD"/>
    <w:rsid w:val="00D92C6A"/>
    <w:rsid w:val="00DA03BB"/>
    <w:rsid w:val="00DA1281"/>
    <w:rsid w:val="00DA1617"/>
    <w:rsid w:val="00DA565E"/>
    <w:rsid w:val="00DA7C9F"/>
    <w:rsid w:val="00DB2DE7"/>
    <w:rsid w:val="00DB55DD"/>
    <w:rsid w:val="00DB58A1"/>
    <w:rsid w:val="00DC1157"/>
    <w:rsid w:val="00DC2102"/>
    <w:rsid w:val="00DC4255"/>
    <w:rsid w:val="00DC4D1A"/>
    <w:rsid w:val="00DD00F1"/>
    <w:rsid w:val="00DD0F7C"/>
    <w:rsid w:val="00DD1AD6"/>
    <w:rsid w:val="00DD3199"/>
    <w:rsid w:val="00DE2661"/>
    <w:rsid w:val="00DE4399"/>
    <w:rsid w:val="00DE78C0"/>
    <w:rsid w:val="00DE7C69"/>
    <w:rsid w:val="00DF00E9"/>
    <w:rsid w:val="00DF1A21"/>
    <w:rsid w:val="00DF208F"/>
    <w:rsid w:val="00DF2335"/>
    <w:rsid w:val="00DF2E49"/>
    <w:rsid w:val="00E0309D"/>
    <w:rsid w:val="00E05671"/>
    <w:rsid w:val="00E15E28"/>
    <w:rsid w:val="00E16437"/>
    <w:rsid w:val="00E17AC7"/>
    <w:rsid w:val="00E17D3E"/>
    <w:rsid w:val="00E22035"/>
    <w:rsid w:val="00E233B1"/>
    <w:rsid w:val="00E24E5D"/>
    <w:rsid w:val="00E2717A"/>
    <w:rsid w:val="00E30CDC"/>
    <w:rsid w:val="00E3389D"/>
    <w:rsid w:val="00E341FD"/>
    <w:rsid w:val="00E34BAD"/>
    <w:rsid w:val="00E34C48"/>
    <w:rsid w:val="00E4072F"/>
    <w:rsid w:val="00E409C1"/>
    <w:rsid w:val="00E431C1"/>
    <w:rsid w:val="00E44FBC"/>
    <w:rsid w:val="00E45171"/>
    <w:rsid w:val="00E51993"/>
    <w:rsid w:val="00E537DB"/>
    <w:rsid w:val="00E56265"/>
    <w:rsid w:val="00E56650"/>
    <w:rsid w:val="00E572B6"/>
    <w:rsid w:val="00E60204"/>
    <w:rsid w:val="00E60635"/>
    <w:rsid w:val="00E60AE1"/>
    <w:rsid w:val="00E61B1C"/>
    <w:rsid w:val="00E642A9"/>
    <w:rsid w:val="00E653D0"/>
    <w:rsid w:val="00E675BA"/>
    <w:rsid w:val="00E74F00"/>
    <w:rsid w:val="00E76783"/>
    <w:rsid w:val="00E77D40"/>
    <w:rsid w:val="00E77EF6"/>
    <w:rsid w:val="00E80073"/>
    <w:rsid w:val="00E81064"/>
    <w:rsid w:val="00E84311"/>
    <w:rsid w:val="00E8482E"/>
    <w:rsid w:val="00E9223E"/>
    <w:rsid w:val="00E93156"/>
    <w:rsid w:val="00E9581D"/>
    <w:rsid w:val="00E960D1"/>
    <w:rsid w:val="00EA287C"/>
    <w:rsid w:val="00EA3285"/>
    <w:rsid w:val="00EA63D1"/>
    <w:rsid w:val="00EA74D0"/>
    <w:rsid w:val="00EB0F15"/>
    <w:rsid w:val="00EB1105"/>
    <w:rsid w:val="00EB1A5A"/>
    <w:rsid w:val="00EB261C"/>
    <w:rsid w:val="00EB35E1"/>
    <w:rsid w:val="00EB3D69"/>
    <w:rsid w:val="00EB3F8E"/>
    <w:rsid w:val="00EB50D8"/>
    <w:rsid w:val="00EB5603"/>
    <w:rsid w:val="00EB59ED"/>
    <w:rsid w:val="00EB6ACD"/>
    <w:rsid w:val="00EB6E7D"/>
    <w:rsid w:val="00EB77EC"/>
    <w:rsid w:val="00EC3A9B"/>
    <w:rsid w:val="00EC5FE3"/>
    <w:rsid w:val="00EC6534"/>
    <w:rsid w:val="00EC7DE5"/>
    <w:rsid w:val="00ED13ED"/>
    <w:rsid w:val="00ED6209"/>
    <w:rsid w:val="00EE3646"/>
    <w:rsid w:val="00EF1889"/>
    <w:rsid w:val="00EF22E2"/>
    <w:rsid w:val="00EF2644"/>
    <w:rsid w:val="00EF65B1"/>
    <w:rsid w:val="00F0194F"/>
    <w:rsid w:val="00F03409"/>
    <w:rsid w:val="00F055B4"/>
    <w:rsid w:val="00F072BA"/>
    <w:rsid w:val="00F109AC"/>
    <w:rsid w:val="00F10D9A"/>
    <w:rsid w:val="00F12D0B"/>
    <w:rsid w:val="00F14D47"/>
    <w:rsid w:val="00F14EDC"/>
    <w:rsid w:val="00F15CCF"/>
    <w:rsid w:val="00F17485"/>
    <w:rsid w:val="00F201D9"/>
    <w:rsid w:val="00F22375"/>
    <w:rsid w:val="00F242FF"/>
    <w:rsid w:val="00F25299"/>
    <w:rsid w:val="00F263A5"/>
    <w:rsid w:val="00F26E14"/>
    <w:rsid w:val="00F275D0"/>
    <w:rsid w:val="00F30FEC"/>
    <w:rsid w:val="00F312B7"/>
    <w:rsid w:val="00F323B1"/>
    <w:rsid w:val="00F334EA"/>
    <w:rsid w:val="00F35AFC"/>
    <w:rsid w:val="00F37E24"/>
    <w:rsid w:val="00F40C7F"/>
    <w:rsid w:val="00F42316"/>
    <w:rsid w:val="00F42482"/>
    <w:rsid w:val="00F4344E"/>
    <w:rsid w:val="00F469FE"/>
    <w:rsid w:val="00F47DEC"/>
    <w:rsid w:val="00F502C5"/>
    <w:rsid w:val="00F54445"/>
    <w:rsid w:val="00F572C5"/>
    <w:rsid w:val="00F57D6C"/>
    <w:rsid w:val="00F57F07"/>
    <w:rsid w:val="00F601EC"/>
    <w:rsid w:val="00F6040A"/>
    <w:rsid w:val="00F608BF"/>
    <w:rsid w:val="00F647E4"/>
    <w:rsid w:val="00F64817"/>
    <w:rsid w:val="00F64ECE"/>
    <w:rsid w:val="00F733DA"/>
    <w:rsid w:val="00F7578A"/>
    <w:rsid w:val="00F75A34"/>
    <w:rsid w:val="00F760E3"/>
    <w:rsid w:val="00F77E57"/>
    <w:rsid w:val="00F80258"/>
    <w:rsid w:val="00F80C8D"/>
    <w:rsid w:val="00F837D6"/>
    <w:rsid w:val="00F84AC0"/>
    <w:rsid w:val="00F864F3"/>
    <w:rsid w:val="00F86E8F"/>
    <w:rsid w:val="00F918EF"/>
    <w:rsid w:val="00F936F3"/>
    <w:rsid w:val="00F939B3"/>
    <w:rsid w:val="00F940D1"/>
    <w:rsid w:val="00F9517F"/>
    <w:rsid w:val="00F97497"/>
    <w:rsid w:val="00FA1E01"/>
    <w:rsid w:val="00FA34EC"/>
    <w:rsid w:val="00FA631E"/>
    <w:rsid w:val="00FA6AD8"/>
    <w:rsid w:val="00FB060E"/>
    <w:rsid w:val="00FB070A"/>
    <w:rsid w:val="00FB0C7E"/>
    <w:rsid w:val="00FB1468"/>
    <w:rsid w:val="00FB16F6"/>
    <w:rsid w:val="00FB1FDE"/>
    <w:rsid w:val="00FB21E6"/>
    <w:rsid w:val="00FB34A7"/>
    <w:rsid w:val="00FB37C3"/>
    <w:rsid w:val="00FB436F"/>
    <w:rsid w:val="00FB4947"/>
    <w:rsid w:val="00FC10B9"/>
    <w:rsid w:val="00FC3558"/>
    <w:rsid w:val="00FC3B3D"/>
    <w:rsid w:val="00FD0059"/>
    <w:rsid w:val="00FD0D83"/>
    <w:rsid w:val="00FD154B"/>
    <w:rsid w:val="00FD1D6B"/>
    <w:rsid w:val="00FD3A56"/>
    <w:rsid w:val="00FD51D8"/>
    <w:rsid w:val="00FD51E3"/>
    <w:rsid w:val="00FE17C4"/>
    <w:rsid w:val="00FE3682"/>
    <w:rsid w:val="00FE5DB9"/>
    <w:rsid w:val="00FE7C9B"/>
    <w:rsid w:val="00FF1280"/>
    <w:rsid w:val="00FF1D00"/>
    <w:rsid w:val="00FF36AA"/>
    <w:rsid w:val="00FF3DC5"/>
    <w:rsid w:val="00FF7BF9"/>
    <w:rsid w:val="01A79264"/>
    <w:rsid w:val="12805C2F"/>
    <w:rsid w:val="20A0373C"/>
    <w:rsid w:val="249C350A"/>
    <w:rsid w:val="30DFE334"/>
    <w:rsid w:val="3CE644EE"/>
    <w:rsid w:val="45353286"/>
    <w:rsid w:val="504504CD"/>
    <w:rsid w:val="522BFFEE"/>
    <w:rsid w:val="5EADEF20"/>
    <w:rsid w:val="5F800639"/>
    <w:rsid w:val="6229F2A7"/>
    <w:rsid w:val="6B83D8E4"/>
    <w:rsid w:val="6BB7A7BE"/>
    <w:rsid w:val="6D07F3D9"/>
  </w:rsids>
  <m:mathPr>
    <m:mathFont m:val="Cambria Math"/>
    <m:brkBin m:val="before"/>
    <m:brkBinSub m:val="--"/>
    <m:smallFrac m:val="0"/>
    <m:dispDef/>
    <m:lMargin m:val="0"/>
    <m:rMargin m:val="0"/>
    <m:defJc m:val="centerGroup"/>
    <m:wrapIndent m:val="1440"/>
    <m:intLim m:val="subSup"/>
    <m:naryLim m:val="undOvr"/>
  </m:mathPr>
  <w:themeFontLang w:val="en-US" w:eastAsia="ja-JP" w:bidi="yi-Heb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0AA9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pPr>
      <w:keepNext/>
      <w:tabs>
        <w:tab w:val="num" w:pos="360"/>
      </w:tabs>
      <w:spacing w:before="240" w:after="60" w:line="240" w:lineRule="auto"/>
      <w:outlineLvl w:val="0"/>
    </w:pPr>
    <w:rPr>
      <w:rFonts w:ascii="Arial" w:eastAsia="Times New Roman" w:hAnsi="Arial" w:cs="Times New Roman"/>
      <w:b/>
      <w:kern w:val="28"/>
      <w:sz w:val="28"/>
      <w:szCs w:val="20"/>
      <w:lang w:val="es-ES"/>
    </w:rPr>
  </w:style>
  <w:style w:type="paragraph" w:styleId="Heading2">
    <w:name w:val="heading 2"/>
    <w:basedOn w:val="Normal"/>
    <w:link w:val="Heading2Char"/>
    <w:qFormat/>
    <w:pPr>
      <w:widowControl w:val="0"/>
      <w:spacing w:after="0" w:line="240" w:lineRule="auto"/>
      <w:ind w:left="820"/>
      <w:outlineLvl w:val="1"/>
    </w:pPr>
    <w:rPr>
      <w:rFonts w:ascii="Times New Roman" w:eastAsia="Times New Roman" w:hAnsi="Times New Roman"/>
      <w:b/>
      <w:bCs/>
      <w:sz w:val="24"/>
      <w:szCs w:val="24"/>
    </w:rPr>
  </w:style>
  <w:style w:type="paragraph" w:styleId="Heading3">
    <w:name w:val="heading 3"/>
    <w:basedOn w:val="Normal"/>
    <w:link w:val="Heading3Char"/>
    <w:qFormat/>
    <w:pPr>
      <w:widowControl w:val="0"/>
      <w:spacing w:after="0" w:line="240" w:lineRule="auto"/>
      <w:ind w:left="820" w:hanging="720"/>
      <w:outlineLvl w:val="2"/>
    </w:pPr>
    <w:rPr>
      <w:rFonts w:ascii="Times New Roman" w:eastAsia="Times New Roman" w:hAnsi="Times New Roman"/>
      <w:b/>
      <w:bCs/>
      <w:i/>
      <w:sz w:val="24"/>
      <w:szCs w:val="24"/>
    </w:rPr>
  </w:style>
  <w:style w:type="paragraph" w:styleId="Heading4">
    <w:name w:val="heading 4"/>
    <w:basedOn w:val="Normal"/>
    <w:next w:val="Normal"/>
    <w:link w:val="Heading4Char"/>
    <w:qFormat/>
    <w:pPr>
      <w:keepNext/>
      <w:tabs>
        <w:tab w:val="num" w:pos="2520"/>
      </w:tabs>
      <w:spacing w:before="240" w:after="60" w:line="240" w:lineRule="auto"/>
      <w:ind w:left="2160"/>
      <w:outlineLvl w:val="3"/>
    </w:pPr>
    <w:rPr>
      <w:rFonts w:ascii="Arial" w:eastAsia="Times New Roman" w:hAnsi="Arial" w:cs="Times New Roman"/>
      <w:b/>
      <w:sz w:val="24"/>
      <w:szCs w:val="20"/>
      <w:lang w:val="es-ES"/>
    </w:rPr>
  </w:style>
  <w:style w:type="paragraph" w:styleId="Heading5">
    <w:name w:val="heading 5"/>
    <w:basedOn w:val="Normal"/>
    <w:next w:val="Normal"/>
    <w:link w:val="Heading5Char"/>
    <w:qFormat/>
    <w:pPr>
      <w:numPr>
        <w:ilvl w:val="4"/>
        <w:numId w:val="3"/>
      </w:numPr>
      <w:spacing w:before="240" w:after="60" w:line="240" w:lineRule="auto"/>
      <w:outlineLvl w:val="4"/>
    </w:pPr>
    <w:rPr>
      <w:rFonts w:ascii="Times New Roman" w:eastAsia="Times New Roman" w:hAnsi="Times New Roman" w:cs="Times New Roman"/>
      <w:szCs w:val="20"/>
      <w:lang w:val="es-ES"/>
    </w:rPr>
  </w:style>
  <w:style w:type="paragraph" w:styleId="Heading6">
    <w:name w:val="heading 6"/>
    <w:basedOn w:val="Normal"/>
    <w:next w:val="Normal"/>
    <w:link w:val="Heading6Char"/>
    <w:qFormat/>
    <w:pPr>
      <w:numPr>
        <w:ilvl w:val="5"/>
        <w:numId w:val="3"/>
      </w:numPr>
      <w:spacing w:before="240" w:after="60" w:line="240" w:lineRule="auto"/>
      <w:outlineLvl w:val="5"/>
    </w:pPr>
    <w:rPr>
      <w:rFonts w:ascii="Times New Roman" w:eastAsia="Times New Roman" w:hAnsi="Times New Roman" w:cs="Times New Roman"/>
      <w:i/>
      <w:szCs w:val="20"/>
      <w:lang w:val="es-ES"/>
    </w:rPr>
  </w:style>
  <w:style w:type="paragraph" w:styleId="Heading7">
    <w:name w:val="heading 7"/>
    <w:basedOn w:val="Normal"/>
    <w:next w:val="Normal"/>
    <w:link w:val="Heading7Char"/>
    <w:qFormat/>
    <w:pPr>
      <w:numPr>
        <w:ilvl w:val="6"/>
        <w:numId w:val="3"/>
      </w:numPr>
      <w:spacing w:before="240" w:after="60" w:line="240" w:lineRule="auto"/>
      <w:outlineLvl w:val="6"/>
    </w:pPr>
    <w:rPr>
      <w:rFonts w:ascii="Arial" w:eastAsia="Times New Roman" w:hAnsi="Arial" w:cs="Times New Roman"/>
      <w:sz w:val="24"/>
      <w:szCs w:val="20"/>
      <w:lang w:val="es-ES"/>
    </w:rPr>
  </w:style>
  <w:style w:type="paragraph" w:styleId="Heading8">
    <w:name w:val="heading 8"/>
    <w:basedOn w:val="Normal"/>
    <w:next w:val="Normal"/>
    <w:link w:val="Heading8Char"/>
    <w:qFormat/>
    <w:pPr>
      <w:numPr>
        <w:ilvl w:val="7"/>
        <w:numId w:val="3"/>
      </w:numPr>
      <w:spacing w:before="240" w:after="60" w:line="240" w:lineRule="auto"/>
      <w:outlineLvl w:val="7"/>
    </w:pPr>
    <w:rPr>
      <w:rFonts w:ascii="Arial" w:eastAsia="Times New Roman" w:hAnsi="Arial" w:cs="Times New Roman"/>
      <w:i/>
      <w:sz w:val="24"/>
      <w:szCs w:val="20"/>
      <w:lang w:val="es-ES"/>
    </w:rPr>
  </w:style>
  <w:style w:type="paragraph" w:styleId="Heading9">
    <w:name w:val="heading 9"/>
    <w:basedOn w:val="Normal"/>
    <w:next w:val="Normal"/>
    <w:link w:val="Heading9Char"/>
    <w:qFormat/>
    <w:pPr>
      <w:numPr>
        <w:ilvl w:val="8"/>
        <w:numId w:val="3"/>
      </w:numPr>
      <w:spacing w:before="240" w:after="60" w:line="240" w:lineRule="auto"/>
      <w:outlineLvl w:val="8"/>
    </w:pPr>
    <w:rPr>
      <w:rFonts w:ascii="Arial" w:eastAsia="Times New Roman" w:hAnsi="Arial" w:cs="Times New Roman"/>
      <w:b/>
      <w:i/>
      <w:sz w:val="18"/>
      <w:szCs w:val="20"/>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pPr>
      <w:ind w:left="720"/>
      <w:contextualSpacing/>
    </w:p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pter">
    <w:name w:val="Chapter"/>
    <w:basedOn w:val="Normal"/>
    <w:next w:val="Normal"/>
    <w:link w:val="ChapterChar"/>
    <w:pPr>
      <w:keepNext/>
      <w:numPr>
        <w:numId w:val="1"/>
      </w:numPr>
      <w:tabs>
        <w:tab w:val="left" w:pos="1440"/>
      </w:tabs>
      <w:spacing w:before="240" w:after="240" w:line="240" w:lineRule="auto"/>
      <w:jc w:val="center"/>
    </w:pPr>
    <w:rPr>
      <w:rFonts w:ascii="Times New Roman" w:hAnsi="Times New Roman" w:cs="Times New Roman"/>
      <w:b/>
      <w:smallCaps/>
      <w:sz w:val="24"/>
      <w:szCs w:val="24"/>
      <w:lang w:val="es-ES"/>
    </w:rPr>
  </w:style>
  <w:style w:type="paragraph" w:customStyle="1" w:styleId="subpar">
    <w:name w:val="subpar"/>
    <w:basedOn w:val="Normal"/>
    <w:pPr>
      <w:numPr>
        <w:ilvl w:val="2"/>
        <w:numId w:val="1"/>
      </w:numPr>
      <w:spacing w:before="120" w:after="120" w:line="240" w:lineRule="auto"/>
      <w:jc w:val="both"/>
      <w:outlineLvl w:val="2"/>
    </w:pPr>
    <w:rPr>
      <w:rFonts w:ascii="Times New Roman" w:hAnsi="Times New Roman" w:cs="Times New Roman"/>
      <w:sz w:val="24"/>
      <w:szCs w:val="24"/>
      <w:lang w:val="es-ES"/>
    </w:rPr>
  </w:style>
  <w:style w:type="paragraph" w:customStyle="1" w:styleId="SubSubPar">
    <w:name w:val="SubSubPar"/>
    <w:basedOn w:val="subpar"/>
    <w:pPr>
      <w:numPr>
        <w:ilvl w:val="0"/>
        <w:numId w:val="0"/>
      </w:numPr>
      <w:tabs>
        <w:tab w:val="left" w:pos="0"/>
        <w:tab w:val="num" w:pos="1152"/>
        <w:tab w:val="num" w:pos="1296"/>
        <w:tab w:val="num" w:pos="1584"/>
      </w:tabs>
    </w:pPr>
  </w:style>
  <w:style w:type="paragraph" w:customStyle="1" w:styleId="Paragraph">
    <w:name w:val="Paragraph"/>
    <w:aliases w:val="paragraph,p,PARAGRAPH,PG,pa,at,paragraph+1"/>
    <w:basedOn w:val="Normal"/>
    <w:link w:val="ParagraphChar"/>
    <w:qFormat/>
    <w:pPr>
      <w:numPr>
        <w:ilvl w:val="1"/>
        <w:numId w:val="1"/>
      </w:numPr>
      <w:spacing w:before="120" w:after="120" w:line="240" w:lineRule="auto"/>
      <w:jc w:val="both"/>
      <w:outlineLvl w:val="1"/>
    </w:pPr>
    <w:rPr>
      <w:rFonts w:ascii="Times New Roman" w:hAnsi="Times New Roman" w:cs="Times New Roman"/>
      <w:sz w:val="24"/>
      <w:szCs w:val="24"/>
      <w:lang w:val="es-ES"/>
    </w:rPr>
  </w:style>
  <w:style w:type="character" w:customStyle="1" w:styleId="ParagraphChar">
    <w:name w:val="Paragraph Char"/>
    <w:aliases w:val="p Char,PARAGRAPH Char,PG Char,pa Char,at Char,paragraph Char"/>
    <w:basedOn w:val="DefaultParagraphFont"/>
    <w:link w:val="Paragraph"/>
    <w:locked/>
    <w:rPr>
      <w:rFonts w:ascii="Times New Roman" w:hAnsi="Times New Roman" w:cs="Times New Roman"/>
      <w:sz w:val="24"/>
      <w:szCs w:val="24"/>
      <w:lang w:val="es-ES"/>
    </w:rPr>
  </w:style>
  <w:style w:type="character" w:customStyle="1" w:styleId="ChapterChar">
    <w:name w:val="Chapter Char"/>
    <w:basedOn w:val="DefaultParagraphFont"/>
    <w:link w:val="Chapter"/>
    <w:uiPriority w:val="99"/>
    <w:locked/>
    <w:rPr>
      <w:rFonts w:ascii="Times New Roman" w:hAnsi="Times New Roman" w:cs="Times New Roman"/>
      <w:b/>
      <w:smallCaps/>
      <w:sz w:val="24"/>
      <w:szCs w:val="24"/>
      <w:lang w:val="es-ES"/>
    </w:rPr>
  </w:style>
  <w:style w:type="character" w:customStyle="1" w:styleId="Refdenotaderodap1">
    <w:name w:val="Ref. de nota de rodapé1"/>
    <w:aliases w:val="referencia nota al pie,Fußnotenzeichen DISS,16 Point,Superscript 6 Point,ftref,FC,Style 24,titulo 2,pie pddes,Ref,de nota al pie,Ref. de nota al pie.,Ref. de nota al pie EDEP,Footnote Reference Number,Footnote Reference_LVL6,fr"/>
    <w:basedOn w:val="DefaultParagraphFont"/>
    <w:uiPriority w:val="99"/>
    <w:qFormat/>
    <w:rPr>
      <w:vertAlign w:val="superscript"/>
    </w:rPr>
  </w:style>
  <w:style w:type="paragraph" w:styleId="FootnoteText">
    <w:name w:val="footnote text"/>
    <w:aliases w:val="foottextfra,footnote,F,Texto nota pie Car Car,Texto de rodapé,nota_rodapé,nota de rodapé,FOOTNOTES,single space,footnote text,Footnote Text Char Char,ADB,texto de nota al pie,Nota a pie/Bibliog,Texto nota pie Car Car Car,f,ft,single spac"/>
    <w:basedOn w:val="Normal"/>
    <w:link w:val="FootnoteTextChar"/>
    <w:uiPriority w:val="99"/>
    <w:unhideWhenUsed/>
    <w:qFormat/>
    <w:pPr>
      <w:spacing w:after="0" w:line="240" w:lineRule="auto"/>
    </w:pPr>
    <w:rPr>
      <w:sz w:val="20"/>
      <w:szCs w:val="20"/>
    </w:rPr>
  </w:style>
  <w:style w:type="character" w:customStyle="1" w:styleId="FootnoteTextChar">
    <w:name w:val="Footnote Text Char"/>
    <w:aliases w:val="foottextfra Char1,footnote Char1,F Char1,Texto nota pie Car Car Char1,Texto de rodapé Char1,nota_rodapé Char1,nota de rodapé Char1,FOOTNOTES Char1,single space Char1,footnote text Char1,Footnote Text Char Char Char,ADB Char1,f Char1"/>
    <w:basedOn w:val="DefaultParagraphFont"/>
    <w:link w:val="FootnoteText"/>
    <w:uiPriority w:val="99"/>
    <w:qFormat/>
    <w:rPr>
      <w:sz w:val="20"/>
      <w:szCs w:val="20"/>
      <w:lang w:val="es-ES_tradnl"/>
    </w:rPr>
  </w:style>
  <w:style w:type="character" w:styleId="FootnoteReference">
    <w:name w:val="footnote reference"/>
    <w:aliases w:val="Referência de rodapé,SUPERS,Footnote Reference_LVL61,titulo "/>
    <w:basedOn w:val="DefaultParagraphFont"/>
    <w:link w:val="Char2"/>
    <w:uiPriority w:val="99"/>
    <w:unhideWhenUsed/>
    <w:qFormat/>
    <w:rPr>
      <w:vertAlign w:val="superscript"/>
    </w:rPr>
  </w:style>
  <w:style w:type="character" w:styleId="Hyperlink">
    <w:name w:val="Hyperlink"/>
    <w:basedOn w:val="DefaultParagraphFont"/>
    <w:uiPriority w:val="99"/>
    <w:unhideWhenUsed/>
    <w:rPr>
      <w:color w:val="0000FF" w:themeColor="hyperlink"/>
      <w:u w:val="single"/>
    </w:rPr>
  </w:style>
  <w:style w:type="character" w:styleId="FollowedHyperlink">
    <w:name w:val="FollowedHyperlink"/>
    <w:basedOn w:val="DefaultParagraphFont"/>
    <w:uiPriority w:val="99"/>
    <w:semiHidden/>
    <w:unhideWhenUsed/>
    <w:rPr>
      <w:color w:val="800080" w:themeColor="followedHyperlink"/>
      <w:u w:val="single"/>
    </w:rPr>
  </w:style>
  <w:style w:type="paragraph" w:customStyle="1" w:styleId="Default">
    <w:name w:val="Default"/>
    <w:pPr>
      <w:autoSpaceDE w:val="0"/>
      <w:autoSpaceDN w:val="0"/>
      <w:adjustRightInd w:val="0"/>
      <w:spacing w:after="0" w:line="240" w:lineRule="auto"/>
    </w:pPr>
    <w:rPr>
      <w:rFonts w:ascii="Cambria" w:hAnsi="Cambria" w:cs="Cambria"/>
      <w:color w:val="000000"/>
      <w:sz w:val="24"/>
      <w:szCs w:val="24"/>
    </w:rPr>
  </w:style>
  <w:style w:type="character" w:customStyle="1" w:styleId="TextodenotaderodapChar">
    <w:name w:val="Texto de nota de rodapé Char"/>
    <w:aliases w:val="fn Char,Footnote Text Char1,foottextfra Char,footnote Char,F Char,Texto nota pie Car Car Char,Texto de rodapé Char,nota_rodapé Char,nota de rodapé Char,FOOTNOTES Char,single space Char,footnote text Char,ADB Char,f Char"/>
    <w:basedOn w:val="DefaultParagraphFont"/>
    <w:link w:val="Textodenotaderodap1"/>
    <w:uiPriority w:val="99"/>
    <w:locked/>
    <w:rPr>
      <w:spacing w:val="-3"/>
      <w:lang w:val="x-none" w:eastAsia="x-none"/>
    </w:rPr>
  </w:style>
  <w:style w:type="paragraph" w:customStyle="1" w:styleId="Textodenotaderodap1">
    <w:name w:val="Texto de nota de rodapé1"/>
    <w:aliases w:val="fn"/>
    <w:basedOn w:val="Normal"/>
    <w:link w:val="TextodenotaderodapChar"/>
    <w:pPr>
      <w:keepNext/>
      <w:keepLines/>
      <w:spacing w:after="120" w:line="240" w:lineRule="auto"/>
      <w:ind w:left="288" w:hanging="288"/>
      <w:jc w:val="both"/>
    </w:pPr>
    <w:rPr>
      <w:spacing w:val="-3"/>
      <w:lang w:val="x-none" w:eastAsia="x-none"/>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val="es-ES_tradnl"/>
    </w:rPr>
  </w:style>
  <w:style w:type="character" w:styleId="CommentReference">
    <w:name w:val="annotation reference"/>
    <w:basedOn w:val="DefaultParagraphFont"/>
    <w:uiPriority w:val="99"/>
    <w:unhideWhenUsed/>
    <w:rPr>
      <w:sz w:val="18"/>
      <w:szCs w:val="18"/>
    </w:rPr>
  </w:style>
  <w:style w:type="paragraph" w:styleId="CommentText">
    <w:name w:val="annotation text"/>
    <w:basedOn w:val="Normal"/>
    <w:link w:val="CommentTextChar"/>
    <w:uiPriority w:val="99"/>
    <w:unhideWhenUsed/>
    <w:pPr>
      <w:spacing w:line="240" w:lineRule="auto"/>
    </w:pPr>
    <w:rPr>
      <w:sz w:val="24"/>
      <w:szCs w:val="24"/>
    </w:rPr>
  </w:style>
  <w:style w:type="character" w:customStyle="1" w:styleId="CommentTextChar">
    <w:name w:val="Comment Text Char"/>
    <w:basedOn w:val="DefaultParagraphFont"/>
    <w:link w:val="CommentText"/>
    <w:uiPriority w:val="99"/>
    <w:rPr>
      <w:sz w:val="24"/>
      <w:szCs w:val="24"/>
    </w:rPr>
  </w:style>
  <w:style w:type="paragraph" w:styleId="CommentSubject">
    <w:name w:val="annotation subject"/>
    <w:basedOn w:val="CommentText"/>
    <w:next w:val="CommentText"/>
    <w:link w:val="CommentSubjectChar"/>
    <w:uiPriority w:val="99"/>
    <w:semiHidden/>
    <w:unhideWhenUsed/>
    <w:rPr>
      <w:b/>
      <w:bCs/>
      <w:sz w:val="20"/>
      <w:szCs w:val="20"/>
    </w:rPr>
  </w:style>
  <w:style w:type="character" w:customStyle="1" w:styleId="CommentSubjectChar">
    <w:name w:val="Comment Subject Char"/>
    <w:basedOn w:val="CommentTextChar"/>
    <w:link w:val="CommentSubject"/>
    <w:uiPriority w:val="99"/>
    <w:semiHidden/>
    <w:rPr>
      <w:b/>
      <w:bCs/>
      <w:sz w:val="20"/>
      <w:szCs w:val="20"/>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paragraph" w:styleId="Revision">
    <w:name w:val="Revision"/>
    <w:hidden/>
    <w:uiPriority w:val="99"/>
    <w:semiHidden/>
    <w:pPr>
      <w:spacing w:after="0" w:line="240" w:lineRule="auto"/>
    </w:pPr>
  </w:style>
  <w:style w:type="character" w:customStyle="1" w:styleId="Heading2Char">
    <w:name w:val="Heading 2 Char"/>
    <w:basedOn w:val="DefaultParagraphFont"/>
    <w:link w:val="Heading2"/>
    <w:uiPriority w:val="1"/>
    <w:rPr>
      <w:rFonts w:ascii="Times New Roman" w:eastAsia="Times New Roman" w:hAnsi="Times New Roman"/>
      <w:b/>
      <w:bCs/>
      <w:sz w:val="24"/>
      <w:szCs w:val="24"/>
    </w:rPr>
  </w:style>
  <w:style w:type="character" w:customStyle="1" w:styleId="Heading3Char">
    <w:name w:val="Heading 3 Char"/>
    <w:basedOn w:val="DefaultParagraphFont"/>
    <w:link w:val="Heading3"/>
    <w:uiPriority w:val="1"/>
    <w:rPr>
      <w:rFonts w:ascii="Times New Roman" w:eastAsia="Times New Roman" w:hAnsi="Times New Roman"/>
      <w:b/>
      <w:bCs/>
      <w:i/>
      <w:sz w:val="24"/>
      <w:szCs w:val="24"/>
    </w:rPr>
  </w:style>
  <w:style w:type="table" w:customStyle="1" w:styleId="TableNormal1">
    <w:name w:val="Table Normal1"/>
    <w:uiPriority w:val="2"/>
    <w:semiHidden/>
    <w:unhideWhenUsed/>
    <w:qFormat/>
    <w:pPr>
      <w:widowControl w:val="0"/>
      <w:spacing w:after="0" w:line="240" w:lineRule="auto"/>
    </w:pPr>
    <w:rPr>
      <w:rFonts w:eastAsiaTheme="minorHAnsi"/>
    </w:rPr>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widowControl w:val="0"/>
      <w:spacing w:after="0" w:line="240" w:lineRule="auto"/>
      <w:ind w:left="100"/>
    </w:pPr>
    <w:rPr>
      <w:rFonts w:ascii="Times New Roman" w:eastAsia="Times New Roman" w:hAnsi="Times New Roman"/>
      <w:sz w:val="24"/>
      <w:szCs w:val="24"/>
    </w:rPr>
  </w:style>
  <w:style w:type="character" w:customStyle="1" w:styleId="BodyTextChar">
    <w:name w:val="Body Text Char"/>
    <w:basedOn w:val="DefaultParagraphFont"/>
    <w:link w:val="BodyText"/>
    <w:uiPriority w:val="1"/>
    <w:rPr>
      <w:rFonts w:ascii="Times New Roman" w:eastAsia="Times New Roman" w:hAnsi="Times New Roman"/>
      <w:sz w:val="24"/>
      <w:szCs w:val="24"/>
    </w:rPr>
  </w:style>
  <w:style w:type="paragraph" w:customStyle="1" w:styleId="TableParagraph">
    <w:name w:val="Table Paragraph"/>
    <w:basedOn w:val="Normal"/>
    <w:uiPriority w:val="1"/>
    <w:qFormat/>
    <w:pPr>
      <w:widowControl w:val="0"/>
      <w:spacing w:after="0" w:line="240" w:lineRule="auto"/>
    </w:pPr>
    <w:rPr>
      <w:rFonts w:eastAsiaTheme="minorHAnsi"/>
    </w:rPr>
  </w:style>
  <w:style w:type="paragraph" w:styleId="NormalWeb">
    <w:name w:val="Normal (Web)"/>
    <w:basedOn w:val="Normal"/>
    <w:uiPriority w:val="99"/>
    <w:unhideWhenUsed/>
    <w:pPr>
      <w:spacing w:before="100" w:beforeAutospacing="1" w:after="100" w:afterAutospacing="1" w:line="240" w:lineRule="auto"/>
    </w:pPr>
    <w:rPr>
      <w:rFonts w:ascii="Times New Roman" w:eastAsiaTheme="minorHAnsi" w:hAnsi="Times New Roman" w:cs="Times New Roman"/>
      <w:sz w:val="24"/>
      <w:szCs w:val="24"/>
    </w:rPr>
  </w:style>
  <w:style w:type="character" w:customStyle="1" w:styleId="Heading1Char">
    <w:name w:val="Heading 1 Char"/>
    <w:basedOn w:val="DefaultParagraphFont"/>
    <w:link w:val="Heading1"/>
    <w:rPr>
      <w:rFonts w:ascii="Arial" w:eastAsia="Times New Roman" w:hAnsi="Arial" w:cs="Times New Roman"/>
      <w:b/>
      <w:kern w:val="28"/>
      <w:sz w:val="28"/>
      <w:szCs w:val="20"/>
      <w:lang w:val="es-ES"/>
    </w:rPr>
  </w:style>
  <w:style w:type="character" w:customStyle="1" w:styleId="Heading4Char">
    <w:name w:val="Heading 4 Char"/>
    <w:basedOn w:val="DefaultParagraphFont"/>
    <w:link w:val="Heading4"/>
    <w:rPr>
      <w:rFonts w:ascii="Arial" w:eastAsia="Times New Roman" w:hAnsi="Arial" w:cs="Times New Roman"/>
      <w:b/>
      <w:sz w:val="24"/>
      <w:szCs w:val="20"/>
      <w:lang w:val="es-ES"/>
    </w:rPr>
  </w:style>
  <w:style w:type="character" w:customStyle="1" w:styleId="Heading5Char">
    <w:name w:val="Heading 5 Char"/>
    <w:basedOn w:val="DefaultParagraphFont"/>
    <w:link w:val="Heading5"/>
    <w:rPr>
      <w:rFonts w:ascii="Times New Roman" w:eastAsia="Times New Roman" w:hAnsi="Times New Roman" w:cs="Times New Roman"/>
      <w:szCs w:val="20"/>
      <w:lang w:val="es-ES"/>
    </w:rPr>
  </w:style>
  <w:style w:type="character" w:customStyle="1" w:styleId="Heading6Char">
    <w:name w:val="Heading 6 Char"/>
    <w:basedOn w:val="DefaultParagraphFont"/>
    <w:link w:val="Heading6"/>
    <w:rPr>
      <w:rFonts w:ascii="Times New Roman" w:eastAsia="Times New Roman" w:hAnsi="Times New Roman" w:cs="Times New Roman"/>
      <w:i/>
      <w:szCs w:val="20"/>
      <w:lang w:val="es-ES"/>
    </w:rPr>
  </w:style>
  <w:style w:type="character" w:customStyle="1" w:styleId="Heading7Char">
    <w:name w:val="Heading 7 Char"/>
    <w:basedOn w:val="DefaultParagraphFont"/>
    <w:link w:val="Heading7"/>
    <w:rPr>
      <w:rFonts w:ascii="Arial" w:eastAsia="Times New Roman" w:hAnsi="Arial" w:cs="Times New Roman"/>
      <w:sz w:val="24"/>
      <w:szCs w:val="20"/>
      <w:lang w:val="es-ES"/>
    </w:rPr>
  </w:style>
  <w:style w:type="character" w:customStyle="1" w:styleId="Heading8Char">
    <w:name w:val="Heading 8 Char"/>
    <w:basedOn w:val="DefaultParagraphFont"/>
    <w:link w:val="Heading8"/>
    <w:rPr>
      <w:rFonts w:ascii="Arial" w:eastAsia="Times New Roman" w:hAnsi="Arial" w:cs="Times New Roman"/>
      <w:i/>
      <w:sz w:val="24"/>
      <w:szCs w:val="20"/>
      <w:lang w:val="es-ES"/>
    </w:rPr>
  </w:style>
  <w:style w:type="character" w:customStyle="1" w:styleId="Heading9Char">
    <w:name w:val="Heading 9 Char"/>
    <w:basedOn w:val="DefaultParagraphFont"/>
    <w:link w:val="Heading9"/>
    <w:rPr>
      <w:rFonts w:ascii="Arial" w:eastAsia="Times New Roman" w:hAnsi="Arial" w:cs="Times New Roman"/>
      <w:b/>
      <w:i/>
      <w:sz w:val="18"/>
      <w:szCs w:val="20"/>
      <w:lang w:val="es-ES"/>
    </w:rPr>
  </w:style>
  <w:style w:type="paragraph" w:customStyle="1" w:styleId="FirstHeading">
    <w:name w:val="FirstHeading"/>
    <w:basedOn w:val="Normal"/>
    <w:next w:val="Normal"/>
    <w:pPr>
      <w:keepNext/>
      <w:numPr>
        <w:numId w:val="3"/>
      </w:numPr>
      <w:tabs>
        <w:tab w:val="left" w:pos="0"/>
        <w:tab w:val="left" w:pos="86"/>
      </w:tabs>
      <w:spacing w:before="120" w:after="120" w:line="240" w:lineRule="auto"/>
    </w:pPr>
    <w:rPr>
      <w:rFonts w:ascii="Times New Roman" w:eastAsia="Times New Roman" w:hAnsi="Times New Roman" w:cs="Times New Roman"/>
      <w:b/>
      <w:sz w:val="24"/>
      <w:szCs w:val="20"/>
      <w:lang w:val="es-ES"/>
    </w:rPr>
  </w:style>
  <w:style w:type="paragraph" w:customStyle="1" w:styleId="SecHeading">
    <w:name w:val="SecHeading"/>
    <w:basedOn w:val="Normal"/>
    <w:next w:val="Paragraph"/>
    <w:pPr>
      <w:keepNext/>
      <w:numPr>
        <w:ilvl w:val="1"/>
        <w:numId w:val="3"/>
      </w:numPr>
      <w:tabs>
        <w:tab w:val="clear" w:pos="5400"/>
        <w:tab w:val="num" w:pos="1296"/>
      </w:tabs>
      <w:spacing w:before="120" w:after="120" w:line="240" w:lineRule="auto"/>
      <w:ind w:left="1296"/>
    </w:pPr>
    <w:rPr>
      <w:rFonts w:ascii="Times New Roman" w:eastAsia="Times New Roman" w:hAnsi="Times New Roman" w:cs="Times New Roman"/>
      <w:b/>
      <w:sz w:val="24"/>
      <w:szCs w:val="20"/>
      <w:lang w:val="es-ES"/>
    </w:rPr>
  </w:style>
  <w:style w:type="paragraph" w:customStyle="1" w:styleId="SubHeading1">
    <w:name w:val="SubHeading1"/>
    <w:basedOn w:val="SecHeading"/>
    <w:pPr>
      <w:numPr>
        <w:ilvl w:val="2"/>
      </w:numPr>
      <w:tabs>
        <w:tab w:val="clear" w:pos="5976"/>
        <w:tab w:val="num" w:pos="1872"/>
      </w:tabs>
      <w:ind w:left="1872"/>
    </w:pPr>
  </w:style>
  <w:style w:type="paragraph" w:customStyle="1" w:styleId="Subheading2">
    <w:name w:val="Subheading2"/>
    <w:basedOn w:val="SecHeading"/>
    <w:pPr>
      <w:numPr>
        <w:ilvl w:val="3"/>
      </w:numPr>
      <w:tabs>
        <w:tab w:val="clear" w:pos="6480"/>
        <w:tab w:val="num" w:pos="2376"/>
      </w:tabs>
      <w:ind w:left="2376"/>
    </w:pPr>
  </w:style>
  <w:style w:type="character" w:customStyle="1" w:styleId="Mention1">
    <w:name w:val="Mention1"/>
    <w:basedOn w:val="DefaultParagraphFont"/>
    <w:uiPriority w:val="99"/>
    <w:semiHidden/>
    <w:unhideWhenUsed/>
    <w:rPr>
      <w:color w:val="2B579A"/>
      <w:shd w:val="clear" w:color="auto" w:fill="E6E6E6"/>
    </w:rPr>
  </w:style>
  <w:style w:type="paragraph" w:styleId="TOCHeading">
    <w:name w:val="TOC Heading"/>
    <w:basedOn w:val="Heading1"/>
    <w:next w:val="Normal"/>
    <w:uiPriority w:val="39"/>
    <w:unhideWhenUsed/>
    <w:qFormat/>
    <w:pPr>
      <w:keepLines/>
      <w:tabs>
        <w:tab w:val="clear" w:pos="360"/>
      </w:tabs>
      <w:spacing w:after="0" w:line="259" w:lineRule="auto"/>
      <w:outlineLvl w:val="9"/>
    </w:pPr>
    <w:rPr>
      <w:rFonts w:asciiTheme="majorHAnsi" w:eastAsiaTheme="majorEastAsia" w:hAnsiTheme="majorHAnsi" w:cstheme="majorBidi"/>
      <w:b w:val="0"/>
      <w:color w:val="365F91" w:themeColor="accent1" w:themeShade="BF"/>
      <w:kern w:val="0"/>
      <w:sz w:val="32"/>
      <w:szCs w:val="32"/>
      <w:lang w:val="en-US"/>
    </w:rPr>
  </w:style>
  <w:style w:type="paragraph" w:styleId="TOC3">
    <w:name w:val="toc 3"/>
    <w:basedOn w:val="Normal"/>
    <w:next w:val="Normal"/>
    <w:autoRedefine/>
    <w:uiPriority w:val="39"/>
    <w:unhideWhenUsed/>
    <w:pPr>
      <w:spacing w:after="100"/>
      <w:ind w:left="440"/>
    </w:pPr>
  </w:style>
  <w:style w:type="paragraph" w:styleId="TOC1">
    <w:name w:val="toc 1"/>
    <w:basedOn w:val="Normal"/>
    <w:next w:val="Normal"/>
    <w:autoRedefine/>
    <w:uiPriority w:val="39"/>
    <w:unhideWhenUsed/>
    <w:pPr>
      <w:tabs>
        <w:tab w:val="left" w:pos="440"/>
        <w:tab w:val="right" w:leader="dot" w:pos="9016"/>
      </w:tabs>
      <w:spacing w:after="100"/>
      <w:jc w:val="center"/>
    </w:pPr>
  </w:style>
  <w:style w:type="paragraph" w:styleId="TOC2">
    <w:name w:val="toc 2"/>
    <w:basedOn w:val="Normal"/>
    <w:next w:val="Normal"/>
    <w:autoRedefine/>
    <w:uiPriority w:val="39"/>
    <w:unhideWhenUsed/>
    <w:rsid w:val="00553D78"/>
    <w:pPr>
      <w:tabs>
        <w:tab w:val="left" w:pos="880"/>
        <w:tab w:val="right" w:leader="dot" w:pos="9102"/>
      </w:tabs>
      <w:spacing w:after="100"/>
      <w:ind w:left="220"/>
    </w:pPr>
  </w:style>
  <w:style w:type="paragraph" w:styleId="Caption">
    <w:name w:val="caption"/>
    <w:basedOn w:val="Normal"/>
    <w:next w:val="Normal"/>
    <w:semiHidden/>
    <w:unhideWhenUsed/>
    <w:qFormat/>
    <w:pPr>
      <w:spacing w:after="0" w:line="240" w:lineRule="auto"/>
    </w:pPr>
    <w:rPr>
      <w:rFonts w:ascii="Times New Roman" w:eastAsia="Times New Roman" w:hAnsi="Times New Roman" w:cs="Times New Roman"/>
      <w:b/>
      <w:bCs/>
      <w:noProof/>
      <w:sz w:val="20"/>
      <w:szCs w:val="20"/>
      <w:lang w:val="es-ES" w:eastAsia="es-ES"/>
    </w:rPr>
  </w:style>
  <w:style w:type="character" w:styleId="PlaceholderText">
    <w:name w:val="Placeholder Text"/>
    <w:basedOn w:val="DefaultParagraphFont"/>
    <w:uiPriority w:val="99"/>
    <w:semiHidden/>
    <w:rPr>
      <w:color w:val="808080"/>
    </w:rPr>
  </w:style>
  <w:style w:type="character" w:styleId="Mention">
    <w:name w:val="Mention"/>
    <w:basedOn w:val="DefaultParagraphFont"/>
    <w:uiPriority w:val="99"/>
    <w:semiHidden/>
    <w:unhideWhenUsed/>
    <w:rPr>
      <w:color w:val="2B579A"/>
      <w:shd w:val="clear" w:color="auto" w:fill="E6E6E6"/>
    </w:rPr>
  </w:style>
  <w:style w:type="character" w:styleId="UnresolvedMention">
    <w:name w:val="Unresolved Mention"/>
    <w:basedOn w:val="DefaultParagraphFont"/>
    <w:uiPriority w:val="99"/>
    <w:semiHidden/>
    <w:unhideWhenUsed/>
    <w:rPr>
      <w:color w:val="808080"/>
      <w:shd w:val="clear" w:color="auto" w:fill="E6E6E6"/>
    </w:rPr>
  </w:style>
  <w:style w:type="paragraph" w:customStyle="1" w:styleId="Char2">
    <w:name w:val="Char2"/>
    <w:basedOn w:val="Normal"/>
    <w:link w:val="FootnoteReference"/>
    <w:uiPriority w:val="99"/>
    <w:rsid w:val="0063588A"/>
    <w:pPr>
      <w:spacing w:after="160" w:line="240" w:lineRule="exact"/>
    </w:pPr>
    <w:rPr>
      <w:vertAlign w:val="superscript"/>
    </w:rPr>
  </w:style>
  <w:style w:type="character" w:customStyle="1" w:styleId="pages4">
    <w:name w:val="pages4"/>
    <w:basedOn w:val="DefaultParagraphFont"/>
    <w:rsid w:val="0056292F"/>
  </w:style>
  <w:style w:type="character" w:customStyle="1" w:styleId="ListParagraphChar">
    <w:name w:val="List Paragraph Char"/>
    <w:link w:val="ListParagraph"/>
    <w:uiPriority w:val="34"/>
    <w:locked/>
    <w:rsid w:val="008F0B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74660">
      <w:bodyDiv w:val="1"/>
      <w:marLeft w:val="0"/>
      <w:marRight w:val="0"/>
      <w:marTop w:val="0"/>
      <w:marBottom w:val="0"/>
      <w:divBdr>
        <w:top w:val="none" w:sz="0" w:space="0" w:color="auto"/>
        <w:left w:val="none" w:sz="0" w:space="0" w:color="auto"/>
        <w:bottom w:val="none" w:sz="0" w:space="0" w:color="auto"/>
        <w:right w:val="none" w:sz="0" w:space="0" w:color="auto"/>
      </w:divBdr>
    </w:div>
    <w:div w:id="100302099">
      <w:bodyDiv w:val="1"/>
      <w:marLeft w:val="0"/>
      <w:marRight w:val="0"/>
      <w:marTop w:val="0"/>
      <w:marBottom w:val="0"/>
      <w:divBdr>
        <w:top w:val="none" w:sz="0" w:space="0" w:color="auto"/>
        <w:left w:val="none" w:sz="0" w:space="0" w:color="auto"/>
        <w:bottom w:val="none" w:sz="0" w:space="0" w:color="auto"/>
        <w:right w:val="none" w:sz="0" w:space="0" w:color="auto"/>
      </w:divBdr>
    </w:div>
    <w:div w:id="134957431">
      <w:bodyDiv w:val="1"/>
      <w:marLeft w:val="0"/>
      <w:marRight w:val="0"/>
      <w:marTop w:val="0"/>
      <w:marBottom w:val="0"/>
      <w:divBdr>
        <w:top w:val="none" w:sz="0" w:space="0" w:color="auto"/>
        <w:left w:val="none" w:sz="0" w:space="0" w:color="auto"/>
        <w:bottom w:val="none" w:sz="0" w:space="0" w:color="auto"/>
        <w:right w:val="none" w:sz="0" w:space="0" w:color="auto"/>
      </w:divBdr>
    </w:div>
    <w:div w:id="161243374">
      <w:bodyDiv w:val="1"/>
      <w:marLeft w:val="0"/>
      <w:marRight w:val="0"/>
      <w:marTop w:val="0"/>
      <w:marBottom w:val="0"/>
      <w:divBdr>
        <w:top w:val="none" w:sz="0" w:space="0" w:color="auto"/>
        <w:left w:val="none" w:sz="0" w:space="0" w:color="auto"/>
        <w:bottom w:val="none" w:sz="0" w:space="0" w:color="auto"/>
        <w:right w:val="none" w:sz="0" w:space="0" w:color="auto"/>
      </w:divBdr>
    </w:div>
    <w:div w:id="198327114">
      <w:bodyDiv w:val="1"/>
      <w:marLeft w:val="0"/>
      <w:marRight w:val="0"/>
      <w:marTop w:val="0"/>
      <w:marBottom w:val="0"/>
      <w:divBdr>
        <w:top w:val="none" w:sz="0" w:space="0" w:color="auto"/>
        <w:left w:val="none" w:sz="0" w:space="0" w:color="auto"/>
        <w:bottom w:val="none" w:sz="0" w:space="0" w:color="auto"/>
        <w:right w:val="none" w:sz="0" w:space="0" w:color="auto"/>
      </w:divBdr>
    </w:div>
    <w:div w:id="269699989">
      <w:bodyDiv w:val="1"/>
      <w:marLeft w:val="0"/>
      <w:marRight w:val="0"/>
      <w:marTop w:val="0"/>
      <w:marBottom w:val="0"/>
      <w:divBdr>
        <w:top w:val="none" w:sz="0" w:space="0" w:color="auto"/>
        <w:left w:val="none" w:sz="0" w:space="0" w:color="auto"/>
        <w:bottom w:val="none" w:sz="0" w:space="0" w:color="auto"/>
        <w:right w:val="none" w:sz="0" w:space="0" w:color="auto"/>
      </w:divBdr>
    </w:div>
    <w:div w:id="270011840">
      <w:bodyDiv w:val="1"/>
      <w:marLeft w:val="0"/>
      <w:marRight w:val="0"/>
      <w:marTop w:val="0"/>
      <w:marBottom w:val="0"/>
      <w:divBdr>
        <w:top w:val="none" w:sz="0" w:space="0" w:color="auto"/>
        <w:left w:val="none" w:sz="0" w:space="0" w:color="auto"/>
        <w:bottom w:val="none" w:sz="0" w:space="0" w:color="auto"/>
        <w:right w:val="none" w:sz="0" w:space="0" w:color="auto"/>
      </w:divBdr>
    </w:div>
    <w:div w:id="275674487">
      <w:bodyDiv w:val="1"/>
      <w:marLeft w:val="0"/>
      <w:marRight w:val="0"/>
      <w:marTop w:val="0"/>
      <w:marBottom w:val="0"/>
      <w:divBdr>
        <w:top w:val="none" w:sz="0" w:space="0" w:color="auto"/>
        <w:left w:val="none" w:sz="0" w:space="0" w:color="auto"/>
        <w:bottom w:val="none" w:sz="0" w:space="0" w:color="auto"/>
        <w:right w:val="none" w:sz="0" w:space="0" w:color="auto"/>
      </w:divBdr>
    </w:div>
    <w:div w:id="301692161">
      <w:bodyDiv w:val="1"/>
      <w:marLeft w:val="0"/>
      <w:marRight w:val="0"/>
      <w:marTop w:val="0"/>
      <w:marBottom w:val="0"/>
      <w:divBdr>
        <w:top w:val="none" w:sz="0" w:space="0" w:color="auto"/>
        <w:left w:val="none" w:sz="0" w:space="0" w:color="auto"/>
        <w:bottom w:val="none" w:sz="0" w:space="0" w:color="auto"/>
        <w:right w:val="none" w:sz="0" w:space="0" w:color="auto"/>
      </w:divBdr>
    </w:div>
    <w:div w:id="311180206">
      <w:bodyDiv w:val="1"/>
      <w:marLeft w:val="0"/>
      <w:marRight w:val="0"/>
      <w:marTop w:val="0"/>
      <w:marBottom w:val="0"/>
      <w:divBdr>
        <w:top w:val="none" w:sz="0" w:space="0" w:color="auto"/>
        <w:left w:val="none" w:sz="0" w:space="0" w:color="auto"/>
        <w:bottom w:val="none" w:sz="0" w:space="0" w:color="auto"/>
        <w:right w:val="none" w:sz="0" w:space="0" w:color="auto"/>
      </w:divBdr>
    </w:div>
    <w:div w:id="311561256">
      <w:bodyDiv w:val="1"/>
      <w:marLeft w:val="0"/>
      <w:marRight w:val="0"/>
      <w:marTop w:val="0"/>
      <w:marBottom w:val="0"/>
      <w:divBdr>
        <w:top w:val="none" w:sz="0" w:space="0" w:color="auto"/>
        <w:left w:val="none" w:sz="0" w:space="0" w:color="auto"/>
        <w:bottom w:val="none" w:sz="0" w:space="0" w:color="auto"/>
        <w:right w:val="none" w:sz="0" w:space="0" w:color="auto"/>
      </w:divBdr>
    </w:div>
    <w:div w:id="342627476">
      <w:bodyDiv w:val="1"/>
      <w:marLeft w:val="0"/>
      <w:marRight w:val="0"/>
      <w:marTop w:val="0"/>
      <w:marBottom w:val="0"/>
      <w:divBdr>
        <w:top w:val="none" w:sz="0" w:space="0" w:color="auto"/>
        <w:left w:val="none" w:sz="0" w:space="0" w:color="auto"/>
        <w:bottom w:val="none" w:sz="0" w:space="0" w:color="auto"/>
        <w:right w:val="none" w:sz="0" w:space="0" w:color="auto"/>
      </w:divBdr>
    </w:div>
    <w:div w:id="383649291">
      <w:bodyDiv w:val="1"/>
      <w:marLeft w:val="0"/>
      <w:marRight w:val="0"/>
      <w:marTop w:val="0"/>
      <w:marBottom w:val="0"/>
      <w:divBdr>
        <w:top w:val="none" w:sz="0" w:space="0" w:color="auto"/>
        <w:left w:val="none" w:sz="0" w:space="0" w:color="auto"/>
        <w:bottom w:val="none" w:sz="0" w:space="0" w:color="auto"/>
        <w:right w:val="none" w:sz="0" w:space="0" w:color="auto"/>
      </w:divBdr>
    </w:div>
    <w:div w:id="414017489">
      <w:bodyDiv w:val="1"/>
      <w:marLeft w:val="0"/>
      <w:marRight w:val="0"/>
      <w:marTop w:val="0"/>
      <w:marBottom w:val="0"/>
      <w:divBdr>
        <w:top w:val="none" w:sz="0" w:space="0" w:color="auto"/>
        <w:left w:val="none" w:sz="0" w:space="0" w:color="auto"/>
        <w:bottom w:val="none" w:sz="0" w:space="0" w:color="auto"/>
        <w:right w:val="none" w:sz="0" w:space="0" w:color="auto"/>
      </w:divBdr>
    </w:div>
    <w:div w:id="488523229">
      <w:bodyDiv w:val="1"/>
      <w:marLeft w:val="0"/>
      <w:marRight w:val="0"/>
      <w:marTop w:val="0"/>
      <w:marBottom w:val="0"/>
      <w:divBdr>
        <w:top w:val="none" w:sz="0" w:space="0" w:color="auto"/>
        <w:left w:val="none" w:sz="0" w:space="0" w:color="auto"/>
        <w:bottom w:val="none" w:sz="0" w:space="0" w:color="auto"/>
        <w:right w:val="none" w:sz="0" w:space="0" w:color="auto"/>
      </w:divBdr>
    </w:div>
    <w:div w:id="497883621">
      <w:bodyDiv w:val="1"/>
      <w:marLeft w:val="0"/>
      <w:marRight w:val="0"/>
      <w:marTop w:val="0"/>
      <w:marBottom w:val="0"/>
      <w:divBdr>
        <w:top w:val="none" w:sz="0" w:space="0" w:color="auto"/>
        <w:left w:val="none" w:sz="0" w:space="0" w:color="auto"/>
        <w:bottom w:val="none" w:sz="0" w:space="0" w:color="auto"/>
        <w:right w:val="none" w:sz="0" w:space="0" w:color="auto"/>
      </w:divBdr>
    </w:div>
    <w:div w:id="508759719">
      <w:bodyDiv w:val="1"/>
      <w:marLeft w:val="0"/>
      <w:marRight w:val="0"/>
      <w:marTop w:val="0"/>
      <w:marBottom w:val="0"/>
      <w:divBdr>
        <w:top w:val="none" w:sz="0" w:space="0" w:color="auto"/>
        <w:left w:val="none" w:sz="0" w:space="0" w:color="auto"/>
        <w:bottom w:val="none" w:sz="0" w:space="0" w:color="auto"/>
        <w:right w:val="none" w:sz="0" w:space="0" w:color="auto"/>
      </w:divBdr>
    </w:div>
    <w:div w:id="522745445">
      <w:bodyDiv w:val="1"/>
      <w:marLeft w:val="0"/>
      <w:marRight w:val="0"/>
      <w:marTop w:val="0"/>
      <w:marBottom w:val="0"/>
      <w:divBdr>
        <w:top w:val="none" w:sz="0" w:space="0" w:color="auto"/>
        <w:left w:val="none" w:sz="0" w:space="0" w:color="auto"/>
        <w:bottom w:val="none" w:sz="0" w:space="0" w:color="auto"/>
        <w:right w:val="none" w:sz="0" w:space="0" w:color="auto"/>
      </w:divBdr>
    </w:div>
    <w:div w:id="541212734">
      <w:bodyDiv w:val="1"/>
      <w:marLeft w:val="0"/>
      <w:marRight w:val="0"/>
      <w:marTop w:val="0"/>
      <w:marBottom w:val="0"/>
      <w:divBdr>
        <w:top w:val="none" w:sz="0" w:space="0" w:color="auto"/>
        <w:left w:val="none" w:sz="0" w:space="0" w:color="auto"/>
        <w:bottom w:val="none" w:sz="0" w:space="0" w:color="auto"/>
        <w:right w:val="none" w:sz="0" w:space="0" w:color="auto"/>
      </w:divBdr>
    </w:div>
    <w:div w:id="547104417">
      <w:bodyDiv w:val="1"/>
      <w:marLeft w:val="0"/>
      <w:marRight w:val="0"/>
      <w:marTop w:val="0"/>
      <w:marBottom w:val="0"/>
      <w:divBdr>
        <w:top w:val="none" w:sz="0" w:space="0" w:color="auto"/>
        <w:left w:val="none" w:sz="0" w:space="0" w:color="auto"/>
        <w:bottom w:val="none" w:sz="0" w:space="0" w:color="auto"/>
        <w:right w:val="none" w:sz="0" w:space="0" w:color="auto"/>
      </w:divBdr>
    </w:div>
    <w:div w:id="564413563">
      <w:bodyDiv w:val="1"/>
      <w:marLeft w:val="0"/>
      <w:marRight w:val="0"/>
      <w:marTop w:val="0"/>
      <w:marBottom w:val="0"/>
      <w:divBdr>
        <w:top w:val="none" w:sz="0" w:space="0" w:color="auto"/>
        <w:left w:val="none" w:sz="0" w:space="0" w:color="auto"/>
        <w:bottom w:val="none" w:sz="0" w:space="0" w:color="auto"/>
        <w:right w:val="none" w:sz="0" w:space="0" w:color="auto"/>
      </w:divBdr>
    </w:div>
    <w:div w:id="627206383">
      <w:bodyDiv w:val="1"/>
      <w:marLeft w:val="0"/>
      <w:marRight w:val="0"/>
      <w:marTop w:val="0"/>
      <w:marBottom w:val="0"/>
      <w:divBdr>
        <w:top w:val="none" w:sz="0" w:space="0" w:color="auto"/>
        <w:left w:val="none" w:sz="0" w:space="0" w:color="auto"/>
        <w:bottom w:val="none" w:sz="0" w:space="0" w:color="auto"/>
        <w:right w:val="none" w:sz="0" w:space="0" w:color="auto"/>
      </w:divBdr>
    </w:div>
    <w:div w:id="630210262">
      <w:bodyDiv w:val="1"/>
      <w:marLeft w:val="0"/>
      <w:marRight w:val="0"/>
      <w:marTop w:val="0"/>
      <w:marBottom w:val="0"/>
      <w:divBdr>
        <w:top w:val="none" w:sz="0" w:space="0" w:color="auto"/>
        <w:left w:val="none" w:sz="0" w:space="0" w:color="auto"/>
        <w:bottom w:val="none" w:sz="0" w:space="0" w:color="auto"/>
        <w:right w:val="none" w:sz="0" w:space="0" w:color="auto"/>
      </w:divBdr>
    </w:div>
    <w:div w:id="631639082">
      <w:bodyDiv w:val="1"/>
      <w:marLeft w:val="0"/>
      <w:marRight w:val="0"/>
      <w:marTop w:val="0"/>
      <w:marBottom w:val="0"/>
      <w:divBdr>
        <w:top w:val="none" w:sz="0" w:space="0" w:color="auto"/>
        <w:left w:val="none" w:sz="0" w:space="0" w:color="auto"/>
        <w:bottom w:val="none" w:sz="0" w:space="0" w:color="auto"/>
        <w:right w:val="none" w:sz="0" w:space="0" w:color="auto"/>
      </w:divBdr>
    </w:div>
    <w:div w:id="637498391">
      <w:bodyDiv w:val="1"/>
      <w:marLeft w:val="0"/>
      <w:marRight w:val="0"/>
      <w:marTop w:val="0"/>
      <w:marBottom w:val="0"/>
      <w:divBdr>
        <w:top w:val="none" w:sz="0" w:space="0" w:color="auto"/>
        <w:left w:val="none" w:sz="0" w:space="0" w:color="auto"/>
        <w:bottom w:val="none" w:sz="0" w:space="0" w:color="auto"/>
        <w:right w:val="none" w:sz="0" w:space="0" w:color="auto"/>
      </w:divBdr>
    </w:div>
    <w:div w:id="663433244">
      <w:bodyDiv w:val="1"/>
      <w:marLeft w:val="0"/>
      <w:marRight w:val="0"/>
      <w:marTop w:val="0"/>
      <w:marBottom w:val="0"/>
      <w:divBdr>
        <w:top w:val="none" w:sz="0" w:space="0" w:color="auto"/>
        <w:left w:val="none" w:sz="0" w:space="0" w:color="auto"/>
        <w:bottom w:val="none" w:sz="0" w:space="0" w:color="auto"/>
        <w:right w:val="none" w:sz="0" w:space="0" w:color="auto"/>
      </w:divBdr>
    </w:div>
    <w:div w:id="664865875">
      <w:bodyDiv w:val="1"/>
      <w:marLeft w:val="0"/>
      <w:marRight w:val="0"/>
      <w:marTop w:val="0"/>
      <w:marBottom w:val="0"/>
      <w:divBdr>
        <w:top w:val="none" w:sz="0" w:space="0" w:color="auto"/>
        <w:left w:val="none" w:sz="0" w:space="0" w:color="auto"/>
        <w:bottom w:val="none" w:sz="0" w:space="0" w:color="auto"/>
        <w:right w:val="none" w:sz="0" w:space="0" w:color="auto"/>
      </w:divBdr>
    </w:div>
    <w:div w:id="683820382">
      <w:bodyDiv w:val="1"/>
      <w:marLeft w:val="0"/>
      <w:marRight w:val="0"/>
      <w:marTop w:val="0"/>
      <w:marBottom w:val="0"/>
      <w:divBdr>
        <w:top w:val="none" w:sz="0" w:space="0" w:color="auto"/>
        <w:left w:val="none" w:sz="0" w:space="0" w:color="auto"/>
        <w:bottom w:val="none" w:sz="0" w:space="0" w:color="auto"/>
        <w:right w:val="none" w:sz="0" w:space="0" w:color="auto"/>
      </w:divBdr>
    </w:div>
    <w:div w:id="690839964">
      <w:bodyDiv w:val="1"/>
      <w:marLeft w:val="0"/>
      <w:marRight w:val="0"/>
      <w:marTop w:val="0"/>
      <w:marBottom w:val="0"/>
      <w:divBdr>
        <w:top w:val="none" w:sz="0" w:space="0" w:color="auto"/>
        <w:left w:val="none" w:sz="0" w:space="0" w:color="auto"/>
        <w:bottom w:val="none" w:sz="0" w:space="0" w:color="auto"/>
        <w:right w:val="none" w:sz="0" w:space="0" w:color="auto"/>
      </w:divBdr>
    </w:div>
    <w:div w:id="702825551">
      <w:bodyDiv w:val="1"/>
      <w:marLeft w:val="0"/>
      <w:marRight w:val="0"/>
      <w:marTop w:val="0"/>
      <w:marBottom w:val="0"/>
      <w:divBdr>
        <w:top w:val="none" w:sz="0" w:space="0" w:color="auto"/>
        <w:left w:val="none" w:sz="0" w:space="0" w:color="auto"/>
        <w:bottom w:val="none" w:sz="0" w:space="0" w:color="auto"/>
        <w:right w:val="none" w:sz="0" w:space="0" w:color="auto"/>
      </w:divBdr>
    </w:div>
    <w:div w:id="716590910">
      <w:bodyDiv w:val="1"/>
      <w:marLeft w:val="0"/>
      <w:marRight w:val="0"/>
      <w:marTop w:val="0"/>
      <w:marBottom w:val="0"/>
      <w:divBdr>
        <w:top w:val="none" w:sz="0" w:space="0" w:color="auto"/>
        <w:left w:val="none" w:sz="0" w:space="0" w:color="auto"/>
        <w:bottom w:val="none" w:sz="0" w:space="0" w:color="auto"/>
        <w:right w:val="none" w:sz="0" w:space="0" w:color="auto"/>
      </w:divBdr>
    </w:div>
    <w:div w:id="720904336">
      <w:bodyDiv w:val="1"/>
      <w:marLeft w:val="0"/>
      <w:marRight w:val="0"/>
      <w:marTop w:val="0"/>
      <w:marBottom w:val="0"/>
      <w:divBdr>
        <w:top w:val="none" w:sz="0" w:space="0" w:color="auto"/>
        <w:left w:val="none" w:sz="0" w:space="0" w:color="auto"/>
        <w:bottom w:val="none" w:sz="0" w:space="0" w:color="auto"/>
        <w:right w:val="none" w:sz="0" w:space="0" w:color="auto"/>
      </w:divBdr>
    </w:div>
    <w:div w:id="724719695">
      <w:bodyDiv w:val="1"/>
      <w:marLeft w:val="0"/>
      <w:marRight w:val="0"/>
      <w:marTop w:val="0"/>
      <w:marBottom w:val="0"/>
      <w:divBdr>
        <w:top w:val="none" w:sz="0" w:space="0" w:color="auto"/>
        <w:left w:val="none" w:sz="0" w:space="0" w:color="auto"/>
        <w:bottom w:val="none" w:sz="0" w:space="0" w:color="auto"/>
        <w:right w:val="none" w:sz="0" w:space="0" w:color="auto"/>
      </w:divBdr>
    </w:div>
    <w:div w:id="750472730">
      <w:bodyDiv w:val="1"/>
      <w:marLeft w:val="0"/>
      <w:marRight w:val="0"/>
      <w:marTop w:val="0"/>
      <w:marBottom w:val="0"/>
      <w:divBdr>
        <w:top w:val="none" w:sz="0" w:space="0" w:color="auto"/>
        <w:left w:val="none" w:sz="0" w:space="0" w:color="auto"/>
        <w:bottom w:val="none" w:sz="0" w:space="0" w:color="auto"/>
        <w:right w:val="none" w:sz="0" w:space="0" w:color="auto"/>
      </w:divBdr>
    </w:div>
    <w:div w:id="795762257">
      <w:bodyDiv w:val="1"/>
      <w:marLeft w:val="0"/>
      <w:marRight w:val="0"/>
      <w:marTop w:val="0"/>
      <w:marBottom w:val="0"/>
      <w:divBdr>
        <w:top w:val="none" w:sz="0" w:space="0" w:color="auto"/>
        <w:left w:val="none" w:sz="0" w:space="0" w:color="auto"/>
        <w:bottom w:val="none" w:sz="0" w:space="0" w:color="auto"/>
        <w:right w:val="none" w:sz="0" w:space="0" w:color="auto"/>
      </w:divBdr>
    </w:div>
    <w:div w:id="799112992">
      <w:bodyDiv w:val="1"/>
      <w:marLeft w:val="0"/>
      <w:marRight w:val="0"/>
      <w:marTop w:val="0"/>
      <w:marBottom w:val="0"/>
      <w:divBdr>
        <w:top w:val="none" w:sz="0" w:space="0" w:color="auto"/>
        <w:left w:val="none" w:sz="0" w:space="0" w:color="auto"/>
        <w:bottom w:val="none" w:sz="0" w:space="0" w:color="auto"/>
        <w:right w:val="none" w:sz="0" w:space="0" w:color="auto"/>
      </w:divBdr>
    </w:div>
    <w:div w:id="840855124">
      <w:bodyDiv w:val="1"/>
      <w:marLeft w:val="0"/>
      <w:marRight w:val="0"/>
      <w:marTop w:val="0"/>
      <w:marBottom w:val="0"/>
      <w:divBdr>
        <w:top w:val="none" w:sz="0" w:space="0" w:color="auto"/>
        <w:left w:val="none" w:sz="0" w:space="0" w:color="auto"/>
        <w:bottom w:val="none" w:sz="0" w:space="0" w:color="auto"/>
        <w:right w:val="none" w:sz="0" w:space="0" w:color="auto"/>
      </w:divBdr>
    </w:div>
    <w:div w:id="841703978">
      <w:bodyDiv w:val="1"/>
      <w:marLeft w:val="0"/>
      <w:marRight w:val="0"/>
      <w:marTop w:val="0"/>
      <w:marBottom w:val="0"/>
      <w:divBdr>
        <w:top w:val="none" w:sz="0" w:space="0" w:color="auto"/>
        <w:left w:val="none" w:sz="0" w:space="0" w:color="auto"/>
        <w:bottom w:val="none" w:sz="0" w:space="0" w:color="auto"/>
        <w:right w:val="none" w:sz="0" w:space="0" w:color="auto"/>
      </w:divBdr>
    </w:div>
    <w:div w:id="864683091">
      <w:bodyDiv w:val="1"/>
      <w:marLeft w:val="0"/>
      <w:marRight w:val="0"/>
      <w:marTop w:val="0"/>
      <w:marBottom w:val="0"/>
      <w:divBdr>
        <w:top w:val="none" w:sz="0" w:space="0" w:color="auto"/>
        <w:left w:val="none" w:sz="0" w:space="0" w:color="auto"/>
        <w:bottom w:val="none" w:sz="0" w:space="0" w:color="auto"/>
        <w:right w:val="none" w:sz="0" w:space="0" w:color="auto"/>
      </w:divBdr>
    </w:div>
    <w:div w:id="901214189">
      <w:bodyDiv w:val="1"/>
      <w:marLeft w:val="0"/>
      <w:marRight w:val="0"/>
      <w:marTop w:val="0"/>
      <w:marBottom w:val="0"/>
      <w:divBdr>
        <w:top w:val="none" w:sz="0" w:space="0" w:color="auto"/>
        <w:left w:val="none" w:sz="0" w:space="0" w:color="auto"/>
        <w:bottom w:val="none" w:sz="0" w:space="0" w:color="auto"/>
        <w:right w:val="none" w:sz="0" w:space="0" w:color="auto"/>
      </w:divBdr>
    </w:div>
    <w:div w:id="915481042">
      <w:bodyDiv w:val="1"/>
      <w:marLeft w:val="0"/>
      <w:marRight w:val="0"/>
      <w:marTop w:val="0"/>
      <w:marBottom w:val="0"/>
      <w:divBdr>
        <w:top w:val="none" w:sz="0" w:space="0" w:color="auto"/>
        <w:left w:val="none" w:sz="0" w:space="0" w:color="auto"/>
        <w:bottom w:val="none" w:sz="0" w:space="0" w:color="auto"/>
        <w:right w:val="none" w:sz="0" w:space="0" w:color="auto"/>
      </w:divBdr>
    </w:div>
    <w:div w:id="942030233">
      <w:bodyDiv w:val="1"/>
      <w:marLeft w:val="0"/>
      <w:marRight w:val="0"/>
      <w:marTop w:val="0"/>
      <w:marBottom w:val="0"/>
      <w:divBdr>
        <w:top w:val="none" w:sz="0" w:space="0" w:color="auto"/>
        <w:left w:val="none" w:sz="0" w:space="0" w:color="auto"/>
        <w:bottom w:val="none" w:sz="0" w:space="0" w:color="auto"/>
        <w:right w:val="none" w:sz="0" w:space="0" w:color="auto"/>
      </w:divBdr>
      <w:divsChild>
        <w:div w:id="494342613">
          <w:marLeft w:val="0"/>
          <w:marRight w:val="0"/>
          <w:marTop w:val="0"/>
          <w:marBottom w:val="0"/>
          <w:divBdr>
            <w:top w:val="none" w:sz="0" w:space="0" w:color="auto"/>
            <w:left w:val="none" w:sz="0" w:space="0" w:color="auto"/>
            <w:bottom w:val="none" w:sz="0" w:space="0" w:color="auto"/>
            <w:right w:val="none" w:sz="0" w:space="0" w:color="auto"/>
          </w:divBdr>
          <w:divsChild>
            <w:div w:id="1414356163">
              <w:marLeft w:val="0"/>
              <w:marRight w:val="0"/>
              <w:marTop w:val="0"/>
              <w:marBottom w:val="0"/>
              <w:divBdr>
                <w:top w:val="none" w:sz="0" w:space="0" w:color="auto"/>
                <w:left w:val="none" w:sz="0" w:space="0" w:color="auto"/>
                <w:bottom w:val="none" w:sz="0" w:space="0" w:color="auto"/>
                <w:right w:val="none" w:sz="0" w:space="0" w:color="auto"/>
              </w:divBdr>
              <w:divsChild>
                <w:div w:id="187068166">
                  <w:marLeft w:val="0"/>
                  <w:marRight w:val="0"/>
                  <w:marTop w:val="0"/>
                  <w:marBottom w:val="0"/>
                  <w:divBdr>
                    <w:top w:val="none" w:sz="0" w:space="0" w:color="auto"/>
                    <w:left w:val="none" w:sz="0" w:space="0" w:color="auto"/>
                    <w:bottom w:val="none" w:sz="0" w:space="0" w:color="auto"/>
                    <w:right w:val="none" w:sz="0" w:space="0" w:color="auto"/>
                  </w:divBdr>
                  <w:divsChild>
                    <w:div w:id="1110852987">
                      <w:marLeft w:val="0"/>
                      <w:marRight w:val="0"/>
                      <w:marTop w:val="0"/>
                      <w:marBottom w:val="0"/>
                      <w:divBdr>
                        <w:top w:val="none" w:sz="0" w:space="0" w:color="auto"/>
                        <w:left w:val="none" w:sz="0" w:space="0" w:color="auto"/>
                        <w:bottom w:val="none" w:sz="0" w:space="0" w:color="auto"/>
                        <w:right w:val="none" w:sz="0" w:space="0" w:color="auto"/>
                      </w:divBdr>
                      <w:divsChild>
                        <w:div w:id="242111148">
                          <w:marLeft w:val="0"/>
                          <w:marRight w:val="0"/>
                          <w:marTop w:val="0"/>
                          <w:marBottom w:val="0"/>
                          <w:divBdr>
                            <w:top w:val="none" w:sz="0" w:space="0" w:color="auto"/>
                            <w:left w:val="none" w:sz="0" w:space="0" w:color="auto"/>
                            <w:bottom w:val="none" w:sz="0" w:space="0" w:color="auto"/>
                            <w:right w:val="none" w:sz="0" w:space="0" w:color="auto"/>
                          </w:divBdr>
                          <w:divsChild>
                            <w:div w:id="1777754116">
                              <w:marLeft w:val="0"/>
                              <w:marRight w:val="0"/>
                              <w:marTop w:val="0"/>
                              <w:marBottom w:val="0"/>
                              <w:divBdr>
                                <w:top w:val="none" w:sz="0" w:space="0" w:color="auto"/>
                                <w:left w:val="none" w:sz="0" w:space="0" w:color="auto"/>
                                <w:bottom w:val="none" w:sz="0" w:space="0" w:color="auto"/>
                                <w:right w:val="none" w:sz="0" w:space="0" w:color="auto"/>
                              </w:divBdr>
                              <w:divsChild>
                                <w:div w:id="325326263">
                                  <w:marLeft w:val="0"/>
                                  <w:marRight w:val="0"/>
                                  <w:marTop w:val="0"/>
                                  <w:marBottom w:val="0"/>
                                  <w:divBdr>
                                    <w:top w:val="none" w:sz="0" w:space="0" w:color="auto"/>
                                    <w:left w:val="none" w:sz="0" w:space="0" w:color="auto"/>
                                    <w:bottom w:val="none" w:sz="0" w:space="0" w:color="auto"/>
                                    <w:right w:val="none" w:sz="0" w:space="0" w:color="auto"/>
                                  </w:divBdr>
                                  <w:divsChild>
                                    <w:div w:id="1620407998">
                                      <w:marLeft w:val="60"/>
                                      <w:marRight w:val="0"/>
                                      <w:marTop w:val="0"/>
                                      <w:marBottom w:val="0"/>
                                      <w:divBdr>
                                        <w:top w:val="none" w:sz="0" w:space="0" w:color="auto"/>
                                        <w:left w:val="none" w:sz="0" w:space="0" w:color="auto"/>
                                        <w:bottom w:val="none" w:sz="0" w:space="0" w:color="auto"/>
                                        <w:right w:val="none" w:sz="0" w:space="0" w:color="auto"/>
                                      </w:divBdr>
                                      <w:divsChild>
                                        <w:div w:id="1426807833">
                                          <w:marLeft w:val="0"/>
                                          <w:marRight w:val="0"/>
                                          <w:marTop w:val="0"/>
                                          <w:marBottom w:val="0"/>
                                          <w:divBdr>
                                            <w:top w:val="none" w:sz="0" w:space="0" w:color="auto"/>
                                            <w:left w:val="none" w:sz="0" w:space="0" w:color="auto"/>
                                            <w:bottom w:val="none" w:sz="0" w:space="0" w:color="auto"/>
                                            <w:right w:val="none" w:sz="0" w:space="0" w:color="auto"/>
                                          </w:divBdr>
                                          <w:divsChild>
                                            <w:div w:id="521868689">
                                              <w:marLeft w:val="0"/>
                                              <w:marRight w:val="0"/>
                                              <w:marTop w:val="0"/>
                                              <w:marBottom w:val="120"/>
                                              <w:divBdr>
                                                <w:top w:val="single" w:sz="6" w:space="0" w:color="F5F5F5"/>
                                                <w:left w:val="single" w:sz="6" w:space="0" w:color="F5F5F5"/>
                                                <w:bottom w:val="single" w:sz="6" w:space="0" w:color="F5F5F5"/>
                                                <w:right w:val="single" w:sz="6" w:space="0" w:color="F5F5F5"/>
                                              </w:divBdr>
                                              <w:divsChild>
                                                <w:div w:id="761728732">
                                                  <w:marLeft w:val="0"/>
                                                  <w:marRight w:val="0"/>
                                                  <w:marTop w:val="0"/>
                                                  <w:marBottom w:val="0"/>
                                                  <w:divBdr>
                                                    <w:top w:val="none" w:sz="0" w:space="0" w:color="auto"/>
                                                    <w:left w:val="none" w:sz="0" w:space="0" w:color="auto"/>
                                                    <w:bottom w:val="none" w:sz="0" w:space="0" w:color="auto"/>
                                                    <w:right w:val="none" w:sz="0" w:space="0" w:color="auto"/>
                                                  </w:divBdr>
                                                  <w:divsChild>
                                                    <w:div w:id="1756046446">
                                                      <w:marLeft w:val="0"/>
                                                      <w:marRight w:val="0"/>
                                                      <w:marTop w:val="0"/>
                                                      <w:marBottom w:val="0"/>
                                                      <w:divBdr>
                                                        <w:top w:val="none" w:sz="0" w:space="0" w:color="auto"/>
                                                        <w:left w:val="none" w:sz="0" w:space="0" w:color="auto"/>
                                                        <w:bottom w:val="none" w:sz="0" w:space="0" w:color="auto"/>
                                                        <w:right w:val="none" w:sz="0" w:space="0" w:color="auto"/>
                                                      </w:divBdr>
                                                    </w:div>
                                                  </w:divsChild>
                                                </w:div>
                                                <w:div w:id="77749375">
                                                  <w:marLeft w:val="0"/>
                                                  <w:marRight w:val="0"/>
                                                  <w:marTop w:val="0"/>
                                                  <w:marBottom w:val="0"/>
                                                  <w:divBdr>
                                                    <w:top w:val="none" w:sz="0" w:space="0" w:color="auto"/>
                                                    <w:left w:val="none" w:sz="0" w:space="0" w:color="auto"/>
                                                    <w:bottom w:val="none" w:sz="0" w:space="0" w:color="auto"/>
                                                    <w:right w:val="none" w:sz="0" w:space="0" w:color="auto"/>
                                                  </w:divBdr>
                                                  <w:divsChild>
                                                    <w:div w:id="511385312">
                                                      <w:marLeft w:val="0"/>
                                                      <w:marRight w:val="0"/>
                                                      <w:marTop w:val="0"/>
                                                      <w:marBottom w:val="0"/>
                                                      <w:divBdr>
                                                        <w:top w:val="none" w:sz="0" w:space="0" w:color="auto"/>
                                                        <w:left w:val="none" w:sz="0" w:space="0" w:color="auto"/>
                                                        <w:bottom w:val="none" w:sz="0" w:space="0" w:color="auto"/>
                                                        <w:right w:val="none" w:sz="0" w:space="0" w:color="auto"/>
                                                      </w:divBdr>
                                                    </w:div>
                                                  </w:divsChild>
                                                </w:div>
                                                <w:div w:id="933975804">
                                                  <w:marLeft w:val="0"/>
                                                  <w:marRight w:val="0"/>
                                                  <w:marTop w:val="0"/>
                                                  <w:marBottom w:val="0"/>
                                                  <w:divBdr>
                                                    <w:top w:val="none" w:sz="0" w:space="0" w:color="auto"/>
                                                    <w:left w:val="none" w:sz="0" w:space="0" w:color="auto"/>
                                                    <w:bottom w:val="none" w:sz="0" w:space="0" w:color="auto"/>
                                                    <w:right w:val="none" w:sz="0" w:space="0" w:color="auto"/>
                                                  </w:divBdr>
                                                  <w:divsChild>
                                                    <w:div w:id="1419063487">
                                                      <w:marLeft w:val="0"/>
                                                      <w:marRight w:val="0"/>
                                                      <w:marTop w:val="0"/>
                                                      <w:marBottom w:val="0"/>
                                                      <w:divBdr>
                                                        <w:top w:val="none" w:sz="0" w:space="0" w:color="auto"/>
                                                        <w:left w:val="none" w:sz="0" w:space="0" w:color="auto"/>
                                                        <w:bottom w:val="none" w:sz="0" w:space="0" w:color="auto"/>
                                                        <w:right w:val="none" w:sz="0" w:space="0" w:color="auto"/>
                                                      </w:divBdr>
                                                      <w:divsChild>
                                                        <w:div w:id="692806157">
                                                          <w:marLeft w:val="0"/>
                                                          <w:marRight w:val="0"/>
                                                          <w:marTop w:val="0"/>
                                                          <w:marBottom w:val="0"/>
                                                          <w:divBdr>
                                                            <w:top w:val="none" w:sz="0" w:space="0" w:color="auto"/>
                                                            <w:left w:val="none" w:sz="0" w:space="0" w:color="auto"/>
                                                            <w:bottom w:val="none" w:sz="0" w:space="0" w:color="auto"/>
                                                            <w:right w:val="none" w:sz="0" w:space="0" w:color="auto"/>
                                                          </w:divBdr>
                                                        </w:div>
                                                        <w:div w:id="1154760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566621">
                                              <w:marLeft w:val="0"/>
                                              <w:marRight w:val="0"/>
                                              <w:marTop w:val="0"/>
                                              <w:marBottom w:val="0"/>
                                              <w:divBdr>
                                                <w:top w:val="none" w:sz="0" w:space="0" w:color="auto"/>
                                                <w:left w:val="none" w:sz="0" w:space="0" w:color="auto"/>
                                                <w:bottom w:val="none" w:sz="0" w:space="0" w:color="auto"/>
                                                <w:right w:val="none" w:sz="0" w:space="0" w:color="auto"/>
                                              </w:divBdr>
                                              <w:divsChild>
                                                <w:div w:id="1298300712">
                                                  <w:marLeft w:val="0"/>
                                                  <w:marRight w:val="0"/>
                                                  <w:marTop w:val="600"/>
                                                  <w:marBottom w:val="0"/>
                                                  <w:divBdr>
                                                    <w:top w:val="none" w:sz="0" w:space="0" w:color="auto"/>
                                                    <w:left w:val="none" w:sz="0" w:space="0" w:color="auto"/>
                                                    <w:bottom w:val="none" w:sz="0" w:space="0" w:color="auto"/>
                                                    <w:right w:val="none" w:sz="0" w:space="0" w:color="auto"/>
                                                  </w:divBdr>
                                                  <w:divsChild>
                                                    <w:div w:id="918060913">
                                                      <w:marLeft w:val="0"/>
                                                      <w:marRight w:val="0"/>
                                                      <w:marTop w:val="0"/>
                                                      <w:marBottom w:val="0"/>
                                                      <w:divBdr>
                                                        <w:top w:val="none" w:sz="0" w:space="0" w:color="auto"/>
                                                        <w:left w:val="none" w:sz="0" w:space="0" w:color="auto"/>
                                                        <w:bottom w:val="none" w:sz="0" w:space="0" w:color="auto"/>
                                                        <w:right w:val="none" w:sz="0" w:space="0" w:color="auto"/>
                                                      </w:divBdr>
                                                      <w:divsChild>
                                                        <w:div w:id="571889708">
                                                          <w:marLeft w:val="0"/>
                                                          <w:marRight w:val="0"/>
                                                          <w:marTop w:val="0"/>
                                                          <w:marBottom w:val="0"/>
                                                          <w:divBdr>
                                                            <w:top w:val="none" w:sz="0" w:space="0" w:color="auto"/>
                                                            <w:left w:val="none" w:sz="0" w:space="0" w:color="auto"/>
                                                            <w:bottom w:val="none" w:sz="0" w:space="0" w:color="auto"/>
                                                            <w:right w:val="none" w:sz="0" w:space="0" w:color="auto"/>
                                                          </w:divBdr>
                                                          <w:divsChild>
                                                            <w:div w:id="1555190650">
                                                              <w:marLeft w:val="0"/>
                                                              <w:marRight w:val="0"/>
                                                              <w:marTop w:val="0"/>
                                                              <w:marBottom w:val="0"/>
                                                              <w:divBdr>
                                                                <w:top w:val="none" w:sz="0" w:space="0" w:color="auto"/>
                                                                <w:left w:val="none" w:sz="0" w:space="0" w:color="auto"/>
                                                                <w:bottom w:val="none" w:sz="0" w:space="0" w:color="auto"/>
                                                                <w:right w:val="none" w:sz="0" w:space="0" w:color="auto"/>
                                                              </w:divBdr>
                                                              <w:divsChild>
                                                                <w:div w:id="767891262">
                                                                  <w:marLeft w:val="0"/>
                                                                  <w:marRight w:val="0"/>
                                                                  <w:marTop w:val="100"/>
                                                                  <w:marBottom w:val="100"/>
                                                                  <w:divBdr>
                                                                    <w:top w:val="none" w:sz="0" w:space="0" w:color="auto"/>
                                                                    <w:left w:val="none" w:sz="0" w:space="0" w:color="auto"/>
                                                                    <w:bottom w:val="none" w:sz="0" w:space="0" w:color="auto"/>
                                                                    <w:right w:val="none" w:sz="0" w:space="0" w:color="auto"/>
                                                                  </w:divBdr>
                                                                </w:div>
                                                                <w:div w:id="1833134323">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540554924">
                                                  <w:marLeft w:val="0"/>
                                                  <w:marRight w:val="0"/>
                                                  <w:marTop w:val="0"/>
                                                  <w:marBottom w:val="0"/>
                                                  <w:divBdr>
                                                    <w:top w:val="none" w:sz="0" w:space="0" w:color="auto"/>
                                                    <w:left w:val="none" w:sz="0" w:space="0" w:color="auto"/>
                                                    <w:bottom w:val="none" w:sz="0" w:space="0" w:color="auto"/>
                                                    <w:right w:val="none" w:sz="0" w:space="0" w:color="auto"/>
                                                  </w:divBdr>
                                                  <w:divsChild>
                                                    <w:div w:id="1614284504">
                                                      <w:marLeft w:val="0"/>
                                                      <w:marRight w:val="0"/>
                                                      <w:marTop w:val="90"/>
                                                      <w:marBottom w:val="90"/>
                                                      <w:divBdr>
                                                        <w:top w:val="none" w:sz="0" w:space="4" w:color="F0C36D"/>
                                                        <w:left w:val="none" w:sz="0" w:space="4" w:color="F0C36D"/>
                                                        <w:bottom w:val="none" w:sz="0" w:space="4" w:color="F0C36D"/>
                                                        <w:right w:val="none" w:sz="0" w:space="4" w:color="F0C36D"/>
                                                      </w:divBdr>
                                                      <w:divsChild>
                                                        <w:div w:id="1055466868">
                                                          <w:marLeft w:val="0"/>
                                                          <w:marRight w:val="0"/>
                                                          <w:marTop w:val="0"/>
                                                          <w:marBottom w:val="0"/>
                                                          <w:divBdr>
                                                            <w:top w:val="none" w:sz="0" w:space="0" w:color="auto"/>
                                                            <w:left w:val="none" w:sz="0" w:space="0" w:color="auto"/>
                                                            <w:bottom w:val="none" w:sz="0" w:space="0" w:color="auto"/>
                                                            <w:right w:val="none" w:sz="0" w:space="0" w:color="auto"/>
                                                          </w:divBdr>
                                                        </w:div>
                                                      </w:divsChild>
                                                    </w:div>
                                                    <w:div w:id="715548024">
                                                      <w:marLeft w:val="0"/>
                                                      <w:marRight w:val="0"/>
                                                      <w:marTop w:val="0"/>
                                                      <w:marBottom w:val="0"/>
                                                      <w:divBdr>
                                                        <w:top w:val="none" w:sz="0" w:space="0" w:color="auto"/>
                                                        <w:left w:val="none" w:sz="0" w:space="0" w:color="auto"/>
                                                        <w:bottom w:val="none" w:sz="0" w:space="0" w:color="auto"/>
                                                        <w:right w:val="none" w:sz="0" w:space="0" w:color="auto"/>
                                                      </w:divBdr>
                                                      <w:divsChild>
                                                        <w:div w:id="243611832">
                                                          <w:marLeft w:val="0"/>
                                                          <w:marRight w:val="0"/>
                                                          <w:marTop w:val="0"/>
                                                          <w:marBottom w:val="0"/>
                                                          <w:divBdr>
                                                            <w:top w:val="none" w:sz="0" w:space="0" w:color="auto"/>
                                                            <w:left w:val="none" w:sz="0" w:space="0" w:color="auto"/>
                                                            <w:bottom w:val="none" w:sz="0" w:space="0" w:color="auto"/>
                                                            <w:right w:val="none" w:sz="0" w:space="0" w:color="auto"/>
                                                          </w:divBdr>
                                                        </w:div>
                                                        <w:div w:id="238684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7823596">
                                  <w:marLeft w:val="0"/>
                                  <w:marRight w:val="0"/>
                                  <w:marTop w:val="0"/>
                                  <w:marBottom w:val="0"/>
                                  <w:divBdr>
                                    <w:top w:val="none" w:sz="0" w:space="0" w:color="auto"/>
                                    <w:left w:val="none" w:sz="0" w:space="0" w:color="auto"/>
                                    <w:bottom w:val="none" w:sz="0" w:space="0" w:color="auto"/>
                                    <w:right w:val="none" w:sz="0" w:space="0" w:color="auto"/>
                                  </w:divBdr>
                                  <w:divsChild>
                                    <w:div w:id="1200046110">
                                      <w:marLeft w:val="0"/>
                                      <w:marRight w:val="0"/>
                                      <w:marTop w:val="600"/>
                                      <w:marBottom w:val="0"/>
                                      <w:divBdr>
                                        <w:top w:val="none" w:sz="0" w:space="0" w:color="auto"/>
                                        <w:left w:val="none" w:sz="0" w:space="0" w:color="auto"/>
                                        <w:bottom w:val="none" w:sz="0" w:space="0" w:color="auto"/>
                                        <w:right w:val="none" w:sz="0" w:space="0" w:color="auto"/>
                                      </w:divBdr>
                                      <w:divsChild>
                                        <w:div w:id="1506943557">
                                          <w:marLeft w:val="0"/>
                                          <w:marRight w:val="0"/>
                                          <w:marTop w:val="0"/>
                                          <w:marBottom w:val="0"/>
                                          <w:divBdr>
                                            <w:top w:val="none" w:sz="0" w:space="0" w:color="auto"/>
                                            <w:left w:val="none" w:sz="0" w:space="0" w:color="auto"/>
                                            <w:bottom w:val="none" w:sz="0" w:space="0" w:color="auto"/>
                                            <w:right w:val="none" w:sz="0" w:space="0" w:color="auto"/>
                                          </w:divBdr>
                                          <w:divsChild>
                                            <w:div w:id="242842898">
                                              <w:marLeft w:val="0"/>
                                              <w:marRight w:val="0"/>
                                              <w:marTop w:val="0"/>
                                              <w:marBottom w:val="0"/>
                                              <w:divBdr>
                                                <w:top w:val="none" w:sz="0" w:space="0" w:color="auto"/>
                                                <w:left w:val="none" w:sz="0" w:space="0" w:color="auto"/>
                                                <w:bottom w:val="none" w:sz="0" w:space="0" w:color="auto"/>
                                                <w:right w:val="none" w:sz="0" w:space="0" w:color="auto"/>
                                              </w:divBdr>
                                              <w:divsChild>
                                                <w:div w:id="414742687">
                                                  <w:marLeft w:val="0"/>
                                                  <w:marRight w:val="0"/>
                                                  <w:marTop w:val="0"/>
                                                  <w:marBottom w:val="0"/>
                                                  <w:divBdr>
                                                    <w:top w:val="none" w:sz="0" w:space="0" w:color="auto"/>
                                                    <w:left w:val="none" w:sz="0" w:space="0" w:color="auto"/>
                                                    <w:bottom w:val="none" w:sz="0" w:space="0" w:color="auto"/>
                                                    <w:right w:val="none" w:sz="0" w:space="0" w:color="auto"/>
                                                  </w:divBdr>
                                                  <w:divsChild>
                                                    <w:div w:id="1418595316">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892469921">
                                  <w:marLeft w:val="0"/>
                                  <w:marRight w:val="0"/>
                                  <w:marTop w:val="0"/>
                                  <w:marBottom w:val="0"/>
                                  <w:divBdr>
                                    <w:top w:val="none" w:sz="0" w:space="0" w:color="auto"/>
                                    <w:left w:val="none" w:sz="0" w:space="0" w:color="auto"/>
                                    <w:bottom w:val="none" w:sz="0" w:space="0" w:color="auto"/>
                                    <w:right w:val="none" w:sz="0" w:space="0" w:color="auto"/>
                                  </w:divBdr>
                                  <w:divsChild>
                                    <w:div w:id="1159270232">
                                      <w:marLeft w:val="0"/>
                                      <w:marRight w:val="0"/>
                                      <w:marTop w:val="0"/>
                                      <w:marBottom w:val="0"/>
                                      <w:divBdr>
                                        <w:top w:val="none" w:sz="0" w:space="0" w:color="auto"/>
                                        <w:left w:val="none" w:sz="0" w:space="0" w:color="auto"/>
                                        <w:bottom w:val="single" w:sz="6" w:space="3" w:color="CCCCCC"/>
                                        <w:right w:val="none" w:sz="0" w:space="0" w:color="auto"/>
                                      </w:divBdr>
                                    </w:div>
                                    <w:div w:id="1605769469">
                                      <w:marLeft w:val="0"/>
                                      <w:marRight w:val="0"/>
                                      <w:marTop w:val="0"/>
                                      <w:marBottom w:val="0"/>
                                      <w:divBdr>
                                        <w:top w:val="none" w:sz="0" w:space="0" w:color="auto"/>
                                        <w:left w:val="none" w:sz="0" w:space="0" w:color="auto"/>
                                        <w:bottom w:val="none" w:sz="0" w:space="0" w:color="auto"/>
                                        <w:right w:val="none" w:sz="0" w:space="0" w:color="auto"/>
                                      </w:divBdr>
                                      <w:divsChild>
                                        <w:div w:id="1390425355">
                                          <w:marLeft w:val="0"/>
                                          <w:marRight w:val="0"/>
                                          <w:marTop w:val="0"/>
                                          <w:marBottom w:val="0"/>
                                          <w:divBdr>
                                            <w:top w:val="none" w:sz="0" w:space="0" w:color="auto"/>
                                            <w:left w:val="none" w:sz="0" w:space="0" w:color="auto"/>
                                            <w:bottom w:val="none" w:sz="0" w:space="0" w:color="auto"/>
                                            <w:right w:val="none" w:sz="0" w:space="0" w:color="auto"/>
                                          </w:divBdr>
                                          <w:divsChild>
                                            <w:div w:id="182059460">
                                              <w:marLeft w:val="0"/>
                                              <w:marRight w:val="60"/>
                                              <w:marTop w:val="0"/>
                                              <w:marBottom w:val="0"/>
                                              <w:divBdr>
                                                <w:top w:val="none" w:sz="0" w:space="0" w:color="auto"/>
                                                <w:left w:val="none" w:sz="0" w:space="0" w:color="auto"/>
                                                <w:bottom w:val="none" w:sz="0" w:space="0" w:color="auto"/>
                                                <w:right w:val="none" w:sz="0" w:space="0" w:color="auto"/>
                                              </w:divBdr>
                                              <w:divsChild>
                                                <w:div w:id="170881330">
                                                  <w:marLeft w:val="0"/>
                                                  <w:marRight w:val="0"/>
                                                  <w:marTop w:val="0"/>
                                                  <w:marBottom w:val="0"/>
                                                  <w:divBdr>
                                                    <w:top w:val="none" w:sz="0" w:space="0" w:color="auto"/>
                                                    <w:left w:val="none" w:sz="0" w:space="0" w:color="auto"/>
                                                    <w:bottom w:val="none" w:sz="0" w:space="0" w:color="auto"/>
                                                    <w:right w:val="none" w:sz="0" w:space="0" w:color="auto"/>
                                                  </w:divBdr>
                                                  <w:divsChild>
                                                    <w:div w:id="1538931259">
                                                      <w:marLeft w:val="0"/>
                                                      <w:marRight w:val="0"/>
                                                      <w:marTop w:val="0"/>
                                                      <w:marBottom w:val="0"/>
                                                      <w:divBdr>
                                                        <w:top w:val="none" w:sz="0" w:space="0" w:color="auto"/>
                                                        <w:left w:val="none" w:sz="0" w:space="0" w:color="auto"/>
                                                        <w:bottom w:val="none" w:sz="0" w:space="0" w:color="auto"/>
                                                        <w:right w:val="none" w:sz="0" w:space="0" w:color="auto"/>
                                                      </w:divBdr>
                                                      <w:divsChild>
                                                        <w:div w:id="928926671">
                                                          <w:marLeft w:val="0"/>
                                                          <w:marRight w:val="0"/>
                                                          <w:marTop w:val="0"/>
                                                          <w:marBottom w:val="0"/>
                                                          <w:divBdr>
                                                            <w:top w:val="none" w:sz="0" w:space="0" w:color="auto"/>
                                                            <w:left w:val="none" w:sz="0" w:space="0" w:color="auto"/>
                                                            <w:bottom w:val="none" w:sz="0" w:space="0" w:color="auto"/>
                                                            <w:right w:val="none" w:sz="0" w:space="0" w:color="auto"/>
                                                          </w:divBdr>
                                                          <w:divsChild>
                                                            <w:div w:id="784157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4131865">
                                                  <w:marLeft w:val="0"/>
                                                  <w:marRight w:val="0"/>
                                                  <w:marTop w:val="0"/>
                                                  <w:marBottom w:val="0"/>
                                                  <w:divBdr>
                                                    <w:top w:val="none" w:sz="0" w:space="0" w:color="auto"/>
                                                    <w:left w:val="none" w:sz="0" w:space="0" w:color="auto"/>
                                                    <w:bottom w:val="none" w:sz="0" w:space="0" w:color="auto"/>
                                                    <w:right w:val="none" w:sz="0" w:space="0" w:color="auto"/>
                                                  </w:divBdr>
                                                  <w:divsChild>
                                                    <w:div w:id="1059864516">
                                                      <w:marLeft w:val="0"/>
                                                      <w:marRight w:val="0"/>
                                                      <w:marTop w:val="0"/>
                                                      <w:marBottom w:val="0"/>
                                                      <w:divBdr>
                                                        <w:top w:val="none" w:sz="0" w:space="0" w:color="auto"/>
                                                        <w:left w:val="none" w:sz="0" w:space="0" w:color="auto"/>
                                                        <w:bottom w:val="none" w:sz="0" w:space="0" w:color="auto"/>
                                                        <w:right w:val="none" w:sz="0" w:space="0" w:color="auto"/>
                                                      </w:divBdr>
                                                      <w:divsChild>
                                                        <w:div w:id="2122216434">
                                                          <w:marLeft w:val="0"/>
                                                          <w:marRight w:val="0"/>
                                                          <w:marTop w:val="0"/>
                                                          <w:marBottom w:val="0"/>
                                                          <w:divBdr>
                                                            <w:top w:val="none" w:sz="0" w:space="0" w:color="auto"/>
                                                            <w:left w:val="none" w:sz="0" w:space="0" w:color="auto"/>
                                                            <w:bottom w:val="none" w:sz="0" w:space="0" w:color="auto"/>
                                                            <w:right w:val="none" w:sz="0" w:space="0" w:color="auto"/>
                                                          </w:divBdr>
                                                          <w:divsChild>
                                                            <w:div w:id="74595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38032">
                                                  <w:marLeft w:val="0"/>
                                                  <w:marRight w:val="0"/>
                                                  <w:marTop w:val="0"/>
                                                  <w:marBottom w:val="0"/>
                                                  <w:divBdr>
                                                    <w:top w:val="none" w:sz="0" w:space="0" w:color="auto"/>
                                                    <w:left w:val="none" w:sz="0" w:space="0" w:color="auto"/>
                                                    <w:bottom w:val="none" w:sz="0" w:space="0" w:color="auto"/>
                                                    <w:right w:val="none" w:sz="0" w:space="0" w:color="auto"/>
                                                  </w:divBdr>
                                                  <w:divsChild>
                                                    <w:div w:id="20790514">
                                                      <w:marLeft w:val="0"/>
                                                      <w:marRight w:val="0"/>
                                                      <w:marTop w:val="0"/>
                                                      <w:marBottom w:val="0"/>
                                                      <w:divBdr>
                                                        <w:top w:val="none" w:sz="0" w:space="0" w:color="auto"/>
                                                        <w:left w:val="none" w:sz="0" w:space="0" w:color="auto"/>
                                                        <w:bottom w:val="none" w:sz="0" w:space="0" w:color="auto"/>
                                                        <w:right w:val="none" w:sz="0" w:space="0" w:color="auto"/>
                                                      </w:divBdr>
                                                      <w:divsChild>
                                                        <w:div w:id="110975900">
                                                          <w:marLeft w:val="0"/>
                                                          <w:marRight w:val="0"/>
                                                          <w:marTop w:val="0"/>
                                                          <w:marBottom w:val="0"/>
                                                          <w:divBdr>
                                                            <w:top w:val="none" w:sz="0" w:space="0" w:color="auto"/>
                                                            <w:left w:val="none" w:sz="0" w:space="0" w:color="auto"/>
                                                            <w:bottom w:val="none" w:sz="0" w:space="0" w:color="auto"/>
                                                            <w:right w:val="none" w:sz="0" w:space="0" w:color="auto"/>
                                                          </w:divBdr>
                                                          <w:divsChild>
                                                            <w:div w:id="119152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214920">
                                                  <w:marLeft w:val="0"/>
                                                  <w:marRight w:val="0"/>
                                                  <w:marTop w:val="0"/>
                                                  <w:marBottom w:val="0"/>
                                                  <w:divBdr>
                                                    <w:top w:val="none" w:sz="0" w:space="0" w:color="auto"/>
                                                    <w:left w:val="none" w:sz="0" w:space="0" w:color="auto"/>
                                                    <w:bottom w:val="none" w:sz="0" w:space="0" w:color="auto"/>
                                                    <w:right w:val="none" w:sz="0" w:space="0" w:color="auto"/>
                                                  </w:divBdr>
                                                  <w:divsChild>
                                                    <w:div w:id="328866911">
                                                      <w:marLeft w:val="0"/>
                                                      <w:marRight w:val="0"/>
                                                      <w:marTop w:val="0"/>
                                                      <w:marBottom w:val="0"/>
                                                      <w:divBdr>
                                                        <w:top w:val="none" w:sz="0" w:space="0" w:color="auto"/>
                                                        <w:left w:val="none" w:sz="0" w:space="0" w:color="auto"/>
                                                        <w:bottom w:val="none" w:sz="0" w:space="0" w:color="auto"/>
                                                        <w:right w:val="none" w:sz="0" w:space="0" w:color="auto"/>
                                                      </w:divBdr>
                                                      <w:divsChild>
                                                        <w:div w:id="576093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7731223">
                                          <w:marLeft w:val="0"/>
                                          <w:marRight w:val="0"/>
                                          <w:marTop w:val="0"/>
                                          <w:marBottom w:val="0"/>
                                          <w:divBdr>
                                            <w:top w:val="none" w:sz="0" w:space="0" w:color="auto"/>
                                            <w:left w:val="none" w:sz="0" w:space="0" w:color="auto"/>
                                            <w:bottom w:val="none" w:sz="0" w:space="0" w:color="auto"/>
                                            <w:right w:val="none" w:sz="0" w:space="0" w:color="auto"/>
                                          </w:divBdr>
                                          <w:divsChild>
                                            <w:div w:id="2060283572">
                                              <w:marLeft w:val="60"/>
                                              <w:marRight w:val="0"/>
                                              <w:marTop w:val="0"/>
                                              <w:marBottom w:val="0"/>
                                              <w:divBdr>
                                                <w:top w:val="none" w:sz="0" w:space="0" w:color="auto"/>
                                                <w:left w:val="none" w:sz="0" w:space="0" w:color="auto"/>
                                                <w:bottom w:val="none" w:sz="0" w:space="0" w:color="auto"/>
                                                <w:right w:val="none" w:sz="0" w:space="0" w:color="auto"/>
                                              </w:divBdr>
                                              <w:divsChild>
                                                <w:div w:id="274824741">
                                                  <w:marLeft w:val="0"/>
                                                  <w:marRight w:val="0"/>
                                                  <w:marTop w:val="0"/>
                                                  <w:marBottom w:val="0"/>
                                                  <w:divBdr>
                                                    <w:top w:val="none" w:sz="0" w:space="0" w:color="auto"/>
                                                    <w:left w:val="none" w:sz="0" w:space="0" w:color="auto"/>
                                                    <w:bottom w:val="none" w:sz="0" w:space="0" w:color="auto"/>
                                                    <w:right w:val="none" w:sz="0" w:space="0" w:color="auto"/>
                                                  </w:divBdr>
                                                  <w:divsChild>
                                                    <w:div w:id="340352073">
                                                      <w:marLeft w:val="0"/>
                                                      <w:marRight w:val="0"/>
                                                      <w:marTop w:val="0"/>
                                                      <w:marBottom w:val="0"/>
                                                      <w:divBdr>
                                                        <w:top w:val="none" w:sz="0" w:space="0" w:color="auto"/>
                                                        <w:left w:val="none" w:sz="0" w:space="0" w:color="auto"/>
                                                        <w:bottom w:val="none" w:sz="0" w:space="0" w:color="auto"/>
                                                        <w:right w:val="none" w:sz="0" w:space="0" w:color="auto"/>
                                                      </w:divBdr>
                                                      <w:divsChild>
                                                        <w:div w:id="2020228561">
                                                          <w:marLeft w:val="0"/>
                                                          <w:marRight w:val="0"/>
                                                          <w:marTop w:val="0"/>
                                                          <w:marBottom w:val="0"/>
                                                          <w:divBdr>
                                                            <w:top w:val="none" w:sz="0" w:space="0" w:color="auto"/>
                                                            <w:left w:val="none" w:sz="0" w:space="0" w:color="auto"/>
                                                            <w:bottom w:val="none" w:sz="0" w:space="0" w:color="auto"/>
                                                            <w:right w:val="none" w:sz="0" w:space="0" w:color="auto"/>
                                                          </w:divBdr>
                                                          <w:divsChild>
                                                            <w:div w:id="4171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11842085">
              <w:marLeft w:val="0"/>
              <w:marRight w:val="0"/>
              <w:marTop w:val="0"/>
              <w:marBottom w:val="0"/>
              <w:divBdr>
                <w:top w:val="single" w:sz="6" w:space="31" w:color="F0C36D"/>
                <w:left w:val="single" w:sz="6" w:space="31" w:color="F0C36D"/>
                <w:bottom w:val="single" w:sz="6" w:space="31" w:color="F0C36D"/>
                <w:right w:val="single" w:sz="6" w:space="31" w:color="F0C36D"/>
              </w:divBdr>
            </w:div>
            <w:div w:id="832335846">
              <w:marLeft w:val="0"/>
              <w:marRight w:val="0"/>
              <w:marTop w:val="0"/>
              <w:marBottom w:val="0"/>
              <w:divBdr>
                <w:top w:val="single" w:sz="6" w:space="31" w:color="F0C36D"/>
                <w:left w:val="single" w:sz="6" w:space="31" w:color="F0C36D"/>
                <w:bottom w:val="single" w:sz="6" w:space="31" w:color="F0C36D"/>
                <w:right w:val="single" w:sz="6" w:space="31" w:color="F0C36D"/>
              </w:divBdr>
            </w:div>
            <w:div w:id="2136676512">
              <w:marLeft w:val="0"/>
              <w:marRight w:val="0"/>
              <w:marTop w:val="0"/>
              <w:marBottom w:val="0"/>
              <w:divBdr>
                <w:top w:val="single" w:sz="6" w:space="31" w:color="F0C36D"/>
                <w:left w:val="single" w:sz="6" w:space="31" w:color="F0C36D"/>
                <w:bottom w:val="single" w:sz="6" w:space="31" w:color="F0C36D"/>
                <w:right w:val="single" w:sz="6" w:space="31" w:color="F0C36D"/>
              </w:divBdr>
            </w:div>
            <w:div w:id="1281647964">
              <w:marLeft w:val="0"/>
              <w:marRight w:val="0"/>
              <w:marTop w:val="0"/>
              <w:marBottom w:val="0"/>
              <w:divBdr>
                <w:top w:val="single" w:sz="6" w:space="31" w:color="F0C36D"/>
                <w:left w:val="single" w:sz="6" w:space="31" w:color="F0C36D"/>
                <w:bottom w:val="single" w:sz="6" w:space="31" w:color="F0C36D"/>
                <w:right w:val="single" w:sz="6" w:space="31" w:color="F0C36D"/>
              </w:divBdr>
            </w:div>
            <w:div w:id="546377176">
              <w:marLeft w:val="0"/>
              <w:marRight w:val="0"/>
              <w:marTop w:val="0"/>
              <w:marBottom w:val="0"/>
              <w:divBdr>
                <w:top w:val="single" w:sz="6" w:space="0" w:color="CCCCCC"/>
                <w:left w:val="none" w:sz="0" w:space="0" w:color="auto"/>
                <w:bottom w:val="none" w:sz="0" w:space="0" w:color="auto"/>
                <w:right w:val="none" w:sz="0" w:space="0" w:color="auto"/>
              </w:divBdr>
            </w:div>
          </w:divsChild>
        </w:div>
      </w:divsChild>
    </w:div>
    <w:div w:id="952439944">
      <w:bodyDiv w:val="1"/>
      <w:marLeft w:val="0"/>
      <w:marRight w:val="0"/>
      <w:marTop w:val="0"/>
      <w:marBottom w:val="0"/>
      <w:divBdr>
        <w:top w:val="none" w:sz="0" w:space="0" w:color="auto"/>
        <w:left w:val="none" w:sz="0" w:space="0" w:color="auto"/>
        <w:bottom w:val="none" w:sz="0" w:space="0" w:color="auto"/>
        <w:right w:val="none" w:sz="0" w:space="0" w:color="auto"/>
      </w:divBdr>
    </w:div>
    <w:div w:id="965509011">
      <w:bodyDiv w:val="1"/>
      <w:marLeft w:val="0"/>
      <w:marRight w:val="0"/>
      <w:marTop w:val="0"/>
      <w:marBottom w:val="0"/>
      <w:divBdr>
        <w:top w:val="none" w:sz="0" w:space="0" w:color="auto"/>
        <w:left w:val="none" w:sz="0" w:space="0" w:color="auto"/>
        <w:bottom w:val="none" w:sz="0" w:space="0" w:color="auto"/>
        <w:right w:val="none" w:sz="0" w:space="0" w:color="auto"/>
      </w:divBdr>
    </w:div>
    <w:div w:id="1014770923">
      <w:bodyDiv w:val="1"/>
      <w:marLeft w:val="0"/>
      <w:marRight w:val="0"/>
      <w:marTop w:val="0"/>
      <w:marBottom w:val="0"/>
      <w:divBdr>
        <w:top w:val="none" w:sz="0" w:space="0" w:color="auto"/>
        <w:left w:val="none" w:sz="0" w:space="0" w:color="auto"/>
        <w:bottom w:val="none" w:sz="0" w:space="0" w:color="auto"/>
        <w:right w:val="none" w:sz="0" w:space="0" w:color="auto"/>
      </w:divBdr>
    </w:div>
    <w:div w:id="1069887070">
      <w:bodyDiv w:val="1"/>
      <w:marLeft w:val="0"/>
      <w:marRight w:val="0"/>
      <w:marTop w:val="0"/>
      <w:marBottom w:val="0"/>
      <w:divBdr>
        <w:top w:val="none" w:sz="0" w:space="0" w:color="auto"/>
        <w:left w:val="none" w:sz="0" w:space="0" w:color="auto"/>
        <w:bottom w:val="none" w:sz="0" w:space="0" w:color="auto"/>
        <w:right w:val="none" w:sz="0" w:space="0" w:color="auto"/>
      </w:divBdr>
    </w:div>
    <w:div w:id="1082216219">
      <w:bodyDiv w:val="1"/>
      <w:marLeft w:val="0"/>
      <w:marRight w:val="0"/>
      <w:marTop w:val="0"/>
      <w:marBottom w:val="0"/>
      <w:divBdr>
        <w:top w:val="none" w:sz="0" w:space="0" w:color="auto"/>
        <w:left w:val="none" w:sz="0" w:space="0" w:color="auto"/>
        <w:bottom w:val="none" w:sz="0" w:space="0" w:color="auto"/>
        <w:right w:val="none" w:sz="0" w:space="0" w:color="auto"/>
      </w:divBdr>
    </w:div>
    <w:div w:id="1091002847">
      <w:bodyDiv w:val="1"/>
      <w:marLeft w:val="0"/>
      <w:marRight w:val="0"/>
      <w:marTop w:val="0"/>
      <w:marBottom w:val="0"/>
      <w:divBdr>
        <w:top w:val="none" w:sz="0" w:space="0" w:color="auto"/>
        <w:left w:val="none" w:sz="0" w:space="0" w:color="auto"/>
        <w:bottom w:val="none" w:sz="0" w:space="0" w:color="auto"/>
        <w:right w:val="none" w:sz="0" w:space="0" w:color="auto"/>
      </w:divBdr>
    </w:div>
    <w:div w:id="1102337644">
      <w:bodyDiv w:val="1"/>
      <w:marLeft w:val="0"/>
      <w:marRight w:val="0"/>
      <w:marTop w:val="0"/>
      <w:marBottom w:val="0"/>
      <w:divBdr>
        <w:top w:val="none" w:sz="0" w:space="0" w:color="auto"/>
        <w:left w:val="none" w:sz="0" w:space="0" w:color="auto"/>
        <w:bottom w:val="none" w:sz="0" w:space="0" w:color="auto"/>
        <w:right w:val="none" w:sz="0" w:space="0" w:color="auto"/>
      </w:divBdr>
    </w:div>
    <w:div w:id="1128858007">
      <w:bodyDiv w:val="1"/>
      <w:marLeft w:val="0"/>
      <w:marRight w:val="0"/>
      <w:marTop w:val="0"/>
      <w:marBottom w:val="0"/>
      <w:divBdr>
        <w:top w:val="none" w:sz="0" w:space="0" w:color="auto"/>
        <w:left w:val="none" w:sz="0" w:space="0" w:color="auto"/>
        <w:bottom w:val="none" w:sz="0" w:space="0" w:color="auto"/>
        <w:right w:val="none" w:sz="0" w:space="0" w:color="auto"/>
      </w:divBdr>
    </w:div>
    <w:div w:id="1144389679">
      <w:bodyDiv w:val="1"/>
      <w:marLeft w:val="0"/>
      <w:marRight w:val="0"/>
      <w:marTop w:val="0"/>
      <w:marBottom w:val="0"/>
      <w:divBdr>
        <w:top w:val="none" w:sz="0" w:space="0" w:color="auto"/>
        <w:left w:val="none" w:sz="0" w:space="0" w:color="auto"/>
        <w:bottom w:val="none" w:sz="0" w:space="0" w:color="auto"/>
        <w:right w:val="none" w:sz="0" w:space="0" w:color="auto"/>
      </w:divBdr>
    </w:div>
    <w:div w:id="1168715484">
      <w:bodyDiv w:val="1"/>
      <w:marLeft w:val="0"/>
      <w:marRight w:val="0"/>
      <w:marTop w:val="0"/>
      <w:marBottom w:val="0"/>
      <w:divBdr>
        <w:top w:val="none" w:sz="0" w:space="0" w:color="auto"/>
        <w:left w:val="none" w:sz="0" w:space="0" w:color="auto"/>
        <w:bottom w:val="none" w:sz="0" w:space="0" w:color="auto"/>
        <w:right w:val="none" w:sz="0" w:space="0" w:color="auto"/>
      </w:divBdr>
    </w:div>
    <w:div w:id="1171988000">
      <w:bodyDiv w:val="1"/>
      <w:marLeft w:val="0"/>
      <w:marRight w:val="0"/>
      <w:marTop w:val="0"/>
      <w:marBottom w:val="0"/>
      <w:divBdr>
        <w:top w:val="none" w:sz="0" w:space="0" w:color="auto"/>
        <w:left w:val="none" w:sz="0" w:space="0" w:color="auto"/>
        <w:bottom w:val="none" w:sz="0" w:space="0" w:color="auto"/>
        <w:right w:val="none" w:sz="0" w:space="0" w:color="auto"/>
      </w:divBdr>
    </w:div>
    <w:div w:id="1173570441">
      <w:bodyDiv w:val="1"/>
      <w:marLeft w:val="0"/>
      <w:marRight w:val="0"/>
      <w:marTop w:val="0"/>
      <w:marBottom w:val="0"/>
      <w:divBdr>
        <w:top w:val="none" w:sz="0" w:space="0" w:color="auto"/>
        <w:left w:val="none" w:sz="0" w:space="0" w:color="auto"/>
        <w:bottom w:val="none" w:sz="0" w:space="0" w:color="auto"/>
        <w:right w:val="none" w:sz="0" w:space="0" w:color="auto"/>
      </w:divBdr>
    </w:div>
    <w:div w:id="1185703953">
      <w:bodyDiv w:val="1"/>
      <w:marLeft w:val="0"/>
      <w:marRight w:val="0"/>
      <w:marTop w:val="0"/>
      <w:marBottom w:val="0"/>
      <w:divBdr>
        <w:top w:val="none" w:sz="0" w:space="0" w:color="auto"/>
        <w:left w:val="none" w:sz="0" w:space="0" w:color="auto"/>
        <w:bottom w:val="none" w:sz="0" w:space="0" w:color="auto"/>
        <w:right w:val="none" w:sz="0" w:space="0" w:color="auto"/>
      </w:divBdr>
      <w:divsChild>
        <w:div w:id="174611060">
          <w:marLeft w:val="0"/>
          <w:marRight w:val="0"/>
          <w:marTop w:val="0"/>
          <w:marBottom w:val="0"/>
          <w:divBdr>
            <w:top w:val="none" w:sz="0" w:space="0" w:color="auto"/>
            <w:left w:val="none" w:sz="0" w:space="0" w:color="auto"/>
            <w:bottom w:val="none" w:sz="0" w:space="0" w:color="auto"/>
            <w:right w:val="none" w:sz="0" w:space="0" w:color="auto"/>
          </w:divBdr>
          <w:divsChild>
            <w:div w:id="503009136">
              <w:marLeft w:val="0"/>
              <w:marRight w:val="0"/>
              <w:marTop w:val="0"/>
              <w:marBottom w:val="0"/>
              <w:divBdr>
                <w:top w:val="none" w:sz="0" w:space="0" w:color="auto"/>
                <w:left w:val="none" w:sz="0" w:space="0" w:color="auto"/>
                <w:bottom w:val="none" w:sz="0" w:space="0" w:color="auto"/>
                <w:right w:val="none" w:sz="0" w:space="0" w:color="auto"/>
              </w:divBdr>
              <w:divsChild>
                <w:div w:id="624194058">
                  <w:marLeft w:val="0"/>
                  <w:marRight w:val="0"/>
                  <w:marTop w:val="0"/>
                  <w:marBottom w:val="0"/>
                  <w:divBdr>
                    <w:top w:val="none" w:sz="0" w:space="0" w:color="auto"/>
                    <w:left w:val="none" w:sz="0" w:space="0" w:color="auto"/>
                    <w:bottom w:val="none" w:sz="0" w:space="0" w:color="auto"/>
                    <w:right w:val="none" w:sz="0" w:space="0" w:color="auto"/>
                  </w:divBdr>
                  <w:divsChild>
                    <w:div w:id="766728269">
                      <w:marLeft w:val="0"/>
                      <w:marRight w:val="0"/>
                      <w:marTop w:val="0"/>
                      <w:marBottom w:val="0"/>
                      <w:divBdr>
                        <w:top w:val="none" w:sz="0" w:space="0" w:color="auto"/>
                        <w:left w:val="none" w:sz="0" w:space="0" w:color="auto"/>
                        <w:bottom w:val="none" w:sz="0" w:space="0" w:color="auto"/>
                        <w:right w:val="none" w:sz="0" w:space="0" w:color="auto"/>
                      </w:divBdr>
                      <w:divsChild>
                        <w:div w:id="1276785605">
                          <w:marLeft w:val="0"/>
                          <w:marRight w:val="0"/>
                          <w:marTop w:val="0"/>
                          <w:marBottom w:val="0"/>
                          <w:divBdr>
                            <w:top w:val="none" w:sz="0" w:space="0" w:color="auto"/>
                            <w:left w:val="none" w:sz="0" w:space="0" w:color="auto"/>
                            <w:bottom w:val="none" w:sz="0" w:space="0" w:color="auto"/>
                            <w:right w:val="none" w:sz="0" w:space="0" w:color="auto"/>
                          </w:divBdr>
                          <w:divsChild>
                            <w:div w:id="907150155">
                              <w:marLeft w:val="0"/>
                              <w:marRight w:val="0"/>
                              <w:marTop w:val="0"/>
                              <w:marBottom w:val="0"/>
                              <w:divBdr>
                                <w:top w:val="none" w:sz="0" w:space="0" w:color="auto"/>
                                <w:left w:val="none" w:sz="0" w:space="0" w:color="auto"/>
                                <w:bottom w:val="none" w:sz="0" w:space="0" w:color="auto"/>
                                <w:right w:val="none" w:sz="0" w:space="0" w:color="auto"/>
                              </w:divBdr>
                              <w:divsChild>
                                <w:div w:id="1291325936">
                                  <w:marLeft w:val="0"/>
                                  <w:marRight w:val="0"/>
                                  <w:marTop w:val="0"/>
                                  <w:marBottom w:val="0"/>
                                  <w:divBdr>
                                    <w:top w:val="none" w:sz="0" w:space="0" w:color="auto"/>
                                    <w:left w:val="none" w:sz="0" w:space="0" w:color="auto"/>
                                    <w:bottom w:val="none" w:sz="0" w:space="0" w:color="auto"/>
                                    <w:right w:val="none" w:sz="0" w:space="0" w:color="auto"/>
                                  </w:divBdr>
                                  <w:divsChild>
                                    <w:div w:id="280454520">
                                      <w:marLeft w:val="60"/>
                                      <w:marRight w:val="0"/>
                                      <w:marTop w:val="0"/>
                                      <w:marBottom w:val="0"/>
                                      <w:divBdr>
                                        <w:top w:val="none" w:sz="0" w:space="0" w:color="auto"/>
                                        <w:left w:val="none" w:sz="0" w:space="0" w:color="auto"/>
                                        <w:bottom w:val="none" w:sz="0" w:space="0" w:color="auto"/>
                                        <w:right w:val="none" w:sz="0" w:space="0" w:color="auto"/>
                                      </w:divBdr>
                                      <w:divsChild>
                                        <w:div w:id="1622103493">
                                          <w:marLeft w:val="0"/>
                                          <w:marRight w:val="0"/>
                                          <w:marTop w:val="0"/>
                                          <w:marBottom w:val="0"/>
                                          <w:divBdr>
                                            <w:top w:val="none" w:sz="0" w:space="0" w:color="auto"/>
                                            <w:left w:val="none" w:sz="0" w:space="0" w:color="auto"/>
                                            <w:bottom w:val="none" w:sz="0" w:space="0" w:color="auto"/>
                                            <w:right w:val="none" w:sz="0" w:space="0" w:color="auto"/>
                                          </w:divBdr>
                                          <w:divsChild>
                                            <w:div w:id="1638292485">
                                              <w:marLeft w:val="0"/>
                                              <w:marRight w:val="0"/>
                                              <w:marTop w:val="0"/>
                                              <w:marBottom w:val="120"/>
                                              <w:divBdr>
                                                <w:top w:val="single" w:sz="6" w:space="0" w:color="F5F5F5"/>
                                                <w:left w:val="single" w:sz="6" w:space="0" w:color="F5F5F5"/>
                                                <w:bottom w:val="single" w:sz="6" w:space="0" w:color="F5F5F5"/>
                                                <w:right w:val="single" w:sz="6" w:space="0" w:color="F5F5F5"/>
                                              </w:divBdr>
                                              <w:divsChild>
                                                <w:div w:id="1306277633">
                                                  <w:marLeft w:val="0"/>
                                                  <w:marRight w:val="0"/>
                                                  <w:marTop w:val="0"/>
                                                  <w:marBottom w:val="0"/>
                                                  <w:divBdr>
                                                    <w:top w:val="none" w:sz="0" w:space="0" w:color="auto"/>
                                                    <w:left w:val="none" w:sz="0" w:space="0" w:color="auto"/>
                                                    <w:bottom w:val="none" w:sz="0" w:space="0" w:color="auto"/>
                                                    <w:right w:val="none" w:sz="0" w:space="0" w:color="auto"/>
                                                  </w:divBdr>
                                                  <w:divsChild>
                                                    <w:div w:id="1955361385">
                                                      <w:marLeft w:val="0"/>
                                                      <w:marRight w:val="0"/>
                                                      <w:marTop w:val="0"/>
                                                      <w:marBottom w:val="0"/>
                                                      <w:divBdr>
                                                        <w:top w:val="none" w:sz="0" w:space="0" w:color="auto"/>
                                                        <w:left w:val="none" w:sz="0" w:space="0" w:color="auto"/>
                                                        <w:bottom w:val="none" w:sz="0" w:space="0" w:color="auto"/>
                                                        <w:right w:val="none" w:sz="0" w:space="0" w:color="auto"/>
                                                      </w:divBdr>
                                                    </w:div>
                                                  </w:divsChild>
                                                </w:div>
                                                <w:div w:id="425660653">
                                                  <w:marLeft w:val="0"/>
                                                  <w:marRight w:val="0"/>
                                                  <w:marTop w:val="0"/>
                                                  <w:marBottom w:val="0"/>
                                                  <w:divBdr>
                                                    <w:top w:val="none" w:sz="0" w:space="0" w:color="auto"/>
                                                    <w:left w:val="none" w:sz="0" w:space="0" w:color="auto"/>
                                                    <w:bottom w:val="none" w:sz="0" w:space="0" w:color="auto"/>
                                                    <w:right w:val="none" w:sz="0" w:space="0" w:color="auto"/>
                                                  </w:divBdr>
                                                  <w:divsChild>
                                                    <w:div w:id="1013797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12158166">
      <w:bodyDiv w:val="1"/>
      <w:marLeft w:val="0"/>
      <w:marRight w:val="0"/>
      <w:marTop w:val="0"/>
      <w:marBottom w:val="0"/>
      <w:divBdr>
        <w:top w:val="none" w:sz="0" w:space="0" w:color="auto"/>
        <w:left w:val="none" w:sz="0" w:space="0" w:color="auto"/>
        <w:bottom w:val="none" w:sz="0" w:space="0" w:color="auto"/>
        <w:right w:val="none" w:sz="0" w:space="0" w:color="auto"/>
      </w:divBdr>
    </w:div>
    <w:div w:id="1255430886">
      <w:bodyDiv w:val="1"/>
      <w:marLeft w:val="0"/>
      <w:marRight w:val="0"/>
      <w:marTop w:val="0"/>
      <w:marBottom w:val="0"/>
      <w:divBdr>
        <w:top w:val="none" w:sz="0" w:space="0" w:color="auto"/>
        <w:left w:val="none" w:sz="0" w:space="0" w:color="auto"/>
        <w:bottom w:val="none" w:sz="0" w:space="0" w:color="auto"/>
        <w:right w:val="none" w:sz="0" w:space="0" w:color="auto"/>
      </w:divBdr>
    </w:div>
    <w:div w:id="1259488121">
      <w:bodyDiv w:val="1"/>
      <w:marLeft w:val="0"/>
      <w:marRight w:val="0"/>
      <w:marTop w:val="0"/>
      <w:marBottom w:val="0"/>
      <w:divBdr>
        <w:top w:val="none" w:sz="0" w:space="0" w:color="auto"/>
        <w:left w:val="none" w:sz="0" w:space="0" w:color="auto"/>
        <w:bottom w:val="none" w:sz="0" w:space="0" w:color="auto"/>
        <w:right w:val="none" w:sz="0" w:space="0" w:color="auto"/>
      </w:divBdr>
    </w:div>
    <w:div w:id="1259748791">
      <w:bodyDiv w:val="1"/>
      <w:marLeft w:val="0"/>
      <w:marRight w:val="0"/>
      <w:marTop w:val="0"/>
      <w:marBottom w:val="0"/>
      <w:divBdr>
        <w:top w:val="none" w:sz="0" w:space="0" w:color="auto"/>
        <w:left w:val="none" w:sz="0" w:space="0" w:color="auto"/>
        <w:bottom w:val="none" w:sz="0" w:space="0" w:color="auto"/>
        <w:right w:val="none" w:sz="0" w:space="0" w:color="auto"/>
      </w:divBdr>
    </w:div>
    <w:div w:id="1268853128">
      <w:bodyDiv w:val="1"/>
      <w:marLeft w:val="0"/>
      <w:marRight w:val="0"/>
      <w:marTop w:val="0"/>
      <w:marBottom w:val="0"/>
      <w:divBdr>
        <w:top w:val="none" w:sz="0" w:space="0" w:color="auto"/>
        <w:left w:val="none" w:sz="0" w:space="0" w:color="auto"/>
        <w:bottom w:val="none" w:sz="0" w:space="0" w:color="auto"/>
        <w:right w:val="none" w:sz="0" w:space="0" w:color="auto"/>
      </w:divBdr>
    </w:div>
    <w:div w:id="1284194260">
      <w:bodyDiv w:val="1"/>
      <w:marLeft w:val="0"/>
      <w:marRight w:val="0"/>
      <w:marTop w:val="0"/>
      <w:marBottom w:val="0"/>
      <w:divBdr>
        <w:top w:val="none" w:sz="0" w:space="0" w:color="auto"/>
        <w:left w:val="none" w:sz="0" w:space="0" w:color="auto"/>
        <w:bottom w:val="none" w:sz="0" w:space="0" w:color="auto"/>
        <w:right w:val="none" w:sz="0" w:space="0" w:color="auto"/>
      </w:divBdr>
    </w:div>
    <w:div w:id="1285497829">
      <w:bodyDiv w:val="1"/>
      <w:marLeft w:val="0"/>
      <w:marRight w:val="0"/>
      <w:marTop w:val="0"/>
      <w:marBottom w:val="0"/>
      <w:divBdr>
        <w:top w:val="none" w:sz="0" w:space="0" w:color="auto"/>
        <w:left w:val="none" w:sz="0" w:space="0" w:color="auto"/>
        <w:bottom w:val="none" w:sz="0" w:space="0" w:color="auto"/>
        <w:right w:val="none" w:sz="0" w:space="0" w:color="auto"/>
      </w:divBdr>
    </w:div>
    <w:div w:id="1288897474">
      <w:bodyDiv w:val="1"/>
      <w:marLeft w:val="0"/>
      <w:marRight w:val="0"/>
      <w:marTop w:val="0"/>
      <w:marBottom w:val="0"/>
      <w:divBdr>
        <w:top w:val="none" w:sz="0" w:space="0" w:color="auto"/>
        <w:left w:val="none" w:sz="0" w:space="0" w:color="auto"/>
        <w:bottom w:val="none" w:sz="0" w:space="0" w:color="auto"/>
        <w:right w:val="none" w:sz="0" w:space="0" w:color="auto"/>
      </w:divBdr>
    </w:div>
    <w:div w:id="1290549818">
      <w:bodyDiv w:val="1"/>
      <w:marLeft w:val="0"/>
      <w:marRight w:val="0"/>
      <w:marTop w:val="0"/>
      <w:marBottom w:val="0"/>
      <w:divBdr>
        <w:top w:val="none" w:sz="0" w:space="0" w:color="auto"/>
        <w:left w:val="none" w:sz="0" w:space="0" w:color="auto"/>
        <w:bottom w:val="none" w:sz="0" w:space="0" w:color="auto"/>
        <w:right w:val="none" w:sz="0" w:space="0" w:color="auto"/>
      </w:divBdr>
    </w:div>
    <w:div w:id="1324241474">
      <w:bodyDiv w:val="1"/>
      <w:marLeft w:val="0"/>
      <w:marRight w:val="0"/>
      <w:marTop w:val="0"/>
      <w:marBottom w:val="0"/>
      <w:divBdr>
        <w:top w:val="none" w:sz="0" w:space="0" w:color="auto"/>
        <w:left w:val="none" w:sz="0" w:space="0" w:color="auto"/>
        <w:bottom w:val="none" w:sz="0" w:space="0" w:color="auto"/>
        <w:right w:val="none" w:sz="0" w:space="0" w:color="auto"/>
      </w:divBdr>
    </w:div>
    <w:div w:id="1326206789">
      <w:bodyDiv w:val="1"/>
      <w:marLeft w:val="0"/>
      <w:marRight w:val="0"/>
      <w:marTop w:val="0"/>
      <w:marBottom w:val="0"/>
      <w:divBdr>
        <w:top w:val="none" w:sz="0" w:space="0" w:color="auto"/>
        <w:left w:val="none" w:sz="0" w:space="0" w:color="auto"/>
        <w:bottom w:val="none" w:sz="0" w:space="0" w:color="auto"/>
        <w:right w:val="none" w:sz="0" w:space="0" w:color="auto"/>
      </w:divBdr>
    </w:div>
    <w:div w:id="1329408216">
      <w:bodyDiv w:val="1"/>
      <w:marLeft w:val="0"/>
      <w:marRight w:val="0"/>
      <w:marTop w:val="0"/>
      <w:marBottom w:val="0"/>
      <w:divBdr>
        <w:top w:val="none" w:sz="0" w:space="0" w:color="auto"/>
        <w:left w:val="none" w:sz="0" w:space="0" w:color="auto"/>
        <w:bottom w:val="none" w:sz="0" w:space="0" w:color="auto"/>
        <w:right w:val="none" w:sz="0" w:space="0" w:color="auto"/>
      </w:divBdr>
    </w:div>
    <w:div w:id="1369262736">
      <w:bodyDiv w:val="1"/>
      <w:marLeft w:val="0"/>
      <w:marRight w:val="0"/>
      <w:marTop w:val="0"/>
      <w:marBottom w:val="0"/>
      <w:divBdr>
        <w:top w:val="none" w:sz="0" w:space="0" w:color="auto"/>
        <w:left w:val="none" w:sz="0" w:space="0" w:color="auto"/>
        <w:bottom w:val="none" w:sz="0" w:space="0" w:color="auto"/>
        <w:right w:val="none" w:sz="0" w:space="0" w:color="auto"/>
      </w:divBdr>
    </w:div>
    <w:div w:id="1381594619">
      <w:bodyDiv w:val="1"/>
      <w:marLeft w:val="0"/>
      <w:marRight w:val="0"/>
      <w:marTop w:val="0"/>
      <w:marBottom w:val="0"/>
      <w:divBdr>
        <w:top w:val="none" w:sz="0" w:space="0" w:color="auto"/>
        <w:left w:val="none" w:sz="0" w:space="0" w:color="auto"/>
        <w:bottom w:val="none" w:sz="0" w:space="0" w:color="auto"/>
        <w:right w:val="none" w:sz="0" w:space="0" w:color="auto"/>
      </w:divBdr>
    </w:div>
    <w:div w:id="1384595666">
      <w:bodyDiv w:val="1"/>
      <w:marLeft w:val="0"/>
      <w:marRight w:val="0"/>
      <w:marTop w:val="0"/>
      <w:marBottom w:val="0"/>
      <w:divBdr>
        <w:top w:val="none" w:sz="0" w:space="0" w:color="auto"/>
        <w:left w:val="none" w:sz="0" w:space="0" w:color="auto"/>
        <w:bottom w:val="none" w:sz="0" w:space="0" w:color="auto"/>
        <w:right w:val="none" w:sz="0" w:space="0" w:color="auto"/>
      </w:divBdr>
    </w:div>
    <w:div w:id="1398092405">
      <w:bodyDiv w:val="1"/>
      <w:marLeft w:val="0"/>
      <w:marRight w:val="0"/>
      <w:marTop w:val="0"/>
      <w:marBottom w:val="0"/>
      <w:divBdr>
        <w:top w:val="none" w:sz="0" w:space="0" w:color="auto"/>
        <w:left w:val="none" w:sz="0" w:space="0" w:color="auto"/>
        <w:bottom w:val="none" w:sz="0" w:space="0" w:color="auto"/>
        <w:right w:val="none" w:sz="0" w:space="0" w:color="auto"/>
      </w:divBdr>
    </w:div>
    <w:div w:id="1400908581">
      <w:bodyDiv w:val="1"/>
      <w:marLeft w:val="0"/>
      <w:marRight w:val="0"/>
      <w:marTop w:val="0"/>
      <w:marBottom w:val="0"/>
      <w:divBdr>
        <w:top w:val="none" w:sz="0" w:space="0" w:color="auto"/>
        <w:left w:val="none" w:sz="0" w:space="0" w:color="auto"/>
        <w:bottom w:val="none" w:sz="0" w:space="0" w:color="auto"/>
        <w:right w:val="none" w:sz="0" w:space="0" w:color="auto"/>
      </w:divBdr>
    </w:div>
    <w:div w:id="1419866774">
      <w:bodyDiv w:val="1"/>
      <w:marLeft w:val="0"/>
      <w:marRight w:val="0"/>
      <w:marTop w:val="0"/>
      <w:marBottom w:val="0"/>
      <w:divBdr>
        <w:top w:val="none" w:sz="0" w:space="0" w:color="auto"/>
        <w:left w:val="none" w:sz="0" w:space="0" w:color="auto"/>
        <w:bottom w:val="none" w:sz="0" w:space="0" w:color="auto"/>
        <w:right w:val="none" w:sz="0" w:space="0" w:color="auto"/>
      </w:divBdr>
    </w:div>
    <w:div w:id="1430271842">
      <w:bodyDiv w:val="1"/>
      <w:marLeft w:val="0"/>
      <w:marRight w:val="0"/>
      <w:marTop w:val="0"/>
      <w:marBottom w:val="0"/>
      <w:divBdr>
        <w:top w:val="none" w:sz="0" w:space="0" w:color="auto"/>
        <w:left w:val="none" w:sz="0" w:space="0" w:color="auto"/>
        <w:bottom w:val="none" w:sz="0" w:space="0" w:color="auto"/>
        <w:right w:val="none" w:sz="0" w:space="0" w:color="auto"/>
      </w:divBdr>
    </w:div>
    <w:div w:id="1529483748">
      <w:bodyDiv w:val="1"/>
      <w:marLeft w:val="0"/>
      <w:marRight w:val="0"/>
      <w:marTop w:val="0"/>
      <w:marBottom w:val="0"/>
      <w:divBdr>
        <w:top w:val="none" w:sz="0" w:space="0" w:color="auto"/>
        <w:left w:val="none" w:sz="0" w:space="0" w:color="auto"/>
        <w:bottom w:val="none" w:sz="0" w:space="0" w:color="auto"/>
        <w:right w:val="none" w:sz="0" w:space="0" w:color="auto"/>
      </w:divBdr>
    </w:div>
    <w:div w:id="1539778885">
      <w:bodyDiv w:val="1"/>
      <w:marLeft w:val="0"/>
      <w:marRight w:val="0"/>
      <w:marTop w:val="0"/>
      <w:marBottom w:val="0"/>
      <w:divBdr>
        <w:top w:val="none" w:sz="0" w:space="0" w:color="auto"/>
        <w:left w:val="none" w:sz="0" w:space="0" w:color="auto"/>
        <w:bottom w:val="none" w:sz="0" w:space="0" w:color="auto"/>
        <w:right w:val="none" w:sz="0" w:space="0" w:color="auto"/>
      </w:divBdr>
    </w:div>
    <w:div w:id="1684818057">
      <w:bodyDiv w:val="1"/>
      <w:marLeft w:val="0"/>
      <w:marRight w:val="0"/>
      <w:marTop w:val="0"/>
      <w:marBottom w:val="0"/>
      <w:divBdr>
        <w:top w:val="none" w:sz="0" w:space="0" w:color="auto"/>
        <w:left w:val="none" w:sz="0" w:space="0" w:color="auto"/>
        <w:bottom w:val="none" w:sz="0" w:space="0" w:color="auto"/>
        <w:right w:val="none" w:sz="0" w:space="0" w:color="auto"/>
      </w:divBdr>
    </w:div>
    <w:div w:id="1698121789">
      <w:bodyDiv w:val="1"/>
      <w:marLeft w:val="0"/>
      <w:marRight w:val="0"/>
      <w:marTop w:val="0"/>
      <w:marBottom w:val="0"/>
      <w:divBdr>
        <w:top w:val="none" w:sz="0" w:space="0" w:color="auto"/>
        <w:left w:val="none" w:sz="0" w:space="0" w:color="auto"/>
        <w:bottom w:val="none" w:sz="0" w:space="0" w:color="auto"/>
        <w:right w:val="none" w:sz="0" w:space="0" w:color="auto"/>
      </w:divBdr>
    </w:div>
    <w:div w:id="1710766182">
      <w:bodyDiv w:val="1"/>
      <w:marLeft w:val="0"/>
      <w:marRight w:val="0"/>
      <w:marTop w:val="0"/>
      <w:marBottom w:val="0"/>
      <w:divBdr>
        <w:top w:val="none" w:sz="0" w:space="0" w:color="auto"/>
        <w:left w:val="none" w:sz="0" w:space="0" w:color="auto"/>
        <w:bottom w:val="none" w:sz="0" w:space="0" w:color="auto"/>
        <w:right w:val="none" w:sz="0" w:space="0" w:color="auto"/>
      </w:divBdr>
    </w:div>
    <w:div w:id="1729693623">
      <w:bodyDiv w:val="1"/>
      <w:marLeft w:val="0"/>
      <w:marRight w:val="0"/>
      <w:marTop w:val="0"/>
      <w:marBottom w:val="0"/>
      <w:divBdr>
        <w:top w:val="none" w:sz="0" w:space="0" w:color="auto"/>
        <w:left w:val="none" w:sz="0" w:space="0" w:color="auto"/>
        <w:bottom w:val="none" w:sz="0" w:space="0" w:color="auto"/>
        <w:right w:val="none" w:sz="0" w:space="0" w:color="auto"/>
      </w:divBdr>
    </w:div>
    <w:div w:id="1764451889">
      <w:bodyDiv w:val="1"/>
      <w:marLeft w:val="0"/>
      <w:marRight w:val="0"/>
      <w:marTop w:val="0"/>
      <w:marBottom w:val="0"/>
      <w:divBdr>
        <w:top w:val="none" w:sz="0" w:space="0" w:color="auto"/>
        <w:left w:val="none" w:sz="0" w:space="0" w:color="auto"/>
        <w:bottom w:val="none" w:sz="0" w:space="0" w:color="auto"/>
        <w:right w:val="none" w:sz="0" w:space="0" w:color="auto"/>
      </w:divBdr>
    </w:div>
    <w:div w:id="1801535905">
      <w:bodyDiv w:val="1"/>
      <w:marLeft w:val="0"/>
      <w:marRight w:val="0"/>
      <w:marTop w:val="0"/>
      <w:marBottom w:val="0"/>
      <w:divBdr>
        <w:top w:val="none" w:sz="0" w:space="0" w:color="auto"/>
        <w:left w:val="none" w:sz="0" w:space="0" w:color="auto"/>
        <w:bottom w:val="none" w:sz="0" w:space="0" w:color="auto"/>
        <w:right w:val="none" w:sz="0" w:space="0" w:color="auto"/>
      </w:divBdr>
    </w:div>
    <w:div w:id="1826436052">
      <w:bodyDiv w:val="1"/>
      <w:marLeft w:val="0"/>
      <w:marRight w:val="0"/>
      <w:marTop w:val="0"/>
      <w:marBottom w:val="0"/>
      <w:divBdr>
        <w:top w:val="none" w:sz="0" w:space="0" w:color="auto"/>
        <w:left w:val="none" w:sz="0" w:space="0" w:color="auto"/>
        <w:bottom w:val="none" w:sz="0" w:space="0" w:color="auto"/>
        <w:right w:val="none" w:sz="0" w:space="0" w:color="auto"/>
      </w:divBdr>
    </w:div>
    <w:div w:id="1854606471">
      <w:bodyDiv w:val="1"/>
      <w:marLeft w:val="0"/>
      <w:marRight w:val="0"/>
      <w:marTop w:val="0"/>
      <w:marBottom w:val="0"/>
      <w:divBdr>
        <w:top w:val="none" w:sz="0" w:space="0" w:color="auto"/>
        <w:left w:val="none" w:sz="0" w:space="0" w:color="auto"/>
        <w:bottom w:val="none" w:sz="0" w:space="0" w:color="auto"/>
        <w:right w:val="none" w:sz="0" w:space="0" w:color="auto"/>
      </w:divBdr>
    </w:div>
    <w:div w:id="1864198313">
      <w:bodyDiv w:val="1"/>
      <w:marLeft w:val="0"/>
      <w:marRight w:val="0"/>
      <w:marTop w:val="0"/>
      <w:marBottom w:val="0"/>
      <w:divBdr>
        <w:top w:val="none" w:sz="0" w:space="0" w:color="auto"/>
        <w:left w:val="none" w:sz="0" w:space="0" w:color="auto"/>
        <w:bottom w:val="none" w:sz="0" w:space="0" w:color="auto"/>
        <w:right w:val="none" w:sz="0" w:space="0" w:color="auto"/>
      </w:divBdr>
    </w:div>
    <w:div w:id="1926835939">
      <w:bodyDiv w:val="1"/>
      <w:marLeft w:val="0"/>
      <w:marRight w:val="0"/>
      <w:marTop w:val="0"/>
      <w:marBottom w:val="0"/>
      <w:divBdr>
        <w:top w:val="none" w:sz="0" w:space="0" w:color="auto"/>
        <w:left w:val="none" w:sz="0" w:space="0" w:color="auto"/>
        <w:bottom w:val="none" w:sz="0" w:space="0" w:color="auto"/>
        <w:right w:val="none" w:sz="0" w:space="0" w:color="auto"/>
      </w:divBdr>
    </w:div>
    <w:div w:id="1954555506">
      <w:bodyDiv w:val="1"/>
      <w:marLeft w:val="0"/>
      <w:marRight w:val="0"/>
      <w:marTop w:val="0"/>
      <w:marBottom w:val="0"/>
      <w:divBdr>
        <w:top w:val="none" w:sz="0" w:space="0" w:color="auto"/>
        <w:left w:val="none" w:sz="0" w:space="0" w:color="auto"/>
        <w:bottom w:val="none" w:sz="0" w:space="0" w:color="auto"/>
        <w:right w:val="none" w:sz="0" w:space="0" w:color="auto"/>
      </w:divBdr>
    </w:div>
    <w:div w:id="1975789078">
      <w:bodyDiv w:val="1"/>
      <w:marLeft w:val="0"/>
      <w:marRight w:val="0"/>
      <w:marTop w:val="0"/>
      <w:marBottom w:val="0"/>
      <w:divBdr>
        <w:top w:val="none" w:sz="0" w:space="0" w:color="auto"/>
        <w:left w:val="none" w:sz="0" w:space="0" w:color="auto"/>
        <w:bottom w:val="none" w:sz="0" w:space="0" w:color="auto"/>
        <w:right w:val="none" w:sz="0" w:space="0" w:color="auto"/>
      </w:divBdr>
    </w:div>
    <w:div w:id="1979338845">
      <w:bodyDiv w:val="1"/>
      <w:marLeft w:val="0"/>
      <w:marRight w:val="0"/>
      <w:marTop w:val="0"/>
      <w:marBottom w:val="0"/>
      <w:divBdr>
        <w:top w:val="none" w:sz="0" w:space="0" w:color="auto"/>
        <w:left w:val="none" w:sz="0" w:space="0" w:color="auto"/>
        <w:bottom w:val="none" w:sz="0" w:space="0" w:color="auto"/>
        <w:right w:val="none" w:sz="0" w:space="0" w:color="auto"/>
      </w:divBdr>
    </w:div>
    <w:div w:id="1985742743">
      <w:bodyDiv w:val="1"/>
      <w:marLeft w:val="0"/>
      <w:marRight w:val="0"/>
      <w:marTop w:val="0"/>
      <w:marBottom w:val="0"/>
      <w:divBdr>
        <w:top w:val="none" w:sz="0" w:space="0" w:color="auto"/>
        <w:left w:val="none" w:sz="0" w:space="0" w:color="auto"/>
        <w:bottom w:val="none" w:sz="0" w:space="0" w:color="auto"/>
        <w:right w:val="none" w:sz="0" w:space="0" w:color="auto"/>
      </w:divBdr>
    </w:div>
    <w:div w:id="2007587277">
      <w:bodyDiv w:val="1"/>
      <w:marLeft w:val="0"/>
      <w:marRight w:val="0"/>
      <w:marTop w:val="0"/>
      <w:marBottom w:val="0"/>
      <w:divBdr>
        <w:top w:val="none" w:sz="0" w:space="0" w:color="auto"/>
        <w:left w:val="none" w:sz="0" w:space="0" w:color="auto"/>
        <w:bottom w:val="none" w:sz="0" w:space="0" w:color="auto"/>
        <w:right w:val="none" w:sz="0" w:space="0" w:color="auto"/>
      </w:divBdr>
    </w:div>
    <w:div w:id="2017805155">
      <w:bodyDiv w:val="1"/>
      <w:marLeft w:val="0"/>
      <w:marRight w:val="0"/>
      <w:marTop w:val="0"/>
      <w:marBottom w:val="0"/>
      <w:divBdr>
        <w:top w:val="none" w:sz="0" w:space="0" w:color="auto"/>
        <w:left w:val="none" w:sz="0" w:space="0" w:color="auto"/>
        <w:bottom w:val="none" w:sz="0" w:space="0" w:color="auto"/>
        <w:right w:val="none" w:sz="0" w:space="0" w:color="auto"/>
      </w:divBdr>
    </w:div>
    <w:div w:id="2018998233">
      <w:bodyDiv w:val="1"/>
      <w:marLeft w:val="0"/>
      <w:marRight w:val="0"/>
      <w:marTop w:val="0"/>
      <w:marBottom w:val="0"/>
      <w:divBdr>
        <w:top w:val="none" w:sz="0" w:space="0" w:color="auto"/>
        <w:left w:val="none" w:sz="0" w:space="0" w:color="auto"/>
        <w:bottom w:val="none" w:sz="0" w:space="0" w:color="auto"/>
        <w:right w:val="none" w:sz="0" w:space="0" w:color="auto"/>
      </w:divBdr>
    </w:div>
    <w:div w:id="2028367912">
      <w:bodyDiv w:val="1"/>
      <w:marLeft w:val="0"/>
      <w:marRight w:val="0"/>
      <w:marTop w:val="0"/>
      <w:marBottom w:val="0"/>
      <w:divBdr>
        <w:top w:val="none" w:sz="0" w:space="0" w:color="auto"/>
        <w:left w:val="none" w:sz="0" w:space="0" w:color="auto"/>
        <w:bottom w:val="none" w:sz="0" w:space="0" w:color="auto"/>
        <w:right w:val="none" w:sz="0" w:space="0" w:color="auto"/>
      </w:divBdr>
    </w:div>
    <w:div w:id="2034652996">
      <w:bodyDiv w:val="1"/>
      <w:marLeft w:val="0"/>
      <w:marRight w:val="0"/>
      <w:marTop w:val="0"/>
      <w:marBottom w:val="0"/>
      <w:divBdr>
        <w:top w:val="none" w:sz="0" w:space="0" w:color="auto"/>
        <w:left w:val="none" w:sz="0" w:space="0" w:color="auto"/>
        <w:bottom w:val="none" w:sz="0" w:space="0" w:color="auto"/>
        <w:right w:val="none" w:sz="0" w:space="0" w:color="auto"/>
      </w:divBdr>
    </w:div>
    <w:div w:id="2065912002">
      <w:bodyDiv w:val="1"/>
      <w:marLeft w:val="0"/>
      <w:marRight w:val="0"/>
      <w:marTop w:val="0"/>
      <w:marBottom w:val="0"/>
      <w:divBdr>
        <w:top w:val="none" w:sz="0" w:space="0" w:color="auto"/>
        <w:left w:val="none" w:sz="0" w:space="0" w:color="auto"/>
        <w:bottom w:val="none" w:sz="0" w:space="0" w:color="auto"/>
        <w:right w:val="none" w:sz="0" w:space="0" w:color="auto"/>
      </w:divBdr>
    </w:div>
    <w:div w:id="2071031100">
      <w:bodyDiv w:val="1"/>
      <w:marLeft w:val="0"/>
      <w:marRight w:val="0"/>
      <w:marTop w:val="0"/>
      <w:marBottom w:val="0"/>
      <w:divBdr>
        <w:top w:val="none" w:sz="0" w:space="0" w:color="auto"/>
        <w:left w:val="none" w:sz="0" w:space="0" w:color="auto"/>
        <w:bottom w:val="none" w:sz="0" w:space="0" w:color="auto"/>
        <w:right w:val="none" w:sz="0" w:space="0" w:color="auto"/>
      </w:divBdr>
      <w:divsChild>
        <w:div w:id="684137170">
          <w:marLeft w:val="0"/>
          <w:marRight w:val="0"/>
          <w:marTop w:val="0"/>
          <w:marBottom w:val="0"/>
          <w:divBdr>
            <w:top w:val="none" w:sz="0" w:space="0" w:color="auto"/>
            <w:left w:val="none" w:sz="0" w:space="0" w:color="auto"/>
            <w:bottom w:val="none" w:sz="0" w:space="0" w:color="auto"/>
            <w:right w:val="none" w:sz="0" w:space="0" w:color="auto"/>
          </w:divBdr>
          <w:divsChild>
            <w:div w:id="1514027382">
              <w:marLeft w:val="0"/>
              <w:marRight w:val="0"/>
              <w:marTop w:val="0"/>
              <w:marBottom w:val="0"/>
              <w:divBdr>
                <w:top w:val="none" w:sz="0" w:space="0" w:color="auto"/>
                <w:left w:val="none" w:sz="0" w:space="0" w:color="auto"/>
                <w:bottom w:val="none" w:sz="0" w:space="0" w:color="auto"/>
                <w:right w:val="none" w:sz="0" w:space="0" w:color="auto"/>
              </w:divBdr>
              <w:divsChild>
                <w:div w:id="745684969">
                  <w:marLeft w:val="0"/>
                  <w:marRight w:val="0"/>
                  <w:marTop w:val="0"/>
                  <w:marBottom w:val="0"/>
                  <w:divBdr>
                    <w:top w:val="none" w:sz="0" w:space="0" w:color="auto"/>
                    <w:left w:val="none" w:sz="0" w:space="0" w:color="auto"/>
                    <w:bottom w:val="none" w:sz="0" w:space="0" w:color="auto"/>
                    <w:right w:val="none" w:sz="0" w:space="0" w:color="auto"/>
                  </w:divBdr>
                  <w:divsChild>
                    <w:div w:id="1325933925">
                      <w:marLeft w:val="0"/>
                      <w:marRight w:val="0"/>
                      <w:marTop w:val="0"/>
                      <w:marBottom w:val="0"/>
                      <w:divBdr>
                        <w:top w:val="none" w:sz="0" w:space="0" w:color="auto"/>
                        <w:left w:val="none" w:sz="0" w:space="0" w:color="auto"/>
                        <w:bottom w:val="none" w:sz="0" w:space="0" w:color="auto"/>
                        <w:right w:val="none" w:sz="0" w:space="0" w:color="auto"/>
                      </w:divBdr>
                      <w:divsChild>
                        <w:div w:id="288242053">
                          <w:marLeft w:val="0"/>
                          <w:marRight w:val="0"/>
                          <w:marTop w:val="0"/>
                          <w:marBottom w:val="0"/>
                          <w:divBdr>
                            <w:top w:val="none" w:sz="0" w:space="0" w:color="auto"/>
                            <w:left w:val="none" w:sz="0" w:space="0" w:color="auto"/>
                            <w:bottom w:val="none" w:sz="0" w:space="0" w:color="auto"/>
                            <w:right w:val="none" w:sz="0" w:space="0" w:color="auto"/>
                          </w:divBdr>
                          <w:divsChild>
                            <w:div w:id="19665738">
                              <w:marLeft w:val="0"/>
                              <w:marRight w:val="0"/>
                              <w:marTop w:val="0"/>
                              <w:marBottom w:val="0"/>
                              <w:divBdr>
                                <w:top w:val="none" w:sz="0" w:space="0" w:color="auto"/>
                                <w:left w:val="none" w:sz="0" w:space="0" w:color="auto"/>
                                <w:bottom w:val="none" w:sz="0" w:space="0" w:color="auto"/>
                                <w:right w:val="none" w:sz="0" w:space="0" w:color="auto"/>
                              </w:divBdr>
                              <w:divsChild>
                                <w:div w:id="887302573">
                                  <w:marLeft w:val="0"/>
                                  <w:marRight w:val="0"/>
                                  <w:marTop w:val="0"/>
                                  <w:marBottom w:val="0"/>
                                  <w:divBdr>
                                    <w:top w:val="none" w:sz="0" w:space="0" w:color="auto"/>
                                    <w:left w:val="none" w:sz="0" w:space="0" w:color="auto"/>
                                    <w:bottom w:val="none" w:sz="0" w:space="0" w:color="auto"/>
                                    <w:right w:val="none" w:sz="0" w:space="0" w:color="auto"/>
                                  </w:divBdr>
                                  <w:divsChild>
                                    <w:div w:id="701440200">
                                      <w:marLeft w:val="60"/>
                                      <w:marRight w:val="0"/>
                                      <w:marTop w:val="0"/>
                                      <w:marBottom w:val="0"/>
                                      <w:divBdr>
                                        <w:top w:val="none" w:sz="0" w:space="0" w:color="auto"/>
                                        <w:left w:val="none" w:sz="0" w:space="0" w:color="auto"/>
                                        <w:bottom w:val="none" w:sz="0" w:space="0" w:color="auto"/>
                                        <w:right w:val="none" w:sz="0" w:space="0" w:color="auto"/>
                                      </w:divBdr>
                                      <w:divsChild>
                                        <w:div w:id="983849241">
                                          <w:marLeft w:val="0"/>
                                          <w:marRight w:val="0"/>
                                          <w:marTop w:val="0"/>
                                          <w:marBottom w:val="0"/>
                                          <w:divBdr>
                                            <w:top w:val="none" w:sz="0" w:space="0" w:color="auto"/>
                                            <w:left w:val="none" w:sz="0" w:space="0" w:color="auto"/>
                                            <w:bottom w:val="none" w:sz="0" w:space="0" w:color="auto"/>
                                            <w:right w:val="none" w:sz="0" w:space="0" w:color="auto"/>
                                          </w:divBdr>
                                          <w:divsChild>
                                            <w:div w:id="432213027">
                                              <w:marLeft w:val="0"/>
                                              <w:marRight w:val="0"/>
                                              <w:marTop w:val="0"/>
                                              <w:marBottom w:val="120"/>
                                              <w:divBdr>
                                                <w:top w:val="single" w:sz="6" w:space="0" w:color="F5F5F5"/>
                                                <w:left w:val="single" w:sz="6" w:space="0" w:color="F5F5F5"/>
                                                <w:bottom w:val="single" w:sz="6" w:space="0" w:color="F5F5F5"/>
                                                <w:right w:val="single" w:sz="6" w:space="0" w:color="F5F5F5"/>
                                              </w:divBdr>
                                              <w:divsChild>
                                                <w:div w:id="936519651">
                                                  <w:marLeft w:val="0"/>
                                                  <w:marRight w:val="0"/>
                                                  <w:marTop w:val="0"/>
                                                  <w:marBottom w:val="0"/>
                                                  <w:divBdr>
                                                    <w:top w:val="none" w:sz="0" w:space="0" w:color="auto"/>
                                                    <w:left w:val="none" w:sz="0" w:space="0" w:color="auto"/>
                                                    <w:bottom w:val="none" w:sz="0" w:space="0" w:color="auto"/>
                                                    <w:right w:val="none" w:sz="0" w:space="0" w:color="auto"/>
                                                  </w:divBdr>
                                                  <w:divsChild>
                                                    <w:div w:id="675574710">
                                                      <w:marLeft w:val="0"/>
                                                      <w:marRight w:val="0"/>
                                                      <w:marTop w:val="0"/>
                                                      <w:marBottom w:val="0"/>
                                                      <w:divBdr>
                                                        <w:top w:val="none" w:sz="0" w:space="0" w:color="auto"/>
                                                        <w:left w:val="none" w:sz="0" w:space="0" w:color="auto"/>
                                                        <w:bottom w:val="none" w:sz="0" w:space="0" w:color="auto"/>
                                                        <w:right w:val="none" w:sz="0" w:space="0" w:color="auto"/>
                                                      </w:divBdr>
                                                    </w:div>
                                                  </w:divsChild>
                                                </w:div>
                                                <w:div w:id="1117528970">
                                                  <w:marLeft w:val="0"/>
                                                  <w:marRight w:val="0"/>
                                                  <w:marTop w:val="0"/>
                                                  <w:marBottom w:val="0"/>
                                                  <w:divBdr>
                                                    <w:top w:val="none" w:sz="0" w:space="0" w:color="auto"/>
                                                    <w:left w:val="none" w:sz="0" w:space="0" w:color="auto"/>
                                                    <w:bottom w:val="none" w:sz="0" w:space="0" w:color="auto"/>
                                                    <w:right w:val="none" w:sz="0" w:space="0" w:color="auto"/>
                                                  </w:divBdr>
                                                  <w:divsChild>
                                                    <w:div w:id="1025252075">
                                                      <w:marLeft w:val="0"/>
                                                      <w:marRight w:val="0"/>
                                                      <w:marTop w:val="0"/>
                                                      <w:marBottom w:val="0"/>
                                                      <w:divBdr>
                                                        <w:top w:val="none" w:sz="0" w:space="0" w:color="auto"/>
                                                        <w:left w:val="none" w:sz="0" w:space="0" w:color="auto"/>
                                                        <w:bottom w:val="none" w:sz="0" w:space="0" w:color="auto"/>
                                                        <w:right w:val="none" w:sz="0" w:space="0" w:color="auto"/>
                                                      </w:divBdr>
                                                    </w:div>
                                                  </w:divsChild>
                                                </w:div>
                                                <w:div w:id="1089500572">
                                                  <w:marLeft w:val="0"/>
                                                  <w:marRight w:val="0"/>
                                                  <w:marTop w:val="0"/>
                                                  <w:marBottom w:val="0"/>
                                                  <w:divBdr>
                                                    <w:top w:val="none" w:sz="0" w:space="0" w:color="auto"/>
                                                    <w:left w:val="none" w:sz="0" w:space="0" w:color="auto"/>
                                                    <w:bottom w:val="none" w:sz="0" w:space="0" w:color="auto"/>
                                                    <w:right w:val="none" w:sz="0" w:space="0" w:color="auto"/>
                                                  </w:divBdr>
                                                  <w:divsChild>
                                                    <w:div w:id="929657168">
                                                      <w:marLeft w:val="0"/>
                                                      <w:marRight w:val="0"/>
                                                      <w:marTop w:val="0"/>
                                                      <w:marBottom w:val="0"/>
                                                      <w:divBdr>
                                                        <w:top w:val="none" w:sz="0" w:space="0" w:color="auto"/>
                                                        <w:left w:val="none" w:sz="0" w:space="0" w:color="auto"/>
                                                        <w:bottom w:val="none" w:sz="0" w:space="0" w:color="auto"/>
                                                        <w:right w:val="none" w:sz="0" w:space="0" w:color="auto"/>
                                                      </w:divBdr>
                                                      <w:divsChild>
                                                        <w:div w:id="1853451016">
                                                          <w:marLeft w:val="0"/>
                                                          <w:marRight w:val="0"/>
                                                          <w:marTop w:val="0"/>
                                                          <w:marBottom w:val="0"/>
                                                          <w:divBdr>
                                                            <w:top w:val="none" w:sz="0" w:space="0" w:color="auto"/>
                                                            <w:left w:val="none" w:sz="0" w:space="0" w:color="auto"/>
                                                            <w:bottom w:val="none" w:sz="0" w:space="0" w:color="auto"/>
                                                            <w:right w:val="none" w:sz="0" w:space="0" w:color="auto"/>
                                                          </w:divBdr>
                                                        </w:div>
                                                        <w:div w:id="115966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8059550">
                                              <w:marLeft w:val="0"/>
                                              <w:marRight w:val="0"/>
                                              <w:marTop w:val="0"/>
                                              <w:marBottom w:val="0"/>
                                              <w:divBdr>
                                                <w:top w:val="none" w:sz="0" w:space="0" w:color="auto"/>
                                                <w:left w:val="none" w:sz="0" w:space="0" w:color="auto"/>
                                                <w:bottom w:val="none" w:sz="0" w:space="0" w:color="auto"/>
                                                <w:right w:val="none" w:sz="0" w:space="0" w:color="auto"/>
                                              </w:divBdr>
                                              <w:divsChild>
                                                <w:div w:id="932858971">
                                                  <w:marLeft w:val="0"/>
                                                  <w:marRight w:val="0"/>
                                                  <w:marTop w:val="600"/>
                                                  <w:marBottom w:val="0"/>
                                                  <w:divBdr>
                                                    <w:top w:val="none" w:sz="0" w:space="0" w:color="auto"/>
                                                    <w:left w:val="none" w:sz="0" w:space="0" w:color="auto"/>
                                                    <w:bottom w:val="none" w:sz="0" w:space="0" w:color="auto"/>
                                                    <w:right w:val="none" w:sz="0" w:space="0" w:color="auto"/>
                                                  </w:divBdr>
                                                  <w:divsChild>
                                                    <w:div w:id="1763799126">
                                                      <w:marLeft w:val="0"/>
                                                      <w:marRight w:val="0"/>
                                                      <w:marTop w:val="0"/>
                                                      <w:marBottom w:val="0"/>
                                                      <w:divBdr>
                                                        <w:top w:val="none" w:sz="0" w:space="0" w:color="auto"/>
                                                        <w:left w:val="none" w:sz="0" w:space="0" w:color="auto"/>
                                                        <w:bottom w:val="none" w:sz="0" w:space="0" w:color="auto"/>
                                                        <w:right w:val="none" w:sz="0" w:space="0" w:color="auto"/>
                                                      </w:divBdr>
                                                      <w:divsChild>
                                                        <w:div w:id="1868521445">
                                                          <w:marLeft w:val="0"/>
                                                          <w:marRight w:val="0"/>
                                                          <w:marTop w:val="0"/>
                                                          <w:marBottom w:val="0"/>
                                                          <w:divBdr>
                                                            <w:top w:val="none" w:sz="0" w:space="0" w:color="auto"/>
                                                            <w:left w:val="none" w:sz="0" w:space="0" w:color="auto"/>
                                                            <w:bottom w:val="none" w:sz="0" w:space="0" w:color="auto"/>
                                                            <w:right w:val="none" w:sz="0" w:space="0" w:color="auto"/>
                                                          </w:divBdr>
                                                          <w:divsChild>
                                                            <w:div w:id="1659770314">
                                                              <w:marLeft w:val="0"/>
                                                              <w:marRight w:val="0"/>
                                                              <w:marTop w:val="0"/>
                                                              <w:marBottom w:val="0"/>
                                                              <w:divBdr>
                                                                <w:top w:val="none" w:sz="0" w:space="0" w:color="auto"/>
                                                                <w:left w:val="none" w:sz="0" w:space="0" w:color="auto"/>
                                                                <w:bottom w:val="none" w:sz="0" w:space="0" w:color="auto"/>
                                                                <w:right w:val="none" w:sz="0" w:space="0" w:color="auto"/>
                                                              </w:divBdr>
                                                              <w:divsChild>
                                                                <w:div w:id="758671632">
                                                                  <w:marLeft w:val="0"/>
                                                                  <w:marRight w:val="0"/>
                                                                  <w:marTop w:val="100"/>
                                                                  <w:marBottom w:val="100"/>
                                                                  <w:divBdr>
                                                                    <w:top w:val="none" w:sz="0" w:space="0" w:color="auto"/>
                                                                    <w:left w:val="none" w:sz="0" w:space="0" w:color="auto"/>
                                                                    <w:bottom w:val="none" w:sz="0" w:space="0" w:color="auto"/>
                                                                    <w:right w:val="none" w:sz="0" w:space="0" w:color="auto"/>
                                                                  </w:divBdr>
                                                                </w:div>
                                                                <w:div w:id="237830377">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774783400">
                                                  <w:marLeft w:val="0"/>
                                                  <w:marRight w:val="0"/>
                                                  <w:marTop w:val="0"/>
                                                  <w:marBottom w:val="0"/>
                                                  <w:divBdr>
                                                    <w:top w:val="none" w:sz="0" w:space="0" w:color="auto"/>
                                                    <w:left w:val="none" w:sz="0" w:space="0" w:color="auto"/>
                                                    <w:bottom w:val="none" w:sz="0" w:space="0" w:color="auto"/>
                                                    <w:right w:val="none" w:sz="0" w:space="0" w:color="auto"/>
                                                  </w:divBdr>
                                                  <w:divsChild>
                                                    <w:div w:id="411121197">
                                                      <w:marLeft w:val="0"/>
                                                      <w:marRight w:val="0"/>
                                                      <w:marTop w:val="90"/>
                                                      <w:marBottom w:val="90"/>
                                                      <w:divBdr>
                                                        <w:top w:val="none" w:sz="0" w:space="4" w:color="F0C36D"/>
                                                        <w:left w:val="none" w:sz="0" w:space="4" w:color="F0C36D"/>
                                                        <w:bottom w:val="none" w:sz="0" w:space="4" w:color="F0C36D"/>
                                                        <w:right w:val="none" w:sz="0" w:space="4" w:color="F0C36D"/>
                                                      </w:divBdr>
                                                      <w:divsChild>
                                                        <w:div w:id="1524901578">
                                                          <w:marLeft w:val="0"/>
                                                          <w:marRight w:val="0"/>
                                                          <w:marTop w:val="0"/>
                                                          <w:marBottom w:val="0"/>
                                                          <w:divBdr>
                                                            <w:top w:val="none" w:sz="0" w:space="0" w:color="auto"/>
                                                            <w:left w:val="none" w:sz="0" w:space="0" w:color="auto"/>
                                                            <w:bottom w:val="none" w:sz="0" w:space="0" w:color="auto"/>
                                                            <w:right w:val="none" w:sz="0" w:space="0" w:color="auto"/>
                                                          </w:divBdr>
                                                        </w:div>
                                                      </w:divsChild>
                                                    </w:div>
                                                    <w:div w:id="1192379303">
                                                      <w:marLeft w:val="0"/>
                                                      <w:marRight w:val="0"/>
                                                      <w:marTop w:val="0"/>
                                                      <w:marBottom w:val="0"/>
                                                      <w:divBdr>
                                                        <w:top w:val="none" w:sz="0" w:space="0" w:color="auto"/>
                                                        <w:left w:val="none" w:sz="0" w:space="0" w:color="auto"/>
                                                        <w:bottom w:val="none" w:sz="0" w:space="0" w:color="auto"/>
                                                        <w:right w:val="none" w:sz="0" w:space="0" w:color="auto"/>
                                                      </w:divBdr>
                                                      <w:divsChild>
                                                        <w:div w:id="1735354991">
                                                          <w:marLeft w:val="0"/>
                                                          <w:marRight w:val="0"/>
                                                          <w:marTop w:val="0"/>
                                                          <w:marBottom w:val="0"/>
                                                          <w:divBdr>
                                                            <w:top w:val="none" w:sz="0" w:space="0" w:color="auto"/>
                                                            <w:left w:val="none" w:sz="0" w:space="0" w:color="auto"/>
                                                            <w:bottom w:val="none" w:sz="0" w:space="0" w:color="auto"/>
                                                            <w:right w:val="none" w:sz="0" w:space="0" w:color="auto"/>
                                                          </w:divBdr>
                                                        </w:div>
                                                        <w:div w:id="1326206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0214156">
                                  <w:marLeft w:val="0"/>
                                  <w:marRight w:val="0"/>
                                  <w:marTop w:val="0"/>
                                  <w:marBottom w:val="0"/>
                                  <w:divBdr>
                                    <w:top w:val="none" w:sz="0" w:space="0" w:color="auto"/>
                                    <w:left w:val="none" w:sz="0" w:space="0" w:color="auto"/>
                                    <w:bottom w:val="none" w:sz="0" w:space="0" w:color="auto"/>
                                    <w:right w:val="none" w:sz="0" w:space="0" w:color="auto"/>
                                  </w:divBdr>
                                  <w:divsChild>
                                    <w:div w:id="2026515428">
                                      <w:marLeft w:val="0"/>
                                      <w:marRight w:val="0"/>
                                      <w:marTop w:val="600"/>
                                      <w:marBottom w:val="0"/>
                                      <w:divBdr>
                                        <w:top w:val="none" w:sz="0" w:space="0" w:color="auto"/>
                                        <w:left w:val="none" w:sz="0" w:space="0" w:color="auto"/>
                                        <w:bottom w:val="none" w:sz="0" w:space="0" w:color="auto"/>
                                        <w:right w:val="none" w:sz="0" w:space="0" w:color="auto"/>
                                      </w:divBdr>
                                      <w:divsChild>
                                        <w:div w:id="1642927042">
                                          <w:marLeft w:val="0"/>
                                          <w:marRight w:val="0"/>
                                          <w:marTop w:val="0"/>
                                          <w:marBottom w:val="0"/>
                                          <w:divBdr>
                                            <w:top w:val="none" w:sz="0" w:space="0" w:color="auto"/>
                                            <w:left w:val="none" w:sz="0" w:space="0" w:color="auto"/>
                                            <w:bottom w:val="none" w:sz="0" w:space="0" w:color="auto"/>
                                            <w:right w:val="none" w:sz="0" w:space="0" w:color="auto"/>
                                          </w:divBdr>
                                          <w:divsChild>
                                            <w:div w:id="1262489780">
                                              <w:marLeft w:val="0"/>
                                              <w:marRight w:val="0"/>
                                              <w:marTop w:val="0"/>
                                              <w:marBottom w:val="0"/>
                                              <w:divBdr>
                                                <w:top w:val="none" w:sz="0" w:space="0" w:color="auto"/>
                                                <w:left w:val="none" w:sz="0" w:space="0" w:color="auto"/>
                                                <w:bottom w:val="none" w:sz="0" w:space="0" w:color="auto"/>
                                                <w:right w:val="none" w:sz="0" w:space="0" w:color="auto"/>
                                              </w:divBdr>
                                              <w:divsChild>
                                                <w:div w:id="766074912">
                                                  <w:marLeft w:val="0"/>
                                                  <w:marRight w:val="0"/>
                                                  <w:marTop w:val="0"/>
                                                  <w:marBottom w:val="0"/>
                                                  <w:divBdr>
                                                    <w:top w:val="none" w:sz="0" w:space="0" w:color="auto"/>
                                                    <w:left w:val="none" w:sz="0" w:space="0" w:color="auto"/>
                                                    <w:bottom w:val="none" w:sz="0" w:space="0" w:color="auto"/>
                                                    <w:right w:val="none" w:sz="0" w:space="0" w:color="auto"/>
                                                  </w:divBdr>
                                                  <w:divsChild>
                                                    <w:div w:id="138959452">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914000683">
                                  <w:marLeft w:val="0"/>
                                  <w:marRight w:val="0"/>
                                  <w:marTop w:val="0"/>
                                  <w:marBottom w:val="0"/>
                                  <w:divBdr>
                                    <w:top w:val="none" w:sz="0" w:space="0" w:color="auto"/>
                                    <w:left w:val="none" w:sz="0" w:space="0" w:color="auto"/>
                                    <w:bottom w:val="none" w:sz="0" w:space="0" w:color="auto"/>
                                    <w:right w:val="none" w:sz="0" w:space="0" w:color="auto"/>
                                  </w:divBdr>
                                  <w:divsChild>
                                    <w:div w:id="1769307823">
                                      <w:marLeft w:val="0"/>
                                      <w:marRight w:val="0"/>
                                      <w:marTop w:val="0"/>
                                      <w:marBottom w:val="0"/>
                                      <w:divBdr>
                                        <w:top w:val="none" w:sz="0" w:space="0" w:color="auto"/>
                                        <w:left w:val="none" w:sz="0" w:space="0" w:color="auto"/>
                                        <w:bottom w:val="single" w:sz="6" w:space="3" w:color="CCCCCC"/>
                                        <w:right w:val="none" w:sz="0" w:space="0" w:color="auto"/>
                                      </w:divBdr>
                                    </w:div>
                                    <w:div w:id="302589984">
                                      <w:marLeft w:val="0"/>
                                      <w:marRight w:val="0"/>
                                      <w:marTop w:val="0"/>
                                      <w:marBottom w:val="0"/>
                                      <w:divBdr>
                                        <w:top w:val="none" w:sz="0" w:space="0" w:color="auto"/>
                                        <w:left w:val="none" w:sz="0" w:space="0" w:color="auto"/>
                                        <w:bottom w:val="none" w:sz="0" w:space="0" w:color="auto"/>
                                        <w:right w:val="none" w:sz="0" w:space="0" w:color="auto"/>
                                      </w:divBdr>
                                      <w:divsChild>
                                        <w:div w:id="591011128">
                                          <w:marLeft w:val="0"/>
                                          <w:marRight w:val="0"/>
                                          <w:marTop w:val="0"/>
                                          <w:marBottom w:val="0"/>
                                          <w:divBdr>
                                            <w:top w:val="none" w:sz="0" w:space="0" w:color="auto"/>
                                            <w:left w:val="none" w:sz="0" w:space="0" w:color="auto"/>
                                            <w:bottom w:val="none" w:sz="0" w:space="0" w:color="auto"/>
                                            <w:right w:val="none" w:sz="0" w:space="0" w:color="auto"/>
                                          </w:divBdr>
                                          <w:divsChild>
                                            <w:div w:id="1497722532">
                                              <w:marLeft w:val="0"/>
                                              <w:marRight w:val="60"/>
                                              <w:marTop w:val="0"/>
                                              <w:marBottom w:val="0"/>
                                              <w:divBdr>
                                                <w:top w:val="none" w:sz="0" w:space="0" w:color="auto"/>
                                                <w:left w:val="none" w:sz="0" w:space="0" w:color="auto"/>
                                                <w:bottom w:val="none" w:sz="0" w:space="0" w:color="auto"/>
                                                <w:right w:val="none" w:sz="0" w:space="0" w:color="auto"/>
                                              </w:divBdr>
                                              <w:divsChild>
                                                <w:div w:id="938677928">
                                                  <w:marLeft w:val="0"/>
                                                  <w:marRight w:val="0"/>
                                                  <w:marTop w:val="0"/>
                                                  <w:marBottom w:val="0"/>
                                                  <w:divBdr>
                                                    <w:top w:val="none" w:sz="0" w:space="0" w:color="auto"/>
                                                    <w:left w:val="none" w:sz="0" w:space="0" w:color="auto"/>
                                                    <w:bottom w:val="none" w:sz="0" w:space="0" w:color="auto"/>
                                                    <w:right w:val="none" w:sz="0" w:space="0" w:color="auto"/>
                                                  </w:divBdr>
                                                  <w:divsChild>
                                                    <w:div w:id="1726904240">
                                                      <w:marLeft w:val="0"/>
                                                      <w:marRight w:val="0"/>
                                                      <w:marTop w:val="0"/>
                                                      <w:marBottom w:val="0"/>
                                                      <w:divBdr>
                                                        <w:top w:val="none" w:sz="0" w:space="0" w:color="auto"/>
                                                        <w:left w:val="none" w:sz="0" w:space="0" w:color="auto"/>
                                                        <w:bottom w:val="none" w:sz="0" w:space="0" w:color="auto"/>
                                                        <w:right w:val="none" w:sz="0" w:space="0" w:color="auto"/>
                                                      </w:divBdr>
                                                      <w:divsChild>
                                                        <w:div w:id="298465296">
                                                          <w:marLeft w:val="0"/>
                                                          <w:marRight w:val="0"/>
                                                          <w:marTop w:val="0"/>
                                                          <w:marBottom w:val="0"/>
                                                          <w:divBdr>
                                                            <w:top w:val="none" w:sz="0" w:space="0" w:color="auto"/>
                                                            <w:left w:val="none" w:sz="0" w:space="0" w:color="auto"/>
                                                            <w:bottom w:val="none" w:sz="0" w:space="0" w:color="auto"/>
                                                            <w:right w:val="none" w:sz="0" w:space="0" w:color="auto"/>
                                                          </w:divBdr>
                                                          <w:divsChild>
                                                            <w:div w:id="89758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5640672">
                                                  <w:marLeft w:val="0"/>
                                                  <w:marRight w:val="0"/>
                                                  <w:marTop w:val="0"/>
                                                  <w:marBottom w:val="0"/>
                                                  <w:divBdr>
                                                    <w:top w:val="none" w:sz="0" w:space="0" w:color="auto"/>
                                                    <w:left w:val="none" w:sz="0" w:space="0" w:color="auto"/>
                                                    <w:bottom w:val="none" w:sz="0" w:space="0" w:color="auto"/>
                                                    <w:right w:val="none" w:sz="0" w:space="0" w:color="auto"/>
                                                  </w:divBdr>
                                                  <w:divsChild>
                                                    <w:div w:id="1394158373">
                                                      <w:marLeft w:val="0"/>
                                                      <w:marRight w:val="0"/>
                                                      <w:marTop w:val="0"/>
                                                      <w:marBottom w:val="0"/>
                                                      <w:divBdr>
                                                        <w:top w:val="none" w:sz="0" w:space="0" w:color="auto"/>
                                                        <w:left w:val="none" w:sz="0" w:space="0" w:color="auto"/>
                                                        <w:bottom w:val="none" w:sz="0" w:space="0" w:color="auto"/>
                                                        <w:right w:val="none" w:sz="0" w:space="0" w:color="auto"/>
                                                      </w:divBdr>
                                                      <w:divsChild>
                                                        <w:div w:id="978919158">
                                                          <w:marLeft w:val="0"/>
                                                          <w:marRight w:val="0"/>
                                                          <w:marTop w:val="0"/>
                                                          <w:marBottom w:val="0"/>
                                                          <w:divBdr>
                                                            <w:top w:val="none" w:sz="0" w:space="0" w:color="auto"/>
                                                            <w:left w:val="none" w:sz="0" w:space="0" w:color="auto"/>
                                                            <w:bottom w:val="none" w:sz="0" w:space="0" w:color="auto"/>
                                                            <w:right w:val="none" w:sz="0" w:space="0" w:color="auto"/>
                                                          </w:divBdr>
                                                          <w:divsChild>
                                                            <w:div w:id="715161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0931522">
                                                  <w:marLeft w:val="0"/>
                                                  <w:marRight w:val="0"/>
                                                  <w:marTop w:val="0"/>
                                                  <w:marBottom w:val="0"/>
                                                  <w:divBdr>
                                                    <w:top w:val="none" w:sz="0" w:space="0" w:color="auto"/>
                                                    <w:left w:val="none" w:sz="0" w:space="0" w:color="auto"/>
                                                    <w:bottom w:val="none" w:sz="0" w:space="0" w:color="auto"/>
                                                    <w:right w:val="none" w:sz="0" w:space="0" w:color="auto"/>
                                                  </w:divBdr>
                                                  <w:divsChild>
                                                    <w:div w:id="1875654696">
                                                      <w:marLeft w:val="0"/>
                                                      <w:marRight w:val="0"/>
                                                      <w:marTop w:val="0"/>
                                                      <w:marBottom w:val="0"/>
                                                      <w:divBdr>
                                                        <w:top w:val="none" w:sz="0" w:space="0" w:color="auto"/>
                                                        <w:left w:val="none" w:sz="0" w:space="0" w:color="auto"/>
                                                        <w:bottom w:val="none" w:sz="0" w:space="0" w:color="auto"/>
                                                        <w:right w:val="none" w:sz="0" w:space="0" w:color="auto"/>
                                                      </w:divBdr>
                                                      <w:divsChild>
                                                        <w:div w:id="1757625705">
                                                          <w:marLeft w:val="0"/>
                                                          <w:marRight w:val="0"/>
                                                          <w:marTop w:val="0"/>
                                                          <w:marBottom w:val="0"/>
                                                          <w:divBdr>
                                                            <w:top w:val="none" w:sz="0" w:space="0" w:color="auto"/>
                                                            <w:left w:val="none" w:sz="0" w:space="0" w:color="auto"/>
                                                            <w:bottom w:val="none" w:sz="0" w:space="0" w:color="auto"/>
                                                            <w:right w:val="none" w:sz="0" w:space="0" w:color="auto"/>
                                                          </w:divBdr>
                                                          <w:divsChild>
                                                            <w:div w:id="1921869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815863">
                                                  <w:marLeft w:val="0"/>
                                                  <w:marRight w:val="0"/>
                                                  <w:marTop w:val="0"/>
                                                  <w:marBottom w:val="0"/>
                                                  <w:divBdr>
                                                    <w:top w:val="none" w:sz="0" w:space="0" w:color="auto"/>
                                                    <w:left w:val="none" w:sz="0" w:space="0" w:color="auto"/>
                                                    <w:bottom w:val="none" w:sz="0" w:space="0" w:color="auto"/>
                                                    <w:right w:val="none" w:sz="0" w:space="0" w:color="auto"/>
                                                  </w:divBdr>
                                                  <w:divsChild>
                                                    <w:div w:id="1292399020">
                                                      <w:marLeft w:val="0"/>
                                                      <w:marRight w:val="0"/>
                                                      <w:marTop w:val="0"/>
                                                      <w:marBottom w:val="0"/>
                                                      <w:divBdr>
                                                        <w:top w:val="none" w:sz="0" w:space="0" w:color="auto"/>
                                                        <w:left w:val="none" w:sz="0" w:space="0" w:color="auto"/>
                                                        <w:bottom w:val="none" w:sz="0" w:space="0" w:color="auto"/>
                                                        <w:right w:val="none" w:sz="0" w:space="0" w:color="auto"/>
                                                      </w:divBdr>
                                                      <w:divsChild>
                                                        <w:div w:id="1879932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4995551">
                                          <w:marLeft w:val="0"/>
                                          <w:marRight w:val="0"/>
                                          <w:marTop w:val="0"/>
                                          <w:marBottom w:val="0"/>
                                          <w:divBdr>
                                            <w:top w:val="none" w:sz="0" w:space="0" w:color="auto"/>
                                            <w:left w:val="none" w:sz="0" w:space="0" w:color="auto"/>
                                            <w:bottom w:val="none" w:sz="0" w:space="0" w:color="auto"/>
                                            <w:right w:val="none" w:sz="0" w:space="0" w:color="auto"/>
                                          </w:divBdr>
                                          <w:divsChild>
                                            <w:div w:id="903954487">
                                              <w:marLeft w:val="60"/>
                                              <w:marRight w:val="0"/>
                                              <w:marTop w:val="0"/>
                                              <w:marBottom w:val="0"/>
                                              <w:divBdr>
                                                <w:top w:val="none" w:sz="0" w:space="0" w:color="auto"/>
                                                <w:left w:val="none" w:sz="0" w:space="0" w:color="auto"/>
                                                <w:bottom w:val="none" w:sz="0" w:space="0" w:color="auto"/>
                                                <w:right w:val="none" w:sz="0" w:space="0" w:color="auto"/>
                                              </w:divBdr>
                                              <w:divsChild>
                                                <w:div w:id="1140342156">
                                                  <w:marLeft w:val="0"/>
                                                  <w:marRight w:val="0"/>
                                                  <w:marTop w:val="0"/>
                                                  <w:marBottom w:val="0"/>
                                                  <w:divBdr>
                                                    <w:top w:val="none" w:sz="0" w:space="0" w:color="auto"/>
                                                    <w:left w:val="none" w:sz="0" w:space="0" w:color="auto"/>
                                                    <w:bottom w:val="none" w:sz="0" w:space="0" w:color="auto"/>
                                                    <w:right w:val="none" w:sz="0" w:space="0" w:color="auto"/>
                                                  </w:divBdr>
                                                  <w:divsChild>
                                                    <w:div w:id="700059240">
                                                      <w:marLeft w:val="0"/>
                                                      <w:marRight w:val="0"/>
                                                      <w:marTop w:val="0"/>
                                                      <w:marBottom w:val="0"/>
                                                      <w:divBdr>
                                                        <w:top w:val="none" w:sz="0" w:space="0" w:color="auto"/>
                                                        <w:left w:val="none" w:sz="0" w:space="0" w:color="auto"/>
                                                        <w:bottom w:val="none" w:sz="0" w:space="0" w:color="auto"/>
                                                        <w:right w:val="none" w:sz="0" w:space="0" w:color="auto"/>
                                                      </w:divBdr>
                                                      <w:divsChild>
                                                        <w:div w:id="716777566">
                                                          <w:marLeft w:val="0"/>
                                                          <w:marRight w:val="0"/>
                                                          <w:marTop w:val="0"/>
                                                          <w:marBottom w:val="0"/>
                                                          <w:divBdr>
                                                            <w:top w:val="none" w:sz="0" w:space="0" w:color="auto"/>
                                                            <w:left w:val="none" w:sz="0" w:space="0" w:color="auto"/>
                                                            <w:bottom w:val="none" w:sz="0" w:space="0" w:color="auto"/>
                                                            <w:right w:val="none" w:sz="0" w:space="0" w:color="auto"/>
                                                          </w:divBdr>
                                                          <w:divsChild>
                                                            <w:div w:id="25838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42729483">
              <w:marLeft w:val="0"/>
              <w:marRight w:val="0"/>
              <w:marTop w:val="0"/>
              <w:marBottom w:val="0"/>
              <w:divBdr>
                <w:top w:val="single" w:sz="6" w:space="31" w:color="F0C36D"/>
                <w:left w:val="single" w:sz="6" w:space="31" w:color="F0C36D"/>
                <w:bottom w:val="single" w:sz="6" w:space="31" w:color="F0C36D"/>
                <w:right w:val="single" w:sz="6" w:space="31" w:color="F0C36D"/>
              </w:divBdr>
            </w:div>
            <w:div w:id="1531143189">
              <w:marLeft w:val="0"/>
              <w:marRight w:val="0"/>
              <w:marTop w:val="0"/>
              <w:marBottom w:val="0"/>
              <w:divBdr>
                <w:top w:val="single" w:sz="6" w:space="31" w:color="F0C36D"/>
                <w:left w:val="single" w:sz="6" w:space="31" w:color="F0C36D"/>
                <w:bottom w:val="single" w:sz="6" w:space="31" w:color="F0C36D"/>
                <w:right w:val="single" w:sz="6" w:space="31" w:color="F0C36D"/>
              </w:divBdr>
            </w:div>
            <w:div w:id="454838326">
              <w:marLeft w:val="0"/>
              <w:marRight w:val="0"/>
              <w:marTop w:val="0"/>
              <w:marBottom w:val="0"/>
              <w:divBdr>
                <w:top w:val="single" w:sz="6" w:space="31" w:color="F0C36D"/>
                <w:left w:val="single" w:sz="6" w:space="31" w:color="F0C36D"/>
                <w:bottom w:val="single" w:sz="6" w:space="31" w:color="F0C36D"/>
                <w:right w:val="single" w:sz="6" w:space="31" w:color="F0C36D"/>
              </w:divBdr>
            </w:div>
            <w:div w:id="1373455874">
              <w:marLeft w:val="0"/>
              <w:marRight w:val="0"/>
              <w:marTop w:val="0"/>
              <w:marBottom w:val="0"/>
              <w:divBdr>
                <w:top w:val="single" w:sz="6" w:space="31" w:color="F0C36D"/>
                <w:left w:val="single" w:sz="6" w:space="31" w:color="F0C36D"/>
                <w:bottom w:val="single" w:sz="6" w:space="31" w:color="F0C36D"/>
                <w:right w:val="single" w:sz="6" w:space="31" w:color="F0C36D"/>
              </w:divBdr>
            </w:div>
            <w:div w:id="1732731308">
              <w:marLeft w:val="0"/>
              <w:marRight w:val="0"/>
              <w:marTop w:val="0"/>
              <w:marBottom w:val="0"/>
              <w:divBdr>
                <w:top w:val="single" w:sz="6" w:space="0" w:color="CCCCCC"/>
                <w:left w:val="none" w:sz="0" w:space="0" w:color="auto"/>
                <w:bottom w:val="none" w:sz="0" w:space="0" w:color="auto"/>
                <w:right w:val="none" w:sz="0" w:space="0" w:color="auto"/>
              </w:divBdr>
            </w:div>
          </w:divsChild>
        </w:div>
      </w:divsChild>
    </w:div>
    <w:div w:id="2078892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yperlink" Target="https://www.finanzas.gob.ec/wp-content/uploads/downloads/2018/08/Plan20Prosperidad20RV.pdf" TargetMode="External"/><Relationship Id="rId26" Type="http://schemas.openxmlformats.org/officeDocument/2006/relationships/hyperlink" Target="http://www.fgcasal.org/publicaciones/coste-efectividad_intervenciones.pdf" TargetMode="External"/><Relationship Id="rId39" Type="http://schemas.openxmlformats.org/officeDocument/2006/relationships/image" Target="media/image23.emf"/><Relationship Id="rId21" Type="http://schemas.openxmlformats.org/officeDocument/2006/relationships/image" Target="media/image6.emf"/><Relationship Id="rId34" Type="http://schemas.openxmlformats.org/officeDocument/2006/relationships/image" Target="media/image18.emf"/><Relationship Id="rId42" Type="http://schemas.openxmlformats.org/officeDocument/2006/relationships/fontTable" Target="fontTable.xml"/><Relationship Id="rId47" Type="http://schemas.openxmlformats.org/officeDocument/2006/relationships/customXml" Target="../customXml/item4.xml"/><Relationship Id="rId7" Type="http://schemas.openxmlformats.org/officeDocument/2006/relationships/numbering" Target="numbering.xml"/><Relationship Id="rId16" Type="http://schemas.openxmlformats.org/officeDocument/2006/relationships/image" Target="media/image2.emf"/><Relationship Id="rId20" Type="http://schemas.openxmlformats.org/officeDocument/2006/relationships/image" Target="media/image5.emf"/><Relationship Id="rId29" Type="http://schemas.openxmlformats.org/officeDocument/2006/relationships/image" Target="media/image13.emf"/><Relationship Id="rId41" Type="http://schemas.openxmlformats.org/officeDocument/2006/relationships/image" Target="media/image25.emf"/><Relationship Id="rId11" Type="http://schemas.openxmlformats.org/officeDocument/2006/relationships/footnotes" Target="footnotes.xml"/><Relationship Id="rId24" Type="http://schemas.openxmlformats.org/officeDocument/2006/relationships/image" Target="media/image9.emf"/><Relationship Id="rId32" Type="http://schemas.openxmlformats.org/officeDocument/2006/relationships/image" Target="media/image16.emf"/><Relationship Id="rId37" Type="http://schemas.openxmlformats.org/officeDocument/2006/relationships/image" Target="media/image21.emf"/><Relationship Id="rId40" Type="http://schemas.openxmlformats.org/officeDocument/2006/relationships/image" Target="media/image24.emf"/><Relationship Id="rId45" Type="http://schemas.openxmlformats.org/officeDocument/2006/relationships/customXml" Target="../customXml/item2.xml"/><Relationship Id="rId15" Type="http://schemas.openxmlformats.org/officeDocument/2006/relationships/image" Target="media/image1.emf"/><Relationship Id="rId23" Type="http://schemas.openxmlformats.org/officeDocument/2006/relationships/image" Target="media/image8.emf"/><Relationship Id="rId28" Type="http://schemas.openxmlformats.org/officeDocument/2006/relationships/image" Target="media/image12.emf"/><Relationship Id="rId36" Type="http://schemas.openxmlformats.org/officeDocument/2006/relationships/image" Target="media/image20.emf"/><Relationship Id="rId49" Type="http://schemas.openxmlformats.org/officeDocument/2006/relationships/customXml" Target="../customXml/item6.xml"/><Relationship Id="rId10" Type="http://schemas.openxmlformats.org/officeDocument/2006/relationships/webSettings" Target="webSettings.xml"/><Relationship Id="rId19" Type="http://schemas.openxmlformats.org/officeDocument/2006/relationships/image" Target="media/image4.emf"/><Relationship Id="rId31" Type="http://schemas.openxmlformats.org/officeDocument/2006/relationships/image" Target="media/image15.emf"/><Relationship Id="rId44" Type="http://schemas.openxmlformats.org/officeDocument/2006/relationships/customXml" Target="../customXml/item1.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image" Target="media/image7.emf"/><Relationship Id="rId27" Type="http://schemas.openxmlformats.org/officeDocument/2006/relationships/image" Target="media/image11.emf"/><Relationship Id="rId30" Type="http://schemas.openxmlformats.org/officeDocument/2006/relationships/image" Target="media/image14.emf"/><Relationship Id="rId35" Type="http://schemas.openxmlformats.org/officeDocument/2006/relationships/image" Target="media/image19.emf"/><Relationship Id="rId43" Type="http://schemas.openxmlformats.org/officeDocument/2006/relationships/theme" Target="theme/theme1.xml"/><Relationship Id="rId48" Type="http://schemas.openxmlformats.org/officeDocument/2006/relationships/customXml" Target="../customXml/item5.xml"/><Relationship Id="rId8"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image" Target="media/image3.emf"/><Relationship Id="rId25" Type="http://schemas.openxmlformats.org/officeDocument/2006/relationships/image" Target="media/image10.emf"/><Relationship Id="rId33" Type="http://schemas.openxmlformats.org/officeDocument/2006/relationships/image" Target="media/image17.emf"/><Relationship Id="rId38" Type="http://schemas.openxmlformats.org/officeDocument/2006/relationships/image" Target="media/image22.emf"/><Relationship Id="rId46"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1" Type="http://schemas.openxmlformats.org/officeDocument/2006/relationships/hyperlink" Target="https://e3p.jrc.ec.europa.eu/publications/2021-best-practice-guidelines-eu-code-conduct-data-centre-energy-efficiency"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AF7AEF5557858244AFC90F4C661F48A6" ma:contentTypeVersion="6373" ma:contentTypeDescription="A content type to manage public (operations) IDB documents" ma:contentTypeScope="" ma:versionID="9c065de2773725ccf2b8e7dd931148b9">
  <xsd:schema xmlns:xsd="http://www.w3.org/2001/XMLSchema" xmlns:xs="http://www.w3.org/2001/XMLSchema" xmlns:p="http://schemas.microsoft.com/office/2006/metadata/properties" xmlns:ns2="cdc7663a-08f0-4737-9e8c-148ce897a09c" targetNamespace="http://schemas.microsoft.com/office/2006/metadata/properties" ma:root="true" ma:fieldsID="8d221377325f1c2d8bfd7ec352437c7e"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nillable="true"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EC-L1253"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
            <xsd:sequence>
              <xsd:element name="Value" maxOccurs="unbounded" minOccurs="0" nillable="true">
                <xsd:simpleType>
                  <xsd:restriction base="dms:Choice">
                    <xsd:enumeration value="ez"/>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IFD/FMM</Division_x0020_or_x0020_Unit>
    <_dlc_DocId xmlns="cdc7663a-08f0-4737-9e8c-148ce897a09c">EZSHARE-1787844502-13</_dlc_DocId>
    <Document_x0020_Author xmlns="cdc7663a-08f0-4737-9e8c-148ce897a09c">Roman Sanchez Susana</Document_x0020_Author>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Ecuador</TermName>
          <TermId xmlns="http://schemas.microsoft.com/office/infopath/2007/PartnerControls">8f163189-00fa-4e7c-827d-28fb5798781c</TermId>
        </TermInfo>
      </Terms>
    </ic46d7e087fd4a108fb86518ca413cc6>
    <b26cdb1da78c4bb4b1c1bac2f6ac5911 xmlns="cdc7663a-08f0-4737-9e8c-148ce897a09c">
      <Terms xmlns="http://schemas.microsoft.com/office/infopath/2007/PartnerControls"/>
    </b26cdb1da78c4bb4b1c1bac2f6ac5911>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Life Cycle</Business_x0020_Area>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SISCOR_x0020_Number xmlns="cdc7663a-08f0-4737-9e8c-148ce897a09c" xsi:nil="true"/>
    <Access_x0020_to_x0020_Information_x00a0_Policy xmlns="cdc7663a-08f0-4737-9e8c-148ce897a09c">Public - Simultaneous Disclosure</Access_x0020_to_x0020_Information_x00a0_Policy>
    <Identifier xmlns="cdc7663a-08f0-4737-9e8c-148ce897a09c" xsi:nil="tru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REVENUE ADMINISTRATION</TermName>
          <TermId xmlns="http://schemas.microsoft.com/office/infopath/2007/PartnerControls">ad54b82b-372e-429f-8cff-a1f827fae2d8</TermId>
        </TermInfo>
      </Terms>
    </b2ec7cfb18674cb8803df6b262e8b107>
    <Document_x0020_Language_x0020_IDB xmlns="cdc7663a-08f0-4737-9e8c-148ce897a09c">Spanish</Document_x0020_Language_x0020_IDB>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_dlc_DocIdUrl xmlns="cdc7663a-08f0-4737-9e8c-148ce897a09c">
      <Url>https://idbg.sharepoint.com/teams/EZ-EC-LON/EC-L1253/_layouts/15/DocIdRedir.aspx?ID=EZSHARE-1787844502-13</Url>
      <Description>EZSHARE-1787844502-13</Description>
    </_dlc_DocIdUrl>
    <Phase xmlns="cdc7663a-08f0-4737-9e8c-148ce897a09c">ACTIVE</Phase>
    <Other_x0020_Author xmlns="cdc7663a-08f0-4737-9e8c-148ce897a09c">Ubaldo Gonzalez de Frutos</Other_x0020_Author>
    <IDBDocs_x0020_Number xmlns="cdc7663a-08f0-4737-9e8c-148ce897a09c" xsi:nil="true"/>
    <TaxCatchAll xmlns="cdc7663a-08f0-4737-9e8c-148ce897a09c">
      <Value>32</Value>
      <Value>45</Value>
      <Value>30</Value>
      <Value>1</Value>
      <Value>231</Value>
    </TaxCatchAll>
    <Fiscal_x0020_Year_x0020_IDB xmlns="cdc7663a-08f0-4737-9e8c-148ce897a09c">2020</Fiscal_x0020_Year_x0020_IDB>
    <Operation_x0020_Type xmlns="cdc7663a-08f0-4737-9e8c-148ce897a09c">LON</Operation_x0020_Type>
    <Extracted_x0020_Keywords xmlns="cdc7663a-08f0-4737-9e8c-148ce897a09c">
      <Value>SENAE</Value>
      <Value>proyecto</Value>
      <Value>caso</Value>
      <Value>implementación</Value>
      <Value>SRI</Value>
      <Value>programa</Value>
      <Value>gestión</Value>
      <Value>gastos</Value>
      <Value>consecuencia</Value>
      <Value>línea base</Value>
      <Value>inversión</Value>
      <Value>reducción</Value>
      <Value>ingresos tributarios</Value>
      <Value>control tributario</Value>
      <Value>servicios</Value>
      <Value>aranceles</Value>
      <Value>actividades</Value>
      <Value>modernización</Value>
      <Value>Tabla</Value>
      <Value>recaudación aduanera</Value>
      <Value>comercio exterior</Value>
      <Value>control aduanero</Value>
      <Value>tributos internos</Value>
      <Value>objetivo</Value>
      <Value>PIB</Value>
    </Extracted_x0020_Keywords>
    <Project_x0020_Number xmlns="cdc7663a-08f0-4737-9e8c-148ce897a09c">EC-L1253</Project_x0020_Number>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031D852E-0998-44A4-88B6-CAA7F07744FF}"/>
</file>

<file path=customXml/itemProps2.xml><?xml version="1.0" encoding="utf-8"?>
<ds:datastoreItem xmlns:ds="http://schemas.openxmlformats.org/officeDocument/2006/customXml" ds:itemID="{63A51495-EE60-489E-86FC-59CC65AD1A6A}"/>
</file>

<file path=customXml/itemProps3.xml><?xml version="1.0" encoding="utf-8"?>
<ds:datastoreItem xmlns:ds="http://schemas.openxmlformats.org/officeDocument/2006/customXml" ds:itemID="{B5424F02-D386-4772-B4D4-2D25FA3F4994}"/>
</file>

<file path=customXml/itemProps4.xml><?xml version="1.0" encoding="utf-8"?>
<ds:datastoreItem xmlns:ds="http://schemas.openxmlformats.org/officeDocument/2006/customXml" ds:itemID="{56079732-5773-4EDD-9FF1-7183E3403656}"/>
</file>

<file path=customXml/itemProps5.xml><?xml version="1.0" encoding="utf-8"?>
<ds:datastoreItem xmlns:ds="http://schemas.openxmlformats.org/officeDocument/2006/customXml" ds:itemID="{35249057-AE3D-469D-A825-EC2C355B0F71}"/>
</file>

<file path=customXml/itemProps6.xml><?xml version="1.0" encoding="utf-8"?>
<ds:datastoreItem xmlns:ds="http://schemas.openxmlformats.org/officeDocument/2006/customXml" ds:itemID="{32EC2EAF-7212-4DDB-8682-C5466D61903D}"/>
</file>

<file path=docProps/app.xml><?xml version="1.0" encoding="utf-8"?>
<Properties xmlns="http://schemas.openxmlformats.org/officeDocument/2006/extended-properties" xmlns:vt="http://schemas.openxmlformats.org/officeDocument/2006/docPropsVTypes">
  <Template>Normal</Template>
  <TotalTime>0</TotalTime>
  <Pages>41</Pages>
  <Words>7535</Words>
  <Characters>44306</Characters>
  <Application>Microsoft Office Word</Application>
  <DocSecurity>0</DocSecurity>
  <Lines>2013</Lines>
  <Paragraphs>691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2022-09-12T15:21:00Z</dcterms:created>
  <dcterms:modified xsi:type="dcterms:W3CDTF">2022-09-12T15:21:00Z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Country">
    <vt:lpwstr>32;#Ecuador|8f163189-00fa-4e7c-827d-28fb5798781c</vt:lpwstr>
  </property>
  <property fmtid="{D5CDD505-2E9C-101B-9397-08002B2CF9AE}" pid="6" name="_dlc_DocIdItemGuid">
    <vt:lpwstr>ec257757-bbf7-4098-ab31-8c84ae130097</vt:lpwstr>
  </property>
  <property fmtid="{D5CDD505-2E9C-101B-9397-08002B2CF9AE}" pid="7" name="Fund IDB">
    <vt:lpwstr>30;#ORC|c028a4b2-ad8b-4cf4-9cac-a2ae6a778e23</vt:lpwstr>
  </property>
  <property fmtid="{D5CDD505-2E9C-101B-9397-08002B2CF9AE}" pid="8" name="Sector IDB">
    <vt:lpwstr>45;#REFORM / MODERNIZATION OF THE STATE|c8fda4a7-691a-4c65-b227-9825197b5cd2</vt:lpwstr>
  </property>
  <property fmtid="{D5CDD505-2E9C-101B-9397-08002B2CF9AE}" pid="9" name="Function Operations IDB">
    <vt:lpwstr>1;#Project Preparation Planning and Design|29ca0c72-1fc4-435f-a09c-28585cb5eac9</vt:lpwstr>
  </property>
  <property fmtid="{D5CDD505-2E9C-101B-9397-08002B2CF9AE}" pid="10" name="Series Operations IDB">
    <vt:lpwstr/>
  </property>
  <property fmtid="{D5CDD505-2E9C-101B-9397-08002B2CF9AE}" pid="11" name="Sub-Sector">
    <vt:lpwstr>231;#REVENUE ADMINISTRATION|ad54b82b-372e-429f-8cff-a1f827fae2d8</vt:lpwstr>
  </property>
  <property fmtid="{D5CDD505-2E9C-101B-9397-08002B2CF9AE}" pid="12" name="ContentTypeId">
    <vt:lpwstr>0x0101001A458A224826124E8B45B1D613300CFC00AF7AEF5557858244AFC90F4C661F48A6</vt:lpwstr>
  </property>
  <property fmtid="{D5CDD505-2E9C-101B-9397-08002B2CF9AE}" pid="13" name="Disclosure Activity">
    <vt:lpwstr>Loan Proposal</vt:lpwstr>
  </property>
</Properties>
</file>