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14366" w14:textId="77777777" w:rsidR="0095711B" w:rsidRPr="00A454FF" w:rsidRDefault="00682716" w:rsidP="0011025F">
      <w:pPr>
        <w:spacing w:after="0" w:line="240" w:lineRule="auto"/>
        <w:jc w:val="center"/>
        <w:rPr>
          <w:rFonts w:ascii="Arial" w:hAnsi="Arial" w:cs="Arial"/>
          <w:b/>
          <w:sz w:val="24"/>
          <w:szCs w:val="24"/>
        </w:rPr>
      </w:pPr>
      <w:r w:rsidRPr="00A454FF">
        <w:rPr>
          <w:rFonts w:ascii="Arial" w:hAnsi="Arial" w:cs="Arial"/>
          <w:b/>
          <w:sz w:val="24"/>
          <w:szCs w:val="24"/>
        </w:rPr>
        <w:t xml:space="preserve">Draft </w:t>
      </w:r>
      <w:r w:rsidR="00124040" w:rsidRPr="00A454FF">
        <w:rPr>
          <w:rFonts w:ascii="Arial" w:hAnsi="Arial" w:cs="Arial"/>
          <w:b/>
          <w:sz w:val="24"/>
          <w:szCs w:val="24"/>
        </w:rPr>
        <w:t>TC</w:t>
      </w:r>
      <w:r w:rsidR="00340BC1" w:rsidRPr="00A454FF">
        <w:rPr>
          <w:rFonts w:ascii="Arial" w:hAnsi="Arial" w:cs="Arial"/>
          <w:b/>
          <w:sz w:val="24"/>
          <w:szCs w:val="24"/>
        </w:rPr>
        <w:t xml:space="preserve"> ABSTRACT</w:t>
      </w:r>
    </w:p>
    <w:p w14:paraId="54C3710D" w14:textId="77777777" w:rsidR="0095711B" w:rsidRPr="00A454FF" w:rsidRDefault="0095711B" w:rsidP="0093010C">
      <w:pPr>
        <w:pStyle w:val="ListParagraph"/>
        <w:numPr>
          <w:ilvl w:val="0"/>
          <w:numId w:val="5"/>
        </w:numPr>
        <w:spacing w:before="120" w:after="240"/>
        <w:rPr>
          <w:rFonts w:ascii="Arial" w:hAnsi="Arial" w:cs="Arial"/>
          <w:b/>
        </w:rPr>
      </w:pPr>
      <w:r w:rsidRPr="00A454FF">
        <w:rPr>
          <w:rFonts w:ascii="Arial" w:hAnsi="Arial" w:cs="Arial"/>
          <w:b/>
        </w:rPr>
        <w:t>Basic project data</w:t>
      </w:r>
    </w:p>
    <w:p w14:paraId="68D4E71F" w14:textId="77777777" w:rsidR="0093010C" w:rsidRPr="00A454FF" w:rsidRDefault="0093010C" w:rsidP="0093010C">
      <w:pPr>
        <w:pStyle w:val="ListParagraph"/>
        <w:spacing w:before="120" w:after="240"/>
        <w:ind w:left="360"/>
        <w:rPr>
          <w:rFonts w:ascii="Arial" w:hAnsi="Arial" w:cs="Arial"/>
          <w:b/>
        </w:rPr>
      </w:pPr>
    </w:p>
    <w:tbl>
      <w:tblPr>
        <w:tblStyle w:val="TableGrid"/>
        <w:tblW w:w="0" w:type="auto"/>
        <w:tblInd w:w="4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36"/>
        <w:gridCol w:w="4426"/>
      </w:tblGrid>
      <w:tr w:rsidR="00F2521F" w:rsidRPr="00396D3A" w14:paraId="12F2B01E" w14:textId="77777777" w:rsidTr="007370D4">
        <w:tc>
          <w:tcPr>
            <w:tcW w:w="3736" w:type="dxa"/>
          </w:tcPr>
          <w:p w14:paraId="4AB38393" w14:textId="77777777" w:rsidR="00F2521F" w:rsidRPr="00396D3A" w:rsidRDefault="00F2521F" w:rsidP="002C19A9">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Country/Region:</w:t>
            </w:r>
          </w:p>
        </w:tc>
        <w:tc>
          <w:tcPr>
            <w:tcW w:w="4426" w:type="dxa"/>
          </w:tcPr>
          <w:p w14:paraId="63CB8D25" w14:textId="77777777" w:rsidR="00F2521F" w:rsidRPr="00396D3A" w:rsidRDefault="000C023E" w:rsidP="00396D3A">
            <w:pPr>
              <w:spacing w:before="60" w:after="60"/>
              <w:rPr>
                <w:rFonts w:ascii="Arial" w:hAnsi="Arial" w:cs="Arial"/>
                <w:sz w:val="18"/>
                <w:szCs w:val="18"/>
              </w:rPr>
            </w:pPr>
            <w:r w:rsidRPr="00396D3A">
              <w:rPr>
                <w:rFonts w:ascii="Arial" w:hAnsi="Arial" w:cs="Arial"/>
                <w:sz w:val="18"/>
                <w:szCs w:val="18"/>
              </w:rPr>
              <w:t>Regional</w:t>
            </w:r>
          </w:p>
        </w:tc>
      </w:tr>
      <w:tr w:rsidR="00F2521F" w:rsidRPr="00396D3A" w14:paraId="26DD2344" w14:textId="77777777" w:rsidTr="007370D4">
        <w:tc>
          <w:tcPr>
            <w:tcW w:w="3736" w:type="dxa"/>
          </w:tcPr>
          <w:p w14:paraId="035B230D" w14:textId="77777777" w:rsidR="00F2521F" w:rsidRPr="00396D3A" w:rsidRDefault="00F2521F" w:rsidP="002C19A9">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TC Name:</w:t>
            </w:r>
          </w:p>
        </w:tc>
        <w:tc>
          <w:tcPr>
            <w:tcW w:w="4426" w:type="dxa"/>
          </w:tcPr>
          <w:p w14:paraId="5A5C6D62" w14:textId="77777777" w:rsidR="00F2521F" w:rsidRPr="00396D3A" w:rsidRDefault="00B06FFB" w:rsidP="00396D3A">
            <w:pPr>
              <w:spacing w:before="60" w:after="60"/>
              <w:rPr>
                <w:rFonts w:ascii="Arial" w:hAnsi="Arial" w:cs="Arial"/>
                <w:sz w:val="18"/>
                <w:szCs w:val="18"/>
              </w:rPr>
            </w:pPr>
            <w:r>
              <w:rPr>
                <w:rFonts w:ascii="Arial" w:hAnsi="Arial" w:cs="Arial"/>
                <w:sz w:val="18"/>
                <w:szCs w:val="18"/>
              </w:rPr>
              <w:t>Management, operation</w:t>
            </w:r>
            <w:r w:rsidR="002513AD">
              <w:rPr>
                <w:rFonts w:ascii="Arial" w:hAnsi="Arial" w:cs="Arial"/>
                <w:sz w:val="18"/>
                <w:szCs w:val="18"/>
              </w:rPr>
              <w:t>, improvements</w:t>
            </w:r>
            <w:r w:rsidR="0003559A">
              <w:rPr>
                <w:rFonts w:ascii="Arial" w:hAnsi="Arial" w:cs="Arial"/>
                <w:sz w:val="18"/>
                <w:szCs w:val="18"/>
              </w:rPr>
              <w:t>, s</w:t>
            </w:r>
            <w:r w:rsidR="000C023E" w:rsidRPr="00396D3A">
              <w:rPr>
                <w:rFonts w:ascii="Arial" w:hAnsi="Arial" w:cs="Arial"/>
                <w:sz w:val="18"/>
                <w:szCs w:val="18"/>
              </w:rPr>
              <w:t xml:space="preserve">upport of </w:t>
            </w:r>
            <w:r w:rsidR="00BF6D3A" w:rsidRPr="00396D3A">
              <w:rPr>
                <w:rFonts w:ascii="Arial" w:hAnsi="Arial" w:cs="Arial"/>
                <w:sz w:val="18"/>
                <w:szCs w:val="18"/>
              </w:rPr>
              <w:t xml:space="preserve">the </w:t>
            </w:r>
            <w:r w:rsidR="00796895" w:rsidRPr="00396D3A">
              <w:rPr>
                <w:rFonts w:ascii="Arial" w:hAnsi="Arial" w:cs="Arial"/>
                <w:sz w:val="18"/>
                <w:szCs w:val="18"/>
              </w:rPr>
              <w:t>implementation</w:t>
            </w:r>
            <w:r w:rsidR="000C023E" w:rsidRPr="00396D3A">
              <w:rPr>
                <w:rFonts w:ascii="Arial" w:hAnsi="Arial" w:cs="Arial"/>
                <w:sz w:val="18"/>
                <w:szCs w:val="18"/>
              </w:rPr>
              <w:t xml:space="preserve"> </w:t>
            </w:r>
            <w:r w:rsidR="001D4E22">
              <w:rPr>
                <w:rFonts w:ascii="Arial" w:hAnsi="Arial" w:cs="Arial"/>
                <w:sz w:val="18"/>
                <w:szCs w:val="18"/>
              </w:rPr>
              <w:t xml:space="preserve">and dissemination </w:t>
            </w:r>
            <w:r w:rsidR="000C023E" w:rsidRPr="00396D3A">
              <w:rPr>
                <w:rFonts w:ascii="Arial" w:hAnsi="Arial" w:cs="Arial"/>
                <w:sz w:val="18"/>
                <w:szCs w:val="18"/>
              </w:rPr>
              <w:t>of the AquaRating</w:t>
            </w:r>
            <w:r w:rsidR="007678EB">
              <w:rPr>
                <w:rFonts w:ascii="Arial" w:hAnsi="Arial" w:cs="Arial"/>
                <w:sz w:val="18"/>
                <w:szCs w:val="18"/>
              </w:rPr>
              <w:t xml:space="preserve"> Program</w:t>
            </w:r>
            <w:r w:rsidR="000C023E" w:rsidRPr="00396D3A">
              <w:rPr>
                <w:rFonts w:ascii="Arial" w:hAnsi="Arial" w:cs="Arial"/>
                <w:sz w:val="18"/>
                <w:szCs w:val="18"/>
              </w:rPr>
              <w:t xml:space="preserve"> </w:t>
            </w:r>
          </w:p>
        </w:tc>
      </w:tr>
      <w:tr w:rsidR="00F2521F" w:rsidRPr="00396D3A" w14:paraId="2ED1A20A" w14:textId="77777777" w:rsidTr="007370D4">
        <w:tc>
          <w:tcPr>
            <w:tcW w:w="3736" w:type="dxa"/>
          </w:tcPr>
          <w:p w14:paraId="0C9EB94E" w14:textId="77777777" w:rsidR="00F2521F" w:rsidRPr="00396D3A" w:rsidRDefault="00F2521F" w:rsidP="002C19A9">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TC Number:</w:t>
            </w:r>
          </w:p>
        </w:tc>
        <w:tc>
          <w:tcPr>
            <w:tcW w:w="4426" w:type="dxa"/>
          </w:tcPr>
          <w:p w14:paraId="40379165" w14:textId="77777777" w:rsidR="00F2521F" w:rsidRPr="00396D3A" w:rsidRDefault="00BF63CA" w:rsidP="007769D3">
            <w:pPr>
              <w:spacing w:before="60" w:after="60"/>
              <w:rPr>
                <w:rFonts w:ascii="Arial" w:hAnsi="Arial" w:cs="Arial"/>
                <w:sz w:val="18"/>
                <w:szCs w:val="18"/>
              </w:rPr>
            </w:pPr>
            <w:r>
              <w:rPr>
                <w:rFonts w:ascii="Arial" w:hAnsi="Arial" w:cs="Arial"/>
                <w:sz w:val="18"/>
                <w:szCs w:val="18"/>
              </w:rPr>
              <w:t>RG-T3377</w:t>
            </w:r>
          </w:p>
        </w:tc>
      </w:tr>
      <w:tr w:rsidR="00F2521F" w:rsidRPr="00396D3A" w14:paraId="5E0076FA" w14:textId="77777777" w:rsidTr="007370D4">
        <w:tc>
          <w:tcPr>
            <w:tcW w:w="3736" w:type="dxa"/>
          </w:tcPr>
          <w:p w14:paraId="3B422503" w14:textId="77777777" w:rsidR="00F2521F" w:rsidRPr="00396D3A" w:rsidRDefault="00F2521F" w:rsidP="002C19A9">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Team Leader/Members:</w:t>
            </w:r>
          </w:p>
        </w:tc>
        <w:tc>
          <w:tcPr>
            <w:tcW w:w="4426" w:type="dxa"/>
          </w:tcPr>
          <w:p w14:paraId="7392B396" w14:textId="528EFD40" w:rsidR="00F2521F" w:rsidRPr="00396D3A" w:rsidRDefault="000C023E" w:rsidP="00396D3A">
            <w:pPr>
              <w:spacing w:before="60" w:after="60"/>
              <w:rPr>
                <w:rFonts w:ascii="Arial" w:hAnsi="Arial" w:cs="Arial"/>
                <w:sz w:val="18"/>
                <w:szCs w:val="18"/>
              </w:rPr>
            </w:pPr>
            <w:r w:rsidRPr="00396D3A">
              <w:rPr>
                <w:rFonts w:ascii="Arial" w:hAnsi="Arial" w:cs="Arial"/>
                <w:sz w:val="18"/>
                <w:szCs w:val="18"/>
              </w:rPr>
              <w:t>Team Leader: Corinne Cathala (INE/WSA)</w:t>
            </w:r>
            <w:r w:rsidR="0089204E" w:rsidRPr="00396D3A">
              <w:rPr>
                <w:rFonts w:ascii="Arial" w:hAnsi="Arial" w:cs="Arial"/>
                <w:sz w:val="18"/>
                <w:szCs w:val="18"/>
              </w:rPr>
              <w:t xml:space="preserve">; Alternate Team Leader: </w:t>
            </w:r>
            <w:r w:rsidR="00104138">
              <w:rPr>
                <w:rFonts w:ascii="Arial" w:hAnsi="Arial" w:cs="Arial"/>
                <w:sz w:val="18"/>
                <w:szCs w:val="18"/>
              </w:rPr>
              <w:t>Keisuke</w:t>
            </w:r>
            <w:r w:rsidR="00FC7E97">
              <w:rPr>
                <w:rFonts w:ascii="Arial" w:hAnsi="Arial" w:cs="Arial"/>
                <w:sz w:val="18"/>
                <w:szCs w:val="18"/>
              </w:rPr>
              <w:t xml:space="preserve"> Sasaki (</w:t>
            </w:r>
            <w:r w:rsidR="0089204E" w:rsidRPr="00396D3A">
              <w:rPr>
                <w:rFonts w:ascii="Arial" w:hAnsi="Arial" w:cs="Arial"/>
                <w:sz w:val="18"/>
                <w:szCs w:val="18"/>
              </w:rPr>
              <w:t>INE/WSA);</w:t>
            </w:r>
            <w:r w:rsidRPr="00396D3A">
              <w:rPr>
                <w:rFonts w:ascii="Arial" w:hAnsi="Arial" w:cs="Arial"/>
                <w:sz w:val="18"/>
                <w:szCs w:val="18"/>
              </w:rPr>
              <w:t xml:space="preserve"> Team members: </w:t>
            </w:r>
            <w:r w:rsidR="0007709C">
              <w:rPr>
                <w:rFonts w:ascii="Arial" w:hAnsi="Arial" w:cs="Arial"/>
                <w:sz w:val="18"/>
                <w:szCs w:val="18"/>
              </w:rPr>
              <w:t>Federico Peñalos</w:t>
            </w:r>
            <w:r w:rsidR="00803803">
              <w:rPr>
                <w:rFonts w:ascii="Arial" w:hAnsi="Arial" w:cs="Arial"/>
                <w:sz w:val="18"/>
                <w:szCs w:val="18"/>
              </w:rPr>
              <w:t>a</w:t>
            </w:r>
            <w:r w:rsidR="0007709C">
              <w:rPr>
                <w:rFonts w:ascii="Arial" w:hAnsi="Arial" w:cs="Arial"/>
                <w:sz w:val="18"/>
                <w:szCs w:val="18"/>
              </w:rPr>
              <w:t xml:space="preserve"> </w:t>
            </w:r>
            <w:r w:rsidR="005A11AB" w:rsidRPr="00396D3A">
              <w:rPr>
                <w:rFonts w:ascii="Arial" w:hAnsi="Arial" w:cs="Arial"/>
                <w:sz w:val="18"/>
                <w:szCs w:val="18"/>
              </w:rPr>
              <w:t xml:space="preserve">and Irene Cartin </w:t>
            </w:r>
            <w:r w:rsidRPr="00396D3A">
              <w:rPr>
                <w:rFonts w:ascii="Arial" w:hAnsi="Arial" w:cs="Arial"/>
                <w:sz w:val="18"/>
                <w:szCs w:val="18"/>
              </w:rPr>
              <w:t>(INE/WSA</w:t>
            </w:r>
            <w:r w:rsidR="004E77D5">
              <w:rPr>
                <w:rFonts w:ascii="Arial" w:hAnsi="Arial" w:cs="Arial"/>
                <w:sz w:val="18"/>
                <w:szCs w:val="18"/>
              </w:rPr>
              <w:t>)</w:t>
            </w:r>
            <w:r w:rsidR="007370D4">
              <w:rPr>
                <w:rFonts w:ascii="Arial" w:hAnsi="Arial" w:cs="Arial"/>
                <w:sz w:val="18"/>
                <w:szCs w:val="18"/>
              </w:rPr>
              <w:t>; Carolina Veríssimo da Silva (LE</w:t>
            </w:r>
            <w:r w:rsidR="00605912">
              <w:rPr>
                <w:rFonts w:ascii="Arial" w:hAnsi="Arial" w:cs="Arial"/>
                <w:sz w:val="18"/>
                <w:szCs w:val="18"/>
              </w:rPr>
              <w:t>G</w:t>
            </w:r>
            <w:r w:rsidR="007370D4">
              <w:rPr>
                <w:rFonts w:ascii="Arial" w:hAnsi="Arial" w:cs="Arial"/>
                <w:sz w:val="18"/>
                <w:szCs w:val="18"/>
              </w:rPr>
              <w:t>/SGO)</w:t>
            </w:r>
          </w:p>
        </w:tc>
      </w:tr>
      <w:tr w:rsidR="00F2521F" w:rsidRPr="00396D3A" w14:paraId="77980714" w14:textId="77777777" w:rsidTr="007370D4">
        <w:tc>
          <w:tcPr>
            <w:tcW w:w="3736" w:type="dxa"/>
          </w:tcPr>
          <w:p w14:paraId="52E14DD4" w14:textId="77777777" w:rsidR="00F2521F" w:rsidRPr="00396D3A" w:rsidRDefault="00F2521F" w:rsidP="002C19A9">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Indicate if: Operational Support, Client Support, or Research &amp; Dissemination.</w:t>
            </w:r>
          </w:p>
        </w:tc>
        <w:tc>
          <w:tcPr>
            <w:tcW w:w="4426" w:type="dxa"/>
          </w:tcPr>
          <w:p w14:paraId="2873A545" w14:textId="77777777" w:rsidR="00F2521F" w:rsidRPr="00396D3A" w:rsidRDefault="000C023E" w:rsidP="00396D3A">
            <w:pPr>
              <w:spacing w:before="60" w:after="60"/>
              <w:rPr>
                <w:rFonts w:ascii="Arial" w:hAnsi="Arial" w:cs="Arial"/>
                <w:sz w:val="18"/>
                <w:szCs w:val="18"/>
              </w:rPr>
            </w:pPr>
            <w:r w:rsidRPr="00396D3A">
              <w:rPr>
                <w:rFonts w:ascii="Arial" w:hAnsi="Arial" w:cs="Arial"/>
                <w:sz w:val="18"/>
                <w:szCs w:val="18"/>
              </w:rPr>
              <w:t>Research &amp; Dissemination</w:t>
            </w:r>
          </w:p>
        </w:tc>
      </w:tr>
      <w:tr w:rsidR="00F2521F" w:rsidRPr="00396D3A" w14:paraId="5093290E" w14:textId="77777777" w:rsidTr="007370D4">
        <w:tc>
          <w:tcPr>
            <w:tcW w:w="3736" w:type="dxa"/>
          </w:tcPr>
          <w:p w14:paraId="3FF5BAF8" w14:textId="77777777" w:rsidR="00F2521F" w:rsidRPr="00396D3A" w:rsidRDefault="00F2521F" w:rsidP="002C19A9">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Date of TC Abstract:</w:t>
            </w:r>
          </w:p>
        </w:tc>
        <w:tc>
          <w:tcPr>
            <w:tcW w:w="4426" w:type="dxa"/>
          </w:tcPr>
          <w:p w14:paraId="511292B6" w14:textId="77777777" w:rsidR="00F2521F" w:rsidRPr="00396D3A" w:rsidRDefault="00350EE1" w:rsidP="00396D3A">
            <w:pPr>
              <w:spacing w:before="60" w:after="60"/>
              <w:rPr>
                <w:rFonts w:ascii="Arial" w:hAnsi="Arial" w:cs="Arial"/>
                <w:sz w:val="18"/>
                <w:szCs w:val="18"/>
              </w:rPr>
            </w:pPr>
            <w:r>
              <w:rPr>
                <w:rFonts w:ascii="Arial" w:hAnsi="Arial" w:cs="Arial"/>
                <w:sz w:val="18"/>
                <w:szCs w:val="18"/>
              </w:rPr>
              <w:t>September 4th</w:t>
            </w:r>
            <w:r w:rsidR="00792A3F" w:rsidRPr="00396D3A">
              <w:rPr>
                <w:rFonts w:ascii="Arial" w:hAnsi="Arial" w:cs="Arial"/>
                <w:sz w:val="18"/>
                <w:szCs w:val="18"/>
              </w:rPr>
              <w:t>, 201</w:t>
            </w:r>
            <w:r w:rsidR="00910CA1">
              <w:rPr>
                <w:rFonts w:ascii="Arial" w:hAnsi="Arial" w:cs="Arial"/>
                <w:sz w:val="18"/>
                <w:szCs w:val="18"/>
              </w:rPr>
              <w:t>8</w:t>
            </w:r>
          </w:p>
        </w:tc>
      </w:tr>
      <w:tr w:rsidR="00F2521F" w:rsidRPr="00396D3A" w14:paraId="4B2FB2F4" w14:textId="77777777" w:rsidTr="007370D4">
        <w:tc>
          <w:tcPr>
            <w:tcW w:w="3736" w:type="dxa"/>
          </w:tcPr>
          <w:p w14:paraId="389AEF3A" w14:textId="77777777" w:rsidR="00F2521F" w:rsidRPr="00396D3A" w:rsidRDefault="00F2521F" w:rsidP="002C19A9">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Beneficiary (countries or entities which are the recipient of the technical assistance):</w:t>
            </w:r>
          </w:p>
        </w:tc>
        <w:tc>
          <w:tcPr>
            <w:tcW w:w="4426" w:type="dxa"/>
          </w:tcPr>
          <w:p w14:paraId="2AD8688D" w14:textId="77777777" w:rsidR="00F2521F" w:rsidRPr="00396D3A" w:rsidRDefault="000C023E" w:rsidP="00396D3A">
            <w:pPr>
              <w:spacing w:before="60" w:after="60"/>
              <w:rPr>
                <w:rFonts w:ascii="Arial" w:hAnsi="Arial" w:cs="Arial"/>
                <w:sz w:val="18"/>
                <w:szCs w:val="18"/>
              </w:rPr>
            </w:pPr>
            <w:r w:rsidRPr="00396D3A">
              <w:rPr>
                <w:rFonts w:ascii="Arial" w:hAnsi="Arial" w:cs="Arial"/>
                <w:sz w:val="18"/>
                <w:szCs w:val="18"/>
              </w:rPr>
              <w:t>Regional</w:t>
            </w:r>
          </w:p>
        </w:tc>
      </w:tr>
      <w:tr w:rsidR="00F2521F" w:rsidRPr="00396D3A" w14:paraId="5F992F77" w14:textId="77777777" w:rsidTr="007370D4">
        <w:tc>
          <w:tcPr>
            <w:tcW w:w="3736" w:type="dxa"/>
          </w:tcPr>
          <w:p w14:paraId="7FF10A49" w14:textId="77777777" w:rsidR="00F2521F" w:rsidRPr="00396D3A" w:rsidRDefault="00F2521F" w:rsidP="00396D3A">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 xml:space="preserve">Executing Agency and </w:t>
            </w:r>
            <w:r w:rsidR="00396D3A" w:rsidRPr="00396D3A">
              <w:rPr>
                <w:rFonts w:ascii="Arial" w:hAnsi="Arial" w:cs="Arial"/>
                <w:sz w:val="18"/>
                <w:szCs w:val="18"/>
              </w:rPr>
              <w:t>contact name:</w:t>
            </w:r>
          </w:p>
        </w:tc>
        <w:tc>
          <w:tcPr>
            <w:tcW w:w="4426" w:type="dxa"/>
          </w:tcPr>
          <w:p w14:paraId="5D2495F1" w14:textId="4B53DDD1" w:rsidR="00F2521F" w:rsidRPr="00396D3A" w:rsidRDefault="007370D4" w:rsidP="00396D3A">
            <w:pPr>
              <w:spacing w:before="60" w:after="60"/>
              <w:rPr>
                <w:rFonts w:ascii="Arial" w:hAnsi="Arial" w:cs="Arial"/>
                <w:sz w:val="18"/>
                <w:szCs w:val="18"/>
              </w:rPr>
            </w:pPr>
            <w:r>
              <w:rPr>
                <w:rFonts w:ascii="Arial" w:hAnsi="Arial" w:cs="Arial"/>
                <w:sz w:val="18"/>
                <w:szCs w:val="18"/>
              </w:rPr>
              <w:t>Inter-American Development Bank, through the Water and Sanitation Division of the Infrastructure and Energy Sector</w:t>
            </w:r>
            <w:r w:rsidR="0001007F" w:rsidRPr="00396D3A">
              <w:rPr>
                <w:rFonts w:ascii="Arial" w:hAnsi="Arial" w:cs="Arial"/>
                <w:sz w:val="18"/>
                <w:szCs w:val="18"/>
              </w:rPr>
              <w:t xml:space="preserve"> (INE/WSA)</w:t>
            </w:r>
          </w:p>
        </w:tc>
      </w:tr>
      <w:tr w:rsidR="00F2521F" w:rsidRPr="00396D3A" w14:paraId="11755402" w14:textId="77777777" w:rsidTr="007370D4">
        <w:tc>
          <w:tcPr>
            <w:tcW w:w="3736" w:type="dxa"/>
          </w:tcPr>
          <w:p w14:paraId="12BEDE2C" w14:textId="77777777" w:rsidR="00F2521F" w:rsidRPr="00396D3A" w:rsidRDefault="00F2521F" w:rsidP="002C19A9">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IDB Funding Requested:</w:t>
            </w:r>
          </w:p>
        </w:tc>
        <w:tc>
          <w:tcPr>
            <w:tcW w:w="4426" w:type="dxa"/>
          </w:tcPr>
          <w:p w14:paraId="3F5DEDB7" w14:textId="6B7168A0" w:rsidR="00F2521F" w:rsidRPr="00396D3A" w:rsidRDefault="00391F19" w:rsidP="00396D3A">
            <w:pPr>
              <w:spacing w:before="60" w:after="60"/>
              <w:rPr>
                <w:rFonts w:ascii="Arial" w:hAnsi="Arial" w:cs="Arial"/>
                <w:sz w:val="18"/>
                <w:szCs w:val="18"/>
              </w:rPr>
            </w:pPr>
            <w:r w:rsidRPr="00396D3A">
              <w:rPr>
                <w:rFonts w:ascii="Arial" w:hAnsi="Arial" w:cs="Arial"/>
                <w:sz w:val="18"/>
                <w:szCs w:val="18"/>
              </w:rPr>
              <w:t>US$</w:t>
            </w:r>
            <w:r w:rsidR="001E0019">
              <w:rPr>
                <w:rFonts w:ascii="Arial" w:hAnsi="Arial" w:cs="Arial"/>
                <w:sz w:val="18"/>
                <w:szCs w:val="18"/>
              </w:rPr>
              <w:t>5</w:t>
            </w:r>
            <w:r w:rsidRPr="00396D3A">
              <w:rPr>
                <w:rFonts w:ascii="Arial" w:hAnsi="Arial" w:cs="Arial"/>
                <w:sz w:val="18"/>
                <w:szCs w:val="18"/>
              </w:rPr>
              <w:t>00,000</w:t>
            </w:r>
          </w:p>
        </w:tc>
      </w:tr>
      <w:tr w:rsidR="00F2521F" w:rsidRPr="00396D3A" w14:paraId="5682D995" w14:textId="77777777" w:rsidTr="007370D4">
        <w:tc>
          <w:tcPr>
            <w:tcW w:w="3736" w:type="dxa"/>
          </w:tcPr>
          <w:p w14:paraId="5D2491FD" w14:textId="77777777" w:rsidR="00F2521F" w:rsidRPr="00396D3A" w:rsidRDefault="00F2521F" w:rsidP="002C19A9">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Local counterpart funding, if any:</w:t>
            </w:r>
          </w:p>
        </w:tc>
        <w:tc>
          <w:tcPr>
            <w:tcW w:w="4426" w:type="dxa"/>
          </w:tcPr>
          <w:p w14:paraId="5F0178C4" w14:textId="77777777" w:rsidR="00F2521F" w:rsidRPr="00396D3A" w:rsidRDefault="0001007F" w:rsidP="00396D3A">
            <w:pPr>
              <w:spacing w:before="60" w:after="60"/>
              <w:rPr>
                <w:rFonts w:ascii="Arial" w:hAnsi="Arial" w:cs="Arial"/>
                <w:sz w:val="18"/>
                <w:szCs w:val="18"/>
              </w:rPr>
            </w:pPr>
            <w:r w:rsidRPr="00396D3A">
              <w:rPr>
                <w:rFonts w:ascii="Arial" w:hAnsi="Arial" w:cs="Arial"/>
                <w:sz w:val="18"/>
                <w:szCs w:val="18"/>
              </w:rPr>
              <w:t>N/A</w:t>
            </w:r>
          </w:p>
        </w:tc>
      </w:tr>
      <w:tr w:rsidR="00F2521F" w:rsidRPr="00396D3A" w14:paraId="05BF2D9E" w14:textId="77777777" w:rsidTr="007370D4">
        <w:tc>
          <w:tcPr>
            <w:tcW w:w="3736" w:type="dxa"/>
          </w:tcPr>
          <w:p w14:paraId="74E215EC" w14:textId="77777777" w:rsidR="00F2521F" w:rsidRPr="00396D3A" w:rsidRDefault="00F2521F" w:rsidP="002C19A9">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Disbursement period (which includes execution period):</w:t>
            </w:r>
          </w:p>
        </w:tc>
        <w:tc>
          <w:tcPr>
            <w:tcW w:w="4426" w:type="dxa"/>
          </w:tcPr>
          <w:p w14:paraId="206FF50C" w14:textId="77777777" w:rsidR="00DF0B28" w:rsidRDefault="002B124E" w:rsidP="002B124E">
            <w:pPr>
              <w:spacing w:before="60" w:after="60"/>
              <w:rPr>
                <w:rFonts w:ascii="Arial" w:hAnsi="Arial" w:cs="Arial"/>
                <w:sz w:val="18"/>
                <w:szCs w:val="18"/>
              </w:rPr>
            </w:pPr>
            <w:r>
              <w:rPr>
                <w:rFonts w:ascii="Arial" w:hAnsi="Arial" w:cs="Arial"/>
                <w:sz w:val="18"/>
                <w:szCs w:val="18"/>
              </w:rPr>
              <w:t>40</w:t>
            </w:r>
            <w:r w:rsidR="00391F19" w:rsidRPr="00396D3A">
              <w:rPr>
                <w:rFonts w:ascii="Arial" w:hAnsi="Arial" w:cs="Arial"/>
                <w:sz w:val="18"/>
                <w:szCs w:val="18"/>
              </w:rPr>
              <w:t xml:space="preserve"> months</w:t>
            </w:r>
            <w:r>
              <w:rPr>
                <w:rFonts w:ascii="Arial" w:hAnsi="Arial" w:cs="Arial"/>
                <w:sz w:val="18"/>
                <w:szCs w:val="18"/>
              </w:rPr>
              <w:t xml:space="preserve"> </w:t>
            </w:r>
          </w:p>
          <w:p w14:paraId="0218A002" w14:textId="77777777" w:rsidR="00F2521F" w:rsidRPr="00396D3A" w:rsidRDefault="002B124E" w:rsidP="00DF0B28">
            <w:pPr>
              <w:spacing w:before="60" w:after="60"/>
              <w:rPr>
                <w:rFonts w:ascii="Arial" w:hAnsi="Arial" w:cs="Arial"/>
                <w:sz w:val="18"/>
                <w:szCs w:val="18"/>
              </w:rPr>
            </w:pPr>
            <w:r>
              <w:rPr>
                <w:rFonts w:ascii="Arial" w:hAnsi="Arial" w:cs="Arial"/>
                <w:sz w:val="18"/>
                <w:szCs w:val="18"/>
              </w:rPr>
              <w:t>(Execution: 36 months)</w:t>
            </w:r>
          </w:p>
        </w:tc>
      </w:tr>
      <w:tr w:rsidR="00F2521F" w:rsidRPr="00396D3A" w14:paraId="10BBAD3D" w14:textId="77777777" w:rsidTr="007370D4">
        <w:tc>
          <w:tcPr>
            <w:tcW w:w="3736" w:type="dxa"/>
          </w:tcPr>
          <w:p w14:paraId="1245C56B" w14:textId="77777777" w:rsidR="00F2521F" w:rsidRPr="00396D3A" w:rsidRDefault="00F2521F" w:rsidP="002C19A9">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Required start date:</w:t>
            </w:r>
          </w:p>
        </w:tc>
        <w:tc>
          <w:tcPr>
            <w:tcW w:w="4426" w:type="dxa"/>
          </w:tcPr>
          <w:p w14:paraId="19B35B20" w14:textId="77777777" w:rsidR="00F2521F" w:rsidRPr="00396D3A" w:rsidRDefault="00B67D8C" w:rsidP="00396D3A">
            <w:pPr>
              <w:spacing w:before="60" w:after="60"/>
              <w:rPr>
                <w:rFonts w:ascii="Arial" w:hAnsi="Arial" w:cs="Arial"/>
                <w:sz w:val="18"/>
                <w:szCs w:val="18"/>
              </w:rPr>
            </w:pPr>
            <w:r>
              <w:rPr>
                <w:rFonts w:ascii="Arial" w:hAnsi="Arial" w:cs="Arial"/>
                <w:sz w:val="18"/>
                <w:szCs w:val="18"/>
              </w:rPr>
              <w:t xml:space="preserve">February </w:t>
            </w:r>
            <w:r w:rsidR="00BF63CA">
              <w:rPr>
                <w:rFonts w:ascii="Arial" w:hAnsi="Arial" w:cs="Arial"/>
                <w:sz w:val="18"/>
                <w:szCs w:val="18"/>
              </w:rPr>
              <w:t>28</w:t>
            </w:r>
            <w:r w:rsidR="00F73660" w:rsidRPr="00396D3A">
              <w:rPr>
                <w:rFonts w:ascii="Arial" w:hAnsi="Arial" w:cs="Arial"/>
                <w:sz w:val="18"/>
                <w:szCs w:val="18"/>
              </w:rPr>
              <w:t>, 201</w:t>
            </w:r>
            <w:r w:rsidR="003F6FFB">
              <w:rPr>
                <w:rFonts w:ascii="Arial" w:hAnsi="Arial" w:cs="Arial"/>
                <w:sz w:val="18"/>
                <w:szCs w:val="18"/>
              </w:rPr>
              <w:t>9</w:t>
            </w:r>
          </w:p>
        </w:tc>
      </w:tr>
      <w:tr w:rsidR="00F2521F" w:rsidRPr="00396D3A" w14:paraId="22A57E5C" w14:textId="77777777" w:rsidTr="007370D4">
        <w:tc>
          <w:tcPr>
            <w:tcW w:w="3736" w:type="dxa"/>
          </w:tcPr>
          <w:p w14:paraId="0AF1A763" w14:textId="77777777" w:rsidR="00F2521F" w:rsidRPr="00396D3A" w:rsidRDefault="00F2521F" w:rsidP="002C19A9">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Types of consultants (firm or individual consultants):</w:t>
            </w:r>
          </w:p>
        </w:tc>
        <w:tc>
          <w:tcPr>
            <w:tcW w:w="4426" w:type="dxa"/>
          </w:tcPr>
          <w:p w14:paraId="73AF2EDB" w14:textId="77777777" w:rsidR="00F2521F" w:rsidRPr="00396D3A" w:rsidRDefault="00F73660" w:rsidP="00396D3A">
            <w:pPr>
              <w:spacing w:before="60" w:after="60"/>
              <w:rPr>
                <w:rFonts w:ascii="Arial" w:hAnsi="Arial" w:cs="Arial"/>
                <w:sz w:val="18"/>
                <w:szCs w:val="18"/>
              </w:rPr>
            </w:pPr>
            <w:r w:rsidRPr="00396D3A">
              <w:rPr>
                <w:rFonts w:ascii="Arial" w:hAnsi="Arial" w:cs="Arial"/>
                <w:sz w:val="18"/>
                <w:szCs w:val="18"/>
              </w:rPr>
              <w:t>Firm and individual consultants</w:t>
            </w:r>
          </w:p>
        </w:tc>
      </w:tr>
      <w:tr w:rsidR="00F2521F" w:rsidRPr="00396D3A" w14:paraId="386C1DE8" w14:textId="77777777" w:rsidTr="007370D4">
        <w:tc>
          <w:tcPr>
            <w:tcW w:w="3736" w:type="dxa"/>
          </w:tcPr>
          <w:p w14:paraId="41ED55C8" w14:textId="77777777" w:rsidR="00F2521F" w:rsidRPr="00396D3A" w:rsidRDefault="00F2521F" w:rsidP="002C19A9">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Prepared by Unit:</w:t>
            </w:r>
          </w:p>
        </w:tc>
        <w:tc>
          <w:tcPr>
            <w:tcW w:w="4426" w:type="dxa"/>
          </w:tcPr>
          <w:p w14:paraId="4900A2A3" w14:textId="77777777" w:rsidR="00F2521F" w:rsidRPr="00396D3A" w:rsidRDefault="0001007F" w:rsidP="00396D3A">
            <w:pPr>
              <w:spacing w:before="60" w:after="60"/>
              <w:rPr>
                <w:rFonts w:ascii="Arial" w:hAnsi="Arial" w:cs="Arial"/>
                <w:sz w:val="18"/>
                <w:szCs w:val="18"/>
              </w:rPr>
            </w:pPr>
            <w:r w:rsidRPr="00396D3A">
              <w:rPr>
                <w:rFonts w:ascii="Arial" w:hAnsi="Arial" w:cs="Arial"/>
                <w:sz w:val="18"/>
                <w:szCs w:val="18"/>
              </w:rPr>
              <w:t>INE/WSA</w:t>
            </w:r>
          </w:p>
        </w:tc>
      </w:tr>
      <w:tr w:rsidR="00F2521F" w:rsidRPr="00396D3A" w14:paraId="4621A85B" w14:textId="77777777" w:rsidTr="007370D4">
        <w:tc>
          <w:tcPr>
            <w:tcW w:w="3736" w:type="dxa"/>
          </w:tcPr>
          <w:p w14:paraId="26C42D31" w14:textId="77777777" w:rsidR="00F2521F" w:rsidRPr="00396D3A" w:rsidRDefault="00F2521F" w:rsidP="002C19A9">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Unit of Disbursement Responsibility:</w:t>
            </w:r>
          </w:p>
        </w:tc>
        <w:tc>
          <w:tcPr>
            <w:tcW w:w="4426" w:type="dxa"/>
          </w:tcPr>
          <w:p w14:paraId="4F067775" w14:textId="77777777" w:rsidR="00F2521F" w:rsidRPr="00396D3A" w:rsidRDefault="0001007F" w:rsidP="00396D3A">
            <w:pPr>
              <w:spacing w:before="60" w:after="60"/>
              <w:rPr>
                <w:rFonts w:ascii="Arial" w:hAnsi="Arial" w:cs="Arial"/>
                <w:sz w:val="18"/>
                <w:szCs w:val="18"/>
              </w:rPr>
            </w:pPr>
            <w:r w:rsidRPr="00396D3A">
              <w:rPr>
                <w:rFonts w:ascii="Arial" w:hAnsi="Arial" w:cs="Arial"/>
                <w:sz w:val="18"/>
                <w:szCs w:val="18"/>
              </w:rPr>
              <w:t>INE/WSA</w:t>
            </w:r>
          </w:p>
        </w:tc>
      </w:tr>
      <w:tr w:rsidR="00F2521F" w:rsidRPr="00396D3A" w14:paraId="2C1C1C21" w14:textId="77777777" w:rsidTr="007370D4">
        <w:tc>
          <w:tcPr>
            <w:tcW w:w="3736" w:type="dxa"/>
          </w:tcPr>
          <w:p w14:paraId="144497A2" w14:textId="77777777" w:rsidR="00F2521F" w:rsidRPr="00396D3A" w:rsidRDefault="00F2521F" w:rsidP="002C19A9">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Included in Country Strategy (y/n);</w:t>
            </w:r>
          </w:p>
        </w:tc>
        <w:tc>
          <w:tcPr>
            <w:tcW w:w="4426" w:type="dxa"/>
          </w:tcPr>
          <w:p w14:paraId="2679DCE6" w14:textId="77777777" w:rsidR="00F2521F" w:rsidRPr="00396D3A" w:rsidRDefault="0001007F" w:rsidP="00396D3A">
            <w:pPr>
              <w:spacing w:before="60" w:after="60"/>
              <w:rPr>
                <w:rFonts w:ascii="Arial" w:hAnsi="Arial" w:cs="Arial"/>
                <w:sz w:val="18"/>
                <w:szCs w:val="18"/>
              </w:rPr>
            </w:pPr>
            <w:r w:rsidRPr="00396D3A">
              <w:rPr>
                <w:rFonts w:ascii="Arial" w:hAnsi="Arial" w:cs="Arial"/>
                <w:sz w:val="18"/>
                <w:szCs w:val="18"/>
              </w:rPr>
              <w:t>N/A</w:t>
            </w:r>
          </w:p>
        </w:tc>
      </w:tr>
      <w:tr w:rsidR="0011025F" w:rsidRPr="00396D3A" w14:paraId="60953C8B" w14:textId="77777777" w:rsidTr="007370D4">
        <w:tc>
          <w:tcPr>
            <w:tcW w:w="3736" w:type="dxa"/>
          </w:tcPr>
          <w:p w14:paraId="4D6FD6C9" w14:textId="77777777" w:rsidR="0011025F" w:rsidRPr="00396D3A" w:rsidRDefault="0011025F" w:rsidP="002C19A9">
            <w:pPr>
              <w:pStyle w:val="ListParagraph"/>
              <w:numPr>
                <w:ilvl w:val="0"/>
                <w:numId w:val="2"/>
              </w:numPr>
              <w:spacing w:before="60" w:after="60"/>
              <w:ind w:left="162" w:hanging="162"/>
              <w:jc w:val="both"/>
              <w:rPr>
                <w:rFonts w:ascii="Arial" w:hAnsi="Arial" w:cs="Arial"/>
                <w:sz w:val="18"/>
                <w:szCs w:val="18"/>
              </w:rPr>
            </w:pPr>
            <w:r w:rsidRPr="00396D3A">
              <w:rPr>
                <w:rFonts w:ascii="Arial" w:hAnsi="Arial" w:cs="Arial"/>
                <w:sz w:val="18"/>
                <w:szCs w:val="18"/>
              </w:rPr>
              <w:t>TC included in CPD (y/n):</w:t>
            </w:r>
          </w:p>
        </w:tc>
        <w:tc>
          <w:tcPr>
            <w:tcW w:w="4426" w:type="dxa"/>
          </w:tcPr>
          <w:p w14:paraId="568FAAB8" w14:textId="77777777" w:rsidR="0011025F" w:rsidRPr="00396D3A" w:rsidRDefault="0001007F" w:rsidP="00396D3A">
            <w:pPr>
              <w:spacing w:before="60" w:after="60"/>
              <w:rPr>
                <w:rFonts w:ascii="Arial" w:hAnsi="Arial" w:cs="Arial"/>
                <w:sz w:val="18"/>
                <w:szCs w:val="18"/>
              </w:rPr>
            </w:pPr>
            <w:r w:rsidRPr="00396D3A">
              <w:rPr>
                <w:rFonts w:ascii="Arial" w:hAnsi="Arial" w:cs="Arial"/>
                <w:sz w:val="18"/>
                <w:szCs w:val="18"/>
              </w:rPr>
              <w:t>N/A</w:t>
            </w:r>
          </w:p>
        </w:tc>
      </w:tr>
      <w:tr w:rsidR="00F2521F" w:rsidRPr="00396D3A" w14:paraId="55F2D287" w14:textId="77777777" w:rsidTr="007370D4">
        <w:tc>
          <w:tcPr>
            <w:tcW w:w="3736" w:type="dxa"/>
          </w:tcPr>
          <w:p w14:paraId="58408952" w14:textId="78C7A9D3" w:rsidR="00F2521F" w:rsidRPr="00396D3A" w:rsidRDefault="00416FBD" w:rsidP="002C19A9">
            <w:pPr>
              <w:pStyle w:val="ListParagraph"/>
              <w:numPr>
                <w:ilvl w:val="0"/>
                <w:numId w:val="2"/>
              </w:numPr>
              <w:spacing w:before="60" w:after="60"/>
              <w:ind w:left="162" w:hanging="162"/>
              <w:jc w:val="both"/>
              <w:rPr>
                <w:rFonts w:ascii="Arial" w:hAnsi="Arial" w:cs="Arial"/>
                <w:sz w:val="18"/>
                <w:szCs w:val="18"/>
              </w:rPr>
            </w:pPr>
            <w:r>
              <w:t>Institutional Strategy (document AB-3008)</w:t>
            </w:r>
          </w:p>
        </w:tc>
        <w:tc>
          <w:tcPr>
            <w:tcW w:w="4426" w:type="dxa"/>
          </w:tcPr>
          <w:p w14:paraId="0239FFD8" w14:textId="69DEE2A7" w:rsidR="00F2521F" w:rsidRDefault="00457C75" w:rsidP="00396D3A">
            <w:pPr>
              <w:spacing w:before="60" w:after="60"/>
              <w:rPr>
                <w:rFonts w:ascii="Arial" w:hAnsi="Arial" w:cs="Arial"/>
                <w:sz w:val="18"/>
                <w:szCs w:val="18"/>
              </w:rPr>
            </w:pPr>
            <w:r w:rsidRPr="00416FBD">
              <w:rPr>
                <w:rFonts w:ascii="Arial" w:hAnsi="Arial" w:cs="Arial"/>
                <w:sz w:val="18"/>
                <w:szCs w:val="18"/>
              </w:rPr>
              <w:t>Productivity and innovation</w:t>
            </w:r>
          </w:p>
          <w:p w14:paraId="3EE0ED0D" w14:textId="7FE0C429" w:rsidR="00416FBD" w:rsidRPr="00396D3A" w:rsidRDefault="00416FBD" w:rsidP="00396D3A">
            <w:pPr>
              <w:spacing w:before="60" w:after="60"/>
              <w:rPr>
                <w:rFonts w:ascii="Arial" w:hAnsi="Arial" w:cs="Arial"/>
                <w:sz w:val="18"/>
                <w:szCs w:val="18"/>
              </w:rPr>
            </w:pPr>
            <w:r w:rsidRPr="00416FBD">
              <w:rPr>
                <w:rFonts w:ascii="Arial" w:hAnsi="Arial" w:cs="Arial"/>
                <w:sz w:val="18"/>
                <w:szCs w:val="18"/>
              </w:rPr>
              <w:t>Institutional capacity and rule of law</w:t>
            </w:r>
          </w:p>
        </w:tc>
      </w:tr>
    </w:tbl>
    <w:p w14:paraId="5F8377D5" w14:textId="77777777" w:rsidR="00CF6C4D" w:rsidRPr="00A454FF" w:rsidRDefault="00C43E24" w:rsidP="0093010C">
      <w:pPr>
        <w:pStyle w:val="ListParagraph"/>
        <w:numPr>
          <w:ilvl w:val="0"/>
          <w:numId w:val="5"/>
        </w:numPr>
        <w:spacing w:before="120" w:after="120"/>
        <w:jc w:val="both"/>
        <w:rPr>
          <w:rFonts w:ascii="Arial" w:hAnsi="Arial" w:cs="Arial"/>
          <w:b/>
        </w:rPr>
      </w:pPr>
      <w:r w:rsidRPr="00A454FF">
        <w:rPr>
          <w:rFonts w:ascii="Arial" w:hAnsi="Arial" w:cs="Arial"/>
          <w:b/>
        </w:rPr>
        <w:t>Objective and Justification</w:t>
      </w:r>
      <w:r w:rsidR="00CA272D" w:rsidRPr="00A454FF">
        <w:rPr>
          <w:rFonts w:ascii="Arial" w:hAnsi="Arial" w:cs="Arial"/>
          <w:b/>
        </w:rPr>
        <w:t xml:space="preserve"> </w:t>
      </w:r>
    </w:p>
    <w:p w14:paraId="51990AB5" w14:textId="77777777" w:rsidR="00C73F56" w:rsidRDefault="00C73F56" w:rsidP="00C73F56">
      <w:pPr>
        <w:pStyle w:val="ListParagraph"/>
        <w:spacing w:before="120" w:after="120"/>
        <w:ind w:left="360"/>
        <w:jc w:val="both"/>
        <w:rPr>
          <w:rFonts w:ascii="Arial" w:hAnsi="Arial" w:cs="Arial"/>
        </w:rPr>
      </w:pPr>
    </w:p>
    <w:p w14:paraId="773CA3E8" w14:textId="543DA3BB" w:rsidR="00544A58" w:rsidRPr="00381193" w:rsidRDefault="00160B4C" w:rsidP="00544A58">
      <w:pPr>
        <w:pStyle w:val="ListParagraph"/>
        <w:numPr>
          <w:ilvl w:val="1"/>
          <w:numId w:val="5"/>
        </w:numPr>
        <w:spacing w:before="120" w:after="120"/>
        <w:ind w:left="360" w:hanging="540"/>
        <w:jc w:val="both"/>
        <w:rPr>
          <w:rFonts w:ascii="Arial" w:hAnsi="Arial" w:cs="Arial"/>
        </w:rPr>
      </w:pPr>
      <w:r w:rsidRPr="00381193">
        <w:rPr>
          <w:rFonts w:ascii="Arial" w:hAnsi="Arial" w:cs="Arial"/>
        </w:rPr>
        <w:t xml:space="preserve">AquaRating is an IDB flagship knowledge product </w:t>
      </w:r>
      <w:r w:rsidR="00D04182">
        <w:rPr>
          <w:rFonts w:ascii="Arial" w:hAnsi="Arial" w:cs="Arial"/>
        </w:rPr>
        <w:t>of the Inter-American Development Ba</w:t>
      </w:r>
      <w:r w:rsidR="009E01D3">
        <w:rPr>
          <w:rFonts w:ascii="Arial" w:hAnsi="Arial" w:cs="Arial"/>
        </w:rPr>
        <w:t>nk (IDB</w:t>
      </w:r>
      <w:r w:rsidR="007370D4">
        <w:rPr>
          <w:rFonts w:ascii="Arial" w:hAnsi="Arial" w:cs="Arial"/>
        </w:rPr>
        <w:t xml:space="preserve"> or Bank</w:t>
      </w:r>
      <w:r w:rsidR="009E01D3">
        <w:rPr>
          <w:rFonts w:ascii="Arial" w:hAnsi="Arial" w:cs="Arial"/>
        </w:rPr>
        <w:t>), consisting of a rating system that assesses the performance of water and sanitation utilities</w:t>
      </w:r>
      <w:r w:rsidR="0003559A">
        <w:rPr>
          <w:rFonts w:ascii="Arial" w:hAnsi="Arial" w:cs="Arial"/>
        </w:rPr>
        <w:t xml:space="preserve"> to foster process improvements</w:t>
      </w:r>
      <w:r w:rsidR="009E01D3">
        <w:rPr>
          <w:rFonts w:ascii="Arial" w:hAnsi="Arial" w:cs="Arial"/>
        </w:rPr>
        <w:t xml:space="preserve">. It was </w:t>
      </w:r>
      <w:r w:rsidRPr="00381193">
        <w:rPr>
          <w:rFonts w:ascii="Arial" w:hAnsi="Arial" w:cs="Arial"/>
        </w:rPr>
        <w:t xml:space="preserve">developed </w:t>
      </w:r>
      <w:r w:rsidR="009E01D3">
        <w:rPr>
          <w:rFonts w:ascii="Arial" w:hAnsi="Arial" w:cs="Arial"/>
        </w:rPr>
        <w:t xml:space="preserve">as an initiative of the IDB, in collaboration with the International Water Association (IWA) to apply AquaRating in water and wastewater utilities in Latin America and the Caribbean </w:t>
      </w:r>
      <w:r w:rsidR="007370D4">
        <w:rPr>
          <w:rFonts w:ascii="Arial" w:hAnsi="Arial" w:cs="Arial"/>
        </w:rPr>
        <w:t xml:space="preserve">(LAC) </w:t>
      </w:r>
      <w:r w:rsidR="009E01D3">
        <w:rPr>
          <w:rFonts w:ascii="Arial" w:hAnsi="Arial" w:cs="Arial"/>
        </w:rPr>
        <w:t xml:space="preserve">through the IDB and in the rest of the world through IWA and promote its use.  </w:t>
      </w:r>
      <w:r w:rsidRPr="00381193">
        <w:rPr>
          <w:rFonts w:ascii="Arial" w:hAnsi="Arial" w:cs="Arial"/>
        </w:rPr>
        <w:t>The Bank’s main goal at this point is</w:t>
      </w:r>
      <w:r w:rsidR="00E37FE7" w:rsidRPr="00381193">
        <w:rPr>
          <w:rFonts w:ascii="Arial" w:hAnsi="Arial" w:cs="Arial"/>
        </w:rPr>
        <w:t>, given the high demand for the tool in the LAC region,</w:t>
      </w:r>
      <w:r w:rsidRPr="00381193">
        <w:rPr>
          <w:rFonts w:ascii="Arial" w:hAnsi="Arial" w:cs="Arial"/>
        </w:rPr>
        <w:t xml:space="preserve"> to continue supporting</w:t>
      </w:r>
      <w:r w:rsidR="007678EB">
        <w:rPr>
          <w:rFonts w:ascii="Arial" w:hAnsi="Arial" w:cs="Arial"/>
        </w:rPr>
        <w:t xml:space="preserve"> the implementation and improvement of the</w:t>
      </w:r>
      <w:r w:rsidRPr="00381193">
        <w:rPr>
          <w:rFonts w:ascii="Arial" w:hAnsi="Arial" w:cs="Arial"/>
        </w:rPr>
        <w:t xml:space="preserve"> AquaRating </w:t>
      </w:r>
      <w:r w:rsidR="007678EB">
        <w:rPr>
          <w:rFonts w:ascii="Arial" w:hAnsi="Arial" w:cs="Arial"/>
        </w:rPr>
        <w:lastRenderedPageBreak/>
        <w:t xml:space="preserve">Program </w:t>
      </w:r>
      <w:r w:rsidRPr="00381193">
        <w:rPr>
          <w:rFonts w:ascii="Arial" w:hAnsi="Arial" w:cs="Arial"/>
        </w:rPr>
        <w:t>until it</w:t>
      </w:r>
      <w:r w:rsidR="00945C55" w:rsidRPr="00381193">
        <w:rPr>
          <w:rFonts w:ascii="Arial" w:hAnsi="Arial" w:cs="Arial"/>
        </w:rPr>
        <w:t xml:space="preserve"> becomes </w:t>
      </w:r>
      <w:r w:rsidRPr="00381193">
        <w:rPr>
          <w:rFonts w:ascii="Arial" w:hAnsi="Arial" w:cs="Arial"/>
        </w:rPr>
        <w:t xml:space="preserve">a </w:t>
      </w:r>
      <w:r w:rsidR="00E37FE7" w:rsidRPr="00381193">
        <w:rPr>
          <w:rFonts w:ascii="Arial" w:hAnsi="Arial" w:cs="Arial"/>
        </w:rPr>
        <w:t xml:space="preserve">reference for all utilities in LAC, and a </w:t>
      </w:r>
      <w:r w:rsidRPr="00381193">
        <w:rPr>
          <w:rFonts w:ascii="Arial" w:hAnsi="Arial" w:cs="Arial"/>
        </w:rPr>
        <w:t>world-wide standard</w:t>
      </w:r>
      <w:r w:rsidR="008C6F9A" w:rsidRPr="00381193">
        <w:rPr>
          <w:rFonts w:ascii="Arial" w:hAnsi="Arial" w:cs="Arial"/>
        </w:rPr>
        <w:t>.</w:t>
      </w:r>
      <w:r w:rsidRPr="00381193">
        <w:rPr>
          <w:rFonts w:ascii="Arial" w:hAnsi="Arial" w:cs="Arial"/>
        </w:rPr>
        <w:t xml:space="preserve"> </w:t>
      </w:r>
      <w:r w:rsidR="00544A58" w:rsidRPr="00381193">
        <w:rPr>
          <w:rFonts w:ascii="Arial" w:hAnsi="Arial" w:cs="Arial"/>
        </w:rPr>
        <w:t xml:space="preserve">AquaRating is a voluntary and universal system that offers a comprehensive </w:t>
      </w:r>
      <w:r w:rsidR="0089204E" w:rsidRPr="00381193">
        <w:rPr>
          <w:rFonts w:ascii="Arial" w:hAnsi="Arial" w:cs="Arial"/>
        </w:rPr>
        <w:t xml:space="preserve">assessment of the performance of </w:t>
      </w:r>
      <w:r w:rsidR="00544A58" w:rsidRPr="00381193">
        <w:rPr>
          <w:rFonts w:ascii="Arial" w:hAnsi="Arial" w:cs="Arial"/>
        </w:rPr>
        <w:t>water and sanitation services providers, based on reliable information</w:t>
      </w:r>
      <w:r w:rsidR="0089204E" w:rsidRPr="00381193">
        <w:rPr>
          <w:rFonts w:ascii="Arial" w:hAnsi="Arial" w:cs="Arial"/>
        </w:rPr>
        <w:t xml:space="preserve"> and validated by independent and accredited agents.</w:t>
      </w:r>
      <w:r w:rsidR="00544A58" w:rsidRPr="00381193">
        <w:rPr>
          <w:rFonts w:ascii="Arial" w:hAnsi="Arial" w:cs="Arial"/>
        </w:rPr>
        <w:t xml:space="preserve"> The </w:t>
      </w:r>
      <w:r w:rsidR="00B71203" w:rsidRPr="00381193">
        <w:rPr>
          <w:rFonts w:ascii="Arial" w:hAnsi="Arial" w:cs="Arial"/>
        </w:rPr>
        <w:t xml:space="preserve">main </w:t>
      </w:r>
      <w:r w:rsidR="00544A58" w:rsidRPr="00381193">
        <w:rPr>
          <w:rFonts w:ascii="Arial" w:hAnsi="Arial" w:cs="Arial"/>
        </w:rPr>
        <w:t xml:space="preserve">objective </w:t>
      </w:r>
      <w:r w:rsidR="00BF6D3A" w:rsidRPr="00381193">
        <w:rPr>
          <w:rFonts w:ascii="Arial" w:hAnsi="Arial" w:cs="Arial"/>
        </w:rPr>
        <w:t>of</w:t>
      </w:r>
      <w:r w:rsidR="00544A58" w:rsidRPr="00381193">
        <w:rPr>
          <w:rFonts w:ascii="Arial" w:hAnsi="Arial" w:cs="Arial"/>
        </w:rPr>
        <w:t xml:space="preserve"> this </w:t>
      </w:r>
      <w:r w:rsidR="007370D4">
        <w:rPr>
          <w:rFonts w:ascii="Arial" w:hAnsi="Arial" w:cs="Arial"/>
        </w:rPr>
        <w:t>t</w:t>
      </w:r>
      <w:r w:rsidR="00544A58" w:rsidRPr="00381193">
        <w:rPr>
          <w:rFonts w:ascii="Arial" w:hAnsi="Arial" w:cs="Arial"/>
        </w:rPr>
        <w:t xml:space="preserve">echnical </w:t>
      </w:r>
      <w:r w:rsidR="007370D4">
        <w:rPr>
          <w:rFonts w:ascii="Arial" w:hAnsi="Arial" w:cs="Arial"/>
        </w:rPr>
        <w:t>c</w:t>
      </w:r>
      <w:r w:rsidR="00544A58" w:rsidRPr="00381193">
        <w:rPr>
          <w:rFonts w:ascii="Arial" w:hAnsi="Arial" w:cs="Arial"/>
        </w:rPr>
        <w:t>ooperation</w:t>
      </w:r>
      <w:r w:rsidR="005713D6" w:rsidRPr="00381193">
        <w:rPr>
          <w:rFonts w:ascii="Arial" w:hAnsi="Arial" w:cs="Arial"/>
        </w:rPr>
        <w:t xml:space="preserve"> (TC)</w:t>
      </w:r>
      <w:r w:rsidR="00544A58" w:rsidRPr="00381193">
        <w:rPr>
          <w:rFonts w:ascii="Arial" w:hAnsi="Arial" w:cs="Arial"/>
        </w:rPr>
        <w:t xml:space="preserve"> </w:t>
      </w:r>
      <w:r w:rsidR="00BF6D3A" w:rsidRPr="00381193">
        <w:rPr>
          <w:rFonts w:ascii="Arial" w:hAnsi="Arial" w:cs="Arial"/>
        </w:rPr>
        <w:t xml:space="preserve">operation </w:t>
      </w:r>
      <w:r w:rsidR="00050797" w:rsidRPr="00381193">
        <w:rPr>
          <w:rFonts w:ascii="Arial" w:hAnsi="Arial" w:cs="Arial"/>
        </w:rPr>
        <w:t>is</w:t>
      </w:r>
      <w:r w:rsidR="00544A58" w:rsidRPr="00381193">
        <w:rPr>
          <w:rFonts w:ascii="Arial" w:hAnsi="Arial" w:cs="Arial"/>
        </w:rPr>
        <w:t xml:space="preserve"> to </w:t>
      </w:r>
      <w:r w:rsidR="007678EB">
        <w:rPr>
          <w:rFonts w:ascii="Arial" w:hAnsi="Arial" w:cs="Arial"/>
        </w:rPr>
        <w:t xml:space="preserve">manage, </w:t>
      </w:r>
      <w:r w:rsidR="007678EB" w:rsidRPr="00381193">
        <w:rPr>
          <w:rFonts w:ascii="Arial" w:hAnsi="Arial" w:cs="Arial"/>
        </w:rPr>
        <w:t xml:space="preserve">support </w:t>
      </w:r>
      <w:r w:rsidR="007370D4">
        <w:rPr>
          <w:rFonts w:ascii="Arial" w:hAnsi="Arial" w:cs="Arial"/>
        </w:rPr>
        <w:t xml:space="preserve">the </w:t>
      </w:r>
      <w:r w:rsidR="007678EB" w:rsidRPr="00381193">
        <w:rPr>
          <w:rFonts w:ascii="Arial" w:hAnsi="Arial" w:cs="Arial"/>
        </w:rPr>
        <w:t>dissemination</w:t>
      </w:r>
      <w:r w:rsidR="007370D4">
        <w:rPr>
          <w:rFonts w:ascii="Arial" w:hAnsi="Arial" w:cs="Arial"/>
        </w:rPr>
        <w:t xml:space="preserve"> of</w:t>
      </w:r>
      <w:r w:rsidR="005D44BA" w:rsidRPr="00381193">
        <w:rPr>
          <w:rFonts w:ascii="Arial" w:hAnsi="Arial" w:cs="Arial"/>
        </w:rPr>
        <w:t xml:space="preserve"> and</w:t>
      </w:r>
      <w:r w:rsidR="007678EB">
        <w:rPr>
          <w:rFonts w:ascii="Arial" w:hAnsi="Arial" w:cs="Arial"/>
        </w:rPr>
        <w:t xml:space="preserve"> operate the</w:t>
      </w:r>
      <w:r w:rsidR="005D44BA" w:rsidRPr="00381193">
        <w:rPr>
          <w:rFonts w:ascii="Arial" w:hAnsi="Arial" w:cs="Arial"/>
        </w:rPr>
        <w:t xml:space="preserve"> </w:t>
      </w:r>
      <w:r w:rsidR="00BF6D3A" w:rsidRPr="00381193">
        <w:rPr>
          <w:rFonts w:ascii="Arial" w:hAnsi="Arial" w:cs="Arial"/>
        </w:rPr>
        <w:t xml:space="preserve">implementation </w:t>
      </w:r>
      <w:r w:rsidR="00B00344" w:rsidRPr="00381193">
        <w:rPr>
          <w:rFonts w:ascii="Arial" w:hAnsi="Arial" w:cs="Arial"/>
        </w:rPr>
        <w:t>o</w:t>
      </w:r>
      <w:r w:rsidR="00544A58" w:rsidRPr="00381193">
        <w:rPr>
          <w:rFonts w:ascii="Arial" w:hAnsi="Arial" w:cs="Arial"/>
        </w:rPr>
        <w:t xml:space="preserve">f the </w:t>
      </w:r>
      <w:proofErr w:type="spellStart"/>
      <w:r w:rsidR="00544A58" w:rsidRPr="00381193">
        <w:rPr>
          <w:rFonts w:ascii="Arial" w:hAnsi="Arial" w:cs="Arial"/>
        </w:rPr>
        <w:t>AquaRating</w:t>
      </w:r>
      <w:proofErr w:type="spellEnd"/>
      <w:r w:rsidR="00544A58" w:rsidRPr="00381193">
        <w:rPr>
          <w:rFonts w:ascii="Arial" w:hAnsi="Arial" w:cs="Arial"/>
        </w:rPr>
        <w:t xml:space="preserve"> </w:t>
      </w:r>
      <w:r w:rsidR="007370D4">
        <w:rPr>
          <w:rFonts w:ascii="Arial" w:hAnsi="Arial" w:cs="Arial"/>
        </w:rPr>
        <w:t>p</w:t>
      </w:r>
      <w:r w:rsidR="007678EB">
        <w:rPr>
          <w:rFonts w:ascii="Arial" w:hAnsi="Arial" w:cs="Arial"/>
        </w:rPr>
        <w:t xml:space="preserve">rogram </w:t>
      </w:r>
      <w:r w:rsidR="00544A58" w:rsidRPr="00381193">
        <w:rPr>
          <w:rFonts w:ascii="Arial" w:hAnsi="Arial" w:cs="Arial"/>
        </w:rPr>
        <w:t xml:space="preserve">in a selected number of water and sanitation utilities in </w:t>
      </w:r>
      <w:r w:rsidR="005D44BA" w:rsidRPr="00381193">
        <w:rPr>
          <w:rFonts w:ascii="Arial" w:hAnsi="Arial" w:cs="Arial"/>
        </w:rPr>
        <w:t>LAC</w:t>
      </w:r>
      <w:r w:rsidR="00544A58" w:rsidRPr="00381193">
        <w:rPr>
          <w:rFonts w:ascii="Arial" w:hAnsi="Arial" w:cs="Arial"/>
        </w:rPr>
        <w:t>, and to promote its use</w:t>
      </w:r>
      <w:r w:rsidR="00B71203" w:rsidRPr="00381193">
        <w:rPr>
          <w:rFonts w:ascii="Arial" w:hAnsi="Arial" w:cs="Arial"/>
        </w:rPr>
        <w:t xml:space="preserve"> in </w:t>
      </w:r>
      <w:r w:rsidR="00C62EB2">
        <w:rPr>
          <w:rFonts w:ascii="Arial" w:hAnsi="Arial" w:cs="Arial"/>
        </w:rPr>
        <w:t>LAC</w:t>
      </w:r>
      <w:r w:rsidR="00544A58" w:rsidRPr="00381193">
        <w:rPr>
          <w:rFonts w:ascii="Arial" w:hAnsi="Arial" w:cs="Arial"/>
        </w:rPr>
        <w:t>.</w:t>
      </w:r>
    </w:p>
    <w:p w14:paraId="6C68F988" w14:textId="77777777" w:rsidR="00C73F56" w:rsidRPr="00595ABF" w:rsidRDefault="00C73F56" w:rsidP="00C73F56">
      <w:pPr>
        <w:pStyle w:val="ListParagraph"/>
        <w:spacing w:before="120" w:after="120"/>
        <w:ind w:left="360"/>
        <w:jc w:val="both"/>
        <w:rPr>
          <w:rFonts w:ascii="Arial" w:hAnsi="Arial" w:cs="Arial"/>
        </w:rPr>
      </w:pPr>
    </w:p>
    <w:p w14:paraId="1239D929" w14:textId="4626AF7C" w:rsidR="00C73F56" w:rsidRPr="00385FBF" w:rsidRDefault="00AF3FE0" w:rsidP="0064521D">
      <w:pPr>
        <w:pStyle w:val="ListParagraph"/>
        <w:numPr>
          <w:ilvl w:val="1"/>
          <w:numId w:val="5"/>
        </w:numPr>
        <w:spacing w:before="120" w:after="120"/>
        <w:ind w:left="360" w:hanging="540"/>
        <w:jc w:val="both"/>
        <w:rPr>
          <w:rFonts w:ascii="Arial" w:hAnsi="Arial" w:cs="Arial"/>
        </w:rPr>
      </w:pPr>
      <w:r>
        <w:rPr>
          <w:rFonts w:ascii="Arial" w:hAnsi="Arial" w:cs="Arial"/>
        </w:rPr>
        <w:t xml:space="preserve">A </w:t>
      </w:r>
      <w:r w:rsidR="00F36700">
        <w:rPr>
          <w:rFonts w:ascii="Arial" w:hAnsi="Arial" w:cs="Arial"/>
        </w:rPr>
        <w:t>technical cooperation</w:t>
      </w:r>
      <w:r w:rsidR="003B586E">
        <w:rPr>
          <w:rFonts w:ascii="Arial" w:hAnsi="Arial" w:cs="Arial"/>
        </w:rPr>
        <w:t xml:space="preserve"> operation under execution </w:t>
      </w:r>
      <w:r w:rsidR="001D4E22">
        <w:rPr>
          <w:rFonts w:ascii="Arial" w:hAnsi="Arial" w:cs="Arial"/>
        </w:rPr>
        <w:t xml:space="preserve">has been </w:t>
      </w:r>
      <w:r w:rsidR="003B586E">
        <w:rPr>
          <w:rFonts w:ascii="Arial" w:hAnsi="Arial" w:cs="Arial"/>
        </w:rPr>
        <w:t>support</w:t>
      </w:r>
      <w:r>
        <w:rPr>
          <w:rFonts w:ascii="Arial" w:hAnsi="Arial" w:cs="Arial"/>
        </w:rPr>
        <w:t>ing</w:t>
      </w:r>
      <w:r w:rsidR="003B586E">
        <w:rPr>
          <w:rFonts w:ascii="Arial" w:hAnsi="Arial" w:cs="Arial"/>
        </w:rPr>
        <w:t xml:space="preserve"> the </w:t>
      </w:r>
      <w:r w:rsidR="001D4E22">
        <w:rPr>
          <w:rFonts w:ascii="Arial" w:hAnsi="Arial" w:cs="Arial"/>
        </w:rPr>
        <w:t>launch to market</w:t>
      </w:r>
      <w:r w:rsidR="003B586E">
        <w:rPr>
          <w:rFonts w:ascii="Arial" w:hAnsi="Arial" w:cs="Arial"/>
        </w:rPr>
        <w:t xml:space="preserve"> of the AquaRating </w:t>
      </w:r>
      <w:r w:rsidR="001D4E22">
        <w:rPr>
          <w:rFonts w:ascii="Arial" w:hAnsi="Arial" w:cs="Arial"/>
        </w:rPr>
        <w:t>tool</w:t>
      </w:r>
      <w:r w:rsidR="003B586E">
        <w:rPr>
          <w:rFonts w:ascii="Arial" w:hAnsi="Arial" w:cs="Arial"/>
        </w:rPr>
        <w:t xml:space="preserve"> </w:t>
      </w:r>
      <w:r w:rsidR="001D4E22">
        <w:rPr>
          <w:rFonts w:ascii="Arial" w:hAnsi="Arial" w:cs="Arial"/>
        </w:rPr>
        <w:t>in Ecuador, Colombia</w:t>
      </w:r>
      <w:r w:rsidR="007678EB">
        <w:rPr>
          <w:rFonts w:ascii="Arial" w:hAnsi="Arial" w:cs="Arial"/>
        </w:rPr>
        <w:t>, Argentina, Jamaica, El Salvador,</w:t>
      </w:r>
      <w:r w:rsidR="001D4E22">
        <w:rPr>
          <w:rFonts w:ascii="Arial" w:hAnsi="Arial" w:cs="Arial"/>
        </w:rPr>
        <w:t xml:space="preserve"> </w:t>
      </w:r>
      <w:r w:rsidR="007370D4">
        <w:rPr>
          <w:rFonts w:ascii="Arial" w:hAnsi="Arial" w:cs="Arial"/>
        </w:rPr>
        <w:t xml:space="preserve">and </w:t>
      </w:r>
      <w:r w:rsidR="001D4E22">
        <w:rPr>
          <w:rFonts w:ascii="Arial" w:hAnsi="Arial" w:cs="Arial"/>
        </w:rPr>
        <w:t>Mexico</w:t>
      </w:r>
      <w:r w:rsidR="007370D4">
        <w:rPr>
          <w:rFonts w:ascii="Arial" w:hAnsi="Arial" w:cs="Arial"/>
        </w:rPr>
        <w:t>,</w:t>
      </w:r>
      <w:r w:rsidR="007678EB">
        <w:rPr>
          <w:rFonts w:ascii="Arial" w:hAnsi="Arial" w:cs="Arial"/>
        </w:rPr>
        <w:t xml:space="preserve"> among others</w:t>
      </w:r>
      <w:r w:rsidR="001D4E22">
        <w:rPr>
          <w:rFonts w:ascii="Arial" w:hAnsi="Arial" w:cs="Arial"/>
        </w:rPr>
        <w:t xml:space="preserve"> </w:t>
      </w:r>
      <w:r w:rsidR="003B586E">
        <w:rPr>
          <w:rFonts w:ascii="Arial" w:hAnsi="Arial" w:cs="Arial"/>
        </w:rPr>
        <w:t>(RG-T2</w:t>
      </w:r>
      <w:r w:rsidR="001D4E22">
        <w:rPr>
          <w:rFonts w:ascii="Arial" w:hAnsi="Arial" w:cs="Arial"/>
        </w:rPr>
        <w:t>883</w:t>
      </w:r>
      <w:r w:rsidR="003B586E">
        <w:rPr>
          <w:rFonts w:ascii="Arial" w:hAnsi="Arial" w:cs="Arial"/>
        </w:rPr>
        <w:t>)</w:t>
      </w:r>
      <w:r w:rsidR="007370D4">
        <w:rPr>
          <w:rFonts w:ascii="Arial" w:hAnsi="Arial" w:cs="Arial"/>
        </w:rPr>
        <w:t>,</w:t>
      </w:r>
      <w:r w:rsidR="001D4E22">
        <w:rPr>
          <w:rFonts w:ascii="Arial" w:hAnsi="Arial" w:cs="Arial"/>
        </w:rPr>
        <w:t xml:space="preserve"> as well as the updat</w:t>
      </w:r>
      <w:r w:rsidR="00F36700">
        <w:rPr>
          <w:rFonts w:ascii="Arial" w:hAnsi="Arial" w:cs="Arial"/>
        </w:rPr>
        <w:t>e</w:t>
      </w:r>
      <w:r w:rsidR="001D4E22">
        <w:rPr>
          <w:rFonts w:ascii="Arial" w:hAnsi="Arial" w:cs="Arial"/>
        </w:rPr>
        <w:t xml:space="preserve"> of the </w:t>
      </w:r>
      <w:proofErr w:type="spellStart"/>
      <w:r w:rsidR="001D4E22">
        <w:rPr>
          <w:rFonts w:ascii="Arial" w:hAnsi="Arial" w:cs="Arial"/>
        </w:rPr>
        <w:t>AquaRating</w:t>
      </w:r>
      <w:proofErr w:type="spellEnd"/>
      <w:r w:rsidR="001D4E22">
        <w:rPr>
          <w:rFonts w:ascii="Arial" w:hAnsi="Arial" w:cs="Arial"/>
        </w:rPr>
        <w:t xml:space="preserve"> </w:t>
      </w:r>
      <w:r w:rsidR="003F6FFB">
        <w:rPr>
          <w:rFonts w:ascii="Arial" w:hAnsi="Arial" w:cs="Arial"/>
        </w:rPr>
        <w:t>tool</w:t>
      </w:r>
      <w:r w:rsidR="003B586E">
        <w:rPr>
          <w:rFonts w:ascii="Arial" w:hAnsi="Arial" w:cs="Arial"/>
        </w:rPr>
        <w:t xml:space="preserve">. </w:t>
      </w:r>
      <w:r w:rsidR="00F976F6">
        <w:rPr>
          <w:rFonts w:ascii="Arial" w:hAnsi="Arial" w:cs="Arial"/>
        </w:rPr>
        <w:t>T</w:t>
      </w:r>
      <w:r w:rsidR="00DC14EA" w:rsidRPr="00CA5A85">
        <w:rPr>
          <w:rFonts w:ascii="Arial" w:hAnsi="Arial" w:cs="Arial"/>
        </w:rPr>
        <w:t xml:space="preserve">he main outputs obtained </w:t>
      </w:r>
      <w:r w:rsidR="00CA5A85" w:rsidRPr="00CA5A85">
        <w:rPr>
          <w:rFonts w:ascii="Arial" w:hAnsi="Arial" w:cs="Arial"/>
        </w:rPr>
        <w:t xml:space="preserve">from </w:t>
      </w:r>
      <w:r w:rsidR="007B5DF5">
        <w:rPr>
          <w:rFonts w:ascii="Arial" w:hAnsi="Arial" w:cs="Arial"/>
        </w:rPr>
        <w:t xml:space="preserve">that </w:t>
      </w:r>
      <w:r w:rsidR="00F36700">
        <w:rPr>
          <w:rFonts w:ascii="Arial" w:hAnsi="Arial" w:cs="Arial"/>
        </w:rPr>
        <w:t xml:space="preserve">technical cooperation </w:t>
      </w:r>
      <w:r w:rsidR="00A46394">
        <w:rPr>
          <w:rFonts w:ascii="Arial" w:hAnsi="Arial" w:cs="Arial"/>
        </w:rPr>
        <w:t xml:space="preserve"> operation </w:t>
      </w:r>
      <w:r w:rsidR="007B5DF5">
        <w:rPr>
          <w:rFonts w:ascii="Arial" w:hAnsi="Arial" w:cs="Arial"/>
        </w:rPr>
        <w:t>include</w:t>
      </w:r>
      <w:r w:rsidR="0045294F">
        <w:rPr>
          <w:rFonts w:ascii="Arial" w:hAnsi="Arial" w:cs="Arial"/>
        </w:rPr>
        <w:t xml:space="preserve">: </w:t>
      </w:r>
      <w:r w:rsidR="00EC2302">
        <w:rPr>
          <w:rFonts w:ascii="Arial" w:hAnsi="Arial" w:cs="Arial"/>
        </w:rPr>
        <w:t>(</w:t>
      </w:r>
      <w:r w:rsidR="0045294F">
        <w:rPr>
          <w:rFonts w:ascii="Arial" w:hAnsi="Arial" w:cs="Arial"/>
        </w:rPr>
        <w:t>i</w:t>
      </w:r>
      <w:r w:rsidR="00050797" w:rsidRPr="00CA5A85">
        <w:rPr>
          <w:rFonts w:ascii="Arial" w:hAnsi="Arial" w:cs="Arial"/>
        </w:rPr>
        <w:t xml:space="preserve">) </w:t>
      </w:r>
      <w:r w:rsidR="00BB06DE">
        <w:rPr>
          <w:rFonts w:ascii="Arial" w:hAnsi="Arial" w:cs="Arial"/>
        </w:rPr>
        <w:t xml:space="preserve">a revamped version of the AquaRating </w:t>
      </w:r>
      <w:r w:rsidR="003F6FFB">
        <w:rPr>
          <w:rFonts w:ascii="Arial" w:hAnsi="Arial" w:cs="Arial"/>
        </w:rPr>
        <w:t>tool</w:t>
      </w:r>
      <w:r w:rsidR="00BB06DE">
        <w:rPr>
          <w:rFonts w:ascii="Arial" w:hAnsi="Arial" w:cs="Arial"/>
        </w:rPr>
        <w:t xml:space="preserve">; </w:t>
      </w:r>
      <w:r w:rsidR="00EC2302">
        <w:rPr>
          <w:rFonts w:ascii="Arial" w:hAnsi="Arial" w:cs="Arial"/>
        </w:rPr>
        <w:t>(</w:t>
      </w:r>
      <w:r w:rsidR="0045294F">
        <w:rPr>
          <w:rFonts w:ascii="Arial" w:hAnsi="Arial" w:cs="Arial"/>
        </w:rPr>
        <w:t>ii</w:t>
      </w:r>
      <w:r w:rsidR="00050797" w:rsidRPr="00CA5A85">
        <w:rPr>
          <w:rFonts w:ascii="Arial" w:hAnsi="Arial" w:cs="Arial"/>
        </w:rPr>
        <w:t xml:space="preserve">) </w:t>
      </w:r>
      <w:r w:rsidR="0044648F">
        <w:rPr>
          <w:rFonts w:ascii="Arial" w:hAnsi="Arial" w:cs="Arial"/>
        </w:rPr>
        <w:t xml:space="preserve">implementation of the Aquarating evaluation process in over </w:t>
      </w:r>
      <w:r w:rsidR="00FC2182">
        <w:rPr>
          <w:rFonts w:ascii="Arial" w:hAnsi="Arial" w:cs="Arial"/>
        </w:rPr>
        <w:t>6</w:t>
      </w:r>
      <w:r w:rsidR="0044648F">
        <w:rPr>
          <w:rFonts w:ascii="Arial" w:hAnsi="Arial" w:cs="Arial"/>
        </w:rPr>
        <w:t>0 water utilities in LAC</w:t>
      </w:r>
      <w:r w:rsidR="00F55517" w:rsidRPr="00FC2182">
        <w:rPr>
          <w:rFonts w:ascii="Arial" w:hAnsi="Arial" w:cs="Arial"/>
        </w:rPr>
        <w:t>;</w:t>
      </w:r>
      <w:r w:rsidR="00A942EE" w:rsidRPr="00FC2182">
        <w:rPr>
          <w:rFonts w:ascii="Arial" w:hAnsi="Arial" w:cs="Arial"/>
        </w:rPr>
        <w:t xml:space="preserve"> </w:t>
      </w:r>
      <w:r w:rsidR="00EC2302" w:rsidRPr="00FC2182">
        <w:rPr>
          <w:rFonts w:ascii="Arial" w:hAnsi="Arial" w:cs="Arial"/>
        </w:rPr>
        <w:t>(</w:t>
      </w:r>
      <w:r w:rsidR="0045294F" w:rsidRPr="00FC2182">
        <w:rPr>
          <w:rFonts w:ascii="Arial" w:hAnsi="Arial" w:cs="Arial"/>
        </w:rPr>
        <w:t>iii</w:t>
      </w:r>
      <w:r w:rsidR="00160B4C" w:rsidRPr="00385FBF">
        <w:rPr>
          <w:rFonts w:ascii="Arial" w:hAnsi="Arial" w:cs="Arial"/>
        </w:rPr>
        <w:t>)</w:t>
      </w:r>
      <w:r w:rsidR="00EC2302" w:rsidRPr="00385FBF">
        <w:rPr>
          <w:rFonts w:ascii="Arial" w:hAnsi="Arial" w:cs="Arial"/>
        </w:rPr>
        <w:t xml:space="preserve"> </w:t>
      </w:r>
      <w:r w:rsidR="00385FBF" w:rsidRPr="00385FBF">
        <w:rPr>
          <w:rFonts w:ascii="Arial" w:hAnsi="Arial" w:cs="Arial"/>
        </w:rPr>
        <w:t>workshops to train technical and management staff to use AquaRating in Colombia, Mexico, Argentina and El Salvador</w:t>
      </w:r>
      <w:r w:rsidR="00EC2302" w:rsidRPr="00385FBF">
        <w:rPr>
          <w:rFonts w:ascii="Arial" w:hAnsi="Arial" w:cs="Arial"/>
        </w:rPr>
        <w:t xml:space="preserve">; (iv) </w:t>
      </w:r>
      <w:r w:rsidR="00385FBF" w:rsidRPr="00385FBF">
        <w:rPr>
          <w:rFonts w:ascii="Arial" w:hAnsi="Arial" w:cs="Arial"/>
        </w:rPr>
        <w:t xml:space="preserve">Aquarating certification of 5 water utilities; (v) </w:t>
      </w:r>
      <w:r w:rsidR="00F36700">
        <w:rPr>
          <w:rFonts w:ascii="Arial" w:hAnsi="Arial" w:cs="Arial"/>
        </w:rPr>
        <w:t>t</w:t>
      </w:r>
      <w:r w:rsidR="00385FBF" w:rsidRPr="00385FBF">
        <w:rPr>
          <w:rFonts w:ascii="Arial" w:hAnsi="Arial" w:cs="Arial"/>
        </w:rPr>
        <w:t xml:space="preserve">raining and authorization of 4 audit firms to act as </w:t>
      </w:r>
      <w:proofErr w:type="spellStart"/>
      <w:r w:rsidR="00385FBF" w:rsidRPr="00385FBF">
        <w:rPr>
          <w:rFonts w:ascii="Arial" w:hAnsi="Arial" w:cs="Arial"/>
        </w:rPr>
        <w:t>AquaRating</w:t>
      </w:r>
      <w:proofErr w:type="spellEnd"/>
      <w:r w:rsidR="00385FBF" w:rsidRPr="00385FBF">
        <w:rPr>
          <w:rFonts w:ascii="Arial" w:hAnsi="Arial" w:cs="Arial"/>
        </w:rPr>
        <w:t xml:space="preserve"> auditors; (vi) </w:t>
      </w:r>
      <w:r w:rsidR="00F36700">
        <w:rPr>
          <w:rFonts w:ascii="Arial" w:hAnsi="Arial" w:cs="Arial"/>
        </w:rPr>
        <w:t>p</w:t>
      </w:r>
      <w:r w:rsidR="00385FBF" w:rsidRPr="00385FBF">
        <w:rPr>
          <w:rFonts w:ascii="Arial" w:hAnsi="Arial" w:cs="Arial"/>
        </w:rPr>
        <w:t xml:space="preserve">reparation of the </w:t>
      </w:r>
      <w:proofErr w:type="spellStart"/>
      <w:r w:rsidR="00385FBF" w:rsidRPr="00385FBF">
        <w:rPr>
          <w:rFonts w:ascii="Arial" w:hAnsi="Arial" w:cs="Arial"/>
        </w:rPr>
        <w:t>AquaRating</w:t>
      </w:r>
      <w:proofErr w:type="spellEnd"/>
      <w:r w:rsidR="00385FBF" w:rsidRPr="00385FBF">
        <w:rPr>
          <w:rFonts w:ascii="Arial" w:hAnsi="Arial" w:cs="Arial"/>
        </w:rPr>
        <w:t xml:space="preserve"> Validation of Consistency guidelines Vol.1</w:t>
      </w:r>
      <w:r w:rsidR="00EC2302" w:rsidRPr="00385FBF">
        <w:rPr>
          <w:rFonts w:ascii="Arial" w:hAnsi="Arial" w:cs="Arial"/>
        </w:rPr>
        <w:t xml:space="preserve">; </w:t>
      </w:r>
      <w:r w:rsidR="003B586E" w:rsidRPr="00385FBF">
        <w:rPr>
          <w:rFonts w:ascii="Arial" w:hAnsi="Arial" w:cs="Arial"/>
        </w:rPr>
        <w:t>(</w:t>
      </w:r>
      <w:r w:rsidR="00EC2302" w:rsidRPr="00385FBF">
        <w:rPr>
          <w:rFonts w:ascii="Arial" w:hAnsi="Arial" w:cs="Arial"/>
        </w:rPr>
        <w:t xml:space="preserve">vii) </w:t>
      </w:r>
      <w:r w:rsidR="00F36700">
        <w:rPr>
          <w:rFonts w:ascii="Arial" w:hAnsi="Arial" w:cs="Arial"/>
        </w:rPr>
        <w:t>u</w:t>
      </w:r>
      <w:r w:rsidR="00385FBF" w:rsidRPr="00385FBF">
        <w:rPr>
          <w:rFonts w:ascii="Arial" w:hAnsi="Arial" w:cs="Arial"/>
        </w:rPr>
        <w:t>pdating and re-design of the AquaRating website (www.aquarating.org)</w:t>
      </w:r>
      <w:r w:rsidR="00EC2302" w:rsidRPr="00385FBF">
        <w:rPr>
          <w:rFonts w:ascii="Arial" w:hAnsi="Arial" w:cs="Arial"/>
        </w:rPr>
        <w:t>; (viii) the AquaRating Auditors Guidelines in English and Spanish;</w:t>
      </w:r>
      <w:r w:rsidR="00385FBF" w:rsidRPr="00385FBF">
        <w:rPr>
          <w:rFonts w:ascii="Arial" w:hAnsi="Arial" w:cs="Arial"/>
        </w:rPr>
        <w:t xml:space="preserve"> and</w:t>
      </w:r>
      <w:r w:rsidR="00EC2302" w:rsidRPr="00385FBF">
        <w:rPr>
          <w:rFonts w:ascii="Arial" w:hAnsi="Arial" w:cs="Arial"/>
        </w:rPr>
        <w:t xml:space="preserve"> (ix)</w:t>
      </w:r>
      <w:r w:rsidR="00385FBF" w:rsidRPr="00385FBF">
        <w:rPr>
          <w:rFonts w:ascii="Arial" w:hAnsi="Arial" w:cs="Arial"/>
        </w:rPr>
        <w:t xml:space="preserve"> </w:t>
      </w:r>
      <w:r w:rsidR="00EC2302" w:rsidRPr="00385FBF">
        <w:rPr>
          <w:rFonts w:ascii="Arial" w:hAnsi="Arial" w:cs="Arial"/>
        </w:rPr>
        <w:t>promotional and marketing materials in English and Spanish</w:t>
      </w:r>
      <w:r w:rsidR="00385FBF" w:rsidRPr="00385FBF">
        <w:rPr>
          <w:rFonts w:ascii="Arial" w:hAnsi="Arial" w:cs="Arial"/>
        </w:rPr>
        <w:t xml:space="preserve"> (i.e. production of videos in collaboration </w:t>
      </w:r>
      <w:r w:rsidR="00F36700">
        <w:rPr>
          <w:rFonts w:ascii="Arial" w:hAnsi="Arial" w:cs="Arial"/>
        </w:rPr>
        <w:t>with</w:t>
      </w:r>
      <w:r w:rsidR="00385FBF" w:rsidRPr="00385FBF">
        <w:rPr>
          <w:rFonts w:ascii="Arial" w:hAnsi="Arial" w:cs="Arial"/>
        </w:rPr>
        <w:t xml:space="preserve"> water operators to disseminate good practices associated with the application of AquaRating</w:t>
      </w:r>
      <w:r w:rsidR="00F36700">
        <w:rPr>
          <w:rFonts w:ascii="Arial" w:hAnsi="Arial" w:cs="Arial"/>
        </w:rPr>
        <w:t>)</w:t>
      </w:r>
      <w:r w:rsidR="00EC2302" w:rsidRPr="00385FBF">
        <w:rPr>
          <w:rFonts w:ascii="Arial" w:hAnsi="Arial" w:cs="Arial"/>
        </w:rPr>
        <w:t xml:space="preserve">. </w:t>
      </w:r>
    </w:p>
    <w:p w14:paraId="504CAC05" w14:textId="77777777" w:rsidR="00D94A3D" w:rsidRPr="00D94A3D" w:rsidRDefault="00D94A3D" w:rsidP="00D94A3D">
      <w:pPr>
        <w:pStyle w:val="ListParagraph"/>
        <w:rPr>
          <w:rFonts w:ascii="Arial" w:hAnsi="Arial" w:cs="Arial"/>
        </w:rPr>
      </w:pPr>
    </w:p>
    <w:p w14:paraId="28702983" w14:textId="3039E625" w:rsidR="002069B0" w:rsidRDefault="00827FCF" w:rsidP="0064521D">
      <w:pPr>
        <w:pStyle w:val="ListParagraph"/>
        <w:numPr>
          <w:ilvl w:val="1"/>
          <w:numId w:val="5"/>
        </w:numPr>
        <w:spacing w:before="120" w:after="120"/>
        <w:ind w:left="360" w:hanging="540"/>
        <w:jc w:val="both"/>
        <w:rPr>
          <w:rFonts w:ascii="Arial" w:hAnsi="Arial" w:cs="Arial"/>
        </w:rPr>
      </w:pPr>
      <w:r>
        <w:rPr>
          <w:rFonts w:ascii="Arial" w:hAnsi="Arial" w:cs="Arial"/>
        </w:rPr>
        <w:t>T</w:t>
      </w:r>
      <w:r w:rsidR="005378C2" w:rsidRPr="00F644F7">
        <w:rPr>
          <w:rFonts w:ascii="Arial" w:hAnsi="Arial" w:cs="Arial"/>
        </w:rPr>
        <w:t xml:space="preserve">he </w:t>
      </w:r>
      <w:r w:rsidR="00F15F73" w:rsidRPr="00F644F7">
        <w:rPr>
          <w:rFonts w:ascii="Arial" w:hAnsi="Arial" w:cs="Arial"/>
        </w:rPr>
        <w:t>implementation</w:t>
      </w:r>
      <w:r w:rsidR="005378C2" w:rsidRPr="00F644F7">
        <w:rPr>
          <w:rFonts w:ascii="Arial" w:hAnsi="Arial" w:cs="Arial"/>
        </w:rPr>
        <w:t xml:space="preserve"> of AquaRating among water and sanitation utilities in the LAC region and </w:t>
      </w:r>
      <w:r w:rsidR="00823A69" w:rsidRPr="00F644F7">
        <w:rPr>
          <w:rFonts w:ascii="Arial" w:hAnsi="Arial" w:cs="Arial"/>
        </w:rPr>
        <w:t>elsewhere</w:t>
      </w:r>
      <w:r w:rsidR="005378C2" w:rsidRPr="00F644F7">
        <w:rPr>
          <w:rFonts w:ascii="Arial" w:hAnsi="Arial" w:cs="Arial"/>
        </w:rPr>
        <w:t xml:space="preserve"> </w:t>
      </w:r>
      <w:r w:rsidR="00373A85">
        <w:rPr>
          <w:rFonts w:ascii="Arial" w:hAnsi="Arial" w:cs="Arial"/>
        </w:rPr>
        <w:t>since late 2014</w:t>
      </w:r>
      <w:r>
        <w:rPr>
          <w:rFonts w:ascii="Arial" w:hAnsi="Arial" w:cs="Arial"/>
        </w:rPr>
        <w:t xml:space="preserve"> </w:t>
      </w:r>
      <w:r w:rsidR="002069B0">
        <w:rPr>
          <w:rFonts w:ascii="Arial" w:hAnsi="Arial" w:cs="Arial"/>
        </w:rPr>
        <w:t>h</w:t>
      </w:r>
      <w:r w:rsidR="005378C2" w:rsidRPr="00F644F7">
        <w:rPr>
          <w:rFonts w:ascii="Arial" w:hAnsi="Arial" w:cs="Arial"/>
        </w:rPr>
        <w:t xml:space="preserve">as brought very valuable information to the IDB and IWA on how to optimally implement the </w:t>
      </w:r>
      <w:r w:rsidR="00B30EFD">
        <w:rPr>
          <w:rFonts w:ascii="Arial" w:hAnsi="Arial" w:cs="Arial"/>
        </w:rPr>
        <w:t>tool</w:t>
      </w:r>
      <w:r w:rsidR="005378C2" w:rsidRPr="00F644F7">
        <w:rPr>
          <w:rFonts w:ascii="Arial" w:hAnsi="Arial" w:cs="Arial"/>
        </w:rPr>
        <w:t xml:space="preserve">. </w:t>
      </w:r>
      <w:r w:rsidR="002379D8">
        <w:rPr>
          <w:rFonts w:ascii="Arial" w:hAnsi="Arial" w:cs="Arial"/>
        </w:rPr>
        <w:t xml:space="preserve">This new TC operation will make it possible to </w:t>
      </w:r>
      <w:r w:rsidR="00A455CD">
        <w:rPr>
          <w:rFonts w:ascii="Arial" w:hAnsi="Arial" w:cs="Arial"/>
        </w:rPr>
        <w:t>further disseminate</w:t>
      </w:r>
      <w:r w:rsidR="002379D8">
        <w:rPr>
          <w:rFonts w:ascii="Arial" w:hAnsi="Arial" w:cs="Arial"/>
        </w:rPr>
        <w:t xml:space="preserve"> the </w:t>
      </w:r>
      <w:proofErr w:type="spellStart"/>
      <w:r w:rsidR="002379D8">
        <w:rPr>
          <w:rFonts w:ascii="Arial" w:hAnsi="Arial" w:cs="Arial"/>
        </w:rPr>
        <w:t>Aqua</w:t>
      </w:r>
      <w:r w:rsidR="00F36700">
        <w:rPr>
          <w:rFonts w:ascii="Arial" w:hAnsi="Arial" w:cs="Arial"/>
        </w:rPr>
        <w:t>R</w:t>
      </w:r>
      <w:r w:rsidR="002379D8">
        <w:rPr>
          <w:rFonts w:ascii="Arial" w:hAnsi="Arial" w:cs="Arial"/>
        </w:rPr>
        <w:t>ating</w:t>
      </w:r>
      <w:proofErr w:type="spellEnd"/>
      <w:r w:rsidR="002379D8">
        <w:rPr>
          <w:rFonts w:ascii="Arial" w:hAnsi="Arial" w:cs="Arial"/>
        </w:rPr>
        <w:t xml:space="preserve"> </w:t>
      </w:r>
      <w:r w:rsidR="00A455CD">
        <w:rPr>
          <w:rFonts w:ascii="Arial" w:hAnsi="Arial" w:cs="Arial"/>
        </w:rPr>
        <w:t xml:space="preserve">evaluation tool through direct promotion in international events as well as the development of a </w:t>
      </w:r>
      <w:r w:rsidR="0064521D" w:rsidRPr="0064521D">
        <w:rPr>
          <w:rFonts w:ascii="Arial" w:hAnsi="Arial" w:cs="Arial"/>
        </w:rPr>
        <w:t>Massive Open On-line Course</w:t>
      </w:r>
      <w:r w:rsidR="00D60A4C" w:rsidRPr="00D60A4C">
        <w:rPr>
          <w:rFonts w:ascii="Arial" w:hAnsi="Arial" w:cs="Arial"/>
        </w:rPr>
        <w:t xml:space="preserve"> </w:t>
      </w:r>
      <w:r w:rsidR="00D60A4C">
        <w:rPr>
          <w:rFonts w:ascii="Arial" w:hAnsi="Arial" w:cs="Arial"/>
        </w:rPr>
        <w:t>(MOOC)</w:t>
      </w:r>
      <w:r w:rsidR="00A455CD">
        <w:rPr>
          <w:rFonts w:ascii="Arial" w:hAnsi="Arial" w:cs="Arial"/>
        </w:rPr>
        <w:t>. Th</w:t>
      </w:r>
      <w:r w:rsidR="00F36700">
        <w:rPr>
          <w:rFonts w:ascii="Arial" w:hAnsi="Arial" w:cs="Arial"/>
        </w:rPr>
        <w:t>is</w:t>
      </w:r>
      <w:r w:rsidR="00A455CD">
        <w:rPr>
          <w:rFonts w:ascii="Arial" w:hAnsi="Arial" w:cs="Arial"/>
        </w:rPr>
        <w:t xml:space="preserve"> new TC operation will also help disseminate the AquaRating tool in other</w:t>
      </w:r>
      <w:r w:rsidR="00F36700">
        <w:rPr>
          <w:rFonts w:ascii="Arial" w:hAnsi="Arial" w:cs="Arial"/>
        </w:rPr>
        <w:t xml:space="preserve"> borrowing member</w:t>
      </w:r>
      <w:r w:rsidR="00A455CD">
        <w:rPr>
          <w:rFonts w:ascii="Arial" w:hAnsi="Arial" w:cs="Arial"/>
        </w:rPr>
        <w:t xml:space="preserve"> countries </w:t>
      </w:r>
      <w:r w:rsidR="00F36700">
        <w:rPr>
          <w:rFonts w:ascii="Arial" w:hAnsi="Arial" w:cs="Arial"/>
        </w:rPr>
        <w:t xml:space="preserve">of the Bank </w:t>
      </w:r>
      <w:r w:rsidR="00A455CD">
        <w:rPr>
          <w:rFonts w:ascii="Arial" w:hAnsi="Arial" w:cs="Arial"/>
        </w:rPr>
        <w:t xml:space="preserve">in LAC such as Brazil, </w:t>
      </w:r>
      <w:r w:rsidR="0064521D">
        <w:rPr>
          <w:rFonts w:ascii="Arial" w:hAnsi="Arial" w:cs="Arial"/>
        </w:rPr>
        <w:t xml:space="preserve">Bolivia, Perú, </w:t>
      </w:r>
      <w:r w:rsidR="00A455CD">
        <w:rPr>
          <w:rFonts w:ascii="Arial" w:hAnsi="Arial" w:cs="Arial"/>
        </w:rPr>
        <w:t>Argentina</w:t>
      </w:r>
      <w:r w:rsidR="00F36700">
        <w:rPr>
          <w:rFonts w:ascii="Arial" w:hAnsi="Arial" w:cs="Arial"/>
        </w:rPr>
        <w:t>,</w:t>
      </w:r>
      <w:r w:rsidR="00A455CD">
        <w:rPr>
          <w:rFonts w:ascii="Arial" w:hAnsi="Arial" w:cs="Arial"/>
        </w:rPr>
        <w:t xml:space="preserve"> as well as</w:t>
      </w:r>
      <w:r w:rsidR="00F36700">
        <w:rPr>
          <w:rFonts w:ascii="Arial" w:hAnsi="Arial" w:cs="Arial"/>
        </w:rPr>
        <w:t xml:space="preserve"> in the</w:t>
      </w:r>
      <w:r w:rsidR="00A455CD">
        <w:rPr>
          <w:rFonts w:ascii="Arial" w:hAnsi="Arial" w:cs="Arial"/>
        </w:rPr>
        <w:t xml:space="preserve"> Caribbean</w:t>
      </w:r>
      <w:r w:rsidR="002379D8">
        <w:rPr>
          <w:rFonts w:ascii="Arial" w:hAnsi="Arial" w:cs="Arial"/>
        </w:rPr>
        <w:t>.</w:t>
      </w:r>
    </w:p>
    <w:p w14:paraId="71F55D6E" w14:textId="77777777" w:rsidR="002069B0" w:rsidRPr="002069B0" w:rsidRDefault="002069B0" w:rsidP="002069B0">
      <w:pPr>
        <w:pStyle w:val="ListParagraph"/>
        <w:rPr>
          <w:rFonts w:ascii="Arial" w:hAnsi="Arial" w:cs="Arial"/>
        </w:rPr>
      </w:pPr>
    </w:p>
    <w:p w14:paraId="6D0E32CE" w14:textId="77777777" w:rsidR="00F644F7" w:rsidRDefault="001C0653" w:rsidP="00AD612D">
      <w:pPr>
        <w:pStyle w:val="ListParagraph"/>
        <w:numPr>
          <w:ilvl w:val="1"/>
          <w:numId w:val="5"/>
        </w:numPr>
        <w:spacing w:before="120" w:after="120"/>
        <w:ind w:left="360" w:hanging="540"/>
        <w:jc w:val="both"/>
        <w:rPr>
          <w:rFonts w:ascii="Arial" w:hAnsi="Arial" w:cs="Arial"/>
        </w:rPr>
      </w:pPr>
      <w:r>
        <w:rPr>
          <w:rFonts w:ascii="Arial" w:hAnsi="Arial" w:cs="Arial"/>
        </w:rPr>
        <w:t>As has been the case previously, t</w:t>
      </w:r>
      <w:r w:rsidR="00974571" w:rsidRPr="00F644F7">
        <w:rPr>
          <w:rFonts w:ascii="Arial" w:hAnsi="Arial" w:cs="Arial"/>
        </w:rPr>
        <w:t>he Bank will be the executing agency for th</w:t>
      </w:r>
      <w:r w:rsidR="00161A79" w:rsidRPr="00F644F7">
        <w:rPr>
          <w:rFonts w:ascii="Arial" w:hAnsi="Arial" w:cs="Arial"/>
        </w:rPr>
        <w:t>is</w:t>
      </w:r>
      <w:r w:rsidR="00974571" w:rsidRPr="00F644F7">
        <w:rPr>
          <w:rFonts w:ascii="Arial" w:hAnsi="Arial" w:cs="Arial"/>
        </w:rPr>
        <w:t xml:space="preserve"> TC</w:t>
      </w:r>
      <w:r w:rsidR="004858D3">
        <w:rPr>
          <w:rFonts w:ascii="Arial" w:hAnsi="Arial" w:cs="Arial"/>
        </w:rPr>
        <w:t xml:space="preserve"> </w:t>
      </w:r>
      <w:r w:rsidR="00072264">
        <w:rPr>
          <w:rFonts w:ascii="Arial" w:hAnsi="Arial" w:cs="Arial"/>
        </w:rPr>
        <w:t>operation to ensure the optimal application of the AquaRating tool in the LAC region</w:t>
      </w:r>
      <w:r w:rsidR="008B2C88">
        <w:rPr>
          <w:rFonts w:ascii="Arial" w:hAnsi="Arial" w:cs="Arial"/>
        </w:rPr>
        <w:t xml:space="preserve">. </w:t>
      </w:r>
      <w:r w:rsidR="00072264">
        <w:rPr>
          <w:rFonts w:ascii="Arial" w:hAnsi="Arial" w:cs="Arial"/>
        </w:rPr>
        <w:t xml:space="preserve">IWA will be able to continue promoting </w:t>
      </w:r>
      <w:r w:rsidR="00087C07">
        <w:rPr>
          <w:rFonts w:ascii="Arial" w:hAnsi="Arial" w:cs="Arial"/>
        </w:rPr>
        <w:t>the tool</w:t>
      </w:r>
      <w:r w:rsidR="00072264">
        <w:rPr>
          <w:rFonts w:ascii="Arial" w:hAnsi="Arial" w:cs="Arial"/>
        </w:rPr>
        <w:t xml:space="preserve"> in other</w:t>
      </w:r>
      <w:r w:rsidR="00070CD3">
        <w:rPr>
          <w:rFonts w:ascii="Arial" w:hAnsi="Arial" w:cs="Arial"/>
        </w:rPr>
        <w:t xml:space="preserve"> regions of the world</w:t>
      </w:r>
      <w:r w:rsidR="00072264">
        <w:rPr>
          <w:rFonts w:ascii="Arial" w:hAnsi="Arial" w:cs="Arial"/>
        </w:rPr>
        <w:t xml:space="preserve"> (following the principles and procedures set by the IDB)</w:t>
      </w:r>
      <w:r w:rsidR="008B2C88">
        <w:rPr>
          <w:rFonts w:ascii="Arial" w:hAnsi="Arial" w:cs="Arial"/>
        </w:rPr>
        <w:t>.</w:t>
      </w:r>
      <w:r w:rsidR="00416799" w:rsidRPr="00F644F7">
        <w:rPr>
          <w:rFonts w:ascii="Arial" w:hAnsi="Arial" w:cs="Arial"/>
        </w:rPr>
        <w:t xml:space="preserve"> </w:t>
      </w:r>
      <w:r w:rsidR="00407A0F">
        <w:rPr>
          <w:rFonts w:ascii="Arial" w:hAnsi="Arial" w:cs="Arial"/>
        </w:rPr>
        <w:t xml:space="preserve">The </w:t>
      </w:r>
      <w:r w:rsidR="00DF0B28">
        <w:rPr>
          <w:rFonts w:ascii="Arial" w:hAnsi="Arial" w:cs="Arial"/>
        </w:rPr>
        <w:t>technical u</w:t>
      </w:r>
      <w:r w:rsidR="00C34421">
        <w:rPr>
          <w:rFonts w:ascii="Arial" w:hAnsi="Arial" w:cs="Arial"/>
        </w:rPr>
        <w:t xml:space="preserve">nit </w:t>
      </w:r>
      <w:r w:rsidR="00C020A8">
        <w:rPr>
          <w:rFonts w:ascii="Arial" w:hAnsi="Arial" w:cs="Arial"/>
        </w:rPr>
        <w:t>in INE/WSA, which has been overseeing the dissemination and technical aspects of the implementation of AquaRating will continue performing those tasks.</w:t>
      </w:r>
    </w:p>
    <w:p w14:paraId="54BFEDC3" w14:textId="77777777" w:rsidR="00E62052" w:rsidRPr="00E62052" w:rsidRDefault="00E62052" w:rsidP="00E62052">
      <w:pPr>
        <w:pStyle w:val="ListParagraph"/>
        <w:rPr>
          <w:rFonts w:ascii="Arial" w:hAnsi="Arial" w:cs="Arial"/>
        </w:rPr>
      </w:pPr>
    </w:p>
    <w:p w14:paraId="62114574" w14:textId="77777777" w:rsidR="00CD4F32" w:rsidRDefault="00CD4F32" w:rsidP="00D83101">
      <w:pPr>
        <w:pStyle w:val="ListParagraph"/>
        <w:numPr>
          <w:ilvl w:val="1"/>
          <w:numId w:val="5"/>
        </w:numPr>
        <w:spacing w:before="120" w:after="120"/>
        <w:ind w:left="360" w:hanging="540"/>
        <w:jc w:val="both"/>
        <w:rPr>
          <w:rFonts w:ascii="Arial" w:hAnsi="Arial" w:cs="Arial"/>
        </w:rPr>
      </w:pPr>
      <w:r>
        <w:rPr>
          <w:rFonts w:ascii="Arial" w:hAnsi="Arial" w:cs="Arial"/>
        </w:rPr>
        <w:t>A lot of interest in AquaRating has been generated t</w:t>
      </w:r>
      <w:r w:rsidR="00EA73EC" w:rsidRPr="00F644F7">
        <w:rPr>
          <w:rFonts w:ascii="Arial" w:hAnsi="Arial" w:cs="Arial"/>
        </w:rPr>
        <w:t>hrough different events</w:t>
      </w:r>
      <w:r w:rsidR="006A5E8D">
        <w:rPr>
          <w:rFonts w:ascii="Arial" w:hAnsi="Arial" w:cs="Arial"/>
        </w:rPr>
        <w:t xml:space="preserve"> and </w:t>
      </w:r>
      <w:r w:rsidR="00EA73EC" w:rsidRPr="00F644F7">
        <w:rPr>
          <w:rFonts w:ascii="Arial" w:hAnsi="Arial" w:cs="Arial"/>
        </w:rPr>
        <w:t>promotion</w:t>
      </w:r>
      <w:r>
        <w:rPr>
          <w:rFonts w:ascii="Arial" w:hAnsi="Arial" w:cs="Arial"/>
        </w:rPr>
        <w:t>al</w:t>
      </w:r>
      <w:r w:rsidR="0036084D" w:rsidRPr="00F644F7">
        <w:rPr>
          <w:rFonts w:ascii="Arial" w:hAnsi="Arial" w:cs="Arial"/>
        </w:rPr>
        <w:t xml:space="preserve"> efforts</w:t>
      </w:r>
      <w:r>
        <w:rPr>
          <w:rFonts w:ascii="Arial" w:hAnsi="Arial" w:cs="Arial"/>
        </w:rPr>
        <w:t xml:space="preserve">. As a result, </w:t>
      </w:r>
      <w:r w:rsidR="00EA73EC" w:rsidRPr="00F644F7">
        <w:rPr>
          <w:rFonts w:ascii="Arial" w:hAnsi="Arial" w:cs="Arial"/>
        </w:rPr>
        <w:t xml:space="preserve">several </w:t>
      </w:r>
      <w:r w:rsidR="00416799" w:rsidRPr="00F644F7">
        <w:rPr>
          <w:rFonts w:ascii="Arial" w:hAnsi="Arial" w:cs="Arial"/>
        </w:rPr>
        <w:t>water and sanitation utilities</w:t>
      </w:r>
      <w:r w:rsidR="00EA73EC" w:rsidRPr="00F644F7">
        <w:rPr>
          <w:rFonts w:ascii="Arial" w:hAnsi="Arial" w:cs="Arial"/>
        </w:rPr>
        <w:t xml:space="preserve"> in LAC have </w:t>
      </w:r>
      <w:r w:rsidR="00416799" w:rsidRPr="00F644F7">
        <w:rPr>
          <w:rFonts w:ascii="Arial" w:hAnsi="Arial" w:cs="Arial"/>
        </w:rPr>
        <w:t xml:space="preserve">expressed their </w:t>
      </w:r>
      <w:r w:rsidR="00F644F7" w:rsidRPr="00F644F7">
        <w:rPr>
          <w:rFonts w:ascii="Arial" w:hAnsi="Arial" w:cs="Arial"/>
        </w:rPr>
        <w:t xml:space="preserve">intention to </w:t>
      </w:r>
      <w:r w:rsidR="00681994">
        <w:rPr>
          <w:rFonts w:ascii="Arial" w:hAnsi="Arial" w:cs="Arial"/>
        </w:rPr>
        <w:t xml:space="preserve">apply </w:t>
      </w:r>
      <w:r w:rsidR="0036084D" w:rsidRPr="00F644F7">
        <w:rPr>
          <w:rFonts w:ascii="Arial" w:hAnsi="Arial" w:cs="Arial"/>
        </w:rPr>
        <w:t xml:space="preserve">AquaRating to </w:t>
      </w:r>
      <w:r>
        <w:rPr>
          <w:rFonts w:ascii="Arial" w:hAnsi="Arial" w:cs="Arial"/>
        </w:rPr>
        <w:t>know better about the state of their infrastructure</w:t>
      </w:r>
      <w:r w:rsidR="0036084D" w:rsidRPr="00F644F7">
        <w:rPr>
          <w:rFonts w:ascii="Arial" w:hAnsi="Arial" w:cs="Arial"/>
        </w:rPr>
        <w:t xml:space="preserve"> and improve their performance. </w:t>
      </w:r>
      <w:r>
        <w:rPr>
          <w:rFonts w:ascii="Arial" w:hAnsi="Arial" w:cs="Arial"/>
        </w:rPr>
        <w:t>In addition, some</w:t>
      </w:r>
      <w:r w:rsidR="00194DD8">
        <w:rPr>
          <w:rFonts w:ascii="Arial" w:hAnsi="Arial" w:cs="Arial"/>
        </w:rPr>
        <w:t xml:space="preserve"> donors are willing to finance the application of AquaRating </w:t>
      </w:r>
      <w:r>
        <w:rPr>
          <w:rFonts w:ascii="Arial" w:hAnsi="Arial" w:cs="Arial"/>
        </w:rPr>
        <w:t>i</w:t>
      </w:r>
      <w:r w:rsidR="00194DD8">
        <w:rPr>
          <w:rFonts w:ascii="Arial" w:hAnsi="Arial" w:cs="Arial"/>
        </w:rPr>
        <w:t>n selected utilities</w:t>
      </w:r>
      <w:r>
        <w:rPr>
          <w:rFonts w:ascii="Arial" w:hAnsi="Arial" w:cs="Arial"/>
        </w:rPr>
        <w:t>.</w:t>
      </w:r>
      <w:r w:rsidR="00194DD8">
        <w:rPr>
          <w:rFonts w:ascii="Arial" w:hAnsi="Arial" w:cs="Arial"/>
        </w:rPr>
        <w:t xml:space="preserve"> </w:t>
      </w:r>
      <w:r w:rsidR="00816943">
        <w:rPr>
          <w:rFonts w:ascii="Arial" w:hAnsi="Arial" w:cs="Arial"/>
        </w:rPr>
        <w:t xml:space="preserve">The IDB needs the resources to respond to the current </w:t>
      </w:r>
      <w:r w:rsidR="00F87657">
        <w:rPr>
          <w:rFonts w:ascii="Arial" w:hAnsi="Arial" w:cs="Arial"/>
        </w:rPr>
        <w:t xml:space="preserve">and future </w:t>
      </w:r>
      <w:r w:rsidR="00816943">
        <w:rPr>
          <w:rFonts w:ascii="Arial" w:hAnsi="Arial" w:cs="Arial"/>
        </w:rPr>
        <w:t>demand</w:t>
      </w:r>
      <w:r>
        <w:rPr>
          <w:rFonts w:ascii="Arial" w:hAnsi="Arial" w:cs="Arial"/>
        </w:rPr>
        <w:t xml:space="preserve"> for the tool</w:t>
      </w:r>
      <w:r w:rsidR="00F87657">
        <w:rPr>
          <w:rFonts w:ascii="Arial" w:hAnsi="Arial" w:cs="Arial"/>
        </w:rPr>
        <w:t>.</w:t>
      </w:r>
    </w:p>
    <w:p w14:paraId="4BA25765" w14:textId="77777777" w:rsidR="00F64743" w:rsidRPr="00F64743" w:rsidRDefault="00F64743" w:rsidP="00F64743">
      <w:pPr>
        <w:pStyle w:val="ListParagraph"/>
        <w:rPr>
          <w:rFonts w:ascii="Arial" w:hAnsi="Arial" w:cs="Arial"/>
        </w:rPr>
      </w:pPr>
    </w:p>
    <w:p w14:paraId="2DFF98E1" w14:textId="7389C40A" w:rsidR="00F64743" w:rsidRPr="00F64743" w:rsidRDefault="00544A58" w:rsidP="00A4108D">
      <w:pPr>
        <w:pStyle w:val="ListParagraph"/>
        <w:numPr>
          <w:ilvl w:val="1"/>
          <w:numId w:val="5"/>
        </w:numPr>
        <w:shd w:val="clear" w:color="auto" w:fill="FFFFFF"/>
        <w:spacing w:before="120" w:after="120"/>
        <w:ind w:left="360" w:hanging="540"/>
        <w:jc w:val="both"/>
        <w:rPr>
          <w:rFonts w:ascii="Arial" w:hAnsi="Arial" w:cs="Arial"/>
          <w:color w:val="212121"/>
        </w:rPr>
      </w:pPr>
      <w:r w:rsidRPr="00F64743">
        <w:rPr>
          <w:rFonts w:ascii="Arial" w:hAnsi="Arial" w:cs="Arial"/>
        </w:rPr>
        <w:t xml:space="preserve">This TC is </w:t>
      </w:r>
      <w:r w:rsidR="00C21B34" w:rsidRPr="00F64743">
        <w:rPr>
          <w:rFonts w:ascii="Arial" w:hAnsi="Arial" w:cs="Arial"/>
        </w:rPr>
        <w:t xml:space="preserve">consistent with the </w:t>
      </w:r>
      <w:r w:rsidR="005273DD" w:rsidRPr="00F64743">
        <w:rPr>
          <w:rFonts w:ascii="Arial" w:hAnsi="Arial" w:cs="Arial"/>
        </w:rPr>
        <w:t>Update to the Institutional Strategy (UIS) 2010-2020 (</w:t>
      </w:r>
      <w:r w:rsidR="00F36700">
        <w:rPr>
          <w:rFonts w:ascii="Arial" w:hAnsi="Arial" w:cs="Arial"/>
        </w:rPr>
        <w:t>AB-3008</w:t>
      </w:r>
      <w:r w:rsidR="005273DD" w:rsidRPr="00F64743">
        <w:rPr>
          <w:rFonts w:ascii="Arial" w:hAnsi="Arial" w:cs="Arial"/>
        </w:rPr>
        <w:t xml:space="preserve">) and is aligned with the development challenges of: (i) productivity and innovation; and (ii) </w:t>
      </w:r>
      <w:r w:rsidR="00416FBD">
        <w:rPr>
          <w:rFonts w:ascii="Arial" w:hAnsi="Arial" w:cs="Arial"/>
        </w:rPr>
        <w:t>i</w:t>
      </w:r>
      <w:r w:rsidR="00416FBD" w:rsidRPr="00416FBD">
        <w:rPr>
          <w:rFonts w:ascii="Arial" w:hAnsi="Arial" w:cs="Arial"/>
        </w:rPr>
        <w:t>nstitutional capacity and rule of law</w:t>
      </w:r>
      <w:r w:rsidR="0035244B" w:rsidRPr="00F64743">
        <w:rPr>
          <w:rFonts w:ascii="Arial" w:hAnsi="Arial" w:cs="Arial"/>
        </w:rPr>
        <w:t>.</w:t>
      </w:r>
      <w:r w:rsidR="00F64743" w:rsidRPr="00F64743">
        <w:rPr>
          <w:rFonts w:ascii="Arial" w:hAnsi="Arial" w:cs="Arial"/>
          <w:color w:val="212121"/>
          <w:lang w:val="en"/>
        </w:rPr>
        <w:t xml:space="preserve"> The TC is aligned with the cross-cutting areas of: (i) climate change; and (ii) environmental sustainability by improving the management of infrastructure and water as a natural resource</w:t>
      </w:r>
      <w:r w:rsidR="009B3B38">
        <w:rPr>
          <w:rFonts w:ascii="Arial" w:hAnsi="Arial" w:cs="Arial"/>
          <w:color w:val="212121"/>
          <w:lang w:val="en"/>
        </w:rPr>
        <w:t>.</w:t>
      </w:r>
    </w:p>
    <w:p w14:paraId="4198CBC0" w14:textId="77777777" w:rsidR="00C907F8" w:rsidRPr="00C907F8" w:rsidRDefault="00C907F8" w:rsidP="00C907F8">
      <w:pPr>
        <w:pStyle w:val="ListParagraph"/>
        <w:rPr>
          <w:rFonts w:ascii="Arial" w:hAnsi="Arial" w:cs="Arial"/>
        </w:rPr>
      </w:pPr>
    </w:p>
    <w:p w14:paraId="1DCD60B0" w14:textId="77777777" w:rsidR="00C907F8" w:rsidRPr="00F36700" w:rsidRDefault="00171DED" w:rsidP="008E2FBD">
      <w:pPr>
        <w:pStyle w:val="ListParagraph"/>
        <w:numPr>
          <w:ilvl w:val="1"/>
          <w:numId w:val="5"/>
        </w:numPr>
        <w:shd w:val="clear" w:color="auto" w:fill="FFFFFF"/>
        <w:spacing w:before="120" w:after="120"/>
        <w:ind w:left="360" w:hanging="540"/>
        <w:jc w:val="both"/>
        <w:rPr>
          <w:rFonts w:ascii="Arial" w:hAnsi="Arial" w:cs="Arial"/>
          <w:color w:val="212121"/>
        </w:rPr>
      </w:pPr>
      <w:r w:rsidRPr="00C907F8">
        <w:rPr>
          <w:rFonts w:ascii="Arial" w:hAnsi="Arial" w:cs="Arial"/>
        </w:rPr>
        <w:t xml:space="preserve">In addition, this TC is aligned with the </w:t>
      </w:r>
      <w:r w:rsidR="00E81A83" w:rsidRPr="00C907F8">
        <w:rPr>
          <w:rFonts w:ascii="Arial" w:hAnsi="Arial" w:cs="Arial"/>
        </w:rPr>
        <w:t>five dimensions</w:t>
      </w:r>
      <w:r w:rsidR="00C907F8" w:rsidRPr="00C907F8">
        <w:rPr>
          <w:rFonts w:ascii="Arial" w:hAnsi="Arial" w:cs="Arial"/>
        </w:rPr>
        <w:t xml:space="preserve"> defined in the Document of </w:t>
      </w:r>
      <w:r w:rsidR="00C907F8">
        <w:rPr>
          <w:rFonts w:ascii="Arial" w:hAnsi="Arial" w:cs="Arial"/>
        </w:rPr>
        <w:t>Water and Sanitation Sector</w:t>
      </w:r>
      <w:r w:rsidR="00C907F8" w:rsidRPr="00C907F8">
        <w:rPr>
          <w:rFonts w:ascii="Arial" w:hAnsi="Arial" w:cs="Arial"/>
        </w:rPr>
        <w:t xml:space="preserve"> Framework</w:t>
      </w:r>
      <w:r w:rsidR="00E81A83" w:rsidRPr="00C907F8">
        <w:rPr>
          <w:rFonts w:ascii="Arial" w:hAnsi="Arial" w:cs="Arial"/>
        </w:rPr>
        <w:t xml:space="preserve"> </w:t>
      </w:r>
      <w:r w:rsidR="00C907F8">
        <w:rPr>
          <w:rFonts w:ascii="Arial" w:hAnsi="Arial" w:cs="Arial"/>
        </w:rPr>
        <w:t xml:space="preserve">(SFD </w:t>
      </w:r>
      <w:r w:rsidR="00C907F8" w:rsidRPr="00C907F8">
        <w:rPr>
          <w:rFonts w:ascii="Arial" w:hAnsi="Arial" w:cs="Arial"/>
          <w:color w:val="212121"/>
          <w:lang w:val="en"/>
        </w:rPr>
        <w:t>document GN-2781-8) approved by the Bank in December 2017. In the SFD, the dimensions of success and lines of action for the sector were defined, including achieving universal access to water and sanitation, improving the quality of the service, incorporating good practices in the management of infrastructure and the use of appropriate technologies, as well as the inclusion of aspects of water security.</w:t>
      </w:r>
    </w:p>
    <w:p w14:paraId="6B0314E7" w14:textId="77777777" w:rsidR="00F36700" w:rsidRPr="00F36700" w:rsidRDefault="00F36700" w:rsidP="00F36700">
      <w:pPr>
        <w:pStyle w:val="ListParagraph"/>
        <w:rPr>
          <w:rFonts w:ascii="Arial" w:hAnsi="Arial" w:cs="Arial"/>
          <w:color w:val="212121"/>
        </w:rPr>
      </w:pPr>
    </w:p>
    <w:p w14:paraId="1607B741" w14:textId="77777777" w:rsidR="00396D3A" w:rsidRDefault="00D95606" w:rsidP="00FF6B26">
      <w:pPr>
        <w:pStyle w:val="ListParagraph"/>
        <w:numPr>
          <w:ilvl w:val="0"/>
          <w:numId w:val="5"/>
        </w:numPr>
        <w:spacing w:before="120" w:after="120"/>
        <w:jc w:val="both"/>
        <w:rPr>
          <w:rFonts w:ascii="Arial" w:hAnsi="Arial" w:cs="Arial"/>
          <w:b/>
        </w:rPr>
      </w:pPr>
      <w:r w:rsidRPr="00A454FF">
        <w:rPr>
          <w:rFonts w:ascii="Arial" w:hAnsi="Arial" w:cs="Arial"/>
          <w:b/>
        </w:rPr>
        <w:t>D</w:t>
      </w:r>
      <w:r w:rsidR="0095711B" w:rsidRPr="00A454FF">
        <w:rPr>
          <w:rFonts w:ascii="Arial" w:hAnsi="Arial" w:cs="Arial"/>
          <w:b/>
        </w:rPr>
        <w:t xml:space="preserve">escription </w:t>
      </w:r>
      <w:r w:rsidR="00A12C27" w:rsidRPr="00A454FF">
        <w:rPr>
          <w:rFonts w:ascii="Arial" w:hAnsi="Arial" w:cs="Arial"/>
          <w:b/>
        </w:rPr>
        <w:t>of activities</w:t>
      </w:r>
      <w:r w:rsidR="00F2521F" w:rsidRPr="00A454FF">
        <w:rPr>
          <w:rFonts w:ascii="Arial" w:hAnsi="Arial" w:cs="Arial"/>
          <w:b/>
        </w:rPr>
        <w:t xml:space="preserve"> and outputs</w:t>
      </w:r>
    </w:p>
    <w:p w14:paraId="410E05F1" w14:textId="77777777" w:rsidR="00396D3A" w:rsidRDefault="00396D3A" w:rsidP="00396D3A">
      <w:pPr>
        <w:pStyle w:val="ListParagraph"/>
        <w:spacing w:before="120" w:after="120"/>
        <w:ind w:left="360"/>
        <w:jc w:val="both"/>
        <w:rPr>
          <w:rFonts w:ascii="Arial" w:hAnsi="Arial" w:cs="Arial"/>
          <w:b/>
        </w:rPr>
      </w:pPr>
    </w:p>
    <w:p w14:paraId="78318A13" w14:textId="4BDD48A9" w:rsidR="00B52E97" w:rsidRPr="006B5438" w:rsidRDefault="000441E4" w:rsidP="002D6FDA">
      <w:pPr>
        <w:pStyle w:val="ListParagraph"/>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color w:val="212121"/>
        </w:rPr>
      </w:pPr>
      <w:r w:rsidRPr="006B5438">
        <w:rPr>
          <w:rFonts w:ascii="Arial" w:hAnsi="Arial" w:cs="Arial"/>
          <w:b/>
        </w:rPr>
        <w:t>Component 1.</w:t>
      </w:r>
      <w:r w:rsidR="00675DDF" w:rsidRPr="006B5438">
        <w:rPr>
          <w:rFonts w:ascii="Arial" w:hAnsi="Arial" w:cs="Arial"/>
          <w:b/>
        </w:rPr>
        <w:t xml:space="preserve"> </w:t>
      </w:r>
      <w:r w:rsidR="00A2740A" w:rsidRPr="006B5438">
        <w:rPr>
          <w:rFonts w:ascii="Arial" w:hAnsi="Arial" w:cs="Arial"/>
          <w:b/>
        </w:rPr>
        <w:t>Management of AquaRating and implementation in LAC</w:t>
      </w:r>
      <w:r w:rsidR="00386DAA" w:rsidRPr="006B5438">
        <w:rPr>
          <w:rFonts w:ascii="Arial" w:hAnsi="Arial" w:cs="Arial"/>
          <w:b/>
        </w:rPr>
        <w:t xml:space="preserve">. </w:t>
      </w:r>
      <w:r w:rsidR="00F32BD2" w:rsidRPr="006B5438">
        <w:rPr>
          <w:rFonts w:ascii="Arial" w:hAnsi="Arial" w:cs="Arial"/>
        </w:rPr>
        <w:t>Th</w:t>
      </w:r>
      <w:r w:rsidR="00A23F4A" w:rsidRPr="006B5438">
        <w:rPr>
          <w:rFonts w:ascii="Arial" w:hAnsi="Arial" w:cs="Arial"/>
        </w:rPr>
        <w:t>is component will finance</w:t>
      </w:r>
      <w:r w:rsidR="005841D4" w:rsidRPr="006B5438">
        <w:rPr>
          <w:rFonts w:ascii="Arial" w:hAnsi="Arial" w:cs="Arial"/>
        </w:rPr>
        <w:t xml:space="preserve"> </w:t>
      </w:r>
      <w:r w:rsidR="00F36700" w:rsidRPr="006B5438">
        <w:rPr>
          <w:rFonts w:ascii="Arial" w:hAnsi="Arial" w:cs="Arial"/>
        </w:rPr>
        <w:t xml:space="preserve">the following </w:t>
      </w:r>
      <w:r w:rsidR="005841D4" w:rsidRPr="006B5438">
        <w:rPr>
          <w:rFonts w:ascii="Arial" w:hAnsi="Arial" w:cs="Arial"/>
        </w:rPr>
        <w:t>activities:</w:t>
      </w:r>
      <w:r w:rsidR="00F32BD2" w:rsidRPr="006B5438">
        <w:rPr>
          <w:rFonts w:ascii="Arial" w:hAnsi="Arial" w:cs="Arial"/>
        </w:rPr>
        <w:t xml:space="preserve"> </w:t>
      </w:r>
      <w:r w:rsidR="00163294" w:rsidRPr="006B5438">
        <w:rPr>
          <w:rFonts w:ascii="Arial" w:hAnsi="Arial" w:cs="Arial"/>
        </w:rPr>
        <w:t>(i)</w:t>
      </w:r>
      <w:r w:rsidR="00F32BD2" w:rsidRPr="006B5438">
        <w:rPr>
          <w:rFonts w:ascii="Arial" w:hAnsi="Arial" w:cs="Arial"/>
        </w:rPr>
        <w:t xml:space="preserve"> provide the technical support that utilities require during the application of AquaRating</w:t>
      </w:r>
      <w:r w:rsidR="00163294" w:rsidRPr="006B5438">
        <w:rPr>
          <w:rFonts w:ascii="Arial" w:hAnsi="Arial" w:cs="Arial"/>
        </w:rPr>
        <w:t>; (ii) validate</w:t>
      </w:r>
      <w:r w:rsidR="007E0605" w:rsidRPr="006B5438">
        <w:rPr>
          <w:rFonts w:ascii="Arial" w:hAnsi="Arial" w:cs="Arial"/>
        </w:rPr>
        <w:t xml:space="preserve"> the</w:t>
      </w:r>
      <w:r w:rsidR="00163294" w:rsidRPr="006B5438">
        <w:rPr>
          <w:rFonts w:ascii="Arial" w:hAnsi="Arial" w:cs="Arial"/>
        </w:rPr>
        <w:t xml:space="preserve"> consistency of the information </w:t>
      </w:r>
      <w:r w:rsidR="00852EC3" w:rsidRPr="006B5438">
        <w:rPr>
          <w:rFonts w:ascii="Arial" w:hAnsi="Arial" w:cs="Arial"/>
        </w:rPr>
        <w:t xml:space="preserve">provided </w:t>
      </w:r>
      <w:r w:rsidR="007E0605" w:rsidRPr="006B5438">
        <w:rPr>
          <w:rFonts w:ascii="Arial" w:hAnsi="Arial" w:cs="Arial"/>
        </w:rPr>
        <w:t xml:space="preserve">by utilities </w:t>
      </w:r>
      <w:r w:rsidR="00852EC3" w:rsidRPr="006B5438">
        <w:rPr>
          <w:rFonts w:ascii="Arial" w:hAnsi="Arial" w:cs="Arial"/>
        </w:rPr>
        <w:t>to assess their performance prior to the auditing process</w:t>
      </w:r>
      <w:r w:rsidR="00163294" w:rsidRPr="006B5438">
        <w:rPr>
          <w:rFonts w:ascii="Arial" w:hAnsi="Arial" w:cs="Arial"/>
        </w:rPr>
        <w:t>; (iii)</w:t>
      </w:r>
      <w:r w:rsidR="000125B7" w:rsidRPr="006B5438">
        <w:rPr>
          <w:rFonts w:ascii="Arial" w:eastAsia="Times New Roman" w:hAnsi="Arial" w:cs="Arial"/>
          <w:color w:val="212121"/>
          <w:lang w:val="en"/>
        </w:rPr>
        <w:t xml:space="preserve"> </w:t>
      </w:r>
      <w:r w:rsidR="00F36700" w:rsidRPr="006B5438">
        <w:rPr>
          <w:rFonts w:ascii="Arial" w:eastAsia="Times New Roman" w:hAnsi="Arial" w:cs="Arial"/>
          <w:color w:val="212121"/>
          <w:lang w:val="en"/>
        </w:rPr>
        <w:t>p</w:t>
      </w:r>
      <w:r w:rsidR="000125B7" w:rsidRPr="006B5438">
        <w:rPr>
          <w:rFonts w:ascii="Arial" w:eastAsia="Times New Roman" w:hAnsi="Arial" w:cs="Arial"/>
          <w:color w:val="212121"/>
          <w:lang w:val="en"/>
        </w:rPr>
        <w:t xml:space="preserve">rogram management, </w:t>
      </w:r>
      <w:r w:rsidR="00E80C19" w:rsidRPr="006B5438">
        <w:rPr>
          <w:rFonts w:ascii="Arial" w:eastAsia="Times New Roman" w:hAnsi="Arial" w:cs="Arial"/>
          <w:color w:val="212121"/>
          <w:lang w:val="en"/>
        </w:rPr>
        <w:t>monitor</w:t>
      </w:r>
      <w:r w:rsidR="000125B7" w:rsidRPr="006B5438">
        <w:rPr>
          <w:rFonts w:ascii="Arial" w:eastAsia="Times New Roman" w:hAnsi="Arial" w:cs="Arial"/>
          <w:color w:val="212121"/>
          <w:lang w:val="en"/>
        </w:rPr>
        <w:t xml:space="preserve">ing, license management, </w:t>
      </w:r>
      <w:r w:rsidR="00A7187D" w:rsidRPr="006B5438">
        <w:rPr>
          <w:rFonts w:ascii="Arial" w:eastAsia="Times New Roman" w:hAnsi="Arial" w:cs="Arial"/>
          <w:color w:val="212121"/>
          <w:lang w:val="en"/>
        </w:rPr>
        <w:t xml:space="preserve">process </w:t>
      </w:r>
      <w:r w:rsidR="000125B7" w:rsidRPr="006B5438">
        <w:rPr>
          <w:rFonts w:ascii="Arial" w:eastAsia="Times New Roman" w:hAnsi="Arial" w:cs="Arial"/>
          <w:color w:val="212121"/>
          <w:lang w:val="en"/>
        </w:rPr>
        <w:t xml:space="preserve">administration, communication management, budget management, contract management, strategic planning, AR implementation support, AR knowledge management, articulation / participation of events, identification and implementation of improvement opportunities. Accompaniment to operators in the implementation, work sessions, follow-up, training, requirements attention, validation, audits, etc. </w:t>
      </w:r>
      <w:r w:rsidR="006B5438" w:rsidRPr="006B5438">
        <w:rPr>
          <w:rFonts w:ascii="Arial" w:eastAsia="Times New Roman" w:hAnsi="Arial" w:cs="Arial"/>
          <w:color w:val="212121"/>
          <w:lang w:val="en"/>
        </w:rPr>
        <w:t xml:space="preserve"> </w:t>
      </w:r>
      <w:r w:rsidR="00B52E97" w:rsidRPr="006B5438">
        <w:rPr>
          <w:rFonts w:ascii="Arial" w:eastAsia="Times New Roman" w:hAnsi="Arial" w:cs="Arial"/>
          <w:color w:val="212121"/>
        </w:rPr>
        <w:t>A consultant or consulting firm will be hired to perform the required management in the component.</w:t>
      </w:r>
      <w:r w:rsidR="006B5438" w:rsidRPr="006B5438">
        <w:rPr>
          <w:rFonts w:ascii="Arial" w:eastAsia="Times New Roman" w:hAnsi="Arial" w:cs="Arial"/>
          <w:color w:val="212121"/>
        </w:rPr>
        <w:t xml:space="preserve"> </w:t>
      </w:r>
      <w:r w:rsidR="00B52E97" w:rsidRPr="006B5438">
        <w:rPr>
          <w:rFonts w:ascii="Arial" w:eastAsia="Times New Roman" w:hAnsi="Arial" w:cs="Arial"/>
          <w:color w:val="212121"/>
        </w:rPr>
        <w:t>The expected results in this component are monthly monitoring reports, monitoring of the operation of the platform, communication materials, quality control of the process, budget monitoring, workshops, training, etc.</w:t>
      </w:r>
    </w:p>
    <w:p w14:paraId="30EBBBDB" w14:textId="77777777" w:rsidR="008635A8" w:rsidRPr="00396D3A" w:rsidRDefault="008635A8" w:rsidP="00396D3A">
      <w:pPr>
        <w:pStyle w:val="ListParagraph"/>
        <w:spacing w:before="120" w:after="120"/>
        <w:ind w:left="360"/>
        <w:jc w:val="both"/>
        <w:rPr>
          <w:rFonts w:ascii="Arial" w:hAnsi="Arial" w:cs="Arial"/>
          <w:b/>
        </w:rPr>
      </w:pPr>
    </w:p>
    <w:p w14:paraId="3776C108" w14:textId="3BB5D117" w:rsidR="00F36700" w:rsidRPr="006B5438" w:rsidRDefault="000441E4" w:rsidP="00476F62">
      <w:pPr>
        <w:pStyle w:val="ListParagraph"/>
        <w:numPr>
          <w:ilvl w:val="1"/>
          <w:numId w:val="5"/>
        </w:numPr>
        <w:shd w:val="clear" w:color="auto" w:fill="FFFFFF"/>
        <w:spacing w:before="120" w:after="0" w:line="240" w:lineRule="auto"/>
        <w:ind w:left="360" w:hanging="540"/>
        <w:jc w:val="both"/>
        <w:rPr>
          <w:rFonts w:ascii="Arial" w:eastAsia="Times New Roman" w:hAnsi="Arial" w:cs="Arial"/>
          <w:color w:val="212121"/>
        </w:rPr>
      </w:pPr>
      <w:r w:rsidRPr="006B5438">
        <w:rPr>
          <w:rFonts w:ascii="Arial" w:hAnsi="Arial" w:cs="Arial"/>
          <w:b/>
        </w:rPr>
        <w:t>Component 2.</w:t>
      </w:r>
      <w:r w:rsidR="00675DDF" w:rsidRPr="006B5438">
        <w:rPr>
          <w:rFonts w:ascii="Arial" w:hAnsi="Arial" w:cs="Arial"/>
          <w:b/>
        </w:rPr>
        <w:t xml:space="preserve"> </w:t>
      </w:r>
      <w:r w:rsidR="00116BF8" w:rsidRPr="006B5438">
        <w:rPr>
          <w:rFonts w:ascii="Arial" w:hAnsi="Arial" w:cs="Arial"/>
          <w:b/>
        </w:rPr>
        <w:t>Updating of the AquaRating Standard.</w:t>
      </w:r>
      <w:r w:rsidR="00595ABF" w:rsidRPr="006B5438">
        <w:rPr>
          <w:rFonts w:ascii="Arial" w:hAnsi="Arial" w:cs="Arial"/>
        </w:rPr>
        <w:t xml:space="preserve"> This component</w:t>
      </w:r>
      <w:r w:rsidR="00BF5AED" w:rsidRPr="006B5438">
        <w:rPr>
          <w:rFonts w:ascii="Arial" w:hAnsi="Arial" w:cs="Arial"/>
        </w:rPr>
        <w:t xml:space="preserve"> </w:t>
      </w:r>
      <w:r w:rsidR="00E83F46" w:rsidRPr="006B5438">
        <w:rPr>
          <w:rFonts w:ascii="Arial" w:hAnsi="Arial" w:cs="Arial"/>
        </w:rPr>
        <w:t>will finance</w:t>
      </w:r>
      <w:r w:rsidR="00D51559" w:rsidRPr="006B5438">
        <w:rPr>
          <w:rFonts w:ascii="Arial" w:hAnsi="Arial" w:cs="Arial"/>
        </w:rPr>
        <w:t xml:space="preserve">: </w:t>
      </w:r>
      <w:r w:rsidR="00BC4D90" w:rsidRPr="006B5438">
        <w:rPr>
          <w:rFonts w:ascii="Arial" w:hAnsi="Arial" w:cs="Arial"/>
        </w:rPr>
        <w:t>(</w:t>
      </w:r>
      <w:r w:rsidR="00A3256B" w:rsidRPr="006B5438">
        <w:rPr>
          <w:rFonts w:ascii="Arial" w:hAnsi="Arial" w:cs="Arial"/>
        </w:rPr>
        <w:t>i)</w:t>
      </w:r>
      <w:r w:rsidR="00595ABF" w:rsidRPr="006B5438">
        <w:rPr>
          <w:rFonts w:ascii="Arial" w:hAnsi="Arial" w:cs="Arial"/>
        </w:rPr>
        <w:t xml:space="preserve"> </w:t>
      </w:r>
      <w:r w:rsidR="00FF0D0C" w:rsidRPr="006B5438">
        <w:rPr>
          <w:rFonts w:ascii="Arial" w:hAnsi="Arial" w:cs="Arial"/>
          <w:color w:val="212121"/>
          <w:shd w:val="clear" w:color="auto" w:fill="FFFFFF"/>
        </w:rPr>
        <w:t xml:space="preserve">the update and inclusion of new relevant components in the sector and replacement by elements defined as not relevant; and (ii) the update of the </w:t>
      </w:r>
      <w:proofErr w:type="spellStart"/>
      <w:r w:rsidR="00FF0D0C" w:rsidRPr="006B5438">
        <w:rPr>
          <w:rFonts w:ascii="Arial" w:hAnsi="Arial" w:cs="Arial"/>
          <w:color w:val="212121"/>
          <w:shd w:val="clear" w:color="auto" w:fill="FFFFFF"/>
        </w:rPr>
        <w:t>Aquarating</w:t>
      </w:r>
      <w:proofErr w:type="spellEnd"/>
      <w:r w:rsidR="00FF0D0C" w:rsidRPr="006B5438">
        <w:rPr>
          <w:rFonts w:ascii="Arial" w:hAnsi="Arial" w:cs="Arial"/>
          <w:color w:val="212121"/>
          <w:shd w:val="clear" w:color="auto" w:fill="FFFFFF"/>
        </w:rPr>
        <w:t xml:space="preserve"> </w:t>
      </w:r>
      <w:r w:rsidR="003F6FFB" w:rsidRPr="006B5438">
        <w:rPr>
          <w:rFonts w:ascii="Arial" w:hAnsi="Arial" w:cs="Arial"/>
          <w:color w:val="212121"/>
          <w:shd w:val="clear" w:color="auto" w:fill="FFFFFF"/>
        </w:rPr>
        <w:t>tool</w:t>
      </w:r>
      <w:r w:rsidR="00FF0D0C" w:rsidRPr="006B5438">
        <w:rPr>
          <w:rFonts w:ascii="Arial" w:hAnsi="Arial" w:cs="Arial"/>
          <w:color w:val="212121"/>
          <w:shd w:val="clear" w:color="auto" w:fill="FFFFFF"/>
        </w:rPr>
        <w:t>.</w:t>
      </w:r>
      <w:r w:rsidR="006B5438" w:rsidRPr="006B5438">
        <w:rPr>
          <w:rFonts w:ascii="Arial" w:hAnsi="Arial" w:cs="Arial"/>
          <w:color w:val="212121"/>
          <w:shd w:val="clear" w:color="auto" w:fill="FFFFFF"/>
        </w:rPr>
        <w:t xml:space="preserve"> </w:t>
      </w:r>
      <w:r w:rsidR="00B52E97" w:rsidRPr="006B5438">
        <w:rPr>
          <w:rFonts w:ascii="Arial" w:eastAsia="Times New Roman" w:hAnsi="Arial" w:cs="Arial"/>
          <w:color w:val="212121"/>
        </w:rPr>
        <w:t xml:space="preserve">A team of individual consultants or specialized firms will be hired to analyze all areas of evaluation of the </w:t>
      </w:r>
      <w:proofErr w:type="spellStart"/>
      <w:r w:rsidR="00AC60DF" w:rsidRPr="006B5438">
        <w:rPr>
          <w:rFonts w:ascii="Arial" w:eastAsia="Times New Roman" w:hAnsi="Arial" w:cs="Arial"/>
          <w:color w:val="212121"/>
        </w:rPr>
        <w:t>AquaRating</w:t>
      </w:r>
      <w:proofErr w:type="spellEnd"/>
      <w:r w:rsidR="00AC60DF" w:rsidRPr="006B5438">
        <w:rPr>
          <w:rFonts w:ascii="Arial" w:eastAsia="Times New Roman" w:hAnsi="Arial" w:cs="Arial"/>
          <w:color w:val="212121"/>
        </w:rPr>
        <w:t>.</w:t>
      </w:r>
      <w:r w:rsidR="000B5ABD" w:rsidRPr="006B5438">
        <w:rPr>
          <w:rFonts w:ascii="Arial" w:eastAsia="Times New Roman" w:hAnsi="Arial" w:cs="Arial"/>
          <w:color w:val="212121"/>
        </w:rPr>
        <w:t xml:space="preserve"> </w:t>
      </w:r>
      <w:r w:rsidR="00AC60DF" w:rsidRPr="006B5438">
        <w:rPr>
          <w:rFonts w:ascii="Arial" w:eastAsia="Times New Roman" w:hAnsi="Arial" w:cs="Arial"/>
          <w:color w:val="212121"/>
        </w:rPr>
        <w:t>The expected result is a diagnosis of the current content of the AquaRating standard, the new elements to be included and the automation on the platform</w:t>
      </w:r>
    </w:p>
    <w:p w14:paraId="0514C521" w14:textId="77777777" w:rsidR="00396D3A" w:rsidRPr="00396D3A" w:rsidRDefault="00396D3A" w:rsidP="00396D3A">
      <w:pPr>
        <w:pStyle w:val="ListParagraph"/>
        <w:rPr>
          <w:rFonts w:ascii="Arial" w:hAnsi="Arial" w:cs="Arial"/>
          <w:b/>
        </w:rPr>
      </w:pPr>
    </w:p>
    <w:p w14:paraId="08DB23F6" w14:textId="77777777" w:rsidR="00B50E63" w:rsidRPr="00F36700" w:rsidRDefault="000441E4" w:rsidP="00675DDF">
      <w:pPr>
        <w:pStyle w:val="ListParagraph"/>
        <w:numPr>
          <w:ilvl w:val="1"/>
          <w:numId w:val="5"/>
        </w:numPr>
        <w:spacing w:before="120" w:after="120"/>
        <w:ind w:left="360" w:hanging="540"/>
        <w:jc w:val="both"/>
        <w:rPr>
          <w:rFonts w:ascii="Arial" w:hAnsi="Arial" w:cs="Arial"/>
          <w:b/>
        </w:rPr>
      </w:pPr>
      <w:r>
        <w:rPr>
          <w:rFonts w:ascii="Arial" w:hAnsi="Arial" w:cs="Arial"/>
          <w:b/>
        </w:rPr>
        <w:t>Component 3.</w:t>
      </w:r>
      <w:r w:rsidR="00675DDF" w:rsidRPr="00396D3A">
        <w:rPr>
          <w:rFonts w:ascii="Arial" w:hAnsi="Arial" w:cs="Arial"/>
          <w:b/>
        </w:rPr>
        <w:t xml:space="preserve"> </w:t>
      </w:r>
      <w:r w:rsidR="001A71DA">
        <w:rPr>
          <w:rFonts w:ascii="Arial" w:hAnsi="Arial" w:cs="Arial"/>
          <w:b/>
        </w:rPr>
        <w:t xml:space="preserve">Development of </w:t>
      </w:r>
      <w:r w:rsidR="00DF1F10">
        <w:rPr>
          <w:rFonts w:ascii="Arial" w:hAnsi="Arial" w:cs="Arial"/>
          <w:b/>
        </w:rPr>
        <w:t>the</w:t>
      </w:r>
      <w:r w:rsidR="001A71DA">
        <w:rPr>
          <w:rFonts w:ascii="Arial" w:hAnsi="Arial" w:cs="Arial"/>
          <w:b/>
        </w:rPr>
        <w:t xml:space="preserve"> AquaRating business model</w:t>
      </w:r>
      <w:r w:rsidR="00595ABF" w:rsidRPr="00396D3A">
        <w:rPr>
          <w:rFonts w:ascii="Arial" w:hAnsi="Arial" w:cs="Arial"/>
          <w:b/>
        </w:rPr>
        <w:t>.</w:t>
      </w:r>
      <w:r w:rsidR="00595ABF" w:rsidRPr="00396D3A">
        <w:rPr>
          <w:rFonts w:ascii="Arial" w:hAnsi="Arial" w:cs="Arial"/>
        </w:rPr>
        <w:t xml:space="preserve"> This component </w:t>
      </w:r>
      <w:r w:rsidR="001A71DA">
        <w:rPr>
          <w:rFonts w:ascii="Arial" w:hAnsi="Arial" w:cs="Arial"/>
        </w:rPr>
        <w:t>will finance the design of a new business model, which contemplates sustainable growth of AquaRating with optimal and rational use of resources.</w:t>
      </w:r>
      <w:r w:rsidR="00E61A63" w:rsidRPr="00396D3A">
        <w:rPr>
          <w:rFonts w:ascii="Arial" w:hAnsi="Arial" w:cs="Arial"/>
        </w:rPr>
        <w:t xml:space="preserve"> </w:t>
      </w:r>
    </w:p>
    <w:p w14:paraId="7C4F86E2" w14:textId="455D60A0" w:rsidR="00AC60DF" w:rsidRDefault="00AC60DF" w:rsidP="00AC60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Arial" w:eastAsia="Times New Roman" w:hAnsi="Arial" w:cs="Arial"/>
          <w:color w:val="212121"/>
          <w:lang w:val="en"/>
        </w:rPr>
      </w:pPr>
      <w:r w:rsidRPr="00AC60DF">
        <w:rPr>
          <w:rFonts w:ascii="Arial" w:eastAsia="Times New Roman" w:hAnsi="Arial" w:cs="Arial"/>
          <w:color w:val="212121"/>
          <w:lang w:val="en"/>
        </w:rPr>
        <w:t>An individual consultant or consulting firm will be contracted to design and implement the AquaRating operation model</w:t>
      </w:r>
      <w:r w:rsidR="00767AC8">
        <w:rPr>
          <w:rFonts w:ascii="Arial" w:eastAsia="Times New Roman" w:hAnsi="Arial" w:cs="Arial"/>
          <w:color w:val="212121"/>
          <w:lang w:val="en"/>
        </w:rPr>
        <w:t xml:space="preserve">. </w:t>
      </w:r>
      <w:r w:rsidRPr="00AC60DF">
        <w:rPr>
          <w:rFonts w:ascii="Arial" w:eastAsia="Times New Roman" w:hAnsi="Arial" w:cs="Arial"/>
          <w:color w:val="212121"/>
          <w:lang w:val="en"/>
        </w:rPr>
        <w:t>The result of this component is to define the business and operation model for the sustainability of AquaRating and the</w:t>
      </w:r>
      <w:r>
        <w:rPr>
          <w:rFonts w:ascii="Arial" w:eastAsia="Times New Roman" w:hAnsi="Arial" w:cs="Arial"/>
          <w:color w:val="212121"/>
          <w:lang w:val="en"/>
        </w:rPr>
        <w:t xml:space="preserve"> plan to </w:t>
      </w:r>
      <w:r w:rsidRPr="00AC60DF">
        <w:rPr>
          <w:rFonts w:ascii="Arial" w:eastAsia="Times New Roman" w:hAnsi="Arial" w:cs="Arial"/>
          <w:color w:val="212121"/>
          <w:lang w:val="en"/>
        </w:rPr>
        <w:t>implement the model</w:t>
      </w:r>
      <w:r>
        <w:rPr>
          <w:rFonts w:ascii="Arial" w:eastAsia="Times New Roman" w:hAnsi="Arial" w:cs="Arial"/>
          <w:color w:val="212121"/>
          <w:lang w:val="en"/>
        </w:rPr>
        <w:t xml:space="preserve"> defined</w:t>
      </w:r>
    </w:p>
    <w:p w14:paraId="3E4B8686" w14:textId="77777777" w:rsidR="00AC60DF" w:rsidRDefault="00AC60DF" w:rsidP="00F3670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Arial" w:eastAsia="Times New Roman" w:hAnsi="Arial" w:cs="Arial"/>
          <w:color w:val="212121"/>
          <w:lang w:val="en"/>
        </w:rPr>
      </w:pPr>
    </w:p>
    <w:p w14:paraId="181A8650" w14:textId="749D655C" w:rsidR="00595ABF" w:rsidRPr="00861089" w:rsidRDefault="000441E4" w:rsidP="00F36700">
      <w:pPr>
        <w:pStyle w:val="ListParagraph"/>
        <w:numPr>
          <w:ilvl w:val="1"/>
          <w:numId w:val="5"/>
        </w:numPr>
        <w:spacing w:before="120" w:after="120"/>
        <w:ind w:left="360" w:hanging="540"/>
        <w:jc w:val="both"/>
        <w:rPr>
          <w:rFonts w:ascii="Arial" w:hAnsi="Arial" w:cs="Arial"/>
        </w:rPr>
      </w:pPr>
      <w:r w:rsidRPr="00861089">
        <w:rPr>
          <w:rFonts w:ascii="Arial" w:hAnsi="Arial" w:cs="Arial"/>
          <w:b/>
        </w:rPr>
        <w:t>Component 4.</w:t>
      </w:r>
      <w:r w:rsidR="00675DDF" w:rsidRPr="00861089">
        <w:rPr>
          <w:rFonts w:ascii="Arial" w:hAnsi="Arial" w:cs="Arial"/>
          <w:b/>
        </w:rPr>
        <w:t xml:space="preserve"> </w:t>
      </w:r>
      <w:r w:rsidR="00902969" w:rsidRPr="00861089">
        <w:rPr>
          <w:rFonts w:ascii="Arial" w:hAnsi="Arial" w:cs="Arial"/>
          <w:b/>
        </w:rPr>
        <w:t>P</w:t>
      </w:r>
      <w:r w:rsidR="00595ABF" w:rsidRPr="00861089">
        <w:rPr>
          <w:rFonts w:ascii="Arial" w:hAnsi="Arial" w:cs="Arial"/>
          <w:b/>
        </w:rPr>
        <w:t>romotion</w:t>
      </w:r>
      <w:r w:rsidR="00902969" w:rsidRPr="00861089">
        <w:rPr>
          <w:rFonts w:ascii="Arial" w:hAnsi="Arial" w:cs="Arial"/>
          <w:b/>
        </w:rPr>
        <w:t xml:space="preserve"> and dissemination</w:t>
      </w:r>
      <w:r w:rsidR="00595ABF" w:rsidRPr="00861089">
        <w:rPr>
          <w:rFonts w:ascii="Arial" w:hAnsi="Arial" w:cs="Arial"/>
          <w:b/>
        </w:rPr>
        <w:t xml:space="preserve"> of AquaRating</w:t>
      </w:r>
      <w:r w:rsidR="00595ABF" w:rsidRPr="00861089">
        <w:rPr>
          <w:rFonts w:ascii="Arial" w:hAnsi="Arial" w:cs="Arial"/>
        </w:rPr>
        <w:t xml:space="preserve">. This component </w:t>
      </w:r>
      <w:r w:rsidR="009006A9" w:rsidRPr="00861089">
        <w:rPr>
          <w:rFonts w:ascii="Arial" w:hAnsi="Arial" w:cs="Arial"/>
        </w:rPr>
        <w:t>will finance</w:t>
      </w:r>
      <w:r w:rsidR="001A6404" w:rsidRPr="00861089">
        <w:rPr>
          <w:rFonts w:ascii="Arial" w:hAnsi="Arial" w:cs="Arial"/>
        </w:rPr>
        <w:t xml:space="preserve">: (i) </w:t>
      </w:r>
      <w:r w:rsidR="00BD1F23" w:rsidRPr="00861089">
        <w:rPr>
          <w:rFonts w:ascii="Arial" w:hAnsi="Arial" w:cs="Arial"/>
        </w:rPr>
        <w:t xml:space="preserve">the </w:t>
      </w:r>
      <w:r w:rsidR="00595ABF" w:rsidRPr="00861089">
        <w:rPr>
          <w:rFonts w:ascii="Arial" w:hAnsi="Arial" w:cs="Arial"/>
        </w:rPr>
        <w:t>promotion of AquaRating in different events, and special visits to interest groups</w:t>
      </w:r>
      <w:r w:rsidR="003E3888" w:rsidRPr="00861089">
        <w:rPr>
          <w:rFonts w:ascii="Arial" w:hAnsi="Arial" w:cs="Arial"/>
        </w:rPr>
        <w:t xml:space="preserve"> and financial institutions</w:t>
      </w:r>
      <w:r w:rsidR="001A6404" w:rsidRPr="00861089">
        <w:rPr>
          <w:rFonts w:ascii="Arial" w:hAnsi="Arial" w:cs="Arial"/>
        </w:rPr>
        <w:t xml:space="preserve"> as well as development agencies</w:t>
      </w:r>
      <w:r w:rsidR="001A6404">
        <w:rPr>
          <w:rStyle w:val="FootnoteReference"/>
          <w:rFonts w:ascii="Arial" w:hAnsi="Arial" w:cs="Arial"/>
        </w:rPr>
        <w:footnoteReference w:id="1"/>
      </w:r>
      <w:r w:rsidR="00595ABF" w:rsidRPr="00861089">
        <w:rPr>
          <w:rFonts w:ascii="Arial" w:hAnsi="Arial" w:cs="Arial"/>
        </w:rPr>
        <w:t>. Th</w:t>
      </w:r>
      <w:r w:rsidR="00BC3AF7" w:rsidRPr="00861089">
        <w:rPr>
          <w:rFonts w:ascii="Arial" w:hAnsi="Arial" w:cs="Arial"/>
        </w:rPr>
        <w:t>is</w:t>
      </w:r>
      <w:r w:rsidR="00595ABF" w:rsidRPr="00861089">
        <w:rPr>
          <w:rFonts w:ascii="Arial" w:hAnsi="Arial" w:cs="Arial"/>
        </w:rPr>
        <w:t xml:space="preserve"> component</w:t>
      </w:r>
      <w:r w:rsidR="00BC3AF7" w:rsidRPr="00861089">
        <w:rPr>
          <w:rFonts w:ascii="Arial" w:hAnsi="Arial" w:cs="Arial"/>
        </w:rPr>
        <w:t xml:space="preserve"> will</w:t>
      </w:r>
      <w:r w:rsidR="00595ABF" w:rsidRPr="00861089">
        <w:rPr>
          <w:rFonts w:ascii="Arial" w:hAnsi="Arial" w:cs="Arial"/>
        </w:rPr>
        <w:t xml:space="preserve"> finance travel costs for the AquaRating team</w:t>
      </w:r>
      <w:r w:rsidR="001A6404" w:rsidRPr="00861089">
        <w:rPr>
          <w:rFonts w:ascii="Arial" w:hAnsi="Arial" w:cs="Arial"/>
        </w:rPr>
        <w:t xml:space="preserve"> as well as </w:t>
      </w:r>
      <w:r w:rsidR="00595ABF" w:rsidRPr="00861089">
        <w:rPr>
          <w:rFonts w:ascii="Arial" w:hAnsi="Arial" w:cs="Arial"/>
        </w:rPr>
        <w:t xml:space="preserve">the IDB team to promote </w:t>
      </w:r>
      <w:proofErr w:type="spellStart"/>
      <w:r w:rsidR="00595ABF" w:rsidRPr="00861089">
        <w:rPr>
          <w:rFonts w:ascii="Arial" w:hAnsi="Arial" w:cs="Arial"/>
        </w:rPr>
        <w:t>AquaRating</w:t>
      </w:r>
      <w:proofErr w:type="spellEnd"/>
      <w:r w:rsidR="00595ABF" w:rsidRPr="00F1196A">
        <w:rPr>
          <w:rStyle w:val="FootnoteReference"/>
          <w:rFonts w:ascii="Arial" w:hAnsi="Arial" w:cs="Arial"/>
        </w:rPr>
        <w:footnoteReference w:id="2"/>
      </w:r>
      <w:r w:rsidR="00D91795" w:rsidRPr="00861089">
        <w:rPr>
          <w:rFonts w:ascii="Arial" w:hAnsi="Arial" w:cs="Arial"/>
        </w:rPr>
        <w:t>;</w:t>
      </w:r>
      <w:r w:rsidRPr="00861089">
        <w:rPr>
          <w:rFonts w:ascii="Arial" w:hAnsi="Arial" w:cs="Arial"/>
        </w:rPr>
        <w:t xml:space="preserve"> </w:t>
      </w:r>
      <w:r w:rsidR="00D91795" w:rsidRPr="00861089">
        <w:rPr>
          <w:rFonts w:ascii="Arial" w:hAnsi="Arial" w:cs="Arial"/>
        </w:rPr>
        <w:t>(ii</w:t>
      </w:r>
      <w:r w:rsidR="002E48EB" w:rsidRPr="00861089">
        <w:rPr>
          <w:rFonts w:ascii="Arial" w:hAnsi="Arial" w:cs="Arial"/>
        </w:rPr>
        <w:t>) the</w:t>
      </w:r>
      <w:r w:rsidR="00595ABF" w:rsidRPr="00861089">
        <w:rPr>
          <w:rFonts w:ascii="Arial" w:hAnsi="Arial" w:cs="Arial"/>
        </w:rPr>
        <w:t xml:space="preserve"> participation in meetings</w:t>
      </w:r>
      <w:r w:rsidR="001076D6" w:rsidRPr="00861089">
        <w:rPr>
          <w:rFonts w:ascii="Arial" w:hAnsi="Arial" w:cs="Arial"/>
        </w:rPr>
        <w:t xml:space="preserve"> in the LAC region and outside of the region, as the case may be</w:t>
      </w:r>
      <w:r w:rsidR="00D91795" w:rsidRPr="00861089">
        <w:rPr>
          <w:rFonts w:ascii="Arial" w:hAnsi="Arial" w:cs="Arial"/>
        </w:rPr>
        <w:t>;</w:t>
      </w:r>
      <w:r w:rsidRPr="00861089">
        <w:rPr>
          <w:rFonts w:ascii="Arial" w:hAnsi="Arial" w:cs="Arial"/>
        </w:rPr>
        <w:t xml:space="preserve"> </w:t>
      </w:r>
      <w:r w:rsidR="00D91795" w:rsidRPr="00861089">
        <w:rPr>
          <w:rFonts w:ascii="Arial" w:hAnsi="Arial" w:cs="Arial"/>
        </w:rPr>
        <w:t>(iii)</w:t>
      </w:r>
      <w:r w:rsidR="00595ABF" w:rsidRPr="00861089">
        <w:rPr>
          <w:rFonts w:ascii="Arial" w:hAnsi="Arial" w:cs="Arial"/>
        </w:rPr>
        <w:t xml:space="preserve"> the production of marketing and commercial materials, stands preparation</w:t>
      </w:r>
      <w:r w:rsidR="00D91795" w:rsidRPr="00861089">
        <w:rPr>
          <w:rFonts w:ascii="Arial" w:hAnsi="Arial" w:cs="Arial"/>
        </w:rPr>
        <w:t>; and (iv)</w:t>
      </w:r>
      <w:r w:rsidR="006D3C24" w:rsidRPr="00861089">
        <w:rPr>
          <w:rFonts w:ascii="Arial" w:hAnsi="Arial" w:cs="Arial"/>
        </w:rPr>
        <w:t xml:space="preserve"> the publication of the AquaRating Standard for its distribution in the LAC region</w:t>
      </w:r>
      <w:r w:rsidR="00E71D54">
        <w:rPr>
          <w:rFonts w:ascii="Arial" w:hAnsi="Arial" w:cs="Arial"/>
        </w:rPr>
        <w:t>; and</w:t>
      </w:r>
      <w:r w:rsidR="007C47AB" w:rsidRPr="00861089">
        <w:rPr>
          <w:rFonts w:ascii="Arial" w:hAnsi="Arial" w:cs="Arial"/>
        </w:rPr>
        <w:t xml:space="preserve"> (v) the development of an innovation initiative for the application of the operators</w:t>
      </w:r>
      <w:r w:rsidR="006D3C24" w:rsidRPr="00861089">
        <w:rPr>
          <w:rFonts w:ascii="Arial" w:hAnsi="Arial" w:cs="Arial"/>
        </w:rPr>
        <w:t>.</w:t>
      </w:r>
      <w:r w:rsidR="00BD1F23" w:rsidRPr="00861089">
        <w:rPr>
          <w:rFonts w:ascii="Arial" w:hAnsi="Arial" w:cs="Arial"/>
        </w:rPr>
        <w:t xml:space="preserve"> This component will also finance the development of a MOOC on </w:t>
      </w:r>
      <w:proofErr w:type="spellStart"/>
      <w:r w:rsidR="00BD1F23" w:rsidRPr="00861089">
        <w:rPr>
          <w:rFonts w:ascii="Arial" w:hAnsi="Arial" w:cs="Arial"/>
        </w:rPr>
        <w:t>Aqua</w:t>
      </w:r>
      <w:r w:rsidR="00E71D54">
        <w:rPr>
          <w:rFonts w:ascii="Arial" w:hAnsi="Arial" w:cs="Arial"/>
        </w:rPr>
        <w:t>R</w:t>
      </w:r>
      <w:r w:rsidR="00BD1F23" w:rsidRPr="00861089">
        <w:rPr>
          <w:rFonts w:ascii="Arial" w:hAnsi="Arial" w:cs="Arial"/>
        </w:rPr>
        <w:t>ating</w:t>
      </w:r>
      <w:proofErr w:type="spellEnd"/>
      <w:r w:rsidR="00BD1F23" w:rsidRPr="00861089">
        <w:rPr>
          <w:rFonts w:ascii="Arial" w:hAnsi="Arial" w:cs="Arial"/>
        </w:rPr>
        <w:t xml:space="preserve"> in collaboration with </w:t>
      </w:r>
      <w:r w:rsidR="00E71D54">
        <w:rPr>
          <w:rFonts w:ascii="Arial" w:hAnsi="Arial" w:cs="Arial"/>
        </w:rPr>
        <w:t>the Knowledge, Innovation and Communication Sector (</w:t>
      </w:r>
      <w:r w:rsidR="00BD1F23" w:rsidRPr="00861089">
        <w:rPr>
          <w:rFonts w:ascii="Arial" w:hAnsi="Arial" w:cs="Arial"/>
        </w:rPr>
        <w:t>KIC</w:t>
      </w:r>
      <w:r w:rsidR="00E71D54">
        <w:rPr>
          <w:rFonts w:ascii="Arial" w:hAnsi="Arial" w:cs="Arial"/>
        </w:rPr>
        <w:t>) of the IDB</w:t>
      </w:r>
      <w:r w:rsidR="00BD1F23" w:rsidRPr="00861089">
        <w:rPr>
          <w:rFonts w:ascii="Arial" w:hAnsi="Arial" w:cs="Arial"/>
        </w:rPr>
        <w:t>.</w:t>
      </w:r>
    </w:p>
    <w:p w14:paraId="4C9F74F1" w14:textId="77777777" w:rsidR="00CF6C4D" w:rsidRPr="00A454FF" w:rsidRDefault="00CF6C4D" w:rsidP="0093010C">
      <w:pPr>
        <w:pStyle w:val="ListParagraph"/>
        <w:spacing w:before="120" w:after="120"/>
        <w:ind w:left="360"/>
        <w:jc w:val="both"/>
        <w:rPr>
          <w:rFonts w:ascii="Arial" w:hAnsi="Arial" w:cs="Arial"/>
        </w:rPr>
      </w:pPr>
    </w:p>
    <w:p w14:paraId="1C561F24" w14:textId="77777777" w:rsidR="00671DB7" w:rsidRDefault="0095711B" w:rsidP="00671DB7">
      <w:pPr>
        <w:pStyle w:val="ListParagraph"/>
        <w:numPr>
          <w:ilvl w:val="0"/>
          <w:numId w:val="5"/>
        </w:numPr>
        <w:spacing w:before="120" w:after="120"/>
        <w:jc w:val="both"/>
        <w:rPr>
          <w:rFonts w:ascii="Arial" w:hAnsi="Arial" w:cs="Arial"/>
          <w:b/>
        </w:rPr>
      </w:pPr>
      <w:r w:rsidRPr="00A454FF">
        <w:rPr>
          <w:rFonts w:ascii="Arial" w:hAnsi="Arial" w:cs="Arial"/>
          <w:b/>
        </w:rPr>
        <w:t xml:space="preserve">Budget </w:t>
      </w:r>
    </w:p>
    <w:p w14:paraId="2EF55689" w14:textId="77777777" w:rsidR="00E437CA" w:rsidRDefault="00E437CA" w:rsidP="00E437CA">
      <w:pPr>
        <w:pStyle w:val="ListParagraph"/>
        <w:spacing w:before="120" w:after="120"/>
        <w:ind w:left="360"/>
        <w:jc w:val="both"/>
        <w:rPr>
          <w:rFonts w:ascii="Arial" w:hAnsi="Arial" w:cs="Arial"/>
          <w:b/>
        </w:rPr>
      </w:pPr>
    </w:p>
    <w:p w14:paraId="150590ED" w14:textId="3C8A3412" w:rsidR="00ED57EA" w:rsidRPr="00E437CA" w:rsidRDefault="00ED57EA" w:rsidP="00396D3A">
      <w:pPr>
        <w:pStyle w:val="ListParagraph"/>
        <w:numPr>
          <w:ilvl w:val="1"/>
          <w:numId w:val="5"/>
        </w:numPr>
        <w:spacing w:before="120" w:after="120"/>
        <w:ind w:left="360" w:hanging="540"/>
        <w:jc w:val="both"/>
        <w:rPr>
          <w:rFonts w:ascii="Arial" w:hAnsi="Arial" w:cs="Arial"/>
          <w:b/>
        </w:rPr>
      </w:pPr>
      <w:r w:rsidRPr="00671DB7">
        <w:rPr>
          <w:rFonts w:ascii="Arial" w:hAnsi="Arial" w:cs="Arial"/>
        </w:rPr>
        <w:t xml:space="preserve">The total amount of funding </w:t>
      </w:r>
      <w:r w:rsidR="00845347" w:rsidRPr="00671DB7">
        <w:rPr>
          <w:rFonts w:ascii="Arial" w:hAnsi="Arial" w:cs="Arial"/>
        </w:rPr>
        <w:t>requested</w:t>
      </w:r>
      <w:r w:rsidRPr="00671DB7">
        <w:rPr>
          <w:rFonts w:ascii="Arial" w:hAnsi="Arial" w:cs="Arial"/>
        </w:rPr>
        <w:t xml:space="preserve"> is US$</w:t>
      </w:r>
      <w:r w:rsidR="00751EB5">
        <w:rPr>
          <w:rFonts w:ascii="Arial" w:hAnsi="Arial" w:cs="Arial"/>
        </w:rPr>
        <w:t>5</w:t>
      </w:r>
      <w:r w:rsidR="003F6FFB">
        <w:rPr>
          <w:rFonts w:ascii="Arial" w:hAnsi="Arial" w:cs="Arial"/>
        </w:rPr>
        <w:t>0</w:t>
      </w:r>
      <w:r w:rsidRPr="00671DB7">
        <w:rPr>
          <w:rFonts w:ascii="Arial" w:hAnsi="Arial" w:cs="Arial"/>
        </w:rPr>
        <w:t>0,000</w:t>
      </w:r>
      <w:r w:rsidR="002E48EB">
        <w:rPr>
          <w:rFonts w:ascii="Arial" w:hAnsi="Arial" w:cs="Arial"/>
        </w:rPr>
        <w:t>.</w:t>
      </w:r>
      <w:r w:rsidRPr="00671DB7">
        <w:rPr>
          <w:rFonts w:ascii="Arial" w:hAnsi="Arial" w:cs="Arial"/>
        </w:rPr>
        <w:t xml:space="preserve"> The distribution of resources is as follows:</w:t>
      </w:r>
    </w:p>
    <w:p w14:paraId="11958EB2" w14:textId="77777777" w:rsidR="00682716" w:rsidRPr="00DF0B28" w:rsidRDefault="00682716" w:rsidP="00396D3A">
      <w:pPr>
        <w:pStyle w:val="ListParagraph"/>
        <w:spacing w:before="120" w:after="120" w:line="240" w:lineRule="auto"/>
        <w:ind w:left="360"/>
        <w:contextualSpacing w:val="0"/>
        <w:jc w:val="center"/>
        <w:rPr>
          <w:rFonts w:ascii="Arial" w:hAnsi="Arial" w:cs="Arial"/>
          <w:b/>
        </w:rPr>
      </w:pPr>
      <w:r w:rsidRPr="00A454FF">
        <w:rPr>
          <w:rFonts w:ascii="Arial" w:hAnsi="Arial" w:cs="Arial"/>
          <w:b/>
        </w:rPr>
        <w:t xml:space="preserve">Indicative Budget </w:t>
      </w:r>
      <w:r w:rsidR="00555380" w:rsidRPr="00DF0B28">
        <w:rPr>
          <w:rFonts w:ascii="Arial" w:hAnsi="Arial" w:cs="Arial"/>
          <w:b/>
        </w:rPr>
        <w:t>(US$)</w:t>
      </w:r>
    </w:p>
    <w:tbl>
      <w:tblPr>
        <w:tblStyle w:val="TableGrid"/>
        <w:tblW w:w="9180" w:type="dxa"/>
        <w:tblInd w:w="-72" w:type="dxa"/>
        <w:tblLook w:val="04A0" w:firstRow="1" w:lastRow="0" w:firstColumn="1" w:lastColumn="0" w:noHBand="0" w:noVBand="1"/>
      </w:tblPr>
      <w:tblGrid>
        <w:gridCol w:w="2880"/>
        <w:gridCol w:w="3960"/>
        <w:gridCol w:w="1080"/>
        <w:gridCol w:w="1260"/>
      </w:tblGrid>
      <w:tr w:rsidR="0080596B" w:rsidRPr="00DF0B28" w14:paraId="4B3A2014" w14:textId="77777777" w:rsidTr="00245F89">
        <w:tc>
          <w:tcPr>
            <w:tcW w:w="2880" w:type="dxa"/>
            <w:shd w:val="clear" w:color="auto" w:fill="C4BC96" w:themeFill="background2" w:themeFillShade="BF"/>
          </w:tcPr>
          <w:p w14:paraId="318FF7CA" w14:textId="77777777" w:rsidR="0080596B" w:rsidRPr="00DF0B28" w:rsidRDefault="0080596B" w:rsidP="0093010C">
            <w:pPr>
              <w:pStyle w:val="ListParagraph"/>
              <w:spacing w:before="60" w:after="60"/>
              <w:ind w:left="0"/>
              <w:contextualSpacing w:val="0"/>
              <w:jc w:val="center"/>
              <w:rPr>
                <w:rFonts w:ascii="Arial" w:hAnsi="Arial" w:cs="Arial"/>
                <w:b/>
                <w:sz w:val="18"/>
                <w:szCs w:val="18"/>
              </w:rPr>
            </w:pPr>
            <w:r w:rsidRPr="00DF0B28">
              <w:rPr>
                <w:rFonts w:ascii="Arial" w:hAnsi="Arial" w:cs="Arial"/>
                <w:b/>
                <w:sz w:val="18"/>
                <w:szCs w:val="18"/>
              </w:rPr>
              <w:t>Activity/Component</w:t>
            </w:r>
          </w:p>
        </w:tc>
        <w:tc>
          <w:tcPr>
            <w:tcW w:w="3960" w:type="dxa"/>
            <w:shd w:val="clear" w:color="auto" w:fill="C4BC96" w:themeFill="background2" w:themeFillShade="BF"/>
          </w:tcPr>
          <w:p w14:paraId="7B21D1E7" w14:textId="77777777" w:rsidR="0080596B" w:rsidRPr="00DF0B28" w:rsidRDefault="0080596B" w:rsidP="0093010C">
            <w:pPr>
              <w:pStyle w:val="ListParagraph"/>
              <w:spacing w:before="60" w:after="60"/>
              <w:ind w:left="0"/>
              <w:contextualSpacing w:val="0"/>
              <w:jc w:val="center"/>
              <w:rPr>
                <w:rFonts w:ascii="Arial" w:hAnsi="Arial" w:cs="Arial"/>
                <w:b/>
                <w:sz w:val="18"/>
                <w:szCs w:val="18"/>
              </w:rPr>
            </w:pPr>
            <w:r w:rsidRPr="00DF0B28">
              <w:rPr>
                <w:rFonts w:ascii="Arial" w:hAnsi="Arial" w:cs="Arial"/>
                <w:b/>
                <w:sz w:val="18"/>
                <w:szCs w:val="18"/>
              </w:rPr>
              <w:t>Description</w:t>
            </w:r>
          </w:p>
        </w:tc>
        <w:tc>
          <w:tcPr>
            <w:tcW w:w="1080" w:type="dxa"/>
            <w:shd w:val="clear" w:color="auto" w:fill="C4BC96" w:themeFill="background2" w:themeFillShade="BF"/>
          </w:tcPr>
          <w:p w14:paraId="5B7E7CBC" w14:textId="77777777" w:rsidR="0080596B" w:rsidRPr="00DF0B28" w:rsidRDefault="0080596B" w:rsidP="0093010C">
            <w:pPr>
              <w:pStyle w:val="ListParagraph"/>
              <w:spacing w:before="60" w:after="60"/>
              <w:ind w:left="0"/>
              <w:contextualSpacing w:val="0"/>
              <w:jc w:val="center"/>
              <w:rPr>
                <w:rFonts w:ascii="Arial" w:hAnsi="Arial" w:cs="Arial"/>
                <w:b/>
                <w:sz w:val="18"/>
                <w:szCs w:val="18"/>
              </w:rPr>
            </w:pPr>
            <w:r w:rsidRPr="00DF0B28">
              <w:rPr>
                <w:rFonts w:ascii="Arial" w:hAnsi="Arial" w:cs="Arial"/>
                <w:b/>
                <w:sz w:val="18"/>
                <w:szCs w:val="18"/>
              </w:rPr>
              <w:t>IDB/Fund Funding</w:t>
            </w:r>
          </w:p>
        </w:tc>
        <w:tc>
          <w:tcPr>
            <w:tcW w:w="1260" w:type="dxa"/>
            <w:shd w:val="clear" w:color="auto" w:fill="C4BC96" w:themeFill="background2" w:themeFillShade="BF"/>
          </w:tcPr>
          <w:p w14:paraId="1E840ED7" w14:textId="77777777" w:rsidR="0080596B" w:rsidRPr="00DF0B28" w:rsidRDefault="0080596B" w:rsidP="0093010C">
            <w:pPr>
              <w:pStyle w:val="ListParagraph"/>
              <w:spacing w:before="60" w:after="60"/>
              <w:ind w:left="0"/>
              <w:contextualSpacing w:val="0"/>
              <w:jc w:val="center"/>
              <w:rPr>
                <w:rFonts w:ascii="Arial" w:hAnsi="Arial" w:cs="Arial"/>
                <w:b/>
                <w:sz w:val="18"/>
                <w:szCs w:val="18"/>
              </w:rPr>
            </w:pPr>
            <w:r w:rsidRPr="00DF0B28">
              <w:rPr>
                <w:rFonts w:ascii="Arial" w:hAnsi="Arial" w:cs="Arial"/>
                <w:b/>
                <w:sz w:val="18"/>
                <w:szCs w:val="18"/>
              </w:rPr>
              <w:t>Total Funding</w:t>
            </w:r>
          </w:p>
        </w:tc>
      </w:tr>
      <w:tr w:rsidR="00F64D1E" w:rsidRPr="00DF0B28" w14:paraId="1E1336DF" w14:textId="77777777" w:rsidTr="00245F89">
        <w:tc>
          <w:tcPr>
            <w:tcW w:w="2880" w:type="dxa"/>
            <w:vAlign w:val="bottom"/>
          </w:tcPr>
          <w:p w14:paraId="0FED6E2B" w14:textId="77777777" w:rsidR="00F64D1E" w:rsidRPr="00DF0B28" w:rsidRDefault="00F57A55" w:rsidP="00671DB7">
            <w:pPr>
              <w:rPr>
                <w:rFonts w:ascii="Arial" w:eastAsia="Times New Roman" w:hAnsi="Arial" w:cs="Arial"/>
                <w:color w:val="000000"/>
                <w:sz w:val="18"/>
                <w:szCs w:val="18"/>
              </w:rPr>
            </w:pPr>
            <w:r w:rsidRPr="00DF0B28">
              <w:rPr>
                <w:rFonts w:ascii="Arial" w:eastAsia="Times New Roman" w:hAnsi="Arial" w:cs="Arial"/>
                <w:color w:val="000000"/>
                <w:sz w:val="18"/>
                <w:szCs w:val="18"/>
              </w:rPr>
              <w:t xml:space="preserve">Component 1: </w:t>
            </w:r>
            <w:r w:rsidR="007426EE">
              <w:rPr>
                <w:rFonts w:ascii="Arial" w:eastAsia="Times New Roman" w:hAnsi="Arial" w:cs="Arial"/>
                <w:color w:val="000000"/>
                <w:sz w:val="18"/>
                <w:szCs w:val="18"/>
              </w:rPr>
              <w:t>Management of AquaRating and implementation in LAC</w:t>
            </w:r>
            <w:r w:rsidR="00F64D1E" w:rsidRPr="00DF0B28">
              <w:rPr>
                <w:rFonts w:ascii="Arial" w:eastAsia="Times New Roman" w:hAnsi="Arial" w:cs="Arial"/>
                <w:color w:val="000000"/>
                <w:sz w:val="18"/>
                <w:szCs w:val="18"/>
              </w:rPr>
              <w:t xml:space="preserve"> </w:t>
            </w:r>
          </w:p>
        </w:tc>
        <w:tc>
          <w:tcPr>
            <w:tcW w:w="3960" w:type="dxa"/>
          </w:tcPr>
          <w:p w14:paraId="22A8255D" w14:textId="77777777" w:rsidR="00F64D1E" w:rsidRPr="00034EC6" w:rsidRDefault="008C236B" w:rsidP="00D337FB">
            <w:pPr>
              <w:pStyle w:val="ListParagraph"/>
              <w:spacing w:before="60" w:after="60"/>
              <w:ind w:left="0"/>
              <w:contextualSpacing w:val="0"/>
              <w:rPr>
                <w:rFonts w:ascii="Arial" w:hAnsi="Arial" w:cs="Arial"/>
                <w:sz w:val="18"/>
                <w:szCs w:val="18"/>
              </w:rPr>
            </w:pPr>
            <w:r w:rsidRPr="00034EC6">
              <w:rPr>
                <w:rFonts w:ascii="Arial" w:hAnsi="Arial" w:cs="Arial"/>
                <w:sz w:val="18"/>
                <w:szCs w:val="18"/>
              </w:rPr>
              <w:t>Management of the AquaRating</w:t>
            </w:r>
            <w:r w:rsidR="003F6FFB">
              <w:rPr>
                <w:rFonts w:ascii="Arial" w:hAnsi="Arial" w:cs="Arial"/>
                <w:sz w:val="18"/>
                <w:szCs w:val="18"/>
              </w:rPr>
              <w:t xml:space="preserve"> tool </w:t>
            </w:r>
            <w:r w:rsidR="00A7187D">
              <w:rPr>
                <w:rFonts w:ascii="Arial" w:hAnsi="Arial" w:cs="Arial"/>
                <w:sz w:val="18"/>
                <w:szCs w:val="18"/>
              </w:rPr>
              <w:t xml:space="preserve">and </w:t>
            </w:r>
            <w:r w:rsidRPr="00034EC6">
              <w:rPr>
                <w:rFonts w:ascii="Arial" w:hAnsi="Arial" w:cs="Arial"/>
                <w:sz w:val="18"/>
                <w:szCs w:val="18"/>
              </w:rPr>
              <w:t>process</w:t>
            </w:r>
            <w:r w:rsidR="00A7187D">
              <w:rPr>
                <w:rFonts w:ascii="Arial" w:hAnsi="Arial" w:cs="Arial"/>
                <w:sz w:val="18"/>
                <w:szCs w:val="18"/>
              </w:rPr>
              <w:t>es</w:t>
            </w:r>
            <w:r w:rsidRPr="00034EC6">
              <w:rPr>
                <w:rFonts w:ascii="Arial" w:hAnsi="Arial" w:cs="Arial"/>
                <w:sz w:val="18"/>
                <w:szCs w:val="18"/>
              </w:rPr>
              <w:t xml:space="preserve"> </w:t>
            </w:r>
            <w:r w:rsidR="00A7187D">
              <w:rPr>
                <w:rFonts w:ascii="Arial" w:hAnsi="Arial" w:cs="Arial"/>
                <w:sz w:val="18"/>
                <w:szCs w:val="18"/>
              </w:rPr>
              <w:t>and operation</w:t>
            </w:r>
            <w:r w:rsidR="00034EC6" w:rsidRPr="00034EC6">
              <w:rPr>
                <w:rFonts w:ascii="Arial" w:hAnsi="Arial" w:cs="Arial"/>
                <w:sz w:val="18"/>
                <w:szCs w:val="18"/>
              </w:rPr>
              <w:t>.</w:t>
            </w:r>
          </w:p>
        </w:tc>
        <w:tc>
          <w:tcPr>
            <w:tcW w:w="1080" w:type="dxa"/>
            <w:vAlign w:val="center"/>
          </w:tcPr>
          <w:p w14:paraId="27AE2E0A" w14:textId="77777777" w:rsidR="00F64D1E" w:rsidRPr="00DF0B28" w:rsidRDefault="00655899" w:rsidP="00866CF0">
            <w:pPr>
              <w:jc w:val="right"/>
              <w:rPr>
                <w:rFonts w:ascii="Arial" w:eastAsia="Times New Roman" w:hAnsi="Arial" w:cs="Arial"/>
                <w:color w:val="000000"/>
                <w:sz w:val="18"/>
                <w:szCs w:val="18"/>
              </w:rPr>
            </w:pPr>
            <w:r>
              <w:rPr>
                <w:rFonts w:ascii="Arial" w:eastAsia="Times New Roman" w:hAnsi="Arial" w:cs="Arial"/>
                <w:color w:val="000000"/>
                <w:sz w:val="18"/>
                <w:szCs w:val="18"/>
              </w:rPr>
              <w:t>150</w:t>
            </w:r>
            <w:r w:rsidR="004656D9">
              <w:rPr>
                <w:rFonts w:ascii="Arial" w:eastAsia="Times New Roman" w:hAnsi="Arial" w:cs="Arial"/>
                <w:color w:val="000000"/>
                <w:sz w:val="18"/>
                <w:szCs w:val="18"/>
              </w:rPr>
              <w:t>,000</w:t>
            </w:r>
          </w:p>
        </w:tc>
        <w:tc>
          <w:tcPr>
            <w:tcW w:w="1260" w:type="dxa"/>
          </w:tcPr>
          <w:p w14:paraId="6028F386" w14:textId="77777777" w:rsidR="00F64D1E" w:rsidRPr="00DF0B28" w:rsidRDefault="00655899" w:rsidP="00D337FB">
            <w:pPr>
              <w:pStyle w:val="ListParagraph"/>
              <w:spacing w:before="60" w:after="60"/>
              <w:ind w:left="0"/>
              <w:contextualSpacing w:val="0"/>
              <w:jc w:val="center"/>
              <w:rPr>
                <w:rFonts w:ascii="Arial" w:hAnsi="Arial" w:cs="Arial"/>
                <w:b/>
                <w:sz w:val="18"/>
                <w:szCs w:val="18"/>
              </w:rPr>
            </w:pPr>
            <w:r>
              <w:rPr>
                <w:rFonts w:ascii="Arial" w:hAnsi="Arial" w:cs="Arial"/>
                <w:b/>
                <w:sz w:val="18"/>
                <w:szCs w:val="18"/>
              </w:rPr>
              <w:t>150</w:t>
            </w:r>
            <w:r w:rsidR="004656D9">
              <w:rPr>
                <w:rFonts w:ascii="Arial" w:hAnsi="Arial" w:cs="Arial"/>
                <w:b/>
                <w:sz w:val="18"/>
                <w:szCs w:val="18"/>
              </w:rPr>
              <w:t>,000</w:t>
            </w:r>
          </w:p>
        </w:tc>
      </w:tr>
      <w:tr w:rsidR="00F64D1E" w:rsidRPr="00DF0B28" w14:paraId="0D08E175" w14:textId="77777777" w:rsidTr="00245F89">
        <w:tc>
          <w:tcPr>
            <w:tcW w:w="2880" w:type="dxa"/>
            <w:vAlign w:val="center"/>
          </w:tcPr>
          <w:p w14:paraId="622CBEA9" w14:textId="77777777" w:rsidR="00F64D1E" w:rsidRPr="00DF0B28" w:rsidRDefault="00F57A55" w:rsidP="00F67DFE">
            <w:pPr>
              <w:rPr>
                <w:rFonts w:ascii="Arial" w:eastAsia="Times New Roman" w:hAnsi="Arial" w:cs="Arial"/>
                <w:color w:val="000000"/>
                <w:sz w:val="18"/>
                <w:szCs w:val="18"/>
              </w:rPr>
            </w:pPr>
            <w:r w:rsidRPr="00DF0B28">
              <w:rPr>
                <w:rFonts w:ascii="Arial" w:eastAsia="Times New Roman" w:hAnsi="Arial" w:cs="Arial"/>
                <w:color w:val="000000"/>
                <w:sz w:val="18"/>
                <w:szCs w:val="18"/>
              </w:rPr>
              <w:t xml:space="preserve">Component 2: </w:t>
            </w:r>
            <w:r w:rsidR="007426EE">
              <w:rPr>
                <w:rFonts w:ascii="Arial" w:eastAsia="Times New Roman" w:hAnsi="Arial" w:cs="Arial"/>
                <w:color w:val="000000"/>
                <w:sz w:val="18"/>
                <w:szCs w:val="18"/>
              </w:rPr>
              <w:t>Updating of the AquaRating Standard</w:t>
            </w:r>
          </w:p>
        </w:tc>
        <w:tc>
          <w:tcPr>
            <w:tcW w:w="3960" w:type="dxa"/>
          </w:tcPr>
          <w:p w14:paraId="699B3554" w14:textId="77777777" w:rsidR="00FF37C3" w:rsidRPr="00DF0B28" w:rsidRDefault="00D51559" w:rsidP="00F67DFE">
            <w:pPr>
              <w:pStyle w:val="ListParagraph"/>
              <w:spacing w:before="60" w:after="60"/>
              <w:ind w:left="0"/>
              <w:contextualSpacing w:val="0"/>
              <w:rPr>
                <w:rFonts w:ascii="Arial" w:hAnsi="Arial" w:cs="Arial"/>
                <w:sz w:val="18"/>
                <w:szCs w:val="18"/>
              </w:rPr>
            </w:pPr>
            <w:r>
              <w:rPr>
                <w:rFonts w:ascii="Arial" w:hAnsi="Arial" w:cs="Arial"/>
                <w:sz w:val="18"/>
                <w:szCs w:val="18"/>
              </w:rPr>
              <w:t xml:space="preserve">Updating and inclusion of new elements and replacement of others in the </w:t>
            </w:r>
            <w:r w:rsidR="00A7187D">
              <w:rPr>
                <w:rFonts w:ascii="Arial" w:hAnsi="Arial" w:cs="Arial"/>
                <w:sz w:val="18"/>
                <w:szCs w:val="18"/>
              </w:rPr>
              <w:t>AquaRating Standard and processes</w:t>
            </w:r>
            <w:r w:rsidR="00245F89">
              <w:rPr>
                <w:rFonts w:ascii="Arial" w:hAnsi="Arial" w:cs="Arial"/>
                <w:sz w:val="18"/>
                <w:szCs w:val="18"/>
              </w:rPr>
              <w:t>.</w:t>
            </w:r>
          </w:p>
        </w:tc>
        <w:tc>
          <w:tcPr>
            <w:tcW w:w="1080" w:type="dxa"/>
            <w:vAlign w:val="center"/>
          </w:tcPr>
          <w:p w14:paraId="0259D2DA" w14:textId="1A1FBA0B" w:rsidR="00F64D1E" w:rsidRPr="00DF0B28" w:rsidRDefault="001E0019" w:rsidP="00866CF0">
            <w:pPr>
              <w:jc w:val="right"/>
              <w:rPr>
                <w:rFonts w:ascii="Arial" w:eastAsia="Times New Roman" w:hAnsi="Arial" w:cs="Arial"/>
                <w:color w:val="000000"/>
                <w:sz w:val="18"/>
                <w:szCs w:val="18"/>
              </w:rPr>
            </w:pPr>
            <w:r>
              <w:rPr>
                <w:rFonts w:ascii="Arial" w:eastAsia="Times New Roman" w:hAnsi="Arial" w:cs="Arial"/>
                <w:color w:val="000000"/>
                <w:sz w:val="18"/>
                <w:szCs w:val="18"/>
              </w:rPr>
              <w:t>15</w:t>
            </w:r>
            <w:r w:rsidR="004656D9">
              <w:rPr>
                <w:rFonts w:ascii="Arial" w:eastAsia="Times New Roman" w:hAnsi="Arial" w:cs="Arial"/>
                <w:color w:val="000000"/>
                <w:sz w:val="18"/>
                <w:szCs w:val="18"/>
              </w:rPr>
              <w:t>0,000</w:t>
            </w:r>
          </w:p>
        </w:tc>
        <w:tc>
          <w:tcPr>
            <w:tcW w:w="1260" w:type="dxa"/>
          </w:tcPr>
          <w:p w14:paraId="4AFAA7EC" w14:textId="4E3100D3" w:rsidR="00F64D1E" w:rsidRPr="00DF0B28" w:rsidRDefault="00655899" w:rsidP="00866CF0">
            <w:pPr>
              <w:pStyle w:val="ListParagraph"/>
              <w:spacing w:before="60" w:after="60"/>
              <w:ind w:left="0"/>
              <w:contextualSpacing w:val="0"/>
              <w:jc w:val="center"/>
              <w:rPr>
                <w:rFonts w:ascii="Arial" w:hAnsi="Arial" w:cs="Arial"/>
                <w:b/>
                <w:sz w:val="18"/>
                <w:szCs w:val="18"/>
              </w:rPr>
            </w:pPr>
            <w:r>
              <w:rPr>
                <w:rFonts w:ascii="Arial" w:hAnsi="Arial" w:cs="Arial"/>
                <w:b/>
                <w:sz w:val="18"/>
                <w:szCs w:val="18"/>
              </w:rPr>
              <w:t>1</w:t>
            </w:r>
            <w:r w:rsidR="001E0019">
              <w:rPr>
                <w:rFonts w:ascii="Arial" w:hAnsi="Arial" w:cs="Arial"/>
                <w:b/>
                <w:sz w:val="18"/>
                <w:szCs w:val="18"/>
              </w:rPr>
              <w:t>5</w:t>
            </w:r>
            <w:r w:rsidR="004656D9">
              <w:rPr>
                <w:rFonts w:ascii="Arial" w:hAnsi="Arial" w:cs="Arial"/>
                <w:b/>
                <w:sz w:val="18"/>
                <w:szCs w:val="18"/>
              </w:rPr>
              <w:t>0,000</w:t>
            </w:r>
          </w:p>
        </w:tc>
      </w:tr>
      <w:tr w:rsidR="00F64D1E" w:rsidRPr="00DF0B28" w14:paraId="7CC805C7" w14:textId="77777777" w:rsidTr="00245F89">
        <w:tc>
          <w:tcPr>
            <w:tcW w:w="2880" w:type="dxa"/>
            <w:vAlign w:val="center"/>
          </w:tcPr>
          <w:p w14:paraId="28BDEC05" w14:textId="77777777" w:rsidR="00F64D1E" w:rsidRPr="00DF0B28" w:rsidRDefault="00F57A55" w:rsidP="00EE5CCC">
            <w:pPr>
              <w:rPr>
                <w:rFonts w:ascii="Arial" w:eastAsia="Times New Roman" w:hAnsi="Arial" w:cs="Arial"/>
                <w:color w:val="000000"/>
                <w:sz w:val="18"/>
                <w:szCs w:val="18"/>
              </w:rPr>
            </w:pPr>
            <w:r w:rsidRPr="00DF0B28">
              <w:rPr>
                <w:rFonts w:ascii="Arial" w:eastAsia="Times New Roman" w:hAnsi="Arial" w:cs="Arial"/>
                <w:color w:val="000000"/>
                <w:sz w:val="18"/>
                <w:szCs w:val="18"/>
              </w:rPr>
              <w:t xml:space="preserve">Component 3: </w:t>
            </w:r>
            <w:r w:rsidR="007426EE">
              <w:rPr>
                <w:rFonts w:ascii="Arial" w:eastAsia="Times New Roman" w:hAnsi="Arial" w:cs="Arial"/>
                <w:color w:val="000000"/>
                <w:sz w:val="18"/>
                <w:szCs w:val="18"/>
              </w:rPr>
              <w:t>Development of the AquaRating business model</w:t>
            </w:r>
          </w:p>
        </w:tc>
        <w:tc>
          <w:tcPr>
            <w:tcW w:w="3960" w:type="dxa"/>
          </w:tcPr>
          <w:p w14:paraId="19143D3B" w14:textId="77777777" w:rsidR="00F64D1E" w:rsidRPr="00EB6518" w:rsidRDefault="00EB6518" w:rsidP="00671DB7">
            <w:pPr>
              <w:pStyle w:val="ListParagraph"/>
              <w:spacing w:before="60" w:after="60"/>
              <w:ind w:left="0"/>
              <w:contextualSpacing w:val="0"/>
              <w:rPr>
                <w:rFonts w:ascii="Arial" w:hAnsi="Arial" w:cs="Arial"/>
                <w:sz w:val="18"/>
                <w:szCs w:val="18"/>
              </w:rPr>
            </w:pPr>
            <w:r w:rsidRPr="00EB6518">
              <w:rPr>
                <w:rFonts w:ascii="Arial" w:hAnsi="Arial" w:cs="Arial"/>
                <w:sz w:val="18"/>
                <w:szCs w:val="18"/>
              </w:rPr>
              <w:t xml:space="preserve">Design of a sustainable business model for </w:t>
            </w:r>
            <w:proofErr w:type="spellStart"/>
            <w:r w:rsidRPr="00EB6518">
              <w:rPr>
                <w:rFonts w:ascii="Arial" w:hAnsi="Arial" w:cs="Arial"/>
                <w:sz w:val="18"/>
                <w:szCs w:val="18"/>
              </w:rPr>
              <w:t>Aquarating</w:t>
            </w:r>
            <w:proofErr w:type="spellEnd"/>
            <w:r w:rsidR="00245F89">
              <w:rPr>
                <w:rFonts w:ascii="Arial" w:hAnsi="Arial" w:cs="Arial"/>
                <w:sz w:val="18"/>
                <w:szCs w:val="18"/>
              </w:rPr>
              <w:t>.</w:t>
            </w:r>
          </w:p>
        </w:tc>
        <w:tc>
          <w:tcPr>
            <w:tcW w:w="1080" w:type="dxa"/>
            <w:vAlign w:val="center"/>
          </w:tcPr>
          <w:p w14:paraId="387DC9DD" w14:textId="48F98DC5" w:rsidR="00F64D1E" w:rsidRPr="00DF0B28" w:rsidRDefault="001E0019" w:rsidP="00A51234">
            <w:pPr>
              <w:jc w:val="right"/>
              <w:rPr>
                <w:rFonts w:ascii="Arial" w:eastAsia="Times New Roman" w:hAnsi="Arial" w:cs="Arial"/>
                <w:color w:val="000000"/>
                <w:sz w:val="18"/>
                <w:szCs w:val="18"/>
              </w:rPr>
            </w:pPr>
            <w:r>
              <w:rPr>
                <w:rFonts w:ascii="Arial" w:eastAsia="Times New Roman" w:hAnsi="Arial" w:cs="Arial"/>
                <w:color w:val="000000"/>
                <w:sz w:val="18"/>
                <w:szCs w:val="18"/>
              </w:rPr>
              <w:t>120</w:t>
            </w:r>
            <w:r w:rsidR="004656D9">
              <w:rPr>
                <w:rFonts w:ascii="Arial" w:eastAsia="Times New Roman" w:hAnsi="Arial" w:cs="Arial"/>
                <w:color w:val="000000"/>
                <w:sz w:val="18"/>
                <w:szCs w:val="18"/>
              </w:rPr>
              <w:t>,000</w:t>
            </w:r>
          </w:p>
        </w:tc>
        <w:tc>
          <w:tcPr>
            <w:tcW w:w="1260" w:type="dxa"/>
          </w:tcPr>
          <w:p w14:paraId="4CB5FD6C" w14:textId="28C0A6B8" w:rsidR="00F64D1E" w:rsidRPr="00DF0B28" w:rsidRDefault="001E0019" w:rsidP="0093010C">
            <w:pPr>
              <w:pStyle w:val="ListParagraph"/>
              <w:spacing w:before="60" w:after="60"/>
              <w:ind w:left="0"/>
              <w:contextualSpacing w:val="0"/>
              <w:jc w:val="center"/>
              <w:rPr>
                <w:rFonts w:ascii="Arial" w:hAnsi="Arial" w:cs="Arial"/>
                <w:b/>
                <w:sz w:val="18"/>
                <w:szCs w:val="18"/>
              </w:rPr>
            </w:pPr>
            <w:r>
              <w:rPr>
                <w:rFonts w:ascii="Arial" w:hAnsi="Arial" w:cs="Arial"/>
                <w:b/>
                <w:sz w:val="18"/>
                <w:szCs w:val="18"/>
              </w:rPr>
              <w:t>12</w:t>
            </w:r>
            <w:r w:rsidR="004656D9">
              <w:rPr>
                <w:rFonts w:ascii="Arial" w:hAnsi="Arial" w:cs="Arial"/>
                <w:b/>
                <w:sz w:val="18"/>
                <w:szCs w:val="18"/>
              </w:rPr>
              <w:t>,000</w:t>
            </w:r>
          </w:p>
        </w:tc>
      </w:tr>
      <w:tr w:rsidR="00F64D1E" w:rsidRPr="00DF0B28" w14:paraId="78821130" w14:textId="77777777" w:rsidTr="00245F89">
        <w:tc>
          <w:tcPr>
            <w:tcW w:w="2880" w:type="dxa"/>
            <w:vAlign w:val="center"/>
          </w:tcPr>
          <w:p w14:paraId="20929290" w14:textId="77777777" w:rsidR="00F64D1E" w:rsidRPr="00DF0B28" w:rsidRDefault="00F57A55" w:rsidP="00EE5CCC">
            <w:pPr>
              <w:rPr>
                <w:rFonts w:ascii="Arial" w:eastAsia="Times New Roman" w:hAnsi="Arial" w:cs="Arial"/>
                <w:color w:val="000000"/>
                <w:sz w:val="18"/>
                <w:szCs w:val="18"/>
              </w:rPr>
            </w:pPr>
            <w:r w:rsidRPr="00DF0B28">
              <w:rPr>
                <w:rFonts w:ascii="Arial" w:eastAsia="Times New Roman" w:hAnsi="Arial" w:cs="Arial"/>
                <w:color w:val="000000"/>
                <w:sz w:val="18"/>
                <w:szCs w:val="18"/>
              </w:rPr>
              <w:t xml:space="preserve">Component 4: </w:t>
            </w:r>
            <w:r w:rsidR="007426EE">
              <w:rPr>
                <w:rFonts w:ascii="Arial" w:eastAsia="Times New Roman" w:hAnsi="Arial" w:cs="Arial"/>
                <w:color w:val="000000"/>
                <w:sz w:val="18"/>
                <w:szCs w:val="18"/>
              </w:rPr>
              <w:t>Promotion and dissemination of AquaRating</w:t>
            </w:r>
          </w:p>
        </w:tc>
        <w:tc>
          <w:tcPr>
            <w:tcW w:w="3960" w:type="dxa"/>
          </w:tcPr>
          <w:p w14:paraId="320D6E1D" w14:textId="77777777" w:rsidR="00F64D1E" w:rsidRPr="00DF0B28" w:rsidRDefault="00245F89" w:rsidP="00EE5CCC">
            <w:pPr>
              <w:pStyle w:val="ListParagraph"/>
              <w:spacing w:before="60" w:after="60"/>
              <w:ind w:left="0"/>
              <w:contextualSpacing w:val="0"/>
              <w:rPr>
                <w:rFonts w:ascii="Arial" w:hAnsi="Arial" w:cs="Arial"/>
                <w:sz w:val="18"/>
                <w:szCs w:val="18"/>
              </w:rPr>
            </w:pPr>
            <w:r>
              <w:rPr>
                <w:rFonts w:ascii="Arial" w:hAnsi="Arial" w:cs="Arial"/>
                <w:sz w:val="18"/>
                <w:szCs w:val="18"/>
              </w:rPr>
              <w:t xml:space="preserve">Promotion and dissemination of </w:t>
            </w:r>
            <w:proofErr w:type="spellStart"/>
            <w:r>
              <w:rPr>
                <w:rFonts w:ascii="Arial" w:hAnsi="Arial" w:cs="Arial"/>
                <w:sz w:val="18"/>
                <w:szCs w:val="18"/>
              </w:rPr>
              <w:t>Aquarating</w:t>
            </w:r>
            <w:proofErr w:type="spellEnd"/>
            <w:r>
              <w:rPr>
                <w:rFonts w:ascii="Arial" w:hAnsi="Arial" w:cs="Arial"/>
                <w:sz w:val="18"/>
                <w:szCs w:val="18"/>
              </w:rPr>
              <w:t xml:space="preserve"> in events in LAC</w:t>
            </w:r>
            <w:r w:rsidR="004656D9">
              <w:rPr>
                <w:rFonts w:ascii="Arial" w:hAnsi="Arial" w:cs="Arial"/>
                <w:sz w:val="18"/>
                <w:szCs w:val="18"/>
              </w:rPr>
              <w:t xml:space="preserve"> and development of MOOC</w:t>
            </w:r>
          </w:p>
        </w:tc>
        <w:tc>
          <w:tcPr>
            <w:tcW w:w="1080" w:type="dxa"/>
            <w:vAlign w:val="center"/>
          </w:tcPr>
          <w:p w14:paraId="4846132B" w14:textId="77777777" w:rsidR="00F64D1E" w:rsidRPr="00DF0B28" w:rsidRDefault="00D520B4" w:rsidP="00866CF0">
            <w:pPr>
              <w:jc w:val="right"/>
              <w:rPr>
                <w:rFonts w:ascii="Arial" w:eastAsia="Times New Roman" w:hAnsi="Arial" w:cs="Arial"/>
                <w:color w:val="000000"/>
                <w:sz w:val="18"/>
                <w:szCs w:val="18"/>
              </w:rPr>
            </w:pPr>
            <w:r>
              <w:rPr>
                <w:rFonts w:ascii="Arial" w:eastAsia="Times New Roman" w:hAnsi="Arial" w:cs="Arial"/>
                <w:color w:val="000000"/>
                <w:sz w:val="18"/>
                <w:szCs w:val="18"/>
              </w:rPr>
              <w:t>80</w:t>
            </w:r>
            <w:r w:rsidR="004656D9">
              <w:rPr>
                <w:rFonts w:ascii="Arial" w:eastAsia="Times New Roman" w:hAnsi="Arial" w:cs="Arial"/>
                <w:color w:val="000000"/>
                <w:sz w:val="18"/>
                <w:szCs w:val="18"/>
              </w:rPr>
              <w:t>,000</w:t>
            </w:r>
          </w:p>
        </w:tc>
        <w:tc>
          <w:tcPr>
            <w:tcW w:w="1260" w:type="dxa"/>
          </w:tcPr>
          <w:p w14:paraId="435A4125" w14:textId="77777777" w:rsidR="00F64D1E" w:rsidRPr="00DF0B28" w:rsidRDefault="00D520B4" w:rsidP="00866CF0">
            <w:pPr>
              <w:pStyle w:val="ListParagraph"/>
              <w:spacing w:before="60" w:after="60"/>
              <w:ind w:left="0"/>
              <w:contextualSpacing w:val="0"/>
              <w:jc w:val="center"/>
              <w:rPr>
                <w:rFonts w:ascii="Arial" w:hAnsi="Arial" w:cs="Arial"/>
                <w:b/>
                <w:sz w:val="18"/>
                <w:szCs w:val="18"/>
              </w:rPr>
            </w:pPr>
            <w:r>
              <w:rPr>
                <w:rFonts w:ascii="Arial" w:hAnsi="Arial" w:cs="Arial"/>
                <w:b/>
                <w:sz w:val="18"/>
                <w:szCs w:val="18"/>
              </w:rPr>
              <w:t>80</w:t>
            </w:r>
            <w:r w:rsidR="004656D9">
              <w:rPr>
                <w:rFonts w:ascii="Arial" w:hAnsi="Arial" w:cs="Arial"/>
                <w:b/>
                <w:sz w:val="18"/>
                <w:szCs w:val="18"/>
              </w:rPr>
              <w:t>,000</w:t>
            </w:r>
          </w:p>
        </w:tc>
      </w:tr>
      <w:tr w:rsidR="00F64D1E" w:rsidRPr="00DF0B28" w14:paraId="071F4440" w14:textId="77777777" w:rsidTr="00245F89">
        <w:tc>
          <w:tcPr>
            <w:tcW w:w="2880" w:type="dxa"/>
            <w:shd w:val="clear" w:color="auto" w:fill="DDD9C3" w:themeFill="background2" w:themeFillShade="E6"/>
            <w:vAlign w:val="center"/>
          </w:tcPr>
          <w:p w14:paraId="30DA5C18" w14:textId="77777777" w:rsidR="00F64D1E" w:rsidRPr="00DF0B28" w:rsidRDefault="00796895" w:rsidP="00671DB7">
            <w:pPr>
              <w:rPr>
                <w:rFonts w:ascii="Arial" w:eastAsia="Times New Roman" w:hAnsi="Arial" w:cs="Arial"/>
                <w:b/>
                <w:color w:val="000000"/>
                <w:sz w:val="18"/>
                <w:szCs w:val="18"/>
              </w:rPr>
            </w:pPr>
            <w:r w:rsidRPr="00DF0B28">
              <w:rPr>
                <w:rFonts w:ascii="Arial" w:eastAsia="Times New Roman" w:hAnsi="Arial" w:cs="Arial"/>
                <w:b/>
                <w:color w:val="000000"/>
                <w:sz w:val="18"/>
                <w:szCs w:val="18"/>
              </w:rPr>
              <w:t>TOTAL</w:t>
            </w:r>
          </w:p>
        </w:tc>
        <w:tc>
          <w:tcPr>
            <w:tcW w:w="3960" w:type="dxa"/>
            <w:shd w:val="clear" w:color="auto" w:fill="DDD9C3" w:themeFill="background2" w:themeFillShade="E6"/>
          </w:tcPr>
          <w:p w14:paraId="440BCFB9" w14:textId="77777777" w:rsidR="00F64D1E" w:rsidRPr="00DF0B28" w:rsidRDefault="00F64D1E" w:rsidP="00671DB7">
            <w:pPr>
              <w:pStyle w:val="ListParagraph"/>
              <w:spacing w:before="60" w:after="60"/>
              <w:ind w:left="0"/>
              <w:contextualSpacing w:val="0"/>
              <w:rPr>
                <w:rFonts w:ascii="Arial" w:hAnsi="Arial" w:cs="Arial"/>
                <w:b/>
                <w:sz w:val="18"/>
                <w:szCs w:val="18"/>
              </w:rPr>
            </w:pPr>
          </w:p>
        </w:tc>
        <w:tc>
          <w:tcPr>
            <w:tcW w:w="1080" w:type="dxa"/>
            <w:shd w:val="clear" w:color="auto" w:fill="DDD9C3" w:themeFill="background2" w:themeFillShade="E6"/>
            <w:vAlign w:val="center"/>
          </w:tcPr>
          <w:p w14:paraId="142CBF3B" w14:textId="01C8A6C2" w:rsidR="00F64D1E" w:rsidRPr="00DF0B28" w:rsidRDefault="001E0019" w:rsidP="00F64D1E">
            <w:pPr>
              <w:jc w:val="right"/>
              <w:rPr>
                <w:rFonts w:ascii="Arial" w:eastAsia="Times New Roman" w:hAnsi="Arial" w:cs="Arial"/>
                <w:bCs/>
                <w:color w:val="000000"/>
                <w:sz w:val="18"/>
                <w:szCs w:val="18"/>
              </w:rPr>
            </w:pPr>
            <w:r>
              <w:rPr>
                <w:rFonts w:ascii="Arial" w:eastAsia="Times New Roman" w:hAnsi="Arial" w:cs="Arial"/>
                <w:bCs/>
                <w:color w:val="000000"/>
                <w:sz w:val="18"/>
                <w:szCs w:val="18"/>
              </w:rPr>
              <w:t>5</w:t>
            </w:r>
            <w:r w:rsidR="003F6FFB">
              <w:rPr>
                <w:rFonts w:ascii="Arial" w:eastAsia="Times New Roman" w:hAnsi="Arial" w:cs="Arial"/>
                <w:bCs/>
                <w:color w:val="000000"/>
                <w:sz w:val="18"/>
                <w:szCs w:val="18"/>
              </w:rPr>
              <w:t>0</w:t>
            </w:r>
            <w:r w:rsidR="004656D9">
              <w:rPr>
                <w:rFonts w:ascii="Arial" w:eastAsia="Times New Roman" w:hAnsi="Arial" w:cs="Arial"/>
                <w:bCs/>
                <w:color w:val="000000"/>
                <w:sz w:val="18"/>
                <w:szCs w:val="18"/>
              </w:rPr>
              <w:t>0,000</w:t>
            </w:r>
          </w:p>
        </w:tc>
        <w:tc>
          <w:tcPr>
            <w:tcW w:w="1260" w:type="dxa"/>
            <w:shd w:val="clear" w:color="auto" w:fill="DDD9C3" w:themeFill="background2" w:themeFillShade="E6"/>
          </w:tcPr>
          <w:p w14:paraId="13B0F7CE" w14:textId="09B1FFA6" w:rsidR="00F64D1E" w:rsidRPr="00DF0B28" w:rsidRDefault="001E0019" w:rsidP="0093010C">
            <w:pPr>
              <w:pStyle w:val="ListParagraph"/>
              <w:spacing w:before="60" w:after="60"/>
              <w:ind w:left="0"/>
              <w:contextualSpacing w:val="0"/>
              <w:jc w:val="center"/>
              <w:rPr>
                <w:rFonts w:ascii="Arial" w:hAnsi="Arial" w:cs="Arial"/>
                <w:b/>
                <w:sz w:val="18"/>
                <w:szCs w:val="18"/>
              </w:rPr>
            </w:pPr>
            <w:r>
              <w:rPr>
                <w:rFonts w:ascii="Arial" w:hAnsi="Arial" w:cs="Arial"/>
                <w:b/>
                <w:sz w:val="18"/>
                <w:szCs w:val="18"/>
              </w:rPr>
              <w:t>5</w:t>
            </w:r>
            <w:r w:rsidR="003F6FFB">
              <w:rPr>
                <w:rFonts w:ascii="Arial" w:hAnsi="Arial" w:cs="Arial"/>
                <w:b/>
                <w:sz w:val="18"/>
                <w:szCs w:val="18"/>
              </w:rPr>
              <w:t>0</w:t>
            </w:r>
            <w:r w:rsidR="004656D9">
              <w:rPr>
                <w:rFonts w:ascii="Arial" w:hAnsi="Arial" w:cs="Arial"/>
                <w:b/>
                <w:sz w:val="18"/>
                <w:szCs w:val="18"/>
              </w:rPr>
              <w:t>0,000</w:t>
            </w:r>
          </w:p>
        </w:tc>
      </w:tr>
    </w:tbl>
    <w:p w14:paraId="5589F762" w14:textId="77777777" w:rsidR="0095711B" w:rsidRPr="00396D3A" w:rsidRDefault="0095711B" w:rsidP="00396D3A">
      <w:pPr>
        <w:pStyle w:val="ListParagraph"/>
        <w:numPr>
          <w:ilvl w:val="0"/>
          <w:numId w:val="5"/>
        </w:numPr>
        <w:spacing w:before="120" w:after="120"/>
        <w:jc w:val="both"/>
        <w:rPr>
          <w:rFonts w:ascii="Arial" w:hAnsi="Arial" w:cs="Arial"/>
          <w:b/>
        </w:rPr>
      </w:pPr>
      <w:r w:rsidRPr="00396D3A">
        <w:rPr>
          <w:rFonts w:ascii="Arial" w:hAnsi="Arial" w:cs="Arial"/>
          <w:b/>
        </w:rPr>
        <w:t xml:space="preserve">Executing agency and execution structure </w:t>
      </w:r>
    </w:p>
    <w:p w14:paraId="28E443EB" w14:textId="77777777" w:rsidR="00396D3A" w:rsidRPr="00396D3A" w:rsidRDefault="00396D3A" w:rsidP="00396D3A">
      <w:pPr>
        <w:pStyle w:val="ListParagraph"/>
        <w:spacing w:before="120" w:after="120"/>
        <w:ind w:left="360"/>
        <w:jc w:val="both"/>
        <w:rPr>
          <w:rFonts w:ascii="Arial" w:hAnsi="Arial" w:cs="Arial"/>
          <w:b/>
        </w:rPr>
      </w:pPr>
    </w:p>
    <w:p w14:paraId="38F7D15D" w14:textId="5337A5A8" w:rsidR="00E71D54" w:rsidRPr="00767AC8" w:rsidRDefault="00CD547F" w:rsidP="000B0B54">
      <w:pPr>
        <w:pStyle w:val="ListParagraph"/>
        <w:numPr>
          <w:ilvl w:val="1"/>
          <w:numId w:val="5"/>
        </w:numPr>
        <w:spacing w:before="120" w:after="120"/>
        <w:ind w:left="360" w:hanging="540"/>
        <w:jc w:val="both"/>
        <w:rPr>
          <w:rFonts w:ascii="Arial" w:hAnsi="Arial" w:cs="Arial"/>
        </w:rPr>
      </w:pPr>
      <w:r w:rsidRPr="00767AC8">
        <w:rPr>
          <w:rFonts w:ascii="Arial" w:hAnsi="Arial" w:cs="Arial"/>
        </w:rPr>
        <w:t xml:space="preserve">As the </w:t>
      </w:r>
      <w:proofErr w:type="spellStart"/>
      <w:r w:rsidRPr="00767AC8">
        <w:rPr>
          <w:rFonts w:ascii="Arial" w:hAnsi="Arial" w:cs="Arial"/>
        </w:rPr>
        <w:t>Aquarating</w:t>
      </w:r>
      <w:proofErr w:type="spellEnd"/>
      <w:r w:rsidRPr="00767AC8">
        <w:rPr>
          <w:rFonts w:ascii="Arial" w:hAnsi="Arial" w:cs="Arial"/>
        </w:rPr>
        <w:t xml:space="preserve"> technical and management teams are based at IDB headquart</w:t>
      </w:r>
      <w:r w:rsidR="00F136A3" w:rsidRPr="00767AC8">
        <w:rPr>
          <w:rFonts w:ascii="Arial" w:hAnsi="Arial" w:cs="Arial"/>
        </w:rPr>
        <w:t>ers and have been executing the previous technical cooperation operations, t</w:t>
      </w:r>
      <w:r w:rsidR="00E61E71" w:rsidRPr="00767AC8">
        <w:rPr>
          <w:rFonts w:ascii="Arial" w:hAnsi="Arial" w:cs="Arial"/>
        </w:rPr>
        <w:t>h</w:t>
      </w:r>
      <w:r w:rsidR="00AF3997" w:rsidRPr="00767AC8">
        <w:rPr>
          <w:rFonts w:ascii="Arial" w:hAnsi="Arial" w:cs="Arial"/>
        </w:rPr>
        <w:t>e IDB will be the Executing Agency for the TC</w:t>
      </w:r>
      <w:r w:rsidR="00912026" w:rsidRPr="00767AC8">
        <w:rPr>
          <w:rFonts w:ascii="Arial" w:hAnsi="Arial" w:cs="Arial"/>
        </w:rPr>
        <w:t xml:space="preserve"> </w:t>
      </w:r>
      <w:r w:rsidR="00AF3997" w:rsidRPr="00767AC8">
        <w:rPr>
          <w:rFonts w:ascii="Arial" w:hAnsi="Arial" w:cs="Arial"/>
          <w:lang w:val="en"/>
        </w:rPr>
        <w:t>through the Water and Sanitation division.</w:t>
      </w:r>
      <w:r w:rsidR="007328AF" w:rsidRPr="00767AC8">
        <w:rPr>
          <w:rFonts w:ascii="Arial" w:hAnsi="Arial" w:cs="Arial"/>
          <w:lang w:val="en"/>
        </w:rPr>
        <w:t xml:space="preserve">  </w:t>
      </w:r>
      <w:r w:rsidR="008C197F" w:rsidRPr="00767AC8">
        <w:rPr>
          <w:rFonts w:ascii="Arial" w:hAnsi="Arial" w:cs="Arial"/>
        </w:rPr>
        <w:t>All contracting activities will be carried out in accordance with Bank policies and procedures</w:t>
      </w:r>
      <w:r w:rsidR="00E71D54" w:rsidRPr="00767AC8">
        <w:rPr>
          <w:rFonts w:ascii="Arial" w:hAnsi="Arial" w:cs="Arial"/>
        </w:rPr>
        <w:t>.</w:t>
      </w:r>
      <w:r w:rsidR="00767AC8" w:rsidRPr="00767AC8">
        <w:rPr>
          <w:rFonts w:ascii="Arial" w:hAnsi="Arial" w:cs="Arial"/>
        </w:rPr>
        <w:t xml:space="preserve"> </w:t>
      </w:r>
      <w:r w:rsidR="00046B89" w:rsidRPr="00767AC8">
        <w:rPr>
          <w:rFonts w:ascii="Arial" w:hAnsi="Arial" w:cs="Arial"/>
        </w:rPr>
        <w:t>The execution will be done and supervised from the HQ, the focal point is Corinne Cathala, WSA Specialist; in coordination with the WSA specialist in each country where AquaRating is implemented</w:t>
      </w:r>
    </w:p>
    <w:p w14:paraId="69DAEF36" w14:textId="18DAFA58" w:rsidR="00912026" w:rsidRPr="00912026" w:rsidRDefault="00912026" w:rsidP="00912026">
      <w:pPr>
        <w:pStyle w:val="ListParagraph"/>
        <w:spacing w:before="120" w:after="120"/>
        <w:ind w:left="360"/>
        <w:jc w:val="both"/>
        <w:rPr>
          <w:rFonts w:ascii="Arial" w:hAnsi="Arial" w:cs="Arial"/>
        </w:rPr>
      </w:pPr>
    </w:p>
    <w:p w14:paraId="0F17DEE9" w14:textId="11DDCB95" w:rsidR="000F7906" w:rsidRDefault="000F7906" w:rsidP="00396D3A">
      <w:pPr>
        <w:pStyle w:val="ListParagraph"/>
        <w:numPr>
          <w:ilvl w:val="0"/>
          <w:numId w:val="5"/>
        </w:numPr>
        <w:spacing w:before="120" w:after="120"/>
        <w:jc w:val="both"/>
        <w:rPr>
          <w:rFonts w:ascii="Arial" w:hAnsi="Arial" w:cs="Arial"/>
          <w:b/>
        </w:rPr>
      </w:pPr>
      <w:r w:rsidRPr="00396D3A">
        <w:rPr>
          <w:rFonts w:ascii="Arial" w:hAnsi="Arial" w:cs="Arial"/>
          <w:b/>
        </w:rPr>
        <w:t>Project Risks and</w:t>
      </w:r>
      <w:bookmarkStart w:id="0" w:name="_GoBack"/>
      <w:bookmarkEnd w:id="0"/>
      <w:r w:rsidR="0095711B" w:rsidRPr="00396D3A">
        <w:rPr>
          <w:rFonts w:ascii="Arial" w:hAnsi="Arial" w:cs="Arial"/>
          <w:b/>
        </w:rPr>
        <w:t xml:space="preserve"> issues </w:t>
      </w:r>
    </w:p>
    <w:p w14:paraId="21CF4087" w14:textId="77777777" w:rsidR="00DF0B28" w:rsidRPr="00396D3A" w:rsidRDefault="00DF0B28" w:rsidP="00DF0B28">
      <w:pPr>
        <w:pStyle w:val="ListParagraph"/>
        <w:spacing w:before="120" w:after="120"/>
        <w:ind w:left="360"/>
        <w:jc w:val="both"/>
        <w:rPr>
          <w:rFonts w:ascii="Arial" w:hAnsi="Arial" w:cs="Arial"/>
          <w:b/>
        </w:rPr>
      </w:pPr>
    </w:p>
    <w:p w14:paraId="26EB3125" w14:textId="50A408D2" w:rsidR="00B347ED" w:rsidRDefault="00452B39" w:rsidP="00396D3A">
      <w:pPr>
        <w:pStyle w:val="ListParagraph"/>
        <w:numPr>
          <w:ilvl w:val="1"/>
          <w:numId w:val="5"/>
        </w:numPr>
        <w:spacing w:before="120" w:after="120"/>
        <w:ind w:left="360" w:hanging="540"/>
        <w:jc w:val="both"/>
        <w:rPr>
          <w:rFonts w:ascii="Arial" w:hAnsi="Arial" w:cs="Arial"/>
        </w:rPr>
      </w:pPr>
      <w:r w:rsidRPr="00396D3A">
        <w:rPr>
          <w:rFonts w:ascii="Arial" w:hAnsi="Arial" w:cs="Arial"/>
        </w:rPr>
        <w:t>One of the risks</w:t>
      </w:r>
      <w:r w:rsidR="00270D26" w:rsidRPr="00396D3A">
        <w:rPr>
          <w:rFonts w:ascii="Arial" w:hAnsi="Arial" w:cs="Arial"/>
        </w:rPr>
        <w:t xml:space="preserve"> in achieving the objectives of this TC </w:t>
      </w:r>
      <w:r w:rsidRPr="00396D3A">
        <w:rPr>
          <w:rFonts w:ascii="Arial" w:hAnsi="Arial" w:cs="Arial"/>
        </w:rPr>
        <w:t>is</w:t>
      </w:r>
      <w:r w:rsidR="00270D26" w:rsidRPr="00396D3A">
        <w:rPr>
          <w:rFonts w:ascii="Arial" w:hAnsi="Arial" w:cs="Arial"/>
        </w:rPr>
        <w:t xml:space="preserve"> the potential</w:t>
      </w:r>
      <w:r w:rsidR="00376C8C" w:rsidRPr="00396D3A">
        <w:rPr>
          <w:rFonts w:ascii="Arial" w:hAnsi="Arial" w:cs="Arial"/>
        </w:rPr>
        <w:t>ly</w:t>
      </w:r>
      <w:r w:rsidR="00270D26" w:rsidRPr="00396D3A">
        <w:rPr>
          <w:rFonts w:ascii="Arial" w:hAnsi="Arial" w:cs="Arial"/>
        </w:rPr>
        <w:t xml:space="preserve"> </w:t>
      </w:r>
      <w:r w:rsidR="00376C8C" w:rsidRPr="00396D3A">
        <w:rPr>
          <w:rFonts w:ascii="Arial" w:hAnsi="Arial" w:cs="Arial"/>
        </w:rPr>
        <w:t xml:space="preserve">high and low demand picks. </w:t>
      </w:r>
      <w:r w:rsidR="00653CC6" w:rsidRPr="00396D3A">
        <w:rPr>
          <w:rFonts w:ascii="Arial" w:hAnsi="Arial" w:cs="Arial"/>
        </w:rPr>
        <w:t xml:space="preserve">AquaRating could generate a lot of interest </w:t>
      </w:r>
      <w:r w:rsidR="00270D26" w:rsidRPr="00396D3A">
        <w:rPr>
          <w:rFonts w:ascii="Arial" w:hAnsi="Arial" w:cs="Arial"/>
        </w:rPr>
        <w:t xml:space="preserve">from </w:t>
      </w:r>
      <w:r w:rsidR="00376C8C" w:rsidRPr="00396D3A">
        <w:rPr>
          <w:rFonts w:ascii="Arial" w:hAnsi="Arial" w:cs="Arial"/>
        </w:rPr>
        <w:t xml:space="preserve">too many </w:t>
      </w:r>
      <w:r w:rsidR="00270D26" w:rsidRPr="00396D3A">
        <w:rPr>
          <w:rFonts w:ascii="Arial" w:hAnsi="Arial" w:cs="Arial"/>
        </w:rPr>
        <w:t>utilities and sponsors</w:t>
      </w:r>
      <w:r w:rsidR="00453E08" w:rsidRPr="00396D3A">
        <w:rPr>
          <w:rFonts w:ascii="Arial" w:hAnsi="Arial" w:cs="Arial"/>
        </w:rPr>
        <w:t xml:space="preserve"> </w:t>
      </w:r>
      <w:r w:rsidR="00376C8C" w:rsidRPr="00396D3A">
        <w:rPr>
          <w:rFonts w:ascii="Arial" w:hAnsi="Arial" w:cs="Arial"/>
        </w:rPr>
        <w:t xml:space="preserve">at the same </w:t>
      </w:r>
      <w:r w:rsidR="00040F14" w:rsidRPr="00396D3A">
        <w:rPr>
          <w:rFonts w:ascii="Arial" w:hAnsi="Arial" w:cs="Arial"/>
        </w:rPr>
        <w:t>time</w:t>
      </w:r>
      <w:r w:rsidR="00653CC6" w:rsidRPr="00396D3A">
        <w:rPr>
          <w:rFonts w:ascii="Arial" w:hAnsi="Arial" w:cs="Arial"/>
        </w:rPr>
        <w:t>, which could impact negatively the AquaRating Technical Unit</w:t>
      </w:r>
      <w:r w:rsidR="007218CB">
        <w:rPr>
          <w:rFonts w:ascii="Arial" w:hAnsi="Arial" w:cs="Arial"/>
        </w:rPr>
        <w:t>.</w:t>
      </w:r>
      <w:r w:rsidR="00376C8C" w:rsidRPr="00396D3A">
        <w:rPr>
          <w:rFonts w:ascii="Arial" w:hAnsi="Arial" w:cs="Arial"/>
        </w:rPr>
        <w:t xml:space="preserve"> </w:t>
      </w:r>
      <w:r w:rsidR="00270D26" w:rsidRPr="00396D3A">
        <w:rPr>
          <w:rFonts w:ascii="Arial" w:hAnsi="Arial" w:cs="Arial"/>
        </w:rPr>
        <w:t>To mitigate that risk</w:t>
      </w:r>
      <w:r w:rsidR="00653CC6" w:rsidRPr="00396D3A">
        <w:rPr>
          <w:rFonts w:ascii="Arial" w:hAnsi="Arial" w:cs="Arial"/>
        </w:rPr>
        <w:t xml:space="preserve">, </w:t>
      </w:r>
      <w:r w:rsidR="00376C8C" w:rsidRPr="00396D3A">
        <w:rPr>
          <w:rFonts w:ascii="Arial" w:hAnsi="Arial" w:cs="Arial"/>
        </w:rPr>
        <w:t xml:space="preserve">local consultants will be </w:t>
      </w:r>
      <w:r w:rsidR="00653CC6" w:rsidRPr="00396D3A">
        <w:rPr>
          <w:rFonts w:ascii="Arial" w:hAnsi="Arial" w:cs="Arial"/>
        </w:rPr>
        <w:t>contracted</w:t>
      </w:r>
      <w:r w:rsidR="00376C8C" w:rsidRPr="00396D3A">
        <w:rPr>
          <w:rFonts w:ascii="Arial" w:hAnsi="Arial" w:cs="Arial"/>
        </w:rPr>
        <w:t xml:space="preserve"> </w:t>
      </w:r>
      <w:r w:rsidR="00803803">
        <w:rPr>
          <w:rFonts w:ascii="Arial" w:hAnsi="Arial" w:cs="Arial"/>
        </w:rPr>
        <w:t xml:space="preserve">to attend the utilities on a day-to-day basis </w:t>
      </w:r>
      <w:r w:rsidR="00376C8C" w:rsidRPr="00396D3A">
        <w:rPr>
          <w:rFonts w:ascii="Arial" w:hAnsi="Arial" w:cs="Arial"/>
        </w:rPr>
        <w:t>in each of the countries where</w:t>
      </w:r>
      <w:r w:rsidR="00803803">
        <w:rPr>
          <w:rFonts w:ascii="Arial" w:hAnsi="Arial" w:cs="Arial"/>
        </w:rPr>
        <w:t xml:space="preserve"> </w:t>
      </w:r>
      <w:r w:rsidR="00376C8C" w:rsidRPr="00396D3A">
        <w:rPr>
          <w:rFonts w:ascii="Arial" w:hAnsi="Arial" w:cs="Arial"/>
        </w:rPr>
        <w:t>demand is high</w:t>
      </w:r>
      <w:r w:rsidR="001E7A97">
        <w:rPr>
          <w:rFonts w:ascii="Arial" w:hAnsi="Arial" w:cs="Arial"/>
        </w:rPr>
        <w:t xml:space="preserve">, as has been successfully </w:t>
      </w:r>
      <w:r w:rsidR="00D60A4C">
        <w:rPr>
          <w:rFonts w:ascii="Arial" w:hAnsi="Arial" w:cs="Arial"/>
        </w:rPr>
        <w:t>implemented</w:t>
      </w:r>
      <w:r w:rsidR="00803803">
        <w:rPr>
          <w:rFonts w:ascii="Arial" w:hAnsi="Arial" w:cs="Arial"/>
        </w:rPr>
        <w:t xml:space="preserve"> in</w:t>
      </w:r>
      <w:r w:rsidR="00376C8C" w:rsidRPr="00396D3A">
        <w:rPr>
          <w:rFonts w:ascii="Arial" w:hAnsi="Arial" w:cs="Arial"/>
        </w:rPr>
        <w:t xml:space="preserve"> </w:t>
      </w:r>
      <w:r w:rsidR="00453E08" w:rsidRPr="00396D3A">
        <w:rPr>
          <w:rFonts w:ascii="Arial" w:hAnsi="Arial" w:cs="Arial"/>
        </w:rPr>
        <w:t>Colombia and Mexico</w:t>
      </w:r>
      <w:r w:rsidR="00D60A4C">
        <w:rPr>
          <w:rFonts w:ascii="Arial" w:hAnsi="Arial" w:cs="Arial"/>
        </w:rPr>
        <w:t>, or through consultants to support regionally as well as fi</w:t>
      </w:r>
      <w:r w:rsidR="00385B5F">
        <w:rPr>
          <w:rFonts w:ascii="Arial" w:hAnsi="Arial" w:cs="Arial"/>
        </w:rPr>
        <w:t>rms to support complementary services such as validations, audit, support, etc.</w:t>
      </w:r>
      <w:r w:rsidR="00D60A4C">
        <w:rPr>
          <w:rFonts w:ascii="Arial" w:hAnsi="Arial" w:cs="Arial"/>
        </w:rPr>
        <w:t xml:space="preserve"> </w:t>
      </w:r>
      <w:r w:rsidR="00453E08" w:rsidRPr="00396D3A">
        <w:rPr>
          <w:rFonts w:ascii="Arial" w:hAnsi="Arial" w:cs="Arial"/>
        </w:rPr>
        <w:t xml:space="preserve"> </w:t>
      </w:r>
      <w:r w:rsidR="00653CC6" w:rsidRPr="00396D3A">
        <w:rPr>
          <w:rFonts w:ascii="Arial" w:hAnsi="Arial" w:cs="Arial"/>
        </w:rPr>
        <w:t>In addition,</w:t>
      </w:r>
      <w:r w:rsidR="008866BF" w:rsidRPr="00396D3A">
        <w:rPr>
          <w:rFonts w:ascii="Arial" w:hAnsi="Arial" w:cs="Arial"/>
        </w:rPr>
        <w:t xml:space="preserve"> to avoid a</w:t>
      </w:r>
      <w:r w:rsidR="00653CC6" w:rsidRPr="00396D3A">
        <w:rPr>
          <w:rFonts w:ascii="Arial" w:hAnsi="Arial" w:cs="Arial"/>
        </w:rPr>
        <w:t xml:space="preserve">ny </w:t>
      </w:r>
      <w:r w:rsidR="008866BF" w:rsidRPr="00396D3A">
        <w:rPr>
          <w:rFonts w:ascii="Arial" w:hAnsi="Arial" w:cs="Arial"/>
        </w:rPr>
        <w:t xml:space="preserve">low </w:t>
      </w:r>
      <w:r w:rsidR="00653CC6" w:rsidRPr="00396D3A">
        <w:rPr>
          <w:rFonts w:ascii="Arial" w:hAnsi="Arial" w:cs="Arial"/>
        </w:rPr>
        <w:t>pick</w:t>
      </w:r>
      <w:r w:rsidR="008866BF" w:rsidRPr="00396D3A">
        <w:rPr>
          <w:rFonts w:ascii="Arial" w:hAnsi="Arial" w:cs="Arial"/>
        </w:rPr>
        <w:t xml:space="preserve"> in demand, promotion</w:t>
      </w:r>
      <w:r w:rsidR="00653CC6" w:rsidRPr="00396D3A">
        <w:rPr>
          <w:rFonts w:ascii="Arial" w:hAnsi="Arial" w:cs="Arial"/>
        </w:rPr>
        <w:t>al</w:t>
      </w:r>
      <w:r w:rsidR="008866BF" w:rsidRPr="00396D3A">
        <w:rPr>
          <w:rFonts w:ascii="Arial" w:hAnsi="Arial" w:cs="Arial"/>
        </w:rPr>
        <w:t xml:space="preserve"> activities will continue throughout the implementation of this TC</w:t>
      </w:r>
      <w:r w:rsidR="00804C57">
        <w:rPr>
          <w:rFonts w:ascii="Arial" w:hAnsi="Arial" w:cs="Arial"/>
        </w:rPr>
        <w:t>.</w:t>
      </w:r>
      <w:r w:rsidR="00D60A4C">
        <w:rPr>
          <w:rFonts w:ascii="Arial" w:hAnsi="Arial" w:cs="Arial"/>
        </w:rPr>
        <w:t xml:space="preserve"> </w:t>
      </w:r>
    </w:p>
    <w:p w14:paraId="3FF33542" w14:textId="48AEBB81" w:rsidR="00BD040F" w:rsidRDefault="00BD040F" w:rsidP="00BD040F">
      <w:pPr>
        <w:spacing w:before="120" w:after="120"/>
        <w:jc w:val="both"/>
        <w:rPr>
          <w:rFonts w:ascii="Arial" w:hAnsi="Arial" w:cs="Arial"/>
        </w:rPr>
      </w:pPr>
    </w:p>
    <w:p w14:paraId="725C18FB" w14:textId="060DACDC" w:rsidR="00BD040F" w:rsidRPr="00BD040F" w:rsidRDefault="00BD040F" w:rsidP="00BD040F">
      <w:pPr>
        <w:pStyle w:val="ListParagraph"/>
        <w:numPr>
          <w:ilvl w:val="0"/>
          <w:numId w:val="5"/>
        </w:numPr>
        <w:spacing w:before="120" w:after="120"/>
        <w:jc w:val="both"/>
        <w:rPr>
          <w:rFonts w:ascii="Arial" w:hAnsi="Arial" w:cs="Arial"/>
          <w:b/>
        </w:rPr>
      </w:pPr>
      <w:r w:rsidRPr="00BD040F">
        <w:rPr>
          <w:rFonts w:ascii="Arial" w:hAnsi="Arial" w:cs="Arial"/>
          <w:b/>
        </w:rPr>
        <w:t>Exceptions to Bank policies</w:t>
      </w:r>
    </w:p>
    <w:p w14:paraId="5C2B034B" w14:textId="577A8219" w:rsidR="007A3960" w:rsidRPr="00396D3A" w:rsidRDefault="0076012B" w:rsidP="006F34AE">
      <w:pPr>
        <w:spacing w:before="120" w:after="120"/>
        <w:ind w:left="-180" w:firstLine="540"/>
        <w:jc w:val="both"/>
        <w:rPr>
          <w:rFonts w:ascii="Arial" w:hAnsi="Arial" w:cs="Arial"/>
        </w:rPr>
      </w:pPr>
      <w:r>
        <w:rPr>
          <w:rFonts w:ascii="Arial" w:hAnsi="Arial" w:cs="Arial"/>
        </w:rPr>
        <w:t>This TC operation does not include any exception to Bank policies.</w:t>
      </w:r>
      <w:r w:rsidR="00E71D54">
        <w:rPr>
          <w:rFonts w:ascii="Arial" w:hAnsi="Arial" w:cs="Arial"/>
        </w:rPr>
        <w:t xml:space="preserve"> </w:t>
      </w:r>
      <w:r w:rsidR="006F34AE">
        <w:rPr>
          <w:rFonts w:ascii="Arial" w:hAnsi="Arial" w:cs="Arial"/>
        </w:rPr>
        <w:t xml:space="preserve"> </w:t>
      </w:r>
    </w:p>
    <w:p w14:paraId="792A3E31" w14:textId="77777777" w:rsidR="00CA272D" w:rsidRPr="00396D3A" w:rsidRDefault="0095711B" w:rsidP="00396D3A">
      <w:pPr>
        <w:pStyle w:val="ListParagraph"/>
        <w:numPr>
          <w:ilvl w:val="0"/>
          <w:numId w:val="5"/>
        </w:numPr>
        <w:spacing w:before="120" w:after="120" w:line="240" w:lineRule="auto"/>
        <w:contextualSpacing w:val="0"/>
        <w:jc w:val="both"/>
        <w:rPr>
          <w:rFonts w:ascii="Arial" w:hAnsi="Arial" w:cs="Arial"/>
          <w:b/>
        </w:rPr>
      </w:pPr>
      <w:r w:rsidRPr="00396D3A">
        <w:rPr>
          <w:rFonts w:ascii="Arial" w:hAnsi="Arial" w:cs="Arial"/>
          <w:b/>
        </w:rPr>
        <w:t xml:space="preserve">Environmental and Social </w:t>
      </w:r>
      <w:r w:rsidR="00CA272D" w:rsidRPr="00396D3A">
        <w:rPr>
          <w:rFonts w:ascii="Arial" w:hAnsi="Arial" w:cs="Arial"/>
          <w:b/>
        </w:rPr>
        <w:t>Classification</w:t>
      </w:r>
      <w:r w:rsidR="00F41DD5" w:rsidRPr="00396D3A">
        <w:rPr>
          <w:rFonts w:ascii="Arial" w:hAnsi="Arial" w:cs="Arial"/>
          <w:b/>
        </w:rPr>
        <w:t xml:space="preserve"> </w:t>
      </w:r>
    </w:p>
    <w:p w14:paraId="64A0D7DB" w14:textId="77777777" w:rsidR="00C854FE" w:rsidRDefault="00C05065" w:rsidP="00396D3A">
      <w:pPr>
        <w:pStyle w:val="ListParagraph"/>
        <w:numPr>
          <w:ilvl w:val="1"/>
          <w:numId w:val="5"/>
        </w:numPr>
        <w:spacing w:before="120" w:after="120"/>
        <w:ind w:left="360" w:hanging="540"/>
        <w:jc w:val="both"/>
        <w:rPr>
          <w:rFonts w:ascii="Arial" w:hAnsi="Arial" w:cs="Arial"/>
        </w:rPr>
      </w:pPr>
      <w:r w:rsidRPr="00396D3A">
        <w:rPr>
          <w:rFonts w:ascii="Arial" w:hAnsi="Arial" w:cs="Arial"/>
        </w:rPr>
        <w:t>Following ESG’s project classification process requirements, it has been determined that this TC operation falls under Category C. No environmental assessment studies or consultations are required for Category "C" operations</w:t>
      </w:r>
      <w:r w:rsidR="008612A8" w:rsidRPr="00396D3A">
        <w:rPr>
          <w:rFonts w:ascii="Arial" w:hAnsi="Arial" w:cs="Arial"/>
        </w:rPr>
        <w:t>.</w:t>
      </w:r>
      <w:r w:rsidR="00E205B7" w:rsidRPr="00396D3A">
        <w:rPr>
          <w:rFonts w:ascii="Arial" w:hAnsi="Arial" w:cs="Arial"/>
        </w:rPr>
        <w:t xml:space="preserve"> </w:t>
      </w:r>
    </w:p>
    <w:p w14:paraId="0985E8B8" w14:textId="77777777" w:rsidR="00E71D54" w:rsidRDefault="00E71D54" w:rsidP="00E71D54">
      <w:pPr>
        <w:spacing w:before="120" w:after="120"/>
        <w:jc w:val="both"/>
        <w:rPr>
          <w:rFonts w:ascii="Arial" w:hAnsi="Arial" w:cs="Arial"/>
        </w:rPr>
      </w:pPr>
    </w:p>
    <w:sectPr w:rsidR="00E71D54" w:rsidSect="00CF6C4D">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9725E" w14:textId="77777777" w:rsidR="00DF2C86" w:rsidRDefault="00DF2C86" w:rsidP="0095711B">
      <w:pPr>
        <w:spacing w:after="0" w:line="240" w:lineRule="auto"/>
      </w:pPr>
      <w:r>
        <w:separator/>
      </w:r>
    </w:p>
  </w:endnote>
  <w:endnote w:type="continuationSeparator" w:id="0">
    <w:p w14:paraId="0E1EC704" w14:textId="77777777" w:rsidR="00DF2C86" w:rsidRDefault="00DF2C86"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9261804"/>
      <w:docPartObj>
        <w:docPartGallery w:val="Page Numbers (Bottom of Page)"/>
        <w:docPartUnique/>
      </w:docPartObj>
    </w:sdtPr>
    <w:sdtEndPr>
      <w:rPr>
        <w:noProof/>
      </w:rPr>
    </w:sdtEndPr>
    <w:sdtContent>
      <w:p w14:paraId="5DDB3FC7" w14:textId="77777777" w:rsidR="00DF0B28" w:rsidRDefault="00DF0B28">
        <w:pPr>
          <w:pStyle w:val="Footer"/>
          <w:jc w:val="center"/>
        </w:pPr>
        <w:r>
          <w:fldChar w:fldCharType="begin"/>
        </w:r>
        <w:r>
          <w:instrText xml:space="preserve"> PAGE   \* MERGEFORMAT </w:instrText>
        </w:r>
        <w:r>
          <w:fldChar w:fldCharType="separate"/>
        </w:r>
        <w:r w:rsidR="00F87657">
          <w:rPr>
            <w:noProof/>
          </w:rPr>
          <w:t>4</w:t>
        </w:r>
        <w:r>
          <w:rPr>
            <w:noProof/>
          </w:rPr>
          <w:fldChar w:fldCharType="end"/>
        </w:r>
      </w:p>
    </w:sdtContent>
  </w:sdt>
  <w:p w14:paraId="3F2AA46A" w14:textId="77777777" w:rsidR="00F32BD2" w:rsidRDefault="00F32B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91C4D" w14:textId="77777777" w:rsidR="00DF2C86" w:rsidRDefault="00DF2C86" w:rsidP="0095711B">
      <w:pPr>
        <w:spacing w:after="0" w:line="240" w:lineRule="auto"/>
      </w:pPr>
      <w:r>
        <w:separator/>
      </w:r>
    </w:p>
  </w:footnote>
  <w:footnote w:type="continuationSeparator" w:id="0">
    <w:p w14:paraId="2FAA2B52" w14:textId="77777777" w:rsidR="00DF2C86" w:rsidRDefault="00DF2C86" w:rsidP="0095711B">
      <w:pPr>
        <w:spacing w:after="0" w:line="240" w:lineRule="auto"/>
      </w:pPr>
      <w:r>
        <w:continuationSeparator/>
      </w:r>
    </w:p>
  </w:footnote>
  <w:footnote w:id="1">
    <w:p w14:paraId="49F4B346" w14:textId="77777777" w:rsidR="001A6404" w:rsidRPr="00396D3A" w:rsidRDefault="001A6404" w:rsidP="00DF0B28">
      <w:pPr>
        <w:pStyle w:val="FootnoteText"/>
        <w:ind w:left="180" w:hanging="180"/>
        <w:rPr>
          <w:rFonts w:ascii="Arial" w:hAnsi="Arial" w:cs="Arial"/>
          <w:sz w:val="18"/>
          <w:szCs w:val="18"/>
        </w:rPr>
      </w:pPr>
      <w:r w:rsidRPr="00396D3A">
        <w:rPr>
          <w:rStyle w:val="FootnoteReference"/>
          <w:rFonts w:ascii="Arial" w:hAnsi="Arial" w:cs="Arial"/>
          <w:sz w:val="18"/>
          <w:szCs w:val="18"/>
        </w:rPr>
        <w:footnoteRef/>
      </w:r>
      <w:r w:rsidRPr="00396D3A">
        <w:rPr>
          <w:rFonts w:ascii="Arial" w:hAnsi="Arial" w:cs="Arial"/>
          <w:sz w:val="18"/>
          <w:szCs w:val="18"/>
        </w:rPr>
        <w:t xml:space="preserve"> </w:t>
      </w:r>
      <w:r w:rsidR="00DF0B28">
        <w:rPr>
          <w:rFonts w:ascii="Arial" w:hAnsi="Arial" w:cs="Arial"/>
          <w:sz w:val="18"/>
          <w:szCs w:val="18"/>
        </w:rPr>
        <w:t xml:space="preserve"> </w:t>
      </w:r>
      <w:r w:rsidRPr="00396D3A">
        <w:rPr>
          <w:rFonts w:ascii="Arial" w:hAnsi="Arial" w:cs="Arial"/>
          <w:sz w:val="18"/>
          <w:szCs w:val="18"/>
        </w:rPr>
        <w:t xml:space="preserve">There exist on-going activities in partnership with the Asian Development Bank, the </w:t>
      </w:r>
      <w:r w:rsidR="002E48EB" w:rsidRPr="00396D3A">
        <w:rPr>
          <w:rFonts w:ascii="Arial" w:hAnsi="Arial" w:cs="Arial"/>
          <w:sz w:val="18"/>
          <w:szCs w:val="18"/>
        </w:rPr>
        <w:t>Millennium</w:t>
      </w:r>
      <w:r w:rsidRPr="00396D3A">
        <w:rPr>
          <w:rFonts w:ascii="Arial" w:hAnsi="Arial" w:cs="Arial"/>
          <w:sz w:val="18"/>
          <w:szCs w:val="18"/>
        </w:rPr>
        <w:t xml:space="preserve"> Challenge Corporation and the Economic Cooperation and Development of Switzerland.</w:t>
      </w:r>
    </w:p>
  </w:footnote>
  <w:footnote w:id="2">
    <w:p w14:paraId="4B8E605E" w14:textId="77777777" w:rsidR="00F32BD2" w:rsidRPr="00396D3A" w:rsidRDefault="00F32BD2" w:rsidP="00DF0B28">
      <w:pPr>
        <w:pStyle w:val="FootnoteText"/>
        <w:ind w:left="180" w:hanging="180"/>
        <w:rPr>
          <w:rFonts w:ascii="Arial" w:hAnsi="Arial" w:cs="Arial"/>
          <w:sz w:val="18"/>
          <w:szCs w:val="18"/>
        </w:rPr>
      </w:pPr>
      <w:r w:rsidRPr="00396D3A">
        <w:rPr>
          <w:rStyle w:val="FootnoteReference"/>
          <w:rFonts w:ascii="Arial" w:hAnsi="Arial" w:cs="Arial"/>
          <w:sz w:val="18"/>
          <w:szCs w:val="18"/>
        </w:rPr>
        <w:footnoteRef/>
      </w:r>
      <w:r w:rsidRPr="00396D3A">
        <w:rPr>
          <w:rFonts w:ascii="Arial" w:hAnsi="Arial" w:cs="Arial"/>
          <w:sz w:val="18"/>
          <w:szCs w:val="18"/>
        </w:rPr>
        <w:t xml:space="preserve"> </w:t>
      </w:r>
      <w:r w:rsidR="00DF0B28">
        <w:rPr>
          <w:rFonts w:ascii="Arial" w:hAnsi="Arial" w:cs="Arial"/>
          <w:sz w:val="18"/>
          <w:szCs w:val="18"/>
        </w:rPr>
        <w:t xml:space="preserve"> </w:t>
      </w:r>
      <w:r w:rsidRPr="00396D3A">
        <w:rPr>
          <w:rFonts w:ascii="Arial" w:hAnsi="Arial" w:cs="Arial"/>
          <w:sz w:val="18"/>
          <w:szCs w:val="18"/>
        </w:rPr>
        <w:t xml:space="preserve">This TC will finance travel costs for IDB staff in accordance with GN-2470-2.  As this is a knowledge activity, resources from administrative budget, supervision plans or project preparation can´t be used for this purpose. </w:t>
      </w:r>
    </w:p>
    <w:p w14:paraId="3013CB1E" w14:textId="77777777" w:rsidR="00F32BD2" w:rsidRPr="00DA1A04" w:rsidRDefault="00F32BD2" w:rsidP="00595AB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B2003C"/>
    <w:multiLevelType w:val="hybridMultilevel"/>
    <w:tmpl w:val="3D7C0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1C0D3F"/>
    <w:multiLevelType w:val="hybridMultilevel"/>
    <w:tmpl w:val="D62E35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3" w15:restartNumberingAfterBreak="0">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 w15:restartNumberingAfterBreak="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F94135"/>
    <w:multiLevelType w:val="hybridMultilevel"/>
    <w:tmpl w:val="A0FEA2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064236"/>
    <w:multiLevelType w:val="hybridMultilevel"/>
    <w:tmpl w:val="BF72ED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904D7D"/>
    <w:multiLevelType w:val="multilevel"/>
    <w:tmpl w:val="0764CA2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5914054"/>
    <w:multiLevelType w:val="multilevel"/>
    <w:tmpl w:val="0828431C"/>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656"/>
        </w:tabs>
        <w:ind w:left="1656"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15:restartNumberingAfterBreak="0">
    <w:nsid w:val="67BA0F04"/>
    <w:multiLevelType w:val="hybridMultilevel"/>
    <w:tmpl w:val="A330DF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3DA472B"/>
    <w:multiLevelType w:val="multilevel"/>
    <w:tmpl w:val="385ED50E"/>
    <w:lvl w:ilvl="0">
      <w:start w:val="1"/>
      <w:numFmt w:val="upperRoman"/>
      <w:lvlText w:val="%1."/>
      <w:lvlJc w:val="right"/>
      <w:pPr>
        <w:ind w:left="360" w:hanging="360"/>
      </w:pPr>
    </w:lvl>
    <w:lvl w:ilvl="1">
      <w:start w:val="1"/>
      <w:numFmt w:val="decimal"/>
      <w:isLgl/>
      <w:lvlText w:val="%1.%2"/>
      <w:lvlJc w:val="left"/>
      <w:pPr>
        <w:ind w:left="81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14" w15:restartNumberingAfterBreak="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9"/>
  </w:num>
  <w:num w:numId="4">
    <w:abstractNumId w:val="14"/>
  </w:num>
  <w:num w:numId="5">
    <w:abstractNumId w:val="13"/>
  </w:num>
  <w:num w:numId="6">
    <w:abstractNumId w:val="2"/>
  </w:num>
  <w:num w:numId="7">
    <w:abstractNumId w:val="3"/>
  </w:num>
  <w:num w:numId="8">
    <w:abstractNumId w:val="4"/>
  </w:num>
  <w:num w:numId="9">
    <w:abstractNumId w:val="6"/>
  </w:num>
  <w:num w:numId="10">
    <w:abstractNumId w:val="12"/>
  </w:num>
  <w:num w:numId="11">
    <w:abstractNumId w:val="8"/>
  </w:num>
  <w:num w:numId="12">
    <w:abstractNumId w:val="11"/>
  </w:num>
  <w:num w:numId="1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1B"/>
    <w:rsid w:val="0001007F"/>
    <w:rsid w:val="000125B7"/>
    <w:rsid w:val="000269F9"/>
    <w:rsid w:val="000271EA"/>
    <w:rsid w:val="00027E77"/>
    <w:rsid w:val="00034EC6"/>
    <w:rsid w:val="0003559A"/>
    <w:rsid w:val="00040F14"/>
    <w:rsid w:val="000441E4"/>
    <w:rsid w:val="00046B89"/>
    <w:rsid w:val="00050797"/>
    <w:rsid w:val="000518EB"/>
    <w:rsid w:val="00063E3C"/>
    <w:rsid w:val="00070CD3"/>
    <w:rsid w:val="00071E29"/>
    <w:rsid w:val="00072264"/>
    <w:rsid w:val="000725A9"/>
    <w:rsid w:val="00072E63"/>
    <w:rsid w:val="000733D5"/>
    <w:rsid w:val="0007709C"/>
    <w:rsid w:val="000817B3"/>
    <w:rsid w:val="00083E0C"/>
    <w:rsid w:val="00084CBE"/>
    <w:rsid w:val="00086CFF"/>
    <w:rsid w:val="00087C07"/>
    <w:rsid w:val="00090097"/>
    <w:rsid w:val="000A646E"/>
    <w:rsid w:val="000B10E1"/>
    <w:rsid w:val="000B5ABD"/>
    <w:rsid w:val="000B7660"/>
    <w:rsid w:val="000C023E"/>
    <w:rsid w:val="000D14C3"/>
    <w:rsid w:val="000D4C69"/>
    <w:rsid w:val="000D50B2"/>
    <w:rsid w:val="000E10F2"/>
    <w:rsid w:val="000E3730"/>
    <w:rsid w:val="000E4D91"/>
    <w:rsid w:val="000F39D2"/>
    <w:rsid w:val="000F3CF9"/>
    <w:rsid w:val="000F7906"/>
    <w:rsid w:val="001003FE"/>
    <w:rsid w:val="00102084"/>
    <w:rsid w:val="00102DAE"/>
    <w:rsid w:val="00104138"/>
    <w:rsid w:val="001076D6"/>
    <w:rsid w:val="0011025F"/>
    <w:rsid w:val="00116BF8"/>
    <w:rsid w:val="0012121D"/>
    <w:rsid w:val="00122752"/>
    <w:rsid w:val="00124040"/>
    <w:rsid w:val="001275DE"/>
    <w:rsid w:val="001316E2"/>
    <w:rsid w:val="00132438"/>
    <w:rsid w:val="00134A9B"/>
    <w:rsid w:val="001377EB"/>
    <w:rsid w:val="00146F51"/>
    <w:rsid w:val="00160B4C"/>
    <w:rsid w:val="00161A79"/>
    <w:rsid w:val="00163294"/>
    <w:rsid w:val="00171DED"/>
    <w:rsid w:val="0017216B"/>
    <w:rsid w:val="0018039E"/>
    <w:rsid w:val="001839AE"/>
    <w:rsid w:val="0018531D"/>
    <w:rsid w:val="00194DD8"/>
    <w:rsid w:val="001A6404"/>
    <w:rsid w:val="001A6758"/>
    <w:rsid w:val="001A71DA"/>
    <w:rsid w:val="001C0096"/>
    <w:rsid w:val="001C0653"/>
    <w:rsid w:val="001C0C4E"/>
    <w:rsid w:val="001C18FD"/>
    <w:rsid w:val="001C4F70"/>
    <w:rsid w:val="001D4E22"/>
    <w:rsid w:val="001E0019"/>
    <w:rsid w:val="001E1927"/>
    <w:rsid w:val="001E7A97"/>
    <w:rsid w:val="001F483F"/>
    <w:rsid w:val="001F7044"/>
    <w:rsid w:val="001F7559"/>
    <w:rsid w:val="002069B0"/>
    <w:rsid w:val="00207C3B"/>
    <w:rsid w:val="00210317"/>
    <w:rsid w:val="00213256"/>
    <w:rsid w:val="00213664"/>
    <w:rsid w:val="00214428"/>
    <w:rsid w:val="00225B5A"/>
    <w:rsid w:val="00227AD4"/>
    <w:rsid w:val="00230C57"/>
    <w:rsid w:val="00235199"/>
    <w:rsid w:val="00236249"/>
    <w:rsid w:val="002379D8"/>
    <w:rsid w:val="00244A9D"/>
    <w:rsid w:val="00245F89"/>
    <w:rsid w:val="002513AD"/>
    <w:rsid w:val="00270D26"/>
    <w:rsid w:val="00271209"/>
    <w:rsid w:val="00274A08"/>
    <w:rsid w:val="002753ED"/>
    <w:rsid w:val="00275610"/>
    <w:rsid w:val="0028127C"/>
    <w:rsid w:val="002840D3"/>
    <w:rsid w:val="00287C36"/>
    <w:rsid w:val="002A0F45"/>
    <w:rsid w:val="002A46A7"/>
    <w:rsid w:val="002A6C0A"/>
    <w:rsid w:val="002B0A6C"/>
    <w:rsid w:val="002B124E"/>
    <w:rsid w:val="002B4380"/>
    <w:rsid w:val="002C19A9"/>
    <w:rsid w:val="002D237F"/>
    <w:rsid w:val="002D59BC"/>
    <w:rsid w:val="002E1E01"/>
    <w:rsid w:val="002E48EB"/>
    <w:rsid w:val="002E60E9"/>
    <w:rsid w:val="002F5217"/>
    <w:rsid w:val="002F70EC"/>
    <w:rsid w:val="00306BA2"/>
    <w:rsid w:val="00310341"/>
    <w:rsid w:val="003132CB"/>
    <w:rsid w:val="0033456B"/>
    <w:rsid w:val="00335B4C"/>
    <w:rsid w:val="00340BC1"/>
    <w:rsid w:val="00346E79"/>
    <w:rsid w:val="00350EE1"/>
    <w:rsid w:val="0035244B"/>
    <w:rsid w:val="0036084D"/>
    <w:rsid w:val="003622D9"/>
    <w:rsid w:val="0037186A"/>
    <w:rsid w:val="00372392"/>
    <w:rsid w:val="00373A85"/>
    <w:rsid w:val="00374A8D"/>
    <w:rsid w:val="003756AC"/>
    <w:rsid w:val="00376C8C"/>
    <w:rsid w:val="00381193"/>
    <w:rsid w:val="00383AE8"/>
    <w:rsid w:val="003845FC"/>
    <w:rsid w:val="00385B5F"/>
    <w:rsid w:val="00385FBF"/>
    <w:rsid w:val="00386DAA"/>
    <w:rsid w:val="00391EC5"/>
    <w:rsid w:val="00391F19"/>
    <w:rsid w:val="00395B6B"/>
    <w:rsid w:val="00396D3A"/>
    <w:rsid w:val="003B586E"/>
    <w:rsid w:val="003C27A6"/>
    <w:rsid w:val="003D2892"/>
    <w:rsid w:val="003D609D"/>
    <w:rsid w:val="003D7359"/>
    <w:rsid w:val="003E3888"/>
    <w:rsid w:val="003E62BC"/>
    <w:rsid w:val="003F6FFB"/>
    <w:rsid w:val="00407A0F"/>
    <w:rsid w:val="00411367"/>
    <w:rsid w:val="004132F9"/>
    <w:rsid w:val="00416432"/>
    <w:rsid w:val="00416799"/>
    <w:rsid w:val="00416FBD"/>
    <w:rsid w:val="004256F0"/>
    <w:rsid w:val="00426DA0"/>
    <w:rsid w:val="004311D4"/>
    <w:rsid w:val="0044648F"/>
    <w:rsid w:val="00450806"/>
    <w:rsid w:val="0045294F"/>
    <w:rsid w:val="00452B39"/>
    <w:rsid w:val="00453E08"/>
    <w:rsid w:val="00457C75"/>
    <w:rsid w:val="00463C52"/>
    <w:rsid w:val="004655CA"/>
    <w:rsid w:val="004656D9"/>
    <w:rsid w:val="00472F9B"/>
    <w:rsid w:val="0047532D"/>
    <w:rsid w:val="00482240"/>
    <w:rsid w:val="004858D3"/>
    <w:rsid w:val="004977E1"/>
    <w:rsid w:val="004B26AC"/>
    <w:rsid w:val="004C5958"/>
    <w:rsid w:val="004E5CB1"/>
    <w:rsid w:val="004E77D5"/>
    <w:rsid w:val="004F1999"/>
    <w:rsid w:val="004F386F"/>
    <w:rsid w:val="0050104A"/>
    <w:rsid w:val="00520F58"/>
    <w:rsid w:val="00525CDC"/>
    <w:rsid w:val="005273DD"/>
    <w:rsid w:val="005312C4"/>
    <w:rsid w:val="00531E51"/>
    <w:rsid w:val="005364CE"/>
    <w:rsid w:val="005378C2"/>
    <w:rsid w:val="00544A58"/>
    <w:rsid w:val="00544FF0"/>
    <w:rsid w:val="00550176"/>
    <w:rsid w:val="00555380"/>
    <w:rsid w:val="005631A1"/>
    <w:rsid w:val="00570623"/>
    <w:rsid w:val="005713D6"/>
    <w:rsid w:val="00571741"/>
    <w:rsid w:val="00580BA0"/>
    <w:rsid w:val="0058137A"/>
    <w:rsid w:val="005841D4"/>
    <w:rsid w:val="00595ABF"/>
    <w:rsid w:val="005A1056"/>
    <w:rsid w:val="005A11AB"/>
    <w:rsid w:val="005A273B"/>
    <w:rsid w:val="005A3A6C"/>
    <w:rsid w:val="005A525C"/>
    <w:rsid w:val="005B47DD"/>
    <w:rsid w:val="005B5502"/>
    <w:rsid w:val="005C03D5"/>
    <w:rsid w:val="005C6447"/>
    <w:rsid w:val="005D44BA"/>
    <w:rsid w:val="005D5D18"/>
    <w:rsid w:val="005E05D6"/>
    <w:rsid w:val="005E62B0"/>
    <w:rsid w:val="00603448"/>
    <w:rsid w:val="00605912"/>
    <w:rsid w:val="00612550"/>
    <w:rsid w:val="00614DC6"/>
    <w:rsid w:val="00626920"/>
    <w:rsid w:val="00631564"/>
    <w:rsid w:val="00641ED4"/>
    <w:rsid w:val="0064521D"/>
    <w:rsid w:val="0065239F"/>
    <w:rsid w:val="00653CC6"/>
    <w:rsid w:val="00655899"/>
    <w:rsid w:val="00671DB7"/>
    <w:rsid w:val="00675DDF"/>
    <w:rsid w:val="00675E7A"/>
    <w:rsid w:val="00681994"/>
    <w:rsid w:val="00682716"/>
    <w:rsid w:val="006919C9"/>
    <w:rsid w:val="006938A7"/>
    <w:rsid w:val="006A18BC"/>
    <w:rsid w:val="006A194E"/>
    <w:rsid w:val="006A5E8D"/>
    <w:rsid w:val="006B5438"/>
    <w:rsid w:val="006C1927"/>
    <w:rsid w:val="006D3C24"/>
    <w:rsid w:val="006F34AE"/>
    <w:rsid w:val="00702A56"/>
    <w:rsid w:val="0070604E"/>
    <w:rsid w:val="007160DA"/>
    <w:rsid w:val="007218CB"/>
    <w:rsid w:val="00722ECA"/>
    <w:rsid w:val="007328AF"/>
    <w:rsid w:val="007347CF"/>
    <w:rsid w:val="00736B01"/>
    <w:rsid w:val="007370D4"/>
    <w:rsid w:val="0073769D"/>
    <w:rsid w:val="00742274"/>
    <w:rsid w:val="007426EE"/>
    <w:rsid w:val="007436D4"/>
    <w:rsid w:val="00746260"/>
    <w:rsid w:val="00746434"/>
    <w:rsid w:val="00751CBA"/>
    <w:rsid w:val="00751EB5"/>
    <w:rsid w:val="0076012B"/>
    <w:rsid w:val="007678EB"/>
    <w:rsid w:val="00767AC8"/>
    <w:rsid w:val="007769D3"/>
    <w:rsid w:val="00777636"/>
    <w:rsid w:val="00777FED"/>
    <w:rsid w:val="00792A3F"/>
    <w:rsid w:val="00796895"/>
    <w:rsid w:val="00797F4B"/>
    <w:rsid w:val="007A3960"/>
    <w:rsid w:val="007B43C1"/>
    <w:rsid w:val="007B5DF5"/>
    <w:rsid w:val="007B6B61"/>
    <w:rsid w:val="007C0ED1"/>
    <w:rsid w:val="007C47AB"/>
    <w:rsid w:val="007C6F8C"/>
    <w:rsid w:val="007E0605"/>
    <w:rsid w:val="007E3105"/>
    <w:rsid w:val="007E6F44"/>
    <w:rsid w:val="007F1BB3"/>
    <w:rsid w:val="00801D9C"/>
    <w:rsid w:val="00803803"/>
    <w:rsid w:val="00804C57"/>
    <w:rsid w:val="008052A0"/>
    <w:rsid w:val="0080596B"/>
    <w:rsid w:val="00807C07"/>
    <w:rsid w:val="00816943"/>
    <w:rsid w:val="00820D4A"/>
    <w:rsid w:val="00823A69"/>
    <w:rsid w:val="00827FCF"/>
    <w:rsid w:val="0083490A"/>
    <w:rsid w:val="008360E2"/>
    <w:rsid w:val="00845347"/>
    <w:rsid w:val="00852EC3"/>
    <w:rsid w:val="00861089"/>
    <w:rsid w:val="008612A8"/>
    <w:rsid w:val="008635A8"/>
    <w:rsid w:val="00863972"/>
    <w:rsid w:val="00865A6F"/>
    <w:rsid w:val="00866CF0"/>
    <w:rsid w:val="00867CAE"/>
    <w:rsid w:val="008813B9"/>
    <w:rsid w:val="008866BF"/>
    <w:rsid w:val="008902BA"/>
    <w:rsid w:val="0089204E"/>
    <w:rsid w:val="00896A73"/>
    <w:rsid w:val="008A066A"/>
    <w:rsid w:val="008A678F"/>
    <w:rsid w:val="008B2C88"/>
    <w:rsid w:val="008C197F"/>
    <w:rsid w:val="008C236B"/>
    <w:rsid w:val="008C6F9A"/>
    <w:rsid w:val="008E230F"/>
    <w:rsid w:val="008E40EB"/>
    <w:rsid w:val="009006A9"/>
    <w:rsid w:val="00901975"/>
    <w:rsid w:val="00902969"/>
    <w:rsid w:val="009033AD"/>
    <w:rsid w:val="00910CA1"/>
    <w:rsid w:val="00912026"/>
    <w:rsid w:val="0092048C"/>
    <w:rsid w:val="0093010C"/>
    <w:rsid w:val="00933A84"/>
    <w:rsid w:val="00945C55"/>
    <w:rsid w:val="0095122E"/>
    <w:rsid w:val="0095711B"/>
    <w:rsid w:val="00967F24"/>
    <w:rsid w:val="00967F7A"/>
    <w:rsid w:val="00971282"/>
    <w:rsid w:val="00974571"/>
    <w:rsid w:val="0097580E"/>
    <w:rsid w:val="00992982"/>
    <w:rsid w:val="009965E3"/>
    <w:rsid w:val="009A0FCD"/>
    <w:rsid w:val="009B3B38"/>
    <w:rsid w:val="009C2504"/>
    <w:rsid w:val="009C7D01"/>
    <w:rsid w:val="009E01D3"/>
    <w:rsid w:val="009E18E3"/>
    <w:rsid w:val="009F2B8F"/>
    <w:rsid w:val="009F3492"/>
    <w:rsid w:val="00A0156E"/>
    <w:rsid w:val="00A10CD5"/>
    <w:rsid w:val="00A12C27"/>
    <w:rsid w:val="00A13EE1"/>
    <w:rsid w:val="00A20379"/>
    <w:rsid w:val="00A23F4A"/>
    <w:rsid w:val="00A2474F"/>
    <w:rsid w:val="00A2740A"/>
    <w:rsid w:val="00A310ED"/>
    <w:rsid w:val="00A3256B"/>
    <w:rsid w:val="00A368DF"/>
    <w:rsid w:val="00A37C9C"/>
    <w:rsid w:val="00A43544"/>
    <w:rsid w:val="00A454FF"/>
    <w:rsid w:val="00A455CD"/>
    <w:rsid w:val="00A46394"/>
    <w:rsid w:val="00A51234"/>
    <w:rsid w:val="00A51E05"/>
    <w:rsid w:val="00A57185"/>
    <w:rsid w:val="00A7187D"/>
    <w:rsid w:val="00A86484"/>
    <w:rsid w:val="00A876E7"/>
    <w:rsid w:val="00A942EE"/>
    <w:rsid w:val="00AA58B0"/>
    <w:rsid w:val="00AA79B4"/>
    <w:rsid w:val="00AB3D45"/>
    <w:rsid w:val="00AC429C"/>
    <w:rsid w:val="00AC60DF"/>
    <w:rsid w:val="00AC7252"/>
    <w:rsid w:val="00AD3653"/>
    <w:rsid w:val="00AD612D"/>
    <w:rsid w:val="00AF2F55"/>
    <w:rsid w:val="00AF3997"/>
    <w:rsid w:val="00AF3FE0"/>
    <w:rsid w:val="00B00344"/>
    <w:rsid w:val="00B06FFB"/>
    <w:rsid w:val="00B13125"/>
    <w:rsid w:val="00B1798D"/>
    <w:rsid w:val="00B307EC"/>
    <w:rsid w:val="00B30A15"/>
    <w:rsid w:val="00B30EFD"/>
    <w:rsid w:val="00B347ED"/>
    <w:rsid w:val="00B50E63"/>
    <w:rsid w:val="00B52E97"/>
    <w:rsid w:val="00B54EFF"/>
    <w:rsid w:val="00B60C07"/>
    <w:rsid w:val="00B61A1B"/>
    <w:rsid w:val="00B67D8C"/>
    <w:rsid w:val="00B71203"/>
    <w:rsid w:val="00B75820"/>
    <w:rsid w:val="00B82854"/>
    <w:rsid w:val="00B84326"/>
    <w:rsid w:val="00B93DF3"/>
    <w:rsid w:val="00BB06DE"/>
    <w:rsid w:val="00BB2778"/>
    <w:rsid w:val="00BB612A"/>
    <w:rsid w:val="00BB7983"/>
    <w:rsid w:val="00BC3AF7"/>
    <w:rsid w:val="00BC4D90"/>
    <w:rsid w:val="00BD040F"/>
    <w:rsid w:val="00BD1F23"/>
    <w:rsid w:val="00BF5AED"/>
    <w:rsid w:val="00BF63CA"/>
    <w:rsid w:val="00BF6D3A"/>
    <w:rsid w:val="00C010DE"/>
    <w:rsid w:val="00C020A8"/>
    <w:rsid w:val="00C05065"/>
    <w:rsid w:val="00C1279B"/>
    <w:rsid w:val="00C21B34"/>
    <w:rsid w:val="00C27DB1"/>
    <w:rsid w:val="00C30B90"/>
    <w:rsid w:val="00C34421"/>
    <w:rsid w:val="00C43E24"/>
    <w:rsid w:val="00C457AE"/>
    <w:rsid w:val="00C534C4"/>
    <w:rsid w:val="00C56BED"/>
    <w:rsid w:val="00C5730B"/>
    <w:rsid w:val="00C62EB2"/>
    <w:rsid w:val="00C6781A"/>
    <w:rsid w:val="00C70DB1"/>
    <w:rsid w:val="00C72DE4"/>
    <w:rsid w:val="00C73F56"/>
    <w:rsid w:val="00C77B01"/>
    <w:rsid w:val="00C854FE"/>
    <w:rsid w:val="00C907F8"/>
    <w:rsid w:val="00CA272D"/>
    <w:rsid w:val="00CA5A85"/>
    <w:rsid w:val="00CA7B93"/>
    <w:rsid w:val="00CB1DCC"/>
    <w:rsid w:val="00CB22C2"/>
    <w:rsid w:val="00CC3E28"/>
    <w:rsid w:val="00CC52F3"/>
    <w:rsid w:val="00CD109E"/>
    <w:rsid w:val="00CD4F32"/>
    <w:rsid w:val="00CD547F"/>
    <w:rsid w:val="00CF6C4D"/>
    <w:rsid w:val="00D04182"/>
    <w:rsid w:val="00D12AF4"/>
    <w:rsid w:val="00D17677"/>
    <w:rsid w:val="00D2491C"/>
    <w:rsid w:val="00D25595"/>
    <w:rsid w:val="00D327DC"/>
    <w:rsid w:val="00D337FB"/>
    <w:rsid w:val="00D36E79"/>
    <w:rsid w:val="00D37E07"/>
    <w:rsid w:val="00D463B2"/>
    <w:rsid w:val="00D51559"/>
    <w:rsid w:val="00D520B4"/>
    <w:rsid w:val="00D5363E"/>
    <w:rsid w:val="00D60A4C"/>
    <w:rsid w:val="00D622FB"/>
    <w:rsid w:val="00D63E75"/>
    <w:rsid w:val="00D67400"/>
    <w:rsid w:val="00D75FF6"/>
    <w:rsid w:val="00D800CE"/>
    <w:rsid w:val="00D83101"/>
    <w:rsid w:val="00D83EF3"/>
    <w:rsid w:val="00D91795"/>
    <w:rsid w:val="00D94A3D"/>
    <w:rsid w:val="00D95606"/>
    <w:rsid w:val="00DA01D8"/>
    <w:rsid w:val="00DA24B6"/>
    <w:rsid w:val="00DC14EA"/>
    <w:rsid w:val="00DC1E68"/>
    <w:rsid w:val="00DF0B28"/>
    <w:rsid w:val="00DF0B42"/>
    <w:rsid w:val="00DF1B27"/>
    <w:rsid w:val="00DF1F10"/>
    <w:rsid w:val="00DF2C86"/>
    <w:rsid w:val="00DF475D"/>
    <w:rsid w:val="00DF5058"/>
    <w:rsid w:val="00E0566E"/>
    <w:rsid w:val="00E205B7"/>
    <w:rsid w:val="00E2696A"/>
    <w:rsid w:val="00E37FE7"/>
    <w:rsid w:val="00E437CA"/>
    <w:rsid w:val="00E44DC0"/>
    <w:rsid w:val="00E47807"/>
    <w:rsid w:val="00E5259A"/>
    <w:rsid w:val="00E61A63"/>
    <w:rsid w:val="00E61E71"/>
    <w:rsid w:val="00E62052"/>
    <w:rsid w:val="00E65098"/>
    <w:rsid w:val="00E6675A"/>
    <w:rsid w:val="00E71D54"/>
    <w:rsid w:val="00E72CD6"/>
    <w:rsid w:val="00E73C4E"/>
    <w:rsid w:val="00E77B1F"/>
    <w:rsid w:val="00E80C19"/>
    <w:rsid w:val="00E81A83"/>
    <w:rsid w:val="00E83F46"/>
    <w:rsid w:val="00EA3919"/>
    <w:rsid w:val="00EA5C4D"/>
    <w:rsid w:val="00EA659A"/>
    <w:rsid w:val="00EA73EC"/>
    <w:rsid w:val="00EB434A"/>
    <w:rsid w:val="00EB435F"/>
    <w:rsid w:val="00EB6518"/>
    <w:rsid w:val="00EC0629"/>
    <w:rsid w:val="00EC0B93"/>
    <w:rsid w:val="00EC2302"/>
    <w:rsid w:val="00ED0835"/>
    <w:rsid w:val="00ED57EA"/>
    <w:rsid w:val="00ED70D1"/>
    <w:rsid w:val="00EE438B"/>
    <w:rsid w:val="00EE5CCC"/>
    <w:rsid w:val="00EF41CE"/>
    <w:rsid w:val="00F07712"/>
    <w:rsid w:val="00F1196A"/>
    <w:rsid w:val="00F1327F"/>
    <w:rsid w:val="00F136A3"/>
    <w:rsid w:val="00F14D98"/>
    <w:rsid w:val="00F15F73"/>
    <w:rsid w:val="00F21F33"/>
    <w:rsid w:val="00F2521F"/>
    <w:rsid w:val="00F32BD2"/>
    <w:rsid w:val="00F36700"/>
    <w:rsid w:val="00F4085A"/>
    <w:rsid w:val="00F41DD5"/>
    <w:rsid w:val="00F455F8"/>
    <w:rsid w:val="00F46453"/>
    <w:rsid w:val="00F472EF"/>
    <w:rsid w:val="00F47BA4"/>
    <w:rsid w:val="00F55517"/>
    <w:rsid w:val="00F57A55"/>
    <w:rsid w:val="00F633B3"/>
    <w:rsid w:val="00F644F7"/>
    <w:rsid w:val="00F64743"/>
    <w:rsid w:val="00F64D1E"/>
    <w:rsid w:val="00F67DFE"/>
    <w:rsid w:val="00F73660"/>
    <w:rsid w:val="00F861CE"/>
    <w:rsid w:val="00F87657"/>
    <w:rsid w:val="00F976F6"/>
    <w:rsid w:val="00FA1A57"/>
    <w:rsid w:val="00FC2182"/>
    <w:rsid w:val="00FC7E97"/>
    <w:rsid w:val="00FD0C82"/>
    <w:rsid w:val="00FE1499"/>
    <w:rsid w:val="00FE3DB6"/>
    <w:rsid w:val="00FF0D0C"/>
    <w:rsid w:val="00FF37C3"/>
    <w:rsid w:val="00FF3862"/>
    <w:rsid w:val="00FF6B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7B2A7"/>
  <w15:docId w15:val="{A80C18F3-A1A2-46C5-97EF-CD1A9C2B2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682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41D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41DD5"/>
    <w:rPr>
      <w:sz w:val="20"/>
      <w:szCs w:val="20"/>
    </w:rPr>
  </w:style>
  <w:style w:type="character" w:styleId="EndnoteReference">
    <w:name w:val="endnote reference"/>
    <w:basedOn w:val="DefaultParagraphFont"/>
    <w:uiPriority w:val="99"/>
    <w:semiHidden/>
    <w:unhideWhenUsed/>
    <w:rsid w:val="00F41DD5"/>
    <w:rPr>
      <w:vertAlign w:val="superscript"/>
    </w:rPr>
  </w:style>
  <w:style w:type="paragraph" w:styleId="FootnoteText">
    <w:name w:val="footnote text"/>
    <w:basedOn w:val="Normal"/>
    <w:link w:val="FootnoteTextChar"/>
    <w:uiPriority w:val="99"/>
    <w:semiHidden/>
    <w:unhideWhenUsed/>
    <w:rsid w:val="00C854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54FE"/>
    <w:rPr>
      <w:sz w:val="20"/>
      <w:szCs w:val="20"/>
    </w:rPr>
  </w:style>
  <w:style w:type="character" w:styleId="FootnoteReference">
    <w:name w:val="footnote reference"/>
    <w:basedOn w:val="DefaultParagraphFont"/>
    <w:uiPriority w:val="99"/>
    <w:semiHidden/>
    <w:unhideWhenUsed/>
    <w:rsid w:val="00C854FE"/>
    <w:rPr>
      <w:vertAlign w:val="superscript"/>
    </w:rPr>
  </w:style>
  <w:style w:type="character" w:styleId="Hyperlink">
    <w:name w:val="Hyperlink"/>
    <w:basedOn w:val="DefaultParagraphFont"/>
    <w:uiPriority w:val="99"/>
    <w:unhideWhenUsed/>
    <w:rsid w:val="0011025F"/>
    <w:rPr>
      <w:color w:val="0000FF" w:themeColor="hyperlink"/>
      <w:u w:val="single"/>
    </w:rPr>
  </w:style>
  <w:style w:type="character" w:styleId="FollowedHyperlink">
    <w:name w:val="FollowedHyperlink"/>
    <w:basedOn w:val="DefaultParagraphFont"/>
    <w:uiPriority w:val="99"/>
    <w:semiHidden/>
    <w:unhideWhenUsed/>
    <w:rsid w:val="0011025F"/>
    <w:rPr>
      <w:color w:val="800080" w:themeColor="followedHyperlink"/>
      <w:u w:val="single"/>
    </w:rPr>
  </w:style>
  <w:style w:type="paragraph" w:customStyle="1" w:styleId="Default">
    <w:name w:val="Default"/>
    <w:basedOn w:val="Normal"/>
    <w:rsid w:val="005273DD"/>
    <w:pPr>
      <w:autoSpaceDE w:val="0"/>
      <w:autoSpaceDN w:val="0"/>
      <w:spacing w:after="0" w:line="240" w:lineRule="auto"/>
    </w:pPr>
    <w:rPr>
      <w:rFonts w:ascii="Arial" w:eastAsia="Calibri" w:hAnsi="Arial" w:cs="Arial"/>
      <w:color w:val="000000"/>
      <w:sz w:val="24"/>
      <w:szCs w:val="24"/>
    </w:rPr>
  </w:style>
  <w:style w:type="paragraph" w:customStyle="1" w:styleId="Chapter">
    <w:name w:val="Chapter"/>
    <w:basedOn w:val="Normal"/>
    <w:next w:val="Normal"/>
    <w:rsid w:val="00171DED"/>
    <w:pPr>
      <w:keepNext/>
      <w:numPr>
        <w:numId w:val="12"/>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basedOn w:val="BodyTextIndent"/>
    <w:rsid w:val="00171DED"/>
    <w:pPr>
      <w:numPr>
        <w:ilvl w:val="1"/>
        <w:numId w:val="12"/>
      </w:numPr>
      <w:tabs>
        <w:tab w:val="clear" w:pos="1656"/>
        <w:tab w:val="num" w:pos="720"/>
      </w:tabs>
      <w:spacing w:before="120" w:line="240" w:lineRule="auto"/>
      <w:ind w:left="720" w:hanging="720"/>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171DED"/>
    <w:pPr>
      <w:numPr>
        <w:ilvl w:val="2"/>
        <w:numId w:val="12"/>
      </w:numPr>
      <w:tabs>
        <w:tab w:val="clear" w:pos="2304"/>
        <w:tab w:val="num" w:pos="1152"/>
      </w:tabs>
      <w:spacing w:before="120" w:line="240" w:lineRule="auto"/>
      <w:ind w:left="1152"/>
      <w:jc w:val="both"/>
      <w:outlineLvl w:val="2"/>
    </w:pPr>
    <w:rPr>
      <w:rFonts w:ascii="Times New Roman" w:eastAsia="Times New Roman" w:hAnsi="Times New Roman" w:cs="Times New Roman"/>
      <w:sz w:val="24"/>
      <w:szCs w:val="20"/>
    </w:rPr>
  </w:style>
  <w:style w:type="paragraph" w:customStyle="1" w:styleId="SubSubPar">
    <w:name w:val="SubSubPar"/>
    <w:basedOn w:val="subpar"/>
    <w:rsid w:val="00171DED"/>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171DED"/>
    <w:pPr>
      <w:spacing w:after="120"/>
      <w:ind w:left="360"/>
    </w:pPr>
  </w:style>
  <w:style w:type="character" w:customStyle="1" w:styleId="BodyTextIndentChar">
    <w:name w:val="Body Text Indent Char"/>
    <w:basedOn w:val="DefaultParagraphFont"/>
    <w:link w:val="BodyTextIndent"/>
    <w:uiPriority w:val="99"/>
    <w:semiHidden/>
    <w:rsid w:val="00171DED"/>
  </w:style>
  <w:style w:type="paragraph" w:styleId="BodyTextIndent3">
    <w:name w:val="Body Text Indent 3"/>
    <w:basedOn w:val="Normal"/>
    <w:link w:val="BodyTextIndent3Char"/>
    <w:uiPriority w:val="99"/>
    <w:semiHidden/>
    <w:unhideWhenUsed/>
    <w:rsid w:val="00171DE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71DED"/>
    <w:rPr>
      <w:sz w:val="16"/>
      <w:szCs w:val="16"/>
    </w:rPr>
  </w:style>
  <w:style w:type="paragraph" w:styleId="HTMLPreformatted">
    <w:name w:val="HTML Preformatted"/>
    <w:basedOn w:val="Normal"/>
    <w:link w:val="HTMLPreformattedChar"/>
    <w:uiPriority w:val="99"/>
    <w:semiHidden/>
    <w:unhideWhenUsed/>
    <w:rsid w:val="00C90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907F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195850">
      <w:bodyDiv w:val="1"/>
      <w:marLeft w:val="0"/>
      <w:marRight w:val="0"/>
      <w:marTop w:val="0"/>
      <w:marBottom w:val="0"/>
      <w:divBdr>
        <w:top w:val="none" w:sz="0" w:space="0" w:color="auto"/>
        <w:left w:val="none" w:sz="0" w:space="0" w:color="auto"/>
        <w:bottom w:val="none" w:sz="0" w:space="0" w:color="auto"/>
        <w:right w:val="none" w:sz="0" w:space="0" w:color="auto"/>
      </w:divBdr>
    </w:div>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275716049">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1020397094">
      <w:bodyDiv w:val="1"/>
      <w:marLeft w:val="0"/>
      <w:marRight w:val="0"/>
      <w:marTop w:val="0"/>
      <w:marBottom w:val="0"/>
      <w:divBdr>
        <w:top w:val="none" w:sz="0" w:space="0" w:color="auto"/>
        <w:left w:val="none" w:sz="0" w:space="0" w:color="auto"/>
        <w:bottom w:val="none" w:sz="0" w:space="0" w:color="auto"/>
        <w:right w:val="none" w:sz="0" w:space="0" w:color="auto"/>
      </w:divBdr>
    </w:div>
    <w:div w:id="1048142009">
      <w:bodyDiv w:val="1"/>
      <w:marLeft w:val="0"/>
      <w:marRight w:val="0"/>
      <w:marTop w:val="0"/>
      <w:marBottom w:val="0"/>
      <w:divBdr>
        <w:top w:val="none" w:sz="0" w:space="0" w:color="auto"/>
        <w:left w:val="none" w:sz="0" w:space="0" w:color="auto"/>
        <w:bottom w:val="none" w:sz="0" w:space="0" w:color="auto"/>
        <w:right w:val="none" w:sz="0" w:space="0" w:color="auto"/>
      </w:divBdr>
    </w:div>
    <w:div w:id="1351449420">
      <w:bodyDiv w:val="1"/>
      <w:marLeft w:val="0"/>
      <w:marRight w:val="0"/>
      <w:marTop w:val="0"/>
      <w:marBottom w:val="0"/>
      <w:divBdr>
        <w:top w:val="none" w:sz="0" w:space="0" w:color="auto"/>
        <w:left w:val="none" w:sz="0" w:space="0" w:color="auto"/>
        <w:bottom w:val="none" w:sz="0" w:space="0" w:color="auto"/>
        <w:right w:val="none" w:sz="0" w:space="0" w:color="auto"/>
      </w:divBdr>
    </w:div>
    <w:div w:id="1773470405">
      <w:bodyDiv w:val="1"/>
      <w:marLeft w:val="0"/>
      <w:marRight w:val="0"/>
      <w:marTop w:val="0"/>
      <w:marBottom w:val="0"/>
      <w:divBdr>
        <w:top w:val="none" w:sz="0" w:space="0" w:color="auto"/>
        <w:left w:val="none" w:sz="0" w:space="0" w:color="auto"/>
        <w:bottom w:val="none" w:sz="0" w:space="0" w:color="auto"/>
        <w:right w:val="none" w:sz="0" w:space="0" w:color="auto"/>
      </w:divBdr>
    </w:div>
    <w:div w:id="1960798711">
      <w:bodyDiv w:val="1"/>
      <w:marLeft w:val="0"/>
      <w:marRight w:val="0"/>
      <w:marTop w:val="0"/>
      <w:marBottom w:val="0"/>
      <w:divBdr>
        <w:top w:val="none" w:sz="0" w:space="0" w:color="auto"/>
        <w:left w:val="none" w:sz="0" w:space="0" w:color="auto"/>
        <w:bottom w:val="none" w:sz="0" w:space="0" w:color="auto"/>
        <w:right w:val="none" w:sz="0" w:space="0" w:color="auto"/>
      </w:divBdr>
    </w:div>
    <w:div w:id="208614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17"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6DE2C4F80B1A9428E98F26252362F15" ma:contentTypeVersion="1681" ma:contentTypeDescription="A content type to manage public (operations) IDB documents" ma:contentTypeScope="" ma:versionID="25c3624ea37873169b45092c2d39b009">
  <xsd:schema xmlns:xsd="http://www.w3.org/2001/XMLSchema" xmlns:xs="http://www.w3.org/2001/XMLSchema" xmlns:p="http://schemas.microsoft.com/office/2006/metadata/properties" xmlns:ns2="cdc7663a-08f0-4737-9e8c-148ce897a09c" targetNamespace="http://schemas.microsoft.com/office/2006/metadata/properties" ma:root="true" ma:fieldsID="03ba89b40a77feed9da0b1ece8bee6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Cathala, Corinne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MAF</TermName>
          <TermId xmlns="http://schemas.microsoft.com/office/infopath/2007/PartnerControls">e43db9f5-6ed8-400e-be55-a0e52f6e8c79</TermId>
        </TermInfo>
      </Terms>
    </g511464f9e53401d84b16fa9b379a574>
    <Related_x0020_SisCor_x0020_Number xmlns="cdc7663a-08f0-4737-9e8c-148ce897a09c" xsi:nil="true"/>
    <TaxCatchAll xmlns="cdc7663a-08f0-4737-9e8c-148ce897a09c">
      <Value>237</Value>
      <Value>369</Value>
      <Value>44</Value>
      <Value>2</Value>
      <Value>273</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RG-T3377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_dlc_DocId xmlns="cdc7663a-08f0-4737-9e8c-148ce897a09c">EZSHARE-1792985396-2</_dlc_DocId>
    <_dlc_DocIdUrl xmlns="cdc7663a-08f0-4737-9e8c-148ce897a09c">
      <Url>https://idbg.sharepoint.com/teams/EZ-RG-TCP/RG-T3377/_layouts/15/DocIdRedir.aspx?ID=EZSHARE-1792985396-2</Url>
      <Description>EZSHARE-1792985396-2</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D0B6CFE-6ABB-41A9-A6A8-4881797CF912}">
  <ds:schemaRefs>
    <ds:schemaRef ds:uri="http://schemas.openxmlformats.org/officeDocument/2006/bibliography"/>
  </ds:schemaRefs>
</ds:datastoreItem>
</file>

<file path=customXml/itemProps2.xml><?xml version="1.0" encoding="utf-8"?>
<ds:datastoreItem xmlns:ds="http://schemas.openxmlformats.org/officeDocument/2006/customXml" ds:itemID="{45E5A2AA-B305-4835-A765-D99C9E124C74}"/>
</file>

<file path=customXml/itemProps3.xml><?xml version="1.0" encoding="utf-8"?>
<ds:datastoreItem xmlns:ds="http://schemas.openxmlformats.org/officeDocument/2006/customXml" ds:itemID="{7B9DEE0F-47B4-4CA0-9EF4-EA604E13F5F2}"/>
</file>

<file path=customXml/itemProps4.xml><?xml version="1.0" encoding="utf-8"?>
<ds:datastoreItem xmlns:ds="http://schemas.openxmlformats.org/officeDocument/2006/customXml" ds:itemID="{3E42E333-821C-45B4-BE9A-486ABEC25DC3}"/>
</file>

<file path=customXml/itemProps5.xml><?xml version="1.0" encoding="utf-8"?>
<ds:datastoreItem xmlns:ds="http://schemas.openxmlformats.org/officeDocument/2006/customXml" ds:itemID="{F80981FC-EA14-4C0E-82D5-660D71E75B21}"/>
</file>

<file path=customXml/itemProps6.xml><?xml version="1.0" encoding="utf-8"?>
<ds:datastoreItem xmlns:ds="http://schemas.openxmlformats.org/officeDocument/2006/customXml" ds:itemID="{794D7636-B056-4005-B728-323B0D80D6C9}"/>
</file>

<file path=customXml/itemProps7.xml><?xml version="1.0" encoding="utf-8"?>
<ds:datastoreItem xmlns:ds="http://schemas.openxmlformats.org/officeDocument/2006/customXml" ds:itemID="{931CE7D1-8F50-49D8-AA52-D27E210E6B59}"/>
</file>

<file path=customXml/itemProps8.xml><?xml version="1.0" encoding="utf-8"?>
<ds:datastoreItem xmlns:ds="http://schemas.openxmlformats.org/officeDocument/2006/customXml" ds:itemID="{829B3822-942C-47A8-9FD6-6E3794A9F01D}"/>
</file>

<file path=docProps/app.xml><?xml version="1.0" encoding="utf-8"?>
<Properties xmlns="http://schemas.openxmlformats.org/officeDocument/2006/extended-properties" xmlns:vt="http://schemas.openxmlformats.org/officeDocument/2006/docPropsVTypes">
  <Template>Normal.dotm</Template>
  <TotalTime>7</TotalTime>
  <Pages>5</Pages>
  <Words>1782</Words>
  <Characters>10162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Strachan</dc:creator>
  <cp:keywords/>
  <cp:lastModifiedBy>Cartin, Irene</cp:lastModifiedBy>
  <cp:revision>3</cp:revision>
  <cp:lastPrinted>2018-12-20T21:44:00Z</cp:lastPrinted>
  <dcterms:created xsi:type="dcterms:W3CDTF">2019-01-08T15:07:00Z</dcterms:created>
  <dcterms:modified xsi:type="dcterms:W3CDTF">2019-02-11T16:46:00Z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369;#WATER SUPPLY RURAL AND PERI-URBAN|8436ee66-009e-4204-be28-64e6f6bf19fc</vt:lpwstr>
  </property>
  <property fmtid="{D5CDD505-2E9C-101B-9397-08002B2CF9AE}" pid="7" name="Fund IDB">
    <vt:lpwstr>273;#MAF|e43db9f5-6ed8-400e-be55-a0e52f6e8c79</vt:lpwstr>
  </property>
  <property fmtid="{D5CDD505-2E9C-101B-9397-08002B2CF9AE}" pid="8" name="Country">
    <vt:lpwstr>44;#Regional|2537a5b7-6d8e-482c-94dc-32c3cc44ff65</vt:lpwstr>
  </property>
  <property fmtid="{D5CDD505-2E9C-101B-9397-08002B2CF9AE}" pid="9" name="Sector IDB">
    <vt:lpwstr>237;#WATER AND SANITATION|ba6b63cd-e402-47cb-9357-08149f7ce046</vt:lpwstr>
  </property>
  <property fmtid="{D5CDD505-2E9C-101B-9397-08002B2CF9AE}" pid="10" name="Function Operations IDB">
    <vt:lpwstr>2;#Monitoring and Reporting|df3c2aa1-d63e-41aa-b1f5-bb15dee691ca</vt:lpwstr>
  </property>
  <property fmtid="{D5CDD505-2E9C-101B-9397-08002B2CF9AE}" pid="11" name="_dlc_DocIdItemGuid">
    <vt:lpwstr>36e4b39c-08e2-49b6-bd4f-cbd038e4fcfc</vt:lpwstr>
  </property>
  <property fmtid="{D5CDD505-2E9C-101B-9397-08002B2CF9AE}" pid="12" name="Disclosure Activity">
    <vt:lpwstr>TC Abstract</vt:lpwstr>
  </property>
  <property fmtid="{D5CDD505-2E9C-101B-9397-08002B2CF9AE}" pid="13" name="ContentTypeId">
    <vt:lpwstr>0x0101001A458A224826124E8B45B1D613300CFC00C6DE2C4F80B1A9428E98F26252362F15</vt:lpwstr>
  </property>
</Properties>
</file>