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58FCA" w14:textId="77777777" w:rsidR="0027589F" w:rsidRPr="007A00D7" w:rsidRDefault="0027589F" w:rsidP="0027589F">
      <w:pPr>
        <w:keepNext/>
        <w:tabs>
          <w:tab w:val="left" w:pos="1440"/>
          <w:tab w:val="left" w:pos="3060"/>
        </w:tabs>
        <w:spacing w:line="276" w:lineRule="auto"/>
        <w:jc w:val="center"/>
        <w:outlineLvl w:val="0"/>
        <w:rPr>
          <w:rFonts w:ascii="Arial" w:eastAsia="Times New Roman" w:hAnsi="Arial" w:cs="Arial"/>
          <w:smallCaps/>
          <w:sz w:val="22"/>
          <w:szCs w:val="22"/>
          <w:lang w:val="es-ES"/>
        </w:rPr>
      </w:pPr>
      <w:bookmarkStart w:id="0" w:name="_Hlk51046878"/>
      <w:bookmarkEnd w:id="0"/>
      <w:r w:rsidRPr="007A00D7">
        <w:rPr>
          <w:rFonts w:ascii="Arial" w:eastAsia="Times New Roman" w:hAnsi="Arial" w:cs="Arial"/>
          <w:smallCaps/>
          <w:sz w:val="22"/>
          <w:szCs w:val="22"/>
          <w:lang w:val="es-ES"/>
        </w:rPr>
        <w:t>Documento preparado para el Banco Interamericano de Desarrollo</w:t>
      </w:r>
    </w:p>
    <w:p w14:paraId="20D9EA83" w14:textId="77777777" w:rsidR="0027589F" w:rsidRPr="007A00D7" w:rsidRDefault="0027589F" w:rsidP="0027589F">
      <w:pPr>
        <w:keepNext/>
        <w:spacing w:line="276" w:lineRule="auto"/>
        <w:jc w:val="center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63066AEB" w14:textId="77777777" w:rsidR="0027589F" w:rsidRPr="007A00D7" w:rsidRDefault="0027589F" w:rsidP="0027589F">
      <w:pPr>
        <w:keepNext/>
        <w:spacing w:line="276" w:lineRule="auto"/>
        <w:jc w:val="center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0840B694" w14:textId="00FE49C6" w:rsidR="0027589F" w:rsidRPr="007A00D7" w:rsidRDefault="0027589F" w:rsidP="0027589F">
      <w:pPr>
        <w:keepNext/>
        <w:spacing w:line="276" w:lineRule="auto"/>
        <w:jc w:val="center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35A91340" w14:textId="1EAC7D58" w:rsidR="0027589F" w:rsidRPr="007A00D7" w:rsidRDefault="0027589F" w:rsidP="00F16F4E">
      <w:pPr>
        <w:keepNext/>
        <w:spacing w:line="276" w:lineRule="auto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5A515177" w14:textId="7CAF1A6B" w:rsidR="00CA5D03" w:rsidRPr="007A00D7" w:rsidRDefault="00CA5D03" w:rsidP="00F16F4E">
      <w:pPr>
        <w:keepNext/>
        <w:spacing w:line="276" w:lineRule="auto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32543CAB" w14:textId="77777777" w:rsidR="0027589F" w:rsidRPr="007A00D7" w:rsidRDefault="0027589F" w:rsidP="0027589F">
      <w:pPr>
        <w:keepNext/>
        <w:spacing w:line="276" w:lineRule="auto"/>
        <w:jc w:val="center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64A82B5C" w14:textId="77777777" w:rsidR="0027589F" w:rsidRPr="007A00D7" w:rsidRDefault="0027589F" w:rsidP="0027589F">
      <w:pPr>
        <w:keepNext/>
        <w:spacing w:line="276" w:lineRule="auto"/>
        <w:jc w:val="center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630D916C" w14:textId="75330895" w:rsidR="0027589F" w:rsidRDefault="0027589F" w:rsidP="0027589F">
      <w:pPr>
        <w:keepNext/>
        <w:spacing w:line="276" w:lineRule="auto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41DD38F6" w14:textId="5EDF0085" w:rsidR="00B029EB" w:rsidRDefault="00B029EB" w:rsidP="0027589F">
      <w:pPr>
        <w:keepNext/>
        <w:spacing w:line="276" w:lineRule="auto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2C23CF46" w14:textId="77777777" w:rsidR="00B029EB" w:rsidRPr="007A00D7" w:rsidRDefault="00B029EB" w:rsidP="0027589F">
      <w:pPr>
        <w:keepNext/>
        <w:spacing w:line="276" w:lineRule="auto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55AEA46E" w14:textId="3B73B6C1" w:rsidR="00232D8A" w:rsidRPr="007A00D7" w:rsidRDefault="00E94E44" w:rsidP="00E94E44">
      <w:pPr>
        <w:keepNext/>
        <w:spacing w:line="276" w:lineRule="auto"/>
        <w:jc w:val="center"/>
        <w:rPr>
          <w:rFonts w:ascii="Arial" w:eastAsia="Times New Roman" w:hAnsi="Arial" w:cs="Arial"/>
          <w:b/>
          <w:smallCaps/>
          <w:lang w:val="es-ES"/>
        </w:rPr>
      </w:pPr>
      <w:r w:rsidRPr="007A00D7">
        <w:rPr>
          <w:rFonts w:ascii="Arial" w:eastAsia="Times New Roman" w:hAnsi="Arial" w:cs="Arial"/>
          <w:b/>
          <w:smallCaps/>
          <w:lang w:val="es-ES"/>
        </w:rPr>
        <w:t>Programa para la consolidación de esquemas de participación privada en infraestructura</w:t>
      </w:r>
      <w:r w:rsidR="00F444BB" w:rsidRPr="007A00D7">
        <w:rPr>
          <w:rFonts w:ascii="Arial" w:eastAsia="Times New Roman" w:hAnsi="Arial" w:cs="Arial"/>
          <w:b/>
          <w:smallCaps/>
          <w:lang w:val="es-ES"/>
        </w:rPr>
        <w:t xml:space="preserve"> </w:t>
      </w:r>
      <w:r w:rsidR="001F7629" w:rsidRPr="007A00D7">
        <w:rPr>
          <w:rFonts w:ascii="Arial" w:eastAsia="Times New Roman" w:hAnsi="Arial" w:cs="Arial"/>
          <w:b/>
          <w:smallCaps/>
          <w:lang w:val="es-ES"/>
        </w:rPr>
        <w:t>(CO-</w:t>
      </w:r>
      <w:bookmarkStart w:id="1" w:name="_Hlk49783450"/>
      <w:r w:rsidR="001F7629" w:rsidRPr="007A00D7">
        <w:rPr>
          <w:rFonts w:ascii="Arial" w:eastAsia="Times New Roman" w:hAnsi="Arial" w:cs="Arial"/>
          <w:b/>
          <w:smallCaps/>
          <w:lang w:val="es-ES"/>
        </w:rPr>
        <w:t>L126</w:t>
      </w:r>
      <w:bookmarkEnd w:id="1"/>
      <w:r w:rsidR="00845E94" w:rsidRPr="007A00D7">
        <w:rPr>
          <w:rFonts w:ascii="Arial" w:eastAsia="Times New Roman" w:hAnsi="Arial" w:cs="Arial"/>
          <w:b/>
          <w:smallCaps/>
          <w:lang w:val="es-ES"/>
        </w:rPr>
        <w:t>5</w:t>
      </w:r>
      <w:r w:rsidR="001F7629" w:rsidRPr="007A00D7">
        <w:rPr>
          <w:rFonts w:ascii="Arial" w:eastAsia="Times New Roman" w:hAnsi="Arial" w:cs="Arial"/>
          <w:b/>
          <w:smallCaps/>
          <w:lang w:val="es-ES"/>
        </w:rPr>
        <w:t>)</w:t>
      </w:r>
    </w:p>
    <w:p w14:paraId="637B6E6C" w14:textId="77777777" w:rsidR="00232D8A" w:rsidRPr="007A00D7" w:rsidRDefault="00232D8A" w:rsidP="0027589F">
      <w:pPr>
        <w:keepNext/>
        <w:spacing w:line="276" w:lineRule="auto"/>
        <w:jc w:val="center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0A99A9FC" w14:textId="77777777" w:rsidR="0027589F" w:rsidRPr="007A00D7" w:rsidRDefault="0027589F" w:rsidP="00A83B23">
      <w:pPr>
        <w:keepNext/>
        <w:spacing w:line="276" w:lineRule="auto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441AE0E5" w14:textId="546BC769" w:rsidR="0027589F" w:rsidRPr="007A00D7" w:rsidRDefault="0027589F" w:rsidP="0027589F">
      <w:pPr>
        <w:keepNext/>
        <w:spacing w:line="276" w:lineRule="auto"/>
        <w:jc w:val="center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45CDF37E" w14:textId="0902F547" w:rsidR="00CA5D03" w:rsidRPr="007A00D7" w:rsidRDefault="00CA5D03" w:rsidP="0027589F">
      <w:pPr>
        <w:keepNext/>
        <w:spacing w:line="276" w:lineRule="auto"/>
        <w:jc w:val="center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518869BA" w14:textId="77777777" w:rsidR="00CA5D03" w:rsidRPr="007A00D7" w:rsidRDefault="00CA5D03" w:rsidP="0027589F">
      <w:pPr>
        <w:keepNext/>
        <w:spacing w:line="276" w:lineRule="auto"/>
        <w:jc w:val="center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56327B72" w14:textId="77777777" w:rsidR="0027589F" w:rsidRPr="007A00D7" w:rsidRDefault="0027589F" w:rsidP="0027589F">
      <w:pPr>
        <w:keepNext/>
        <w:spacing w:line="276" w:lineRule="auto"/>
        <w:jc w:val="center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1DEA94E6" w14:textId="77777777" w:rsidR="0027589F" w:rsidRPr="007A00D7" w:rsidRDefault="0027589F" w:rsidP="002462DC">
      <w:pPr>
        <w:keepNext/>
        <w:spacing w:line="276" w:lineRule="auto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4B5F0895" w14:textId="77777777" w:rsidR="0027589F" w:rsidRPr="007A00D7" w:rsidRDefault="0027589F" w:rsidP="0027589F">
      <w:pPr>
        <w:keepNext/>
        <w:spacing w:line="276" w:lineRule="auto"/>
        <w:jc w:val="center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17D90B7B" w14:textId="7530A99C" w:rsidR="0027589F" w:rsidRPr="007A00D7" w:rsidRDefault="00F028E1" w:rsidP="0027589F">
      <w:pPr>
        <w:keepNext/>
        <w:spacing w:line="276" w:lineRule="auto"/>
        <w:jc w:val="center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  <w:bookmarkStart w:id="2" w:name="_Hlk7602350"/>
      <w:r w:rsidRPr="007A00D7">
        <w:rPr>
          <w:rFonts w:ascii="Arial" w:eastAsia="Times New Roman" w:hAnsi="Arial" w:cs="Arial"/>
          <w:b/>
          <w:smallCaps/>
          <w:sz w:val="22"/>
          <w:szCs w:val="22"/>
          <w:lang w:val="es-ES"/>
        </w:rPr>
        <w:t>Plan de monitoreo</w:t>
      </w:r>
      <w:r w:rsidR="00DA3DD6" w:rsidRPr="007A00D7">
        <w:rPr>
          <w:rFonts w:ascii="Arial" w:eastAsia="Times New Roman" w:hAnsi="Arial" w:cs="Arial"/>
          <w:b/>
          <w:smallCaps/>
          <w:sz w:val="22"/>
          <w:szCs w:val="22"/>
          <w:lang w:val="es-ES"/>
        </w:rPr>
        <w:t xml:space="preserve"> y evalu</w:t>
      </w:r>
      <w:r w:rsidR="003741C0" w:rsidRPr="007A00D7">
        <w:rPr>
          <w:rFonts w:ascii="Arial" w:eastAsia="Times New Roman" w:hAnsi="Arial" w:cs="Arial"/>
          <w:b/>
          <w:smallCaps/>
          <w:sz w:val="22"/>
          <w:szCs w:val="22"/>
          <w:lang w:val="es-ES"/>
        </w:rPr>
        <w:t>a</w:t>
      </w:r>
      <w:r w:rsidR="00DA3DD6" w:rsidRPr="007A00D7">
        <w:rPr>
          <w:rFonts w:ascii="Arial" w:eastAsia="Times New Roman" w:hAnsi="Arial" w:cs="Arial"/>
          <w:b/>
          <w:smallCaps/>
          <w:sz w:val="22"/>
          <w:szCs w:val="22"/>
          <w:lang w:val="es-ES"/>
        </w:rPr>
        <w:t>ción</w:t>
      </w:r>
      <w:r w:rsidR="00711D6D" w:rsidRPr="007A00D7">
        <w:rPr>
          <w:rFonts w:ascii="Arial" w:eastAsia="Times New Roman" w:hAnsi="Arial" w:cs="Arial"/>
          <w:b/>
          <w:smallCaps/>
          <w:sz w:val="22"/>
          <w:szCs w:val="22"/>
          <w:lang w:val="es-ES"/>
        </w:rPr>
        <w:t xml:space="preserve"> </w:t>
      </w:r>
    </w:p>
    <w:bookmarkEnd w:id="2"/>
    <w:p w14:paraId="7C9A2EDE" w14:textId="77777777" w:rsidR="0027589F" w:rsidRPr="007A00D7" w:rsidRDefault="0027589F" w:rsidP="0027589F">
      <w:pPr>
        <w:keepNext/>
        <w:spacing w:line="276" w:lineRule="auto"/>
        <w:jc w:val="center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4204FBE6" w14:textId="77777777" w:rsidR="0027589F" w:rsidRPr="007A00D7" w:rsidRDefault="0027589F" w:rsidP="0027589F">
      <w:pPr>
        <w:keepNext/>
        <w:spacing w:line="276" w:lineRule="auto"/>
        <w:jc w:val="center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54408D21" w14:textId="79435B82" w:rsidR="0027589F" w:rsidRPr="007A00D7" w:rsidRDefault="0027589F" w:rsidP="0027589F">
      <w:pPr>
        <w:keepNext/>
        <w:spacing w:line="276" w:lineRule="auto"/>
        <w:jc w:val="center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7A94C8E2" w14:textId="2BE82784" w:rsidR="0027589F" w:rsidRPr="007A00D7" w:rsidRDefault="0027589F" w:rsidP="0027589F">
      <w:pPr>
        <w:keepNext/>
        <w:spacing w:line="276" w:lineRule="auto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0440BABD" w14:textId="42489896" w:rsidR="00D114D0" w:rsidRPr="007A00D7" w:rsidRDefault="00D114D0" w:rsidP="0027589F">
      <w:pPr>
        <w:keepNext/>
        <w:spacing w:line="276" w:lineRule="auto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7612879C" w14:textId="21C46617" w:rsidR="00D114D0" w:rsidRDefault="00D114D0" w:rsidP="0027589F">
      <w:pPr>
        <w:keepNext/>
        <w:spacing w:line="276" w:lineRule="auto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068D37F5" w14:textId="72A85CEF" w:rsidR="00B029EB" w:rsidRDefault="00B029EB" w:rsidP="0027589F">
      <w:pPr>
        <w:keepNext/>
        <w:spacing w:line="276" w:lineRule="auto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40024019" w14:textId="3161E1EA" w:rsidR="00B029EB" w:rsidRDefault="00B029EB" w:rsidP="0027589F">
      <w:pPr>
        <w:keepNext/>
        <w:spacing w:line="276" w:lineRule="auto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132497E4" w14:textId="7DE3BD0C" w:rsidR="00B029EB" w:rsidRDefault="00B029EB" w:rsidP="0027589F">
      <w:pPr>
        <w:keepNext/>
        <w:spacing w:line="276" w:lineRule="auto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24D8708B" w14:textId="1E624FA7" w:rsidR="00B029EB" w:rsidRDefault="00B029EB" w:rsidP="0027589F">
      <w:pPr>
        <w:keepNext/>
        <w:spacing w:line="276" w:lineRule="auto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3C967443" w14:textId="72F709D3" w:rsidR="00B029EB" w:rsidRDefault="00B029EB" w:rsidP="0027589F">
      <w:pPr>
        <w:keepNext/>
        <w:spacing w:line="276" w:lineRule="auto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0A40DB8B" w14:textId="77777777" w:rsidR="00B029EB" w:rsidRPr="007A00D7" w:rsidRDefault="00B029EB" w:rsidP="0027589F">
      <w:pPr>
        <w:keepNext/>
        <w:spacing w:line="276" w:lineRule="auto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75166D93" w14:textId="77777777" w:rsidR="00D114D0" w:rsidRPr="007A00D7" w:rsidRDefault="00D114D0" w:rsidP="0027589F">
      <w:pPr>
        <w:keepNext/>
        <w:spacing w:line="276" w:lineRule="auto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38EB6C9B" w14:textId="77777777" w:rsidR="0027589F" w:rsidRPr="007A00D7" w:rsidRDefault="0027589F" w:rsidP="0027589F">
      <w:pPr>
        <w:keepNext/>
        <w:spacing w:line="276" w:lineRule="auto"/>
        <w:jc w:val="center"/>
        <w:rPr>
          <w:rFonts w:ascii="Arial" w:eastAsia="Times New Roman" w:hAnsi="Arial" w:cs="Arial"/>
          <w:b/>
          <w:smallCaps/>
          <w:sz w:val="22"/>
          <w:szCs w:val="22"/>
          <w:lang w:val="es-ES"/>
        </w:rPr>
      </w:pPr>
    </w:p>
    <w:p w14:paraId="3AB23C5E" w14:textId="18F8F464" w:rsidR="0027589F" w:rsidRPr="007A00D7" w:rsidRDefault="00CD13E1" w:rsidP="0027589F">
      <w:pPr>
        <w:keepNext/>
        <w:spacing w:line="276" w:lineRule="auto"/>
        <w:jc w:val="center"/>
        <w:rPr>
          <w:rFonts w:ascii="Arial" w:eastAsia="Times New Roman" w:hAnsi="Arial" w:cs="Arial"/>
          <w:smallCaps/>
          <w:sz w:val="22"/>
          <w:szCs w:val="22"/>
          <w:lang w:val="es-ES"/>
        </w:rPr>
      </w:pPr>
      <w:r w:rsidRPr="007A00D7">
        <w:rPr>
          <w:rFonts w:ascii="Arial" w:eastAsia="Times New Roman" w:hAnsi="Arial" w:cs="Arial"/>
          <w:smallCaps/>
          <w:sz w:val="22"/>
          <w:szCs w:val="22"/>
          <w:lang w:val="es-ES"/>
        </w:rPr>
        <w:t>octu</w:t>
      </w:r>
      <w:r w:rsidR="005F7B57" w:rsidRPr="007A00D7">
        <w:rPr>
          <w:rFonts w:ascii="Arial" w:eastAsia="Times New Roman" w:hAnsi="Arial" w:cs="Arial"/>
          <w:smallCaps/>
          <w:sz w:val="22"/>
          <w:szCs w:val="22"/>
          <w:lang w:val="es-ES"/>
        </w:rPr>
        <w:t>bre</w:t>
      </w:r>
      <w:r w:rsidR="0027589F" w:rsidRPr="007A00D7">
        <w:rPr>
          <w:rFonts w:ascii="Arial" w:eastAsia="Times New Roman" w:hAnsi="Arial" w:cs="Arial"/>
          <w:smallCaps/>
          <w:sz w:val="22"/>
          <w:szCs w:val="22"/>
          <w:lang w:val="es-ES"/>
        </w:rPr>
        <w:t xml:space="preserve"> de 20</w:t>
      </w:r>
      <w:r w:rsidR="005F7B57" w:rsidRPr="007A00D7">
        <w:rPr>
          <w:rFonts w:ascii="Arial" w:eastAsia="Times New Roman" w:hAnsi="Arial" w:cs="Arial"/>
          <w:smallCaps/>
          <w:sz w:val="22"/>
          <w:szCs w:val="22"/>
          <w:lang w:val="es-ES"/>
        </w:rPr>
        <w:t>20</w:t>
      </w:r>
      <w:r w:rsidR="0027589F" w:rsidRPr="007A00D7">
        <w:rPr>
          <w:rFonts w:ascii="Arial" w:eastAsia="Times New Roman" w:hAnsi="Arial" w:cs="Arial"/>
          <w:smallCaps/>
          <w:sz w:val="22"/>
          <w:szCs w:val="22"/>
          <w:lang w:val="es-ES"/>
        </w:rPr>
        <w:t xml:space="preserve"> </w:t>
      </w:r>
    </w:p>
    <w:p w14:paraId="62C2B59E" w14:textId="77777777" w:rsidR="00553C65" w:rsidRPr="007A00D7" w:rsidRDefault="00553C65">
      <w:pPr>
        <w:rPr>
          <w:rFonts w:ascii="Arial" w:hAnsi="Arial" w:cs="Arial"/>
          <w:sz w:val="22"/>
          <w:szCs w:val="22"/>
          <w:lang w:val="es-ES"/>
        </w:rPr>
      </w:pPr>
    </w:p>
    <w:p w14:paraId="62BE5593" w14:textId="77777777" w:rsidR="0027589F" w:rsidRPr="007A00D7" w:rsidRDefault="0027589F">
      <w:pPr>
        <w:rPr>
          <w:rFonts w:ascii="Arial" w:hAnsi="Arial" w:cs="Arial"/>
          <w:sz w:val="22"/>
          <w:szCs w:val="22"/>
          <w:lang w:val="es-ES"/>
        </w:rPr>
      </w:pPr>
    </w:p>
    <w:p w14:paraId="3AE5C6D0" w14:textId="77777777" w:rsidR="0027589F" w:rsidRPr="007A00D7" w:rsidRDefault="0027589F">
      <w:pPr>
        <w:rPr>
          <w:rFonts w:ascii="Arial" w:hAnsi="Arial" w:cs="Arial"/>
          <w:sz w:val="22"/>
          <w:szCs w:val="22"/>
          <w:lang w:val="es-ES"/>
        </w:rPr>
      </w:pPr>
    </w:p>
    <w:p w14:paraId="1C08EE4F" w14:textId="77777777" w:rsidR="00303038" w:rsidRPr="007A00D7" w:rsidRDefault="00303038">
      <w:pPr>
        <w:rPr>
          <w:rFonts w:ascii="Arial" w:hAnsi="Arial" w:cs="Arial"/>
          <w:sz w:val="22"/>
          <w:szCs w:val="22"/>
          <w:lang w:val="es-ES"/>
        </w:rPr>
      </w:pPr>
    </w:p>
    <w:p w14:paraId="078DA388" w14:textId="2359C9F4" w:rsidR="00303038" w:rsidRPr="007A00D7" w:rsidRDefault="005F7B57" w:rsidP="00303038">
      <w:pPr>
        <w:rPr>
          <w:rFonts w:ascii="Arial" w:hAnsi="Arial" w:cs="Arial"/>
          <w:sz w:val="22"/>
          <w:szCs w:val="22"/>
          <w:lang w:val="es-ES"/>
        </w:rPr>
      </w:pPr>
      <w:r w:rsidRPr="007A00D7">
        <w:rPr>
          <w:rFonts w:ascii="Arial" w:hAnsi="Arial" w:cs="Arial"/>
          <w:sz w:val="22"/>
          <w:szCs w:val="22"/>
          <w:lang w:val="es-ES"/>
        </w:rPr>
        <w:br w:type="page"/>
      </w:r>
    </w:p>
    <w:p w14:paraId="19121746" w14:textId="46E53475" w:rsidR="00163774" w:rsidRPr="002C03B2" w:rsidRDefault="002D05EC" w:rsidP="00760463">
      <w:pPr>
        <w:spacing w:before="120" w:after="120"/>
        <w:ind w:left="567" w:hanging="567"/>
        <w:jc w:val="both"/>
        <w:rPr>
          <w:rFonts w:ascii="Arial" w:eastAsiaTheme="minorEastAsia" w:hAnsi="Arial" w:cs="Arial"/>
          <w:b/>
          <w:sz w:val="22"/>
          <w:szCs w:val="22"/>
          <w:lang w:val="es-CO"/>
        </w:rPr>
      </w:pPr>
      <w:r w:rsidRPr="002C03B2">
        <w:rPr>
          <w:rFonts w:ascii="Arial" w:eastAsiaTheme="minorEastAsia" w:hAnsi="Arial" w:cs="Arial"/>
          <w:b/>
          <w:sz w:val="22"/>
          <w:szCs w:val="22"/>
          <w:lang w:val="es-CO"/>
        </w:rPr>
        <w:lastRenderedPageBreak/>
        <w:t>Introducción</w:t>
      </w:r>
      <w:r w:rsidR="00CA5D03" w:rsidRPr="002C03B2">
        <w:rPr>
          <w:rStyle w:val="FootnoteReference"/>
          <w:rFonts w:ascii="Arial" w:eastAsiaTheme="minorEastAsia" w:hAnsi="Arial" w:cs="Arial"/>
          <w:b/>
          <w:sz w:val="22"/>
          <w:szCs w:val="22"/>
          <w:lang w:val="es-CO"/>
        </w:rPr>
        <w:footnoteReference w:id="2"/>
      </w:r>
    </w:p>
    <w:p w14:paraId="33EDE35D" w14:textId="77777777" w:rsidR="003F4B6C" w:rsidRDefault="00D73192" w:rsidP="00760463">
      <w:pPr>
        <w:spacing w:before="120" w:after="120"/>
        <w:ind w:left="567"/>
        <w:jc w:val="both"/>
        <w:rPr>
          <w:rFonts w:ascii="Arial" w:hAnsi="Arial" w:cs="Arial"/>
          <w:sz w:val="22"/>
          <w:szCs w:val="22"/>
          <w:lang w:val="es-CO"/>
        </w:rPr>
      </w:pPr>
      <w:r w:rsidRPr="003F4B6C">
        <w:rPr>
          <w:rFonts w:ascii="Arial" w:hAnsi="Arial" w:cs="Arial"/>
          <w:sz w:val="22"/>
          <w:szCs w:val="22"/>
          <w:lang w:val="es-CO"/>
        </w:rPr>
        <w:t>El objetivo general de la operación es apoyar y promover la participación privada en el desarrollo de infraestructura pública y prestación de sus servicios asociados en el país.</w:t>
      </w:r>
    </w:p>
    <w:p w14:paraId="0CF0AF77" w14:textId="232F1F13" w:rsidR="00D73192" w:rsidRDefault="00D73192" w:rsidP="00760463">
      <w:pPr>
        <w:spacing w:before="120" w:after="120"/>
        <w:ind w:left="567"/>
        <w:jc w:val="both"/>
        <w:rPr>
          <w:rFonts w:ascii="Arial" w:hAnsi="Arial" w:cs="Arial"/>
          <w:sz w:val="22"/>
          <w:szCs w:val="22"/>
          <w:lang w:val="es-ES"/>
        </w:rPr>
      </w:pPr>
      <w:r w:rsidRPr="003F4B6C">
        <w:rPr>
          <w:rFonts w:ascii="Arial" w:hAnsi="Arial" w:cs="Arial"/>
          <w:sz w:val="22"/>
          <w:szCs w:val="22"/>
          <w:lang w:val="es-CO"/>
        </w:rPr>
        <w:t>Los objetivos específicos son: (i) reforzar el proceso de estructuración y financiamiento de proyectos de participación privada en las áreas de infraestructura económica y social; y (ii) fortalecer la institucionalidad en torno a la consolidación de los mecanismos de participación privada.</w:t>
      </w:r>
    </w:p>
    <w:p w14:paraId="5704D460" w14:textId="429FF116" w:rsidR="00F6584F" w:rsidRPr="002C03B2" w:rsidRDefault="00F6584F" w:rsidP="00760463">
      <w:pPr>
        <w:spacing w:before="120" w:after="120"/>
        <w:ind w:left="567"/>
        <w:jc w:val="both"/>
        <w:rPr>
          <w:rFonts w:ascii="Arial" w:hAnsi="Arial" w:cs="Arial"/>
          <w:sz w:val="22"/>
          <w:szCs w:val="22"/>
          <w:lang w:val="es-ES"/>
        </w:rPr>
      </w:pPr>
      <w:r w:rsidRPr="002C03B2">
        <w:rPr>
          <w:rFonts w:ascii="Arial" w:hAnsi="Arial" w:cs="Arial"/>
          <w:sz w:val="22"/>
          <w:szCs w:val="22"/>
          <w:lang w:val="es-ES"/>
        </w:rPr>
        <w:t>Los componentes de la operación, que suman un total de US$ 15 millones, son:</w:t>
      </w:r>
    </w:p>
    <w:p w14:paraId="105D05F9" w14:textId="529E4A43" w:rsidR="00F6584F" w:rsidRPr="002C03B2" w:rsidRDefault="00F6584F" w:rsidP="00760463">
      <w:pPr>
        <w:pStyle w:val="ListParagraph"/>
        <w:numPr>
          <w:ilvl w:val="0"/>
          <w:numId w:val="29"/>
        </w:numPr>
        <w:spacing w:before="120"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  <w:lang w:val="es-ES"/>
        </w:rPr>
      </w:pPr>
      <w:r w:rsidRPr="002C03B2">
        <w:rPr>
          <w:rFonts w:ascii="Arial" w:hAnsi="Arial" w:cs="Arial"/>
          <w:b/>
          <w:bCs/>
          <w:sz w:val="22"/>
          <w:szCs w:val="22"/>
          <w:lang w:val="es-ES"/>
        </w:rPr>
        <w:t>Componente I</w:t>
      </w:r>
      <w:r w:rsidRPr="002C03B2">
        <w:rPr>
          <w:rFonts w:ascii="Arial" w:hAnsi="Arial" w:cs="Arial"/>
          <w:sz w:val="22"/>
          <w:szCs w:val="22"/>
          <w:lang w:val="es-ES"/>
        </w:rPr>
        <w:t xml:space="preserve">. </w:t>
      </w:r>
      <w:r w:rsidRPr="002C03B2">
        <w:rPr>
          <w:rFonts w:ascii="Arial" w:hAnsi="Arial" w:cs="Arial"/>
          <w:b/>
          <w:bCs/>
          <w:sz w:val="22"/>
          <w:szCs w:val="22"/>
          <w:lang w:val="es-ES"/>
        </w:rPr>
        <w:t xml:space="preserve">Fomento de la participación </w:t>
      </w:r>
      <w:r w:rsidRPr="00FC7251">
        <w:rPr>
          <w:rFonts w:ascii="Arial" w:hAnsi="Arial" w:cs="Arial"/>
          <w:b/>
          <w:bCs/>
          <w:sz w:val="22"/>
          <w:szCs w:val="22"/>
          <w:lang w:val="es-ES"/>
        </w:rPr>
        <w:t>privada (US$</w:t>
      </w:r>
      <w:r w:rsidR="009B272F" w:rsidRPr="00FC7251">
        <w:rPr>
          <w:rFonts w:ascii="Arial" w:hAnsi="Arial" w:cs="Arial"/>
          <w:b/>
          <w:bCs/>
          <w:sz w:val="22"/>
          <w:szCs w:val="22"/>
          <w:lang w:val="es-ES"/>
        </w:rPr>
        <w:t>9</w:t>
      </w:r>
      <w:r w:rsidRPr="00FC7251">
        <w:rPr>
          <w:rFonts w:ascii="Arial" w:hAnsi="Arial" w:cs="Arial"/>
          <w:b/>
          <w:bCs/>
          <w:sz w:val="22"/>
          <w:szCs w:val="22"/>
          <w:lang w:val="es-ES"/>
        </w:rPr>
        <w:t>,</w:t>
      </w:r>
      <w:r w:rsidR="009B272F" w:rsidRPr="00FC7251">
        <w:rPr>
          <w:rFonts w:ascii="Arial" w:hAnsi="Arial" w:cs="Arial"/>
          <w:b/>
          <w:bCs/>
          <w:sz w:val="22"/>
          <w:szCs w:val="22"/>
          <w:lang w:val="es-ES"/>
        </w:rPr>
        <w:t>3</w:t>
      </w:r>
      <w:r w:rsidRPr="00FC7251">
        <w:rPr>
          <w:rFonts w:ascii="Arial" w:hAnsi="Arial" w:cs="Arial"/>
          <w:b/>
          <w:bCs/>
          <w:sz w:val="22"/>
          <w:szCs w:val="22"/>
          <w:lang w:val="es-ES"/>
        </w:rPr>
        <w:t xml:space="preserve"> millones).</w:t>
      </w:r>
      <w:r w:rsidRPr="002C03B2">
        <w:rPr>
          <w:rFonts w:ascii="Arial" w:hAnsi="Arial" w:cs="Arial"/>
          <w:sz w:val="22"/>
          <w:szCs w:val="22"/>
          <w:lang w:val="es-ES"/>
        </w:rPr>
        <w:t xml:space="preserve"> </w:t>
      </w:r>
      <w:r w:rsidR="00953C49" w:rsidRPr="00824611">
        <w:rPr>
          <w:rFonts w:ascii="Arial" w:hAnsi="Arial" w:cs="Arial"/>
          <w:sz w:val="22"/>
          <w:szCs w:val="22"/>
          <w:lang w:val="es-ES"/>
        </w:rPr>
        <w:t xml:space="preserve">Este componente financiará las actividades necesarias para incorporar aspectos de sostenibilidad financiera, ambiental, social e institucional en marcos regulatorios y los procesos de planificación y estructuración de participación privada en el país, incrementando la viabilidad de estas; así como, su impacto sobre el bienestar de la población. En particular, financiará: </w:t>
      </w:r>
      <w:r w:rsidR="00953C49" w:rsidRPr="00824611">
        <w:rPr>
          <w:rFonts w:ascii="Arial" w:eastAsia="MS Mincho" w:hAnsi="Arial" w:cs="Arial"/>
          <w:w w:val="0"/>
          <w:sz w:val="22"/>
          <w:szCs w:val="22"/>
          <w:lang w:val="es-ES"/>
        </w:rPr>
        <w:t>(i) estudios para formulación de políticas</w:t>
      </w:r>
      <w:r w:rsidR="00953C49">
        <w:rPr>
          <w:rFonts w:ascii="Arial" w:eastAsia="MS Mincho" w:hAnsi="Arial" w:cs="Arial"/>
          <w:w w:val="0"/>
          <w:sz w:val="22"/>
          <w:szCs w:val="22"/>
          <w:lang w:val="es-ES"/>
        </w:rPr>
        <w:t>,</w:t>
      </w:r>
      <w:r w:rsidR="00953C49" w:rsidRPr="007E2C3C">
        <w:rPr>
          <w:rFonts w:ascii="Arial" w:eastAsia="MS Mincho" w:hAnsi="Arial" w:cs="Arial"/>
          <w:w w:val="0"/>
          <w:sz w:val="22"/>
          <w:szCs w:val="22"/>
          <w:lang w:val="es-ES"/>
        </w:rPr>
        <w:t xml:space="preserve"> marcos normativos </w:t>
      </w:r>
      <w:r w:rsidR="00953C49">
        <w:rPr>
          <w:rFonts w:ascii="Arial" w:eastAsia="MS Mincho" w:hAnsi="Arial" w:cs="Arial"/>
          <w:w w:val="0"/>
          <w:sz w:val="22"/>
          <w:szCs w:val="22"/>
          <w:lang w:val="es-ES"/>
        </w:rPr>
        <w:t>o</w:t>
      </w:r>
      <w:r w:rsidR="00953C49" w:rsidRPr="007E2C3C">
        <w:rPr>
          <w:rFonts w:ascii="Arial" w:eastAsia="MS Mincho" w:hAnsi="Arial" w:cs="Arial"/>
          <w:w w:val="0"/>
          <w:sz w:val="22"/>
          <w:szCs w:val="22"/>
          <w:lang w:val="es-ES"/>
        </w:rPr>
        <w:t xml:space="preserve"> regulatorios</w:t>
      </w:r>
      <w:r w:rsidR="00953C49" w:rsidRPr="00824611">
        <w:rPr>
          <w:rFonts w:ascii="Arial" w:hAnsi="Arial" w:cs="Arial"/>
          <w:sz w:val="22"/>
          <w:szCs w:val="22"/>
          <w:lang w:val="es-ES"/>
        </w:rPr>
        <w:t>, análisis de riesgos (incluyendo ambientales y CC), e instrumentos orientados a mejorar las condiciones de financiamiento; (ii) ejercicios de priorización multisectorial de proyectos, que permitan valorar el diferente grado de desarrollo de los proyectos, y en qué medida responden a las prioridades establecidas y los objetivos de recuperación sostenible, optimizando de este modo la selección de proyectos de la cartera de infraestructura del país; y (iii) estudios de conceptualización, preinversión y estructuración de proyectos de participación privada</w:t>
      </w:r>
      <w:r w:rsidR="00953C49">
        <w:rPr>
          <w:rFonts w:ascii="Arial" w:hAnsi="Arial" w:cs="Arial"/>
          <w:sz w:val="22"/>
          <w:szCs w:val="22"/>
          <w:lang w:val="es-ES"/>
        </w:rPr>
        <w:t xml:space="preserve"> en</w:t>
      </w:r>
      <w:r w:rsidR="00953C49" w:rsidRPr="007E2C3C">
        <w:rPr>
          <w:rFonts w:ascii="Arial" w:hAnsi="Arial" w:cs="Arial"/>
          <w:sz w:val="22"/>
          <w:szCs w:val="22"/>
          <w:lang w:val="es-ES"/>
        </w:rPr>
        <w:t xml:space="preserve"> </w:t>
      </w:r>
      <w:r w:rsidR="00953C49" w:rsidRPr="007E2C3C">
        <w:rPr>
          <w:rFonts w:ascii="Arial" w:eastAsia="MS Mincho" w:hAnsi="Arial" w:cs="Arial"/>
          <w:w w:val="0"/>
          <w:sz w:val="22"/>
          <w:szCs w:val="22"/>
          <w:lang w:val="es-ES"/>
        </w:rPr>
        <w:t>infraestructura.</w:t>
      </w:r>
    </w:p>
    <w:p w14:paraId="4A4A80FE" w14:textId="74324173" w:rsidR="00F6584F" w:rsidRPr="002C03B2" w:rsidRDefault="00F6584F" w:rsidP="00760463">
      <w:pPr>
        <w:pStyle w:val="ListParagraph"/>
        <w:numPr>
          <w:ilvl w:val="0"/>
          <w:numId w:val="29"/>
        </w:numPr>
        <w:spacing w:before="120"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  <w:lang w:val="es-ES"/>
        </w:rPr>
      </w:pPr>
      <w:r w:rsidRPr="002C03B2">
        <w:rPr>
          <w:rFonts w:ascii="Arial" w:hAnsi="Arial" w:cs="Arial"/>
          <w:b/>
          <w:bCs/>
          <w:sz w:val="22"/>
          <w:szCs w:val="22"/>
          <w:lang w:val="es-ES"/>
        </w:rPr>
        <w:t>Componente II</w:t>
      </w:r>
      <w:r w:rsidRPr="002C03B2">
        <w:rPr>
          <w:rFonts w:ascii="Arial" w:hAnsi="Arial" w:cs="Arial"/>
          <w:sz w:val="22"/>
          <w:szCs w:val="22"/>
          <w:lang w:val="es-ES"/>
        </w:rPr>
        <w:t xml:space="preserve">. </w:t>
      </w:r>
      <w:r w:rsidRPr="002C03B2">
        <w:rPr>
          <w:rFonts w:ascii="Arial" w:hAnsi="Arial" w:cs="Arial"/>
          <w:b/>
          <w:bCs/>
          <w:sz w:val="22"/>
          <w:szCs w:val="22"/>
          <w:lang w:val="es-ES"/>
        </w:rPr>
        <w:t xml:space="preserve">Fortalecimiento de entidades públicas potencialmente </w:t>
      </w:r>
      <w:r w:rsidRPr="00FC7251">
        <w:rPr>
          <w:rFonts w:ascii="Arial" w:hAnsi="Arial" w:cs="Arial"/>
          <w:b/>
          <w:bCs/>
          <w:sz w:val="22"/>
          <w:szCs w:val="22"/>
          <w:lang w:val="es-ES"/>
        </w:rPr>
        <w:t>concedentes (US$2,5 millones).</w:t>
      </w:r>
      <w:r w:rsidRPr="002C03B2">
        <w:rPr>
          <w:rFonts w:ascii="Arial" w:hAnsi="Arial" w:cs="Arial"/>
          <w:sz w:val="22"/>
          <w:szCs w:val="22"/>
          <w:lang w:val="es-ES"/>
        </w:rPr>
        <w:t xml:space="preserve"> </w:t>
      </w:r>
      <w:r w:rsidR="002A68F9" w:rsidRPr="00D50A02">
        <w:rPr>
          <w:rFonts w:ascii="Arial" w:hAnsi="Arial" w:cs="Arial"/>
          <w:sz w:val="22"/>
          <w:szCs w:val="22"/>
          <w:lang w:val="es-ES"/>
        </w:rPr>
        <w:t>Este componente financiará actividades dirigidas a asistir técnicamente y transferir conocimiento con el fin de promover la participación privada en proyectos de infraestructura con la inclusión de áreas transversales, financiando: (i) capacitación, asistencia técnica y transferencia de conocimiento a entidades nacionales y territoriales sobre esquemas de participación privada en infraestructura; (ii) evaluación y seguimiento de experiencias que contribuyan a fomentar la participación privada en distintos sectores; (iii) análisis y diseño de la estructura institucional requerida para promover la participación privada en los proyectos de infraestructura;</w:t>
      </w:r>
      <w:r w:rsidR="002A68F9">
        <w:rPr>
          <w:rFonts w:ascii="Arial" w:hAnsi="Arial" w:cs="Arial"/>
          <w:sz w:val="22"/>
          <w:szCs w:val="22"/>
          <w:lang w:val="es-ES"/>
        </w:rPr>
        <w:t xml:space="preserve"> </w:t>
      </w:r>
      <w:r w:rsidR="002A68F9" w:rsidRPr="00D50A02">
        <w:rPr>
          <w:rFonts w:ascii="Arial" w:hAnsi="Arial" w:cs="Arial"/>
          <w:sz w:val="22"/>
          <w:szCs w:val="22"/>
          <w:lang w:val="es-ES"/>
        </w:rPr>
        <w:t xml:space="preserve">(iv) desarrollo de herramientas, guías de buenas prácticas, manuales de estructuración, entre otros, que incluyan </w:t>
      </w:r>
      <w:r w:rsidR="002A68F9" w:rsidRPr="002A68F9">
        <w:rPr>
          <w:rFonts w:ascii="Arial" w:hAnsi="Arial" w:cs="Arial"/>
          <w:sz w:val="22"/>
          <w:szCs w:val="22"/>
          <w:lang w:val="es-ES"/>
        </w:rPr>
        <w:t>aspectos de género y diversidad, cambio climático, ambiental, social y predial en el desarrollo de proyectos</w:t>
      </w:r>
      <w:r w:rsidR="002A68F9" w:rsidRPr="00D50A02">
        <w:rPr>
          <w:rFonts w:ascii="Arial" w:hAnsi="Arial" w:cs="Arial"/>
          <w:sz w:val="22"/>
          <w:szCs w:val="22"/>
          <w:lang w:val="es-ES"/>
        </w:rPr>
        <w:t>; y (v) estrategias de divulgación.</w:t>
      </w:r>
    </w:p>
    <w:p w14:paraId="222F1DCA" w14:textId="5E0EDC3A" w:rsidR="00B61E7F" w:rsidRPr="00B61E7F" w:rsidRDefault="00F6584F" w:rsidP="00760463">
      <w:pPr>
        <w:pStyle w:val="ListParagraph"/>
        <w:numPr>
          <w:ilvl w:val="0"/>
          <w:numId w:val="29"/>
        </w:numPr>
        <w:spacing w:before="120"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  <w:lang w:val="es-ES"/>
        </w:rPr>
      </w:pPr>
      <w:r w:rsidRPr="00B61E7F">
        <w:rPr>
          <w:rFonts w:ascii="Arial" w:hAnsi="Arial" w:cs="Arial"/>
          <w:b/>
          <w:bCs/>
          <w:sz w:val="22"/>
          <w:szCs w:val="22"/>
          <w:lang w:val="es-ES"/>
        </w:rPr>
        <w:t>Componente III. Fortalecimiento técnico e institucional del Departamento Nacional de Planeación (DNP) (US$2,</w:t>
      </w:r>
      <w:r w:rsidR="009B272F" w:rsidRPr="00B61E7F">
        <w:rPr>
          <w:rFonts w:ascii="Arial" w:hAnsi="Arial" w:cs="Arial"/>
          <w:b/>
          <w:bCs/>
          <w:sz w:val="22"/>
          <w:szCs w:val="22"/>
          <w:lang w:val="es-ES"/>
        </w:rPr>
        <w:t>1</w:t>
      </w:r>
      <w:r w:rsidRPr="00B61E7F">
        <w:rPr>
          <w:rFonts w:ascii="Arial" w:hAnsi="Arial" w:cs="Arial"/>
          <w:b/>
          <w:bCs/>
          <w:sz w:val="22"/>
          <w:szCs w:val="22"/>
          <w:lang w:val="es-ES"/>
        </w:rPr>
        <w:t xml:space="preserve"> millones).</w:t>
      </w:r>
      <w:r w:rsidRPr="00B61E7F">
        <w:rPr>
          <w:rFonts w:ascii="Arial" w:hAnsi="Arial" w:cs="Arial"/>
          <w:sz w:val="22"/>
          <w:szCs w:val="22"/>
          <w:lang w:val="es-ES"/>
        </w:rPr>
        <w:t xml:space="preserve"> </w:t>
      </w:r>
      <w:r w:rsidR="005D692B" w:rsidRPr="00A51A12">
        <w:rPr>
          <w:rFonts w:ascii="Arial" w:hAnsi="Arial" w:cs="Arial"/>
          <w:sz w:val="22"/>
          <w:szCs w:val="22"/>
          <w:lang w:val="es-ES"/>
        </w:rPr>
        <w:t>Este componente financiará actividades para mejorar la promoción de APP desde el DNP, incluyendo: (i) fortalecimiento de la capacidad institucional del DNP para promover esquemas de participación privada, tanto para la Fase 1 de estructuración como para la Fase 2 de aprobaciones;</w:t>
      </w:r>
      <w:r w:rsidR="005D692B">
        <w:rPr>
          <w:rFonts w:ascii="Arial" w:hAnsi="Arial" w:cs="Arial"/>
          <w:sz w:val="22"/>
          <w:szCs w:val="22"/>
          <w:lang w:val="es-ES"/>
        </w:rPr>
        <w:t xml:space="preserve"> </w:t>
      </w:r>
      <w:r w:rsidR="005D692B" w:rsidRPr="00A51A12">
        <w:rPr>
          <w:rFonts w:ascii="Arial" w:hAnsi="Arial" w:cs="Arial"/>
          <w:sz w:val="22"/>
          <w:szCs w:val="22"/>
          <w:lang w:val="es-ES"/>
        </w:rPr>
        <w:t>y</w:t>
      </w:r>
      <w:r w:rsidR="005D692B">
        <w:rPr>
          <w:rFonts w:ascii="Arial" w:hAnsi="Arial" w:cs="Arial"/>
          <w:sz w:val="22"/>
          <w:szCs w:val="22"/>
          <w:lang w:val="es-ES"/>
        </w:rPr>
        <w:t xml:space="preserve"> </w:t>
      </w:r>
      <w:r w:rsidR="005D692B" w:rsidRPr="00A51A12">
        <w:rPr>
          <w:rFonts w:ascii="Arial" w:hAnsi="Arial" w:cs="Arial"/>
          <w:sz w:val="22"/>
          <w:szCs w:val="22"/>
          <w:lang w:val="es-ES"/>
        </w:rPr>
        <w:t>(ii) atención de requerimientos y obligaciones normativas, para el cumplimiento de los procesos de selección, registro, análisis, evaluación, aprobación y gestión de proyectos de APP.</w:t>
      </w:r>
    </w:p>
    <w:p w14:paraId="432B88F2" w14:textId="1BFA3A49" w:rsidR="00F6584F" w:rsidRPr="002C03B2" w:rsidRDefault="00F6584F" w:rsidP="00760463">
      <w:pPr>
        <w:pStyle w:val="ListParagraph"/>
        <w:numPr>
          <w:ilvl w:val="0"/>
          <w:numId w:val="29"/>
        </w:numPr>
        <w:spacing w:before="120"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  <w:lang w:val="es-ES"/>
        </w:rPr>
      </w:pPr>
      <w:r w:rsidRPr="002C03B2">
        <w:rPr>
          <w:rFonts w:ascii="Arial" w:hAnsi="Arial" w:cs="Arial"/>
          <w:b/>
          <w:bCs/>
          <w:sz w:val="22"/>
          <w:szCs w:val="22"/>
          <w:lang w:val="es-ES"/>
        </w:rPr>
        <w:t>Otros costos</w:t>
      </w:r>
      <w:r w:rsidRPr="002C03B2">
        <w:rPr>
          <w:rFonts w:ascii="Arial" w:hAnsi="Arial" w:cs="Arial"/>
          <w:sz w:val="22"/>
          <w:szCs w:val="22"/>
          <w:lang w:val="es-ES"/>
        </w:rPr>
        <w:t xml:space="preserve"> (US$1,</w:t>
      </w:r>
      <w:r w:rsidR="009B272F" w:rsidRPr="002C03B2">
        <w:rPr>
          <w:rFonts w:ascii="Arial" w:hAnsi="Arial" w:cs="Arial"/>
          <w:sz w:val="22"/>
          <w:szCs w:val="22"/>
          <w:lang w:val="es-ES"/>
        </w:rPr>
        <w:t>1</w:t>
      </w:r>
      <w:r w:rsidRPr="002C03B2">
        <w:rPr>
          <w:rFonts w:ascii="Arial" w:hAnsi="Arial" w:cs="Arial"/>
          <w:sz w:val="22"/>
          <w:szCs w:val="22"/>
          <w:lang w:val="es-ES"/>
        </w:rPr>
        <w:t xml:space="preserve"> millones). Gastos administrativos, auditoría y evaluación.  </w:t>
      </w:r>
    </w:p>
    <w:p w14:paraId="3BCA1CF2" w14:textId="45ED96C3" w:rsidR="00320F2C" w:rsidRDefault="00EF79E0" w:rsidP="00760463">
      <w:pPr>
        <w:spacing w:before="120" w:after="120"/>
        <w:ind w:left="567"/>
        <w:jc w:val="both"/>
        <w:rPr>
          <w:rFonts w:ascii="Arial" w:hAnsi="Arial" w:cs="Arial"/>
          <w:sz w:val="22"/>
          <w:szCs w:val="22"/>
        </w:rPr>
      </w:pPr>
      <w:r w:rsidRPr="002C03B2">
        <w:rPr>
          <w:rFonts w:ascii="Arial" w:hAnsi="Arial" w:cs="Arial"/>
          <w:sz w:val="22"/>
          <w:szCs w:val="22"/>
        </w:rPr>
        <w:lastRenderedPageBreak/>
        <w:t>No se efectuará un</w:t>
      </w:r>
      <w:r w:rsidR="00BC7EC8" w:rsidRPr="002C03B2">
        <w:rPr>
          <w:rFonts w:ascii="Arial" w:hAnsi="Arial" w:cs="Arial"/>
          <w:sz w:val="22"/>
          <w:szCs w:val="22"/>
        </w:rPr>
        <w:t xml:space="preserve"> estudio de </w:t>
      </w:r>
      <w:r w:rsidRPr="002C03B2">
        <w:rPr>
          <w:rFonts w:ascii="Arial" w:hAnsi="Arial" w:cs="Arial"/>
          <w:sz w:val="22"/>
          <w:szCs w:val="22"/>
        </w:rPr>
        <w:t xml:space="preserve">evaluación de impacto. </w:t>
      </w:r>
    </w:p>
    <w:p w14:paraId="63850AD2" w14:textId="6DA33D0C" w:rsidR="00690414" w:rsidRPr="00760463" w:rsidRDefault="00690414" w:rsidP="00760463">
      <w:pPr>
        <w:keepNext/>
        <w:spacing w:before="120" w:after="120"/>
        <w:ind w:left="567"/>
        <w:jc w:val="both"/>
        <w:rPr>
          <w:rFonts w:ascii="Arial" w:eastAsiaTheme="minorEastAsia" w:hAnsi="Arial" w:cs="Arial"/>
          <w:b/>
          <w:bCs/>
          <w:sz w:val="22"/>
          <w:szCs w:val="22"/>
          <w:lang w:val="es-ES"/>
        </w:rPr>
      </w:pPr>
      <w:r w:rsidRPr="00690414">
        <w:rPr>
          <w:rFonts w:ascii="Arial" w:hAnsi="Arial" w:cs="Arial"/>
          <w:sz w:val="22"/>
          <w:szCs w:val="22"/>
          <w:lang w:val="es-ES"/>
        </w:rPr>
        <w:t>El</w:t>
      </w:r>
      <w:r w:rsidRPr="00690414">
        <w:rPr>
          <w:rFonts w:ascii="Arial" w:eastAsia="Arial" w:hAnsi="Arial" w:cs="Arial"/>
          <w:sz w:val="22"/>
          <w:szCs w:val="22"/>
          <w:lang w:val="es-ES"/>
        </w:rPr>
        <w:t xml:space="preserve"> desarroll</w:t>
      </w:r>
      <w:r w:rsidR="00F46F39">
        <w:rPr>
          <w:rFonts w:ascii="Arial" w:eastAsia="Arial" w:hAnsi="Arial" w:cs="Arial"/>
          <w:sz w:val="22"/>
          <w:szCs w:val="22"/>
          <w:lang w:val="es-ES"/>
        </w:rPr>
        <w:t>o</w:t>
      </w:r>
      <w:r w:rsidRPr="00690414">
        <w:rPr>
          <w:rFonts w:ascii="Arial" w:eastAsia="Arial" w:hAnsi="Arial" w:cs="Arial"/>
          <w:sz w:val="22"/>
          <w:szCs w:val="22"/>
          <w:lang w:val="es-ES"/>
        </w:rPr>
        <w:t xml:space="preserve"> de la evaluación económica del Programa partió del </w:t>
      </w:r>
      <w:r w:rsidRPr="00690414">
        <w:rPr>
          <w:rFonts w:ascii="Arial" w:eastAsia="Arial" w:hAnsi="Arial" w:cs="Arial"/>
          <w:i/>
          <w:iCs/>
          <w:sz w:val="22"/>
          <w:szCs w:val="22"/>
          <w:lang w:val="es-ES"/>
        </w:rPr>
        <w:t>pipeline</w:t>
      </w:r>
      <w:r w:rsidRPr="00690414">
        <w:rPr>
          <w:rFonts w:ascii="Arial" w:eastAsia="Arial" w:hAnsi="Arial" w:cs="Arial"/>
          <w:sz w:val="22"/>
          <w:szCs w:val="22"/>
          <w:lang w:val="es-ES"/>
        </w:rPr>
        <w:t xml:space="preserve"> de proyectos propuesto por el DNP, en donde se compararon 10 de 23 intervenciones que incluyen las consultorías de mayor valor individual, con información de proyectos similares en objetivo, tamaño y cercanía en el tiempo. Del análisis, se encontró que el programa ahorrará costos de adquisición por reducción de los riesgos a los </w:t>
      </w:r>
      <w:r w:rsidRPr="00760463">
        <w:rPr>
          <w:rFonts w:ascii="Arial" w:eastAsia="Arial" w:hAnsi="Arial" w:cs="Arial"/>
          <w:sz w:val="22"/>
          <w:szCs w:val="22"/>
          <w:lang w:val="es-ES"/>
        </w:rPr>
        <w:t>proponentes, reducción de sus costos de preparación, y mayor competencia en los concursos. En el Componente I, los proyectos de monto inferior a US$200.000 ahorrarán 0,64%, y los de monto mayor o igual a US$200.000 ahorrarán 1,20%. En el Componente II, los proyectos de monto inferior a US$200.000 ahorrarán 0,10% y los de monto mayor o igual a US$200.000 ahorrarán 0,66%. La reducción total de costos en el Componente I y II será de US$100.848 US$3.395, respectivamente, representando un ahorro total de US$104.243, que equivale a un promedio de 1,1% sobre el presupuesto referencial (</w:t>
      </w:r>
      <w:hyperlink r:id="rId11">
        <w:r w:rsidRPr="00760463">
          <w:rPr>
            <w:rStyle w:val="Hyperlink"/>
            <w:rFonts w:ascii="Arial" w:eastAsia="Arial" w:hAnsi="Arial" w:cs="Arial"/>
            <w:sz w:val="22"/>
            <w:szCs w:val="22"/>
            <w:lang w:val="es-ES"/>
          </w:rPr>
          <w:t>EEO#1</w:t>
        </w:r>
      </w:hyperlink>
      <w:r w:rsidRPr="00760463">
        <w:rPr>
          <w:rFonts w:ascii="Arial" w:eastAsia="Arial" w:hAnsi="Arial" w:cs="Arial"/>
          <w:sz w:val="22"/>
          <w:szCs w:val="22"/>
          <w:lang w:val="es-ES"/>
        </w:rPr>
        <w:t>).</w:t>
      </w:r>
    </w:p>
    <w:p w14:paraId="6F10017E" w14:textId="77777777" w:rsidR="00E5346D" w:rsidRPr="00760463" w:rsidRDefault="00B47FE1" w:rsidP="00760463">
      <w:pPr>
        <w:pStyle w:val="ListParagraph"/>
        <w:numPr>
          <w:ilvl w:val="0"/>
          <w:numId w:val="13"/>
        </w:numPr>
        <w:spacing w:before="120" w:after="120"/>
        <w:ind w:left="567" w:hanging="567"/>
        <w:contextualSpacing w:val="0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760463">
        <w:rPr>
          <w:rFonts w:ascii="Arial" w:hAnsi="Arial" w:cs="Arial"/>
          <w:b/>
          <w:bCs/>
          <w:sz w:val="22"/>
          <w:szCs w:val="22"/>
          <w:lang w:val="es-ES"/>
        </w:rPr>
        <w:t>Monitoreo</w:t>
      </w:r>
    </w:p>
    <w:p w14:paraId="082C6B6A" w14:textId="7B99F1A3" w:rsidR="0009514B" w:rsidRPr="00760463" w:rsidRDefault="00E5346D" w:rsidP="00760463">
      <w:pPr>
        <w:spacing w:before="120" w:after="120"/>
        <w:ind w:left="567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760463">
        <w:rPr>
          <w:rFonts w:ascii="Arial" w:hAnsi="Arial" w:cs="Arial"/>
          <w:sz w:val="22"/>
          <w:szCs w:val="22"/>
        </w:rPr>
        <w:t xml:space="preserve">El esquema de monitoreo tiene por objetivo acompañar la ejecución del Programa, la realización de las actividades propuestas y la ejecución física y financiera de los productos. </w:t>
      </w:r>
    </w:p>
    <w:p w14:paraId="67194915" w14:textId="58340E88" w:rsidR="00412917" w:rsidRPr="00760463" w:rsidRDefault="00412917" w:rsidP="00760463">
      <w:pPr>
        <w:pStyle w:val="ListParagraph"/>
        <w:numPr>
          <w:ilvl w:val="1"/>
          <w:numId w:val="13"/>
        </w:numPr>
        <w:spacing w:before="120" w:after="120"/>
        <w:ind w:left="567" w:hanging="567"/>
        <w:contextualSpacing w:val="0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760463">
        <w:rPr>
          <w:rFonts w:ascii="Arial" w:hAnsi="Arial" w:cs="Arial"/>
          <w:b/>
          <w:bCs/>
          <w:sz w:val="22"/>
          <w:szCs w:val="22"/>
          <w:lang w:val="es-ES"/>
        </w:rPr>
        <w:t>Indicadores</w:t>
      </w:r>
    </w:p>
    <w:p w14:paraId="78888E42" w14:textId="7B5F56B3" w:rsidR="003E1F79" w:rsidRPr="002C03B2" w:rsidRDefault="00697AAE" w:rsidP="00760463">
      <w:pPr>
        <w:spacing w:before="120" w:after="120"/>
        <w:ind w:left="567"/>
        <w:jc w:val="both"/>
        <w:rPr>
          <w:rFonts w:ascii="Arial" w:hAnsi="Arial" w:cs="Arial"/>
          <w:sz w:val="22"/>
          <w:szCs w:val="22"/>
          <w:lang w:val="es-ES"/>
        </w:rPr>
        <w:sectPr w:rsidR="003E1F79" w:rsidRPr="002C03B2" w:rsidSect="00894F4A">
          <w:footerReference w:type="default" r:id="rId12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760463">
        <w:rPr>
          <w:rFonts w:ascii="Arial" w:hAnsi="Arial" w:cs="Arial"/>
          <w:sz w:val="22"/>
          <w:szCs w:val="22"/>
          <w:lang w:val="es-ES"/>
        </w:rPr>
        <w:t xml:space="preserve">Se </w:t>
      </w:r>
      <w:r w:rsidR="005A74A8" w:rsidRPr="00760463">
        <w:rPr>
          <w:rFonts w:ascii="Arial" w:hAnsi="Arial" w:cs="Arial"/>
          <w:sz w:val="22"/>
          <w:szCs w:val="22"/>
          <w:lang w:val="es-ES"/>
        </w:rPr>
        <w:t>efectuará el monitoreo de</w:t>
      </w:r>
      <w:r w:rsidR="00872B45" w:rsidRPr="00760463">
        <w:rPr>
          <w:rFonts w:ascii="Arial" w:hAnsi="Arial" w:cs="Arial"/>
          <w:sz w:val="22"/>
          <w:szCs w:val="22"/>
          <w:lang w:val="es-ES"/>
        </w:rPr>
        <w:t xml:space="preserve"> los </w:t>
      </w:r>
      <w:r w:rsidR="00F67E6F" w:rsidRPr="00760463">
        <w:rPr>
          <w:rFonts w:ascii="Arial" w:hAnsi="Arial" w:cs="Arial"/>
          <w:sz w:val="22"/>
          <w:szCs w:val="22"/>
          <w:lang w:val="es-ES"/>
        </w:rPr>
        <w:t xml:space="preserve">objetivos de desarrollo </w:t>
      </w:r>
      <w:r w:rsidR="00E12917" w:rsidRPr="00760463">
        <w:rPr>
          <w:rFonts w:ascii="Arial" w:hAnsi="Arial" w:cs="Arial"/>
          <w:sz w:val="22"/>
          <w:szCs w:val="22"/>
          <w:lang w:val="es-ES"/>
        </w:rPr>
        <w:t xml:space="preserve">general (Tabla 1), </w:t>
      </w:r>
      <w:r w:rsidR="00F67E6F" w:rsidRPr="00760463">
        <w:rPr>
          <w:rFonts w:ascii="Arial" w:hAnsi="Arial" w:cs="Arial"/>
          <w:sz w:val="22"/>
          <w:szCs w:val="22"/>
          <w:lang w:val="es-ES"/>
        </w:rPr>
        <w:t xml:space="preserve">específicos (Tabla </w:t>
      </w:r>
      <w:r w:rsidR="00E12917" w:rsidRPr="00760463">
        <w:rPr>
          <w:rFonts w:ascii="Arial" w:hAnsi="Arial" w:cs="Arial"/>
          <w:sz w:val="22"/>
          <w:szCs w:val="22"/>
          <w:lang w:val="es-ES"/>
        </w:rPr>
        <w:t>2</w:t>
      </w:r>
      <w:r w:rsidR="00F67E6F" w:rsidRPr="00760463">
        <w:rPr>
          <w:rFonts w:ascii="Arial" w:hAnsi="Arial" w:cs="Arial"/>
          <w:sz w:val="22"/>
          <w:szCs w:val="22"/>
          <w:lang w:val="es-ES"/>
        </w:rPr>
        <w:t>)</w:t>
      </w:r>
      <w:r w:rsidR="000338E0" w:rsidRPr="00760463">
        <w:rPr>
          <w:rFonts w:ascii="Arial" w:hAnsi="Arial" w:cs="Arial"/>
          <w:sz w:val="22"/>
          <w:szCs w:val="22"/>
          <w:lang w:val="es-ES"/>
        </w:rPr>
        <w:t>,</w:t>
      </w:r>
      <w:r w:rsidR="00265778" w:rsidRPr="00760463">
        <w:rPr>
          <w:rFonts w:ascii="Arial" w:hAnsi="Arial" w:cs="Arial"/>
          <w:sz w:val="22"/>
          <w:szCs w:val="22"/>
          <w:lang w:val="es-ES"/>
        </w:rPr>
        <w:t xml:space="preserve"> productos</w:t>
      </w:r>
      <w:r w:rsidR="00265778" w:rsidRPr="002C03B2">
        <w:rPr>
          <w:rFonts w:ascii="Arial" w:hAnsi="Arial" w:cs="Arial"/>
          <w:sz w:val="22"/>
          <w:szCs w:val="22"/>
          <w:lang w:val="es-ES"/>
        </w:rPr>
        <w:t xml:space="preserve"> (Tabla </w:t>
      </w:r>
      <w:r w:rsidR="00E12917" w:rsidRPr="002C03B2">
        <w:rPr>
          <w:rFonts w:ascii="Arial" w:hAnsi="Arial" w:cs="Arial"/>
          <w:sz w:val="22"/>
          <w:szCs w:val="22"/>
          <w:lang w:val="es-ES"/>
        </w:rPr>
        <w:t>3</w:t>
      </w:r>
      <w:r w:rsidR="00265778" w:rsidRPr="002C03B2">
        <w:rPr>
          <w:rFonts w:ascii="Arial" w:hAnsi="Arial" w:cs="Arial"/>
          <w:sz w:val="22"/>
          <w:szCs w:val="22"/>
          <w:lang w:val="es-ES"/>
        </w:rPr>
        <w:t>)</w:t>
      </w:r>
      <w:r w:rsidR="000338E0">
        <w:rPr>
          <w:rFonts w:ascii="Arial" w:hAnsi="Arial" w:cs="Arial"/>
          <w:sz w:val="22"/>
          <w:szCs w:val="22"/>
          <w:lang w:val="es-ES"/>
        </w:rPr>
        <w:t xml:space="preserve"> y costos de proyectos (Tabla 4)</w:t>
      </w:r>
      <w:r w:rsidR="00265778" w:rsidRPr="002C03B2">
        <w:rPr>
          <w:rFonts w:ascii="Arial" w:hAnsi="Arial" w:cs="Arial"/>
          <w:sz w:val="22"/>
          <w:szCs w:val="22"/>
          <w:lang w:val="es-ES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702"/>
        <w:gridCol w:w="1100"/>
        <w:gridCol w:w="1249"/>
        <w:gridCol w:w="742"/>
        <w:gridCol w:w="737"/>
        <w:gridCol w:w="741"/>
        <w:gridCol w:w="706"/>
        <w:gridCol w:w="706"/>
        <w:gridCol w:w="917"/>
        <w:gridCol w:w="1178"/>
        <w:gridCol w:w="1228"/>
      </w:tblGrid>
      <w:tr w:rsidR="00637C2F" w:rsidRPr="002C03B2" w14:paraId="2FF10E38" w14:textId="77777777" w:rsidTr="00C20753">
        <w:trPr>
          <w:trHeight w:val="283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0802" w:type="dxa"/>
              <w:tblLook w:val="04A0" w:firstRow="1" w:lastRow="0" w:firstColumn="1" w:lastColumn="0" w:noHBand="0" w:noVBand="1"/>
            </w:tblPr>
            <w:tblGrid>
              <w:gridCol w:w="3152"/>
              <w:gridCol w:w="1690"/>
              <w:gridCol w:w="1197"/>
              <w:gridCol w:w="2205"/>
              <w:gridCol w:w="1023"/>
              <w:gridCol w:w="1802"/>
              <w:gridCol w:w="1711"/>
              <w:gridCol w:w="10"/>
            </w:tblGrid>
            <w:tr w:rsidR="00E12917" w:rsidRPr="000338E0" w14:paraId="23A53D89" w14:textId="77777777" w:rsidTr="000338E0">
              <w:trPr>
                <w:trHeight w:val="283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93FB0F" w14:textId="04108DBE" w:rsidR="00E12917" w:rsidRPr="000338E0" w:rsidRDefault="001944AC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 xml:space="preserve">Tabla 1. </w:t>
                  </w:r>
                  <w:r w:rsidR="00E12917" w:rsidRPr="000338E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</w:rPr>
                    <w:t>Objetivo General de Desarrollo</w:t>
                  </w:r>
                </w:p>
                <w:p w14:paraId="7A477D77" w14:textId="781A1491" w:rsidR="001944AC" w:rsidRPr="000338E0" w:rsidRDefault="001944AC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338E0" w:rsidRPr="000338E0" w14:paraId="11F65754" w14:textId="77777777" w:rsidTr="000338E0">
              <w:trPr>
                <w:gridAfter w:val="1"/>
                <w:wAfter w:w="3" w:type="pct"/>
                <w:trHeight w:val="825"/>
              </w:trPr>
              <w:tc>
                <w:tcPr>
                  <w:tcW w:w="12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15367BA0" w14:textId="77777777" w:rsidR="00E12917" w:rsidRPr="000338E0" w:rsidRDefault="00E12917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Indicadores</w:t>
                  </w:r>
                </w:p>
              </w:tc>
              <w:tc>
                <w:tcPr>
                  <w:tcW w:w="6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66316E35" w14:textId="77777777" w:rsidR="00E12917" w:rsidRPr="000338E0" w:rsidRDefault="00E12917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Unidad de Medida</w:t>
                  </w:r>
                </w:p>
              </w:tc>
              <w:tc>
                <w:tcPr>
                  <w:tcW w:w="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115DD33B" w14:textId="77777777" w:rsidR="00E12917" w:rsidRPr="000338E0" w:rsidRDefault="00E12917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Línea de Base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577D2818" w14:textId="77777777" w:rsidR="00E12917" w:rsidRPr="000338E0" w:rsidRDefault="00E12917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Año esperado para el Logro</w:t>
                  </w:r>
                </w:p>
              </w:tc>
              <w:tc>
                <w:tcPr>
                  <w:tcW w:w="3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7777FA41" w14:textId="77777777" w:rsidR="00E12917" w:rsidRPr="000338E0" w:rsidRDefault="00E12917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 xml:space="preserve">Meta </w:t>
                  </w:r>
                </w:p>
              </w:tc>
              <w:tc>
                <w:tcPr>
                  <w:tcW w:w="7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50C89223" w14:textId="77777777" w:rsidR="00E12917" w:rsidRPr="000338E0" w:rsidRDefault="00E12917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Medios de Verificación</w:t>
                  </w:r>
                </w:p>
              </w:tc>
              <w:tc>
                <w:tcPr>
                  <w:tcW w:w="66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399B32BD" w14:textId="77777777" w:rsidR="00E12917" w:rsidRPr="000338E0" w:rsidRDefault="00E12917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Comentarios</w:t>
                  </w:r>
                </w:p>
              </w:tc>
            </w:tr>
            <w:tr w:rsidR="00E12917" w:rsidRPr="000338E0" w14:paraId="14A1842D" w14:textId="77777777" w:rsidTr="000338E0">
              <w:trPr>
                <w:trHeight w:val="283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3280DCC0" w14:textId="6DF11AE8" w:rsidR="00E12917" w:rsidRPr="000338E0" w:rsidRDefault="00E12917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 xml:space="preserve">Objetivo general de desarrollo: </w:t>
                  </w:r>
                  <w:r w:rsidR="0002749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A</w:t>
                  </w:r>
                  <w:r w:rsidR="0002749D" w:rsidRPr="0002749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poyar y promover la participación privada en el desarrollo de infraestructura pública y prestación de sus servicios asociados en el país</w:t>
                  </w:r>
                </w:p>
              </w:tc>
            </w:tr>
            <w:tr w:rsidR="00E12917" w:rsidRPr="000338E0" w14:paraId="6C9C401E" w14:textId="77777777" w:rsidTr="005D692B">
              <w:trPr>
                <w:gridAfter w:val="1"/>
                <w:wAfter w:w="3" w:type="pct"/>
                <w:trHeight w:val="555"/>
              </w:trPr>
              <w:tc>
                <w:tcPr>
                  <w:tcW w:w="12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585E55" w14:textId="77777777" w:rsidR="00E12917" w:rsidRPr="000338E0" w:rsidRDefault="00E12917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Proyectos de participación privada adjudicados para la provisión de infraestructura y prestación de servicios en los sectores de infraestructura económica y social</w:t>
                  </w:r>
                </w:p>
              </w:tc>
              <w:tc>
                <w:tcPr>
                  <w:tcW w:w="6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27AE42" w14:textId="77777777" w:rsidR="00E12917" w:rsidRPr="000338E0" w:rsidRDefault="00E12917" w:rsidP="005D692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#</w:t>
                  </w:r>
                </w:p>
              </w:tc>
              <w:tc>
                <w:tcPr>
                  <w:tcW w:w="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83340F" w14:textId="77777777" w:rsidR="00E12917" w:rsidRPr="000338E0" w:rsidRDefault="00E12917" w:rsidP="005D692B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FD1868" w14:textId="77777777" w:rsidR="00E12917" w:rsidRPr="000338E0" w:rsidRDefault="00E12917" w:rsidP="005D692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3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9E1258" w14:textId="790F40BA" w:rsidR="00E12917" w:rsidRPr="000338E0" w:rsidRDefault="00E12917" w:rsidP="005D692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327529" w14:textId="5933155B" w:rsidR="00E12917" w:rsidRPr="000338E0" w:rsidRDefault="00E12917" w:rsidP="005D692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SECOP</w:t>
                  </w:r>
                </w:p>
              </w:tc>
              <w:tc>
                <w:tcPr>
                  <w:tcW w:w="66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75A33B" w14:textId="77777777" w:rsidR="00E12917" w:rsidRDefault="00E12917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 Se tendrán en cuenta todos los proyectos de APP adjudicados a nivel nacional.</w:t>
                  </w:r>
                </w:p>
                <w:p w14:paraId="709C3B67" w14:textId="77777777" w:rsidR="004E57A5" w:rsidRDefault="004E57A5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</w:pPr>
                </w:p>
                <w:p w14:paraId="2EC592C4" w14:textId="11C5E985" w:rsidR="002D7EC9" w:rsidRPr="000338E0" w:rsidRDefault="002D7EC9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A449C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  <w:t>Responsable: DNP</w:t>
                  </w:r>
                </w:p>
              </w:tc>
            </w:tr>
          </w:tbl>
          <w:p w14:paraId="4D85DDD3" w14:textId="77777777" w:rsidR="003741C0" w:rsidRPr="000338E0" w:rsidRDefault="003741C0" w:rsidP="000338E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2173"/>
              <w:gridCol w:w="1264"/>
              <w:gridCol w:w="1202"/>
              <w:gridCol w:w="716"/>
              <w:gridCol w:w="716"/>
              <w:gridCol w:w="716"/>
              <w:gridCol w:w="752"/>
              <w:gridCol w:w="716"/>
              <w:gridCol w:w="1151"/>
              <w:gridCol w:w="1716"/>
              <w:gridCol w:w="1668"/>
            </w:tblGrid>
            <w:tr w:rsidR="00B8177E" w:rsidRPr="000338E0" w14:paraId="39CFBC0C" w14:textId="77777777" w:rsidTr="000338E0">
              <w:trPr>
                <w:trHeight w:val="283"/>
              </w:trPr>
              <w:tc>
                <w:tcPr>
                  <w:tcW w:w="5000" w:type="pct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C2448D" w14:textId="31503835" w:rsidR="00B8177E" w:rsidRPr="000338E0" w:rsidRDefault="00B8177E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val="es-ES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val="es-ES"/>
                    </w:rPr>
                    <w:t>Tabla 2. Objetivos de Desarrollo Específicos</w:t>
                  </w:r>
                </w:p>
                <w:p w14:paraId="56116BEA" w14:textId="77777777" w:rsidR="00B8177E" w:rsidRPr="000338E0" w:rsidRDefault="00B8177E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51CCD337" w14:textId="77777777" w:rsidR="00B8177E" w:rsidRPr="000338E0" w:rsidRDefault="00B8177E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338E0" w:rsidRPr="000338E0" w14:paraId="333971F7" w14:textId="77777777" w:rsidTr="000338E0">
              <w:trPr>
                <w:trHeight w:val="498"/>
              </w:trPr>
              <w:tc>
                <w:tcPr>
                  <w:tcW w:w="8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716DF4BE" w14:textId="77777777" w:rsidR="000338E0" w:rsidRPr="000338E0" w:rsidRDefault="000338E0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Indicadores</w:t>
                  </w:r>
                </w:p>
              </w:tc>
              <w:tc>
                <w:tcPr>
                  <w:tcW w:w="4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22531BCE" w14:textId="77777777" w:rsidR="000338E0" w:rsidRPr="000338E0" w:rsidRDefault="000338E0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Unidad de Medida</w:t>
                  </w: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695E6E32" w14:textId="77777777" w:rsidR="000338E0" w:rsidRPr="000338E0" w:rsidRDefault="000338E0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Línea de Base</w:t>
                  </w:r>
                </w:p>
              </w:tc>
              <w:tc>
                <w:tcPr>
                  <w:tcW w:w="2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66B6757D" w14:textId="4B995318" w:rsidR="000338E0" w:rsidRPr="000338E0" w:rsidRDefault="000338E0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2022</w:t>
                  </w:r>
                </w:p>
              </w:tc>
              <w:tc>
                <w:tcPr>
                  <w:tcW w:w="2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00C629E2" w14:textId="5CC7A813" w:rsidR="000338E0" w:rsidRPr="000338E0" w:rsidRDefault="000338E0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2023</w:t>
                  </w:r>
                </w:p>
              </w:tc>
              <w:tc>
                <w:tcPr>
                  <w:tcW w:w="2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4D41850A" w14:textId="5F58570F" w:rsidR="000338E0" w:rsidRPr="000338E0" w:rsidRDefault="000338E0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2024</w:t>
                  </w:r>
                </w:p>
              </w:tc>
              <w:tc>
                <w:tcPr>
                  <w:tcW w:w="2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6599A47A" w14:textId="2F145C30" w:rsidR="000338E0" w:rsidRPr="000338E0" w:rsidRDefault="000338E0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2025</w:t>
                  </w:r>
                </w:p>
              </w:tc>
              <w:tc>
                <w:tcPr>
                  <w:tcW w:w="2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5247CB70" w14:textId="0CD5BCE2" w:rsidR="000338E0" w:rsidRPr="000338E0" w:rsidRDefault="000338E0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2026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27546FD7" w14:textId="77777777" w:rsidR="000338E0" w:rsidRPr="000338E0" w:rsidRDefault="000338E0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Fin del Proyecto</w:t>
                  </w:r>
                </w:p>
              </w:tc>
              <w:tc>
                <w:tcPr>
                  <w:tcW w:w="67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6D535103" w14:textId="77777777" w:rsidR="000338E0" w:rsidRPr="000338E0" w:rsidRDefault="000338E0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Medios de Verificación</w:t>
                  </w:r>
                </w:p>
              </w:tc>
              <w:tc>
                <w:tcPr>
                  <w:tcW w:w="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3057CBFD" w14:textId="77777777" w:rsidR="000338E0" w:rsidRPr="000338E0" w:rsidRDefault="000338E0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Comentarios</w:t>
                  </w:r>
                </w:p>
              </w:tc>
            </w:tr>
            <w:tr w:rsidR="00B8177E" w:rsidRPr="000338E0" w14:paraId="25EC9BEF" w14:textId="77777777" w:rsidTr="000338E0">
              <w:trPr>
                <w:trHeight w:val="283"/>
              </w:trPr>
              <w:tc>
                <w:tcPr>
                  <w:tcW w:w="5000" w:type="pct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vAlign w:val="center"/>
                  <w:hideMark/>
                </w:tcPr>
                <w:p w14:paraId="3DD5EE64" w14:textId="77777777" w:rsidR="00B8177E" w:rsidRPr="000338E0" w:rsidRDefault="00B8177E" w:rsidP="000338E0">
                  <w:pPr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Objetivo específico de desarrollo 1: </w:t>
                  </w: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Reforzar el proceso de estructuración y financiamiento de proyectos de participación privada en las áreas de infraestructura económica y social</w:t>
                  </w:r>
                </w:p>
                <w:p w14:paraId="53274E1D" w14:textId="77777777" w:rsidR="00B8177E" w:rsidRPr="000338E0" w:rsidRDefault="00B8177E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</w:pPr>
                </w:p>
              </w:tc>
            </w:tr>
            <w:tr w:rsidR="00BE4302" w:rsidRPr="000338E0" w14:paraId="0E303F26" w14:textId="77777777" w:rsidTr="000338E0">
              <w:trPr>
                <w:trHeight w:val="258"/>
              </w:trPr>
              <w:tc>
                <w:tcPr>
                  <w:tcW w:w="84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26DACC" w14:textId="1C12E0E9" w:rsidR="00BE4302" w:rsidRPr="000338E0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 xml:space="preserve">Proyectos de participación privada abiertos al mercado </w:t>
                  </w: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para precalificación, prepliegos o participación de terceros</w:t>
                  </w: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 xml:space="preserve"> para la provisión de infraestructura y prestación de servicios en los sectores de infraestructura económica y social</w:t>
                  </w:r>
                </w:p>
              </w:tc>
              <w:tc>
                <w:tcPr>
                  <w:tcW w:w="4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A475B6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#</w:t>
                  </w:r>
                </w:p>
              </w:tc>
              <w:tc>
                <w:tcPr>
                  <w:tcW w:w="4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44AA67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0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49E3D8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0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B6B8AD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0 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D78B34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0 </w:t>
                  </w:r>
                </w:p>
              </w:tc>
              <w:tc>
                <w:tcPr>
                  <w:tcW w:w="2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04393D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1 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14897D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1 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EB6051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2 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DAF073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SECOP </w:t>
                  </w:r>
                </w:p>
              </w:tc>
              <w:tc>
                <w:tcPr>
                  <w:tcW w:w="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9724FC" w14:textId="77777777" w:rsidR="00BE4302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Se tendrán en cuenta todos los proyectos de APP publicados para precalificación, prepliegos o participación de terceros a nivel nacional.</w:t>
                  </w:r>
                </w:p>
                <w:p w14:paraId="1A79B241" w14:textId="77777777" w:rsidR="002D7EC9" w:rsidRDefault="002D7EC9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  <w:p w14:paraId="5D472A57" w14:textId="49B831B8" w:rsidR="002D7EC9" w:rsidRPr="000338E0" w:rsidRDefault="002D7EC9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A449C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  <w:t>Responsable: DNP</w:t>
                  </w:r>
                </w:p>
              </w:tc>
            </w:tr>
            <w:tr w:rsidR="00BE4302" w:rsidRPr="000338E0" w14:paraId="6FACFDE0" w14:textId="77777777" w:rsidTr="000338E0">
              <w:trPr>
                <w:trHeight w:val="283"/>
              </w:trPr>
              <w:tc>
                <w:tcPr>
                  <w:tcW w:w="5000" w:type="pct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vAlign w:val="center"/>
                  <w:hideMark/>
                </w:tcPr>
                <w:p w14:paraId="6BF34BBA" w14:textId="77777777" w:rsidR="00BE4302" w:rsidRPr="000338E0" w:rsidRDefault="00BE4302" w:rsidP="000338E0">
                  <w:pPr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lastRenderedPageBreak/>
                    <w:t xml:space="preserve">Objetivo específico de desarrollo 2: </w:t>
                  </w: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Fortalecer la institucionalidad en torno a la consolidación de los mecanismos de participación privada.</w:t>
                  </w:r>
                </w:p>
              </w:tc>
            </w:tr>
            <w:tr w:rsidR="00BE4302" w:rsidRPr="000338E0" w14:paraId="4C89AC8A" w14:textId="77777777" w:rsidTr="000338E0">
              <w:trPr>
                <w:trHeight w:val="283"/>
              </w:trPr>
              <w:tc>
                <w:tcPr>
                  <w:tcW w:w="84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947C60" w14:textId="77777777" w:rsidR="00BE4302" w:rsidRPr="000338E0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Proyectos de participación privada estructurados que pasen a Fase II para la provisión de infraestructura y prestación de servicios en los sectores de infraestructura económica y social</w:t>
                  </w:r>
                </w:p>
              </w:tc>
              <w:tc>
                <w:tcPr>
                  <w:tcW w:w="4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744E69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#</w:t>
                  </w:r>
                </w:p>
              </w:tc>
              <w:tc>
                <w:tcPr>
                  <w:tcW w:w="4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BE6E95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0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A53D24" w14:textId="417C3B5E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278764" w14:textId="55FE672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81BDCE" w14:textId="1BC8337D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5B3D56" w14:textId="6A6C0099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4CDA3F" w14:textId="4C5FE4A5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5D59BC" w14:textId="15D35979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4859A3" w14:textId="77777777" w:rsidR="00BE4302" w:rsidRPr="000338E0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 Se medirá con las cartas de aprobación recibidas por parte de la entidad concedente</w:t>
                  </w:r>
                </w:p>
              </w:tc>
              <w:tc>
                <w:tcPr>
                  <w:tcW w:w="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A3A1FA" w14:textId="68EBE83B" w:rsidR="00BE4302" w:rsidRPr="000338E0" w:rsidRDefault="002D7EC9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A449C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  <w:t>Responsable: DNP</w:t>
                  </w:r>
                </w:p>
              </w:tc>
            </w:tr>
            <w:tr w:rsidR="000338E0" w:rsidRPr="000338E0" w14:paraId="0E658415" w14:textId="77777777" w:rsidTr="000338E0">
              <w:trPr>
                <w:trHeight w:val="283"/>
              </w:trPr>
              <w:tc>
                <w:tcPr>
                  <w:tcW w:w="84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8AD173A" w14:textId="77777777" w:rsidR="00BE4302" w:rsidRPr="000338E0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 </w:t>
                  </w:r>
                </w:p>
              </w:tc>
              <w:tc>
                <w:tcPr>
                  <w:tcW w:w="49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360F7E5" w14:textId="77777777" w:rsidR="00BE4302" w:rsidRPr="000338E0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 </w:t>
                  </w:r>
                </w:p>
              </w:tc>
              <w:tc>
                <w:tcPr>
                  <w:tcW w:w="4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A12CE47" w14:textId="77777777" w:rsidR="00BE4302" w:rsidRPr="000338E0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 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E805B92" w14:textId="77777777" w:rsidR="00BE4302" w:rsidRPr="000338E0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 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D45F1D1" w14:textId="77777777" w:rsidR="00BE4302" w:rsidRPr="000338E0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 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F5AA97B" w14:textId="77777777" w:rsidR="00BE4302" w:rsidRPr="000338E0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 </w:t>
                  </w:r>
                </w:p>
              </w:tc>
              <w:tc>
                <w:tcPr>
                  <w:tcW w:w="29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424A341" w14:textId="77777777" w:rsidR="00BE4302" w:rsidRPr="000338E0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 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C97F112" w14:textId="77777777" w:rsidR="00BE4302" w:rsidRPr="000338E0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 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C080E24" w14:textId="77777777" w:rsidR="00BE4302" w:rsidRPr="000338E0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 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C13434F" w14:textId="77777777" w:rsidR="00BE4302" w:rsidRPr="000338E0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 </w:t>
                  </w:r>
                </w:p>
              </w:tc>
              <w:tc>
                <w:tcPr>
                  <w:tcW w:w="65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A0A0B70" w14:textId="77777777" w:rsidR="00BE4302" w:rsidRPr="000338E0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 </w:t>
                  </w:r>
                </w:p>
              </w:tc>
            </w:tr>
            <w:tr w:rsidR="00BE4302" w:rsidRPr="000338E0" w14:paraId="08817BD8" w14:textId="77777777" w:rsidTr="00C20753">
              <w:trPr>
                <w:trHeight w:val="283"/>
              </w:trPr>
              <w:tc>
                <w:tcPr>
                  <w:tcW w:w="5000" w:type="pct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28C427" w14:textId="435E773B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</w:rPr>
                    <w:t>Tabla 3. Productos</w:t>
                  </w:r>
                </w:p>
                <w:p w14:paraId="1A10F99D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6788DC8A" w14:textId="0B7CF0A6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338E0" w:rsidRPr="000338E0" w14:paraId="316B1760" w14:textId="77777777" w:rsidTr="000338E0">
              <w:trPr>
                <w:trHeight w:val="498"/>
              </w:trPr>
              <w:tc>
                <w:tcPr>
                  <w:tcW w:w="8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6A78BB8C" w14:textId="77777777" w:rsidR="00A755F9" w:rsidRPr="000338E0" w:rsidRDefault="00A755F9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Indicadores</w:t>
                  </w:r>
                </w:p>
              </w:tc>
              <w:tc>
                <w:tcPr>
                  <w:tcW w:w="4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34BFDEE6" w14:textId="77777777" w:rsidR="00A755F9" w:rsidRPr="000338E0" w:rsidRDefault="00A755F9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Unidad de Medida</w:t>
                  </w: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3FD6ECC1" w14:textId="77777777" w:rsidR="00A755F9" w:rsidRPr="000338E0" w:rsidRDefault="00A755F9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Línea de Base</w:t>
                  </w:r>
                </w:p>
              </w:tc>
              <w:tc>
                <w:tcPr>
                  <w:tcW w:w="2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334581BB" w14:textId="1C1EAFCA" w:rsidR="00A755F9" w:rsidRPr="000338E0" w:rsidRDefault="00A755F9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2022</w:t>
                  </w:r>
                </w:p>
              </w:tc>
              <w:tc>
                <w:tcPr>
                  <w:tcW w:w="2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0C8E9FB4" w14:textId="2BACD181" w:rsidR="00A755F9" w:rsidRPr="000338E0" w:rsidRDefault="00A755F9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2023</w:t>
                  </w:r>
                </w:p>
              </w:tc>
              <w:tc>
                <w:tcPr>
                  <w:tcW w:w="2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56917BC7" w14:textId="08374D47" w:rsidR="00A755F9" w:rsidRPr="000338E0" w:rsidRDefault="00A755F9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2024</w:t>
                  </w:r>
                </w:p>
              </w:tc>
              <w:tc>
                <w:tcPr>
                  <w:tcW w:w="2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264674C2" w14:textId="26C855D2" w:rsidR="00A755F9" w:rsidRPr="000338E0" w:rsidRDefault="00A755F9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2025</w:t>
                  </w:r>
                </w:p>
              </w:tc>
              <w:tc>
                <w:tcPr>
                  <w:tcW w:w="2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77FA0CCA" w14:textId="534C4BB2" w:rsidR="00A755F9" w:rsidRPr="000338E0" w:rsidRDefault="00A755F9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2026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4EC9AB2D" w14:textId="77777777" w:rsidR="00A755F9" w:rsidRPr="000338E0" w:rsidRDefault="00A755F9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Fin del Proyecto</w:t>
                  </w:r>
                </w:p>
              </w:tc>
              <w:tc>
                <w:tcPr>
                  <w:tcW w:w="67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29B8B8B0" w14:textId="77777777" w:rsidR="00A755F9" w:rsidRPr="000338E0" w:rsidRDefault="00A755F9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Medios de Verificación</w:t>
                  </w:r>
                </w:p>
              </w:tc>
              <w:tc>
                <w:tcPr>
                  <w:tcW w:w="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2E91FB86" w14:textId="77777777" w:rsidR="00A755F9" w:rsidRPr="000338E0" w:rsidRDefault="00A755F9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Comentarios</w:t>
                  </w:r>
                </w:p>
              </w:tc>
            </w:tr>
            <w:tr w:rsidR="00BE4302" w:rsidRPr="000338E0" w14:paraId="04670045" w14:textId="77777777" w:rsidTr="000338E0">
              <w:trPr>
                <w:trHeight w:val="283"/>
              </w:trPr>
              <w:tc>
                <w:tcPr>
                  <w:tcW w:w="5000" w:type="pct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hideMark/>
                </w:tcPr>
                <w:p w14:paraId="746C9397" w14:textId="77777777" w:rsidR="00BE4302" w:rsidRPr="000338E0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Componente 1</w:t>
                  </w: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: Fomento de la participación privada</w:t>
                  </w:r>
                </w:p>
              </w:tc>
            </w:tr>
            <w:tr w:rsidR="00BE4302" w:rsidRPr="000338E0" w14:paraId="1C8259BB" w14:textId="77777777" w:rsidTr="00B31472">
              <w:trPr>
                <w:trHeight w:val="258"/>
              </w:trPr>
              <w:tc>
                <w:tcPr>
                  <w:tcW w:w="84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8206A4" w14:textId="77777777" w:rsidR="00BE4302" w:rsidRPr="000338E0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Estudios técnicos y normativos para el fomento de la participación privada en infraestructura finalizados</w:t>
                  </w:r>
                </w:p>
              </w:tc>
              <w:tc>
                <w:tcPr>
                  <w:tcW w:w="4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45CEE4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#</w:t>
                  </w:r>
                </w:p>
              </w:tc>
              <w:tc>
                <w:tcPr>
                  <w:tcW w:w="4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0A7D83" w14:textId="3100BFCF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5B8665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368AE9" w14:textId="04976C79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72BA15" w14:textId="40290FB6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31322A" w14:textId="024C83FA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2E9DC1" w14:textId="4C6FAC8A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37EBA4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6</w:t>
                  </w:r>
                </w:p>
                <w:p w14:paraId="3F57B7BD" w14:textId="733B161B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309A3D" w14:textId="77777777" w:rsidR="00BE4302" w:rsidRPr="000338E0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Productos finales </w:t>
                  </w:r>
                </w:p>
              </w:tc>
              <w:tc>
                <w:tcPr>
                  <w:tcW w:w="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99E211" w14:textId="3D391F30" w:rsidR="00BE4302" w:rsidRPr="000338E0" w:rsidRDefault="002D7EC9" w:rsidP="00B31472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449C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  <w:t>Responsable: DNP</w:t>
                  </w:r>
                </w:p>
              </w:tc>
            </w:tr>
            <w:tr w:rsidR="00BE4302" w:rsidRPr="000338E0" w14:paraId="4DF27F28" w14:textId="77777777" w:rsidTr="00B31472">
              <w:trPr>
                <w:trHeight w:val="258"/>
              </w:trPr>
              <w:tc>
                <w:tcPr>
                  <w:tcW w:w="84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B90D36" w14:textId="77777777" w:rsidR="00BE4302" w:rsidRPr="000338E0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Estudios relacionados con</w:t>
                  </w:r>
                  <w:r w:rsidRPr="000338E0"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  <w:t xml:space="preserve"> preinversión o inversión</w:t>
                  </w: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 xml:space="preserve"> de proyectos de participación privada finalizados</w:t>
                  </w:r>
                </w:p>
              </w:tc>
              <w:tc>
                <w:tcPr>
                  <w:tcW w:w="4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3CA5E4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#</w:t>
                  </w:r>
                </w:p>
              </w:tc>
              <w:tc>
                <w:tcPr>
                  <w:tcW w:w="4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D28869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3D39B6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15F440" w14:textId="7AC7A492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B6D583" w14:textId="58016056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CA3562" w14:textId="47D9A14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25BC12" w14:textId="030CF910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351011" w14:textId="23BB8D3E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B627A0" w14:textId="77777777" w:rsidR="00BE4302" w:rsidRPr="000338E0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Productos finales</w:t>
                  </w:r>
                </w:p>
              </w:tc>
              <w:tc>
                <w:tcPr>
                  <w:tcW w:w="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1B21F6" w14:textId="536E42A9" w:rsidR="00BE4302" w:rsidRPr="000338E0" w:rsidRDefault="002D7EC9" w:rsidP="00B31472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449C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  <w:t>Responsable: DNP</w:t>
                  </w:r>
                </w:p>
              </w:tc>
            </w:tr>
            <w:tr w:rsidR="00BE4302" w:rsidRPr="000338E0" w14:paraId="3A3D50E6" w14:textId="77777777" w:rsidTr="000338E0">
              <w:trPr>
                <w:trHeight w:val="283"/>
              </w:trPr>
              <w:tc>
                <w:tcPr>
                  <w:tcW w:w="5000" w:type="pct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hideMark/>
                </w:tcPr>
                <w:p w14:paraId="6B05027C" w14:textId="77777777" w:rsidR="00BE4302" w:rsidRPr="000338E0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Componente 2: Fortalecimiento de entidades públicas potencialmente concedentes</w:t>
                  </w:r>
                </w:p>
              </w:tc>
            </w:tr>
            <w:tr w:rsidR="00BE4302" w:rsidRPr="000338E0" w14:paraId="03A75627" w14:textId="77777777" w:rsidTr="000338E0">
              <w:trPr>
                <w:trHeight w:val="283"/>
              </w:trPr>
              <w:tc>
                <w:tcPr>
                  <w:tcW w:w="84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555926" w14:textId="77777777" w:rsidR="00BE4302" w:rsidRPr="000338E0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 xml:space="preserve">Personas capacitadas de entidades territoriales sobre esquemas de </w:t>
                  </w: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lastRenderedPageBreak/>
                    <w:t>participación privada en infraestructura</w:t>
                  </w:r>
                </w:p>
              </w:tc>
              <w:tc>
                <w:tcPr>
                  <w:tcW w:w="4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49FF97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lastRenderedPageBreak/>
                    <w:t>#</w:t>
                  </w:r>
                </w:p>
              </w:tc>
              <w:tc>
                <w:tcPr>
                  <w:tcW w:w="4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DF1633" w14:textId="5701D156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639444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3BEA91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0338E0">
                    <w:rPr>
                      <w:rFonts w:ascii="Arial" w:hAnsi="Arial" w:cs="Arial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A28BE0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0338E0">
                    <w:rPr>
                      <w:rFonts w:ascii="Arial" w:hAnsi="Arial" w:cs="Arial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2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DCE9FD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0338E0">
                    <w:rPr>
                      <w:rFonts w:ascii="Arial" w:hAnsi="Arial" w:cs="Arial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09720A" w14:textId="7BC8B5EB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68CF63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600</w:t>
                  </w:r>
                </w:p>
                <w:p w14:paraId="48E8D611" w14:textId="5DF7E4DE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MOOC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69207F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  <w:p w14:paraId="07106535" w14:textId="77777777" w:rsidR="00BE4302" w:rsidRPr="000338E0" w:rsidRDefault="00BE4302" w:rsidP="004E57A5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Certificaciones y listados de asistencia de las </w:t>
                  </w: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lastRenderedPageBreak/>
                    <w:t>capacitaciones de DNP </w:t>
                  </w:r>
                </w:p>
              </w:tc>
              <w:tc>
                <w:tcPr>
                  <w:tcW w:w="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1302F2" w14:textId="48003F83" w:rsidR="009F266F" w:rsidRPr="00FC2257" w:rsidRDefault="009F266F" w:rsidP="009F266F">
                  <w:pPr>
                    <w:contextualSpacing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</w:pPr>
                  <w:r w:rsidRPr="00D43AF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  <w:lastRenderedPageBreak/>
                    <w:t xml:space="preserve">Por medio de </w:t>
                  </w:r>
                  <w:r w:rsidRPr="00FC22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  <w:t>MOOC.</w:t>
                  </w:r>
                </w:p>
                <w:p w14:paraId="6764A480" w14:textId="77777777" w:rsidR="009F266F" w:rsidRPr="00D43AF3" w:rsidRDefault="009F266F" w:rsidP="009F266F">
                  <w:pPr>
                    <w:contextualSpacing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</w:pPr>
                </w:p>
                <w:p w14:paraId="1B075728" w14:textId="1B07B13F" w:rsidR="00BE4302" w:rsidRPr="000338E0" w:rsidRDefault="009F266F" w:rsidP="009F266F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s-CO"/>
                    </w:rPr>
                  </w:pPr>
                  <w:r w:rsidRPr="00D43AF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  <w:t>Responsable: DNP</w:t>
                  </w:r>
                </w:p>
              </w:tc>
            </w:tr>
            <w:tr w:rsidR="00BE4302" w:rsidRPr="000338E0" w14:paraId="7F43A2B9" w14:textId="77777777" w:rsidTr="000338E0">
              <w:trPr>
                <w:trHeight w:val="283"/>
              </w:trPr>
              <w:tc>
                <w:tcPr>
                  <w:tcW w:w="84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A0C79F" w14:textId="77777777" w:rsidR="00BE4302" w:rsidRPr="000338E0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Personas capacitadas de entidades nacionales sobre esquemas de participación privada en infraestructura</w:t>
                  </w:r>
                </w:p>
              </w:tc>
              <w:tc>
                <w:tcPr>
                  <w:tcW w:w="4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16F41B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#</w:t>
                  </w:r>
                </w:p>
              </w:tc>
              <w:tc>
                <w:tcPr>
                  <w:tcW w:w="4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9F8561" w14:textId="0A13F31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CC9E59" w14:textId="3A61760C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E39A70" w14:textId="47FA8925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0338E0">
                    <w:rPr>
                      <w:rFonts w:ascii="Arial" w:hAnsi="Arial" w:cs="Arial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A8C049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0338E0">
                    <w:rPr>
                      <w:rFonts w:ascii="Arial" w:hAnsi="Arial" w:cs="Arial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2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E58543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0338E0">
                    <w:rPr>
                      <w:rFonts w:ascii="Arial" w:hAnsi="Arial" w:cs="Arial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3645E4" w14:textId="716C21A9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23FA8B" w14:textId="5C544CB3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310</w:t>
                  </w:r>
                </w:p>
                <w:p w14:paraId="034F819E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MOOC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C2C29B9" w14:textId="77777777" w:rsidR="00BE4302" w:rsidRPr="000338E0" w:rsidRDefault="00BE4302" w:rsidP="004E57A5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  <w:p w14:paraId="65494ED6" w14:textId="77777777" w:rsidR="00BE4302" w:rsidRPr="000338E0" w:rsidRDefault="00BE4302" w:rsidP="004E57A5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Certificaciones y listados de asistencia de las capacitaciones de DNP </w:t>
                  </w:r>
                </w:p>
              </w:tc>
              <w:tc>
                <w:tcPr>
                  <w:tcW w:w="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CC8072" w14:textId="4C915091" w:rsidR="009F266F" w:rsidRPr="00FC2257" w:rsidRDefault="009F266F" w:rsidP="009F266F">
                  <w:pPr>
                    <w:contextualSpacing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</w:pPr>
                  <w:r w:rsidRPr="00D43AF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  <w:t xml:space="preserve">Por medio de </w:t>
                  </w:r>
                  <w:r w:rsidRPr="00FC22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  <w:t>MOOC.</w:t>
                  </w:r>
                </w:p>
                <w:p w14:paraId="2F6867D6" w14:textId="77777777" w:rsidR="009F266F" w:rsidRPr="00D43AF3" w:rsidRDefault="009F266F" w:rsidP="009F266F">
                  <w:pPr>
                    <w:contextualSpacing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</w:pPr>
                </w:p>
                <w:p w14:paraId="4862542A" w14:textId="53644F16" w:rsidR="00BE4302" w:rsidRPr="000338E0" w:rsidRDefault="009F266F" w:rsidP="009F266F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s-CO"/>
                    </w:rPr>
                  </w:pPr>
                  <w:r w:rsidRPr="00D43AF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  <w:t>Responsable: DNP</w:t>
                  </w:r>
                </w:p>
              </w:tc>
            </w:tr>
            <w:tr w:rsidR="00BE4302" w:rsidRPr="000338E0" w14:paraId="67B5EA93" w14:textId="77777777" w:rsidTr="00DE2A91">
              <w:trPr>
                <w:trHeight w:val="283"/>
              </w:trPr>
              <w:tc>
                <w:tcPr>
                  <w:tcW w:w="84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0C6A0BF" w14:textId="77777777" w:rsidR="00BE4302" w:rsidRPr="000338E0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Estudios relacionados con aspectos institucionales para promover la participación privada finalizados</w:t>
                  </w:r>
                </w:p>
              </w:tc>
              <w:tc>
                <w:tcPr>
                  <w:tcW w:w="4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119DDF" w14:textId="77777777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#</w:t>
                  </w:r>
                </w:p>
              </w:tc>
              <w:tc>
                <w:tcPr>
                  <w:tcW w:w="4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1952A3" w14:textId="290F560E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8CE5EF" w14:textId="4C65278F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A520C9" w14:textId="5FAB75EF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4C23CE" w14:textId="4FD83B9F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34485B" w14:textId="35742EE2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BEBC02" w14:textId="45377210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8B93D6" w14:textId="7B1FA11B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775234" w14:textId="42CDCCE8" w:rsidR="00BE4302" w:rsidRPr="000338E0" w:rsidRDefault="00BE4302" w:rsidP="00DE2A9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Estudio finalizado</w:t>
                  </w:r>
                </w:p>
              </w:tc>
              <w:tc>
                <w:tcPr>
                  <w:tcW w:w="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770F94" w14:textId="77777777" w:rsidR="00BE4302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Análisis y diseño de la </w:t>
                  </w:r>
                  <w:r w:rsidR="000338E0"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estructura</w:t>
                  </w: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 institucional requerida para </w:t>
                  </w:r>
                  <w:r w:rsidR="000338E0"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promover</w:t>
                  </w: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 la participación privada en los proyectos de infraestructura</w:t>
                  </w:r>
                </w:p>
                <w:p w14:paraId="4C26CF26" w14:textId="77777777" w:rsidR="00B31472" w:rsidRDefault="00B3147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</w:pPr>
                </w:p>
                <w:p w14:paraId="05995DF3" w14:textId="2A85053D" w:rsidR="00791F32" w:rsidRPr="000338E0" w:rsidRDefault="00791F3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A449C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  <w:t>Responsable: DNP</w:t>
                  </w:r>
                </w:p>
              </w:tc>
            </w:tr>
            <w:tr w:rsidR="00BE4302" w:rsidRPr="000338E0" w14:paraId="71E65D77" w14:textId="77777777" w:rsidTr="00B31472">
              <w:trPr>
                <w:trHeight w:val="283"/>
              </w:trPr>
              <w:tc>
                <w:tcPr>
                  <w:tcW w:w="84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8F4E530" w14:textId="292CCB93" w:rsidR="00BE4302" w:rsidRPr="000338E0" w:rsidRDefault="00DC5ABD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Guías, manuales, herramientas, indicadores o estudios sobre experiencias desarrollados para el fortalecimiento de estrategias en torno a los proyectos de participación privada, considerando aspectos de cambio climático, género y diversidad, y ambientales y sociales.</w:t>
                  </w:r>
                </w:p>
              </w:tc>
              <w:tc>
                <w:tcPr>
                  <w:tcW w:w="4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094FD4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#</w:t>
                  </w:r>
                </w:p>
              </w:tc>
              <w:tc>
                <w:tcPr>
                  <w:tcW w:w="4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C885C8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5F5ADD" w14:textId="6F4B7F12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DF1059" w14:textId="3E56B5AC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0CF82D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  <w:p w14:paraId="6299C025" w14:textId="1F846320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E1E7BB" w14:textId="34DB7BB9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301DD5" w14:textId="63262B6A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B6FD60" w14:textId="4A5C7F16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35FA0F" w14:textId="5447B7F2" w:rsidR="00BE4302" w:rsidRPr="000338E0" w:rsidRDefault="00BE4302" w:rsidP="004E57A5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Documentos desarrollados</w:t>
                  </w:r>
                </w:p>
              </w:tc>
              <w:tc>
                <w:tcPr>
                  <w:tcW w:w="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C703B7" w14:textId="014E0E3E" w:rsidR="00BE4302" w:rsidRPr="000338E0" w:rsidRDefault="00791F32" w:rsidP="00B31472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449C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  <w:t>Responsable: DNP</w:t>
                  </w:r>
                </w:p>
              </w:tc>
            </w:tr>
            <w:tr w:rsidR="00BE4302" w:rsidRPr="000338E0" w14:paraId="066EF971" w14:textId="77777777" w:rsidTr="00B31472">
              <w:trPr>
                <w:trHeight w:val="283"/>
              </w:trPr>
              <w:tc>
                <w:tcPr>
                  <w:tcW w:w="8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DD8568" w14:textId="77777777" w:rsidR="00BE4302" w:rsidRPr="000338E0" w:rsidRDefault="00BE4302" w:rsidP="00B31472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lastRenderedPageBreak/>
                    <w:t>Sistema de información de APP RUAPP operativo y mejorado</w:t>
                  </w:r>
                </w:p>
              </w:tc>
              <w:tc>
                <w:tcPr>
                  <w:tcW w:w="4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539157" w14:textId="77777777" w:rsidR="00BE4302" w:rsidRPr="00D337F5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</w:pPr>
                  <w:r w:rsidRPr="00D337F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Sistema</w:t>
                  </w: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DE2BB6" w14:textId="77777777" w:rsidR="00BE4302" w:rsidRPr="00D337F5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337F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21AFAB" w14:textId="77777777" w:rsidR="00BE4302" w:rsidRPr="00D337F5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337F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F76650" w14:textId="77777777" w:rsidR="00BE4302" w:rsidRPr="00D337F5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337F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8F65BB" w14:textId="77777777" w:rsidR="00BE4302" w:rsidRPr="00D337F5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337F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447696" w14:textId="77777777" w:rsidR="00BE4302" w:rsidRPr="00D337F5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337F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C2838F" w14:textId="77777777" w:rsidR="00BE4302" w:rsidRPr="00D337F5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337F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47E9A9" w14:textId="77777777" w:rsidR="00BE4302" w:rsidRPr="00D337F5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337F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DBA714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  <w:p w14:paraId="3FA563F6" w14:textId="77777777" w:rsidR="00BE4302" w:rsidRPr="000338E0" w:rsidRDefault="00BE4302" w:rsidP="000338E0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RUAPP operando durante el año</w:t>
                  </w:r>
                </w:p>
              </w:tc>
              <w:tc>
                <w:tcPr>
                  <w:tcW w:w="6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7076BE" w14:textId="77777777" w:rsidR="00BE4302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Es un gasto recurrente de operación y mantenimiento</w:t>
                  </w:r>
                </w:p>
                <w:p w14:paraId="78C0F23F" w14:textId="77777777" w:rsidR="00791F32" w:rsidRDefault="00791F3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  <w:p w14:paraId="4C76D8FB" w14:textId="1D1A6090" w:rsidR="00791F32" w:rsidRPr="000338E0" w:rsidRDefault="00791F3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A449C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  <w:t>Responsable: DNP</w:t>
                  </w:r>
                </w:p>
              </w:tc>
            </w:tr>
            <w:tr w:rsidR="00BE4302" w:rsidRPr="000338E0" w14:paraId="1D1B2564" w14:textId="77777777" w:rsidTr="00B31472">
              <w:trPr>
                <w:trHeight w:val="283"/>
              </w:trPr>
              <w:tc>
                <w:tcPr>
                  <w:tcW w:w="5000" w:type="pct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hideMark/>
                </w:tcPr>
                <w:p w14:paraId="6A6418DF" w14:textId="77777777" w:rsidR="00BE4302" w:rsidRPr="00D337F5" w:rsidRDefault="00BE4302" w:rsidP="000338E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</w:pPr>
                  <w:r w:rsidRPr="00D337F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Componente 3: Fortalecimiento técnico e institucional del DNP</w:t>
                  </w:r>
                </w:p>
              </w:tc>
            </w:tr>
            <w:tr w:rsidR="00BE4302" w:rsidRPr="000338E0" w14:paraId="66A28CC7" w14:textId="77777777" w:rsidTr="00DE2A91">
              <w:trPr>
                <w:trHeight w:val="283"/>
              </w:trPr>
              <w:tc>
                <w:tcPr>
                  <w:tcW w:w="84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7622E7" w14:textId="77777777" w:rsidR="00BE4302" w:rsidRPr="000338E0" w:rsidRDefault="00BE4302" w:rsidP="00B31472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Unidad técnica para la gestión y coordinación de actividades relacionadas con participación privada.</w:t>
                  </w:r>
                </w:p>
              </w:tc>
              <w:tc>
                <w:tcPr>
                  <w:tcW w:w="4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25CCE4" w14:textId="77777777" w:rsidR="00BE4302" w:rsidRPr="00D337F5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337F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Unidad técnica</w:t>
                  </w:r>
                </w:p>
              </w:tc>
              <w:tc>
                <w:tcPr>
                  <w:tcW w:w="4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4F8735" w14:textId="77777777" w:rsidR="00BE4302" w:rsidRPr="00D337F5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337F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775A27" w14:textId="590B6C2A" w:rsidR="00BE4302" w:rsidRPr="00D337F5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337F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28057F" w14:textId="26416D16" w:rsidR="00BE4302" w:rsidRPr="00D337F5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337F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373D74" w14:textId="3702B910" w:rsidR="00BE4302" w:rsidRPr="00D337F5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337F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CB5139" w14:textId="7E826D01" w:rsidR="00BE4302" w:rsidRPr="00D337F5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337F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46C038" w14:textId="6C9CC987" w:rsidR="00BE4302" w:rsidRPr="00D337F5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337F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DB175C" w14:textId="55EC3E25" w:rsidR="00BE4302" w:rsidRPr="00D337F5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337F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02F839" w14:textId="63190641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Unidad Técnica contratada durante el año</w:t>
                  </w:r>
                </w:p>
              </w:tc>
              <w:tc>
                <w:tcPr>
                  <w:tcW w:w="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BC5769" w14:textId="218AE7D0" w:rsidR="00BE4302" w:rsidRDefault="00BE4302" w:rsidP="00B31472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Esta unidad ya existe y es un gasto recurrente para la ejecución del préstamo</w:t>
                  </w:r>
                </w:p>
                <w:p w14:paraId="2F58C0F2" w14:textId="77777777" w:rsidR="00791F32" w:rsidRDefault="00791F32" w:rsidP="00B31472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  <w:p w14:paraId="51F95E46" w14:textId="7AEECF70" w:rsidR="00791F32" w:rsidRPr="000338E0" w:rsidRDefault="00791F32" w:rsidP="00B31472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A449C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  <w:t>Responsable: DNP</w:t>
                  </w:r>
                </w:p>
              </w:tc>
            </w:tr>
            <w:tr w:rsidR="00BE4302" w:rsidRPr="000338E0" w14:paraId="60D18678" w14:textId="77777777" w:rsidTr="00DE2A91">
              <w:trPr>
                <w:trHeight w:val="283"/>
              </w:trPr>
              <w:tc>
                <w:tcPr>
                  <w:tcW w:w="8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FF96F9" w14:textId="77777777" w:rsidR="00BE4302" w:rsidRPr="000338E0" w:rsidRDefault="00BE4302" w:rsidP="00B31472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Capacitaciones desarrolladas para fortalecer técnicamente al equipo contratado para apoyar al Programa, a partir de las necesidades identificadas.</w:t>
                  </w:r>
                </w:p>
              </w:tc>
              <w:tc>
                <w:tcPr>
                  <w:tcW w:w="4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4F786A" w14:textId="77777777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#</w:t>
                  </w: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5EB3AA" w14:textId="267ED8C0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A13560" w14:textId="6B4E000F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BABE4E" w14:textId="2A653623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F58CEB" w14:textId="07DAABC5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F59366" w14:textId="6AFC49E1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A84BC6" w14:textId="6BAB281C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C1BDA0" w14:textId="202E9F41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7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8AB5E4" w14:textId="37A03570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Capacitaciones desarrolladas</w:t>
                  </w:r>
                </w:p>
              </w:tc>
              <w:tc>
                <w:tcPr>
                  <w:tcW w:w="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70D615" w14:textId="0B8C544E" w:rsidR="00BE4302" w:rsidRPr="000338E0" w:rsidRDefault="00B31472" w:rsidP="00B31472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449C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  <w:t>Responsable: DNP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  <w:t xml:space="preserve"> con colaboración de BID</w:t>
                  </w:r>
                </w:p>
              </w:tc>
            </w:tr>
            <w:tr w:rsidR="00BE4302" w:rsidRPr="000338E0" w14:paraId="731B9D43" w14:textId="77777777" w:rsidTr="00DE2A91">
              <w:trPr>
                <w:trHeight w:val="283"/>
              </w:trPr>
              <w:tc>
                <w:tcPr>
                  <w:tcW w:w="8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209531" w14:textId="594EA6B8" w:rsidR="00BE4302" w:rsidRPr="000338E0" w:rsidRDefault="00BE4302" w:rsidP="00B31472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Capacitación género</w:t>
                  </w:r>
                  <w:r w:rsidR="00BB1C89"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 xml:space="preserve"> y diversidad</w:t>
                  </w:r>
                </w:p>
              </w:tc>
              <w:tc>
                <w:tcPr>
                  <w:tcW w:w="4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0857CF" w14:textId="77777777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/>
                    </w:rPr>
                    <w:t>#</w:t>
                  </w: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1D8653" w14:textId="77777777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B70E19" w14:textId="77777777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A496F2" w14:textId="77777777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3F8ECB" w14:textId="77777777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55C328" w14:textId="77777777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2CC552" w14:textId="77777777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9ADB4B" w14:textId="77777777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7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DB9381" w14:textId="77777777" w:rsidR="00BE4302" w:rsidRPr="000338E0" w:rsidRDefault="00BE4302" w:rsidP="00DE2A9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0338E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Agenda y lista de participantes</w:t>
                  </w:r>
                </w:p>
              </w:tc>
              <w:tc>
                <w:tcPr>
                  <w:tcW w:w="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B68BBD" w14:textId="4EF782DA" w:rsidR="00BE4302" w:rsidRPr="000338E0" w:rsidRDefault="00B31472" w:rsidP="00B31472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s-CO"/>
                    </w:rPr>
                  </w:pPr>
                  <w:r w:rsidRPr="00A449C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  <w:t>Responsable: DNP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419"/>
                    </w:rPr>
                    <w:t xml:space="preserve"> con colaboración de BID</w:t>
                  </w:r>
                </w:p>
              </w:tc>
            </w:tr>
          </w:tbl>
          <w:p w14:paraId="056CF7BF" w14:textId="77777777" w:rsidR="00B8177E" w:rsidRPr="000338E0" w:rsidRDefault="00B8177E" w:rsidP="000338E0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14:paraId="79CF1B98" w14:textId="77777777" w:rsidR="00FB3AA9" w:rsidRDefault="00FB3AA9" w:rsidP="000338E0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s-CO"/>
              </w:rPr>
            </w:pPr>
          </w:p>
          <w:p w14:paraId="3D308EA4" w14:textId="77777777" w:rsidR="00B31472" w:rsidRDefault="00B31472" w:rsidP="000338E0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s-CO"/>
              </w:rPr>
            </w:pPr>
          </w:p>
          <w:p w14:paraId="598E8BED" w14:textId="77777777" w:rsidR="00B31472" w:rsidRDefault="00B31472" w:rsidP="000338E0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s-CO"/>
              </w:rPr>
            </w:pPr>
          </w:p>
          <w:p w14:paraId="6B8AFB53" w14:textId="77777777" w:rsidR="00B31472" w:rsidRDefault="00B31472" w:rsidP="000338E0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s-CO"/>
              </w:rPr>
            </w:pPr>
          </w:p>
          <w:p w14:paraId="06B7623A" w14:textId="77777777" w:rsidR="00B31472" w:rsidRDefault="00B31472" w:rsidP="000338E0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s-CO"/>
              </w:rPr>
            </w:pPr>
          </w:p>
          <w:p w14:paraId="686817C2" w14:textId="77777777" w:rsidR="00B31472" w:rsidRPr="000338E0" w:rsidRDefault="00B31472" w:rsidP="000338E0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s-CO"/>
              </w:rPr>
            </w:pPr>
          </w:p>
          <w:p w14:paraId="2D707516" w14:textId="6FBC5CF3" w:rsidR="00216EAA" w:rsidRPr="000338E0" w:rsidRDefault="00216EAA" w:rsidP="000338E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338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Tabla 4. Costos por productos</w:t>
            </w:r>
            <w:r w:rsidR="009374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(en dólares)</w:t>
            </w:r>
          </w:p>
          <w:tbl>
            <w:tblPr>
              <w:tblW w:w="12747" w:type="dxa"/>
              <w:tblLook w:val="04A0" w:firstRow="1" w:lastRow="0" w:firstColumn="1" w:lastColumn="0" w:noHBand="0" w:noVBand="1"/>
            </w:tblPr>
            <w:tblGrid>
              <w:gridCol w:w="4282"/>
              <w:gridCol w:w="1051"/>
              <w:gridCol w:w="1217"/>
              <w:gridCol w:w="1217"/>
              <w:gridCol w:w="1217"/>
              <w:gridCol w:w="1217"/>
              <w:gridCol w:w="1217"/>
              <w:gridCol w:w="1329"/>
            </w:tblGrid>
            <w:tr w:rsidR="002B0C84" w:rsidRPr="000338E0" w14:paraId="20B887A5" w14:textId="77777777" w:rsidTr="00186BFD">
              <w:trPr>
                <w:trHeight w:val="315"/>
              </w:trPr>
              <w:tc>
                <w:tcPr>
                  <w:tcW w:w="1274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  <w:hideMark/>
                </w:tcPr>
                <w:p w14:paraId="1C1D0794" w14:textId="77777777" w:rsidR="002B0C84" w:rsidRPr="00186BFD" w:rsidRDefault="002B0C84" w:rsidP="000338E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</w:pPr>
                  <w:r w:rsidRPr="00186BFD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Costos por productos</w:t>
                  </w:r>
                </w:p>
              </w:tc>
            </w:tr>
            <w:tr w:rsidR="00186BFD" w:rsidRPr="000338E0" w14:paraId="35910759" w14:textId="77777777" w:rsidTr="00186BFD">
              <w:trPr>
                <w:trHeight w:val="285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noWrap/>
                  <w:vAlign w:val="center"/>
                  <w:hideMark/>
                </w:tcPr>
                <w:p w14:paraId="623899E9" w14:textId="77777777" w:rsidR="00186BFD" w:rsidRPr="00186BFD" w:rsidRDefault="00186BFD" w:rsidP="00186BFD">
                  <w:pPr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</w:pPr>
                  <w:r w:rsidRPr="00186BFD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Indicadores de producto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noWrap/>
                  <w:vAlign w:val="center"/>
                  <w:hideMark/>
                </w:tcPr>
                <w:p w14:paraId="307558BC" w14:textId="4567D7EC" w:rsidR="00186BFD" w:rsidRPr="00186BFD" w:rsidRDefault="00186BFD" w:rsidP="00186BFD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</w:pPr>
                  <w:r w:rsidRPr="00186BFD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202</w:t>
                  </w:r>
                  <w:r w:rsidR="00741869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noWrap/>
                  <w:vAlign w:val="center"/>
                  <w:hideMark/>
                </w:tcPr>
                <w:p w14:paraId="20D9FD04" w14:textId="353061C8" w:rsidR="00186BFD" w:rsidRPr="00186BFD" w:rsidRDefault="00186BFD" w:rsidP="00186BFD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</w:pPr>
                  <w:r w:rsidRPr="00186BFD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202</w:t>
                  </w:r>
                  <w:r w:rsidR="00741869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2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noWrap/>
                  <w:vAlign w:val="center"/>
                  <w:hideMark/>
                </w:tcPr>
                <w:p w14:paraId="65CC3853" w14:textId="2DF4D280" w:rsidR="00186BFD" w:rsidRPr="00186BFD" w:rsidRDefault="00186BFD" w:rsidP="00186BFD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</w:pPr>
                  <w:r w:rsidRPr="00186BFD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202</w:t>
                  </w:r>
                  <w:r w:rsidR="00741869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noWrap/>
                  <w:vAlign w:val="center"/>
                  <w:hideMark/>
                </w:tcPr>
                <w:p w14:paraId="6699B8FE" w14:textId="378BF829" w:rsidR="00186BFD" w:rsidRPr="00186BFD" w:rsidRDefault="00186BFD" w:rsidP="00186BFD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</w:pPr>
                  <w:r w:rsidRPr="00186BFD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202</w:t>
                  </w:r>
                  <w:r w:rsidR="00741869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noWrap/>
                  <w:vAlign w:val="center"/>
                  <w:hideMark/>
                </w:tcPr>
                <w:p w14:paraId="325AD73E" w14:textId="3BDE11B2" w:rsidR="00186BFD" w:rsidRPr="00186BFD" w:rsidRDefault="00186BFD" w:rsidP="00186BFD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</w:pPr>
                  <w:r w:rsidRPr="00186BFD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202</w:t>
                  </w:r>
                  <w:r w:rsidR="00741869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5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noWrap/>
                  <w:vAlign w:val="center"/>
                  <w:hideMark/>
                </w:tcPr>
                <w:p w14:paraId="62003FBC" w14:textId="797BEB34" w:rsidR="00186BFD" w:rsidRPr="00186BFD" w:rsidRDefault="00186BFD" w:rsidP="00186BFD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</w:pPr>
                  <w:r w:rsidRPr="00186BFD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202</w:t>
                  </w:r>
                  <w:r w:rsidR="00741869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6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noWrap/>
                  <w:hideMark/>
                </w:tcPr>
                <w:p w14:paraId="3E9A03D0" w14:textId="7A3B49BA" w:rsidR="00186BFD" w:rsidRPr="00186BFD" w:rsidRDefault="00186BFD" w:rsidP="00186BFD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</w:pPr>
                  <w:r w:rsidRPr="00186BFD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419"/>
                    </w:rPr>
                    <w:t>Costo total</w:t>
                  </w:r>
                </w:p>
              </w:tc>
            </w:tr>
            <w:tr w:rsidR="00937490" w:rsidRPr="000338E0" w14:paraId="1AB205AB" w14:textId="77777777" w:rsidTr="00005BB9">
              <w:trPr>
                <w:trHeight w:val="285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17D3B16F" w14:textId="77777777" w:rsidR="00937490" w:rsidRPr="000338E0" w:rsidRDefault="00937490" w:rsidP="00937490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419"/>
                    </w:rPr>
                  </w:pPr>
                  <w:r w:rsidRPr="000338E0">
                    <w:rPr>
                      <w:rFonts w:ascii="Arial" w:eastAsia="Times New Roman" w:hAnsi="Arial" w:cs="Arial"/>
                      <w:sz w:val="20"/>
                      <w:szCs w:val="20"/>
                      <w:lang w:val="es-419"/>
                    </w:rPr>
                    <w:t>Componente 1: Fomento de la participación privada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2F4AA978" w14:textId="612229F6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$172,000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5E5438A2" w14:textId="74172460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$1,439,000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600D8919" w14:textId="1A6EA34B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$2,699,000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025173A8" w14:textId="0F983463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$2,790,000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09CE92E8" w14:textId="744DAEBA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$1,476,500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54E67B77" w14:textId="05BF4832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$723,500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291B6302" w14:textId="65354D72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$9,300,000</w:t>
                  </w:r>
                </w:p>
              </w:tc>
            </w:tr>
            <w:tr w:rsidR="00937490" w:rsidRPr="000338E0" w14:paraId="04BC10D3" w14:textId="77777777" w:rsidTr="00005BB9">
              <w:trPr>
                <w:trHeight w:val="285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901E9A" w14:textId="77777777" w:rsidR="00937490" w:rsidRPr="000338E0" w:rsidRDefault="00937490" w:rsidP="00937490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419"/>
                    </w:rPr>
                  </w:pPr>
                  <w:r w:rsidRPr="000338E0">
                    <w:rPr>
                      <w:rFonts w:ascii="Arial" w:eastAsia="Times New Roman" w:hAnsi="Arial" w:cs="Arial"/>
                      <w:sz w:val="20"/>
                      <w:szCs w:val="20"/>
                      <w:lang w:val="es-419"/>
                    </w:rPr>
                    <w:t>Estudios técnicos para el fomento de la participación privada en infraestructura finalizados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F2DD9A" w14:textId="2C2B1FE1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$122,000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2C26C1" w14:textId="06B44193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$634,000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D76A5D" w14:textId="7506033E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$504,000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187117" w14:textId="504C8CF8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$630,000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B74A23" w14:textId="6D3DD13F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$50,000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A3DED4" w14:textId="1B69916B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$190,000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A85B1B" w14:textId="6225162B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$2,130,000</w:t>
                  </w:r>
                </w:p>
              </w:tc>
            </w:tr>
            <w:tr w:rsidR="00937490" w:rsidRPr="000338E0" w14:paraId="4FFA9248" w14:textId="77777777" w:rsidTr="00005BB9">
              <w:trPr>
                <w:trHeight w:val="285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DE256D" w14:textId="77777777" w:rsidR="00937490" w:rsidRPr="000338E0" w:rsidRDefault="00937490" w:rsidP="00937490">
                  <w:pPr>
                    <w:outlineLvl w:val="0"/>
                    <w:rPr>
                      <w:rFonts w:ascii="Arial" w:eastAsia="Times New Roman" w:hAnsi="Arial" w:cs="Arial"/>
                      <w:sz w:val="20"/>
                      <w:szCs w:val="20"/>
                      <w:lang w:val="es-419"/>
                    </w:rPr>
                  </w:pPr>
                  <w:r w:rsidRPr="000338E0">
                    <w:rPr>
                      <w:rFonts w:ascii="Arial" w:eastAsia="Times New Roman" w:hAnsi="Arial" w:cs="Arial"/>
                      <w:sz w:val="20"/>
                      <w:szCs w:val="20"/>
                      <w:lang w:val="es-419"/>
                    </w:rPr>
                    <w:t>Estudios relacionados con estructuración de proyectos de participación privada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4E97F9" w14:textId="2B28A850" w:rsidR="00937490" w:rsidRPr="00937490" w:rsidRDefault="00937490" w:rsidP="00005BB9">
                  <w:pPr>
                    <w:jc w:val="right"/>
                    <w:outlineLvl w:val="0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$50,000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28E8F8" w14:textId="6043A8BA" w:rsidR="00937490" w:rsidRPr="00937490" w:rsidRDefault="00937490" w:rsidP="00005BB9">
                  <w:pPr>
                    <w:jc w:val="right"/>
                    <w:outlineLvl w:val="0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$805,000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7E772A" w14:textId="699DB01A" w:rsidR="00937490" w:rsidRPr="00937490" w:rsidRDefault="00937490" w:rsidP="00005BB9">
                  <w:pPr>
                    <w:jc w:val="right"/>
                    <w:outlineLvl w:val="0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$2,195,000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AE76E1" w14:textId="158846B6" w:rsidR="00937490" w:rsidRPr="00937490" w:rsidRDefault="00937490" w:rsidP="00005BB9">
                  <w:pPr>
                    <w:jc w:val="right"/>
                    <w:outlineLvl w:val="0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$2,160,000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134970" w14:textId="250CC6BD" w:rsidR="00937490" w:rsidRPr="00937490" w:rsidRDefault="00937490" w:rsidP="00005BB9">
                  <w:pPr>
                    <w:jc w:val="right"/>
                    <w:outlineLvl w:val="0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$1,426,500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F53443" w14:textId="51181D1B" w:rsidR="00937490" w:rsidRPr="00937490" w:rsidRDefault="00937490" w:rsidP="00005BB9">
                  <w:pPr>
                    <w:jc w:val="right"/>
                    <w:outlineLvl w:val="0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$533,500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E2E1BB" w14:textId="12647C87" w:rsidR="00937490" w:rsidRPr="00937490" w:rsidRDefault="00937490" w:rsidP="00005BB9">
                  <w:pPr>
                    <w:jc w:val="right"/>
                    <w:outlineLvl w:val="0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$7,170,000</w:t>
                  </w:r>
                </w:p>
              </w:tc>
            </w:tr>
            <w:tr w:rsidR="00937490" w:rsidRPr="000338E0" w14:paraId="53609ECC" w14:textId="77777777" w:rsidTr="00005BB9">
              <w:trPr>
                <w:trHeight w:val="570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vAlign w:val="center"/>
                  <w:hideMark/>
                </w:tcPr>
                <w:p w14:paraId="5ACABBB5" w14:textId="77777777" w:rsidR="00937490" w:rsidRPr="00CC605A" w:rsidRDefault="00937490" w:rsidP="00937490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CO"/>
                    </w:rPr>
                  </w:pPr>
                  <w:r w:rsidRPr="00CC605A">
                    <w:rPr>
                      <w:rFonts w:ascii="Arial" w:eastAsia="Times New Roman" w:hAnsi="Arial" w:cs="Arial"/>
                      <w:sz w:val="20"/>
                      <w:szCs w:val="20"/>
                      <w:lang w:val="es-CO"/>
                    </w:rPr>
                    <w:t>Componente 2: Fortalecimiento de entidades públicas potencialmente concedentes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2E8FE9A5" w14:textId="4F7FAEF3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255,121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62031F14" w14:textId="4B20F574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1,188,777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2CCC2EB0" w14:textId="0CCE5096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306,196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3027E969" w14:textId="3EE7E270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359,620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063221F6" w14:textId="0F2BD519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300,047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4C4D926A" w14:textId="119627EB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90,240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56F6C140" w14:textId="5B5CF35D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2,500,000</w:t>
                  </w:r>
                </w:p>
              </w:tc>
            </w:tr>
            <w:tr w:rsidR="00937490" w:rsidRPr="000338E0" w14:paraId="2A23FE98" w14:textId="77777777" w:rsidTr="00005BB9">
              <w:trPr>
                <w:trHeight w:val="285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B8DD30" w14:textId="77777777" w:rsidR="00937490" w:rsidRPr="000338E0" w:rsidRDefault="00937490" w:rsidP="00937490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419"/>
                    </w:rPr>
                  </w:pPr>
                  <w:r w:rsidRPr="000338E0">
                    <w:rPr>
                      <w:rFonts w:ascii="Arial" w:eastAsia="Times New Roman" w:hAnsi="Arial" w:cs="Arial"/>
                      <w:sz w:val="20"/>
                      <w:szCs w:val="20"/>
                      <w:lang w:val="es-419"/>
                    </w:rPr>
                    <w:t>Personas capacitadas de entidades territoriales sobre esquemas de participación privada en infraestructura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0A558E" w14:textId="309CA528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$5,000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80D743" w14:textId="29508D7F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$10,000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CF2BC3" w14:textId="48462B61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$10,000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CEAC95" w14:textId="2435A5D7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$10,000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BFBAAE" w14:textId="4B2EBBD1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$10,000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696413" w14:textId="13C534FC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$5,000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3115F4" w14:textId="636F050A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$50,000</w:t>
                  </w:r>
                </w:p>
              </w:tc>
            </w:tr>
            <w:tr w:rsidR="00937490" w:rsidRPr="000338E0" w14:paraId="0E64960B" w14:textId="77777777" w:rsidTr="00005BB9">
              <w:trPr>
                <w:trHeight w:val="285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1EAD59A" w14:textId="77777777" w:rsidR="00937490" w:rsidRPr="000338E0" w:rsidRDefault="00937490" w:rsidP="00937490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419"/>
                    </w:rPr>
                  </w:pPr>
                  <w:r w:rsidRPr="000338E0">
                    <w:rPr>
                      <w:rFonts w:ascii="Arial" w:eastAsia="Times New Roman" w:hAnsi="Arial" w:cs="Arial"/>
                      <w:sz w:val="20"/>
                      <w:szCs w:val="20"/>
                      <w:lang w:val="es-419"/>
                    </w:rPr>
                    <w:t>Personas capacitadas de entidades nacionales sobre esquemas de participación privada en infraestructura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113A40" w14:textId="5730158E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F4AA20" w14:textId="28AA4A40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$44,000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2F77A6" w14:textId="228FF3D3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$44,000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0DF5F8" w14:textId="46738543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$44,000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A1FCB0" w14:textId="2C68FFA9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$44,000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67E4B8" w14:textId="458C2886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$22,000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BE5F8D" w14:textId="432A3E94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$198,000</w:t>
                  </w:r>
                </w:p>
              </w:tc>
            </w:tr>
            <w:tr w:rsidR="00937490" w:rsidRPr="000338E0" w14:paraId="3978FAB2" w14:textId="77777777" w:rsidTr="00005BB9">
              <w:trPr>
                <w:trHeight w:val="285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3DCD41A" w14:textId="77777777" w:rsidR="00937490" w:rsidRPr="000338E0" w:rsidRDefault="00937490" w:rsidP="00937490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419"/>
                    </w:rPr>
                  </w:pPr>
                  <w:r w:rsidRPr="000338E0">
                    <w:rPr>
                      <w:rFonts w:ascii="Arial" w:eastAsia="Times New Roman" w:hAnsi="Arial" w:cs="Arial"/>
                      <w:sz w:val="20"/>
                      <w:szCs w:val="20"/>
                      <w:lang w:val="es-419"/>
                    </w:rPr>
                    <w:t>Estudios relacionados con aspectos institucionales para promover la participación privada finalizados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C1B474" w14:textId="582E8119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$182,621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3472CC" w14:textId="3BEE7DB6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$707,862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24DFD6" w14:textId="5035B8B1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$67,862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AC0BE1" w14:textId="3F5FE3D0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$67,862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50893C" w14:textId="6E95779F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$67,862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AD9C1C" w14:textId="5F402358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$33,931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4ACBCA" w14:textId="147C7098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$1,128,000</w:t>
                  </w:r>
                </w:p>
              </w:tc>
            </w:tr>
            <w:tr w:rsidR="00937490" w:rsidRPr="000338E0" w14:paraId="33119946" w14:textId="77777777" w:rsidTr="00005BB9">
              <w:trPr>
                <w:trHeight w:val="285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136514F" w14:textId="77777777" w:rsidR="00937490" w:rsidRPr="000338E0" w:rsidRDefault="00937490" w:rsidP="00937490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419"/>
                    </w:rPr>
                  </w:pPr>
                  <w:r w:rsidRPr="000338E0">
                    <w:rPr>
                      <w:rFonts w:ascii="Arial" w:eastAsia="Times New Roman" w:hAnsi="Arial" w:cs="Arial"/>
                      <w:sz w:val="20"/>
                      <w:szCs w:val="20"/>
                      <w:lang w:val="es-419"/>
                    </w:rPr>
                    <w:t>Guías, manuales, herramientas, indicadores o estudios sobre experiencias desarrollados para el fortalecimiento de estrategias en torno a los proyectos de participación privada, considerando aspectos de cambio climático, género y diversidad, y ambientales y sociales.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DA2AF3" w14:textId="40A473AA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$60,000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AE91CF" w14:textId="1C4DD4F3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$370,000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1C6A65" w14:textId="249D905E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$127,000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2A875F" w14:textId="75172E9E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9829D1" w14:textId="43544A79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891CC2" w14:textId="5DA0FFB8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20EC2F" w14:textId="1A559511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$557,000</w:t>
                  </w:r>
                </w:p>
              </w:tc>
            </w:tr>
            <w:tr w:rsidR="00937490" w:rsidRPr="000338E0" w14:paraId="7F3F7570" w14:textId="77777777" w:rsidTr="00005BB9">
              <w:trPr>
                <w:trHeight w:val="285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31CFDF" w14:textId="77777777" w:rsidR="00937490" w:rsidRPr="000338E0" w:rsidRDefault="00937490" w:rsidP="00937490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419"/>
                    </w:rPr>
                  </w:pPr>
                  <w:r w:rsidRPr="000338E0">
                    <w:rPr>
                      <w:rFonts w:ascii="Arial" w:eastAsia="Times New Roman" w:hAnsi="Arial" w:cs="Arial"/>
                      <w:sz w:val="20"/>
                      <w:szCs w:val="20"/>
                      <w:lang w:val="es-419"/>
                    </w:rPr>
                    <w:t>Sistema de información de APP RUAPP operativo y mejorado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0075C1" w14:textId="3C50806A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$7,500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B23B7D" w14:textId="02D08C61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$56,915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A10419" w14:textId="1E0F4D2D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$57,334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271D2F" w14:textId="30F26361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$237,758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974F59" w14:textId="4312E353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$178,185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CBB073" w14:textId="2E6CAD62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$29,308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3CD835" w14:textId="4BFA40CD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$567,000</w:t>
                  </w:r>
                </w:p>
              </w:tc>
            </w:tr>
            <w:tr w:rsidR="00937490" w:rsidRPr="000338E0" w14:paraId="04E8FA07" w14:textId="77777777" w:rsidTr="00005BB9">
              <w:trPr>
                <w:trHeight w:val="570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vAlign w:val="center"/>
                  <w:hideMark/>
                </w:tcPr>
                <w:p w14:paraId="40893C8E" w14:textId="77777777" w:rsidR="00937490" w:rsidRPr="00CC605A" w:rsidRDefault="00937490" w:rsidP="00937490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CO"/>
                    </w:rPr>
                  </w:pPr>
                  <w:r w:rsidRPr="00CC605A">
                    <w:rPr>
                      <w:rFonts w:ascii="Arial" w:eastAsia="Times New Roman" w:hAnsi="Arial" w:cs="Arial"/>
                      <w:sz w:val="20"/>
                      <w:szCs w:val="20"/>
                      <w:lang w:val="es-CO"/>
                    </w:rPr>
                    <w:t>Componente 3: Fortalecimiento técnico e institucional del DNP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6BE4D898" w14:textId="1A8BB648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$30,000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45562439" w14:textId="35FDCB04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$440,000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14B872DB" w14:textId="258F402A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$449,000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031AEE5D" w14:textId="428243B6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$458,000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3B371F1B" w14:textId="4CCEF5AD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$486,000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4CB126ED" w14:textId="20959EDE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$237,000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432F33F4" w14:textId="3C51B0AD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$2,100,000</w:t>
                  </w:r>
                </w:p>
              </w:tc>
            </w:tr>
            <w:tr w:rsidR="00937490" w:rsidRPr="000338E0" w14:paraId="392E8C62" w14:textId="77777777" w:rsidTr="00005BB9">
              <w:trPr>
                <w:trHeight w:val="285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CC7E9C" w14:textId="77777777" w:rsidR="00937490" w:rsidRPr="000338E0" w:rsidRDefault="00937490" w:rsidP="00937490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419"/>
                    </w:rPr>
                  </w:pPr>
                  <w:r w:rsidRPr="000338E0">
                    <w:rPr>
                      <w:rFonts w:ascii="Arial" w:eastAsia="Times New Roman" w:hAnsi="Arial" w:cs="Arial"/>
                      <w:sz w:val="20"/>
                      <w:szCs w:val="20"/>
                      <w:lang w:val="es-419"/>
                    </w:rPr>
                    <w:t>Unidad tecnica para la gestión y coordinación de actividades relacionadas con participación privada contratada.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221CFC" w14:textId="31F12F6D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BEC232" w14:textId="1D643B29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$360,000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2CB90D" w14:textId="56810AF5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$369,000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C40D1B" w14:textId="7E3E4EC2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$378,000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376F12" w14:textId="05F08BBE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$396,000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ACCA1B" w14:textId="099510A2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$207,000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D219A5" w14:textId="7A522998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$1,710,000</w:t>
                  </w:r>
                </w:p>
              </w:tc>
            </w:tr>
            <w:tr w:rsidR="00937490" w:rsidRPr="000338E0" w14:paraId="0DF0128A" w14:textId="77777777" w:rsidTr="00005BB9">
              <w:trPr>
                <w:trHeight w:val="285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CC6358" w14:textId="77777777" w:rsidR="00937490" w:rsidRPr="000338E0" w:rsidRDefault="00937490" w:rsidP="00937490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419"/>
                    </w:rPr>
                  </w:pPr>
                  <w:r w:rsidRPr="000338E0">
                    <w:rPr>
                      <w:rFonts w:ascii="Arial" w:eastAsia="Times New Roman" w:hAnsi="Arial" w:cs="Arial"/>
                      <w:sz w:val="20"/>
                      <w:szCs w:val="20"/>
                      <w:lang w:val="es-419"/>
                    </w:rPr>
                    <w:lastRenderedPageBreak/>
                    <w:t>Capacitaciones desarrolladas para fortalecer técnicamente al equipo contratado para apoyar al Programa, a partir de las necesidades identificadas.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0BF558" w14:textId="0FF4C26B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$30,000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D00AA9" w14:textId="2F043B16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$80,000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35B922" w14:textId="6186C249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$80,000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0C089F" w14:textId="4C3007A6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$80,000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B3A03D" w14:textId="128DFF3E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$90,000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17063F" w14:textId="612484A4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$30,000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5780AC" w14:textId="3D76125F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$390,000</w:t>
                  </w:r>
                </w:p>
              </w:tc>
            </w:tr>
            <w:tr w:rsidR="00937490" w:rsidRPr="000338E0" w14:paraId="66656DBA" w14:textId="77777777" w:rsidTr="00005BB9">
              <w:trPr>
                <w:trHeight w:val="285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03F99F" w14:textId="77777777" w:rsidR="00937490" w:rsidRPr="000338E0" w:rsidRDefault="00937490" w:rsidP="00937490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0338E0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Capacitación género y diversidad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8C192A" w14:textId="526D42CD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AE0FE9" w14:textId="10E22D53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A54B90" w14:textId="7F10351B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50BF10" w14:textId="3AD36104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BE83EF" w14:textId="081D4767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D8275E" w14:textId="149F359A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6AF5D3" w14:textId="0EE170BA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$0</w:t>
                  </w:r>
                </w:p>
              </w:tc>
            </w:tr>
            <w:tr w:rsidR="00937490" w:rsidRPr="000338E0" w14:paraId="54EB10B5" w14:textId="77777777" w:rsidTr="00005BB9">
              <w:trPr>
                <w:trHeight w:val="285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vAlign w:val="center"/>
                  <w:hideMark/>
                </w:tcPr>
                <w:p w14:paraId="5C2F5CBF" w14:textId="77777777" w:rsidR="00937490" w:rsidRPr="000338E0" w:rsidRDefault="00937490" w:rsidP="00937490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0338E0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Otros costos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200605F9" w14:textId="2CBC5BA1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$17,500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221FDB3B" w14:textId="05A8D05E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$185,689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3B2A1BA2" w14:textId="3201D317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$271,253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5972EE57" w14:textId="62333137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$221,040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292E6D4D" w14:textId="0CCE2237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$299,058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7523F9D0" w14:textId="2A838162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$105,461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noWrap/>
                  <w:vAlign w:val="center"/>
                  <w:hideMark/>
                </w:tcPr>
                <w:p w14:paraId="00338E69" w14:textId="3C79C232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$1,100,000</w:t>
                  </w:r>
                </w:p>
              </w:tc>
            </w:tr>
            <w:tr w:rsidR="00937490" w:rsidRPr="000338E0" w14:paraId="19B80351" w14:textId="77777777" w:rsidTr="00005BB9">
              <w:trPr>
                <w:trHeight w:val="285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8ECE34B" w14:textId="77777777" w:rsidR="00937490" w:rsidRPr="000338E0" w:rsidRDefault="00937490" w:rsidP="00937490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0338E0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Unidad Coordinadora contratada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D89FEC" w14:textId="12D8D31C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7BD4E3" w14:textId="4042C2DB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$139,100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A2CC1F" w14:textId="3C499C48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$144,664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7DC24A" w14:textId="05718CA4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$150,451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9362A2" w14:textId="10DA086A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$156,469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3B9AD8" w14:textId="5D6F025B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$81,364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B040F0" w14:textId="334B8B09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$672,047</w:t>
                  </w:r>
                </w:p>
              </w:tc>
            </w:tr>
            <w:tr w:rsidR="00937490" w:rsidRPr="000338E0" w14:paraId="2B354EE4" w14:textId="77777777" w:rsidTr="00005BB9">
              <w:trPr>
                <w:trHeight w:val="285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36402E2" w14:textId="77777777" w:rsidR="00937490" w:rsidRPr="000338E0" w:rsidRDefault="00937490" w:rsidP="00937490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0338E0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Evaluaciones 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CF6460" w14:textId="49424A4C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4AB3A2" w14:textId="35806948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DA11F6" w14:textId="191989EB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$80,000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EFE879" w14:textId="5FFE586E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$24,000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B66F8F" w14:textId="21C28D9B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$96,000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E26F55" w14:textId="26369C8D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D5D410" w14:textId="3593BB0F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$200,000</w:t>
                  </w:r>
                </w:p>
              </w:tc>
            </w:tr>
            <w:tr w:rsidR="00937490" w:rsidRPr="000338E0" w14:paraId="4F4EDA58" w14:textId="77777777" w:rsidTr="00005BB9">
              <w:trPr>
                <w:trHeight w:val="285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7205BF1" w14:textId="77777777" w:rsidR="00937490" w:rsidRPr="000338E0" w:rsidRDefault="00937490" w:rsidP="00937490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0338E0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Auditoría Financiera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740198" w14:textId="50E17863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$17,500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6E0447" w14:textId="0F467657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$46,589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A6EC8A" w14:textId="5127DA7A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$46,589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CD2E51" w14:textId="5D34CB61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$46,589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76BE81" w14:textId="21C23982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$46,589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7735F9" w14:textId="2B4E4A66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$24,097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5E8CDE" w14:textId="20B3A339" w:rsidR="00937490" w:rsidRPr="00937490" w:rsidRDefault="00937490" w:rsidP="00005BB9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37490">
                    <w:rPr>
                      <w:rFonts w:ascii="Arial" w:hAnsi="Arial" w:cs="Arial"/>
                      <w:sz w:val="20"/>
                      <w:szCs w:val="20"/>
                    </w:rPr>
                    <w:t>$227,953</w:t>
                  </w:r>
                </w:p>
              </w:tc>
            </w:tr>
            <w:tr w:rsidR="00937490" w:rsidRPr="000338E0" w14:paraId="61DEEC05" w14:textId="77777777" w:rsidTr="00005BB9">
              <w:trPr>
                <w:trHeight w:val="285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2F5496" w:themeFill="accent1" w:themeFillShade="BF"/>
                  <w:noWrap/>
                  <w:vAlign w:val="bottom"/>
                  <w:hideMark/>
                </w:tcPr>
                <w:p w14:paraId="1F1B3691" w14:textId="77777777" w:rsidR="00937490" w:rsidRPr="002E1B56" w:rsidRDefault="00937490" w:rsidP="00937490">
                  <w:pPr>
                    <w:outlineLvl w:val="0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n-US"/>
                    </w:rPr>
                  </w:pPr>
                  <w:r w:rsidRPr="002E1B56"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n-US"/>
                    </w:rPr>
                    <w:t>Total del proyecto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2F5496" w:themeFill="accent1" w:themeFillShade="BF"/>
                  <w:noWrap/>
                  <w:vAlign w:val="center"/>
                  <w:hideMark/>
                </w:tcPr>
                <w:p w14:paraId="72090EEC" w14:textId="072FA666" w:rsidR="00937490" w:rsidRPr="002E1B56" w:rsidRDefault="00937490" w:rsidP="00005BB9">
                  <w:pPr>
                    <w:jc w:val="right"/>
                    <w:outlineLvl w:val="0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n-US"/>
                    </w:rPr>
                  </w:pPr>
                  <w:r w:rsidRPr="002E1B56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$474,621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2F5496" w:themeFill="accent1" w:themeFillShade="BF"/>
                  <w:noWrap/>
                  <w:vAlign w:val="center"/>
                  <w:hideMark/>
                </w:tcPr>
                <w:p w14:paraId="608E610E" w14:textId="47BC544D" w:rsidR="00937490" w:rsidRPr="002E1B56" w:rsidRDefault="00937490" w:rsidP="00005BB9">
                  <w:pPr>
                    <w:jc w:val="right"/>
                    <w:outlineLvl w:val="0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n-US"/>
                    </w:rPr>
                  </w:pPr>
                  <w:r w:rsidRPr="002E1B56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$3,253,466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2F5496" w:themeFill="accent1" w:themeFillShade="BF"/>
                  <w:noWrap/>
                  <w:vAlign w:val="center"/>
                  <w:hideMark/>
                </w:tcPr>
                <w:p w14:paraId="512E3086" w14:textId="1C95D17A" w:rsidR="00937490" w:rsidRPr="002E1B56" w:rsidRDefault="00937490" w:rsidP="00005BB9">
                  <w:pPr>
                    <w:jc w:val="right"/>
                    <w:outlineLvl w:val="0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n-US"/>
                    </w:rPr>
                  </w:pPr>
                  <w:r w:rsidRPr="002E1B56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$3,725,449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2F5496" w:themeFill="accent1" w:themeFillShade="BF"/>
                  <w:noWrap/>
                  <w:vAlign w:val="center"/>
                  <w:hideMark/>
                </w:tcPr>
                <w:p w14:paraId="740867BB" w14:textId="0B15665A" w:rsidR="00937490" w:rsidRPr="002E1B56" w:rsidRDefault="00937490" w:rsidP="00005BB9">
                  <w:pPr>
                    <w:jc w:val="right"/>
                    <w:outlineLvl w:val="0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n-US"/>
                    </w:rPr>
                  </w:pPr>
                  <w:r w:rsidRPr="002E1B56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$3,828,659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2F5496" w:themeFill="accent1" w:themeFillShade="BF"/>
                  <w:noWrap/>
                  <w:vAlign w:val="center"/>
                  <w:hideMark/>
                </w:tcPr>
                <w:p w14:paraId="01807616" w14:textId="738F5019" w:rsidR="00937490" w:rsidRPr="002E1B56" w:rsidRDefault="00937490" w:rsidP="00005BB9">
                  <w:pPr>
                    <w:jc w:val="right"/>
                    <w:outlineLvl w:val="0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n-US"/>
                    </w:rPr>
                  </w:pPr>
                  <w:r w:rsidRPr="002E1B56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$2,561,605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2F5496" w:themeFill="accent1" w:themeFillShade="BF"/>
                  <w:noWrap/>
                  <w:vAlign w:val="center"/>
                  <w:hideMark/>
                </w:tcPr>
                <w:p w14:paraId="383ED4ED" w14:textId="24D54403" w:rsidR="00937490" w:rsidRPr="002E1B56" w:rsidRDefault="00937490" w:rsidP="00005BB9">
                  <w:pPr>
                    <w:jc w:val="right"/>
                    <w:outlineLvl w:val="0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n-US"/>
                    </w:rPr>
                  </w:pPr>
                  <w:r w:rsidRPr="002E1B56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$1,156,200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2F5496" w:themeFill="accent1" w:themeFillShade="BF"/>
                  <w:noWrap/>
                  <w:vAlign w:val="center"/>
                  <w:hideMark/>
                </w:tcPr>
                <w:p w14:paraId="5D7B6502" w14:textId="7F9802CC" w:rsidR="00937490" w:rsidRPr="002E1B56" w:rsidRDefault="00937490" w:rsidP="00005BB9">
                  <w:pPr>
                    <w:jc w:val="right"/>
                    <w:outlineLvl w:val="0"/>
                    <w:rPr>
                      <w:rFonts w:ascii="Arial" w:eastAsia="Times New Roman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n-US"/>
                    </w:rPr>
                  </w:pPr>
                  <w:r w:rsidRPr="002E1B56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$15,000,000</w:t>
                  </w:r>
                </w:p>
              </w:tc>
            </w:tr>
          </w:tbl>
          <w:p w14:paraId="04E34F85" w14:textId="77777777" w:rsidR="002B0C84" w:rsidRPr="002C03B2" w:rsidRDefault="002B0C84" w:rsidP="002C03B2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169945B2" w14:textId="77777777" w:rsidR="00FB3AA9" w:rsidRPr="002C03B2" w:rsidRDefault="00FB3AA9" w:rsidP="002C03B2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7D51387D" w14:textId="30FDE079" w:rsidR="00FB3AA9" w:rsidRPr="002C03B2" w:rsidRDefault="00FB3AA9" w:rsidP="002C03B2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86BFD" w:rsidRPr="002C03B2" w14:paraId="44D9C6B3" w14:textId="77777777" w:rsidTr="000338E0">
        <w:trPr>
          <w:trHeight w:val="283"/>
        </w:trPr>
        <w:tc>
          <w:tcPr>
            <w:tcW w:w="13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B0E76" w14:textId="77777777" w:rsidR="00637C2F" w:rsidRPr="002C03B2" w:rsidRDefault="00637C2F" w:rsidP="002C03B2">
            <w:pPr>
              <w:spacing w:before="120" w:after="120"/>
              <w:rPr>
                <w:rFonts w:ascii="Arial" w:eastAsia="Times New Roman" w:hAnsi="Arial" w:cs="Arial"/>
                <w:color w:val="000000"/>
                <w:sz w:val="22"/>
                <w:szCs w:val="22"/>
                <w:lang w:val="es-CO"/>
              </w:rPr>
            </w:pPr>
            <w:r w:rsidRPr="002C03B2">
              <w:rPr>
                <w:rFonts w:ascii="Arial" w:eastAsia="Times New Roman" w:hAnsi="Arial" w:cs="Arial"/>
                <w:color w:val="000000"/>
                <w:sz w:val="22"/>
                <w:szCs w:val="22"/>
                <w:lang w:val="es-CO"/>
              </w:rPr>
              <w:lastRenderedPageBreak/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6665D" w14:textId="77777777" w:rsidR="00637C2F" w:rsidRPr="002C03B2" w:rsidRDefault="00637C2F" w:rsidP="002C03B2">
            <w:pPr>
              <w:spacing w:before="120" w:after="120"/>
              <w:rPr>
                <w:rFonts w:ascii="Arial" w:eastAsia="Times New Roman" w:hAnsi="Arial" w:cs="Arial"/>
                <w:color w:val="000000"/>
                <w:sz w:val="22"/>
                <w:szCs w:val="22"/>
                <w:lang w:val="es-CO"/>
              </w:rPr>
            </w:pPr>
            <w:r w:rsidRPr="002C03B2">
              <w:rPr>
                <w:rFonts w:ascii="Arial" w:eastAsia="Times New Roman" w:hAnsi="Arial" w:cs="Arial"/>
                <w:color w:val="000000"/>
                <w:sz w:val="22"/>
                <w:szCs w:val="22"/>
                <w:lang w:val="es-CO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1B8AD" w14:textId="77777777" w:rsidR="00637C2F" w:rsidRPr="002C03B2" w:rsidRDefault="00637C2F" w:rsidP="002C03B2">
            <w:pPr>
              <w:spacing w:before="120" w:after="120"/>
              <w:rPr>
                <w:rFonts w:ascii="Arial" w:eastAsia="Times New Roman" w:hAnsi="Arial" w:cs="Arial"/>
                <w:color w:val="000000"/>
                <w:sz w:val="22"/>
                <w:szCs w:val="22"/>
                <w:lang w:val="es-CO"/>
              </w:rPr>
            </w:pPr>
            <w:r w:rsidRPr="002C03B2">
              <w:rPr>
                <w:rFonts w:ascii="Arial" w:eastAsia="Times New Roman" w:hAnsi="Arial" w:cs="Arial"/>
                <w:color w:val="000000"/>
                <w:sz w:val="22"/>
                <w:szCs w:val="22"/>
                <w:lang w:val="es-CO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6CA98" w14:textId="77777777" w:rsidR="00637C2F" w:rsidRPr="002C03B2" w:rsidRDefault="00637C2F" w:rsidP="002C03B2">
            <w:pPr>
              <w:spacing w:before="120" w:after="120"/>
              <w:rPr>
                <w:rFonts w:ascii="Arial" w:eastAsia="Times New Roman" w:hAnsi="Arial" w:cs="Arial"/>
                <w:color w:val="000000"/>
                <w:sz w:val="22"/>
                <w:szCs w:val="22"/>
                <w:lang w:val="es-CO"/>
              </w:rPr>
            </w:pPr>
            <w:r w:rsidRPr="002C03B2">
              <w:rPr>
                <w:rFonts w:ascii="Arial" w:eastAsia="Times New Roman" w:hAnsi="Arial" w:cs="Arial"/>
                <w:color w:val="000000"/>
                <w:sz w:val="22"/>
                <w:szCs w:val="22"/>
                <w:lang w:val="es-CO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70BE6" w14:textId="77777777" w:rsidR="00637C2F" w:rsidRPr="002C03B2" w:rsidRDefault="00637C2F" w:rsidP="002C03B2">
            <w:pPr>
              <w:spacing w:before="120" w:after="120"/>
              <w:rPr>
                <w:rFonts w:ascii="Arial" w:eastAsia="Times New Roman" w:hAnsi="Arial" w:cs="Arial"/>
                <w:color w:val="000000"/>
                <w:sz w:val="22"/>
                <w:szCs w:val="22"/>
                <w:lang w:val="es-CO"/>
              </w:rPr>
            </w:pPr>
            <w:r w:rsidRPr="002C03B2">
              <w:rPr>
                <w:rFonts w:ascii="Arial" w:eastAsia="Times New Roman" w:hAnsi="Arial" w:cs="Arial"/>
                <w:color w:val="000000"/>
                <w:sz w:val="22"/>
                <w:szCs w:val="22"/>
                <w:lang w:val="es-CO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058F0" w14:textId="77777777" w:rsidR="00637C2F" w:rsidRPr="002C03B2" w:rsidRDefault="00637C2F" w:rsidP="002C03B2">
            <w:pPr>
              <w:spacing w:before="120" w:after="120"/>
              <w:rPr>
                <w:rFonts w:ascii="Arial" w:eastAsia="Times New Roman" w:hAnsi="Arial" w:cs="Arial"/>
                <w:color w:val="000000"/>
                <w:sz w:val="22"/>
                <w:szCs w:val="22"/>
                <w:lang w:val="es-CO"/>
              </w:rPr>
            </w:pPr>
            <w:r w:rsidRPr="002C03B2">
              <w:rPr>
                <w:rFonts w:ascii="Arial" w:eastAsia="Times New Roman" w:hAnsi="Arial" w:cs="Arial"/>
                <w:color w:val="000000"/>
                <w:sz w:val="22"/>
                <w:szCs w:val="22"/>
                <w:lang w:val="es-CO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0B5B2" w14:textId="77777777" w:rsidR="00637C2F" w:rsidRPr="002C03B2" w:rsidRDefault="00637C2F" w:rsidP="002C03B2">
            <w:pPr>
              <w:spacing w:before="120" w:after="120"/>
              <w:rPr>
                <w:rFonts w:ascii="Arial" w:eastAsia="Times New Roman" w:hAnsi="Arial" w:cs="Arial"/>
                <w:color w:val="000000"/>
                <w:sz w:val="22"/>
                <w:szCs w:val="22"/>
                <w:lang w:val="es-CO"/>
              </w:rPr>
            </w:pPr>
            <w:r w:rsidRPr="002C03B2">
              <w:rPr>
                <w:rFonts w:ascii="Arial" w:eastAsia="Times New Roman" w:hAnsi="Arial" w:cs="Arial"/>
                <w:color w:val="000000"/>
                <w:sz w:val="22"/>
                <w:szCs w:val="22"/>
                <w:lang w:val="es-CO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74495" w14:textId="77777777" w:rsidR="00637C2F" w:rsidRPr="002C03B2" w:rsidRDefault="00637C2F" w:rsidP="002C03B2">
            <w:pPr>
              <w:spacing w:before="120" w:after="120"/>
              <w:rPr>
                <w:rFonts w:ascii="Arial" w:eastAsia="Times New Roman" w:hAnsi="Arial" w:cs="Arial"/>
                <w:color w:val="000000"/>
                <w:sz w:val="22"/>
                <w:szCs w:val="22"/>
                <w:lang w:val="es-CO"/>
              </w:rPr>
            </w:pPr>
            <w:r w:rsidRPr="002C03B2">
              <w:rPr>
                <w:rFonts w:ascii="Arial" w:eastAsia="Times New Roman" w:hAnsi="Arial" w:cs="Arial"/>
                <w:color w:val="000000"/>
                <w:sz w:val="22"/>
                <w:szCs w:val="22"/>
                <w:lang w:val="es-CO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ED694" w14:textId="77777777" w:rsidR="00637C2F" w:rsidRPr="002C03B2" w:rsidRDefault="00637C2F" w:rsidP="002C03B2">
            <w:pPr>
              <w:spacing w:before="120" w:after="120"/>
              <w:rPr>
                <w:rFonts w:ascii="Arial" w:eastAsia="Times New Roman" w:hAnsi="Arial" w:cs="Arial"/>
                <w:color w:val="000000"/>
                <w:sz w:val="22"/>
                <w:szCs w:val="22"/>
                <w:lang w:val="es-CO"/>
              </w:rPr>
            </w:pPr>
            <w:r w:rsidRPr="002C03B2">
              <w:rPr>
                <w:rFonts w:ascii="Arial" w:eastAsia="Times New Roman" w:hAnsi="Arial" w:cs="Arial"/>
                <w:color w:val="000000"/>
                <w:sz w:val="22"/>
                <w:szCs w:val="22"/>
                <w:lang w:val="es-CO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ACC6B" w14:textId="77777777" w:rsidR="00637C2F" w:rsidRPr="002C03B2" w:rsidRDefault="00637C2F" w:rsidP="002C03B2">
            <w:pPr>
              <w:spacing w:before="120" w:after="120"/>
              <w:rPr>
                <w:rFonts w:ascii="Arial" w:eastAsia="Times New Roman" w:hAnsi="Arial" w:cs="Arial"/>
                <w:color w:val="000000"/>
                <w:sz w:val="22"/>
                <w:szCs w:val="22"/>
                <w:lang w:val="es-CO"/>
              </w:rPr>
            </w:pPr>
            <w:r w:rsidRPr="002C03B2">
              <w:rPr>
                <w:rFonts w:ascii="Arial" w:eastAsia="Times New Roman" w:hAnsi="Arial" w:cs="Arial"/>
                <w:color w:val="000000"/>
                <w:sz w:val="22"/>
                <w:szCs w:val="22"/>
                <w:lang w:val="es-CO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13137" w14:textId="77777777" w:rsidR="00637C2F" w:rsidRPr="002C03B2" w:rsidRDefault="00637C2F" w:rsidP="002C03B2">
            <w:pPr>
              <w:spacing w:before="120" w:after="120"/>
              <w:rPr>
                <w:rFonts w:ascii="Arial" w:eastAsia="Times New Roman" w:hAnsi="Arial" w:cs="Arial"/>
                <w:color w:val="000000"/>
                <w:sz w:val="22"/>
                <w:szCs w:val="22"/>
                <w:lang w:val="es-CO"/>
              </w:rPr>
            </w:pPr>
            <w:r w:rsidRPr="002C03B2">
              <w:rPr>
                <w:rFonts w:ascii="Arial" w:eastAsia="Times New Roman" w:hAnsi="Arial" w:cs="Arial"/>
                <w:color w:val="000000"/>
                <w:sz w:val="22"/>
                <w:szCs w:val="22"/>
                <w:lang w:val="es-CO"/>
              </w:rPr>
              <w:t> </w:t>
            </w:r>
          </w:p>
        </w:tc>
      </w:tr>
      <w:tr w:rsidR="00637C2F" w:rsidRPr="002C03B2" w14:paraId="6AF3F7B5" w14:textId="77777777" w:rsidTr="00186BFD">
        <w:trPr>
          <w:trHeight w:val="283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A891F2" w14:textId="5BABCA3D" w:rsidR="00637C2F" w:rsidRPr="002C03B2" w:rsidRDefault="00637C2F" w:rsidP="002C03B2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5868038" w14:textId="0ABFF86A" w:rsidR="00551CDD" w:rsidRPr="002C03B2" w:rsidRDefault="00551CDD" w:rsidP="002C03B2">
      <w:pPr>
        <w:spacing w:before="120" w:after="120"/>
        <w:rPr>
          <w:rFonts w:ascii="Arial" w:hAnsi="Arial" w:cs="Arial"/>
          <w:sz w:val="22"/>
          <w:szCs w:val="22"/>
          <w:lang w:val="es-CO"/>
        </w:rPr>
        <w:sectPr w:rsidR="00551CDD" w:rsidRPr="002C03B2" w:rsidSect="00044B65">
          <w:type w:val="continuous"/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</w:p>
    <w:p w14:paraId="31D4C114" w14:textId="3E0BD18C" w:rsidR="00FF68CD" w:rsidRPr="002C03B2" w:rsidRDefault="004F28D4" w:rsidP="00760463">
      <w:pPr>
        <w:pStyle w:val="ListParagraph"/>
        <w:numPr>
          <w:ilvl w:val="1"/>
          <w:numId w:val="13"/>
        </w:numPr>
        <w:spacing w:before="120" w:after="120"/>
        <w:ind w:left="567" w:hanging="567"/>
        <w:contextualSpacing w:val="0"/>
        <w:rPr>
          <w:rFonts w:ascii="Arial" w:hAnsi="Arial" w:cs="Arial"/>
          <w:b/>
          <w:bCs/>
          <w:sz w:val="22"/>
          <w:szCs w:val="22"/>
          <w:lang w:val="es-CO"/>
        </w:rPr>
      </w:pPr>
      <w:r w:rsidRPr="002C03B2">
        <w:rPr>
          <w:rFonts w:ascii="Arial" w:hAnsi="Arial" w:cs="Arial"/>
          <w:b/>
          <w:bCs/>
          <w:sz w:val="22"/>
          <w:szCs w:val="22"/>
          <w:lang w:val="es-CO"/>
        </w:rPr>
        <w:lastRenderedPageBreak/>
        <w:t>Recopilación y f</w:t>
      </w:r>
      <w:r w:rsidR="00C33195" w:rsidRPr="002C03B2">
        <w:rPr>
          <w:rFonts w:ascii="Arial" w:hAnsi="Arial" w:cs="Arial"/>
          <w:b/>
          <w:bCs/>
          <w:sz w:val="22"/>
          <w:szCs w:val="22"/>
          <w:lang w:val="es-CO"/>
        </w:rPr>
        <w:t>uente de los datos</w:t>
      </w:r>
    </w:p>
    <w:p w14:paraId="5697B9C5" w14:textId="6F4F42A7" w:rsidR="004F28D4" w:rsidRPr="002C03B2" w:rsidRDefault="00A70299" w:rsidP="00760463">
      <w:pPr>
        <w:spacing w:before="120" w:after="120"/>
        <w:ind w:left="567"/>
        <w:jc w:val="both"/>
        <w:rPr>
          <w:rFonts w:ascii="Arial" w:hAnsi="Arial" w:cs="Arial"/>
          <w:sz w:val="22"/>
          <w:szCs w:val="22"/>
          <w:lang w:val="es-CO"/>
        </w:rPr>
      </w:pPr>
      <w:r w:rsidRPr="002C03B2">
        <w:rPr>
          <w:rFonts w:ascii="Arial" w:hAnsi="Arial" w:cs="Arial"/>
          <w:sz w:val="22"/>
          <w:szCs w:val="22"/>
          <w:lang w:val="es-CO"/>
        </w:rPr>
        <w:t xml:space="preserve">El </w:t>
      </w:r>
      <w:r w:rsidR="00D72E57" w:rsidRPr="002C03B2">
        <w:rPr>
          <w:rFonts w:ascii="Arial" w:hAnsi="Arial" w:cs="Arial"/>
          <w:sz w:val="22"/>
          <w:szCs w:val="22"/>
          <w:lang w:val="es-CO"/>
        </w:rPr>
        <w:t>organismo ejecutor</w:t>
      </w:r>
      <w:r w:rsidR="00F505B0" w:rsidRPr="002C03B2">
        <w:rPr>
          <w:rFonts w:ascii="Arial" w:hAnsi="Arial" w:cs="Arial"/>
          <w:sz w:val="22"/>
          <w:szCs w:val="22"/>
          <w:lang w:val="es-CO"/>
        </w:rPr>
        <w:t xml:space="preserve"> (OE)</w:t>
      </w:r>
      <w:r w:rsidRPr="002C03B2">
        <w:rPr>
          <w:rFonts w:ascii="Arial" w:hAnsi="Arial" w:cs="Arial"/>
          <w:sz w:val="22"/>
          <w:szCs w:val="22"/>
          <w:lang w:val="es-CO"/>
        </w:rPr>
        <w:t xml:space="preserve"> </w:t>
      </w:r>
      <w:r w:rsidR="00FE2789" w:rsidRPr="002C03B2">
        <w:rPr>
          <w:rFonts w:ascii="Arial" w:hAnsi="Arial" w:cs="Arial"/>
          <w:sz w:val="22"/>
          <w:szCs w:val="22"/>
          <w:lang w:val="es-CO"/>
        </w:rPr>
        <w:t xml:space="preserve">de la operación será el DNP. </w:t>
      </w:r>
      <w:r w:rsidR="004F28D4" w:rsidRPr="002C03B2">
        <w:rPr>
          <w:rFonts w:ascii="Arial" w:hAnsi="Arial" w:cs="Arial"/>
          <w:sz w:val="22"/>
          <w:szCs w:val="22"/>
          <w:lang w:val="es-CO"/>
        </w:rPr>
        <w:t xml:space="preserve">Para el monitoreo de productos y de otros indicadores de interés, la información se levantará por </w:t>
      </w:r>
      <w:r w:rsidRPr="002C03B2">
        <w:rPr>
          <w:rFonts w:ascii="Arial" w:hAnsi="Arial" w:cs="Arial"/>
          <w:sz w:val="22"/>
          <w:szCs w:val="22"/>
          <w:lang w:val="es-CO"/>
        </w:rPr>
        <w:t xml:space="preserve">el </w:t>
      </w:r>
      <w:r w:rsidR="00FE2789" w:rsidRPr="002C03B2">
        <w:rPr>
          <w:rFonts w:ascii="Arial" w:hAnsi="Arial" w:cs="Arial"/>
          <w:sz w:val="22"/>
          <w:szCs w:val="22"/>
          <w:lang w:val="es-CO"/>
        </w:rPr>
        <w:t>equipo ejecutor</w:t>
      </w:r>
      <w:r w:rsidRPr="002C03B2">
        <w:rPr>
          <w:rFonts w:ascii="Arial" w:hAnsi="Arial" w:cs="Arial"/>
          <w:sz w:val="22"/>
          <w:szCs w:val="22"/>
          <w:lang w:val="es-CO"/>
        </w:rPr>
        <w:t xml:space="preserve">. </w:t>
      </w:r>
      <w:r w:rsidR="00525B98" w:rsidRPr="002C03B2">
        <w:rPr>
          <w:rFonts w:ascii="Arial" w:hAnsi="Arial" w:cs="Arial"/>
          <w:sz w:val="22"/>
          <w:szCs w:val="22"/>
          <w:lang w:val="es-CO"/>
        </w:rPr>
        <w:t xml:space="preserve">El </w:t>
      </w:r>
      <w:r w:rsidR="00D72E57" w:rsidRPr="002C03B2">
        <w:rPr>
          <w:rFonts w:ascii="Arial" w:hAnsi="Arial" w:cs="Arial"/>
          <w:sz w:val="22"/>
          <w:szCs w:val="22"/>
          <w:lang w:val="es-CO"/>
        </w:rPr>
        <w:t>OE</w:t>
      </w:r>
      <w:r w:rsidR="00525B98" w:rsidRPr="002C03B2">
        <w:rPr>
          <w:rFonts w:ascii="Arial" w:hAnsi="Arial" w:cs="Arial"/>
          <w:sz w:val="22"/>
          <w:szCs w:val="22"/>
          <w:lang w:val="es-CO"/>
        </w:rPr>
        <w:t xml:space="preserve"> </w:t>
      </w:r>
      <w:r w:rsidR="004F28D4" w:rsidRPr="002C03B2">
        <w:rPr>
          <w:rFonts w:ascii="Arial" w:hAnsi="Arial" w:cs="Arial"/>
          <w:sz w:val="22"/>
          <w:szCs w:val="22"/>
          <w:lang w:val="es-CO"/>
        </w:rPr>
        <w:t>será responsable</w:t>
      </w:r>
      <w:r w:rsidR="006E47BB" w:rsidRPr="002C03B2">
        <w:rPr>
          <w:rFonts w:ascii="Arial" w:hAnsi="Arial" w:cs="Arial"/>
          <w:sz w:val="22"/>
          <w:szCs w:val="22"/>
          <w:lang w:val="es-CO"/>
        </w:rPr>
        <w:t xml:space="preserve"> </w:t>
      </w:r>
      <w:r w:rsidR="004F28D4" w:rsidRPr="002C03B2">
        <w:rPr>
          <w:rFonts w:ascii="Arial" w:hAnsi="Arial" w:cs="Arial"/>
          <w:sz w:val="22"/>
          <w:szCs w:val="22"/>
          <w:lang w:val="es-CO"/>
        </w:rPr>
        <w:t xml:space="preserve">del relevamiento, sistematización, validación y remisión al Banco de </w:t>
      </w:r>
      <w:r w:rsidR="00525B98" w:rsidRPr="002C03B2">
        <w:rPr>
          <w:rFonts w:ascii="Arial" w:hAnsi="Arial" w:cs="Arial"/>
          <w:sz w:val="22"/>
          <w:szCs w:val="22"/>
          <w:lang w:val="es-CO"/>
        </w:rPr>
        <w:t>la</w:t>
      </w:r>
      <w:r w:rsidR="004F28D4" w:rsidRPr="002C03B2">
        <w:rPr>
          <w:rFonts w:ascii="Arial" w:hAnsi="Arial" w:cs="Arial"/>
          <w:sz w:val="22"/>
          <w:szCs w:val="22"/>
          <w:lang w:val="es-CO"/>
        </w:rPr>
        <w:t xml:space="preserve"> información </w:t>
      </w:r>
      <w:r w:rsidR="00525B98" w:rsidRPr="002C03B2">
        <w:rPr>
          <w:rFonts w:ascii="Arial" w:hAnsi="Arial" w:cs="Arial"/>
          <w:sz w:val="22"/>
          <w:szCs w:val="22"/>
          <w:lang w:val="es-CO"/>
        </w:rPr>
        <w:t xml:space="preserve">de la información </w:t>
      </w:r>
      <w:r w:rsidR="004F28D4" w:rsidRPr="002C03B2">
        <w:rPr>
          <w:rFonts w:ascii="Arial" w:hAnsi="Arial" w:cs="Arial"/>
          <w:sz w:val="22"/>
          <w:szCs w:val="22"/>
          <w:lang w:val="es-CO"/>
        </w:rPr>
        <w:t>para efectos de cumplimiento de la</w:t>
      </w:r>
      <w:r w:rsidR="00851DE0" w:rsidRPr="002C03B2">
        <w:rPr>
          <w:rFonts w:ascii="Arial" w:hAnsi="Arial" w:cs="Arial"/>
          <w:sz w:val="22"/>
          <w:szCs w:val="22"/>
          <w:lang w:val="es-CO"/>
        </w:rPr>
        <w:t xml:space="preserve"> </w:t>
      </w:r>
      <w:r w:rsidR="004F28D4" w:rsidRPr="002C03B2">
        <w:rPr>
          <w:rFonts w:ascii="Arial" w:hAnsi="Arial" w:cs="Arial"/>
          <w:sz w:val="22"/>
          <w:szCs w:val="22"/>
          <w:lang w:val="es-CO"/>
        </w:rPr>
        <w:t>política</w:t>
      </w:r>
      <w:r w:rsidR="00851DE0" w:rsidRPr="002C03B2">
        <w:rPr>
          <w:rFonts w:ascii="Arial" w:hAnsi="Arial" w:cs="Arial"/>
          <w:sz w:val="22"/>
          <w:szCs w:val="22"/>
          <w:lang w:val="es-CO"/>
        </w:rPr>
        <w:t xml:space="preserve"> </w:t>
      </w:r>
      <w:r w:rsidR="004F28D4" w:rsidRPr="002C03B2">
        <w:rPr>
          <w:rFonts w:ascii="Arial" w:hAnsi="Arial" w:cs="Arial"/>
          <w:sz w:val="22"/>
          <w:szCs w:val="22"/>
          <w:lang w:val="es-CO"/>
        </w:rPr>
        <w:t>detallada en el presente documento.</w:t>
      </w:r>
    </w:p>
    <w:p w14:paraId="3CD874C6" w14:textId="349D091B" w:rsidR="00DF05E2" w:rsidRPr="002C03B2" w:rsidRDefault="00D6174B" w:rsidP="00760463">
      <w:pPr>
        <w:spacing w:before="120" w:after="120"/>
        <w:ind w:left="567"/>
        <w:jc w:val="both"/>
        <w:rPr>
          <w:rFonts w:ascii="Arial" w:hAnsi="Arial" w:cs="Arial"/>
          <w:sz w:val="22"/>
          <w:szCs w:val="22"/>
          <w:lang w:val="es-CO"/>
        </w:rPr>
      </w:pPr>
      <w:r w:rsidRPr="002C03B2">
        <w:rPr>
          <w:rFonts w:ascii="Arial" w:hAnsi="Arial" w:cs="Arial"/>
          <w:sz w:val="22"/>
          <w:szCs w:val="22"/>
          <w:lang w:val="es-CO"/>
        </w:rPr>
        <w:t>Las principales fuentes de información para el monitoreo son:</w:t>
      </w:r>
    </w:p>
    <w:p w14:paraId="1384AA83" w14:textId="7A250CA3" w:rsidR="008B1337" w:rsidRPr="002C03B2" w:rsidRDefault="00975B3D" w:rsidP="007624A0">
      <w:pPr>
        <w:pStyle w:val="ListParagraph"/>
        <w:numPr>
          <w:ilvl w:val="0"/>
          <w:numId w:val="16"/>
        </w:numPr>
        <w:spacing w:before="120" w:after="120"/>
        <w:ind w:left="1134" w:hanging="567"/>
        <w:contextualSpacing w:val="0"/>
        <w:jc w:val="both"/>
        <w:rPr>
          <w:rFonts w:ascii="Arial" w:hAnsi="Arial" w:cs="Arial"/>
          <w:sz w:val="22"/>
          <w:szCs w:val="22"/>
          <w:lang w:val="es-CO"/>
        </w:rPr>
      </w:pPr>
      <w:r w:rsidRPr="002C03B2">
        <w:rPr>
          <w:rFonts w:ascii="Arial" w:hAnsi="Arial" w:cs="Arial"/>
          <w:sz w:val="22"/>
          <w:szCs w:val="22"/>
          <w:lang w:val="es-CO"/>
        </w:rPr>
        <w:t>Las bases de datos de proyectos de SECOP II y RUAPP</w:t>
      </w:r>
      <w:r w:rsidR="00F73C18" w:rsidRPr="002C03B2">
        <w:rPr>
          <w:rFonts w:ascii="Arial" w:hAnsi="Arial" w:cs="Arial"/>
          <w:sz w:val="22"/>
          <w:szCs w:val="22"/>
          <w:lang w:val="es-CO"/>
        </w:rPr>
        <w:t xml:space="preserve">. </w:t>
      </w:r>
    </w:p>
    <w:p w14:paraId="7A62D135" w14:textId="7652004D" w:rsidR="00AD7EC1" w:rsidRPr="002C03B2" w:rsidRDefault="00AD7EC1" w:rsidP="007624A0">
      <w:pPr>
        <w:pStyle w:val="ListParagraph"/>
        <w:numPr>
          <w:ilvl w:val="0"/>
          <w:numId w:val="16"/>
        </w:numPr>
        <w:spacing w:before="120" w:after="120"/>
        <w:ind w:left="1134" w:hanging="567"/>
        <w:contextualSpacing w:val="0"/>
        <w:jc w:val="both"/>
        <w:rPr>
          <w:rFonts w:ascii="Arial" w:hAnsi="Arial" w:cs="Arial"/>
          <w:sz w:val="22"/>
          <w:szCs w:val="22"/>
          <w:lang w:val="es-CO"/>
        </w:rPr>
      </w:pPr>
      <w:r w:rsidRPr="002C03B2">
        <w:rPr>
          <w:rFonts w:ascii="Arial" w:hAnsi="Arial" w:cs="Arial"/>
          <w:sz w:val="22"/>
          <w:szCs w:val="22"/>
          <w:lang w:val="es-CO"/>
        </w:rPr>
        <w:t>Certificación de funcionamiento continuo del RUAPP.</w:t>
      </w:r>
    </w:p>
    <w:p w14:paraId="28086F97" w14:textId="007C0005" w:rsidR="00975B3D" w:rsidRPr="002C03B2" w:rsidRDefault="00975B3D" w:rsidP="007624A0">
      <w:pPr>
        <w:pStyle w:val="ListParagraph"/>
        <w:numPr>
          <w:ilvl w:val="0"/>
          <w:numId w:val="16"/>
        </w:numPr>
        <w:spacing w:before="120" w:after="120"/>
        <w:ind w:left="1134" w:hanging="567"/>
        <w:contextualSpacing w:val="0"/>
        <w:jc w:val="both"/>
        <w:rPr>
          <w:rFonts w:ascii="Arial" w:hAnsi="Arial" w:cs="Arial"/>
          <w:sz w:val="22"/>
          <w:szCs w:val="22"/>
          <w:lang w:val="es-CO"/>
        </w:rPr>
      </w:pPr>
      <w:r w:rsidRPr="002C03B2">
        <w:rPr>
          <w:rFonts w:ascii="Arial" w:hAnsi="Arial" w:cs="Arial"/>
          <w:sz w:val="22"/>
          <w:szCs w:val="22"/>
          <w:lang w:val="es-CO"/>
        </w:rPr>
        <w:t xml:space="preserve">Los </w:t>
      </w:r>
      <w:r w:rsidR="009F6ED9" w:rsidRPr="002C03B2">
        <w:rPr>
          <w:rFonts w:ascii="Arial" w:hAnsi="Arial" w:cs="Arial"/>
          <w:sz w:val="22"/>
          <w:szCs w:val="22"/>
          <w:lang w:val="es-CO"/>
        </w:rPr>
        <w:t xml:space="preserve">contratos otorgados y los documentos </w:t>
      </w:r>
      <w:r w:rsidR="00F73C18" w:rsidRPr="002C03B2">
        <w:rPr>
          <w:rFonts w:ascii="Arial" w:hAnsi="Arial" w:cs="Arial"/>
          <w:sz w:val="22"/>
          <w:szCs w:val="22"/>
          <w:lang w:val="es-CO"/>
        </w:rPr>
        <w:t>de licitación.</w:t>
      </w:r>
    </w:p>
    <w:p w14:paraId="301976E4" w14:textId="79D18EF4" w:rsidR="00F73C18" w:rsidRPr="002C03B2" w:rsidRDefault="00F73C18" w:rsidP="007624A0">
      <w:pPr>
        <w:pStyle w:val="ListParagraph"/>
        <w:numPr>
          <w:ilvl w:val="0"/>
          <w:numId w:val="16"/>
        </w:numPr>
        <w:spacing w:before="120" w:after="120"/>
        <w:ind w:left="1134" w:hanging="567"/>
        <w:contextualSpacing w:val="0"/>
        <w:jc w:val="both"/>
        <w:rPr>
          <w:rFonts w:ascii="Arial" w:hAnsi="Arial" w:cs="Arial"/>
          <w:sz w:val="22"/>
          <w:szCs w:val="22"/>
          <w:lang w:val="es-CO"/>
        </w:rPr>
      </w:pPr>
      <w:r w:rsidRPr="002C03B2">
        <w:rPr>
          <w:rFonts w:ascii="Arial" w:hAnsi="Arial" w:cs="Arial"/>
          <w:sz w:val="22"/>
          <w:szCs w:val="22"/>
          <w:lang w:val="es-CO"/>
        </w:rPr>
        <w:t xml:space="preserve">La documentación que certifique actividades </w:t>
      </w:r>
      <w:r w:rsidR="00DD1C1E" w:rsidRPr="002C03B2">
        <w:rPr>
          <w:rFonts w:ascii="Arial" w:hAnsi="Arial" w:cs="Arial"/>
          <w:sz w:val="22"/>
          <w:szCs w:val="22"/>
          <w:lang w:val="es-CO"/>
        </w:rPr>
        <w:t>de capacitación y promoción.</w:t>
      </w:r>
    </w:p>
    <w:p w14:paraId="776610A9" w14:textId="5A9C4A93" w:rsidR="00DD1C1E" w:rsidRPr="002C03B2" w:rsidRDefault="00DD1C1E" w:rsidP="007624A0">
      <w:pPr>
        <w:pStyle w:val="ListParagraph"/>
        <w:numPr>
          <w:ilvl w:val="0"/>
          <w:numId w:val="16"/>
        </w:numPr>
        <w:spacing w:before="120" w:after="120"/>
        <w:ind w:left="1134" w:hanging="567"/>
        <w:contextualSpacing w:val="0"/>
        <w:rPr>
          <w:rFonts w:ascii="Arial" w:hAnsi="Arial" w:cs="Arial"/>
          <w:sz w:val="22"/>
          <w:szCs w:val="22"/>
          <w:lang w:val="es-CO"/>
        </w:rPr>
      </w:pPr>
      <w:r w:rsidRPr="002C03B2">
        <w:rPr>
          <w:rFonts w:ascii="Arial" w:hAnsi="Arial" w:cs="Arial"/>
          <w:sz w:val="22"/>
          <w:szCs w:val="22"/>
          <w:lang w:val="es-CO"/>
        </w:rPr>
        <w:t xml:space="preserve">Los </w:t>
      </w:r>
      <w:r w:rsidR="00884832" w:rsidRPr="002C03B2">
        <w:rPr>
          <w:rFonts w:ascii="Arial" w:hAnsi="Arial" w:cs="Arial"/>
          <w:sz w:val="22"/>
          <w:szCs w:val="22"/>
          <w:lang w:val="es-CO"/>
        </w:rPr>
        <w:t xml:space="preserve">estudios, documentos, estructuraciones y guías </w:t>
      </w:r>
      <w:r w:rsidRPr="002C03B2">
        <w:rPr>
          <w:rFonts w:ascii="Arial" w:hAnsi="Arial" w:cs="Arial"/>
          <w:sz w:val="22"/>
          <w:szCs w:val="22"/>
          <w:lang w:val="es-CO"/>
        </w:rPr>
        <w:t>realizad</w:t>
      </w:r>
      <w:r w:rsidR="00884832" w:rsidRPr="002C03B2">
        <w:rPr>
          <w:rFonts w:ascii="Arial" w:hAnsi="Arial" w:cs="Arial"/>
          <w:sz w:val="22"/>
          <w:szCs w:val="22"/>
          <w:lang w:val="es-CO"/>
        </w:rPr>
        <w:t>a</w:t>
      </w:r>
      <w:r w:rsidRPr="002C03B2">
        <w:rPr>
          <w:rFonts w:ascii="Arial" w:hAnsi="Arial" w:cs="Arial"/>
          <w:sz w:val="22"/>
          <w:szCs w:val="22"/>
          <w:lang w:val="es-CO"/>
        </w:rPr>
        <w:t xml:space="preserve">s. </w:t>
      </w:r>
    </w:p>
    <w:p w14:paraId="2EDB0065" w14:textId="22BC5914" w:rsidR="00CC2637" w:rsidRPr="002C03B2" w:rsidRDefault="00B15128" w:rsidP="00760463">
      <w:pPr>
        <w:pStyle w:val="ListParagraph"/>
        <w:numPr>
          <w:ilvl w:val="1"/>
          <w:numId w:val="13"/>
        </w:numPr>
        <w:spacing w:before="120" w:after="120"/>
        <w:ind w:left="567" w:hanging="567"/>
        <w:contextualSpacing w:val="0"/>
        <w:jc w:val="both"/>
        <w:rPr>
          <w:rFonts w:ascii="Arial" w:hAnsi="Arial" w:cs="Arial"/>
          <w:b/>
          <w:bCs/>
          <w:sz w:val="22"/>
          <w:szCs w:val="22"/>
          <w:lang w:val="es-CO"/>
        </w:rPr>
      </w:pPr>
      <w:r w:rsidRPr="002C03B2">
        <w:rPr>
          <w:rFonts w:ascii="Arial" w:hAnsi="Arial" w:cs="Arial"/>
          <w:b/>
          <w:bCs/>
          <w:sz w:val="22"/>
          <w:szCs w:val="22"/>
          <w:lang w:val="es-CO"/>
        </w:rPr>
        <w:t>Presentación de informes</w:t>
      </w:r>
    </w:p>
    <w:p w14:paraId="0A27759D" w14:textId="02E82BBE" w:rsidR="00B4172F" w:rsidRPr="00FA5523" w:rsidRDefault="00E5257C" w:rsidP="007624A0">
      <w:pPr>
        <w:spacing w:after="160" w:line="254" w:lineRule="auto"/>
        <w:ind w:left="567"/>
        <w:jc w:val="both"/>
        <w:rPr>
          <w:color w:val="000000"/>
        </w:rPr>
      </w:pPr>
      <w:r w:rsidRPr="003D69AA">
        <w:rPr>
          <w:rFonts w:ascii="Arial" w:hAnsi="Arial" w:cs="Arial"/>
          <w:sz w:val="22"/>
          <w:szCs w:val="22"/>
          <w:lang w:val="es-ES"/>
        </w:rPr>
        <w:t xml:space="preserve">El </w:t>
      </w:r>
      <w:r w:rsidR="00875CF5" w:rsidRPr="002C03B2">
        <w:rPr>
          <w:rFonts w:ascii="Arial" w:hAnsi="Arial" w:cs="Arial"/>
          <w:sz w:val="22"/>
          <w:szCs w:val="22"/>
          <w:lang w:val="es-CO"/>
        </w:rPr>
        <w:t>organismo ejecutor (OE)</w:t>
      </w:r>
      <w:r w:rsidR="00875CF5">
        <w:rPr>
          <w:rFonts w:ascii="Arial" w:hAnsi="Arial" w:cs="Arial"/>
          <w:sz w:val="22"/>
          <w:szCs w:val="22"/>
          <w:lang w:val="es-CO"/>
        </w:rPr>
        <w:t xml:space="preserve"> </w:t>
      </w:r>
      <w:r w:rsidRPr="003D69AA">
        <w:rPr>
          <w:rFonts w:ascii="Arial" w:hAnsi="Arial" w:cs="Arial"/>
          <w:sz w:val="22"/>
          <w:szCs w:val="22"/>
          <w:lang w:val="es-ES"/>
        </w:rPr>
        <w:t>realizará una evaluación de medio término y una evaluación final del proyecto</w:t>
      </w:r>
      <w:r w:rsidR="003D69AA" w:rsidRPr="003D69AA">
        <w:rPr>
          <w:rFonts w:ascii="Arial" w:hAnsi="Arial" w:cs="Arial"/>
          <w:sz w:val="22"/>
          <w:szCs w:val="22"/>
          <w:lang w:val="es-ES"/>
        </w:rPr>
        <w:t xml:space="preserve"> y presentará los reportes al Banco</w:t>
      </w:r>
      <w:r w:rsidRPr="003D69AA">
        <w:rPr>
          <w:rFonts w:ascii="Arial" w:hAnsi="Arial" w:cs="Arial"/>
          <w:sz w:val="22"/>
          <w:szCs w:val="22"/>
          <w:lang w:val="es-ES"/>
        </w:rPr>
        <w:t xml:space="preserve">. La evaluación de medio término se realizará a </w:t>
      </w:r>
      <w:r w:rsidR="00FA5523" w:rsidRPr="00FA5523">
        <w:rPr>
          <w:rFonts w:ascii="Arial" w:hAnsi="Arial" w:cs="Arial"/>
          <w:sz w:val="22"/>
          <w:szCs w:val="22"/>
          <w:lang w:val="es-ES"/>
        </w:rPr>
        <w:t>los 90 días de desembolsado el 50% de los recursos del Préstamo o una vez transcurrido el 60% del tiempo de ejecución del Programa, lo primero que ocurra, un informe de evaluación de medio término</w:t>
      </w:r>
      <w:r w:rsidRPr="003D69AA">
        <w:rPr>
          <w:rFonts w:ascii="Arial" w:hAnsi="Arial" w:cs="Arial"/>
          <w:sz w:val="22"/>
          <w:szCs w:val="22"/>
          <w:lang w:val="es-ES"/>
        </w:rPr>
        <w:t>. La evaluación final se preparará y enviará al Banco a los 90 días contados a partir de la fecha en que se haya desembolsado el 95% de los recursos del préstamo. Los objetivos específicos de las evaluaciones serán descritos en el ROP. Los términos de referencia serán acordados con el Banco.</w:t>
      </w:r>
    </w:p>
    <w:p w14:paraId="26B23B22" w14:textId="77777777" w:rsidR="00346FFC" w:rsidRDefault="00941CF7" w:rsidP="007624A0">
      <w:pPr>
        <w:spacing w:before="120" w:after="120"/>
        <w:ind w:left="567"/>
        <w:jc w:val="both"/>
        <w:rPr>
          <w:rFonts w:ascii="Arial" w:hAnsi="Arial" w:cs="Arial"/>
          <w:sz w:val="22"/>
          <w:szCs w:val="22"/>
          <w:lang w:val="es-CO"/>
        </w:rPr>
      </w:pPr>
      <w:r w:rsidRPr="002C03B2">
        <w:rPr>
          <w:rFonts w:ascii="Arial" w:hAnsi="Arial" w:cs="Arial"/>
          <w:sz w:val="22"/>
          <w:szCs w:val="22"/>
          <w:lang w:val="es-CO"/>
        </w:rPr>
        <w:t xml:space="preserve">El </w:t>
      </w:r>
      <w:r w:rsidR="00D72E57" w:rsidRPr="002C03B2">
        <w:rPr>
          <w:rFonts w:ascii="Arial" w:hAnsi="Arial" w:cs="Arial"/>
          <w:sz w:val="22"/>
          <w:szCs w:val="22"/>
          <w:lang w:val="es-CO"/>
        </w:rPr>
        <w:t>OE</w:t>
      </w:r>
      <w:r w:rsidR="00B4172F" w:rsidRPr="002C03B2">
        <w:rPr>
          <w:rFonts w:ascii="Arial" w:hAnsi="Arial" w:cs="Arial"/>
          <w:sz w:val="22"/>
          <w:szCs w:val="22"/>
          <w:lang w:val="es-CO"/>
        </w:rPr>
        <w:t xml:space="preserve"> del proyecto reportará al Banco Informes Semestrales con el objeto de presentar los avances en el </w:t>
      </w:r>
      <w:r w:rsidR="00F15AF5" w:rsidRPr="002C03B2">
        <w:rPr>
          <w:rFonts w:ascii="Arial" w:hAnsi="Arial" w:cs="Arial"/>
          <w:sz w:val="22"/>
          <w:szCs w:val="22"/>
          <w:lang w:val="es-CO"/>
        </w:rPr>
        <w:t>Reportes (semestrales) de Monitoreo del Progreso (</w:t>
      </w:r>
      <w:r w:rsidR="00B4172F" w:rsidRPr="002C03B2">
        <w:rPr>
          <w:rFonts w:ascii="Arial" w:hAnsi="Arial" w:cs="Arial"/>
          <w:sz w:val="22"/>
          <w:szCs w:val="22"/>
          <w:lang w:val="es-CO"/>
        </w:rPr>
        <w:t>PMR</w:t>
      </w:r>
      <w:r w:rsidR="00F15AF5" w:rsidRPr="002C03B2">
        <w:rPr>
          <w:rFonts w:ascii="Arial" w:hAnsi="Arial" w:cs="Arial"/>
          <w:sz w:val="22"/>
          <w:szCs w:val="22"/>
          <w:lang w:val="es-CO"/>
        </w:rPr>
        <w:t>)</w:t>
      </w:r>
      <w:r w:rsidR="002666AB" w:rsidRPr="002C03B2">
        <w:rPr>
          <w:rFonts w:ascii="Arial" w:hAnsi="Arial" w:cs="Arial"/>
          <w:sz w:val="22"/>
          <w:szCs w:val="22"/>
          <w:lang w:val="es-CO"/>
        </w:rPr>
        <w:t>,</w:t>
      </w:r>
      <w:r w:rsidR="00B4172F" w:rsidRPr="002C03B2">
        <w:rPr>
          <w:rFonts w:ascii="Arial" w:hAnsi="Arial" w:cs="Arial"/>
          <w:sz w:val="22"/>
          <w:szCs w:val="22"/>
          <w:lang w:val="es-CO"/>
        </w:rPr>
        <w:t xml:space="preserve"> y en la ejecución del Plan Operativo Anual </w:t>
      </w:r>
      <w:r w:rsidR="00FE2789" w:rsidRPr="002C03B2">
        <w:rPr>
          <w:rFonts w:ascii="Arial" w:hAnsi="Arial" w:cs="Arial"/>
          <w:sz w:val="22"/>
          <w:szCs w:val="22"/>
          <w:lang w:val="es-CO"/>
        </w:rPr>
        <w:t xml:space="preserve">(POA) </w:t>
      </w:r>
      <w:r w:rsidR="00B4172F" w:rsidRPr="002C03B2">
        <w:rPr>
          <w:rFonts w:ascii="Arial" w:hAnsi="Arial" w:cs="Arial"/>
          <w:sz w:val="22"/>
          <w:szCs w:val="22"/>
          <w:lang w:val="es-CO"/>
        </w:rPr>
        <w:t>y del Plan de Adquisiciones</w:t>
      </w:r>
      <w:r w:rsidR="00FE2789" w:rsidRPr="002C03B2">
        <w:rPr>
          <w:rFonts w:ascii="Arial" w:hAnsi="Arial" w:cs="Arial"/>
          <w:sz w:val="22"/>
          <w:szCs w:val="22"/>
          <w:lang w:val="es-CO"/>
        </w:rPr>
        <w:t xml:space="preserve"> (PA)</w:t>
      </w:r>
      <w:r w:rsidR="00B4172F" w:rsidRPr="002C03B2">
        <w:rPr>
          <w:rFonts w:ascii="Arial" w:hAnsi="Arial" w:cs="Arial"/>
          <w:sz w:val="22"/>
          <w:szCs w:val="22"/>
          <w:lang w:val="es-CO"/>
        </w:rPr>
        <w:t>, relativos al proceso de acompañamiento de los procesos de ejecución y desarrollo de desembolsos. Estos informes deberán incluir la evolución de los indicadores de seguimiento de productos y actividades del Programa</w:t>
      </w:r>
      <w:r w:rsidR="00F40528" w:rsidRPr="002C03B2">
        <w:rPr>
          <w:rFonts w:ascii="Arial" w:hAnsi="Arial" w:cs="Arial"/>
          <w:sz w:val="22"/>
          <w:szCs w:val="22"/>
          <w:lang w:val="es-CO"/>
        </w:rPr>
        <w:t>;</w:t>
      </w:r>
      <w:r w:rsidR="00B4172F" w:rsidRPr="002C03B2">
        <w:rPr>
          <w:rFonts w:ascii="Arial" w:hAnsi="Arial" w:cs="Arial"/>
          <w:sz w:val="22"/>
          <w:szCs w:val="22"/>
          <w:lang w:val="es-CO"/>
        </w:rPr>
        <w:t xml:space="preserve"> así como</w:t>
      </w:r>
      <w:r w:rsidR="00F40528" w:rsidRPr="002C03B2">
        <w:rPr>
          <w:rFonts w:ascii="Arial" w:hAnsi="Arial" w:cs="Arial"/>
          <w:sz w:val="22"/>
          <w:szCs w:val="22"/>
          <w:lang w:val="es-CO"/>
        </w:rPr>
        <w:t>,</w:t>
      </w:r>
      <w:r w:rsidR="00B4172F" w:rsidRPr="002C03B2">
        <w:rPr>
          <w:rFonts w:ascii="Arial" w:hAnsi="Arial" w:cs="Arial"/>
          <w:sz w:val="22"/>
          <w:szCs w:val="22"/>
          <w:lang w:val="es-CO"/>
        </w:rPr>
        <w:t xml:space="preserve"> información contable-financiera sobre el manejo de los recursos para alimentar el Reporte de Progreso y Monitoreo del Banco. </w:t>
      </w:r>
    </w:p>
    <w:p w14:paraId="48421BF8" w14:textId="1D9A1794" w:rsidR="00346FFC" w:rsidRDefault="0011471C" w:rsidP="007624A0">
      <w:pPr>
        <w:spacing w:before="120" w:after="120"/>
        <w:ind w:left="567"/>
        <w:jc w:val="both"/>
        <w:rPr>
          <w:rFonts w:ascii="Arial" w:hAnsi="Arial" w:cs="Arial"/>
          <w:sz w:val="22"/>
          <w:szCs w:val="22"/>
          <w:lang w:val="es-CO"/>
        </w:rPr>
      </w:pPr>
      <w:r>
        <w:rPr>
          <w:rFonts w:ascii="Arial" w:hAnsi="Arial" w:cs="Arial"/>
          <w:sz w:val="22"/>
          <w:szCs w:val="22"/>
          <w:lang w:val="es-CO"/>
        </w:rPr>
        <w:t>E</w:t>
      </w:r>
      <w:r w:rsidR="00346FFC">
        <w:rPr>
          <w:rFonts w:ascii="Arial" w:hAnsi="Arial" w:cs="Arial"/>
          <w:sz w:val="22"/>
          <w:szCs w:val="22"/>
          <w:lang w:val="es-CO"/>
        </w:rPr>
        <w:t>l c</w:t>
      </w:r>
      <w:r w:rsidR="00DF5406" w:rsidRPr="00DF5406">
        <w:rPr>
          <w:rFonts w:ascii="Arial" w:hAnsi="Arial" w:cs="Arial"/>
          <w:sz w:val="22"/>
          <w:szCs w:val="22"/>
          <w:lang w:val="es-CO"/>
        </w:rPr>
        <w:t>ontenido de los informes semestrales</w:t>
      </w:r>
      <w:r>
        <w:rPr>
          <w:rFonts w:ascii="Arial" w:hAnsi="Arial" w:cs="Arial"/>
          <w:sz w:val="22"/>
          <w:szCs w:val="22"/>
          <w:lang w:val="es-CO"/>
        </w:rPr>
        <w:t xml:space="preserve"> deberá incluir</w:t>
      </w:r>
      <w:r w:rsidR="00346FFC">
        <w:rPr>
          <w:rFonts w:ascii="Arial" w:hAnsi="Arial" w:cs="Arial"/>
          <w:sz w:val="22"/>
          <w:szCs w:val="22"/>
          <w:lang w:val="es-CO"/>
        </w:rPr>
        <w:t>:</w:t>
      </w:r>
    </w:p>
    <w:p w14:paraId="1DE4A59E" w14:textId="67B25252" w:rsidR="00346FFC" w:rsidRPr="00346FFC" w:rsidRDefault="00DF5406" w:rsidP="007624A0">
      <w:pPr>
        <w:pStyle w:val="ListParagraph"/>
        <w:numPr>
          <w:ilvl w:val="0"/>
          <w:numId w:val="34"/>
        </w:numPr>
        <w:spacing w:before="120" w:after="120"/>
        <w:ind w:left="1134" w:hanging="567"/>
        <w:jc w:val="both"/>
        <w:rPr>
          <w:rFonts w:ascii="Arial" w:hAnsi="Arial" w:cs="Arial"/>
          <w:sz w:val="22"/>
          <w:szCs w:val="22"/>
          <w:lang w:val="es-CO"/>
        </w:rPr>
      </w:pPr>
      <w:r w:rsidRPr="00346FFC">
        <w:rPr>
          <w:rFonts w:ascii="Arial" w:hAnsi="Arial" w:cs="Arial"/>
          <w:sz w:val="22"/>
          <w:szCs w:val="22"/>
          <w:lang w:val="es-CO"/>
        </w:rPr>
        <w:t>cumplimiento de las condiciones contractuales;</w:t>
      </w:r>
    </w:p>
    <w:p w14:paraId="52B7FB79" w14:textId="77777777" w:rsidR="00346FFC" w:rsidRPr="00346FFC" w:rsidRDefault="00DF5406" w:rsidP="007624A0">
      <w:pPr>
        <w:pStyle w:val="ListParagraph"/>
        <w:numPr>
          <w:ilvl w:val="0"/>
          <w:numId w:val="34"/>
        </w:numPr>
        <w:spacing w:before="120" w:after="120"/>
        <w:ind w:left="1134" w:hanging="567"/>
        <w:jc w:val="both"/>
        <w:rPr>
          <w:rFonts w:ascii="Arial" w:hAnsi="Arial" w:cs="Arial"/>
          <w:b/>
          <w:bCs/>
          <w:sz w:val="22"/>
          <w:szCs w:val="22"/>
          <w:lang w:val="es-CO"/>
        </w:rPr>
      </w:pPr>
      <w:r w:rsidRPr="00346FFC">
        <w:rPr>
          <w:rFonts w:ascii="Arial" w:hAnsi="Arial" w:cs="Arial"/>
          <w:sz w:val="22"/>
          <w:szCs w:val="22"/>
          <w:lang w:val="es-CO"/>
        </w:rPr>
        <w:t xml:space="preserve">descripción e información general sobre las actividades realizadas; </w:t>
      </w:r>
    </w:p>
    <w:p w14:paraId="49A61AF9" w14:textId="77777777" w:rsidR="00346FFC" w:rsidRPr="00346FFC" w:rsidRDefault="00DF5406" w:rsidP="007624A0">
      <w:pPr>
        <w:pStyle w:val="ListParagraph"/>
        <w:numPr>
          <w:ilvl w:val="0"/>
          <w:numId w:val="34"/>
        </w:numPr>
        <w:spacing w:before="120" w:after="120"/>
        <w:ind w:left="1134" w:hanging="567"/>
        <w:jc w:val="both"/>
        <w:rPr>
          <w:rFonts w:ascii="Arial" w:hAnsi="Arial" w:cs="Arial"/>
          <w:b/>
          <w:bCs/>
          <w:sz w:val="22"/>
          <w:szCs w:val="22"/>
          <w:lang w:val="es-CO"/>
        </w:rPr>
      </w:pPr>
      <w:r w:rsidRPr="00346FFC">
        <w:rPr>
          <w:rFonts w:ascii="Arial" w:hAnsi="Arial" w:cs="Arial"/>
          <w:sz w:val="22"/>
          <w:szCs w:val="22"/>
          <w:lang w:val="es-CO"/>
        </w:rPr>
        <w:t xml:space="preserve">progreso en relación con los indicadores de ejecución y calendario de desembolsos convenido y cronogramas actualizados de ejecución física y desembolsos; </w:t>
      </w:r>
    </w:p>
    <w:p w14:paraId="6E2ADF6D" w14:textId="77777777" w:rsidR="00346FFC" w:rsidRPr="00346FFC" w:rsidRDefault="00DF5406" w:rsidP="007624A0">
      <w:pPr>
        <w:pStyle w:val="ListParagraph"/>
        <w:numPr>
          <w:ilvl w:val="0"/>
          <w:numId w:val="34"/>
        </w:numPr>
        <w:spacing w:before="120" w:after="120"/>
        <w:ind w:left="1134" w:hanging="567"/>
        <w:jc w:val="both"/>
        <w:rPr>
          <w:rFonts w:ascii="Arial" w:hAnsi="Arial" w:cs="Arial"/>
          <w:b/>
          <w:bCs/>
          <w:sz w:val="22"/>
          <w:szCs w:val="22"/>
          <w:lang w:val="es-CO"/>
        </w:rPr>
      </w:pPr>
      <w:r w:rsidRPr="00346FFC">
        <w:rPr>
          <w:rFonts w:ascii="Arial" w:hAnsi="Arial" w:cs="Arial"/>
          <w:sz w:val="22"/>
          <w:szCs w:val="22"/>
          <w:lang w:val="es-CO"/>
        </w:rPr>
        <w:t xml:space="preserve">cronogramas actualizados de ejecución física y desembolsos; </w:t>
      </w:r>
    </w:p>
    <w:p w14:paraId="72C4E67D" w14:textId="77777777" w:rsidR="00346FFC" w:rsidRPr="00346FFC" w:rsidRDefault="00DF5406" w:rsidP="007624A0">
      <w:pPr>
        <w:pStyle w:val="ListParagraph"/>
        <w:numPr>
          <w:ilvl w:val="0"/>
          <w:numId w:val="34"/>
        </w:numPr>
        <w:spacing w:before="120" w:after="120"/>
        <w:ind w:left="1134" w:hanging="567"/>
        <w:jc w:val="both"/>
        <w:rPr>
          <w:rFonts w:ascii="Arial" w:hAnsi="Arial" w:cs="Arial"/>
          <w:b/>
          <w:bCs/>
          <w:sz w:val="22"/>
          <w:szCs w:val="22"/>
          <w:lang w:val="es-CO"/>
        </w:rPr>
      </w:pPr>
      <w:r w:rsidRPr="00346FFC">
        <w:rPr>
          <w:rFonts w:ascii="Arial" w:hAnsi="Arial" w:cs="Arial"/>
          <w:sz w:val="22"/>
          <w:szCs w:val="22"/>
          <w:lang w:val="es-CO"/>
        </w:rPr>
        <w:t xml:space="preserve">un programa de actividades para el semestre entrante; </w:t>
      </w:r>
    </w:p>
    <w:p w14:paraId="74A187D8" w14:textId="77777777" w:rsidR="00346FFC" w:rsidRPr="00346FFC" w:rsidRDefault="00DF5406" w:rsidP="007624A0">
      <w:pPr>
        <w:pStyle w:val="ListParagraph"/>
        <w:numPr>
          <w:ilvl w:val="0"/>
          <w:numId w:val="34"/>
        </w:numPr>
        <w:spacing w:before="120" w:after="120"/>
        <w:ind w:left="1134" w:hanging="567"/>
        <w:jc w:val="both"/>
        <w:rPr>
          <w:rFonts w:ascii="Arial" w:hAnsi="Arial" w:cs="Arial"/>
          <w:b/>
          <w:bCs/>
          <w:sz w:val="22"/>
          <w:szCs w:val="22"/>
          <w:lang w:val="es-CO"/>
        </w:rPr>
      </w:pPr>
      <w:r w:rsidRPr="00346FFC">
        <w:rPr>
          <w:rFonts w:ascii="Arial" w:hAnsi="Arial" w:cs="Arial"/>
          <w:sz w:val="22"/>
          <w:szCs w:val="22"/>
          <w:lang w:val="es-CO"/>
        </w:rPr>
        <w:t xml:space="preserve">un resumen del estado de ejecución financiera del programa y el flujo de recursos previsto para el próximo semestre; </w:t>
      </w:r>
    </w:p>
    <w:p w14:paraId="6C0FBB64" w14:textId="77777777" w:rsidR="00346FFC" w:rsidRPr="00346FFC" w:rsidRDefault="00DF5406" w:rsidP="007624A0">
      <w:pPr>
        <w:pStyle w:val="ListParagraph"/>
        <w:numPr>
          <w:ilvl w:val="0"/>
          <w:numId w:val="34"/>
        </w:numPr>
        <w:spacing w:before="120" w:after="120"/>
        <w:ind w:left="1134" w:hanging="567"/>
        <w:jc w:val="both"/>
        <w:rPr>
          <w:rFonts w:ascii="Arial" w:hAnsi="Arial" w:cs="Arial"/>
          <w:b/>
          <w:bCs/>
          <w:sz w:val="22"/>
          <w:szCs w:val="22"/>
          <w:lang w:val="es-CO"/>
        </w:rPr>
      </w:pPr>
      <w:r w:rsidRPr="00346FFC">
        <w:rPr>
          <w:rFonts w:ascii="Arial" w:hAnsi="Arial" w:cs="Arial"/>
          <w:sz w:val="22"/>
          <w:szCs w:val="22"/>
          <w:lang w:val="es-CO"/>
        </w:rPr>
        <w:t xml:space="preserve">una sección identificando posibles desarrollos o eventos que pudieran poner en riesgo la ejecución en el futuro (en base a los principales riesgos identificados); y </w:t>
      </w:r>
    </w:p>
    <w:p w14:paraId="33D51502" w14:textId="77E17C3E" w:rsidR="000802A4" w:rsidRPr="002C03B2" w:rsidRDefault="00DF5406" w:rsidP="007624A0">
      <w:pPr>
        <w:pStyle w:val="ListParagraph"/>
        <w:numPr>
          <w:ilvl w:val="0"/>
          <w:numId w:val="34"/>
        </w:numPr>
        <w:spacing w:before="120" w:after="120"/>
        <w:ind w:left="1134" w:hanging="567"/>
        <w:jc w:val="both"/>
        <w:rPr>
          <w:rFonts w:ascii="Arial" w:hAnsi="Arial" w:cs="Arial"/>
          <w:b/>
          <w:bCs/>
          <w:sz w:val="22"/>
          <w:szCs w:val="22"/>
          <w:lang w:val="es-CO"/>
        </w:rPr>
      </w:pPr>
      <w:r w:rsidRPr="00346FFC">
        <w:rPr>
          <w:rFonts w:ascii="Arial" w:hAnsi="Arial" w:cs="Arial"/>
          <w:sz w:val="22"/>
          <w:szCs w:val="22"/>
          <w:lang w:val="es-CO"/>
        </w:rPr>
        <w:t>estado de ejecución del POA, el PEP y el Plan de Adquisiciones.</w:t>
      </w:r>
    </w:p>
    <w:p w14:paraId="7DC8A19B" w14:textId="0CA766AD" w:rsidR="00B4172F" w:rsidRPr="002C03B2" w:rsidRDefault="00B4172F" w:rsidP="007624A0">
      <w:pPr>
        <w:spacing w:before="120" w:after="120"/>
        <w:ind w:left="567"/>
        <w:jc w:val="both"/>
        <w:rPr>
          <w:rFonts w:ascii="Arial" w:hAnsi="Arial" w:cs="Arial"/>
          <w:sz w:val="22"/>
          <w:szCs w:val="22"/>
          <w:lang w:val="es-CO"/>
        </w:rPr>
      </w:pPr>
      <w:r w:rsidRPr="002C03B2">
        <w:rPr>
          <w:rFonts w:ascii="Arial" w:hAnsi="Arial" w:cs="Arial"/>
          <w:sz w:val="22"/>
          <w:szCs w:val="22"/>
          <w:lang w:val="es-CO"/>
        </w:rPr>
        <w:lastRenderedPageBreak/>
        <w:t xml:space="preserve">El Banco podrá solicitar informes adicionales que considere adecuados o procedentes. El Informe de Progreso correspondiente al segundo semestre del año calendario deberá presentar una síntesis de los logros alcanzados por componentes, analizando los riesgos del Programa </w:t>
      </w:r>
      <w:r w:rsidR="00FE2789" w:rsidRPr="002C03B2">
        <w:rPr>
          <w:rFonts w:ascii="Arial" w:hAnsi="Arial" w:cs="Arial"/>
          <w:sz w:val="22"/>
          <w:szCs w:val="22"/>
          <w:lang w:val="es-CO"/>
        </w:rPr>
        <w:t>de acuerdo con</w:t>
      </w:r>
      <w:r w:rsidRPr="002C03B2">
        <w:rPr>
          <w:rFonts w:ascii="Arial" w:hAnsi="Arial" w:cs="Arial"/>
          <w:sz w:val="22"/>
          <w:szCs w:val="22"/>
          <w:lang w:val="es-CO"/>
        </w:rPr>
        <w:t xml:space="preserve"> la Matriz de Riesgo. Debe presentar también una visión consolidada de las dificultades y lecciones aprendidas</w:t>
      </w:r>
      <w:r w:rsidR="003D2F7C" w:rsidRPr="002C03B2">
        <w:rPr>
          <w:rFonts w:ascii="Arial" w:hAnsi="Arial" w:cs="Arial"/>
          <w:sz w:val="22"/>
          <w:szCs w:val="22"/>
          <w:lang w:val="es-CO"/>
        </w:rPr>
        <w:t>;</w:t>
      </w:r>
      <w:r w:rsidRPr="002C03B2">
        <w:rPr>
          <w:rFonts w:ascii="Arial" w:hAnsi="Arial" w:cs="Arial"/>
          <w:sz w:val="22"/>
          <w:szCs w:val="22"/>
          <w:lang w:val="es-CO"/>
        </w:rPr>
        <w:t xml:space="preserve"> así como</w:t>
      </w:r>
      <w:r w:rsidR="003D2F7C" w:rsidRPr="002C03B2">
        <w:rPr>
          <w:rFonts w:ascii="Arial" w:hAnsi="Arial" w:cs="Arial"/>
          <w:sz w:val="22"/>
          <w:szCs w:val="22"/>
          <w:lang w:val="es-CO"/>
        </w:rPr>
        <w:t>,</w:t>
      </w:r>
      <w:r w:rsidRPr="002C03B2">
        <w:rPr>
          <w:rFonts w:ascii="Arial" w:hAnsi="Arial" w:cs="Arial"/>
          <w:sz w:val="22"/>
          <w:szCs w:val="22"/>
          <w:lang w:val="es-CO"/>
        </w:rPr>
        <w:t xml:space="preserve"> las recomendaciones destinadas a retroalimentar el Programa. Los Informes Semestrales de Progreso deberán ser presentados en un plazo máximo de 30 días después del cierre del semestre correspondiente.</w:t>
      </w:r>
    </w:p>
    <w:p w14:paraId="3C9A89CF" w14:textId="31568366" w:rsidR="008A675B" w:rsidRDefault="008A675B" w:rsidP="007624A0">
      <w:pPr>
        <w:spacing w:before="120" w:after="120"/>
        <w:ind w:left="567"/>
        <w:jc w:val="both"/>
        <w:rPr>
          <w:rFonts w:ascii="Arial" w:hAnsi="Arial" w:cs="Arial"/>
          <w:sz w:val="22"/>
          <w:szCs w:val="22"/>
          <w:lang w:val="es-CO"/>
        </w:rPr>
      </w:pPr>
      <w:r w:rsidRPr="002C03B2">
        <w:rPr>
          <w:rFonts w:ascii="Arial" w:hAnsi="Arial" w:cs="Arial"/>
          <w:sz w:val="22"/>
          <w:szCs w:val="22"/>
          <w:lang w:val="es-CO"/>
        </w:rPr>
        <w:t>El POA consolida todas las actividades que serán desarrolladas durante determinado periodo de ejecución y su cronograma físico-financiero. El primer POA alcanza el período de 18 meses. El POA siguiente alcanzará el período inmediatamente posterior a la primera revisión, hasta el día 31 de diciembre del respectivo año. A partir de este evento, los POAs serán presentados para cada año calendario (1 de enero al 31 de diciembre). Este documento deberá ser presentado al BID</w:t>
      </w:r>
      <w:r w:rsidR="00FE2789" w:rsidRPr="002C03B2">
        <w:rPr>
          <w:rFonts w:ascii="Arial" w:hAnsi="Arial" w:cs="Arial"/>
          <w:sz w:val="22"/>
          <w:szCs w:val="22"/>
          <w:lang w:val="es-CO"/>
        </w:rPr>
        <w:t>, inicialmente,</w:t>
      </w:r>
      <w:r w:rsidRPr="002C03B2">
        <w:rPr>
          <w:rFonts w:ascii="Arial" w:hAnsi="Arial" w:cs="Arial"/>
          <w:sz w:val="22"/>
          <w:szCs w:val="22"/>
          <w:lang w:val="es-CO"/>
        </w:rPr>
        <w:t xml:space="preserve"> </w:t>
      </w:r>
      <w:r w:rsidR="00FE2789" w:rsidRPr="002C03B2">
        <w:rPr>
          <w:rFonts w:ascii="Arial" w:hAnsi="Arial" w:cs="Arial"/>
          <w:sz w:val="22"/>
          <w:szCs w:val="22"/>
          <w:lang w:val="es-CO"/>
        </w:rPr>
        <w:t xml:space="preserve">el 30 de abril </w:t>
      </w:r>
      <w:r w:rsidRPr="002C03B2">
        <w:rPr>
          <w:rFonts w:ascii="Arial" w:hAnsi="Arial" w:cs="Arial"/>
          <w:sz w:val="22"/>
          <w:szCs w:val="22"/>
          <w:lang w:val="es-CO"/>
        </w:rPr>
        <w:t>del año anterior a su vigencia</w:t>
      </w:r>
      <w:r w:rsidR="00FE2789" w:rsidRPr="002C03B2">
        <w:rPr>
          <w:rFonts w:ascii="Arial" w:hAnsi="Arial" w:cs="Arial"/>
          <w:sz w:val="22"/>
          <w:szCs w:val="22"/>
          <w:lang w:val="es-CO"/>
        </w:rPr>
        <w:t xml:space="preserve"> y puede ser actualizado al 30 de noviembre</w:t>
      </w:r>
      <w:r w:rsidRPr="002C03B2">
        <w:rPr>
          <w:rFonts w:ascii="Arial" w:hAnsi="Arial" w:cs="Arial"/>
          <w:sz w:val="22"/>
          <w:szCs w:val="22"/>
          <w:lang w:val="es-CO"/>
        </w:rPr>
        <w:t>. El PA debe ser actualizado anualmente o cuando sea necesario, durante todo el período de ejecución del Programa.</w:t>
      </w:r>
    </w:p>
    <w:p w14:paraId="38CAB3DB" w14:textId="0D098FB2" w:rsidR="00DC3A87" w:rsidRPr="002C03B2" w:rsidRDefault="00DC3A87" w:rsidP="00760463">
      <w:pPr>
        <w:pStyle w:val="ListParagraph"/>
        <w:numPr>
          <w:ilvl w:val="1"/>
          <w:numId w:val="13"/>
        </w:numPr>
        <w:spacing w:before="120" w:after="120"/>
        <w:ind w:left="567" w:hanging="567"/>
        <w:contextualSpacing w:val="0"/>
        <w:jc w:val="both"/>
        <w:rPr>
          <w:rFonts w:ascii="Arial" w:hAnsi="Arial" w:cs="Arial"/>
          <w:b/>
          <w:bCs/>
          <w:sz w:val="22"/>
          <w:szCs w:val="22"/>
          <w:lang w:val="es-CO"/>
        </w:rPr>
      </w:pPr>
      <w:r w:rsidRPr="002C03B2">
        <w:rPr>
          <w:rFonts w:ascii="Arial" w:hAnsi="Arial" w:cs="Arial"/>
          <w:b/>
          <w:bCs/>
          <w:sz w:val="22"/>
          <w:szCs w:val="22"/>
          <w:lang w:val="es-CO"/>
        </w:rPr>
        <w:t>Coordinación</w:t>
      </w:r>
      <w:r w:rsidR="0095316D" w:rsidRPr="002C03B2">
        <w:rPr>
          <w:rFonts w:ascii="Arial" w:hAnsi="Arial" w:cs="Arial"/>
          <w:b/>
          <w:bCs/>
          <w:sz w:val="22"/>
          <w:szCs w:val="22"/>
          <w:lang w:val="es-CO"/>
        </w:rPr>
        <w:t xml:space="preserve">, </w:t>
      </w:r>
      <w:r w:rsidRPr="002C03B2">
        <w:rPr>
          <w:rFonts w:ascii="Arial" w:hAnsi="Arial" w:cs="Arial"/>
          <w:b/>
          <w:bCs/>
          <w:sz w:val="22"/>
          <w:szCs w:val="22"/>
          <w:lang w:val="es-CO"/>
        </w:rPr>
        <w:t>plan de trabajo</w:t>
      </w:r>
      <w:r w:rsidR="0095316D" w:rsidRPr="002C03B2">
        <w:rPr>
          <w:rFonts w:ascii="Arial" w:hAnsi="Arial" w:cs="Arial"/>
          <w:b/>
          <w:bCs/>
          <w:sz w:val="22"/>
          <w:szCs w:val="22"/>
          <w:lang w:val="es-CO"/>
        </w:rPr>
        <w:t xml:space="preserve"> y presupuesto de seguimiento</w:t>
      </w:r>
    </w:p>
    <w:p w14:paraId="0B029630" w14:textId="7EAD7DD0" w:rsidR="00DC3A87" w:rsidRPr="002C03B2" w:rsidRDefault="0014572A" w:rsidP="007624A0">
      <w:pPr>
        <w:spacing w:before="120" w:after="120"/>
        <w:ind w:left="567"/>
        <w:jc w:val="both"/>
        <w:rPr>
          <w:rFonts w:ascii="Arial" w:hAnsi="Arial" w:cs="Arial"/>
          <w:b/>
          <w:bCs/>
          <w:color w:val="4472C4" w:themeColor="accent1"/>
          <w:sz w:val="22"/>
          <w:szCs w:val="22"/>
          <w:lang w:val="es-CO"/>
        </w:rPr>
      </w:pPr>
      <w:r w:rsidRPr="002C03B2">
        <w:rPr>
          <w:rFonts w:ascii="Arial" w:hAnsi="Arial" w:cs="Arial"/>
          <w:sz w:val="22"/>
          <w:szCs w:val="22"/>
          <w:lang w:val="es-CO"/>
        </w:rPr>
        <w:t>E</w:t>
      </w:r>
      <w:r w:rsidR="000C358D" w:rsidRPr="002C03B2">
        <w:rPr>
          <w:rFonts w:ascii="Arial" w:hAnsi="Arial" w:cs="Arial"/>
          <w:sz w:val="22"/>
          <w:szCs w:val="22"/>
          <w:lang w:val="es-CO"/>
        </w:rPr>
        <w:t>l DNP asum</w:t>
      </w:r>
      <w:r w:rsidR="00D36030" w:rsidRPr="002C03B2">
        <w:rPr>
          <w:rFonts w:ascii="Arial" w:hAnsi="Arial" w:cs="Arial"/>
          <w:sz w:val="22"/>
          <w:szCs w:val="22"/>
          <w:lang w:val="es-CO"/>
        </w:rPr>
        <w:t xml:space="preserve">irá </w:t>
      </w:r>
      <w:r w:rsidR="000C358D" w:rsidRPr="002C03B2">
        <w:rPr>
          <w:rFonts w:ascii="Arial" w:hAnsi="Arial" w:cs="Arial"/>
          <w:sz w:val="22"/>
          <w:szCs w:val="22"/>
          <w:lang w:val="es-CO"/>
        </w:rPr>
        <w:t xml:space="preserve">ante el Banco la responsabilidad técnica y fiduciaria el Programa, por intermedio de </w:t>
      </w:r>
      <w:r w:rsidR="00027689" w:rsidRPr="002C03B2">
        <w:rPr>
          <w:rFonts w:ascii="Arial" w:hAnsi="Arial" w:cs="Arial"/>
          <w:sz w:val="22"/>
          <w:szCs w:val="22"/>
          <w:lang w:val="es-CO"/>
        </w:rPr>
        <w:t xml:space="preserve">la División de Transporte (TSP), </w:t>
      </w:r>
      <w:r w:rsidR="00027689" w:rsidRPr="002C03B2">
        <w:rPr>
          <w:rFonts w:ascii="Arial" w:hAnsi="Arial" w:cs="Arial"/>
          <w:i/>
          <w:iCs/>
          <w:sz w:val="22"/>
          <w:szCs w:val="22"/>
          <w:lang w:val="es-CO"/>
        </w:rPr>
        <w:t>double booking</w:t>
      </w:r>
      <w:r w:rsidR="00027689" w:rsidRPr="002C03B2">
        <w:rPr>
          <w:rFonts w:ascii="Arial" w:hAnsi="Arial" w:cs="Arial"/>
          <w:sz w:val="22"/>
          <w:szCs w:val="22"/>
          <w:lang w:val="es-CO"/>
        </w:rPr>
        <w:t xml:space="preserve"> con la División de Protección Social y Salud (SPH), y con apoyo del equipo de Asociaciones Público – Privadas (VPC/PPP).</w:t>
      </w:r>
    </w:p>
    <w:p w14:paraId="2A9D4B47" w14:textId="309D15A6" w:rsidR="00B57D79" w:rsidRPr="002C03B2" w:rsidRDefault="00330B8C" w:rsidP="007624A0">
      <w:pPr>
        <w:spacing w:before="120" w:after="120"/>
        <w:ind w:left="567"/>
        <w:jc w:val="both"/>
        <w:rPr>
          <w:rFonts w:ascii="Arial" w:hAnsi="Arial" w:cs="Arial"/>
          <w:b/>
          <w:bCs/>
          <w:color w:val="4472C4" w:themeColor="accent1"/>
          <w:sz w:val="22"/>
          <w:szCs w:val="22"/>
          <w:lang w:val="es-CO"/>
        </w:rPr>
      </w:pPr>
      <w:r w:rsidRPr="002C03B2">
        <w:rPr>
          <w:rFonts w:ascii="Arial" w:hAnsi="Arial" w:cs="Arial"/>
          <w:sz w:val="22"/>
          <w:szCs w:val="22"/>
          <w:lang w:val="es-CO"/>
        </w:rPr>
        <w:t xml:space="preserve">El </w:t>
      </w:r>
      <w:r w:rsidR="00D72E57" w:rsidRPr="002C03B2">
        <w:rPr>
          <w:rFonts w:ascii="Arial" w:hAnsi="Arial" w:cs="Arial"/>
          <w:sz w:val="22"/>
          <w:szCs w:val="22"/>
          <w:lang w:val="es-CO"/>
        </w:rPr>
        <w:t>OE</w:t>
      </w:r>
      <w:r w:rsidR="00B57D79" w:rsidRPr="002C03B2">
        <w:rPr>
          <w:rFonts w:ascii="Arial" w:hAnsi="Arial" w:cs="Arial"/>
          <w:sz w:val="22"/>
          <w:szCs w:val="22"/>
          <w:lang w:val="es-CO"/>
        </w:rPr>
        <w:t xml:space="preserve"> del proyecto será</w:t>
      </w:r>
      <w:r w:rsidRPr="002C03B2">
        <w:rPr>
          <w:rFonts w:ascii="Arial" w:hAnsi="Arial" w:cs="Arial"/>
          <w:sz w:val="22"/>
          <w:szCs w:val="22"/>
          <w:lang w:val="es-CO"/>
        </w:rPr>
        <w:t xml:space="preserve"> </w:t>
      </w:r>
      <w:r w:rsidR="00B57D79" w:rsidRPr="002C03B2">
        <w:rPr>
          <w:rFonts w:ascii="Arial" w:hAnsi="Arial" w:cs="Arial"/>
          <w:sz w:val="22"/>
          <w:szCs w:val="22"/>
          <w:lang w:val="es-CO"/>
        </w:rPr>
        <w:t xml:space="preserve">responsable de la supervisión y coordinación técnica y administrativa del Programa, y de reportar los informes semestrales de ejecución, así como cualquier informe adicional y documentación que sean requeridos por el Banco. </w:t>
      </w:r>
    </w:p>
    <w:p w14:paraId="2AD34EFA" w14:textId="5DD527A8" w:rsidR="00B57D79" w:rsidRPr="002C03B2" w:rsidRDefault="00330B8C" w:rsidP="007624A0">
      <w:pPr>
        <w:spacing w:before="120" w:after="120"/>
        <w:ind w:left="567"/>
        <w:jc w:val="both"/>
        <w:rPr>
          <w:rFonts w:ascii="Arial" w:hAnsi="Arial" w:cs="Arial"/>
          <w:sz w:val="22"/>
          <w:szCs w:val="22"/>
          <w:lang w:val="es-CO"/>
        </w:rPr>
      </w:pPr>
      <w:r w:rsidRPr="002C03B2">
        <w:rPr>
          <w:rFonts w:ascii="Arial" w:hAnsi="Arial" w:cs="Arial"/>
          <w:sz w:val="22"/>
          <w:szCs w:val="22"/>
          <w:lang w:val="es-CO"/>
        </w:rPr>
        <w:t xml:space="preserve">El </w:t>
      </w:r>
      <w:r w:rsidR="00D72E57" w:rsidRPr="002C03B2">
        <w:rPr>
          <w:rFonts w:ascii="Arial" w:hAnsi="Arial" w:cs="Arial"/>
          <w:sz w:val="22"/>
          <w:szCs w:val="22"/>
          <w:lang w:val="es-CO"/>
        </w:rPr>
        <w:t>OE</w:t>
      </w:r>
      <w:r w:rsidR="00B57D79" w:rsidRPr="002C03B2">
        <w:rPr>
          <w:rFonts w:ascii="Arial" w:hAnsi="Arial" w:cs="Arial"/>
          <w:sz w:val="22"/>
          <w:szCs w:val="22"/>
          <w:lang w:val="es-CO"/>
        </w:rPr>
        <w:t xml:space="preserve"> tendrá, dentro de sus funciones</w:t>
      </w:r>
      <w:r w:rsidR="00F15AF5" w:rsidRPr="002C03B2">
        <w:rPr>
          <w:rFonts w:ascii="Arial" w:hAnsi="Arial" w:cs="Arial"/>
          <w:sz w:val="22"/>
          <w:szCs w:val="22"/>
          <w:lang w:val="es-CO"/>
        </w:rPr>
        <w:t>,</w:t>
      </w:r>
      <w:r w:rsidR="00B57D79" w:rsidRPr="002C03B2">
        <w:rPr>
          <w:rFonts w:ascii="Arial" w:hAnsi="Arial" w:cs="Arial"/>
          <w:sz w:val="22"/>
          <w:szCs w:val="22"/>
          <w:lang w:val="es-CO"/>
        </w:rPr>
        <w:t xml:space="preserve"> la supervisión y monitoreo de los indicadores acordados en la Matriz de Resultados. </w:t>
      </w:r>
      <w:r w:rsidR="00F15AF5" w:rsidRPr="002C03B2">
        <w:rPr>
          <w:rFonts w:ascii="Arial" w:hAnsi="Arial" w:cs="Arial"/>
          <w:sz w:val="22"/>
          <w:szCs w:val="22"/>
          <w:lang w:val="es-CO"/>
        </w:rPr>
        <w:t xml:space="preserve">Esta función será asumida por el coordinador operativo, de planeación y monitoreo. </w:t>
      </w:r>
      <w:r w:rsidR="00B57D79" w:rsidRPr="002C03B2">
        <w:rPr>
          <w:rFonts w:ascii="Arial" w:hAnsi="Arial" w:cs="Arial"/>
          <w:sz w:val="22"/>
          <w:szCs w:val="22"/>
          <w:lang w:val="es-CO"/>
        </w:rPr>
        <w:t>Est</w:t>
      </w:r>
      <w:r w:rsidR="00F15AF5" w:rsidRPr="002C03B2">
        <w:rPr>
          <w:rFonts w:ascii="Arial" w:hAnsi="Arial" w:cs="Arial"/>
          <w:sz w:val="22"/>
          <w:szCs w:val="22"/>
          <w:lang w:val="es-CO"/>
        </w:rPr>
        <w:t xml:space="preserve">e perfil se incluye </w:t>
      </w:r>
      <w:r w:rsidR="00B57D79" w:rsidRPr="002C03B2">
        <w:rPr>
          <w:rFonts w:ascii="Arial" w:hAnsi="Arial" w:cs="Arial"/>
          <w:sz w:val="22"/>
          <w:szCs w:val="22"/>
          <w:lang w:val="es-CO"/>
        </w:rPr>
        <w:t>dentro del presupuesto destinado a los gastos de administració</w:t>
      </w:r>
      <w:r w:rsidR="00C86399" w:rsidRPr="002C03B2">
        <w:rPr>
          <w:rFonts w:ascii="Arial" w:hAnsi="Arial" w:cs="Arial"/>
          <w:sz w:val="22"/>
          <w:szCs w:val="22"/>
          <w:lang w:val="es-CO"/>
        </w:rPr>
        <w:t>n del Programa.</w:t>
      </w:r>
    </w:p>
    <w:p w14:paraId="1EE440C2" w14:textId="1565B648" w:rsidR="00116874" w:rsidRPr="002C03B2" w:rsidRDefault="00116874" w:rsidP="007624A0">
      <w:pPr>
        <w:spacing w:before="120" w:after="120"/>
        <w:ind w:left="567"/>
        <w:jc w:val="both"/>
        <w:rPr>
          <w:rFonts w:ascii="Arial" w:hAnsi="Arial" w:cs="Arial"/>
          <w:sz w:val="22"/>
          <w:szCs w:val="22"/>
          <w:lang w:val="es-CO"/>
        </w:rPr>
      </w:pPr>
      <w:r w:rsidRPr="002C03B2">
        <w:rPr>
          <w:rFonts w:ascii="Arial" w:hAnsi="Arial" w:cs="Arial"/>
          <w:sz w:val="22"/>
          <w:szCs w:val="22"/>
          <w:lang w:val="es-CO"/>
        </w:rPr>
        <w:t>Cada año</w:t>
      </w:r>
      <w:r w:rsidR="00ED034D" w:rsidRPr="002C03B2">
        <w:rPr>
          <w:rFonts w:ascii="Arial" w:hAnsi="Arial" w:cs="Arial"/>
          <w:sz w:val="22"/>
          <w:szCs w:val="22"/>
          <w:lang w:val="es-CO"/>
        </w:rPr>
        <w:t>, una firma de auditoría independiente aceptable para el Banco auditará l</w:t>
      </w:r>
      <w:r w:rsidRPr="002C03B2">
        <w:rPr>
          <w:rFonts w:ascii="Arial" w:hAnsi="Arial" w:cs="Arial"/>
          <w:sz w:val="22"/>
          <w:szCs w:val="22"/>
          <w:lang w:val="es-CO"/>
        </w:rPr>
        <w:t xml:space="preserve">os estados financieros y la elegibilidad de los gastos del </w:t>
      </w:r>
      <w:r w:rsidR="00567753" w:rsidRPr="002C03B2">
        <w:rPr>
          <w:rFonts w:ascii="Arial" w:hAnsi="Arial" w:cs="Arial"/>
          <w:sz w:val="22"/>
          <w:szCs w:val="22"/>
          <w:lang w:val="es-CO"/>
        </w:rPr>
        <w:t>P</w:t>
      </w:r>
      <w:r w:rsidRPr="002C03B2">
        <w:rPr>
          <w:rFonts w:ascii="Arial" w:hAnsi="Arial" w:cs="Arial"/>
          <w:sz w:val="22"/>
          <w:szCs w:val="22"/>
          <w:lang w:val="es-CO"/>
        </w:rPr>
        <w:t>rograma</w:t>
      </w:r>
      <w:r w:rsidR="00567753" w:rsidRPr="002C03B2">
        <w:rPr>
          <w:rFonts w:ascii="Arial" w:hAnsi="Arial" w:cs="Arial"/>
          <w:sz w:val="22"/>
          <w:szCs w:val="22"/>
          <w:lang w:val="es-CO"/>
        </w:rPr>
        <w:t>.</w:t>
      </w:r>
      <w:r w:rsidRPr="002C03B2">
        <w:rPr>
          <w:rFonts w:ascii="Arial" w:hAnsi="Arial" w:cs="Arial"/>
          <w:sz w:val="22"/>
          <w:szCs w:val="22"/>
          <w:lang w:val="es-CO"/>
        </w:rPr>
        <w:t xml:space="preserve"> </w:t>
      </w:r>
      <w:r w:rsidR="00567753" w:rsidRPr="002C03B2">
        <w:rPr>
          <w:rFonts w:ascii="Arial" w:hAnsi="Arial" w:cs="Arial"/>
          <w:sz w:val="22"/>
          <w:szCs w:val="22"/>
          <w:lang w:val="es-CO"/>
        </w:rPr>
        <w:t xml:space="preserve">Esta firma </w:t>
      </w:r>
      <w:r w:rsidRPr="002C03B2">
        <w:rPr>
          <w:rFonts w:ascii="Arial" w:hAnsi="Arial" w:cs="Arial"/>
          <w:sz w:val="22"/>
          <w:szCs w:val="22"/>
          <w:lang w:val="es-CO"/>
        </w:rPr>
        <w:t>será contratada por</w:t>
      </w:r>
      <w:r w:rsidR="00567753" w:rsidRPr="002C03B2">
        <w:rPr>
          <w:rFonts w:ascii="Arial" w:hAnsi="Arial" w:cs="Arial"/>
          <w:sz w:val="22"/>
          <w:szCs w:val="22"/>
          <w:lang w:val="es-CO"/>
        </w:rPr>
        <w:t xml:space="preserve"> </w:t>
      </w:r>
      <w:r w:rsidR="00C86399" w:rsidRPr="002C03B2">
        <w:rPr>
          <w:rFonts w:ascii="Arial" w:hAnsi="Arial" w:cs="Arial"/>
          <w:sz w:val="22"/>
          <w:szCs w:val="22"/>
          <w:lang w:val="es-CO"/>
        </w:rPr>
        <w:t xml:space="preserve">el </w:t>
      </w:r>
      <w:r w:rsidR="00E60900" w:rsidRPr="002C03B2">
        <w:rPr>
          <w:rFonts w:ascii="Arial" w:hAnsi="Arial" w:cs="Arial"/>
          <w:sz w:val="22"/>
          <w:szCs w:val="22"/>
          <w:lang w:val="es-CO"/>
        </w:rPr>
        <w:t xml:space="preserve">equipo ejecutor </w:t>
      </w:r>
      <w:r w:rsidR="0029740F" w:rsidRPr="002C03B2">
        <w:rPr>
          <w:rFonts w:ascii="Arial" w:hAnsi="Arial" w:cs="Arial"/>
          <w:sz w:val="22"/>
          <w:szCs w:val="22"/>
          <w:lang w:val="es-CO"/>
        </w:rPr>
        <w:t xml:space="preserve">y sus servicios </w:t>
      </w:r>
      <w:r w:rsidRPr="002C03B2">
        <w:rPr>
          <w:rFonts w:ascii="Arial" w:hAnsi="Arial" w:cs="Arial"/>
          <w:sz w:val="22"/>
          <w:szCs w:val="22"/>
          <w:lang w:val="es-CO"/>
        </w:rPr>
        <w:t>se</w:t>
      </w:r>
      <w:r w:rsidR="0029740F" w:rsidRPr="002C03B2">
        <w:rPr>
          <w:rFonts w:ascii="Arial" w:hAnsi="Arial" w:cs="Arial"/>
          <w:sz w:val="22"/>
          <w:szCs w:val="22"/>
          <w:lang w:val="es-CO"/>
        </w:rPr>
        <w:t xml:space="preserve"> </w:t>
      </w:r>
      <w:r w:rsidRPr="002C03B2">
        <w:rPr>
          <w:rFonts w:ascii="Arial" w:hAnsi="Arial" w:cs="Arial"/>
          <w:sz w:val="22"/>
          <w:szCs w:val="22"/>
          <w:lang w:val="es-CO"/>
        </w:rPr>
        <w:t>financia</w:t>
      </w:r>
      <w:r w:rsidR="0029740F" w:rsidRPr="002C03B2">
        <w:rPr>
          <w:rFonts w:ascii="Arial" w:hAnsi="Arial" w:cs="Arial"/>
          <w:sz w:val="22"/>
          <w:szCs w:val="22"/>
          <w:lang w:val="es-CO"/>
        </w:rPr>
        <w:t>rán</w:t>
      </w:r>
      <w:r w:rsidRPr="002C03B2">
        <w:rPr>
          <w:rFonts w:ascii="Arial" w:hAnsi="Arial" w:cs="Arial"/>
          <w:sz w:val="22"/>
          <w:szCs w:val="22"/>
          <w:lang w:val="es-CO"/>
        </w:rPr>
        <w:t xml:space="preserve"> con recursos del préstamo. Los estados financieros auditados del programa se envia</w:t>
      </w:r>
      <w:r w:rsidR="0029740F" w:rsidRPr="002C03B2">
        <w:rPr>
          <w:rFonts w:ascii="Arial" w:hAnsi="Arial" w:cs="Arial"/>
          <w:sz w:val="22"/>
          <w:szCs w:val="22"/>
          <w:lang w:val="es-CO"/>
        </w:rPr>
        <w:t>rán</w:t>
      </w:r>
      <w:r w:rsidRPr="002C03B2">
        <w:rPr>
          <w:rFonts w:ascii="Arial" w:hAnsi="Arial" w:cs="Arial"/>
          <w:sz w:val="22"/>
          <w:szCs w:val="22"/>
          <w:lang w:val="es-CO"/>
        </w:rPr>
        <w:t xml:space="preserve"> al Banco a más tardar cuatro meses después del cierre de cada ejercicio económico, de conformidad con los procedimientos y los términos de referencia previamente acordados con el Banco.</w:t>
      </w:r>
    </w:p>
    <w:p w14:paraId="3595219A" w14:textId="45083022" w:rsidR="00116874" w:rsidRPr="002C03B2" w:rsidRDefault="00620CC5" w:rsidP="007624A0">
      <w:pPr>
        <w:spacing w:before="120" w:after="120"/>
        <w:ind w:left="567"/>
        <w:jc w:val="both"/>
        <w:rPr>
          <w:rFonts w:ascii="Arial" w:hAnsi="Arial" w:cs="Arial"/>
          <w:sz w:val="22"/>
          <w:szCs w:val="22"/>
          <w:lang w:val="es-CO"/>
        </w:rPr>
      </w:pPr>
      <w:r w:rsidRPr="002C03B2">
        <w:rPr>
          <w:rFonts w:ascii="Arial" w:hAnsi="Arial" w:cs="Arial"/>
          <w:sz w:val="22"/>
          <w:szCs w:val="22"/>
          <w:lang w:val="es-CO"/>
        </w:rPr>
        <w:t xml:space="preserve">El </w:t>
      </w:r>
      <w:r w:rsidR="00116874" w:rsidRPr="002C03B2">
        <w:rPr>
          <w:rFonts w:ascii="Arial" w:hAnsi="Arial" w:cs="Arial"/>
          <w:sz w:val="22"/>
          <w:szCs w:val="22"/>
          <w:lang w:val="es-CO"/>
        </w:rPr>
        <w:t>monitoreo del programa tomará los indicadores definidos en conjunto con</w:t>
      </w:r>
      <w:r w:rsidR="00E60900" w:rsidRPr="002C03B2">
        <w:rPr>
          <w:rFonts w:ascii="Arial" w:hAnsi="Arial" w:cs="Arial"/>
          <w:sz w:val="22"/>
          <w:szCs w:val="22"/>
          <w:lang w:val="es-CO"/>
        </w:rPr>
        <w:t xml:space="preserve"> el </w:t>
      </w:r>
      <w:r w:rsidR="00D72E57" w:rsidRPr="002C03B2">
        <w:rPr>
          <w:rFonts w:ascii="Arial" w:hAnsi="Arial" w:cs="Arial"/>
          <w:sz w:val="22"/>
          <w:szCs w:val="22"/>
          <w:lang w:val="es-CO"/>
        </w:rPr>
        <w:t>OE</w:t>
      </w:r>
      <w:r w:rsidR="00E60900" w:rsidRPr="002C03B2">
        <w:rPr>
          <w:rFonts w:ascii="Arial" w:hAnsi="Arial" w:cs="Arial"/>
          <w:sz w:val="22"/>
          <w:szCs w:val="22"/>
          <w:lang w:val="es-CO"/>
        </w:rPr>
        <w:t xml:space="preserve"> </w:t>
      </w:r>
      <w:r w:rsidR="00116874" w:rsidRPr="002C03B2">
        <w:rPr>
          <w:rFonts w:ascii="Arial" w:hAnsi="Arial" w:cs="Arial"/>
          <w:sz w:val="22"/>
          <w:szCs w:val="22"/>
          <w:lang w:val="es-CO"/>
        </w:rPr>
        <w:t>(</w:t>
      </w:r>
      <w:r w:rsidR="009156BA" w:rsidRPr="002C03B2">
        <w:rPr>
          <w:rFonts w:ascii="Arial" w:hAnsi="Arial" w:cs="Arial"/>
          <w:sz w:val="22"/>
          <w:szCs w:val="22"/>
          <w:lang w:val="es-CO"/>
        </w:rPr>
        <w:t>Tablas</w:t>
      </w:r>
      <w:r w:rsidR="00116874" w:rsidRPr="002C03B2">
        <w:rPr>
          <w:rFonts w:ascii="Arial" w:hAnsi="Arial" w:cs="Arial"/>
          <w:sz w:val="22"/>
          <w:szCs w:val="22"/>
          <w:lang w:val="es-CO"/>
        </w:rPr>
        <w:t xml:space="preserve"> </w:t>
      </w:r>
      <w:r w:rsidR="009156BA" w:rsidRPr="002C03B2">
        <w:rPr>
          <w:rFonts w:ascii="Arial" w:hAnsi="Arial" w:cs="Arial"/>
          <w:sz w:val="22"/>
          <w:szCs w:val="22"/>
          <w:lang w:val="es-CO"/>
        </w:rPr>
        <w:t>1</w:t>
      </w:r>
      <w:r w:rsidR="00116874" w:rsidRPr="002C03B2">
        <w:rPr>
          <w:rFonts w:ascii="Arial" w:hAnsi="Arial" w:cs="Arial"/>
          <w:sz w:val="22"/>
          <w:szCs w:val="22"/>
          <w:lang w:val="es-CO"/>
        </w:rPr>
        <w:t xml:space="preserve"> </w:t>
      </w:r>
      <w:r w:rsidR="00E60900" w:rsidRPr="002C03B2">
        <w:rPr>
          <w:rFonts w:ascii="Arial" w:hAnsi="Arial" w:cs="Arial"/>
          <w:sz w:val="22"/>
          <w:szCs w:val="22"/>
          <w:lang w:val="es-CO"/>
        </w:rPr>
        <w:t>y 2</w:t>
      </w:r>
      <w:r w:rsidR="00116874" w:rsidRPr="002C03B2">
        <w:rPr>
          <w:rFonts w:ascii="Arial" w:hAnsi="Arial" w:cs="Arial"/>
          <w:sz w:val="22"/>
          <w:szCs w:val="22"/>
          <w:lang w:val="es-CO"/>
        </w:rPr>
        <w:t>). El Banco realizará el seguimiento del programa mediante visitas de inspección y misiones de administración</w:t>
      </w:r>
      <w:r w:rsidR="0046734D" w:rsidRPr="002C03B2">
        <w:rPr>
          <w:rFonts w:ascii="Arial" w:hAnsi="Arial" w:cs="Arial"/>
          <w:sz w:val="22"/>
          <w:szCs w:val="22"/>
          <w:lang w:val="es-CO"/>
        </w:rPr>
        <w:t xml:space="preserve">, para </w:t>
      </w:r>
      <w:r w:rsidR="00116874" w:rsidRPr="002C03B2">
        <w:rPr>
          <w:rFonts w:ascii="Arial" w:hAnsi="Arial" w:cs="Arial"/>
          <w:sz w:val="22"/>
          <w:szCs w:val="22"/>
          <w:lang w:val="es-CO"/>
        </w:rPr>
        <w:t>examinar: (i) el avance de las actividades y contrataciones; (ii) el desempeño del OE; (iii) el presupuesto para el ejercicio siguiente; y (iv) el calendario de ejecución e indicadores de desempeño.</w:t>
      </w:r>
    </w:p>
    <w:p w14:paraId="440DED1A" w14:textId="2A73D730" w:rsidR="0024220D" w:rsidRPr="002C03B2" w:rsidRDefault="00116874" w:rsidP="007624A0">
      <w:pPr>
        <w:spacing w:before="120" w:after="120"/>
        <w:ind w:left="567"/>
        <w:jc w:val="both"/>
        <w:rPr>
          <w:rFonts w:ascii="Arial" w:hAnsi="Arial" w:cs="Arial"/>
          <w:sz w:val="22"/>
          <w:szCs w:val="22"/>
          <w:lang w:val="es-CO"/>
        </w:rPr>
      </w:pPr>
      <w:r w:rsidRPr="002C03B2">
        <w:rPr>
          <w:rFonts w:ascii="Arial" w:hAnsi="Arial" w:cs="Arial"/>
          <w:sz w:val="22"/>
          <w:szCs w:val="22"/>
          <w:lang w:val="es-CO"/>
        </w:rPr>
        <w:t xml:space="preserve">El proceso de monitoreo y evaluación del programa será coordinado por </w:t>
      </w:r>
      <w:r w:rsidR="00E60900" w:rsidRPr="002C03B2">
        <w:rPr>
          <w:rFonts w:ascii="Arial" w:hAnsi="Arial" w:cs="Arial"/>
          <w:sz w:val="22"/>
          <w:szCs w:val="22"/>
          <w:lang w:val="es-CO"/>
        </w:rPr>
        <w:t xml:space="preserve">el </w:t>
      </w:r>
      <w:r w:rsidR="00D72E57" w:rsidRPr="002C03B2">
        <w:rPr>
          <w:rFonts w:ascii="Arial" w:hAnsi="Arial" w:cs="Arial"/>
          <w:sz w:val="22"/>
          <w:szCs w:val="22"/>
          <w:lang w:val="es-CO"/>
        </w:rPr>
        <w:t>OE</w:t>
      </w:r>
      <w:r w:rsidRPr="002C03B2">
        <w:rPr>
          <w:rFonts w:ascii="Arial" w:hAnsi="Arial" w:cs="Arial"/>
          <w:sz w:val="22"/>
          <w:szCs w:val="22"/>
          <w:lang w:val="es-CO"/>
        </w:rPr>
        <w:t xml:space="preserve">. </w:t>
      </w:r>
      <w:r w:rsidR="00E60900" w:rsidRPr="002C03B2">
        <w:rPr>
          <w:rFonts w:ascii="Arial" w:hAnsi="Arial" w:cs="Arial"/>
          <w:sz w:val="22"/>
          <w:szCs w:val="22"/>
          <w:lang w:val="es-CO"/>
        </w:rPr>
        <w:t xml:space="preserve">El equipo ejecutor </w:t>
      </w:r>
      <w:r w:rsidRPr="002C03B2">
        <w:rPr>
          <w:rFonts w:ascii="Arial" w:hAnsi="Arial" w:cs="Arial"/>
          <w:sz w:val="22"/>
          <w:szCs w:val="22"/>
          <w:lang w:val="es-CO"/>
        </w:rPr>
        <w:t xml:space="preserve">deberá contar con sistemas adecuados para: (i) compilar la información periódica de avance físico y financiero; y (ii) mantener de forma accesible y actualizada la información relevante sobre la ejecución de las actividades del programa y sus recursos. </w:t>
      </w:r>
    </w:p>
    <w:p w14:paraId="6FF6D16A" w14:textId="672BD4A7" w:rsidR="00116874" w:rsidRDefault="00116874" w:rsidP="007624A0">
      <w:pPr>
        <w:spacing w:before="120" w:after="120"/>
        <w:ind w:left="567"/>
        <w:jc w:val="both"/>
        <w:rPr>
          <w:rFonts w:ascii="Arial" w:hAnsi="Arial" w:cs="Arial"/>
          <w:sz w:val="22"/>
          <w:szCs w:val="22"/>
          <w:lang w:val="es-CO"/>
        </w:rPr>
      </w:pPr>
      <w:r w:rsidRPr="002C03B2">
        <w:rPr>
          <w:rFonts w:ascii="Arial" w:hAnsi="Arial" w:cs="Arial"/>
          <w:sz w:val="22"/>
          <w:szCs w:val="22"/>
          <w:lang w:val="es-CO"/>
        </w:rPr>
        <w:lastRenderedPageBreak/>
        <w:t>El monitoreo del programa utilizará los siguientes instrumentos: (i) Plan de Ejecución Plurianual (PEP)</w:t>
      </w:r>
      <w:r w:rsidR="00686BEB">
        <w:rPr>
          <w:rFonts w:ascii="Arial" w:hAnsi="Arial" w:cs="Arial"/>
          <w:sz w:val="22"/>
          <w:szCs w:val="22"/>
          <w:lang w:val="es-CO"/>
        </w:rPr>
        <w:t xml:space="preserve">, </w:t>
      </w:r>
      <w:r w:rsidRPr="002C03B2">
        <w:rPr>
          <w:rFonts w:ascii="Arial" w:hAnsi="Arial" w:cs="Arial"/>
          <w:sz w:val="22"/>
          <w:szCs w:val="22"/>
          <w:lang w:val="es-CO"/>
        </w:rPr>
        <w:t>y Plan de Adquisiciones (PA); (ii) Reportes (semestrales) de Monitoreo del Progreso (PMR); (iii) informe de revisión del préstamo; (iv) estados financieros auditados; y (v) Informe de Terminación de Proyecto (PCR).</w:t>
      </w:r>
    </w:p>
    <w:p w14:paraId="5A09938B" w14:textId="598844DA" w:rsidR="00051843" w:rsidRPr="002C03B2" w:rsidRDefault="00174A78" w:rsidP="00760463">
      <w:pPr>
        <w:pStyle w:val="ListParagraph"/>
        <w:numPr>
          <w:ilvl w:val="0"/>
          <w:numId w:val="13"/>
        </w:numPr>
        <w:spacing w:before="120" w:after="120"/>
        <w:ind w:left="567" w:hanging="567"/>
        <w:contextualSpacing w:val="0"/>
        <w:jc w:val="both"/>
        <w:rPr>
          <w:rFonts w:ascii="Arial" w:hAnsi="Arial" w:cs="Arial"/>
          <w:b/>
          <w:bCs/>
          <w:sz w:val="22"/>
          <w:szCs w:val="22"/>
          <w:lang w:val="es-CO"/>
        </w:rPr>
      </w:pPr>
      <w:r w:rsidRPr="002C03B2">
        <w:rPr>
          <w:rFonts w:ascii="Arial" w:hAnsi="Arial" w:cs="Arial"/>
          <w:b/>
          <w:bCs/>
          <w:sz w:val="22"/>
          <w:szCs w:val="22"/>
          <w:lang w:val="es-CO"/>
        </w:rPr>
        <w:t xml:space="preserve">Evaluación </w:t>
      </w:r>
      <w:r w:rsidR="00165117">
        <w:rPr>
          <w:rFonts w:ascii="Arial" w:hAnsi="Arial" w:cs="Arial"/>
          <w:b/>
          <w:bCs/>
          <w:sz w:val="22"/>
          <w:szCs w:val="22"/>
          <w:lang w:val="es-CO"/>
        </w:rPr>
        <w:t>de Indicadores y Productos</w:t>
      </w:r>
    </w:p>
    <w:p w14:paraId="0690944F" w14:textId="18B2B2A9" w:rsidR="00AA7B88" w:rsidRPr="00316414" w:rsidRDefault="00174A78" w:rsidP="007624A0">
      <w:pPr>
        <w:spacing w:before="120" w:after="120"/>
        <w:ind w:left="567"/>
        <w:jc w:val="both"/>
        <w:rPr>
          <w:rFonts w:ascii="Arial" w:hAnsi="Arial" w:cs="Arial"/>
          <w:sz w:val="22"/>
          <w:szCs w:val="22"/>
          <w:lang w:val="es-CO"/>
        </w:rPr>
      </w:pPr>
      <w:r w:rsidRPr="002C03B2">
        <w:rPr>
          <w:rFonts w:ascii="Arial" w:hAnsi="Arial" w:cs="Arial"/>
          <w:sz w:val="22"/>
          <w:szCs w:val="22"/>
          <w:lang w:val="es-CO"/>
        </w:rPr>
        <w:t>La evaluación del Programa se realizará</w:t>
      </w:r>
      <w:r w:rsidR="00A0710B">
        <w:rPr>
          <w:rFonts w:ascii="Arial" w:hAnsi="Arial" w:cs="Arial"/>
          <w:sz w:val="22"/>
          <w:szCs w:val="22"/>
          <w:lang w:val="es-CO"/>
        </w:rPr>
        <w:t>:</w:t>
      </w:r>
      <w:r w:rsidRPr="002C03B2">
        <w:rPr>
          <w:rFonts w:ascii="Arial" w:hAnsi="Arial" w:cs="Arial"/>
          <w:sz w:val="22"/>
          <w:szCs w:val="22"/>
          <w:lang w:val="es-CO"/>
        </w:rPr>
        <w:t xml:space="preserve"> </w:t>
      </w:r>
      <w:r w:rsidR="00407CA8">
        <w:rPr>
          <w:rFonts w:ascii="Arial" w:hAnsi="Arial" w:cs="Arial"/>
          <w:sz w:val="22"/>
          <w:szCs w:val="22"/>
          <w:lang w:val="es-CO"/>
        </w:rPr>
        <w:t xml:space="preserve">(i) </w:t>
      </w:r>
      <w:r w:rsidR="00D86522" w:rsidRPr="002C03B2">
        <w:rPr>
          <w:rFonts w:ascii="Arial" w:hAnsi="Arial" w:cs="Arial"/>
          <w:sz w:val="22"/>
          <w:szCs w:val="22"/>
          <w:lang w:val="es-CO"/>
        </w:rPr>
        <w:t xml:space="preserve">por cumplimiento de cada </w:t>
      </w:r>
      <w:r w:rsidR="00186BFD" w:rsidRPr="002C03B2">
        <w:rPr>
          <w:rFonts w:ascii="Arial" w:hAnsi="Arial" w:cs="Arial"/>
          <w:sz w:val="22"/>
          <w:szCs w:val="22"/>
          <w:lang w:val="es-CO"/>
        </w:rPr>
        <w:t>una</w:t>
      </w:r>
      <w:r w:rsidR="00D86522" w:rsidRPr="002C03B2">
        <w:rPr>
          <w:rFonts w:ascii="Arial" w:hAnsi="Arial" w:cs="Arial"/>
          <w:sz w:val="22"/>
          <w:szCs w:val="22"/>
          <w:lang w:val="es-CO"/>
        </w:rPr>
        <w:t xml:space="preserve"> de l</w:t>
      </w:r>
      <w:r w:rsidR="00907515" w:rsidRPr="002C03B2">
        <w:rPr>
          <w:rFonts w:ascii="Arial" w:hAnsi="Arial" w:cs="Arial"/>
          <w:sz w:val="22"/>
          <w:szCs w:val="22"/>
          <w:lang w:val="es-CO"/>
        </w:rPr>
        <w:t>as intervenciones (estudios, documentos, guías, estructuraciones</w:t>
      </w:r>
      <w:r w:rsidR="00D90ECA" w:rsidRPr="002C03B2">
        <w:rPr>
          <w:rFonts w:ascii="Arial" w:hAnsi="Arial" w:cs="Arial"/>
          <w:sz w:val="22"/>
          <w:szCs w:val="22"/>
          <w:lang w:val="es-CO"/>
        </w:rPr>
        <w:t>, actividades de formación y capacitación</w:t>
      </w:r>
      <w:r w:rsidR="00907515" w:rsidRPr="002C03B2">
        <w:rPr>
          <w:rFonts w:ascii="Arial" w:hAnsi="Arial" w:cs="Arial"/>
          <w:sz w:val="22"/>
          <w:szCs w:val="22"/>
          <w:lang w:val="es-CO"/>
        </w:rPr>
        <w:t xml:space="preserve">), con </w:t>
      </w:r>
      <w:r w:rsidR="00FC578E" w:rsidRPr="002C03B2">
        <w:rPr>
          <w:rFonts w:ascii="Arial" w:hAnsi="Arial" w:cs="Arial"/>
          <w:sz w:val="22"/>
          <w:szCs w:val="22"/>
          <w:lang w:val="es-CO"/>
        </w:rPr>
        <w:t>las mismas fuentes</w:t>
      </w:r>
      <w:r w:rsidR="00907515" w:rsidRPr="002C03B2">
        <w:rPr>
          <w:rFonts w:ascii="Arial" w:hAnsi="Arial" w:cs="Arial"/>
          <w:sz w:val="22"/>
          <w:szCs w:val="22"/>
          <w:lang w:val="es-CO"/>
        </w:rPr>
        <w:t xml:space="preserve"> de información de monitoreo</w:t>
      </w:r>
      <w:r w:rsidR="00937933">
        <w:rPr>
          <w:rFonts w:ascii="Arial" w:hAnsi="Arial" w:cs="Arial"/>
          <w:sz w:val="22"/>
          <w:szCs w:val="22"/>
          <w:lang w:val="es-CO"/>
        </w:rPr>
        <w:t>;</w:t>
      </w:r>
      <w:r w:rsidR="00BC5B8B">
        <w:rPr>
          <w:rFonts w:ascii="Arial" w:hAnsi="Arial" w:cs="Arial"/>
          <w:sz w:val="22"/>
          <w:szCs w:val="22"/>
          <w:lang w:val="es-CO"/>
        </w:rPr>
        <w:t xml:space="preserve"> y</w:t>
      </w:r>
      <w:r w:rsidR="00937933">
        <w:rPr>
          <w:rFonts w:ascii="Arial" w:hAnsi="Arial" w:cs="Arial"/>
          <w:sz w:val="22"/>
          <w:szCs w:val="22"/>
          <w:lang w:val="es-CO"/>
        </w:rPr>
        <w:t xml:space="preserve"> </w:t>
      </w:r>
      <w:r w:rsidR="00937933" w:rsidRPr="00316414">
        <w:rPr>
          <w:rFonts w:ascii="Arial" w:hAnsi="Arial" w:cs="Arial"/>
          <w:sz w:val="22"/>
          <w:szCs w:val="22"/>
          <w:lang w:val="es-CO"/>
        </w:rPr>
        <w:t>(ii) mediante un</w:t>
      </w:r>
      <w:r w:rsidR="003B4564" w:rsidRPr="00316414">
        <w:rPr>
          <w:rFonts w:ascii="Arial" w:hAnsi="Arial" w:cs="Arial"/>
          <w:sz w:val="22"/>
          <w:szCs w:val="22"/>
          <w:lang w:val="es-CO"/>
        </w:rPr>
        <w:t>a evaluación reflexiva</w:t>
      </w:r>
      <w:r w:rsidR="00E579CD" w:rsidRPr="00316414">
        <w:rPr>
          <w:rFonts w:ascii="Arial" w:hAnsi="Arial" w:cs="Arial"/>
          <w:sz w:val="22"/>
          <w:szCs w:val="22"/>
          <w:lang w:val="es-CO"/>
        </w:rPr>
        <w:t>.</w:t>
      </w:r>
    </w:p>
    <w:p w14:paraId="1547DC13" w14:textId="3B63E26A" w:rsidR="00FA17F8" w:rsidRPr="0013198A" w:rsidRDefault="00FA17F8" w:rsidP="007624A0">
      <w:pPr>
        <w:spacing w:before="120" w:after="120"/>
        <w:ind w:left="567"/>
        <w:jc w:val="both"/>
        <w:rPr>
          <w:rFonts w:ascii="Arial" w:hAnsi="Arial" w:cs="Arial"/>
          <w:sz w:val="22"/>
          <w:szCs w:val="22"/>
          <w:lang w:val="es-PE"/>
        </w:rPr>
      </w:pPr>
      <w:r w:rsidRPr="00FA17F8">
        <w:rPr>
          <w:rFonts w:ascii="Arial" w:hAnsi="Arial" w:cs="Arial"/>
          <w:sz w:val="22"/>
          <w:szCs w:val="22"/>
          <w:lang w:val="es-PE"/>
        </w:rPr>
        <w:t>Justificación de la metodología. L</w:t>
      </w:r>
      <w:r w:rsidR="003131BF" w:rsidRPr="0013198A">
        <w:rPr>
          <w:rFonts w:ascii="Arial" w:hAnsi="Arial" w:cs="Arial"/>
          <w:sz w:val="22"/>
          <w:szCs w:val="22"/>
          <w:lang w:val="es-PE"/>
        </w:rPr>
        <w:t>a</w:t>
      </w:r>
      <w:r w:rsidRPr="00FA17F8">
        <w:rPr>
          <w:rFonts w:ascii="Arial" w:hAnsi="Arial" w:cs="Arial"/>
          <w:sz w:val="22"/>
          <w:szCs w:val="22"/>
          <w:lang w:val="es-PE"/>
        </w:rPr>
        <w:t xml:space="preserve"> metodología reflexiva busca conocer los efectos de una intervención sobre variables determinadas de interés</w:t>
      </w:r>
      <w:r w:rsidR="002707B4" w:rsidRPr="0013198A">
        <w:rPr>
          <w:rFonts w:ascii="Arial" w:hAnsi="Arial" w:cs="Arial"/>
          <w:sz w:val="22"/>
          <w:szCs w:val="22"/>
          <w:lang w:val="es-PE"/>
        </w:rPr>
        <w:t xml:space="preserve"> </w:t>
      </w:r>
      <w:r w:rsidR="002707B4" w:rsidRPr="0013198A">
        <w:rPr>
          <w:rFonts w:ascii="Arial" w:hAnsi="Arial" w:cs="Arial"/>
          <w:sz w:val="22"/>
          <w:szCs w:val="22"/>
          <w:lang w:val="es-CO"/>
        </w:rPr>
        <w:t>compara</w:t>
      </w:r>
      <w:r w:rsidR="008604E0" w:rsidRPr="0013198A">
        <w:rPr>
          <w:rFonts w:ascii="Arial" w:hAnsi="Arial" w:cs="Arial"/>
          <w:sz w:val="22"/>
          <w:szCs w:val="22"/>
          <w:lang w:val="es-CO"/>
        </w:rPr>
        <w:t>ndo</w:t>
      </w:r>
      <w:r w:rsidR="002707B4" w:rsidRPr="0013198A">
        <w:rPr>
          <w:rFonts w:ascii="Arial" w:hAnsi="Arial" w:cs="Arial"/>
          <w:sz w:val="22"/>
          <w:szCs w:val="22"/>
          <w:lang w:val="es-CO"/>
        </w:rPr>
        <w:t xml:space="preserve"> los resultados antes y después del Programa. En este caso, se buscará conocer los efectos del Programa sobre el fomento de la participación privada y el fortalecimiento de capacidades públicas en APP que se puede atribuir a los estudios y actividades de la operación. </w:t>
      </w:r>
      <w:r w:rsidRPr="00FA17F8">
        <w:rPr>
          <w:rFonts w:ascii="Arial" w:hAnsi="Arial" w:cs="Arial"/>
          <w:sz w:val="22"/>
          <w:szCs w:val="22"/>
          <w:lang w:val="es-PE"/>
        </w:rPr>
        <w:t xml:space="preserve">Esta metodología, sin embargo, no puede aislar completamente efectos externos a la intervención que pueden influir sobre las variables de interés, dificultando la atribución de los cambios observados a intervención concreta.  </w:t>
      </w:r>
    </w:p>
    <w:p w14:paraId="1B02A4CE" w14:textId="1CD68D26" w:rsidR="00051843" w:rsidRPr="00316414" w:rsidRDefault="00A632AC" w:rsidP="007624A0">
      <w:pPr>
        <w:spacing w:before="120" w:after="120"/>
        <w:ind w:left="567"/>
        <w:jc w:val="both"/>
        <w:rPr>
          <w:rFonts w:ascii="Arial" w:hAnsi="Arial" w:cs="Arial"/>
          <w:sz w:val="22"/>
          <w:szCs w:val="22"/>
          <w:lang w:val="es-CO"/>
        </w:rPr>
      </w:pPr>
      <w:r w:rsidRPr="00316414">
        <w:rPr>
          <w:rFonts w:ascii="Arial" w:hAnsi="Arial" w:cs="Arial"/>
          <w:sz w:val="22"/>
          <w:szCs w:val="22"/>
          <w:lang w:val="es-CO"/>
        </w:rPr>
        <w:t xml:space="preserve">Los indicadores que se deben evaluar </w:t>
      </w:r>
      <w:r w:rsidR="00077CF7" w:rsidRPr="00316414">
        <w:rPr>
          <w:rFonts w:ascii="Arial" w:hAnsi="Arial" w:cs="Arial"/>
          <w:sz w:val="22"/>
          <w:szCs w:val="22"/>
          <w:lang w:val="es-CO"/>
        </w:rPr>
        <w:t>son los contemplados en las Tablas 1, 2 y 3.</w:t>
      </w:r>
      <w:r w:rsidR="00BB003E" w:rsidRPr="00316414">
        <w:rPr>
          <w:rFonts w:ascii="Arial" w:hAnsi="Arial" w:cs="Arial"/>
          <w:sz w:val="22"/>
          <w:szCs w:val="22"/>
          <w:lang w:val="es-CO"/>
        </w:rPr>
        <w:t xml:space="preserve"> </w:t>
      </w:r>
      <w:r w:rsidR="00B332D2" w:rsidRPr="00316414">
        <w:rPr>
          <w:rFonts w:ascii="Arial" w:hAnsi="Arial" w:cs="Arial"/>
          <w:sz w:val="22"/>
          <w:szCs w:val="22"/>
          <w:lang w:val="es-CO"/>
        </w:rPr>
        <w:t>E</w:t>
      </w:r>
      <w:r w:rsidR="0049474E" w:rsidRPr="00316414">
        <w:rPr>
          <w:rFonts w:ascii="Arial" w:hAnsi="Arial" w:cs="Arial"/>
          <w:sz w:val="22"/>
          <w:szCs w:val="22"/>
          <w:lang w:val="es-CO"/>
        </w:rPr>
        <w:t>l</w:t>
      </w:r>
      <w:r w:rsidR="00B332D2" w:rsidRPr="00316414">
        <w:rPr>
          <w:rFonts w:ascii="Arial" w:hAnsi="Arial" w:cs="Arial"/>
          <w:sz w:val="22"/>
          <w:szCs w:val="22"/>
          <w:lang w:val="es-CO"/>
        </w:rPr>
        <w:t xml:space="preserve"> cumplimiento de los indicadores no</w:t>
      </w:r>
      <w:r w:rsidR="00BB003E" w:rsidRPr="00316414">
        <w:rPr>
          <w:rFonts w:ascii="Arial" w:hAnsi="Arial" w:cs="Arial"/>
          <w:sz w:val="22"/>
          <w:szCs w:val="22"/>
          <w:lang w:val="es-CO"/>
        </w:rPr>
        <w:t xml:space="preserve"> p</w:t>
      </w:r>
      <w:r w:rsidR="00EC0964" w:rsidRPr="00316414">
        <w:rPr>
          <w:rFonts w:ascii="Arial" w:hAnsi="Arial" w:cs="Arial"/>
          <w:sz w:val="22"/>
          <w:szCs w:val="22"/>
          <w:lang w:val="es-CO"/>
        </w:rPr>
        <w:t>ermite</w:t>
      </w:r>
      <w:r w:rsidR="00650E35" w:rsidRPr="00316414">
        <w:rPr>
          <w:rFonts w:ascii="Arial" w:hAnsi="Arial" w:cs="Arial"/>
          <w:sz w:val="22"/>
          <w:szCs w:val="22"/>
          <w:lang w:val="es-CO"/>
        </w:rPr>
        <w:t xml:space="preserve"> aislar</w:t>
      </w:r>
      <w:r w:rsidR="00BB003E" w:rsidRPr="00316414">
        <w:rPr>
          <w:rFonts w:ascii="Arial" w:hAnsi="Arial" w:cs="Arial"/>
          <w:sz w:val="22"/>
          <w:szCs w:val="22"/>
          <w:lang w:val="es-CO"/>
        </w:rPr>
        <w:t xml:space="preserve"> </w:t>
      </w:r>
      <w:r w:rsidR="0049474E" w:rsidRPr="00316414">
        <w:rPr>
          <w:rFonts w:ascii="Arial" w:hAnsi="Arial" w:cs="Arial"/>
          <w:sz w:val="22"/>
          <w:szCs w:val="22"/>
          <w:lang w:val="es-CO"/>
        </w:rPr>
        <w:t>el impacto de</w:t>
      </w:r>
      <w:r w:rsidR="00BB003E" w:rsidRPr="00316414">
        <w:rPr>
          <w:rFonts w:ascii="Arial" w:hAnsi="Arial" w:cs="Arial"/>
          <w:sz w:val="22"/>
          <w:szCs w:val="22"/>
          <w:lang w:val="es-CO"/>
        </w:rPr>
        <w:t xml:space="preserve"> efectos externos a la intervención, </w:t>
      </w:r>
      <w:r w:rsidR="00650E35" w:rsidRPr="00316414">
        <w:rPr>
          <w:rFonts w:ascii="Arial" w:hAnsi="Arial" w:cs="Arial"/>
          <w:sz w:val="22"/>
          <w:szCs w:val="22"/>
          <w:lang w:val="es-CO"/>
        </w:rPr>
        <w:t xml:space="preserve">lo que </w:t>
      </w:r>
      <w:r w:rsidR="00BB003E" w:rsidRPr="00316414">
        <w:rPr>
          <w:rFonts w:ascii="Arial" w:hAnsi="Arial" w:cs="Arial"/>
          <w:sz w:val="22"/>
          <w:szCs w:val="22"/>
          <w:lang w:val="es-CO"/>
        </w:rPr>
        <w:t>dificulta la atribució</w:t>
      </w:r>
      <w:r w:rsidR="00650E35" w:rsidRPr="00316414">
        <w:rPr>
          <w:rFonts w:ascii="Arial" w:hAnsi="Arial" w:cs="Arial"/>
          <w:sz w:val="22"/>
          <w:szCs w:val="22"/>
          <w:lang w:val="es-CO"/>
        </w:rPr>
        <w:t>n al Programa.</w:t>
      </w:r>
    </w:p>
    <w:p w14:paraId="114AB0DE" w14:textId="186AD22A" w:rsidR="00AA7B88" w:rsidRPr="00316414" w:rsidRDefault="00EF402D" w:rsidP="007624A0">
      <w:pPr>
        <w:spacing w:before="120" w:after="120"/>
        <w:ind w:left="567"/>
        <w:jc w:val="both"/>
        <w:rPr>
          <w:rFonts w:ascii="Arial" w:hAnsi="Arial" w:cs="Arial"/>
          <w:sz w:val="22"/>
          <w:szCs w:val="22"/>
          <w:lang w:val="es-CO"/>
        </w:rPr>
      </w:pPr>
      <w:r w:rsidRPr="00316414">
        <w:rPr>
          <w:rFonts w:ascii="Arial" w:hAnsi="Arial" w:cs="Arial"/>
          <w:sz w:val="22"/>
          <w:szCs w:val="22"/>
          <w:lang w:val="es-CO"/>
        </w:rPr>
        <w:t xml:space="preserve">La evaluación propuesta busca mostrar el alcance </w:t>
      </w:r>
      <w:r w:rsidR="00D1547F">
        <w:rPr>
          <w:rFonts w:ascii="Arial" w:hAnsi="Arial" w:cs="Arial"/>
          <w:sz w:val="22"/>
          <w:szCs w:val="22"/>
          <w:lang w:val="es-CO"/>
        </w:rPr>
        <w:t xml:space="preserve">y el impacto </w:t>
      </w:r>
      <w:r w:rsidRPr="00316414">
        <w:rPr>
          <w:rFonts w:ascii="Arial" w:hAnsi="Arial" w:cs="Arial"/>
          <w:sz w:val="22"/>
          <w:szCs w:val="22"/>
          <w:lang w:val="es-CO"/>
        </w:rPr>
        <w:t>de los resultados del programa. Las preguntas de evaluación son, en todos los indicadores</w:t>
      </w:r>
      <w:r w:rsidR="00E75AB4" w:rsidRPr="00316414">
        <w:rPr>
          <w:rFonts w:ascii="Arial" w:hAnsi="Arial" w:cs="Arial"/>
          <w:sz w:val="22"/>
          <w:szCs w:val="22"/>
          <w:lang w:val="es-CO"/>
        </w:rPr>
        <w:t xml:space="preserve"> y productos</w:t>
      </w:r>
      <w:r w:rsidR="003F309B">
        <w:rPr>
          <w:rFonts w:ascii="Arial" w:hAnsi="Arial" w:cs="Arial"/>
          <w:sz w:val="22"/>
          <w:szCs w:val="22"/>
          <w:lang w:val="es-CO"/>
        </w:rPr>
        <w:t>, las siguientes</w:t>
      </w:r>
      <w:r w:rsidRPr="00316414">
        <w:rPr>
          <w:rFonts w:ascii="Arial" w:hAnsi="Arial" w:cs="Arial"/>
          <w:sz w:val="22"/>
          <w:szCs w:val="22"/>
          <w:lang w:val="es-CO"/>
        </w:rPr>
        <w:t>:</w:t>
      </w:r>
    </w:p>
    <w:p w14:paraId="53A7D3AA" w14:textId="36519BAF" w:rsidR="00EF402D" w:rsidRPr="00AC4901" w:rsidRDefault="00AC4901" w:rsidP="007624A0">
      <w:pPr>
        <w:pStyle w:val="ListParagraph"/>
        <w:numPr>
          <w:ilvl w:val="0"/>
          <w:numId w:val="31"/>
        </w:numPr>
        <w:spacing w:before="120" w:after="120" w:line="360" w:lineRule="auto"/>
        <w:ind w:left="1134" w:hanging="567"/>
        <w:jc w:val="both"/>
        <w:rPr>
          <w:rFonts w:ascii="Arial" w:hAnsi="Arial" w:cs="Arial"/>
          <w:sz w:val="22"/>
          <w:szCs w:val="22"/>
          <w:lang w:val="es-CO"/>
        </w:rPr>
      </w:pPr>
      <w:r w:rsidRPr="003F309B">
        <w:rPr>
          <w:rFonts w:ascii="Arial" w:eastAsia="Times New Roman" w:hAnsi="Arial" w:cs="Arial"/>
          <w:sz w:val="22"/>
          <w:szCs w:val="22"/>
          <w:lang w:val="es-419"/>
        </w:rPr>
        <w:t>¿Se consiguió el fomento de la participación privada en infraestructura finalizados?</w:t>
      </w:r>
    </w:p>
    <w:p w14:paraId="73CE49D5" w14:textId="2C6FD59A" w:rsidR="00AC4901" w:rsidRPr="00317947" w:rsidRDefault="00317947" w:rsidP="007624A0">
      <w:pPr>
        <w:pStyle w:val="ListParagraph"/>
        <w:numPr>
          <w:ilvl w:val="0"/>
          <w:numId w:val="31"/>
        </w:numPr>
        <w:spacing w:before="120" w:after="120" w:line="360" w:lineRule="auto"/>
        <w:ind w:left="1134" w:hanging="567"/>
        <w:jc w:val="both"/>
        <w:rPr>
          <w:rFonts w:ascii="Arial" w:hAnsi="Arial" w:cs="Arial"/>
          <w:sz w:val="22"/>
          <w:szCs w:val="22"/>
          <w:lang w:val="es-CO"/>
        </w:rPr>
      </w:pPr>
      <w:r w:rsidRPr="003F309B">
        <w:rPr>
          <w:rFonts w:ascii="Arial" w:eastAsia="Times New Roman" w:hAnsi="Arial" w:cs="Arial"/>
          <w:sz w:val="22"/>
          <w:szCs w:val="22"/>
          <w:lang w:val="es-419"/>
        </w:rPr>
        <w:t>¿Se lograron estructuraciones de proyectos de participación privada?</w:t>
      </w:r>
    </w:p>
    <w:p w14:paraId="5962317C" w14:textId="1C54451D" w:rsidR="00317947" w:rsidRPr="00317947" w:rsidRDefault="00317947" w:rsidP="007624A0">
      <w:pPr>
        <w:pStyle w:val="ListParagraph"/>
        <w:numPr>
          <w:ilvl w:val="0"/>
          <w:numId w:val="31"/>
        </w:numPr>
        <w:spacing w:before="120" w:after="120" w:line="360" w:lineRule="auto"/>
        <w:ind w:left="1134" w:hanging="567"/>
        <w:jc w:val="both"/>
        <w:rPr>
          <w:rFonts w:ascii="Arial" w:hAnsi="Arial" w:cs="Arial"/>
          <w:sz w:val="22"/>
          <w:szCs w:val="22"/>
          <w:lang w:val="es-CO"/>
        </w:rPr>
      </w:pPr>
      <w:r w:rsidRPr="003F309B">
        <w:rPr>
          <w:rFonts w:ascii="Arial" w:eastAsia="Times New Roman" w:hAnsi="Arial" w:cs="Arial"/>
          <w:sz w:val="22"/>
          <w:szCs w:val="22"/>
          <w:lang w:val="es-419"/>
        </w:rPr>
        <w:t>¿Se capacitó a personas de entidades territoriales sobre esquemas de participación privada en infraestructura?</w:t>
      </w:r>
    </w:p>
    <w:p w14:paraId="6ABCAFC1" w14:textId="6F5D5F3D" w:rsidR="00317947" w:rsidRPr="00306EEB" w:rsidRDefault="00306EEB" w:rsidP="007624A0">
      <w:pPr>
        <w:pStyle w:val="ListParagraph"/>
        <w:numPr>
          <w:ilvl w:val="0"/>
          <w:numId w:val="31"/>
        </w:numPr>
        <w:spacing w:before="120" w:after="120" w:line="360" w:lineRule="auto"/>
        <w:ind w:left="1134" w:hanging="567"/>
        <w:jc w:val="both"/>
        <w:rPr>
          <w:rFonts w:ascii="Arial" w:hAnsi="Arial" w:cs="Arial"/>
          <w:sz w:val="22"/>
          <w:szCs w:val="22"/>
          <w:lang w:val="es-CO"/>
        </w:rPr>
      </w:pPr>
      <w:r w:rsidRPr="003F309B">
        <w:rPr>
          <w:rFonts w:ascii="Arial" w:eastAsia="Times New Roman" w:hAnsi="Arial" w:cs="Arial"/>
          <w:sz w:val="22"/>
          <w:szCs w:val="22"/>
          <w:lang w:val="es-419"/>
        </w:rPr>
        <w:t>¿Se capacitó a personas de entidades nacionales sobre esquemas de participación privada en infraestructura?</w:t>
      </w:r>
    </w:p>
    <w:p w14:paraId="59756EBE" w14:textId="09264A4A" w:rsidR="00306EEB" w:rsidRPr="00306EEB" w:rsidRDefault="00306EEB" w:rsidP="007624A0">
      <w:pPr>
        <w:pStyle w:val="ListParagraph"/>
        <w:numPr>
          <w:ilvl w:val="0"/>
          <w:numId w:val="31"/>
        </w:numPr>
        <w:spacing w:before="120" w:after="120" w:line="360" w:lineRule="auto"/>
        <w:ind w:left="1134" w:hanging="567"/>
        <w:jc w:val="both"/>
        <w:rPr>
          <w:rFonts w:ascii="Arial" w:hAnsi="Arial" w:cs="Arial"/>
          <w:sz w:val="22"/>
          <w:szCs w:val="22"/>
          <w:lang w:val="es-CO"/>
        </w:rPr>
      </w:pPr>
      <w:r w:rsidRPr="003F309B">
        <w:rPr>
          <w:rFonts w:ascii="Arial" w:eastAsia="Times New Roman" w:hAnsi="Arial" w:cs="Arial"/>
          <w:sz w:val="22"/>
          <w:szCs w:val="22"/>
          <w:lang w:val="es-419"/>
        </w:rPr>
        <w:t>¿Se promovió la participación privada con aspectos institucionales?</w:t>
      </w:r>
    </w:p>
    <w:p w14:paraId="25CBC751" w14:textId="761CACD2" w:rsidR="00306EEB" w:rsidRPr="00306EEB" w:rsidRDefault="00306EEB" w:rsidP="007624A0">
      <w:pPr>
        <w:pStyle w:val="ListParagraph"/>
        <w:numPr>
          <w:ilvl w:val="0"/>
          <w:numId w:val="31"/>
        </w:numPr>
        <w:spacing w:before="120" w:after="120" w:line="360" w:lineRule="auto"/>
        <w:ind w:left="1134" w:hanging="567"/>
        <w:jc w:val="both"/>
        <w:rPr>
          <w:rFonts w:ascii="Arial" w:hAnsi="Arial" w:cs="Arial"/>
          <w:sz w:val="22"/>
          <w:szCs w:val="22"/>
          <w:lang w:val="es-CO"/>
        </w:rPr>
      </w:pPr>
      <w:r w:rsidRPr="003F309B">
        <w:rPr>
          <w:rFonts w:ascii="Arial" w:eastAsia="Times New Roman" w:hAnsi="Arial" w:cs="Arial"/>
          <w:sz w:val="22"/>
          <w:szCs w:val="22"/>
          <w:lang w:val="es-419"/>
        </w:rPr>
        <w:t>¿Se produjeron guías, manuales, herramientas, indicadores o estudios sobre experiencias desarrollados para el fortalecimiento de estrategias en torno a los proyectos de participación privada, considerando aspectos de cambio climático, género y diversidad, y ambientales y sociales?</w:t>
      </w:r>
    </w:p>
    <w:p w14:paraId="63531D92" w14:textId="48F62679" w:rsidR="00306EEB" w:rsidRPr="00C20753" w:rsidRDefault="00C20753" w:rsidP="007624A0">
      <w:pPr>
        <w:pStyle w:val="ListParagraph"/>
        <w:numPr>
          <w:ilvl w:val="0"/>
          <w:numId w:val="31"/>
        </w:numPr>
        <w:spacing w:before="120" w:after="120" w:line="360" w:lineRule="auto"/>
        <w:ind w:left="1134" w:hanging="567"/>
        <w:jc w:val="both"/>
        <w:rPr>
          <w:rFonts w:ascii="Arial" w:hAnsi="Arial" w:cs="Arial"/>
          <w:sz w:val="22"/>
          <w:szCs w:val="22"/>
          <w:lang w:val="es-CO"/>
        </w:rPr>
      </w:pPr>
      <w:r w:rsidRPr="003F309B">
        <w:rPr>
          <w:rFonts w:ascii="Arial" w:eastAsia="Times New Roman" w:hAnsi="Arial" w:cs="Arial"/>
          <w:sz w:val="22"/>
          <w:szCs w:val="22"/>
          <w:lang w:val="es-419"/>
        </w:rPr>
        <w:t>¿Se mejoró el Sistema de información de APP RUAPP?</w:t>
      </w:r>
    </w:p>
    <w:p w14:paraId="6B037429" w14:textId="17F0F9B9" w:rsidR="00C20753" w:rsidRPr="00C20753" w:rsidRDefault="00C20753" w:rsidP="007624A0">
      <w:pPr>
        <w:pStyle w:val="ListParagraph"/>
        <w:numPr>
          <w:ilvl w:val="0"/>
          <w:numId w:val="31"/>
        </w:numPr>
        <w:spacing w:before="120" w:after="120" w:line="360" w:lineRule="auto"/>
        <w:ind w:left="1134" w:hanging="567"/>
        <w:jc w:val="both"/>
        <w:rPr>
          <w:rFonts w:ascii="Arial" w:hAnsi="Arial" w:cs="Arial"/>
          <w:sz w:val="22"/>
          <w:szCs w:val="22"/>
          <w:lang w:val="es-CO"/>
        </w:rPr>
      </w:pPr>
      <w:r w:rsidRPr="003F309B">
        <w:rPr>
          <w:rFonts w:ascii="Arial" w:eastAsia="Times New Roman" w:hAnsi="Arial" w:cs="Arial"/>
          <w:sz w:val="22"/>
          <w:szCs w:val="22"/>
          <w:lang w:val="es-419"/>
        </w:rPr>
        <w:t>¿Se consolidó la unidad técnica para la gestión y coordinación de actividades relacionadas con participación privada contratada?</w:t>
      </w:r>
    </w:p>
    <w:p w14:paraId="73C729AA" w14:textId="7B7E763F" w:rsidR="00C20753" w:rsidRPr="00C20753" w:rsidRDefault="00C20753" w:rsidP="007624A0">
      <w:pPr>
        <w:pStyle w:val="ListParagraph"/>
        <w:numPr>
          <w:ilvl w:val="0"/>
          <w:numId w:val="31"/>
        </w:numPr>
        <w:spacing w:before="120" w:after="120" w:line="360" w:lineRule="auto"/>
        <w:ind w:left="1134" w:hanging="567"/>
        <w:jc w:val="both"/>
        <w:rPr>
          <w:rFonts w:ascii="Arial" w:hAnsi="Arial" w:cs="Arial"/>
          <w:sz w:val="22"/>
          <w:szCs w:val="22"/>
          <w:lang w:val="es-CO"/>
        </w:rPr>
      </w:pPr>
      <w:r w:rsidRPr="003F309B">
        <w:rPr>
          <w:rFonts w:ascii="Arial" w:eastAsia="Times New Roman" w:hAnsi="Arial" w:cs="Arial"/>
          <w:sz w:val="22"/>
          <w:szCs w:val="22"/>
          <w:lang w:val="es-419"/>
        </w:rPr>
        <w:t>¿Se adelantaron capacitaciones para fortalecer técnicamente al equipo contratado para apoyar al Programa, a partir de las necesidades identificadas?</w:t>
      </w:r>
    </w:p>
    <w:p w14:paraId="264EA11E" w14:textId="6C5D7668" w:rsidR="00C20753" w:rsidRPr="00316414" w:rsidRDefault="00C20753" w:rsidP="007624A0">
      <w:pPr>
        <w:pStyle w:val="ListParagraph"/>
        <w:numPr>
          <w:ilvl w:val="0"/>
          <w:numId w:val="31"/>
        </w:numPr>
        <w:spacing w:before="120" w:after="120" w:line="360" w:lineRule="auto"/>
        <w:ind w:left="1134" w:hanging="567"/>
        <w:jc w:val="both"/>
        <w:rPr>
          <w:rFonts w:ascii="Arial" w:hAnsi="Arial" w:cs="Arial"/>
          <w:sz w:val="22"/>
          <w:szCs w:val="22"/>
          <w:lang w:val="es-CO"/>
        </w:rPr>
      </w:pPr>
      <w:r w:rsidRPr="003F309B">
        <w:rPr>
          <w:rFonts w:ascii="Arial" w:eastAsia="Times New Roman" w:hAnsi="Arial" w:cs="Arial"/>
          <w:sz w:val="22"/>
          <w:szCs w:val="22"/>
          <w:lang w:val="es-419"/>
        </w:rPr>
        <w:lastRenderedPageBreak/>
        <w:t>¿Se adelantó la capacitación de género y diversidad?</w:t>
      </w:r>
    </w:p>
    <w:p w14:paraId="3429179B" w14:textId="77777777" w:rsidR="003F309B" w:rsidRDefault="003F309B" w:rsidP="00760463">
      <w:pPr>
        <w:spacing w:before="120" w:after="120"/>
        <w:ind w:left="567" w:hanging="567"/>
        <w:jc w:val="both"/>
        <w:rPr>
          <w:rFonts w:ascii="Arial" w:hAnsi="Arial" w:cs="Arial"/>
          <w:sz w:val="22"/>
          <w:szCs w:val="22"/>
          <w:lang w:val="es-CO"/>
        </w:rPr>
      </w:pPr>
    </w:p>
    <w:p w14:paraId="04EA7CEC" w14:textId="61AFE676" w:rsidR="009B1272" w:rsidRPr="00316414" w:rsidRDefault="00AA7B88" w:rsidP="007624A0">
      <w:pPr>
        <w:spacing w:before="120" w:after="120"/>
        <w:ind w:left="567"/>
        <w:jc w:val="both"/>
        <w:rPr>
          <w:rFonts w:ascii="Arial" w:hAnsi="Arial" w:cs="Arial"/>
          <w:sz w:val="22"/>
          <w:szCs w:val="22"/>
          <w:lang w:val="es-CO"/>
        </w:rPr>
      </w:pPr>
      <w:r w:rsidRPr="00316414">
        <w:rPr>
          <w:rFonts w:ascii="Arial" w:hAnsi="Arial" w:cs="Arial"/>
          <w:sz w:val="22"/>
          <w:szCs w:val="22"/>
          <w:lang w:val="es-CO"/>
        </w:rPr>
        <w:t>La Tabla 5 muestra el cronograma y presupuesto de la evaluación propuesta</w:t>
      </w:r>
      <w:r w:rsidR="00EE26FC" w:rsidRPr="00316414">
        <w:rPr>
          <w:rFonts w:ascii="Arial" w:hAnsi="Arial" w:cs="Arial"/>
          <w:sz w:val="22"/>
          <w:szCs w:val="22"/>
          <w:lang w:val="es-CO"/>
        </w:rPr>
        <w:t>.</w:t>
      </w:r>
    </w:p>
    <w:p w14:paraId="072C263A" w14:textId="1CFA8A47" w:rsidR="009B1272" w:rsidRPr="002C03B2" w:rsidRDefault="009B1272" w:rsidP="002C03B2">
      <w:pPr>
        <w:spacing w:before="120" w:after="120"/>
        <w:jc w:val="both"/>
        <w:rPr>
          <w:rFonts w:ascii="Arial" w:hAnsi="Arial" w:cs="Arial"/>
          <w:sz w:val="22"/>
          <w:szCs w:val="22"/>
          <w:lang w:val="es-CO"/>
        </w:rPr>
      </w:pPr>
      <w:r w:rsidRPr="002C03B2">
        <w:rPr>
          <w:rFonts w:ascii="Arial" w:hAnsi="Arial" w:cs="Arial"/>
          <w:sz w:val="22"/>
          <w:szCs w:val="22"/>
          <w:lang w:val="es-CO"/>
        </w:rPr>
        <w:br w:type="page"/>
      </w:r>
    </w:p>
    <w:p w14:paraId="54482FD3" w14:textId="77777777" w:rsidR="00186BFD" w:rsidRDefault="00186BFD" w:rsidP="002C03B2">
      <w:pPr>
        <w:pStyle w:val="heading-b24"/>
        <w:spacing w:before="120" w:after="120"/>
        <w:rPr>
          <w:rFonts w:ascii="Arial" w:eastAsia="Calibri" w:hAnsi="Arial" w:cs="Arial"/>
          <w:smallCaps w:val="0"/>
          <w:sz w:val="22"/>
          <w:szCs w:val="22"/>
          <w:lang w:val="es-ES"/>
        </w:rPr>
        <w:sectPr w:rsidR="00186BFD" w:rsidSect="00186BFD">
          <w:pgSz w:w="12240" w:h="15840"/>
          <w:pgMar w:top="1418" w:right="1701" w:bottom="1418" w:left="1701" w:header="709" w:footer="709" w:gutter="0"/>
          <w:cols w:space="708"/>
          <w:docGrid w:linePitch="360"/>
        </w:sectPr>
      </w:pPr>
    </w:p>
    <w:p w14:paraId="4A0745EB" w14:textId="113FB67A" w:rsidR="009B1272" w:rsidRPr="002C03B2" w:rsidRDefault="009B1272" w:rsidP="002C03B2">
      <w:pPr>
        <w:pStyle w:val="heading-b24"/>
        <w:spacing w:before="120" w:after="120"/>
        <w:rPr>
          <w:rFonts w:ascii="Arial" w:eastAsia="Calibri" w:hAnsi="Arial" w:cs="Arial"/>
          <w:smallCaps w:val="0"/>
          <w:sz w:val="22"/>
          <w:szCs w:val="22"/>
          <w:lang w:val="es-ES"/>
        </w:rPr>
      </w:pPr>
      <w:bookmarkStart w:id="3" w:name="_Hlk54241509"/>
      <w:r w:rsidRPr="002C03B2">
        <w:rPr>
          <w:rFonts w:ascii="Arial" w:eastAsia="Calibri" w:hAnsi="Arial" w:cs="Arial"/>
          <w:smallCaps w:val="0"/>
          <w:sz w:val="22"/>
          <w:szCs w:val="22"/>
          <w:lang w:val="es-ES"/>
        </w:rPr>
        <w:lastRenderedPageBreak/>
        <w:t>Tabla 4. Monitoreo a Productos y Actividades - Plan de Trabajo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0"/>
        <w:gridCol w:w="179"/>
        <w:gridCol w:w="218"/>
        <w:gridCol w:w="257"/>
        <w:gridCol w:w="273"/>
        <w:gridCol w:w="179"/>
        <w:gridCol w:w="218"/>
        <w:gridCol w:w="257"/>
        <w:gridCol w:w="273"/>
        <w:gridCol w:w="179"/>
        <w:gridCol w:w="218"/>
        <w:gridCol w:w="257"/>
        <w:gridCol w:w="273"/>
        <w:gridCol w:w="179"/>
        <w:gridCol w:w="218"/>
        <w:gridCol w:w="257"/>
        <w:gridCol w:w="137"/>
        <w:gridCol w:w="137"/>
        <w:gridCol w:w="179"/>
        <w:gridCol w:w="218"/>
        <w:gridCol w:w="257"/>
        <w:gridCol w:w="273"/>
        <w:gridCol w:w="179"/>
        <w:gridCol w:w="218"/>
        <w:gridCol w:w="257"/>
        <w:gridCol w:w="273"/>
        <w:gridCol w:w="1012"/>
        <w:gridCol w:w="647"/>
        <w:gridCol w:w="1912"/>
      </w:tblGrid>
      <w:tr w:rsidR="008A0310" w:rsidRPr="00FC578E" w14:paraId="1E3A2255" w14:textId="77777777" w:rsidTr="00C20753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FD880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Plan de Monitoreo a principales Productos y actividades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7134" w14:textId="4BDE6DF5" w:rsidR="008A0310" w:rsidRPr="002832ED" w:rsidRDefault="008A0310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2021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0B568" w14:textId="558FA182" w:rsidR="008A0310" w:rsidRPr="002832ED" w:rsidRDefault="008A0310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2022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BFE46" w14:textId="3B7836FB" w:rsidR="008A0310" w:rsidRPr="002832ED" w:rsidRDefault="008A0310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2023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6C57" w14:textId="458C4D2E" w:rsidR="008A0310" w:rsidRPr="002832ED" w:rsidRDefault="008A0310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2024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73D2F" w14:textId="7C8096EE" w:rsidR="008A0310" w:rsidRPr="002832ED" w:rsidRDefault="008A0310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2025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1D46" w14:textId="2B389A19" w:rsidR="008A0310" w:rsidRPr="002832ED" w:rsidRDefault="008A0310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2026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36A95" w14:textId="39E1A5F8" w:rsidR="008A0310" w:rsidRPr="002832ED" w:rsidRDefault="008A0310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Responsable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B61170" w14:textId="77777777" w:rsidR="008A0310" w:rsidRDefault="008A0310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Costo</w:t>
            </w:r>
          </w:p>
          <w:p w14:paraId="4331A919" w14:textId="63C7A81D" w:rsidR="007D32E3" w:rsidRPr="002832ED" w:rsidRDefault="007D32E3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(</w:t>
            </w: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US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$)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3EF56" w14:textId="08EC72FD" w:rsidR="008A0310" w:rsidRPr="002832ED" w:rsidRDefault="008A0310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Financiamiento</w:t>
            </w:r>
          </w:p>
        </w:tc>
      </w:tr>
      <w:tr w:rsidR="008A0310" w:rsidRPr="00FC578E" w14:paraId="0163689E" w14:textId="77777777" w:rsidTr="00C20753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3CDA7" w14:textId="77777777" w:rsidR="008A0310" w:rsidRPr="002832ED" w:rsidRDefault="008A0310" w:rsidP="008A0310">
            <w:pPr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510A" w14:textId="77777777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D082" w14:textId="77777777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104C" w14:textId="77777777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C243A" w14:textId="77777777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9F35" w14:textId="7035C72E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A1CC" w14:textId="29FED16F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FE60" w14:textId="58B959AB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9F09" w14:textId="17041208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20744" w14:textId="2431CCA7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A43B" w14:textId="790A5224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2DD2" w14:textId="026153AF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A895" w14:textId="63D8B67E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270E" w14:textId="77777777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3680" w14:textId="77777777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6B45A" w14:textId="77777777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III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B13F" w14:textId="77777777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7B7B" w14:textId="77777777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2DD00" w14:textId="77777777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50F22" w14:textId="77777777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65CA" w14:textId="77777777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7D970" w14:textId="77777777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7C79" w14:textId="77777777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FF2E" w14:textId="77777777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65DA7" w14:textId="77777777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IV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A67B" w14:textId="77777777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85E5" w14:textId="77777777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70D8" w14:textId="77777777" w:rsidR="008A0310" w:rsidRPr="002832ED" w:rsidRDefault="008A0310" w:rsidP="008A031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</w:tr>
      <w:tr w:rsidR="008A0310" w:rsidRPr="00FC578E" w14:paraId="6C757173" w14:textId="77777777" w:rsidTr="00C20753">
        <w:trPr>
          <w:gridAfter w:val="12"/>
          <w:trHeight w:val="62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C3A3F4" w14:textId="1EC3EB41" w:rsidR="008A0310" w:rsidRPr="002832ED" w:rsidRDefault="008A0310" w:rsidP="008A0310">
            <w:pPr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  <w:lang w:val="es-ES" w:eastAsia="es-ES"/>
              </w:rPr>
              <w:t>Evaluaciones</w:t>
            </w:r>
          </w:p>
        </w:tc>
      </w:tr>
      <w:tr w:rsidR="008A0310" w:rsidRPr="00FC578E" w14:paraId="761A453B" w14:textId="77777777" w:rsidTr="00C20753">
        <w:trPr>
          <w:trHeight w:hRule="exact" w:val="2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3040" w14:textId="6333494D" w:rsidR="008A0310" w:rsidRPr="00FA3BEA" w:rsidRDefault="008A0310" w:rsidP="00131E2F">
            <w:pPr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sz w:val="14"/>
                <w:szCs w:val="14"/>
                <w:lang w:val="es-ES" w:eastAsia="es-ES"/>
              </w:rPr>
              <w:t>Evaluación intermedia: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0D26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B350E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F5A84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03A51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A1064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3936F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F1A0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15AF9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BBFC0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7F28F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10833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48BD5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5353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803E1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9BAD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267E3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81A65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997F7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7CFF2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625D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374F65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EDA5B7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FB3706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7A96FA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66423D" w14:textId="2FD75111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sz w:val="14"/>
                <w:szCs w:val="14"/>
                <w:lang w:val="es-ES" w:eastAsia="es-ES"/>
              </w:rPr>
              <w:t>DNP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E930D1" w14:textId="724DB6B0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sz w:val="14"/>
                <w:szCs w:val="14"/>
                <w:lang w:val="es-ES" w:eastAsia="es-ES"/>
              </w:rPr>
              <w:t>200.000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668303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sz w:val="14"/>
                <w:szCs w:val="14"/>
                <w:lang w:val="es-ES" w:eastAsia="es-ES"/>
              </w:rPr>
              <w:t>CO-L1265</w:t>
            </w:r>
          </w:p>
          <w:p w14:paraId="7D42B61B" w14:textId="39BCD458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sz w:val="14"/>
                <w:szCs w:val="14"/>
                <w:lang w:val="es-ES" w:eastAsia="es-ES"/>
              </w:rPr>
              <w:t>Administración del programa</w:t>
            </w:r>
          </w:p>
        </w:tc>
      </w:tr>
      <w:tr w:rsidR="008A0310" w:rsidRPr="00FC578E" w14:paraId="35EF67AA" w14:textId="77777777" w:rsidTr="00C20753">
        <w:trPr>
          <w:trHeight w:hRule="exact" w:val="28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CCD6" w14:textId="74BEB388" w:rsidR="008A0310" w:rsidRPr="002832ED" w:rsidRDefault="008A0310" w:rsidP="00131E2F">
            <w:pPr>
              <w:pStyle w:val="ListParagraph"/>
              <w:numPr>
                <w:ilvl w:val="0"/>
                <w:numId w:val="30"/>
              </w:numPr>
              <w:ind w:left="90" w:hanging="90"/>
              <w:contextualSpacing w:val="0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sz w:val="14"/>
                <w:szCs w:val="14"/>
                <w:lang w:val="es-ES" w:eastAsia="es-ES"/>
              </w:rPr>
              <w:t>Elaboración TDR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16DE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166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7E38F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1B2E1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8119E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B6D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C00C5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66028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3A928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D6070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97AB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6542A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AF3F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AB27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4B18A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0FBC1B8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675D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14B7A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9685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52727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BD092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FD3CDF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14E398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6C1AF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788F7E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3F5B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81756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</w:tr>
      <w:tr w:rsidR="008A0310" w:rsidRPr="00FC578E" w14:paraId="724C3F18" w14:textId="77777777" w:rsidTr="00C20753">
        <w:trPr>
          <w:trHeight w:hRule="exact" w:val="28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68B2E9" w14:textId="4F676889" w:rsidR="008A0310" w:rsidRPr="002832ED" w:rsidRDefault="008A0310" w:rsidP="00131E2F">
            <w:pPr>
              <w:pStyle w:val="ListParagraph"/>
              <w:numPr>
                <w:ilvl w:val="0"/>
                <w:numId w:val="30"/>
              </w:numPr>
              <w:ind w:left="90" w:hanging="90"/>
              <w:contextualSpacing w:val="0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sz w:val="14"/>
                <w:szCs w:val="14"/>
                <w:lang w:val="es-ES" w:eastAsia="es-ES"/>
              </w:rPr>
              <w:t>Contratación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596E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7A110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9CF6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43B0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FF3E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DD18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A707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920F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0D1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C5D6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7456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0006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1DEE4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9C49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4CA0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5E06121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0203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EA76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5B47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5854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74134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FD08C9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46D6E6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AEF1C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2EC2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A6223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72C27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</w:tr>
      <w:tr w:rsidR="008A0310" w:rsidRPr="00FC578E" w14:paraId="29A1E799" w14:textId="77777777" w:rsidTr="00C20753">
        <w:trPr>
          <w:trHeight w:hRule="exact" w:val="277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D601F" w14:textId="511CF443" w:rsidR="008A0310" w:rsidRPr="002832ED" w:rsidRDefault="008A0310" w:rsidP="00131E2F">
            <w:pPr>
              <w:pStyle w:val="ListParagraph"/>
              <w:numPr>
                <w:ilvl w:val="0"/>
                <w:numId w:val="30"/>
              </w:numPr>
              <w:ind w:left="90" w:hanging="90"/>
              <w:contextualSpacing w:val="0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sz w:val="14"/>
                <w:szCs w:val="14"/>
                <w:lang w:val="es-ES" w:eastAsia="es-ES"/>
              </w:rPr>
              <w:t>Ejecución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6E62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9FCF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ABEF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9A50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3A22A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FA73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FBC6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BA748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5284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783A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46F2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6B81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1F04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83A0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803D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54EB2BF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3CB4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8DC6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AA3D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C0A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677082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5405E3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2CD6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3FA117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1DA8B0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CE5D8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7A22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</w:tr>
      <w:tr w:rsidR="008A0310" w:rsidRPr="00FC578E" w14:paraId="14F5CB90" w14:textId="77777777" w:rsidTr="00C20753">
        <w:trPr>
          <w:trHeight w:hRule="exact" w:val="282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EB292" w14:textId="51F5ABB8" w:rsidR="008A0310" w:rsidRPr="00FA3BEA" w:rsidRDefault="008A0310" w:rsidP="00131E2F">
            <w:pPr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sz w:val="14"/>
                <w:szCs w:val="14"/>
                <w:lang w:val="es-ES" w:eastAsia="es-ES"/>
              </w:rPr>
              <w:t>Evaluación final: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56AA5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375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7B81D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F1B9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0FCD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22D79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5A7E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75DF4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2CB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D12FF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E8D4A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F22C1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1BE9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C6C4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715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0906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122F9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79CF2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DEBD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99EA7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3823AA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BD170A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29A2CA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56F626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65A31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111DD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756D0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</w:tr>
      <w:tr w:rsidR="008A0310" w:rsidRPr="00FC578E" w14:paraId="4A881E37" w14:textId="77777777" w:rsidTr="00C20753">
        <w:trPr>
          <w:trHeight w:hRule="exact" w:val="285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F1E2B" w14:textId="5CE39D96" w:rsidR="008A0310" w:rsidRPr="002832ED" w:rsidRDefault="008A0310" w:rsidP="00131E2F">
            <w:pPr>
              <w:pStyle w:val="ListParagraph"/>
              <w:numPr>
                <w:ilvl w:val="0"/>
                <w:numId w:val="30"/>
              </w:numPr>
              <w:ind w:left="90" w:hanging="90"/>
              <w:contextualSpacing w:val="0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sz w:val="14"/>
                <w:szCs w:val="14"/>
                <w:lang w:val="es-ES" w:eastAsia="es-ES"/>
              </w:rPr>
              <w:t>Elaboración TDR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51CB4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B115D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5ECE3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D7A9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58AB7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7525F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FA95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0CD4A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089CA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2F89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80D34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F54E3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86FDE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86499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83054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2CBD3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2382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8D49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5DDD2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92E2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2EE0E3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7636D0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2194F1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D5BB10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BB9E3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07882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3D1E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</w:tr>
      <w:tr w:rsidR="008A0310" w:rsidRPr="00FC578E" w14:paraId="2189A975" w14:textId="77777777" w:rsidTr="00C20753">
        <w:trPr>
          <w:trHeight w:hRule="exact" w:val="290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BFAE5" w14:textId="53176B44" w:rsidR="008A0310" w:rsidRPr="002832ED" w:rsidRDefault="008A0310" w:rsidP="00131E2F">
            <w:pPr>
              <w:pStyle w:val="ListParagraph"/>
              <w:numPr>
                <w:ilvl w:val="0"/>
                <w:numId w:val="30"/>
              </w:numPr>
              <w:ind w:left="90" w:hanging="90"/>
              <w:contextualSpacing w:val="0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sz w:val="14"/>
                <w:szCs w:val="14"/>
                <w:lang w:val="es-ES" w:eastAsia="es-ES"/>
              </w:rPr>
              <w:t>Contratación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1800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6BF05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B08F2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F57F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0CAD9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2CC23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245E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61931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14DF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98694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CA0E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670A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D68E7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E2767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A912F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067CD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B185D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2690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4D337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7C75D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580138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33914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59BCD1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BAD7E35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6ECCA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2A1BA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86C77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</w:tr>
      <w:tr w:rsidR="008A0310" w:rsidRPr="00FC578E" w14:paraId="2BB8FC0A" w14:textId="77777777" w:rsidTr="00C20753">
        <w:trPr>
          <w:trHeight w:hRule="exact" w:val="242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6A002" w14:textId="391F3986" w:rsidR="008A0310" w:rsidRPr="002832ED" w:rsidRDefault="008A0310" w:rsidP="00131E2F">
            <w:pPr>
              <w:pStyle w:val="ListParagraph"/>
              <w:numPr>
                <w:ilvl w:val="0"/>
                <w:numId w:val="30"/>
              </w:numPr>
              <w:ind w:left="90" w:hanging="90"/>
              <w:contextualSpacing w:val="0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sz w:val="14"/>
                <w:szCs w:val="14"/>
                <w:lang w:val="es-ES" w:eastAsia="es-ES"/>
              </w:rPr>
              <w:t>Ejecución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53088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3E05E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365DD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7C8E5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CB76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458A3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95F46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8D639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F21B8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D87F5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57C12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5B5F9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2FFF9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2F0AA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7713E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015F1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67DC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493EA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B3034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51D92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5C4C6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EC91A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9D1D12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A710E1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6C9CB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187DC0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D991D8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</w:tr>
      <w:tr w:rsidR="008A0310" w:rsidRPr="00FC578E" w14:paraId="467F1FAB" w14:textId="77777777" w:rsidTr="00C20753">
        <w:trPr>
          <w:gridAfter w:val="12"/>
          <w:trHeight w:val="7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BBE64E" w14:textId="24B8A382" w:rsidR="008A0310" w:rsidRPr="002832ED" w:rsidRDefault="008A0310" w:rsidP="008A0310">
            <w:pPr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  <w:lang w:val="es-ES" w:eastAsia="es-ES"/>
              </w:rPr>
              <w:t>Auditoría Financiera</w:t>
            </w:r>
          </w:p>
        </w:tc>
      </w:tr>
      <w:tr w:rsidR="008A0310" w:rsidRPr="00FC578E" w14:paraId="27FBA5A9" w14:textId="77777777" w:rsidTr="008A0310">
        <w:trPr>
          <w:trHeight w:hRule="exact" w:val="291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15EEBB17" w14:textId="5C5F56DD" w:rsidR="008A0310" w:rsidRPr="002832ED" w:rsidRDefault="008A0310" w:rsidP="00131E2F">
            <w:pPr>
              <w:pStyle w:val="ListParagraph"/>
              <w:numPr>
                <w:ilvl w:val="0"/>
                <w:numId w:val="30"/>
              </w:numPr>
              <w:ind w:left="90" w:hanging="90"/>
              <w:contextualSpacing w:val="0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sz w:val="14"/>
                <w:szCs w:val="14"/>
                <w:lang w:val="es-ES" w:eastAsia="es-ES"/>
              </w:rPr>
              <w:t>Elaboración TDR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C1E47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230C1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54757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1A4E9C51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F7C62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394D8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1E2C2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5F50079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FED30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B0C00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335E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8876F0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BE74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4EA1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6010D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F531123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53526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4A694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76950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21FEAF8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FBD1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A64F4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FD14A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92CC60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321D4" w14:textId="6E1D9995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sz w:val="14"/>
                <w:szCs w:val="14"/>
                <w:lang w:val="es-ES" w:eastAsia="es-ES"/>
              </w:rPr>
              <w:t>DNP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D9D57" w14:textId="0099E092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sz w:val="14"/>
                <w:szCs w:val="14"/>
                <w:lang w:val="es-ES" w:eastAsia="es-ES"/>
              </w:rPr>
              <w:t>227.953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48E2D5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sz w:val="14"/>
                <w:szCs w:val="14"/>
                <w:lang w:val="es-ES" w:eastAsia="es-ES"/>
              </w:rPr>
              <w:t>CO-L1265</w:t>
            </w:r>
          </w:p>
          <w:p w14:paraId="02B7F40D" w14:textId="4932DC26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sz w:val="14"/>
                <w:szCs w:val="14"/>
                <w:lang w:val="es-ES" w:eastAsia="es-ES"/>
              </w:rPr>
              <w:t>Administración del programa</w:t>
            </w:r>
          </w:p>
        </w:tc>
      </w:tr>
      <w:tr w:rsidR="008A0310" w:rsidRPr="00FC578E" w14:paraId="067E8324" w14:textId="77777777" w:rsidTr="008A0310">
        <w:trPr>
          <w:trHeight w:hRule="exact" w:val="281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C0F09C6" w14:textId="50943F31" w:rsidR="008A0310" w:rsidRPr="002832ED" w:rsidRDefault="008A0310" w:rsidP="00131E2F">
            <w:pPr>
              <w:pStyle w:val="ListParagraph"/>
              <w:numPr>
                <w:ilvl w:val="0"/>
                <w:numId w:val="30"/>
              </w:numPr>
              <w:ind w:left="90" w:hanging="90"/>
              <w:contextualSpacing w:val="0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sz w:val="14"/>
                <w:szCs w:val="14"/>
                <w:lang w:val="es-ES" w:eastAsia="es-ES"/>
              </w:rPr>
              <w:t>Contratación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6F8C6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2A9E9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D0B4A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016DFD6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5F94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9A94E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1073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BEF1981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2571C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4A0B8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7AA1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4AB266A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D85A0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C3227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CD2A4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2F5496" w:themeFill="accent1" w:themeFillShade="BF"/>
            <w:vAlign w:val="center"/>
          </w:tcPr>
          <w:p w14:paraId="7679BA90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7101D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1EE4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F9134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13C26F8E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3E5136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BE480D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DF06D8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F166A6D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4D05B3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C9E61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28A2D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</w:tr>
      <w:tr w:rsidR="008A0310" w:rsidRPr="00FC578E" w14:paraId="1639AF9A" w14:textId="77777777" w:rsidTr="008A0310">
        <w:trPr>
          <w:trHeight w:hRule="exact" w:val="216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E79A1EB" w14:textId="62490BA6" w:rsidR="008A0310" w:rsidRPr="002832ED" w:rsidRDefault="008A0310" w:rsidP="00131E2F">
            <w:pPr>
              <w:pStyle w:val="ListParagraph"/>
              <w:numPr>
                <w:ilvl w:val="0"/>
                <w:numId w:val="30"/>
              </w:numPr>
              <w:ind w:left="90" w:hanging="90"/>
              <w:contextualSpacing w:val="0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sz w:val="14"/>
                <w:szCs w:val="14"/>
                <w:lang w:val="es-ES" w:eastAsia="es-ES"/>
              </w:rPr>
              <w:t>Ejecución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583C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F145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D9479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9B5A678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0327D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DF101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37620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077D65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276C4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30655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6CF82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C1385E5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46999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F064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160D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noWrap/>
            <w:vAlign w:val="center"/>
          </w:tcPr>
          <w:p w14:paraId="6A6CD5E0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5D474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5D6D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FF09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B84A6FA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06B331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1527A2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E3A9B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23B3475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FB0BA4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066CA3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349CDD" w14:textId="77777777" w:rsidR="008A0310" w:rsidRPr="002832ED" w:rsidRDefault="008A0310" w:rsidP="00131E2F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</w:tr>
      <w:tr w:rsidR="00131E2F" w:rsidRPr="00FC578E" w14:paraId="023063AC" w14:textId="77777777" w:rsidTr="00C20753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0BE4B46B" w14:textId="77777777" w:rsidR="00131E2F" w:rsidRPr="002832ED" w:rsidRDefault="00131E2F" w:rsidP="00131E2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EA3553" w14:textId="77777777" w:rsidR="00131E2F" w:rsidRPr="002832ED" w:rsidRDefault="00131E2F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0CA3CB" w14:textId="77777777" w:rsidR="00131E2F" w:rsidRPr="002832ED" w:rsidRDefault="00131E2F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F47923" w14:textId="77777777" w:rsidR="00131E2F" w:rsidRPr="002832ED" w:rsidRDefault="00131E2F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D81E1E" w14:textId="77777777" w:rsidR="00131E2F" w:rsidRPr="002832ED" w:rsidRDefault="00131E2F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815AD" w14:textId="77777777" w:rsidR="00131E2F" w:rsidRPr="002832ED" w:rsidRDefault="00131E2F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347133" w14:textId="77777777" w:rsidR="00131E2F" w:rsidRPr="002832ED" w:rsidRDefault="00131E2F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7AC56" w14:textId="77777777" w:rsidR="00131E2F" w:rsidRPr="002832ED" w:rsidRDefault="00131E2F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CB2DEA" w14:textId="77777777" w:rsidR="00131E2F" w:rsidRPr="002832ED" w:rsidRDefault="00131E2F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AD5F92" w14:textId="77777777" w:rsidR="00131E2F" w:rsidRPr="002832ED" w:rsidRDefault="00131E2F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383DBB" w14:textId="77777777" w:rsidR="00131E2F" w:rsidRPr="002832ED" w:rsidRDefault="00131E2F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A4F2AC" w14:textId="77777777" w:rsidR="00131E2F" w:rsidRPr="002832ED" w:rsidRDefault="00131E2F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FE6BC1" w14:textId="77777777" w:rsidR="00131E2F" w:rsidRPr="002832ED" w:rsidRDefault="00131E2F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789896" w14:textId="77777777" w:rsidR="00131E2F" w:rsidRPr="002832ED" w:rsidRDefault="00131E2F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82ABA6" w14:textId="77777777" w:rsidR="00131E2F" w:rsidRPr="002832ED" w:rsidRDefault="00131E2F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FFF490" w14:textId="77777777" w:rsidR="00131E2F" w:rsidRPr="002832ED" w:rsidRDefault="00131E2F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5642DB" w14:textId="77777777" w:rsidR="00131E2F" w:rsidRPr="002832ED" w:rsidRDefault="00131E2F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4F9FDB" w14:textId="77777777" w:rsidR="00131E2F" w:rsidRPr="002832ED" w:rsidRDefault="00131E2F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B4554B" w14:textId="77777777" w:rsidR="00131E2F" w:rsidRPr="002832ED" w:rsidRDefault="00131E2F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391C0D" w14:textId="77777777" w:rsidR="00131E2F" w:rsidRPr="002832ED" w:rsidRDefault="00131E2F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F5F796" w14:textId="77777777" w:rsidR="00131E2F" w:rsidRPr="002832ED" w:rsidRDefault="00131E2F" w:rsidP="00131E2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</w:tcPr>
          <w:p w14:paraId="3E281FAB" w14:textId="77777777" w:rsidR="00131E2F" w:rsidRPr="002832ED" w:rsidRDefault="00131E2F" w:rsidP="00131E2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D9245E4" w14:textId="15F8A1D9" w:rsidR="00131E2F" w:rsidRPr="002832ED" w:rsidRDefault="00131E2F" w:rsidP="00131E2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7926A8D" w14:textId="45D75090" w:rsidR="00131E2F" w:rsidRPr="002832ED" w:rsidRDefault="00131E2F" w:rsidP="00131E2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427.953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36CDC58" w14:textId="703A80B2" w:rsidR="00131E2F" w:rsidRPr="002832ED" w:rsidRDefault="00131E2F" w:rsidP="00131E2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sz w:val="14"/>
                <w:szCs w:val="14"/>
                <w:lang w:val="es-ES" w:eastAsia="es-ES"/>
              </w:rPr>
              <w:t> </w:t>
            </w:r>
          </w:p>
        </w:tc>
      </w:tr>
    </w:tbl>
    <w:bookmarkEnd w:id="3"/>
    <w:p w14:paraId="62F7457A" w14:textId="7ECDE0EB" w:rsidR="00165117" w:rsidRPr="002C03B2" w:rsidRDefault="00165117" w:rsidP="00165117">
      <w:pPr>
        <w:pStyle w:val="heading-b24"/>
        <w:spacing w:before="120" w:after="120"/>
        <w:rPr>
          <w:rFonts w:ascii="Arial" w:eastAsia="Calibri" w:hAnsi="Arial" w:cs="Arial"/>
          <w:smallCaps w:val="0"/>
          <w:sz w:val="22"/>
          <w:szCs w:val="22"/>
          <w:lang w:val="es-ES"/>
        </w:rPr>
      </w:pPr>
      <w:r w:rsidRPr="002C03B2">
        <w:rPr>
          <w:rFonts w:ascii="Arial" w:eastAsia="Calibri" w:hAnsi="Arial" w:cs="Arial"/>
          <w:smallCaps w:val="0"/>
          <w:sz w:val="22"/>
          <w:szCs w:val="22"/>
          <w:lang w:val="es-ES"/>
        </w:rPr>
        <w:t xml:space="preserve">Tabla </w:t>
      </w:r>
      <w:r>
        <w:rPr>
          <w:rFonts w:ascii="Arial" w:eastAsia="Calibri" w:hAnsi="Arial" w:cs="Arial"/>
          <w:smallCaps w:val="0"/>
          <w:sz w:val="22"/>
          <w:szCs w:val="22"/>
          <w:lang w:val="es-ES"/>
        </w:rPr>
        <w:t>5</w:t>
      </w:r>
      <w:r w:rsidRPr="002C03B2">
        <w:rPr>
          <w:rFonts w:ascii="Arial" w:eastAsia="Calibri" w:hAnsi="Arial" w:cs="Arial"/>
          <w:smallCaps w:val="0"/>
          <w:sz w:val="22"/>
          <w:szCs w:val="22"/>
          <w:lang w:val="es-ES"/>
        </w:rPr>
        <w:t xml:space="preserve">. </w:t>
      </w:r>
      <w:r>
        <w:rPr>
          <w:rFonts w:ascii="Arial" w:eastAsia="Calibri" w:hAnsi="Arial" w:cs="Arial"/>
          <w:smallCaps w:val="0"/>
          <w:sz w:val="22"/>
          <w:szCs w:val="22"/>
          <w:lang w:val="es-ES"/>
        </w:rPr>
        <w:t>Evaluación de Indicadores y Productos</w:t>
      </w:r>
      <w:r w:rsidRPr="002C03B2">
        <w:rPr>
          <w:rFonts w:ascii="Arial" w:eastAsia="Calibri" w:hAnsi="Arial" w:cs="Arial"/>
          <w:smallCaps w:val="0"/>
          <w:sz w:val="22"/>
          <w:szCs w:val="22"/>
          <w:lang w:val="es-ES"/>
        </w:rPr>
        <w:t xml:space="preserve"> - Plan de Trabajo</w:t>
      </w:r>
    </w:p>
    <w:tbl>
      <w:tblPr>
        <w:tblW w:w="130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67"/>
        <w:gridCol w:w="218"/>
        <w:gridCol w:w="257"/>
        <w:gridCol w:w="273"/>
        <w:gridCol w:w="179"/>
        <w:gridCol w:w="218"/>
        <w:gridCol w:w="257"/>
        <w:gridCol w:w="273"/>
        <w:gridCol w:w="179"/>
        <w:gridCol w:w="218"/>
        <w:gridCol w:w="257"/>
        <w:gridCol w:w="273"/>
        <w:gridCol w:w="179"/>
        <w:gridCol w:w="218"/>
        <w:gridCol w:w="257"/>
        <w:gridCol w:w="274"/>
        <w:gridCol w:w="179"/>
        <w:gridCol w:w="218"/>
        <w:gridCol w:w="257"/>
        <w:gridCol w:w="273"/>
        <w:gridCol w:w="179"/>
        <w:gridCol w:w="218"/>
        <w:gridCol w:w="257"/>
        <w:gridCol w:w="273"/>
        <w:gridCol w:w="1111"/>
        <w:gridCol w:w="709"/>
        <w:gridCol w:w="1842"/>
      </w:tblGrid>
      <w:tr w:rsidR="004C1CB4" w:rsidRPr="00FC578E" w14:paraId="687D536B" w14:textId="77777777" w:rsidTr="007D32E3">
        <w:trPr>
          <w:trHeight w:val="255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48BD" w14:textId="54466223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 xml:space="preserve">Plan de </w:t>
            </w:r>
            <w:r w:rsidR="0046776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 xml:space="preserve">Evaluación de Indicadores </w:t>
            </w:r>
            <w:r w:rsidR="004C1CB4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 xml:space="preserve">y Actividades   </w:t>
            </w:r>
          </w:p>
        </w:tc>
        <w:tc>
          <w:tcPr>
            <w:tcW w:w="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05852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2021</w:t>
            </w:r>
          </w:p>
        </w:tc>
        <w:tc>
          <w:tcPr>
            <w:tcW w:w="9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1D93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2022</w:t>
            </w:r>
          </w:p>
        </w:tc>
        <w:tc>
          <w:tcPr>
            <w:tcW w:w="9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7DCC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2023</w:t>
            </w:r>
          </w:p>
        </w:tc>
        <w:tc>
          <w:tcPr>
            <w:tcW w:w="9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6DC72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2024</w:t>
            </w:r>
          </w:p>
        </w:tc>
        <w:tc>
          <w:tcPr>
            <w:tcW w:w="9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B304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2025</w:t>
            </w:r>
          </w:p>
        </w:tc>
        <w:tc>
          <w:tcPr>
            <w:tcW w:w="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83BB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2026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E590A0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Responsable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86CEA1" w14:textId="77777777" w:rsidR="00165117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Costo</w:t>
            </w:r>
          </w:p>
          <w:p w14:paraId="5BEA0EFC" w14:textId="3164CB46" w:rsidR="007D32E3" w:rsidRPr="002832ED" w:rsidRDefault="007D32E3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(</w:t>
            </w: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US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$)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DB09D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Financiamiento</w:t>
            </w:r>
          </w:p>
        </w:tc>
      </w:tr>
      <w:tr w:rsidR="004C1CB4" w:rsidRPr="00FC578E" w14:paraId="16F9C518" w14:textId="77777777" w:rsidTr="007D32E3">
        <w:trPr>
          <w:trHeight w:val="255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62EA7" w14:textId="77777777" w:rsidR="00165117" w:rsidRPr="002832ED" w:rsidRDefault="00165117" w:rsidP="00C20753">
            <w:pPr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7D08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76DE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II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101E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III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3734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IV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7360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1E72A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II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E266D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III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FA37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IV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E8ED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7083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II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3612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III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B1A45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IV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98B8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818A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II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7BE7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III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A0E8E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IV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3BEB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9A82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II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5C0C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III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04A4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IV</w:t>
            </w:r>
          </w:p>
        </w:tc>
        <w:tc>
          <w:tcPr>
            <w:tcW w:w="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AB79C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9FB6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II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B9E5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III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698C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  <w:t>IV</w:t>
            </w: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F428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6346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2583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</w:tr>
      <w:tr w:rsidR="0046776D" w:rsidRPr="00FC578E" w14:paraId="58FC15C5" w14:textId="77777777" w:rsidTr="007D32E3">
        <w:trPr>
          <w:trHeight w:hRule="exact" w:val="283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34DA" w14:textId="28C5CCFE" w:rsidR="00165117" w:rsidRPr="002832ED" w:rsidRDefault="0046776D" w:rsidP="00C20753">
            <w:pPr>
              <w:pStyle w:val="ListParagraph"/>
              <w:numPr>
                <w:ilvl w:val="0"/>
                <w:numId w:val="30"/>
              </w:numPr>
              <w:ind w:left="90" w:hanging="90"/>
              <w:contextualSpacing w:val="0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>
              <w:rPr>
                <w:rFonts w:ascii="Arial" w:hAnsi="Arial" w:cs="Arial"/>
                <w:sz w:val="14"/>
                <w:szCs w:val="14"/>
                <w:lang w:val="es-ES" w:eastAsia="es-ES"/>
              </w:rPr>
              <w:t>Procesamiento</w:t>
            </w:r>
            <w:r w:rsidR="00926E43">
              <w:rPr>
                <w:rFonts w:ascii="Arial" w:hAnsi="Arial" w:cs="Arial"/>
                <w:sz w:val="14"/>
                <w:szCs w:val="14"/>
                <w:lang w:val="es-ES" w:eastAsia="es-ES"/>
              </w:rPr>
              <w:t xml:space="preserve"> indicadores y productos</w:t>
            </w:r>
            <w:r>
              <w:rPr>
                <w:rFonts w:ascii="Arial" w:hAnsi="Arial" w:cs="Arial"/>
                <w:sz w:val="14"/>
                <w:szCs w:val="14"/>
                <w:lang w:val="es-ES" w:eastAsia="es-ES"/>
              </w:rPr>
              <w:t xml:space="preserve"> </w:t>
            </w:r>
          </w:p>
        </w:tc>
        <w:tc>
          <w:tcPr>
            <w:tcW w:w="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8729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DBF4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F1FD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C424A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7E063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7DEBA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85838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D1D3C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745CF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E0D2F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CAF00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24E32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E9AAC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8F67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A30DF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954F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9B750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A5A12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E39F6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2488B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1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05BC7C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1CBF88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0ECA01E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C78553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11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52A69B" w14:textId="535EB1B4" w:rsidR="00165117" w:rsidRPr="002832ED" w:rsidRDefault="00D632B2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>
              <w:rPr>
                <w:rFonts w:ascii="Arial" w:hAnsi="Arial" w:cs="Arial"/>
                <w:sz w:val="14"/>
                <w:szCs w:val="14"/>
                <w:lang w:val="es-ES" w:eastAsia="es-ES"/>
              </w:rPr>
              <w:t>DN</w:t>
            </w:r>
            <w:r w:rsidR="007D32E3">
              <w:rPr>
                <w:rFonts w:ascii="Arial" w:hAnsi="Arial" w:cs="Arial"/>
                <w:sz w:val="14"/>
                <w:szCs w:val="14"/>
                <w:lang w:val="es-ES" w:eastAsia="es-ES"/>
              </w:rPr>
              <w:t>P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E600D" w14:textId="1E6AEC98" w:rsidR="00165117" w:rsidRPr="002832ED" w:rsidRDefault="00316414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>
              <w:rPr>
                <w:rFonts w:ascii="Arial" w:hAnsi="Arial" w:cs="Arial"/>
                <w:sz w:val="14"/>
                <w:szCs w:val="14"/>
                <w:lang w:val="es-ES" w:eastAsia="es-ES"/>
              </w:rPr>
              <w:t>40.000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2B868" w14:textId="77777777" w:rsidR="00D632B2" w:rsidRPr="002832ED" w:rsidRDefault="00D632B2" w:rsidP="00D632B2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sz w:val="14"/>
                <w:szCs w:val="14"/>
                <w:lang w:val="es-ES" w:eastAsia="es-ES"/>
              </w:rPr>
              <w:t>CO-L1265</w:t>
            </w:r>
          </w:p>
          <w:p w14:paraId="6A47A118" w14:textId="26E95CAD" w:rsidR="00165117" w:rsidRPr="002832ED" w:rsidRDefault="00D632B2" w:rsidP="00D632B2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sz w:val="14"/>
                <w:szCs w:val="14"/>
                <w:lang w:val="es-ES" w:eastAsia="es-ES"/>
              </w:rPr>
              <w:t>Administración del programa</w:t>
            </w:r>
          </w:p>
        </w:tc>
      </w:tr>
      <w:tr w:rsidR="0046776D" w:rsidRPr="00FC578E" w14:paraId="5666B958" w14:textId="77777777" w:rsidTr="007D32E3">
        <w:trPr>
          <w:trHeight w:hRule="exact" w:val="288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DC10AA" w14:textId="58F95E5B" w:rsidR="00165117" w:rsidRPr="002832ED" w:rsidRDefault="00D632B2" w:rsidP="00C20753">
            <w:pPr>
              <w:pStyle w:val="ListParagraph"/>
              <w:numPr>
                <w:ilvl w:val="0"/>
                <w:numId w:val="30"/>
              </w:numPr>
              <w:ind w:left="90" w:hanging="90"/>
              <w:contextualSpacing w:val="0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  <w:r>
              <w:rPr>
                <w:rFonts w:ascii="Arial" w:hAnsi="Arial" w:cs="Arial"/>
                <w:sz w:val="14"/>
                <w:szCs w:val="14"/>
                <w:lang w:val="es-ES" w:eastAsia="es-ES"/>
              </w:rPr>
              <w:t>Evaluación de indicadores y productos</w:t>
            </w:r>
          </w:p>
        </w:tc>
        <w:tc>
          <w:tcPr>
            <w:tcW w:w="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82B63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68CE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79A1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0AAE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6BFC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73EC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E241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8FF5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9AA0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9FE6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281B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E365A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7EA6C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8FA66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B165A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53D28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805CA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038E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2B17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DD64A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1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02B2EC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96B9A4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5C7B02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3E7B892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08AE6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D7138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D5F1D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</w:tc>
      </w:tr>
      <w:tr w:rsidR="004C1CB4" w:rsidRPr="00FC578E" w14:paraId="25F95431" w14:textId="77777777" w:rsidTr="007D32E3">
        <w:trPr>
          <w:trHeight w:val="255"/>
        </w:trPr>
        <w:tc>
          <w:tcPr>
            <w:tcW w:w="3823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43361830" w14:textId="77777777" w:rsidR="00165117" w:rsidRPr="002832ED" w:rsidRDefault="00165117" w:rsidP="00C20753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ACB60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2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68CC23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2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6C1F47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F8A1FD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6B2D6A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2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BA38CA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2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216BD6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32AB0A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D85E3E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2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478E5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2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BEB326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EB76FE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40E557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2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AAF6C6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2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C9DE4C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61F7AD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67A188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2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ACB7A6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2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0E1B99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456A37" w14:textId="77777777" w:rsidR="00165117" w:rsidRPr="002832ED" w:rsidRDefault="00165117" w:rsidP="00C20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927" w:type="dxa"/>
            <w:gridSpan w:val="4"/>
            <w:tcBorders>
              <w:top w:val="single" w:sz="4" w:space="0" w:color="auto"/>
            </w:tcBorders>
          </w:tcPr>
          <w:p w14:paraId="22088B36" w14:textId="77777777" w:rsidR="00165117" w:rsidRPr="002832ED" w:rsidRDefault="00165117" w:rsidP="00C20753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vAlign w:val="center"/>
          </w:tcPr>
          <w:p w14:paraId="3CD1582E" w14:textId="6739A445" w:rsidR="00165117" w:rsidRPr="002832ED" w:rsidRDefault="00165117" w:rsidP="00C20753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4630B414" w14:textId="342C73D8" w:rsidR="00165117" w:rsidRPr="002832ED" w:rsidRDefault="00165117" w:rsidP="00D632B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55793529" w14:textId="77777777" w:rsidR="00165117" w:rsidRPr="002832ED" w:rsidRDefault="00165117" w:rsidP="00C20753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s-ES" w:eastAsia="es-ES"/>
              </w:rPr>
            </w:pPr>
            <w:r w:rsidRPr="002832ED">
              <w:rPr>
                <w:rFonts w:ascii="Arial" w:hAnsi="Arial" w:cs="Arial"/>
                <w:sz w:val="14"/>
                <w:szCs w:val="14"/>
                <w:lang w:val="es-ES" w:eastAsia="es-ES"/>
              </w:rPr>
              <w:t> </w:t>
            </w:r>
          </w:p>
        </w:tc>
      </w:tr>
    </w:tbl>
    <w:p w14:paraId="1087EFCD" w14:textId="2E341656" w:rsidR="009B1272" w:rsidRPr="002C03B2" w:rsidRDefault="009B1272" w:rsidP="00165117">
      <w:pPr>
        <w:pStyle w:val="heading-b24"/>
        <w:spacing w:before="120" w:after="120"/>
        <w:rPr>
          <w:rFonts w:ascii="Arial" w:hAnsi="Arial" w:cs="Arial"/>
          <w:sz w:val="22"/>
          <w:szCs w:val="22"/>
          <w:lang w:val="es-CO"/>
        </w:rPr>
      </w:pPr>
    </w:p>
    <w:sectPr w:rsidR="009B1272" w:rsidRPr="002C03B2" w:rsidSect="00800AA0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8B13DE" w14:textId="77777777" w:rsidR="004D4297" w:rsidRDefault="004D4297" w:rsidP="00303038">
      <w:r>
        <w:separator/>
      </w:r>
    </w:p>
  </w:endnote>
  <w:endnote w:type="continuationSeparator" w:id="0">
    <w:p w14:paraId="3701B4FD" w14:textId="77777777" w:rsidR="004D4297" w:rsidRDefault="004D4297" w:rsidP="00303038">
      <w:r>
        <w:continuationSeparator/>
      </w:r>
    </w:p>
  </w:endnote>
  <w:endnote w:type="continuationNotice" w:id="1">
    <w:p w14:paraId="44C976C8" w14:textId="77777777" w:rsidR="004D4297" w:rsidRDefault="004D42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altName w:val="Calibri"/>
    <w:charset w:val="B1"/>
    <w:family w:val="swiss"/>
    <w:pitch w:val="variable"/>
    <w:sig w:usb0="80000867" w:usb1="00000000" w:usb2="00000000" w:usb3="00000000" w:csb0="000001FB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77105174"/>
      <w:docPartObj>
        <w:docPartGallery w:val="Page Numbers (Bottom of Page)"/>
        <w:docPartUnique/>
      </w:docPartObj>
    </w:sdtPr>
    <w:sdtEndPr>
      <w:rPr>
        <w:rFonts w:ascii="Cambria" w:hAnsi="Cambria"/>
        <w:b/>
        <w:color w:val="808080"/>
        <w:sz w:val="20"/>
        <w:szCs w:val="20"/>
      </w:rPr>
    </w:sdtEndPr>
    <w:sdtContent>
      <w:p w14:paraId="328CD5D4" w14:textId="62D80EC1" w:rsidR="00FE2789" w:rsidRPr="00DD0A41" w:rsidRDefault="00FE2789" w:rsidP="00A53FE0">
        <w:pPr>
          <w:pStyle w:val="Footer"/>
          <w:jc w:val="center"/>
          <w:rPr>
            <w:rFonts w:ascii="Cambria" w:hAnsi="Cambria"/>
            <w:b/>
            <w:color w:val="808080"/>
            <w:sz w:val="20"/>
            <w:szCs w:val="20"/>
          </w:rPr>
        </w:pPr>
        <w:r w:rsidRPr="00196AB1">
          <w:rPr>
            <w:rFonts w:ascii="Calibri Light" w:hAnsi="Calibri Light"/>
            <w:b/>
            <w:color w:val="808080"/>
            <w:sz w:val="20"/>
            <w:szCs w:val="20"/>
          </w:rPr>
          <w:fldChar w:fldCharType="begin"/>
        </w:r>
        <w:r w:rsidRPr="00196AB1">
          <w:rPr>
            <w:rFonts w:ascii="Calibri Light" w:hAnsi="Calibri Light"/>
            <w:b/>
            <w:color w:val="808080"/>
            <w:sz w:val="20"/>
            <w:szCs w:val="20"/>
          </w:rPr>
          <w:instrText>PAGE   \* MERGEFORMAT</w:instrText>
        </w:r>
        <w:r w:rsidRPr="00196AB1">
          <w:rPr>
            <w:rFonts w:ascii="Calibri Light" w:hAnsi="Calibri Light"/>
            <w:b/>
            <w:color w:val="808080"/>
            <w:sz w:val="20"/>
            <w:szCs w:val="20"/>
          </w:rPr>
          <w:fldChar w:fldCharType="separate"/>
        </w:r>
        <w:r w:rsidRPr="00196AB1">
          <w:rPr>
            <w:rFonts w:ascii="Calibri Light" w:hAnsi="Calibri Light"/>
            <w:b/>
            <w:noProof/>
            <w:color w:val="808080"/>
            <w:sz w:val="20"/>
            <w:szCs w:val="20"/>
          </w:rPr>
          <w:t>4</w:t>
        </w:r>
        <w:r w:rsidRPr="00196AB1">
          <w:rPr>
            <w:rFonts w:ascii="Calibri Light" w:hAnsi="Calibri Light"/>
            <w:b/>
            <w:color w:val="808080"/>
            <w:sz w:val="20"/>
            <w:szCs w:val="20"/>
          </w:rPr>
          <w:fldChar w:fldCharType="end"/>
        </w:r>
        <w:r w:rsidRPr="00196AB1">
          <w:rPr>
            <w:rFonts w:ascii="Calibri Light" w:hAnsi="Calibri Light"/>
            <w:b/>
            <w:color w:val="808080"/>
            <w:sz w:val="20"/>
            <w:szCs w:val="20"/>
          </w:rPr>
          <w:t xml:space="preserve">   </w:t>
        </w:r>
      </w:p>
    </w:sdtContent>
  </w:sdt>
  <w:p w14:paraId="5FF3F477" w14:textId="77777777" w:rsidR="00FE2789" w:rsidRDefault="00FE27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3749F1" w14:textId="77777777" w:rsidR="004D4297" w:rsidRDefault="004D4297" w:rsidP="00303038">
      <w:r>
        <w:separator/>
      </w:r>
    </w:p>
  </w:footnote>
  <w:footnote w:type="continuationSeparator" w:id="0">
    <w:p w14:paraId="14E8B081" w14:textId="77777777" w:rsidR="004D4297" w:rsidRDefault="004D4297" w:rsidP="00303038">
      <w:r>
        <w:continuationSeparator/>
      </w:r>
    </w:p>
  </w:footnote>
  <w:footnote w:type="continuationNotice" w:id="1">
    <w:p w14:paraId="3F774646" w14:textId="77777777" w:rsidR="004D4297" w:rsidRDefault="004D4297"/>
  </w:footnote>
  <w:footnote w:id="2">
    <w:p w14:paraId="621A42AB" w14:textId="5EEA3620" w:rsidR="00FE2789" w:rsidRPr="00321452" w:rsidRDefault="00FE2789" w:rsidP="00321452">
      <w:pPr>
        <w:pStyle w:val="FootnoteText"/>
        <w:ind w:left="284" w:hanging="284"/>
        <w:jc w:val="both"/>
        <w:rPr>
          <w:rFonts w:ascii="Arial" w:hAnsi="Arial" w:cs="Arial"/>
          <w:sz w:val="18"/>
          <w:szCs w:val="18"/>
        </w:rPr>
      </w:pPr>
      <w:r w:rsidRPr="00321452">
        <w:rPr>
          <w:rStyle w:val="FootnoteReference"/>
          <w:rFonts w:ascii="Arial" w:hAnsi="Arial" w:cs="Arial"/>
          <w:sz w:val="18"/>
          <w:szCs w:val="18"/>
        </w:rPr>
        <w:footnoteRef/>
      </w:r>
      <w:r w:rsidRPr="00321452">
        <w:rPr>
          <w:rFonts w:ascii="Arial" w:hAnsi="Arial" w:cs="Arial"/>
          <w:sz w:val="18"/>
          <w:szCs w:val="18"/>
        </w:rPr>
        <w:t xml:space="preserve"> </w:t>
      </w:r>
      <w:r w:rsidR="00321452" w:rsidRPr="00321452">
        <w:rPr>
          <w:rFonts w:ascii="Arial" w:hAnsi="Arial" w:cs="Arial"/>
          <w:sz w:val="18"/>
          <w:szCs w:val="18"/>
        </w:rPr>
        <w:tab/>
      </w:r>
      <w:r w:rsidRPr="00321452">
        <w:rPr>
          <w:rFonts w:ascii="Arial" w:hAnsi="Arial" w:cs="Arial"/>
          <w:sz w:val="18"/>
          <w:szCs w:val="18"/>
        </w:rPr>
        <w:t xml:space="preserve">Documento elaborado por Juan Benavides (consultor).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66CA5"/>
    <w:multiLevelType w:val="hybridMultilevel"/>
    <w:tmpl w:val="6334456C"/>
    <w:lvl w:ilvl="0" w:tplc="665E838E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FC1710"/>
    <w:multiLevelType w:val="hybridMultilevel"/>
    <w:tmpl w:val="D8F609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676EBE"/>
    <w:multiLevelType w:val="hybridMultilevel"/>
    <w:tmpl w:val="65A4BD8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0241F1"/>
    <w:multiLevelType w:val="hybridMultilevel"/>
    <w:tmpl w:val="F816FFF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FF19EC"/>
    <w:multiLevelType w:val="hybridMultilevel"/>
    <w:tmpl w:val="3CD07AA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68299D"/>
    <w:multiLevelType w:val="hybridMultilevel"/>
    <w:tmpl w:val="BC94F942"/>
    <w:lvl w:ilvl="0" w:tplc="5D6A08E6">
      <w:start w:val="1"/>
      <w:numFmt w:val="lowerRoman"/>
      <w:lvlText w:val="(%1)"/>
      <w:lvlJc w:val="left"/>
      <w:pPr>
        <w:ind w:left="2212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572" w:hanging="360"/>
      </w:pPr>
    </w:lvl>
    <w:lvl w:ilvl="2" w:tplc="240A001B" w:tentative="1">
      <w:start w:val="1"/>
      <w:numFmt w:val="lowerRoman"/>
      <w:lvlText w:val="%3."/>
      <w:lvlJc w:val="right"/>
      <w:pPr>
        <w:ind w:left="3292" w:hanging="180"/>
      </w:pPr>
    </w:lvl>
    <w:lvl w:ilvl="3" w:tplc="240A000F" w:tentative="1">
      <w:start w:val="1"/>
      <w:numFmt w:val="decimal"/>
      <w:lvlText w:val="%4."/>
      <w:lvlJc w:val="left"/>
      <w:pPr>
        <w:ind w:left="4012" w:hanging="360"/>
      </w:pPr>
    </w:lvl>
    <w:lvl w:ilvl="4" w:tplc="240A0019" w:tentative="1">
      <w:start w:val="1"/>
      <w:numFmt w:val="lowerLetter"/>
      <w:lvlText w:val="%5."/>
      <w:lvlJc w:val="left"/>
      <w:pPr>
        <w:ind w:left="4732" w:hanging="360"/>
      </w:pPr>
    </w:lvl>
    <w:lvl w:ilvl="5" w:tplc="240A001B" w:tentative="1">
      <w:start w:val="1"/>
      <w:numFmt w:val="lowerRoman"/>
      <w:lvlText w:val="%6."/>
      <w:lvlJc w:val="right"/>
      <w:pPr>
        <w:ind w:left="5452" w:hanging="180"/>
      </w:pPr>
    </w:lvl>
    <w:lvl w:ilvl="6" w:tplc="240A000F" w:tentative="1">
      <w:start w:val="1"/>
      <w:numFmt w:val="decimal"/>
      <w:lvlText w:val="%7."/>
      <w:lvlJc w:val="left"/>
      <w:pPr>
        <w:ind w:left="6172" w:hanging="360"/>
      </w:pPr>
    </w:lvl>
    <w:lvl w:ilvl="7" w:tplc="240A0019" w:tentative="1">
      <w:start w:val="1"/>
      <w:numFmt w:val="lowerLetter"/>
      <w:lvlText w:val="%8."/>
      <w:lvlJc w:val="left"/>
      <w:pPr>
        <w:ind w:left="6892" w:hanging="360"/>
      </w:pPr>
    </w:lvl>
    <w:lvl w:ilvl="8" w:tplc="240A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6" w15:restartNumberingAfterBreak="0">
    <w:nsid w:val="23AF2FD7"/>
    <w:multiLevelType w:val="hybridMultilevel"/>
    <w:tmpl w:val="193207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225AD"/>
    <w:multiLevelType w:val="hybridMultilevel"/>
    <w:tmpl w:val="53208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175D11"/>
    <w:multiLevelType w:val="hybridMultilevel"/>
    <w:tmpl w:val="17BE44C4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F2908"/>
    <w:multiLevelType w:val="hybridMultilevel"/>
    <w:tmpl w:val="1F705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393D11"/>
    <w:multiLevelType w:val="hybridMultilevel"/>
    <w:tmpl w:val="2F264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C69A3"/>
    <w:multiLevelType w:val="hybridMultilevel"/>
    <w:tmpl w:val="AEC2BD9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046796"/>
    <w:multiLevelType w:val="hybridMultilevel"/>
    <w:tmpl w:val="59186A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0E6622"/>
    <w:multiLevelType w:val="hybridMultilevel"/>
    <w:tmpl w:val="EA8A76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F4E29"/>
    <w:multiLevelType w:val="hybridMultilevel"/>
    <w:tmpl w:val="C17E7E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47405A9"/>
    <w:multiLevelType w:val="hybridMultilevel"/>
    <w:tmpl w:val="B7A6ECF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9B4991"/>
    <w:multiLevelType w:val="multilevel"/>
    <w:tmpl w:val="60228554"/>
    <w:lvl w:ilvl="0">
      <w:start w:val="1"/>
      <w:numFmt w:val="upperRoman"/>
      <w:lvlRestart w:val="0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NoSpacing"/>
      <w:isLgl/>
      <w:lvlText w:val="%1.%2"/>
      <w:lvlJc w:val="left"/>
      <w:pPr>
        <w:tabs>
          <w:tab w:val="num" w:pos="2448"/>
        </w:tabs>
        <w:ind w:left="2448" w:hanging="1296"/>
      </w:pPr>
      <w:rPr>
        <w:rFonts w:ascii="Arial" w:hAnsi="Arial" w:cs="Arial" w:hint="default"/>
        <w:b w:val="0"/>
        <w:i w:val="0"/>
        <w:color w:val="auto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TableGridLight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7" w15:restartNumberingAfterBreak="0">
    <w:nsid w:val="37F025C1"/>
    <w:multiLevelType w:val="hybridMultilevel"/>
    <w:tmpl w:val="2A9888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5570D1"/>
    <w:multiLevelType w:val="hybridMultilevel"/>
    <w:tmpl w:val="41BC588C"/>
    <w:lvl w:ilvl="0" w:tplc="240A000F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3F0C730E"/>
    <w:multiLevelType w:val="hybridMultilevel"/>
    <w:tmpl w:val="9BD4C43E"/>
    <w:lvl w:ilvl="0" w:tplc="0AF82B5E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6866CD"/>
    <w:multiLevelType w:val="hybridMultilevel"/>
    <w:tmpl w:val="60983792"/>
    <w:lvl w:ilvl="0" w:tplc="240A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C04C75"/>
    <w:multiLevelType w:val="hybridMultilevel"/>
    <w:tmpl w:val="B01A6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594911"/>
    <w:multiLevelType w:val="hybridMultilevel"/>
    <w:tmpl w:val="A178102C"/>
    <w:lvl w:ilvl="0" w:tplc="ABD224E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4960534C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2" w:tplc="F7589184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plc="EA30EB5C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 w:tplc="B89A9C9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plc="669CD6B6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 w:tplc="7E6099DA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plc="EF845A02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plc="63E81FE2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5730865"/>
    <w:multiLevelType w:val="multilevel"/>
    <w:tmpl w:val="840E98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C092A16"/>
    <w:multiLevelType w:val="hybridMultilevel"/>
    <w:tmpl w:val="7932DE6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69905A8"/>
    <w:multiLevelType w:val="multilevel"/>
    <w:tmpl w:val="04940454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lvlText w:val="%1.%2"/>
      <w:lvlJc w:val="left"/>
      <w:pPr>
        <w:tabs>
          <w:tab w:val="num" w:pos="1656"/>
        </w:tabs>
        <w:ind w:left="1656" w:hanging="1296"/>
      </w:pPr>
      <w:rPr>
        <w:b w:val="0"/>
        <w:i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none"/>
      <w:lvlText w:val=""/>
      <w:lvlJc w:val="left"/>
      <w:pPr>
        <w:tabs>
          <w:tab w:val="num" w:pos="4392"/>
        </w:tabs>
        <w:ind w:left="4032" w:firstLine="0"/>
      </w:pPr>
    </w:lvl>
    <w:lvl w:ilvl="5">
      <w:start w:val="1"/>
      <w:numFmt w:val="none"/>
      <w:lvlText w:val=""/>
      <w:lvlJc w:val="left"/>
      <w:pPr>
        <w:tabs>
          <w:tab w:val="num" w:pos="5112"/>
        </w:tabs>
        <w:ind w:left="4752" w:firstLine="0"/>
      </w:pPr>
    </w:lvl>
    <w:lvl w:ilvl="6">
      <w:start w:val="1"/>
      <w:numFmt w:val="none"/>
      <w:lvlText w:val=""/>
      <w:lvlJc w:val="left"/>
      <w:pPr>
        <w:tabs>
          <w:tab w:val="num" w:pos="5832"/>
        </w:tabs>
        <w:ind w:left="5472" w:firstLine="0"/>
      </w:pPr>
    </w:lvl>
    <w:lvl w:ilvl="7">
      <w:start w:val="1"/>
      <w:numFmt w:val="none"/>
      <w:lvlText w:val=""/>
      <w:lvlJc w:val="left"/>
      <w:pPr>
        <w:tabs>
          <w:tab w:val="num" w:pos="6552"/>
        </w:tabs>
        <w:ind w:left="6192" w:firstLine="0"/>
      </w:pPr>
    </w:lvl>
    <w:lvl w:ilvl="8">
      <w:start w:val="1"/>
      <w:numFmt w:val="none"/>
      <w:lvlText w:val=""/>
      <w:lvlJc w:val="left"/>
      <w:pPr>
        <w:tabs>
          <w:tab w:val="num" w:pos="7272"/>
        </w:tabs>
        <w:ind w:left="6912" w:firstLine="0"/>
      </w:pPr>
    </w:lvl>
  </w:abstractNum>
  <w:abstractNum w:abstractNumId="26" w15:restartNumberingAfterBreak="0">
    <w:nsid w:val="5D9C636D"/>
    <w:multiLevelType w:val="multilevel"/>
    <w:tmpl w:val="4EFA5C7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F312890"/>
    <w:multiLevelType w:val="hybridMultilevel"/>
    <w:tmpl w:val="A21E0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8D52B3"/>
    <w:multiLevelType w:val="hybridMultilevel"/>
    <w:tmpl w:val="7068A738"/>
    <w:lvl w:ilvl="0" w:tplc="24149D7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B729BF"/>
    <w:multiLevelType w:val="multilevel"/>
    <w:tmpl w:val="A3D222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32B7E7C"/>
    <w:multiLevelType w:val="hybridMultilevel"/>
    <w:tmpl w:val="F0C0757C"/>
    <w:lvl w:ilvl="0" w:tplc="CDD292BE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724427"/>
    <w:multiLevelType w:val="multilevel"/>
    <w:tmpl w:val="C568AE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CF34D00"/>
    <w:multiLevelType w:val="hybridMultilevel"/>
    <w:tmpl w:val="539AC9C6"/>
    <w:lvl w:ilvl="0" w:tplc="040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2"/>
  </w:num>
  <w:num w:numId="5">
    <w:abstractNumId w:val="14"/>
  </w:num>
  <w:num w:numId="6">
    <w:abstractNumId w:val="9"/>
  </w:num>
  <w:num w:numId="7">
    <w:abstractNumId w:val="23"/>
  </w:num>
  <w:num w:numId="8">
    <w:abstractNumId w:val="1"/>
  </w:num>
  <w:num w:numId="9">
    <w:abstractNumId w:val="6"/>
  </w:num>
  <w:num w:numId="10">
    <w:abstractNumId w:val="24"/>
  </w:num>
  <w:num w:numId="11">
    <w:abstractNumId w:val="25"/>
  </w:num>
  <w:num w:numId="12">
    <w:abstractNumId w:val="3"/>
  </w:num>
  <w:num w:numId="13">
    <w:abstractNumId w:val="31"/>
  </w:num>
  <w:num w:numId="14">
    <w:abstractNumId w:val="7"/>
  </w:num>
  <w:num w:numId="15">
    <w:abstractNumId w:val="27"/>
  </w:num>
  <w:num w:numId="16">
    <w:abstractNumId w:val="13"/>
  </w:num>
  <w:num w:numId="17">
    <w:abstractNumId w:val="4"/>
  </w:num>
  <w:num w:numId="18">
    <w:abstractNumId w:val="17"/>
  </w:num>
  <w:num w:numId="19">
    <w:abstractNumId w:val="0"/>
  </w:num>
  <w:num w:numId="20">
    <w:abstractNumId w:val="30"/>
  </w:num>
  <w:num w:numId="21">
    <w:abstractNumId w:val="20"/>
  </w:num>
  <w:num w:numId="22">
    <w:abstractNumId w:val="26"/>
  </w:num>
  <w:num w:numId="23">
    <w:abstractNumId w:val="29"/>
  </w:num>
  <w:num w:numId="24">
    <w:abstractNumId w:val="10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1"/>
  </w:num>
  <w:num w:numId="29">
    <w:abstractNumId w:val="15"/>
  </w:num>
  <w:num w:numId="30">
    <w:abstractNumId w:val="32"/>
  </w:num>
  <w:num w:numId="31">
    <w:abstractNumId w:val="5"/>
  </w:num>
  <w:num w:numId="32">
    <w:abstractNumId w:val="16"/>
  </w:num>
  <w:num w:numId="33">
    <w:abstractNumId w:val="28"/>
  </w:num>
  <w:num w:numId="34">
    <w:abstractNumId w:val="19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C65"/>
    <w:rsid w:val="000005C3"/>
    <w:rsid w:val="00000719"/>
    <w:rsid w:val="00001F72"/>
    <w:rsid w:val="00002759"/>
    <w:rsid w:val="00002ADA"/>
    <w:rsid w:val="00002DE6"/>
    <w:rsid w:val="00003647"/>
    <w:rsid w:val="00003732"/>
    <w:rsid w:val="00003B33"/>
    <w:rsid w:val="00003FCB"/>
    <w:rsid w:val="00005694"/>
    <w:rsid w:val="00005BB9"/>
    <w:rsid w:val="00006374"/>
    <w:rsid w:val="000100BA"/>
    <w:rsid w:val="00010D8A"/>
    <w:rsid w:val="00011274"/>
    <w:rsid w:val="00012F80"/>
    <w:rsid w:val="000131D6"/>
    <w:rsid w:val="00013791"/>
    <w:rsid w:val="00013C33"/>
    <w:rsid w:val="000143BD"/>
    <w:rsid w:val="00014E17"/>
    <w:rsid w:val="000156CF"/>
    <w:rsid w:val="000156F5"/>
    <w:rsid w:val="000162CB"/>
    <w:rsid w:val="00016430"/>
    <w:rsid w:val="00017A8D"/>
    <w:rsid w:val="0002038D"/>
    <w:rsid w:val="0002092F"/>
    <w:rsid w:val="00020E05"/>
    <w:rsid w:val="00021BAE"/>
    <w:rsid w:val="00021ECD"/>
    <w:rsid w:val="0002241C"/>
    <w:rsid w:val="00022536"/>
    <w:rsid w:val="000227C3"/>
    <w:rsid w:val="00022E0F"/>
    <w:rsid w:val="0002372F"/>
    <w:rsid w:val="00023BD5"/>
    <w:rsid w:val="000244A0"/>
    <w:rsid w:val="000245EB"/>
    <w:rsid w:val="000249E2"/>
    <w:rsid w:val="00025044"/>
    <w:rsid w:val="00025632"/>
    <w:rsid w:val="0002598D"/>
    <w:rsid w:val="000263D0"/>
    <w:rsid w:val="00026725"/>
    <w:rsid w:val="00026A0B"/>
    <w:rsid w:val="0002749D"/>
    <w:rsid w:val="00027689"/>
    <w:rsid w:val="000301C2"/>
    <w:rsid w:val="00030A92"/>
    <w:rsid w:val="00030E37"/>
    <w:rsid w:val="00031033"/>
    <w:rsid w:val="000311BB"/>
    <w:rsid w:val="00031865"/>
    <w:rsid w:val="0003227A"/>
    <w:rsid w:val="000325BB"/>
    <w:rsid w:val="00033521"/>
    <w:rsid w:val="000338E0"/>
    <w:rsid w:val="00033D7F"/>
    <w:rsid w:val="00034014"/>
    <w:rsid w:val="00034440"/>
    <w:rsid w:val="00034EB9"/>
    <w:rsid w:val="00037032"/>
    <w:rsid w:val="00037247"/>
    <w:rsid w:val="00037310"/>
    <w:rsid w:val="0004320E"/>
    <w:rsid w:val="0004372D"/>
    <w:rsid w:val="0004377E"/>
    <w:rsid w:val="00044813"/>
    <w:rsid w:val="00044B65"/>
    <w:rsid w:val="00045B9D"/>
    <w:rsid w:val="00045D9D"/>
    <w:rsid w:val="0004695C"/>
    <w:rsid w:val="0005021C"/>
    <w:rsid w:val="000508B6"/>
    <w:rsid w:val="00050EE5"/>
    <w:rsid w:val="00050F71"/>
    <w:rsid w:val="00051149"/>
    <w:rsid w:val="00051843"/>
    <w:rsid w:val="00051AA6"/>
    <w:rsid w:val="00051CAC"/>
    <w:rsid w:val="000524BF"/>
    <w:rsid w:val="00052ABB"/>
    <w:rsid w:val="00052DBA"/>
    <w:rsid w:val="00052E65"/>
    <w:rsid w:val="000547B7"/>
    <w:rsid w:val="00055A0B"/>
    <w:rsid w:val="00055A2A"/>
    <w:rsid w:val="00055AF3"/>
    <w:rsid w:val="00057575"/>
    <w:rsid w:val="00060791"/>
    <w:rsid w:val="00060993"/>
    <w:rsid w:val="00062089"/>
    <w:rsid w:val="0006215A"/>
    <w:rsid w:val="00062194"/>
    <w:rsid w:val="00062B06"/>
    <w:rsid w:val="00062B38"/>
    <w:rsid w:val="00063898"/>
    <w:rsid w:val="00063AD7"/>
    <w:rsid w:val="00063B83"/>
    <w:rsid w:val="00063C3D"/>
    <w:rsid w:val="000640B3"/>
    <w:rsid w:val="000641E7"/>
    <w:rsid w:val="0006675B"/>
    <w:rsid w:val="00067EB7"/>
    <w:rsid w:val="00070042"/>
    <w:rsid w:val="00070053"/>
    <w:rsid w:val="00070D24"/>
    <w:rsid w:val="00071785"/>
    <w:rsid w:val="00071FDC"/>
    <w:rsid w:val="0007231F"/>
    <w:rsid w:val="00074210"/>
    <w:rsid w:val="00075296"/>
    <w:rsid w:val="000752D4"/>
    <w:rsid w:val="000756E0"/>
    <w:rsid w:val="0007684C"/>
    <w:rsid w:val="00076C16"/>
    <w:rsid w:val="00076C25"/>
    <w:rsid w:val="000774F6"/>
    <w:rsid w:val="00077CF7"/>
    <w:rsid w:val="00077D3C"/>
    <w:rsid w:val="000802A4"/>
    <w:rsid w:val="000827E4"/>
    <w:rsid w:val="00082C7A"/>
    <w:rsid w:val="00082D2A"/>
    <w:rsid w:val="000837E1"/>
    <w:rsid w:val="00084323"/>
    <w:rsid w:val="000856A3"/>
    <w:rsid w:val="00085854"/>
    <w:rsid w:val="00086299"/>
    <w:rsid w:val="00086C4D"/>
    <w:rsid w:val="0008781A"/>
    <w:rsid w:val="00087A9F"/>
    <w:rsid w:val="000901BD"/>
    <w:rsid w:val="0009054E"/>
    <w:rsid w:val="0009365D"/>
    <w:rsid w:val="00093BB6"/>
    <w:rsid w:val="00093FDA"/>
    <w:rsid w:val="00094424"/>
    <w:rsid w:val="0009514B"/>
    <w:rsid w:val="000958FE"/>
    <w:rsid w:val="000959BA"/>
    <w:rsid w:val="000961CD"/>
    <w:rsid w:val="00096C47"/>
    <w:rsid w:val="000A0D3B"/>
    <w:rsid w:val="000A1246"/>
    <w:rsid w:val="000A1948"/>
    <w:rsid w:val="000A1C84"/>
    <w:rsid w:val="000A4E6E"/>
    <w:rsid w:val="000A4E6F"/>
    <w:rsid w:val="000A54E9"/>
    <w:rsid w:val="000A7079"/>
    <w:rsid w:val="000A7229"/>
    <w:rsid w:val="000A7379"/>
    <w:rsid w:val="000A7E23"/>
    <w:rsid w:val="000B00EA"/>
    <w:rsid w:val="000B03BC"/>
    <w:rsid w:val="000B06BD"/>
    <w:rsid w:val="000B31E9"/>
    <w:rsid w:val="000B3D77"/>
    <w:rsid w:val="000B481E"/>
    <w:rsid w:val="000B5674"/>
    <w:rsid w:val="000B5EDB"/>
    <w:rsid w:val="000C013D"/>
    <w:rsid w:val="000C0EC0"/>
    <w:rsid w:val="000C226E"/>
    <w:rsid w:val="000C2476"/>
    <w:rsid w:val="000C358D"/>
    <w:rsid w:val="000C4947"/>
    <w:rsid w:val="000C569E"/>
    <w:rsid w:val="000C587C"/>
    <w:rsid w:val="000C66D9"/>
    <w:rsid w:val="000C6779"/>
    <w:rsid w:val="000C6D80"/>
    <w:rsid w:val="000D03F1"/>
    <w:rsid w:val="000D0444"/>
    <w:rsid w:val="000D2C53"/>
    <w:rsid w:val="000D371C"/>
    <w:rsid w:val="000D40D5"/>
    <w:rsid w:val="000D49DD"/>
    <w:rsid w:val="000D507A"/>
    <w:rsid w:val="000D5AA4"/>
    <w:rsid w:val="000D65C2"/>
    <w:rsid w:val="000D6899"/>
    <w:rsid w:val="000D69DF"/>
    <w:rsid w:val="000D6CF8"/>
    <w:rsid w:val="000D6F66"/>
    <w:rsid w:val="000E014C"/>
    <w:rsid w:val="000E1142"/>
    <w:rsid w:val="000E305C"/>
    <w:rsid w:val="000E32B2"/>
    <w:rsid w:val="000E36AC"/>
    <w:rsid w:val="000E3CDD"/>
    <w:rsid w:val="000E4848"/>
    <w:rsid w:val="000E540E"/>
    <w:rsid w:val="000E5651"/>
    <w:rsid w:val="000E61CE"/>
    <w:rsid w:val="000E673E"/>
    <w:rsid w:val="000F0982"/>
    <w:rsid w:val="000F224C"/>
    <w:rsid w:val="000F2ACF"/>
    <w:rsid w:val="000F3FE7"/>
    <w:rsid w:val="000F4865"/>
    <w:rsid w:val="000F4D5B"/>
    <w:rsid w:val="000F527B"/>
    <w:rsid w:val="000F5321"/>
    <w:rsid w:val="000F57CF"/>
    <w:rsid w:val="000F5AF4"/>
    <w:rsid w:val="000F5BCB"/>
    <w:rsid w:val="000F743A"/>
    <w:rsid w:val="000F75AA"/>
    <w:rsid w:val="000F791E"/>
    <w:rsid w:val="00101F74"/>
    <w:rsid w:val="0010225F"/>
    <w:rsid w:val="0010289C"/>
    <w:rsid w:val="001033C6"/>
    <w:rsid w:val="00103734"/>
    <w:rsid w:val="001051BD"/>
    <w:rsid w:val="0010543D"/>
    <w:rsid w:val="00105EE1"/>
    <w:rsid w:val="00105F0C"/>
    <w:rsid w:val="0010673A"/>
    <w:rsid w:val="00106D28"/>
    <w:rsid w:val="00106E1C"/>
    <w:rsid w:val="001073DC"/>
    <w:rsid w:val="00110D56"/>
    <w:rsid w:val="00110FAF"/>
    <w:rsid w:val="00110FD7"/>
    <w:rsid w:val="00112AE3"/>
    <w:rsid w:val="00112F45"/>
    <w:rsid w:val="0011306B"/>
    <w:rsid w:val="00113D6C"/>
    <w:rsid w:val="00114633"/>
    <w:rsid w:val="0011471C"/>
    <w:rsid w:val="00116874"/>
    <w:rsid w:val="001177A3"/>
    <w:rsid w:val="0012061C"/>
    <w:rsid w:val="001207A7"/>
    <w:rsid w:val="0012244B"/>
    <w:rsid w:val="00122A04"/>
    <w:rsid w:val="00123E01"/>
    <w:rsid w:val="0012453B"/>
    <w:rsid w:val="00124A27"/>
    <w:rsid w:val="00127BA3"/>
    <w:rsid w:val="00130699"/>
    <w:rsid w:val="00130772"/>
    <w:rsid w:val="00130B5D"/>
    <w:rsid w:val="0013198A"/>
    <w:rsid w:val="00131E2F"/>
    <w:rsid w:val="00133096"/>
    <w:rsid w:val="00133CBA"/>
    <w:rsid w:val="00134167"/>
    <w:rsid w:val="00135889"/>
    <w:rsid w:val="001359F0"/>
    <w:rsid w:val="00136481"/>
    <w:rsid w:val="00137A6E"/>
    <w:rsid w:val="00137D5A"/>
    <w:rsid w:val="00140DEA"/>
    <w:rsid w:val="001413B9"/>
    <w:rsid w:val="0014142D"/>
    <w:rsid w:val="0014185C"/>
    <w:rsid w:val="00142078"/>
    <w:rsid w:val="001426A9"/>
    <w:rsid w:val="00142D5A"/>
    <w:rsid w:val="00142F7F"/>
    <w:rsid w:val="001443D2"/>
    <w:rsid w:val="00144AD1"/>
    <w:rsid w:val="0014572A"/>
    <w:rsid w:val="00145B77"/>
    <w:rsid w:val="00145E7D"/>
    <w:rsid w:val="00146876"/>
    <w:rsid w:val="001478B4"/>
    <w:rsid w:val="00147E26"/>
    <w:rsid w:val="00150186"/>
    <w:rsid w:val="00150785"/>
    <w:rsid w:val="00150873"/>
    <w:rsid w:val="00150FBB"/>
    <w:rsid w:val="00153CBB"/>
    <w:rsid w:val="001548E2"/>
    <w:rsid w:val="00156B96"/>
    <w:rsid w:val="001611B2"/>
    <w:rsid w:val="001630AD"/>
    <w:rsid w:val="00163219"/>
    <w:rsid w:val="0016349D"/>
    <w:rsid w:val="00163503"/>
    <w:rsid w:val="00163774"/>
    <w:rsid w:val="00163DE8"/>
    <w:rsid w:val="00165117"/>
    <w:rsid w:val="00165381"/>
    <w:rsid w:val="0016684F"/>
    <w:rsid w:val="001672FD"/>
    <w:rsid w:val="0016789B"/>
    <w:rsid w:val="00167F59"/>
    <w:rsid w:val="0017096C"/>
    <w:rsid w:val="00170CC7"/>
    <w:rsid w:val="001712FE"/>
    <w:rsid w:val="0017212A"/>
    <w:rsid w:val="00173589"/>
    <w:rsid w:val="0017369A"/>
    <w:rsid w:val="0017429F"/>
    <w:rsid w:val="00174A78"/>
    <w:rsid w:val="001771EF"/>
    <w:rsid w:val="001774F7"/>
    <w:rsid w:val="00177FD9"/>
    <w:rsid w:val="00181020"/>
    <w:rsid w:val="00181FA5"/>
    <w:rsid w:val="00183C3B"/>
    <w:rsid w:val="0018535C"/>
    <w:rsid w:val="00185E8E"/>
    <w:rsid w:val="001860ED"/>
    <w:rsid w:val="00186181"/>
    <w:rsid w:val="00186856"/>
    <w:rsid w:val="00186BFD"/>
    <w:rsid w:val="001875CE"/>
    <w:rsid w:val="00187B19"/>
    <w:rsid w:val="001904B6"/>
    <w:rsid w:val="00190FF4"/>
    <w:rsid w:val="00191ED7"/>
    <w:rsid w:val="001926F7"/>
    <w:rsid w:val="00192E59"/>
    <w:rsid w:val="00192FE8"/>
    <w:rsid w:val="00193053"/>
    <w:rsid w:val="00193465"/>
    <w:rsid w:val="001939EC"/>
    <w:rsid w:val="00193ED2"/>
    <w:rsid w:val="001944AC"/>
    <w:rsid w:val="00194936"/>
    <w:rsid w:val="00194FCF"/>
    <w:rsid w:val="00195225"/>
    <w:rsid w:val="00195D2C"/>
    <w:rsid w:val="00196AB1"/>
    <w:rsid w:val="001A06E8"/>
    <w:rsid w:val="001A0CE6"/>
    <w:rsid w:val="001A10C6"/>
    <w:rsid w:val="001A2528"/>
    <w:rsid w:val="001A3160"/>
    <w:rsid w:val="001A42CE"/>
    <w:rsid w:val="001A434E"/>
    <w:rsid w:val="001A4A09"/>
    <w:rsid w:val="001A5783"/>
    <w:rsid w:val="001A6CE6"/>
    <w:rsid w:val="001A6FB4"/>
    <w:rsid w:val="001B0484"/>
    <w:rsid w:val="001B0E04"/>
    <w:rsid w:val="001B14CA"/>
    <w:rsid w:val="001B1643"/>
    <w:rsid w:val="001B19E1"/>
    <w:rsid w:val="001B254C"/>
    <w:rsid w:val="001B45C3"/>
    <w:rsid w:val="001B604A"/>
    <w:rsid w:val="001C185E"/>
    <w:rsid w:val="001C1EC3"/>
    <w:rsid w:val="001C2AE8"/>
    <w:rsid w:val="001C32FE"/>
    <w:rsid w:val="001C3D06"/>
    <w:rsid w:val="001C5110"/>
    <w:rsid w:val="001C5921"/>
    <w:rsid w:val="001C5ACE"/>
    <w:rsid w:val="001C6E6E"/>
    <w:rsid w:val="001D08B0"/>
    <w:rsid w:val="001D0AAF"/>
    <w:rsid w:val="001D13B7"/>
    <w:rsid w:val="001D1B7E"/>
    <w:rsid w:val="001D23C6"/>
    <w:rsid w:val="001D282D"/>
    <w:rsid w:val="001D31B8"/>
    <w:rsid w:val="001D32FD"/>
    <w:rsid w:val="001D34A1"/>
    <w:rsid w:val="001D3899"/>
    <w:rsid w:val="001D4F64"/>
    <w:rsid w:val="001D5A91"/>
    <w:rsid w:val="001D6A36"/>
    <w:rsid w:val="001D74C3"/>
    <w:rsid w:val="001D7B6A"/>
    <w:rsid w:val="001D7CDD"/>
    <w:rsid w:val="001D7D9B"/>
    <w:rsid w:val="001E08C6"/>
    <w:rsid w:val="001E11A9"/>
    <w:rsid w:val="001E1355"/>
    <w:rsid w:val="001E2147"/>
    <w:rsid w:val="001E3290"/>
    <w:rsid w:val="001E3859"/>
    <w:rsid w:val="001E38FE"/>
    <w:rsid w:val="001E3999"/>
    <w:rsid w:val="001E4BDA"/>
    <w:rsid w:val="001E4EBD"/>
    <w:rsid w:val="001E6C18"/>
    <w:rsid w:val="001E7000"/>
    <w:rsid w:val="001F020A"/>
    <w:rsid w:val="001F0912"/>
    <w:rsid w:val="001F221F"/>
    <w:rsid w:val="001F296C"/>
    <w:rsid w:val="001F35C6"/>
    <w:rsid w:val="001F3C0D"/>
    <w:rsid w:val="001F4E0E"/>
    <w:rsid w:val="001F5AD1"/>
    <w:rsid w:val="001F68DC"/>
    <w:rsid w:val="001F6FA2"/>
    <w:rsid w:val="001F7629"/>
    <w:rsid w:val="00200527"/>
    <w:rsid w:val="00200EFA"/>
    <w:rsid w:val="00201132"/>
    <w:rsid w:val="00201B9C"/>
    <w:rsid w:val="00201D86"/>
    <w:rsid w:val="002020F4"/>
    <w:rsid w:val="00202B85"/>
    <w:rsid w:val="00203CFF"/>
    <w:rsid w:val="00203EBC"/>
    <w:rsid w:val="00204223"/>
    <w:rsid w:val="00204370"/>
    <w:rsid w:val="00204C8E"/>
    <w:rsid w:val="002059BC"/>
    <w:rsid w:val="00205CBB"/>
    <w:rsid w:val="00206433"/>
    <w:rsid w:val="00206561"/>
    <w:rsid w:val="0020666C"/>
    <w:rsid w:val="00207151"/>
    <w:rsid w:val="00207B57"/>
    <w:rsid w:val="00207D75"/>
    <w:rsid w:val="002104D8"/>
    <w:rsid w:val="00210515"/>
    <w:rsid w:val="00210AB0"/>
    <w:rsid w:val="00210FDE"/>
    <w:rsid w:val="002125E1"/>
    <w:rsid w:val="00212D2D"/>
    <w:rsid w:val="00214315"/>
    <w:rsid w:val="00215DA7"/>
    <w:rsid w:val="00216560"/>
    <w:rsid w:val="00216EAA"/>
    <w:rsid w:val="00217353"/>
    <w:rsid w:val="00217889"/>
    <w:rsid w:val="00217A52"/>
    <w:rsid w:val="00217C5E"/>
    <w:rsid w:val="00217ECB"/>
    <w:rsid w:val="00221CB0"/>
    <w:rsid w:val="00222A54"/>
    <w:rsid w:val="00222BD4"/>
    <w:rsid w:val="00222C39"/>
    <w:rsid w:val="0022461B"/>
    <w:rsid w:val="002251A2"/>
    <w:rsid w:val="00225E09"/>
    <w:rsid w:val="00225F5C"/>
    <w:rsid w:val="002265A6"/>
    <w:rsid w:val="00226850"/>
    <w:rsid w:val="00226D84"/>
    <w:rsid w:val="00226E42"/>
    <w:rsid w:val="00227063"/>
    <w:rsid w:val="0022743E"/>
    <w:rsid w:val="0022748C"/>
    <w:rsid w:val="00231C00"/>
    <w:rsid w:val="00231C37"/>
    <w:rsid w:val="00232065"/>
    <w:rsid w:val="00232AA3"/>
    <w:rsid w:val="00232B49"/>
    <w:rsid w:val="00232D8A"/>
    <w:rsid w:val="00233474"/>
    <w:rsid w:val="00234938"/>
    <w:rsid w:val="002361CD"/>
    <w:rsid w:val="00236A31"/>
    <w:rsid w:val="00240CAA"/>
    <w:rsid w:val="002414DF"/>
    <w:rsid w:val="00241AA7"/>
    <w:rsid w:val="00241BD0"/>
    <w:rsid w:val="00241F9C"/>
    <w:rsid w:val="00241FC1"/>
    <w:rsid w:val="0024220D"/>
    <w:rsid w:val="00242746"/>
    <w:rsid w:val="002438FB"/>
    <w:rsid w:val="0024423E"/>
    <w:rsid w:val="00244892"/>
    <w:rsid w:val="0024500C"/>
    <w:rsid w:val="00245015"/>
    <w:rsid w:val="00245252"/>
    <w:rsid w:val="00245962"/>
    <w:rsid w:val="002462DC"/>
    <w:rsid w:val="0024642D"/>
    <w:rsid w:val="0024668D"/>
    <w:rsid w:val="00246889"/>
    <w:rsid w:val="00247395"/>
    <w:rsid w:val="002474CD"/>
    <w:rsid w:val="00247A8F"/>
    <w:rsid w:val="002502AE"/>
    <w:rsid w:val="0025086F"/>
    <w:rsid w:val="0025177B"/>
    <w:rsid w:val="00253269"/>
    <w:rsid w:val="00253D53"/>
    <w:rsid w:val="00254549"/>
    <w:rsid w:val="00254B0B"/>
    <w:rsid w:val="00254BD5"/>
    <w:rsid w:val="00254D39"/>
    <w:rsid w:val="00256E3F"/>
    <w:rsid w:val="00256E50"/>
    <w:rsid w:val="00257EDD"/>
    <w:rsid w:val="00260A6B"/>
    <w:rsid w:val="002618ED"/>
    <w:rsid w:val="00262A66"/>
    <w:rsid w:val="002635D0"/>
    <w:rsid w:val="0026374F"/>
    <w:rsid w:val="002654D9"/>
    <w:rsid w:val="00265778"/>
    <w:rsid w:val="002666AB"/>
    <w:rsid w:val="002707B4"/>
    <w:rsid w:val="00270A6E"/>
    <w:rsid w:val="00271683"/>
    <w:rsid w:val="002724E4"/>
    <w:rsid w:val="00272501"/>
    <w:rsid w:val="00272BAC"/>
    <w:rsid w:val="002741BD"/>
    <w:rsid w:val="0027589F"/>
    <w:rsid w:val="00275FE9"/>
    <w:rsid w:val="00276DD8"/>
    <w:rsid w:val="00280120"/>
    <w:rsid w:val="00281524"/>
    <w:rsid w:val="00281B44"/>
    <w:rsid w:val="002821C2"/>
    <w:rsid w:val="00282294"/>
    <w:rsid w:val="002828BF"/>
    <w:rsid w:val="002829E6"/>
    <w:rsid w:val="002832ED"/>
    <w:rsid w:val="002841B2"/>
    <w:rsid w:val="002841DE"/>
    <w:rsid w:val="00284554"/>
    <w:rsid w:val="00284D0B"/>
    <w:rsid w:val="00287917"/>
    <w:rsid w:val="00290FAE"/>
    <w:rsid w:val="00291F2F"/>
    <w:rsid w:val="0029292A"/>
    <w:rsid w:val="00292BE1"/>
    <w:rsid w:val="002939B8"/>
    <w:rsid w:val="00293E76"/>
    <w:rsid w:val="00294116"/>
    <w:rsid w:val="00294660"/>
    <w:rsid w:val="00294704"/>
    <w:rsid w:val="00294EBA"/>
    <w:rsid w:val="0029532E"/>
    <w:rsid w:val="0029665E"/>
    <w:rsid w:val="0029740F"/>
    <w:rsid w:val="002975C8"/>
    <w:rsid w:val="00297891"/>
    <w:rsid w:val="002A0613"/>
    <w:rsid w:val="002A1101"/>
    <w:rsid w:val="002A170E"/>
    <w:rsid w:val="002A2019"/>
    <w:rsid w:val="002A226E"/>
    <w:rsid w:val="002A2732"/>
    <w:rsid w:val="002A2747"/>
    <w:rsid w:val="002A3A5E"/>
    <w:rsid w:val="002A5AE7"/>
    <w:rsid w:val="002A67D9"/>
    <w:rsid w:val="002A68F9"/>
    <w:rsid w:val="002A6A17"/>
    <w:rsid w:val="002A78AE"/>
    <w:rsid w:val="002A78F5"/>
    <w:rsid w:val="002A7FC4"/>
    <w:rsid w:val="002B02AE"/>
    <w:rsid w:val="002B0653"/>
    <w:rsid w:val="002B0C84"/>
    <w:rsid w:val="002B1FB9"/>
    <w:rsid w:val="002B2348"/>
    <w:rsid w:val="002B2631"/>
    <w:rsid w:val="002B2A9D"/>
    <w:rsid w:val="002B2CEE"/>
    <w:rsid w:val="002B398B"/>
    <w:rsid w:val="002B4685"/>
    <w:rsid w:val="002B478A"/>
    <w:rsid w:val="002B52B2"/>
    <w:rsid w:val="002B61E0"/>
    <w:rsid w:val="002B6B3E"/>
    <w:rsid w:val="002B7A41"/>
    <w:rsid w:val="002B7BDE"/>
    <w:rsid w:val="002C03B2"/>
    <w:rsid w:val="002C0685"/>
    <w:rsid w:val="002C06C1"/>
    <w:rsid w:val="002C1616"/>
    <w:rsid w:val="002C22B1"/>
    <w:rsid w:val="002C3063"/>
    <w:rsid w:val="002C32E4"/>
    <w:rsid w:val="002C3CA2"/>
    <w:rsid w:val="002C6A3D"/>
    <w:rsid w:val="002C70AB"/>
    <w:rsid w:val="002C788C"/>
    <w:rsid w:val="002D05EC"/>
    <w:rsid w:val="002D1C34"/>
    <w:rsid w:val="002D430A"/>
    <w:rsid w:val="002D4323"/>
    <w:rsid w:val="002D4D58"/>
    <w:rsid w:val="002D5D88"/>
    <w:rsid w:val="002D634B"/>
    <w:rsid w:val="002D6437"/>
    <w:rsid w:val="002D7B80"/>
    <w:rsid w:val="002D7EC9"/>
    <w:rsid w:val="002E0135"/>
    <w:rsid w:val="002E09EF"/>
    <w:rsid w:val="002E178D"/>
    <w:rsid w:val="002E1A86"/>
    <w:rsid w:val="002E1B56"/>
    <w:rsid w:val="002E1E5F"/>
    <w:rsid w:val="002E4487"/>
    <w:rsid w:val="002E4957"/>
    <w:rsid w:val="002E54B6"/>
    <w:rsid w:val="002F0D82"/>
    <w:rsid w:val="002F1DAE"/>
    <w:rsid w:val="002F2244"/>
    <w:rsid w:val="002F3111"/>
    <w:rsid w:val="002F3645"/>
    <w:rsid w:val="002F3816"/>
    <w:rsid w:val="002F398D"/>
    <w:rsid w:val="002F4198"/>
    <w:rsid w:val="002F46D2"/>
    <w:rsid w:val="002F537D"/>
    <w:rsid w:val="002F61A4"/>
    <w:rsid w:val="002F63E4"/>
    <w:rsid w:val="002F701E"/>
    <w:rsid w:val="002F7D2D"/>
    <w:rsid w:val="00300989"/>
    <w:rsid w:val="0030195D"/>
    <w:rsid w:val="00301D8C"/>
    <w:rsid w:val="00301DAF"/>
    <w:rsid w:val="00301FB8"/>
    <w:rsid w:val="00303038"/>
    <w:rsid w:val="00303C8C"/>
    <w:rsid w:val="00303DA8"/>
    <w:rsid w:val="00303FCE"/>
    <w:rsid w:val="00305655"/>
    <w:rsid w:val="00305A25"/>
    <w:rsid w:val="00305ADF"/>
    <w:rsid w:val="00306EEB"/>
    <w:rsid w:val="0031049D"/>
    <w:rsid w:val="00311983"/>
    <w:rsid w:val="00312E84"/>
    <w:rsid w:val="003131BF"/>
    <w:rsid w:val="0031452B"/>
    <w:rsid w:val="00314549"/>
    <w:rsid w:val="0031458F"/>
    <w:rsid w:val="00314B4B"/>
    <w:rsid w:val="00316414"/>
    <w:rsid w:val="00317947"/>
    <w:rsid w:val="0032010B"/>
    <w:rsid w:val="00320F2C"/>
    <w:rsid w:val="0032133C"/>
    <w:rsid w:val="00321452"/>
    <w:rsid w:val="00321B25"/>
    <w:rsid w:val="00321EEF"/>
    <w:rsid w:val="0032324E"/>
    <w:rsid w:val="00323907"/>
    <w:rsid w:val="003243C6"/>
    <w:rsid w:val="003247AB"/>
    <w:rsid w:val="0032505A"/>
    <w:rsid w:val="00325A25"/>
    <w:rsid w:val="00325CB5"/>
    <w:rsid w:val="00326C97"/>
    <w:rsid w:val="0032702D"/>
    <w:rsid w:val="00327597"/>
    <w:rsid w:val="00327696"/>
    <w:rsid w:val="00327BD9"/>
    <w:rsid w:val="00330052"/>
    <w:rsid w:val="003308BD"/>
    <w:rsid w:val="00330B8C"/>
    <w:rsid w:val="00331B03"/>
    <w:rsid w:val="003337D1"/>
    <w:rsid w:val="00333E9A"/>
    <w:rsid w:val="00334182"/>
    <w:rsid w:val="00334655"/>
    <w:rsid w:val="00335A6F"/>
    <w:rsid w:val="00336517"/>
    <w:rsid w:val="0033660E"/>
    <w:rsid w:val="00337A57"/>
    <w:rsid w:val="00337F96"/>
    <w:rsid w:val="003408A8"/>
    <w:rsid w:val="00340AC8"/>
    <w:rsid w:val="00340D5E"/>
    <w:rsid w:val="003428AC"/>
    <w:rsid w:val="00342B25"/>
    <w:rsid w:val="003432EE"/>
    <w:rsid w:val="00343A94"/>
    <w:rsid w:val="00343B2C"/>
    <w:rsid w:val="00344B76"/>
    <w:rsid w:val="00345C7F"/>
    <w:rsid w:val="00346CA9"/>
    <w:rsid w:val="00346FFC"/>
    <w:rsid w:val="00347704"/>
    <w:rsid w:val="003479CF"/>
    <w:rsid w:val="0035094C"/>
    <w:rsid w:val="0035163B"/>
    <w:rsid w:val="003519E8"/>
    <w:rsid w:val="00352366"/>
    <w:rsid w:val="003524B6"/>
    <w:rsid w:val="00352747"/>
    <w:rsid w:val="003528AA"/>
    <w:rsid w:val="003528F2"/>
    <w:rsid w:val="00354220"/>
    <w:rsid w:val="00356A8F"/>
    <w:rsid w:val="0036177C"/>
    <w:rsid w:val="00362269"/>
    <w:rsid w:val="00362D86"/>
    <w:rsid w:val="00362F1C"/>
    <w:rsid w:val="0036317E"/>
    <w:rsid w:val="00364539"/>
    <w:rsid w:val="0036457B"/>
    <w:rsid w:val="003659FE"/>
    <w:rsid w:val="003704B3"/>
    <w:rsid w:val="003713FE"/>
    <w:rsid w:val="00372518"/>
    <w:rsid w:val="0037376F"/>
    <w:rsid w:val="00373E7D"/>
    <w:rsid w:val="00373F48"/>
    <w:rsid w:val="003741C0"/>
    <w:rsid w:val="00374C02"/>
    <w:rsid w:val="00376A77"/>
    <w:rsid w:val="0037789B"/>
    <w:rsid w:val="00377E29"/>
    <w:rsid w:val="003801C1"/>
    <w:rsid w:val="003820F9"/>
    <w:rsid w:val="0038298A"/>
    <w:rsid w:val="00382C85"/>
    <w:rsid w:val="00383604"/>
    <w:rsid w:val="0038420F"/>
    <w:rsid w:val="00384503"/>
    <w:rsid w:val="00384F4D"/>
    <w:rsid w:val="00384F9F"/>
    <w:rsid w:val="003861C7"/>
    <w:rsid w:val="00386F50"/>
    <w:rsid w:val="00387CE2"/>
    <w:rsid w:val="00390310"/>
    <w:rsid w:val="00390BBD"/>
    <w:rsid w:val="003918AC"/>
    <w:rsid w:val="00391C70"/>
    <w:rsid w:val="00391CC7"/>
    <w:rsid w:val="003920DA"/>
    <w:rsid w:val="003921B2"/>
    <w:rsid w:val="00394AEF"/>
    <w:rsid w:val="0039522F"/>
    <w:rsid w:val="003957BA"/>
    <w:rsid w:val="00396D1B"/>
    <w:rsid w:val="00397582"/>
    <w:rsid w:val="003A039E"/>
    <w:rsid w:val="003A04FC"/>
    <w:rsid w:val="003A0590"/>
    <w:rsid w:val="003A14F1"/>
    <w:rsid w:val="003A1BF6"/>
    <w:rsid w:val="003A1C40"/>
    <w:rsid w:val="003A1D8E"/>
    <w:rsid w:val="003A2B76"/>
    <w:rsid w:val="003A30C4"/>
    <w:rsid w:val="003A40D9"/>
    <w:rsid w:val="003A5B87"/>
    <w:rsid w:val="003A5C64"/>
    <w:rsid w:val="003A6701"/>
    <w:rsid w:val="003B0134"/>
    <w:rsid w:val="003B122E"/>
    <w:rsid w:val="003B25EF"/>
    <w:rsid w:val="003B373A"/>
    <w:rsid w:val="003B4079"/>
    <w:rsid w:val="003B415C"/>
    <w:rsid w:val="003B4547"/>
    <w:rsid w:val="003B4564"/>
    <w:rsid w:val="003B5115"/>
    <w:rsid w:val="003B538E"/>
    <w:rsid w:val="003B5829"/>
    <w:rsid w:val="003B5DEF"/>
    <w:rsid w:val="003B706E"/>
    <w:rsid w:val="003B74FE"/>
    <w:rsid w:val="003B7E68"/>
    <w:rsid w:val="003C05B0"/>
    <w:rsid w:val="003C115E"/>
    <w:rsid w:val="003C4931"/>
    <w:rsid w:val="003C4F59"/>
    <w:rsid w:val="003C5160"/>
    <w:rsid w:val="003C53A1"/>
    <w:rsid w:val="003C548C"/>
    <w:rsid w:val="003C5E68"/>
    <w:rsid w:val="003C6352"/>
    <w:rsid w:val="003C72AA"/>
    <w:rsid w:val="003C7D61"/>
    <w:rsid w:val="003D0A60"/>
    <w:rsid w:val="003D10E2"/>
    <w:rsid w:val="003D11B3"/>
    <w:rsid w:val="003D15F7"/>
    <w:rsid w:val="003D1F37"/>
    <w:rsid w:val="003D2F7C"/>
    <w:rsid w:val="003D3FBF"/>
    <w:rsid w:val="003D4CDF"/>
    <w:rsid w:val="003D53E0"/>
    <w:rsid w:val="003D546A"/>
    <w:rsid w:val="003D69AA"/>
    <w:rsid w:val="003D7777"/>
    <w:rsid w:val="003E0937"/>
    <w:rsid w:val="003E1D86"/>
    <w:rsid w:val="003E1F79"/>
    <w:rsid w:val="003E311B"/>
    <w:rsid w:val="003E355E"/>
    <w:rsid w:val="003E363A"/>
    <w:rsid w:val="003E5B8F"/>
    <w:rsid w:val="003E7E83"/>
    <w:rsid w:val="003E7F20"/>
    <w:rsid w:val="003F0448"/>
    <w:rsid w:val="003F176C"/>
    <w:rsid w:val="003F1894"/>
    <w:rsid w:val="003F1D73"/>
    <w:rsid w:val="003F25D3"/>
    <w:rsid w:val="003F2B3A"/>
    <w:rsid w:val="003F309B"/>
    <w:rsid w:val="003F3E3D"/>
    <w:rsid w:val="003F4673"/>
    <w:rsid w:val="003F4B6C"/>
    <w:rsid w:val="003F536C"/>
    <w:rsid w:val="003F5A38"/>
    <w:rsid w:val="003F6467"/>
    <w:rsid w:val="003F6789"/>
    <w:rsid w:val="003F6978"/>
    <w:rsid w:val="003F796C"/>
    <w:rsid w:val="003F7F42"/>
    <w:rsid w:val="00400111"/>
    <w:rsid w:val="00401530"/>
    <w:rsid w:val="00401B72"/>
    <w:rsid w:val="00402305"/>
    <w:rsid w:val="00402BF9"/>
    <w:rsid w:val="00402C68"/>
    <w:rsid w:val="00404883"/>
    <w:rsid w:val="004049DB"/>
    <w:rsid w:val="00405AB8"/>
    <w:rsid w:val="0040609E"/>
    <w:rsid w:val="0040659B"/>
    <w:rsid w:val="00406B0C"/>
    <w:rsid w:val="00406B4E"/>
    <w:rsid w:val="00407443"/>
    <w:rsid w:val="00407575"/>
    <w:rsid w:val="00407CA8"/>
    <w:rsid w:val="004111CF"/>
    <w:rsid w:val="00411E7C"/>
    <w:rsid w:val="00412917"/>
    <w:rsid w:val="00412C26"/>
    <w:rsid w:val="00412C44"/>
    <w:rsid w:val="00413AA0"/>
    <w:rsid w:val="00413FB3"/>
    <w:rsid w:val="00414F36"/>
    <w:rsid w:val="00415240"/>
    <w:rsid w:val="00416872"/>
    <w:rsid w:val="00417F51"/>
    <w:rsid w:val="0042010E"/>
    <w:rsid w:val="00420D65"/>
    <w:rsid w:val="004215C1"/>
    <w:rsid w:val="004218E2"/>
    <w:rsid w:val="00421998"/>
    <w:rsid w:val="00421AF1"/>
    <w:rsid w:val="00422002"/>
    <w:rsid w:val="00422650"/>
    <w:rsid w:val="0042267A"/>
    <w:rsid w:val="00422985"/>
    <w:rsid w:val="004229D0"/>
    <w:rsid w:val="00422EFF"/>
    <w:rsid w:val="00422F9E"/>
    <w:rsid w:val="00423538"/>
    <w:rsid w:val="00423E37"/>
    <w:rsid w:val="00424C4D"/>
    <w:rsid w:val="004251A5"/>
    <w:rsid w:val="00425B26"/>
    <w:rsid w:val="00425CCA"/>
    <w:rsid w:val="00425FA1"/>
    <w:rsid w:val="00426444"/>
    <w:rsid w:val="0042651D"/>
    <w:rsid w:val="00426E0A"/>
    <w:rsid w:val="00427FAB"/>
    <w:rsid w:val="004303CD"/>
    <w:rsid w:val="00432A17"/>
    <w:rsid w:val="00435248"/>
    <w:rsid w:val="004357CB"/>
    <w:rsid w:val="00440694"/>
    <w:rsid w:val="00440A52"/>
    <w:rsid w:val="00440ADA"/>
    <w:rsid w:val="00441277"/>
    <w:rsid w:val="004412EF"/>
    <w:rsid w:val="00441E5A"/>
    <w:rsid w:val="0044362C"/>
    <w:rsid w:val="00443655"/>
    <w:rsid w:val="00443667"/>
    <w:rsid w:val="00443E24"/>
    <w:rsid w:val="004443CB"/>
    <w:rsid w:val="004445FC"/>
    <w:rsid w:val="00445FF8"/>
    <w:rsid w:val="0044721A"/>
    <w:rsid w:val="00450594"/>
    <w:rsid w:val="00450F62"/>
    <w:rsid w:val="00451615"/>
    <w:rsid w:val="00453500"/>
    <w:rsid w:val="00453E82"/>
    <w:rsid w:val="0045456B"/>
    <w:rsid w:val="00454629"/>
    <w:rsid w:val="00454D1B"/>
    <w:rsid w:val="00454E9E"/>
    <w:rsid w:val="00455683"/>
    <w:rsid w:val="00455C2B"/>
    <w:rsid w:val="0045673D"/>
    <w:rsid w:val="00457A6B"/>
    <w:rsid w:val="00457C91"/>
    <w:rsid w:val="004601C4"/>
    <w:rsid w:val="00460729"/>
    <w:rsid w:val="004611C6"/>
    <w:rsid w:val="00461BA2"/>
    <w:rsid w:val="00461E17"/>
    <w:rsid w:val="00462115"/>
    <w:rsid w:val="004629EF"/>
    <w:rsid w:val="00463639"/>
    <w:rsid w:val="00464A52"/>
    <w:rsid w:val="00464BD0"/>
    <w:rsid w:val="00464C93"/>
    <w:rsid w:val="00464DEB"/>
    <w:rsid w:val="004651B5"/>
    <w:rsid w:val="0046573C"/>
    <w:rsid w:val="00465D51"/>
    <w:rsid w:val="00466E4B"/>
    <w:rsid w:val="00466EF7"/>
    <w:rsid w:val="00467002"/>
    <w:rsid w:val="0046734D"/>
    <w:rsid w:val="0046776D"/>
    <w:rsid w:val="00470A40"/>
    <w:rsid w:val="00470D30"/>
    <w:rsid w:val="0047135C"/>
    <w:rsid w:val="00471E75"/>
    <w:rsid w:val="00472122"/>
    <w:rsid w:val="0047332A"/>
    <w:rsid w:val="0047338C"/>
    <w:rsid w:val="00473414"/>
    <w:rsid w:val="004734B5"/>
    <w:rsid w:val="004736E8"/>
    <w:rsid w:val="00473BBC"/>
    <w:rsid w:val="0047494B"/>
    <w:rsid w:val="00474B70"/>
    <w:rsid w:val="0047517F"/>
    <w:rsid w:val="004755E5"/>
    <w:rsid w:val="004760AF"/>
    <w:rsid w:val="004760EC"/>
    <w:rsid w:val="00477710"/>
    <w:rsid w:val="00477B9F"/>
    <w:rsid w:val="00477C0C"/>
    <w:rsid w:val="00477F25"/>
    <w:rsid w:val="00477F9E"/>
    <w:rsid w:val="00480608"/>
    <w:rsid w:val="00480700"/>
    <w:rsid w:val="00480A0E"/>
    <w:rsid w:val="00480E24"/>
    <w:rsid w:val="00480E4B"/>
    <w:rsid w:val="004828A6"/>
    <w:rsid w:val="004839C7"/>
    <w:rsid w:val="00483EA5"/>
    <w:rsid w:val="004848A6"/>
    <w:rsid w:val="00484F4C"/>
    <w:rsid w:val="00485638"/>
    <w:rsid w:val="00485741"/>
    <w:rsid w:val="004857FC"/>
    <w:rsid w:val="00486957"/>
    <w:rsid w:val="00487BE5"/>
    <w:rsid w:val="00487E0F"/>
    <w:rsid w:val="00491E80"/>
    <w:rsid w:val="00491FE0"/>
    <w:rsid w:val="0049240C"/>
    <w:rsid w:val="004928AC"/>
    <w:rsid w:val="004939FB"/>
    <w:rsid w:val="00494169"/>
    <w:rsid w:val="004943AF"/>
    <w:rsid w:val="0049474E"/>
    <w:rsid w:val="00494817"/>
    <w:rsid w:val="004967F6"/>
    <w:rsid w:val="004A0BB6"/>
    <w:rsid w:val="004A1D91"/>
    <w:rsid w:val="004A23E6"/>
    <w:rsid w:val="004A2661"/>
    <w:rsid w:val="004A2DDC"/>
    <w:rsid w:val="004A340D"/>
    <w:rsid w:val="004A3D77"/>
    <w:rsid w:val="004A4A09"/>
    <w:rsid w:val="004A4A58"/>
    <w:rsid w:val="004A4B28"/>
    <w:rsid w:val="004A4DE8"/>
    <w:rsid w:val="004A5697"/>
    <w:rsid w:val="004A59CF"/>
    <w:rsid w:val="004A6670"/>
    <w:rsid w:val="004A6841"/>
    <w:rsid w:val="004A6B97"/>
    <w:rsid w:val="004B028F"/>
    <w:rsid w:val="004B0330"/>
    <w:rsid w:val="004B1F2D"/>
    <w:rsid w:val="004B25CC"/>
    <w:rsid w:val="004B28FF"/>
    <w:rsid w:val="004B2C55"/>
    <w:rsid w:val="004B2D5A"/>
    <w:rsid w:val="004B440F"/>
    <w:rsid w:val="004B708B"/>
    <w:rsid w:val="004B72BA"/>
    <w:rsid w:val="004B7482"/>
    <w:rsid w:val="004B7498"/>
    <w:rsid w:val="004B7AD6"/>
    <w:rsid w:val="004B7BDF"/>
    <w:rsid w:val="004C0820"/>
    <w:rsid w:val="004C0CF6"/>
    <w:rsid w:val="004C1809"/>
    <w:rsid w:val="004C194E"/>
    <w:rsid w:val="004C1CB4"/>
    <w:rsid w:val="004C2849"/>
    <w:rsid w:val="004C2CBF"/>
    <w:rsid w:val="004C32F8"/>
    <w:rsid w:val="004C4D18"/>
    <w:rsid w:val="004C4D3F"/>
    <w:rsid w:val="004C6B80"/>
    <w:rsid w:val="004C72CD"/>
    <w:rsid w:val="004C7E50"/>
    <w:rsid w:val="004D0860"/>
    <w:rsid w:val="004D0A76"/>
    <w:rsid w:val="004D1DE5"/>
    <w:rsid w:val="004D2634"/>
    <w:rsid w:val="004D2A36"/>
    <w:rsid w:val="004D2DB0"/>
    <w:rsid w:val="004D2FA9"/>
    <w:rsid w:val="004D35AB"/>
    <w:rsid w:val="004D3AE0"/>
    <w:rsid w:val="004D3DF6"/>
    <w:rsid w:val="004D4297"/>
    <w:rsid w:val="004D46BA"/>
    <w:rsid w:val="004D5FEB"/>
    <w:rsid w:val="004D641C"/>
    <w:rsid w:val="004D6559"/>
    <w:rsid w:val="004D68D6"/>
    <w:rsid w:val="004E0C9A"/>
    <w:rsid w:val="004E0D1D"/>
    <w:rsid w:val="004E1877"/>
    <w:rsid w:val="004E3515"/>
    <w:rsid w:val="004E4773"/>
    <w:rsid w:val="004E57A5"/>
    <w:rsid w:val="004E5A38"/>
    <w:rsid w:val="004E6A20"/>
    <w:rsid w:val="004E76B5"/>
    <w:rsid w:val="004E7AEE"/>
    <w:rsid w:val="004F00C1"/>
    <w:rsid w:val="004F077A"/>
    <w:rsid w:val="004F0998"/>
    <w:rsid w:val="004F09A6"/>
    <w:rsid w:val="004F1118"/>
    <w:rsid w:val="004F21FA"/>
    <w:rsid w:val="004F28D4"/>
    <w:rsid w:val="004F378B"/>
    <w:rsid w:val="004F3F72"/>
    <w:rsid w:val="004F4BFD"/>
    <w:rsid w:val="004F6869"/>
    <w:rsid w:val="004F6AFF"/>
    <w:rsid w:val="00501AB3"/>
    <w:rsid w:val="00501C8A"/>
    <w:rsid w:val="00503FAB"/>
    <w:rsid w:val="00504322"/>
    <w:rsid w:val="005048CE"/>
    <w:rsid w:val="00504940"/>
    <w:rsid w:val="00504E10"/>
    <w:rsid w:val="00505C4D"/>
    <w:rsid w:val="00505C77"/>
    <w:rsid w:val="0050617A"/>
    <w:rsid w:val="00506AFA"/>
    <w:rsid w:val="00506B5A"/>
    <w:rsid w:val="00507B79"/>
    <w:rsid w:val="00510178"/>
    <w:rsid w:val="00511EAE"/>
    <w:rsid w:val="00512749"/>
    <w:rsid w:val="00512A58"/>
    <w:rsid w:val="00513035"/>
    <w:rsid w:val="0051328D"/>
    <w:rsid w:val="00513485"/>
    <w:rsid w:val="00513A31"/>
    <w:rsid w:val="00513F18"/>
    <w:rsid w:val="00514495"/>
    <w:rsid w:val="00514A7E"/>
    <w:rsid w:val="00514D2A"/>
    <w:rsid w:val="00514E0F"/>
    <w:rsid w:val="00514E76"/>
    <w:rsid w:val="005158F6"/>
    <w:rsid w:val="00515964"/>
    <w:rsid w:val="00515A7B"/>
    <w:rsid w:val="00515C8B"/>
    <w:rsid w:val="00516378"/>
    <w:rsid w:val="00516446"/>
    <w:rsid w:val="005167AD"/>
    <w:rsid w:val="00516CB6"/>
    <w:rsid w:val="00517126"/>
    <w:rsid w:val="005173EF"/>
    <w:rsid w:val="00517C74"/>
    <w:rsid w:val="00520BA9"/>
    <w:rsid w:val="00522A16"/>
    <w:rsid w:val="005239D7"/>
    <w:rsid w:val="00523CB2"/>
    <w:rsid w:val="00524936"/>
    <w:rsid w:val="00524D70"/>
    <w:rsid w:val="0052510B"/>
    <w:rsid w:val="00525154"/>
    <w:rsid w:val="00525622"/>
    <w:rsid w:val="00525783"/>
    <w:rsid w:val="00525B98"/>
    <w:rsid w:val="00526836"/>
    <w:rsid w:val="005271B6"/>
    <w:rsid w:val="005277EC"/>
    <w:rsid w:val="00527E76"/>
    <w:rsid w:val="00530260"/>
    <w:rsid w:val="005305C1"/>
    <w:rsid w:val="00530B2A"/>
    <w:rsid w:val="005315A3"/>
    <w:rsid w:val="00531B99"/>
    <w:rsid w:val="0053225C"/>
    <w:rsid w:val="00532667"/>
    <w:rsid w:val="00532F05"/>
    <w:rsid w:val="005331DE"/>
    <w:rsid w:val="0053344B"/>
    <w:rsid w:val="005335CD"/>
    <w:rsid w:val="00533929"/>
    <w:rsid w:val="005342F5"/>
    <w:rsid w:val="00534784"/>
    <w:rsid w:val="00534A95"/>
    <w:rsid w:val="00535AA6"/>
    <w:rsid w:val="00536BCD"/>
    <w:rsid w:val="00537B77"/>
    <w:rsid w:val="005403D6"/>
    <w:rsid w:val="0054046E"/>
    <w:rsid w:val="005412BC"/>
    <w:rsid w:val="005415F6"/>
    <w:rsid w:val="00541BB2"/>
    <w:rsid w:val="00541F8B"/>
    <w:rsid w:val="005429CC"/>
    <w:rsid w:val="005442E0"/>
    <w:rsid w:val="00544B36"/>
    <w:rsid w:val="00545AB6"/>
    <w:rsid w:val="00545B55"/>
    <w:rsid w:val="00545CB0"/>
    <w:rsid w:val="0054660D"/>
    <w:rsid w:val="00547852"/>
    <w:rsid w:val="005479E6"/>
    <w:rsid w:val="005502CE"/>
    <w:rsid w:val="005504F5"/>
    <w:rsid w:val="005512FA"/>
    <w:rsid w:val="00551475"/>
    <w:rsid w:val="00551CDD"/>
    <w:rsid w:val="0055297A"/>
    <w:rsid w:val="00553807"/>
    <w:rsid w:val="00553C65"/>
    <w:rsid w:val="00554217"/>
    <w:rsid w:val="005542C9"/>
    <w:rsid w:val="00556288"/>
    <w:rsid w:val="00556517"/>
    <w:rsid w:val="005566EE"/>
    <w:rsid w:val="00556ECA"/>
    <w:rsid w:val="0055733E"/>
    <w:rsid w:val="005578DD"/>
    <w:rsid w:val="00557FAA"/>
    <w:rsid w:val="00561C01"/>
    <w:rsid w:val="00563E87"/>
    <w:rsid w:val="005644FD"/>
    <w:rsid w:val="00565CD4"/>
    <w:rsid w:val="005675A7"/>
    <w:rsid w:val="00567753"/>
    <w:rsid w:val="0056776C"/>
    <w:rsid w:val="005678F1"/>
    <w:rsid w:val="00570476"/>
    <w:rsid w:val="00571891"/>
    <w:rsid w:val="00572E0E"/>
    <w:rsid w:val="00572FB1"/>
    <w:rsid w:val="00573F11"/>
    <w:rsid w:val="0057443C"/>
    <w:rsid w:val="00575E6F"/>
    <w:rsid w:val="005762BC"/>
    <w:rsid w:val="0058059A"/>
    <w:rsid w:val="00580696"/>
    <w:rsid w:val="00581256"/>
    <w:rsid w:val="00582A72"/>
    <w:rsid w:val="00582CB8"/>
    <w:rsid w:val="00582F9D"/>
    <w:rsid w:val="005831A8"/>
    <w:rsid w:val="00583C33"/>
    <w:rsid w:val="005842B0"/>
    <w:rsid w:val="00584561"/>
    <w:rsid w:val="00584D1D"/>
    <w:rsid w:val="00585104"/>
    <w:rsid w:val="00585E3B"/>
    <w:rsid w:val="00587F1C"/>
    <w:rsid w:val="00590782"/>
    <w:rsid w:val="00590A80"/>
    <w:rsid w:val="00590D56"/>
    <w:rsid w:val="00591091"/>
    <w:rsid w:val="00591584"/>
    <w:rsid w:val="005923E9"/>
    <w:rsid w:val="00592897"/>
    <w:rsid w:val="00592911"/>
    <w:rsid w:val="0059447D"/>
    <w:rsid w:val="00594FD6"/>
    <w:rsid w:val="0059504F"/>
    <w:rsid w:val="00595D3C"/>
    <w:rsid w:val="00595F4F"/>
    <w:rsid w:val="00596A4C"/>
    <w:rsid w:val="00597D97"/>
    <w:rsid w:val="005A06E2"/>
    <w:rsid w:val="005A0FB0"/>
    <w:rsid w:val="005A42BB"/>
    <w:rsid w:val="005A56F8"/>
    <w:rsid w:val="005A657B"/>
    <w:rsid w:val="005A746B"/>
    <w:rsid w:val="005A74A8"/>
    <w:rsid w:val="005B0984"/>
    <w:rsid w:val="005B099F"/>
    <w:rsid w:val="005B0D47"/>
    <w:rsid w:val="005B1A4D"/>
    <w:rsid w:val="005B1C03"/>
    <w:rsid w:val="005B2DD2"/>
    <w:rsid w:val="005B30D5"/>
    <w:rsid w:val="005B3581"/>
    <w:rsid w:val="005B3D15"/>
    <w:rsid w:val="005B506C"/>
    <w:rsid w:val="005B5C29"/>
    <w:rsid w:val="005B5DB3"/>
    <w:rsid w:val="005B7CD9"/>
    <w:rsid w:val="005C184B"/>
    <w:rsid w:val="005C2017"/>
    <w:rsid w:val="005C2067"/>
    <w:rsid w:val="005C26E7"/>
    <w:rsid w:val="005C3845"/>
    <w:rsid w:val="005C4145"/>
    <w:rsid w:val="005C4960"/>
    <w:rsid w:val="005C4D83"/>
    <w:rsid w:val="005C5AED"/>
    <w:rsid w:val="005C5B47"/>
    <w:rsid w:val="005C5F0D"/>
    <w:rsid w:val="005C5F73"/>
    <w:rsid w:val="005C62D0"/>
    <w:rsid w:val="005C7852"/>
    <w:rsid w:val="005D019C"/>
    <w:rsid w:val="005D0E8E"/>
    <w:rsid w:val="005D1196"/>
    <w:rsid w:val="005D1E0E"/>
    <w:rsid w:val="005D3876"/>
    <w:rsid w:val="005D44AB"/>
    <w:rsid w:val="005D6387"/>
    <w:rsid w:val="005D692B"/>
    <w:rsid w:val="005D7FC0"/>
    <w:rsid w:val="005D7FDA"/>
    <w:rsid w:val="005E0AE7"/>
    <w:rsid w:val="005E0F69"/>
    <w:rsid w:val="005E13C9"/>
    <w:rsid w:val="005E13D9"/>
    <w:rsid w:val="005E185A"/>
    <w:rsid w:val="005E3BBF"/>
    <w:rsid w:val="005E4669"/>
    <w:rsid w:val="005E542A"/>
    <w:rsid w:val="005E6C57"/>
    <w:rsid w:val="005F03CF"/>
    <w:rsid w:val="005F06B4"/>
    <w:rsid w:val="005F0B9A"/>
    <w:rsid w:val="005F1F01"/>
    <w:rsid w:val="005F20EF"/>
    <w:rsid w:val="005F2187"/>
    <w:rsid w:val="005F25EC"/>
    <w:rsid w:val="005F2D6D"/>
    <w:rsid w:val="005F3125"/>
    <w:rsid w:val="005F35E4"/>
    <w:rsid w:val="005F3979"/>
    <w:rsid w:val="005F3AE5"/>
    <w:rsid w:val="005F3C69"/>
    <w:rsid w:val="005F3D22"/>
    <w:rsid w:val="005F438F"/>
    <w:rsid w:val="005F64CC"/>
    <w:rsid w:val="005F7B57"/>
    <w:rsid w:val="00600147"/>
    <w:rsid w:val="00600435"/>
    <w:rsid w:val="006004E8"/>
    <w:rsid w:val="00600C15"/>
    <w:rsid w:val="00602246"/>
    <w:rsid w:val="006022FE"/>
    <w:rsid w:val="00602D6E"/>
    <w:rsid w:val="00604892"/>
    <w:rsid w:val="00604AB6"/>
    <w:rsid w:val="00604E2E"/>
    <w:rsid w:val="00605BE0"/>
    <w:rsid w:val="00605BEC"/>
    <w:rsid w:val="00605DF7"/>
    <w:rsid w:val="00606E11"/>
    <w:rsid w:val="006078FB"/>
    <w:rsid w:val="00607FFB"/>
    <w:rsid w:val="0061202C"/>
    <w:rsid w:val="00612652"/>
    <w:rsid w:val="00613C36"/>
    <w:rsid w:val="006143A3"/>
    <w:rsid w:val="0061476E"/>
    <w:rsid w:val="00615B09"/>
    <w:rsid w:val="00616407"/>
    <w:rsid w:val="00616974"/>
    <w:rsid w:val="00616FEB"/>
    <w:rsid w:val="0061727B"/>
    <w:rsid w:val="00617F93"/>
    <w:rsid w:val="00620CC5"/>
    <w:rsid w:val="00621223"/>
    <w:rsid w:val="00621E6E"/>
    <w:rsid w:val="006227B4"/>
    <w:rsid w:val="00622F84"/>
    <w:rsid w:val="00624104"/>
    <w:rsid w:val="0062450B"/>
    <w:rsid w:val="006245EF"/>
    <w:rsid w:val="00625150"/>
    <w:rsid w:val="00625869"/>
    <w:rsid w:val="00627051"/>
    <w:rsid w:val="00627554"/>
    <w:rsid w:val="006275EC"/>
    <w:rsid w:val="0062770B"/>
    <w:rsid w:val="0063014B"/>
    <w:rsid w:val="006304BC"/>
    <w:rsid w:val="006307FE"/>
    <w:rsid w:val="00631F43"/>
    <w:rsid w:val="00632270"/>
    <w:rsid w:val="006327A6"/>
    <w:rsid w:val="00632B52"/>
    <w:rsid w:val="006347CB"/>
    <w:rsid w:val="00634EC0"/>
    <w:rsid w:val="0063583B"/>
    <w:rsid w:val="00635EFB"/>
    <w:rsid w:val="006363DB"/>
    <w:rsid w:val="00636669"/>
    <w:rsid w:val="0063687D"/>
    <w:rsid w:val="00637C2F"/>
    <w:rsid w:val="006416A2"/>
    <w:rsid w:val="00642214"/>
    <w:rsid w:val="0064290C"/>
    <w:rsid w:val="00642933"/>
    <w:rsid w:val="00642DB9"/>
    <w:rsid w:val="006431AE"/>
    <w:rsid w:val="006437C6"/>
    <w:rsid w:val="00643E0D"/>
    <w:rsid w:val="00644E74"/>
    <w:rsid w:val="00645F8E"/>
    <w:rsid w:val="006461C5"/>
    <w:rsid w:val="00646396"/>
    <w:rsid w:val="00647701"/>
    <w:rsid w:val="006477B1"/>
    <w:rsid w:val="0065042D"/>
    <w:rsid w:val="00650E35"/>
    <w:rsid w:val="00650EC9"/>
    <w:rsid w:val="00651456"/>
    <w:rsid w:val="0065288F"/>
    <w:rsid w:val="00653F4F"/>
    <w:rsid w:val="00654360"/>
    <w:rsid w:val="00655179"/>
    <w:rsid w:val="006558BF"/>
    <w:rsid w:val="00655FC4"/>
    <w:rsid w:val="00656CE8"/>
    <w:rsid w:val="00656F9B"/>
    <w:rsid w:val="006573C0"/>
    <w:rsid w:val="00657D31"/>
    <w:rsid w:val="006604B3"/>
    <w:rsid w:val="00660F00"/>
    <w:rsid w:val="006613FA"/>
    <w:rsid w:val="00661A97"/>
    <w:rsid w:val="00661D8A"/>
    <w:rsid w:val="00664BC3"/>
    <w:rsid w:val="006652D0"/>
    <w:rsid w:val="00665C36"/>
    <w:rsid w:val="006666B5"/>
    <w:rsid w:val="00666DC1"/>
    <w:rsid w:val="006672EB"/>
    <w:rsid w:val="0067011C"/>
    <w:rsid w:val="00671533"/>
    <w:rsid w:val="00671560"/>
    <w:rsid w:val="00671D16"/>
    <w:rsid w:val="0067305F"/>
    <w:rsid w:val="00673DFF"/>
    <w:rsid w:val="00675127"/>
    <w:rsid w:val="00675C1B"/>
    <w:rsid w:val="00675C3F"/>
    <w:rsid w:val="00675DF4"/>
    <w:rsid w:val="00676143"/>
    <w:rsid w:val="00680376"/>
    <w:rsid w:val="006803F5"/>
    <w:rsid w:val="00680CEB"/>
    <w:rsid w:val="006817C4"/>
    <w:rsid w:val="00681F40"/>
    <w:rsid w:val="00682741"/>
    <w:rsid w:val="00682F73"/>
    <w:rsid w:val="00683010"/>
    <w:rsid w:val="00683AE3"/>
    <w:rsid w:val="00684FEF"/>
    <w:rsid w:val="00686B62"/>
    <w:rsid w:val="00686BEB"/>
    <w:rsid w:val="0068768A"/>
    <w:rsid w:val="00690414"/>
    <w:rsid w:val="0069085F"/>
    <w:rsid w:val="00691832"/>
    <w:rsid w:val="00691B35"/>
    <w:rsid w:val="00691CE6"/>
    <w:rsid w:val="006930E4"/>
    <w:rsid w:val="006938EB"/>
    <w:rsid w:val="00693A9F"/>
    <w:rsid w:val="006941E0"/>
    <w:rsid w:val="00694BEA"/>
    <w:rsid w:val="00697AAE"/>
    <w:rsid w:val="00697AE6"/>
    <w:rsid w:val="006A0907"/>
    <w:rsid w:val="006A0AE8"/>
    <w:rsid w:val="006A1AAE"/>
    <w:rsid w:val="006A1B60"/>
    <w:rsid w:val="006A3349"/>
    <w:rsid w:val="006A3DC1"/>
    <w:rsid w:val="006A504F"/>
    <w:rsid w:val="006A5352"/>
    <w:rsid w:val="006A5903"/>
    <w:rsid w:val="006B0F5D"/>
    <w:rsid w:val="006B1100"/>
    <w:rsid w:val="006B2CCA"/>
    <w:rsid w:val="006B2FEC"/>
    <w:rsid w:val="006B4093"/>
    <w:rsid w:val="006B43B1"/>
    <w:rsid w:val="006B49DE"/>
    <w:rsid w:val="006C17A3"/>
    <w:rsid w:val="006C251B"/>
    <w:rsid w:val="006C2793"/>
    <w:rsid w:val="006C2E5F"/>
    <w:rsid w:val="006C3DD9"/>
    <w:rsid w:val="006C3DDD"/>
    <w:rsid w:val="006C453C"/>
    <w:rsid w:val="006C524A"/>
    <w:rsid w:val="006C5424"/>
    <w:rsid w:val="006C55AF"/>
    <w:rsid w:val="006C569A"/>
    <w:rsid w:val="006C5936"/>
    <w:rsid w:val="006C70B0"/>
    <w:rsid w:val="006C7C4D"/>
    <w:rsid w:val="006D01F8"/>
    <w:rsid w:val="006D0E07"/>
    <w:rsid w:val="006D1DBF"/>
    <w:rsid w:val="006D2DDE"/>
    <w:rsid w:val="006D4534"/>
    <w:rsid w:val="006D454A"/>
    <w:rsid w:val="006D64E6"/>
    <w:rsid w:val="006E0294"/>
    <w:rsid w:val="006E03F7"/>
    <w:rsid w:val="006E3EED"/>
    <w:rsid w:val="006E4343"/>
    <w:rsid w:val="006E47BB"/>
    <w:rsid w:val="006E4FBC"/>
    <w:rsid w:val="006E55AB"/>
    <w:rsid w:val="006E574B"/>
    <w:rsid w:val="006E57ED"/>
    <w:rsid w:val="006E5A24"/>
    <w:rsid w:val="006E5B01"/>
    <w:rsid w:val="006E64A0"/>
    <w:rsid w:val="006E6E66"/>
    <w:rsid w:val="006E76A9"/>
    <w:rsid w:val="006E7852"/>
    <w:rsid w:val="006F136A"/>
    <w:rsid w:val="006F1503"/>
    <w:rsid w:val="006F1EDB"/>
    <w:rsid w:val="006F1F88"/>
    <w:rsid w:val="006F230B"/>
    <w:rsid w:val="006F3BD9"/>
    <w:rsid w:val="006F47F0"/>
    <w:rsid w:val="006F4CD1"/>
    <w:rsid w:val="006F4DF6"/>
    <w:rsid w:val="006F55D6"/>
    <w:rsid w:val="006F5B16"/>
    <w:rsid w:val="006F5E19"/>
    <w:rsid w:val="006F64EE"/>
    <w:rsid w:val="006F6FA2"/>
    <w:rsid w:val="006F7558"/>
    <w:rsid w:val="006F7575"/>
    <w:rsid w:val="00701371"/>
    <w:rsid w:val="00701A37"/>
    <w:rsid w:val="00702BF2"/>
    <w:rsid w:val="00704437"/>
    <w:rsid w:val="00705AF6"/>
    <w:rsid w:val="0070689C"/>
    <w:rsid w:val="00707817"/>
    <w:rsid w:val="00707DD7"/>
    <w:rsid w:val="007105B2"/>
    <w:rsid w:val="007116B7"/>
    <w:rsid w:val="00711955"/>
    <w:rsid w:val="00711CCF"/>
    <w:rsid w:val="00711D6D"/>
    <w:rsid w:val="007121DF"/>
    <w:rsid w:val="00713C19"/>
    <w:rsid w:val="00713E55"/>
    <w:rsid w:val="007155DC"/>
    <w:rsid w:val="00716D76"/>
    <w:rsid w:val="00720A1E"/>
    <w:rsid w:val="00722017"/>
    <w:rsid w:val="0072244A"/>
    <w:rsid w:val="00723FF5"/>
    <w:rsid w:val="00724D87"/>
    <w:rsid w:val="007252EB"/>
    <w:rsid w:val="0072545E"/>
    <w:rsid w:val="007254D5"/>
    <w:rsid w:val="0072553F"/>
    <w:rsid w:val="007257C7"/>
    <w:rsid w:val="0072595B"/>
    <w:rsid w:val="00726197"/>
    <w:rsid w:val="00726F77"/>
    <w:rsid w:val="00727F3C"/>
    <w:rsid w:val="0073036C"/>
    <w:rsid w:val="00730503"/>
    <w:rsid w:val="007305D2"/>
    <w:rsid w:val="007309B1"/>
    <w:rsid w:val="00730B13"/>
    <w:rsid w:val="00731BBE"/>
    <w:rsid w:val="0073271B"/>
    <w:rsid w:val="00732E48"/>
    <w:rsid w:val="00733187"/>
    <w:rsid w:val="00734C63"/>
    <w:rsid w:val="00735022"/>
    <w:rsid w:val="007355B9"/>
    <w:rsid w:val="00735829"/>
    <w:rsid w:val="00735DCF"/>
    <w:rsid w:val="0073638F"/>
    <w:rsid w:val="0074011F"/>
    <w:rsid w:val="0074054A"/>
    <w:rsid w:val="007409D3"/>
    <w:rsid w:val="00740CF2"/>
    <w:rsid w:val="00740DA7"/>
    <w:rsid w:val="007417C1"/>
    <w:rsid w:val="00741869"/>
    <w:rsid w:val="0074216E"/>
    <w:rsid w:val="0074260A"/>
    <w:rsid w:val="0074350A"/>
    <w:rsid w:val="0074386A"/>
    <w:rsid w:val="007441C6"/>
    <w:rsid w:val="007446AF"/>
    <w:rsid w:val="00745058"/>
    <w:rsid w:val="007451CC"/>
    <w:rsid w:val="00745A86"/>
    <w:rsid w:val="007465B7"/>
    <w:rsid w:val="007466B6"/>
    <w:rsid w:val="007472D6"/>
    <w:rsid w:val="00747AC5"/>
    <w:rsid w:val="0075019D"/>
    <w:rsid w:val="00750259"/>
    <w:rsid w:val="00750FDA"/>
    <w:rsid w:val="00752288"/>
    <w:rsid w:val="00752598"/>
    <w:rsid w:val="0075275A"/>
    <w:rsid w:val="007529D8"/>
    <w:rsid w:val="00753D9B"/>
    <w:rsid w:val="0075415F"/>
    <w:rsid w:val="00754CB1"/>
    <w:rsid w:val="0075589E"/>
    <w:rsid w:val="00756175"/>
    <w:rsid w:val="00756318"/>
    <w:rsid w:val="00757E9C"/>
    <w:rsid w:val="007601B2"/>
    <w:rsid w:val="0076043A"/>
    <w:rsid w:val="00760463"/>
    <w:rsid w:val="00760865"/>
    <w:rsid w:val="00762372"/>
    <w:rsid w:val="007624A0"/>
    <w:rsid w:val="00763621"/>
    <w:rsid w:val="00763C21"/>
    <w:rsid w:val="00764AAD"/>
    <w:rsid w:val="00764C35"/>
    <w:rsid w:val="00764DEA"/>
    <w:rsid w:val="007651F4"/>
    <w:rsid w:val="00765535"/>
    <w:rsid w:val="007659BF"/>
    <w:rsid w:val="00765C1D"/>
    <w:rsid w:val="00765CEC"/>
    <w:rsid w:val="0076645E"/>
    <w:rsid w:val="0076698D"/>
    <w:rsid w:val="00766ACB"/>
    <w:rsid w:val="00767EAD"/>
    <w:rsid w:val="00770B29"/>
    <w:rsid w:val="00770BD2"/>
    <w:rsid w:val="0077180C"/>
    <w:rsid w:val="00775911"/>
    <w:rsid w:val="007766E2"/>
    <w:rsid w:val="007766F1"/>
    <w:rsid w:val="007771C0"/>
    <w:rsid w:val="007778DD"/>
    <w:rsid w:val="00781181"/>
    <w:rsid w:val="00781696"/>
    <w:rsid w:val="007818D3"/>
    <w:rsid w:val="00781F06"/>
    <w:rsid w:val="00782BBF"/>
    <w:rsid w:val="00782C2D"/>
    <w:rsid w:val="00783648"/>
    <w:rsid w:val="00783B82"/>
    <w:rsid w:val="007853F6"/>
    <w:rsid w:val="007855DC"/>
    <w:rsid w:val="00785D2A"/>
    <w:rsid w:val="007865AE"/>
    <w:rsid w:val="00787C96"/>
    <w:rsid w:val="00790A1E"/>
    <w:rsid w:val="00790E75"/>
    <w:rsid w:val="00790FB2"/>
    <w:rsid w:val="00791D89"/>
    <w:rsid w:val="00791EE4"/>
    <w:rsid w:val="00791F32"/>
    <w:rsid w:val="00792DF1"/>
    <w:rsid w:val="00792EDB"/>
    <w:rsid w:val="007935C4"/>
    <w:rsid w:val="0079382F"/>
    <w:rsid w:val="007959C2"/>
    <w:rsid w:val="00795BA1"/>
    <w:rsid w:val="0079647E"/>
    <w:rsid w:val="007967B8"/>
    <w:rsid w:val="00796920"/>
    <w:rsid w:val="00797044"/>
    <w:rsid w:val="007972B5"/>
    <w:rsid w:val="00797F64"/>
    <w:rsid w:val="007A00D7"/>
    <w:rsid w:val="007A02F8"/>
    <w:rsid w:val="007A058E"/>
    <w:rsid w:val="007A0AAA"/>
    <w:rsid w:val="007A113D"/>
    <w:rsid w:val="007A197B"/>
    <w:rsid w:val="007A27A7"/>
    <w:rsid w:val="007A295C"/>
    <w:rsid w:val="007A2B1D"/>
    <w:rsid w:val="007A3B29"/>
    <w:rsid w:val="007A55E0"/>
    <w:rsid w:val="007A77B4"/>
    <w:rsid w:val="007A7A20"/>
    <w:rsid w:val="007B0675"/>
    <w:rsid w:val="007B08BD"/>
    <w:rsid w:val="007B0953"/>
    <w:rsid w:val="007B24C1"/>
    <w:rsid w:val="007B296E"/>
    <w:rsid w:val="007B2AA7"/>
    <w:rsid w:val="007B368C"/>
    <w:rsid w:val="007B5264"/>
    <w:rsid w:val="007B5387"/>
    <w:rsid w:val="007B5DBD"/>
    <w:rsid w:val="007B5EF2"/>
    <w:rsid w:val="007B5F3C"/>
    <w:rsid w:val="007B63BE"/>
    <w:rsid w:val="007B6EED"/>
    <w:rsid w:val="007B73DE"/>
    <w:rsid w:val="007B7E6A"/>
    <w:rsid w:val="007C1B30"/>
    <w:rsid w:val="007C231F"/>
    <w:rsid w:val="007C2917"/>
    <w:rsid w:val="007C2966"/>
    <w:rsid w:val="007C29AC"/>
    <w:rsid w:val="007C2CB5"/>
    <w:rsid w:val="007C2EC0"/>
    <w:rsid w:val="007C433E"/>
    <w:rsid w:val="007C4900"/>
    <w:rsid w:val="007C4F7B"/>
    <w:rsid w:val="007C589E"/>
    <w:rsid w:val="007C5A78"/>
    <w:rsid w:val="007C6704"/>
    <w:rsid w:val="007C6D1A"/>
    <w:rsid w:val="007C6D31"/>
    <w:rsid w:val="007D030E"/>
    <w:rsid w:val="007D07C1"/>
    <w:rsid w:val="007D0820"/>
    <w:rsid w:val="007D109F"/>
    <w:rsid w:val="007D154C"/>
    <w:rsid w:val="007D187E"/>
    <w:rsid w:val="007D1961"/>
    <w:rsid w:val="007D32E3"/>
    <w:rsid w:val="007D4114"/>
    <w:rsid w:val="007D496B"/>
    <w:rsid w:val="007D4BE3"/>
    <w:rsid w:val="007D4C83"/>
    <w:rsid w:val="007D4D62"/>
    <w:rsid w:val="007D4E35"/>
    <w:rsid w:val="007D5AF6"/>
    <w:rsid w:val="007D5BBF"/>
    <w:rsid w:val="007D684A"/>
    <w:rsid w:val="007D6A05"/>
    <w:rsid w:val="007D72E2"/>
    <w:rsid w:val="007E00C0"/>
    <w:rsid w:val="007E09B1"/>
    <w:rsid w:val="007E1C32"/>
    <w:rsid w:val="007E2912"/>
    <w:rsid w:val="007E3543"/>
    <w:rsid w:val="007E36A2"/>
    <w:rsid w:val="007E3733"/>
    <w:rsid w:val="007E3917"/>
    <w:rsid w:val="007E4434"/>
    <w:rsid w:val="007E5538"/>
    <w:rsid w:val="007E5680"/>
    <w:rsid w:val="007E58DA"/>
    <w:rsid w:val="007E59C8"/>
    <w:rsid w:val="007E5D32"/>
    <w:rsid w:val="007E5E7E"/>
    <w:rsid w:val="007E61FB"/>
    <w:rsid w:val="007E6861"/>
    <w:rsid w:val="007E6A0E"/>
    <w:rsid w:val="007E6BD2"/>
    <w:rsid w:val="007E6FEF"/>
    <w:rsid w:val="007E79E4"/>
    <w:rsid w:val="007E7B86"/>
    <w:rsid w:val="007E7E59"/>
    <w:rsid w:val="007F0467"/>
    <w:rsid w:val="007F0CF4"/>
    <w:rsid w:val="007F1987"/>
    <w:rsid w:val="007F2881"/>
    <w:rsid w:val="007F2E29"/>
    <w:rsid w:val="007F301D"/>
    <w:rsid w:val="007F330F"/>
    <w:rsid w:val="007F55E7"/>
    <w:rsid w:val="007F5E0B"/>
    <w:rsid w:val="007F60BC"/>
    <w:rsid w:val="007F6399"/>
    <w:rsid w:val="007F644B"/>
    <w:rsid w:val="007F6A77"/>
    <w:rsid w:val="007F70D2"/>
    <w:rsid w:val="007F7516"/>
    <w:rsid w:val="00800476"/>
    <w:rsid w:val="0080062C"/>
    <w:rsid w:val="00800AA0"/>
    <w:rsid w:val="00800CF4"/>
    <w:rsid w:val="008012CA"/>
    <w:rsid w:val="00801CB5"/>
    <w:rsid w:val="008029DD"/>
    <w:rsid w:val="008029F9"/>
    <w:rsid w:val="00802AC1"/>
    <w:rsid w:val="00803887"/>
    <w:rsid w:val="008045E4"/>
    <w:rsid w:val="00804C34"/>
    <w:rsid w:val="00804C41"/>
    <w:rsid w:val="00804EA2"/>
    <w:rsid w:val="008051F5"/>
    <w:rsid w:val="0080631E"/>
    <w:rsid w:val="0081008D"/>
    <w:rsid w:val="00810B3F"/>
    <w:rsid w:val="00812C2D"/>
    <w:rsid w:val="00813838"/>
    <w:rsid w:val="00814222"/>
    <w:rsid w:val="008154FD"/>
    <w:rsid w:val="0081556F"/>
    <w:rsid w:val="00815C3E"/>
    <w:rsid w:val="008165BC"/>
    <w:rsid w:val="00816747"/>
    <w:rsid w:val="00816F82"/>
    <w:rsid w:val="00817318"/>
    <w:rsid w:val="008174D0"/>
    <w:rsid w:val="00820569"/>
    <w:rsid w:val="008210EA"/>
    <w:rsid w:val="00822F4E"/>
    <w:rsid w:val="00824385"/>
    <w:rsid w:val="008248A8"/>
    <w:rsid w:val="00824BC9"/>
    <w:rsid w:val="00825B23"/>
    <w:rsid w:val="00825B73"/>
    <w:rsid w:val="00827EDD"/>
    <w:rsid w:val="008301FC"/>
    <w:rsid w:val="00830D1A"/>
    <w:rsid w:val="0083148D"/>
    <w:rsid w:val="00831871"/>
    <w:rsid w:val="008318A5"/>
    <w:rsid w:val="0083302F"/>
    <w:rsid w:val="00833938"/>
    <w:rsid w:val="008345D9"/>
    <w:rsid w:val="00834ADD"/>
    <w:rsid w:val="00834B4D"/>
    <w:rsid w:val="0083662D"/>
    <w:rsid w:val="00836E7B"/>
    <w:rsid w:val="00837FC5"/>
    <w:rsid w:val="0084076C"/>
    <w:rsid w:val="0084089B"/>
    <w:rsid w:val="00840A45"/>
    <w:rsid w:val="00841402"/>
    <w:rsid w:val="0084210F"/>
    <w:rsid w:val="00842658"/>
    <w:rsid w:val="0084444D"/>
    <w:rsid w:val="0084483A"/>
    <w:rsid w:val="00844E0D"/>
    <w:rsid w:val="00845248"/>
    <w:rsid w:val="008452B0"/>
    <w:rsid w:val="008456BF"/>
    <w:rsid w:val="00845E94"/>
    <w:rsid w:val="00851DE0"/>
    <w:rsid w:val="00852845"/>
    <w:rsid w:val="008544FE"/>
    <w:rsid w:val="00855169"/>
    <w:rsid w:val="00856884"/>
    <w:rsid w:val="00856C35"/>
    <w:rsid w:val="00857CFE"/>
    <w:rsid w:val="008604E0"/>
    <w:rsid w:val="00860771"/>
    <w:rsid w:val="00861214"/>
    <w:rsid w:val="00863FD1"/>
    <w:rsid w:val="008647D5"/>
    <w:rsid w:val="00865E33"/>
    <w:rsid w:val="008669C9"/>
    <w:rsid w:val="008673A0"/>
    <w:rsid w:val="008678A4"/>
    <w:rsid w:val="00867E53"/>
    <w:rsid w:val="00870396"/>
    <w:rsid w:val="00870A4D"/>
    <w:rsid w:val="00871639"/>
    <w:rsid w:val="00872B45"/>
    <w:rsid w:val="008741B8"/>
    <w:rsid w:val="0087435F"/>
    <w:rsid w:val="00875499"/>
    <w:rsid w:val="008758CF"/>
    <w:rsid w:val="00875CF5"/>
    <w:rsid w:val="00875E54"/>
    <w:rsid w:val="00876575"/>
    <w:rsid w:val="00877A18"/>
    <w:rsid w:val="00880820"/>
    <w:rsid w:val="00881513"/>
    <w:rsid w:val="00882DC3"/>
    <w:rsid w:val="00882E51"/>
    <w:rsid w:val="00882EAF"/>
    <w:rsid w:val="00883074"/>
    <w:rsid w:val="00883F1E"/>
    <w:rsid w:val="00884726"/>
    <w:rsid w:val="00884832"/>
    <w:rsid w:val="00884AC5"/>
    <w:rsid w:val="008855A8"/>
    <w:rsid w:val="0088619A"/>
    <w:rsid w:val="00887185"/>
    <w:rsid w:val="0088740E"/>
    <w:rsid w:val="00887CD7"/>
    <w:rsid w:val="00887DB5"/>
    <w:rsid w:val="00890D28"/>
    <w:rsid w:val="008910DE"/>
    <w:rsid w:val="0089188A"/>
    <w:rsid w:val="00891C6E"/>
    <w:rsid w:val="00891DFF"/>
    <w:rsid w:val="00892D33"/>
    <w:rsid w:val="0089328E"/>
    <w:rsid w:val="00894F4A"/>
    <w:rsid w:val="00896348"/>
    <w:rsid w:val="008967D1"/>
    <w:rsid w:val="00896B0D"/>
    <w:rsid w:val="00896DAD"/>
    <w:rsid w:val="008A0190"/>
    <w:rsid w:val="008A0310"/>
    <w:rsid w:val="008A1EE7"/>
    <w:rsid w:val="008A5FCC"/>
    <w:rsid w:val="008A6390"/>
    <w:rsid w:val="008A675B"/>
    <w:rsid w:val="008A6964"/>
    <w:rsid w:val="008A69A7"/>
    <w:rsid w:val="008A7541"/>
    <w:rsid w:val="008A7931"/>
    <w:rsid w:val="008A7DDC"/>
    <w:rsid w:val="008A7E85"/>
    <w:rsid w:val="008B1337"/>
    <w:rsid w:val="008B1620"/>
    <w:rsid w:val="008B1C8D"/>
    <w:rsid w:val="008B1E49"/>
    <w:rsid w:val="008B2839"/>
    <w:rsid w:val="008B5653"/>
    <w:rsid w:val="008B608C"/>
    <w:rsid w:val="008B75EC"/>
    <w:rsid w:val="008B7C18"/>
    <w:rsid w:val="008C0452"/>
    <w:rsid w:val="008C0FCB"/>
    <w:rsid w:val="008C13D8"/>
    <w:rsid w:val="008C27D5"/>
    <w:rsid w:val="008C436D"/>
    <w:rsid w:val="008C446E"/>
    <w:rsid w:val="008C5453"/>
    <w:rsid w:val="008C5D11"/>
    <w:rsid w:val="008C5D29"/>
    <w:rsid w:val="008C7421"/>
    <w:rsid w:val="008C749E"/>
    <w:rsid w:val="008C7CA6"/>
    <w:rsid w:val="008C7EA5"/>
    <w:rsid w:val="008D0057"/>
    <w:rsid w:val="008D0333"/>
    <w:rsid w:val="008D077E"/>
    <w:rsid w:val="008D079B"/>
    <w:rsid w:val="008D2442"/>
    <w:rsid w:val="008D29FF"/>
    <w:rsid w:val="008D2C8A"/>
    <w:rsid w:val="008D2E33"/>
    <w:rsid w:val="008D358F"/>
    <w:rsid w:val="008D3764"/>
    <w:rsid w:val="008D450A"/>
    <w:rsid w:val="008D4CC9"/>
    <w:rsid w:val="008D4EE0"/>
    <w:rsid w:val="008D5697"/>
    <w:rsid w:val="008D62EB"/>
    <w:rsid w:val="008D645D"/>
    <w:rsid w:val="008D71E9"/>
    <w:rsid w:val="008D79C1"/>
    <w:rsid w:val="008E050F"/>
    <w:rsid w:val="008E06F3"/>
    <w:rsid w:val="008E3224"/>
    <w:rsid w:val="008E335C"/>
    <w:rsid w:val="008E359A"/>
    <w:rsid w:val="008E37CB"/>
    <w:rsid w:val="008E4C48"/>
    <w:rsid w:val="008E5500"/>
    <w:rsid w:val="008E582D"/>
    <w:rsid w:val="008E6568"/>
    <w:rsid w:val="008E666F"/>
    <w:rsid w:val="008F02F4"/>
    <w:rsid w:val="008F13EC"/>
    <w:rsid w:val="008F1A53"/>
    <w:rsid w:val="008F1F97"/>
    <w:rsid w:val="008F2395"/>
    <w:rsid w:val="008F2EF3"/>
    <w:rsid w:val="008F3144"/>
    <w:rsid w:val="008F4572"/>
    <w:rsid w:val="008F4E58"/>
    <w:rsid w:val="008F54DB"/>
    <w:rsid w:val="008F66BE"/>
    <w:rsid w:val="00902FDB"/>
    <w:rsid w:val="0090389D"/>
    <w:rsid w:val="00903A43"/>
    <w:rsid w:val="00903FE1"/>
    <w:rsid w:val="00904E65"/>
    <w:rsid w:val="00905193"/>
    <w:rsid w:val="0090619E"/>
    <w:rsid w:val="00906E74"/>
    <w:rsid w:val="00907311"/>
    <w:rsid w:val="00907515"/>
    <w:rsid w:val="00910C4F"/>
    <w:rsid w:val="00911213"/>
    <w:rsid w:val="00911A07"/>
    <w:rsid w:val="00912D41"/>
    <w:rsid w:val="00914511"/>
    <w:rsid w:val="009149E6"/>
    <w:rsid w:val="00914FB3"/>
    <w:rsid w:val="009156BA"/>
    <w:rsid w:val="00915A5E"/>
    <w:rsid w:val="00916021"/>
    <w:rsid w:val="009160A6"/>
    <w:rsid w:val="00916E32"/>
    <w:rsid w:val="009178BC"/>
    <w:rsid w:val="00920E5F"/>
    <w:rsid w:val="00921E40"/>
    <w:rsid w:val="00922117"/>
    <w:rsid w:val="009224F6"/>
    <w:rsid w:val="009224FB"/>
    <w:rsid w:val="00922A50"/>
    <w:rsid w:val="009234C7"/>
    <w:rsid w:val="00923647"/>
    <w:rsid w:val="00924AF0"/>
    <w:rsid w:val="00925D25"/>
    <w:rsid w:val="00926829"/>
    <w:rsid w:val="00926BF5"/>
    <w:rsid w:val="00926E43"/>
    <w:rsid w:val="00927471"/>
    <w:rsid w:val="00930417"/>
    <w:rsid w:val="00930C51"/>
    <w:rsid w:val="0093146A"/>
    <w:rsid w:val="00932FD0"/>
    <w:rsid w:val="009332DA"/>
    <w:rsid w:val="00935D74"/>
    <w:rsid w:val="00937490"/>
    <w:rsid w:val="00937933"/>
    <w:rsid w:val="00941499"/>
    <w:rsid w:val="009419C4"/>
    <w:rsid w:val="00941CF7"/>
    <w:rsid w:val="009422EA"/>
    <w:rsid w:val="0094542B"/>
    <w:rsid w:val="00945F6E"/>
    <w:rsid w:val="00946459"/>
    <w:rsid w:val="00947296"/>
    <w:rsid w:val="00947A47"/>
    <w:rsid w:val="00950A55"/>
    <w:rsid w:val="00950B92"/>
    <w:rsid w:val="00950C1C"/>
    <w:rsid w:val="00951193"/>
    <w:rsid w:val="009519A9"/>
    <w:rsid w:val="00952310"/>
    <w:rsid w:val="009523BE"/>
    <w:rsid w:val="00952618"/>
    <w:rsid w:val="0095292D"/>
    <w:rsid w:val="0095296E"/>
    <w:rsid w:val="00952E6F"/>
    <w:rsid w:val="0095316D"/>
    <w:rsid w:val="00953C49"/>
    <w:rsid w:val="00954FB0"/>
    <w:rsid w:val="00956D4B"/>
    <w:rsid w:val="009603C1"/>
    <w:rsid w:val="00960F74"/>
    <w:rsid w:val="009615C2"/>
    <w:rsid w:val="00962052"/>
    <w:rsid w:val="00963949"/>
    <w:rsid w:val="0096478A"/>
    <w:rsid w:val="00965197"/>
    <w:rsid w:val="0096521F"/>
    <w:rsid w:val="0096708F"/>
    <w:rsid w:val="009674A4"/>
    <w:rsid w:val="00967735"/>
    <w:rsid w:val="00967F85"/>
    <w:rsid w:val="00973366"/>
    <w:rsid w:val="00973C81"/>
    <w:rsid w:val="00973E8C"/>
    <w:rsid w:val="00973E90"/>
    <w:rsid w:val="009745E8"/>
    <w:rsid w:val="00975665"/>
    <w:rsid w:val="0097583E"/>
    <w:rsid w:val="00975B3D"/>
    <w:rsid w:val="00975CCE"/>
    <w:rsid w:val="009761A1"/>
    <w:rsid w:val="00976249"/>
    <w:rsid w:val="00980651"/>
    <w:rsid w:val="00980A7B"/>
    <w:rsid w:val="00983423"/>
    <w:rsid w:val="00984CBE"/>
    <w:rsid w:val="00985598"/>
    <w:rsid w:val="00985804"/>
    <w:rsid w:val="0098584E"/>
    <w:rsid w:val="009859FE"/>
    <w:rsid w:val="00986AE5"/>
    <w:rsid w:val="00990AC1"/>
    <w:rsid w:val="00990B88"/>
    <w:rsid w:val="00990DC6"/>
    <w:rsid w:val="009918A6"/>
    <w:rsid w:val="009943CB"/>
    <w:rsid w:val="00994CDC"/>
    <w:rsid w:val="00995019"/>
    <w:rsid w:val="00995AE2"/>
    <w:rsid w:val="00996BC7"/>
    <w:rsid w:val="00996DD1"/>
    <w:rsid w:val="009A00A7"/>
    <w:rsid w:val="009A034F"/>
    <w:rsid w:val="009A0FAB"/>
    <w:rsid w:val="009A16A0"/>
    <w:rsid w:val="009A1909"/>
    <w:rsid w:val="009A24B1"/>
    <w:rsid w:val="009A3562"/>
    <w:rsid w:val="009A3B94"/>
    <w:rsid w:val="009A40C2"/>
    <w:rsid w:val="009A51C7"/>
    <w:rsid w:val="009A5731"/>
    <w:rsid w:val="009A6AC2"/>
    <w:rsid w:val="009A7088"/>
    <w:rsid w:val="009A7791"/>
    <w:rsid w:val="009B08C9"/>
    <w:rsid w:val="009B0D45"/>
    <w:rsid w:val="009B0D7E"/>
    <w:rsid w:val="009B1272"/>
    <w:rsid w:val="009B15EC"/>
    <w:rsid w:val="009B1F10"/>
    <w:rsid w:val="009B2566"/>
    <w:rsid w:val="009B272F"/>
    <w:rsid w:val="009B27D9"/>
    <w:rsid w:val="009B2829"/>
    <w:rsid w:val="009B344E"/>
    <w:rsid w:val="009B4541"/>
    <w:rsid w:val="009B5233"/>
    <w:rsid w:val="009B52A8"/>
    <w:rsid w:val="009B5846"/>
    <w:rsid w:val="009B7B8E"/>
    <w:rsid w:val="009C0CE2"/>
    <w:rsid w:val="009C1A5B"/>
    <w:rsid w:val="009C210A"/>
    <w:rsid w:val="009C26BF"/>
    <w:rsid w:val="009C2F07"/>
    <w:rsid w:val="009C3C54"/>
    <w:rsid w:val="009C3DD1"/>
    <w:rsid w:val="009C5649"/>
    <w:rsid w:val="009C638B"/>
    <w:rsid w:val="009C66E6"/>
    <w:rsid w:val="009C67B4"/>
    <w:rsid w:val="009C6990"/>
    <w:rsid w:val="009C715C"/>
    <w:rsid w:val="009D02D8"/>
    <w:rsid w:val="009D12E2"/>
    <w:rsid w:val="009D14F4"/>
    <w:rsid w:val="009D1696"/>
    <w:rsid w:val="009D2528"/>
    <w:rsid w:val="009D2F3E"/>
    <w:rsid w:val="009D2F83"/>
    <w:rsid w:val="009D3D5F"/>
    <w:rsid w:val="009D3F69"/>
    <w:rsid w:val="009D55D8"/>
    <w:rsid w:val="009D5E9E"/>
    <w:rsid w:val="009D74F9"/>
    <w:rsid w:val="009E1600"/>
    <w:rsid w:val="009E1FE9"/>
    <w:rsid w:val="009E211D"/>
    <w:rsid w:val="009E2336"/>
    <w:rsid w:val="009E2954"/>
    <w:rsid w:val="009E3516"/>
    <w:rsid w:val="009E5917"/>
    <w:rsid w:val="009E65D2"/>
    <w:rsid w:val="009E66FE"/>
    <w:rsid w:val="009E6756"/>
    <w:rsid w:val="009E6FC8"/>
    <w:rsid w:val="009E7B2F"/>
    <w:rsid w:val="009F055C"/>
    <w:rsid w:val="009F06CC"/>
    <w:rsid w:val="009F0813"/>
    <w:rsid w:val="009F0CE2"/>
    <w:rsid w:val="009F1185"/>
    <w:rsid w:val="009F1266"/>
    <w:rsid w:val="009F18FE"/>
    <w:rsid w:val="009F19F2"/>
    <w:rsid w:val="009F266F"/>
    <w:rsid w:val="009F33BC"/>
    <w:rsid w:val="009F51DC"/>
    <w:rsid w:val="009F5807"/>
    <w:rsid w:val="009F63A0"/>
    <w:rsid w:val="009F68FC"/>
    <w:rsid w:val="009F6ED9"/>
    <w:rsid w:val="009F70D8"/>
    <w:rsid w:val="009F757D"/>
    <w:rsid w:val="00A01B37"/>
    <w:rsid w:val="00A03301"/>
    <w:rsid w:val="00A033DC"/>
    <w:rsid w:val="00A03639"/>
    <w:rsid w:val="00A04024"/>
    <w:rsid w:val="00A04233"/>
    <w:rsid w:val="00A04B97"/>
    <w:rsid w:val="00A057D1"/>
    <w:rsid w:val="00A0670E"/>
    <w:rsid w:val="00A06FE8"/>
    <w:rsid w:val="00A0710B"/>
    <w:rsid w:val="00A07847"/>
    <w:rsid w:val="00A1031A"/>
    <w:rsid w:val="00A103AB"/>
    <w:rsid w:val="00A10A2F"/>
    <w:rsid w:val="00A12954"/>
    <w:rsid w:val="00A12BBF"/>
    <w:rsid w:val="00A13AA1"/>
    <w:rsid w:val="00A13EB2"/>
    <w:rsid w:val="00A1457C"/>
    <w:rsid w:val="00A14D98"/>
    <w:rsid w:val="00A16654"/>
    <w:rsid w:val="00A176CC"/>
    <w:rsid w:val="00A17B7F"/>
    <w:rsid w:val="00A230E6"/>
    <w:rsid w:val="00A236E1"/>
    <w:rsid w:val="00A23793"/>
    <w:rsid w:val="00A23996"/>
    <w:rsid w:val="00A25D1F"/>
    <w:rsid w:val="00A26C9A"/>
    <w:rsid w:val="00A2728D"/>
    <w:rsid w:val="00A27505"/>
    <w:rsid w:val="00A27ED9"/>
    <w:rsid w:val="00A30751"/>
    <w:rsid w:val="00A309F9"/>
    <w:rsid w:val="00A310B3"/>
    <w:rsid w:val="00A312D1"/>
    <w:rsid w:val="00A313ED"/>
    <w:rsid w:val="00A315F4"/>
    <w:rsid w:val="00A32721"/>
    <w:rsid w:val="00A343F7"/>
    <w:rsid w:val="00A34729"/>
    <w:rsid w:val="00A3503A"/>
    <w:rsid w:val="00A3669A"/>
    <w:rsid w:val="00A369AF"/>
    <w:rsid w:val="00A3759D"/>
    <w:rsid w:val="00A37617"/>
    <w:rsid w:val="00A40736"/>
    <w:rsid w:val="00A42267"/>
    <w:rsid w:val="00A4295F"/>
    <w:rsid w:val="00A42B47"/>
    <w:rsid w:val="00A42BDE"/>
    <w:rsid w:val="00A4317E"/>
    <w:rsid w:val="00A43E6A"/>
    <w:rsid w:val="00A44A97"/>
    <w:rsid w:val="00A50B69"/>
    <w:rsid w:val="00A527BC"/>
    <w:rsid w:val="00A52C3D"/>
    <w:rsid w:val="00A53305"/>
    <w:rsid w:val="00A5350D"/>
    <w:rsid w:val="00A53F21"/>
    <w:rsid w:val="00A53FE0"/>
    <w:rsid w:val="00A540AC"/>
    <w:rsid w:val="00A544E8"/>
    <w:rsid w:val="00A57522"/>
    <w:rsid w:val="00A5789D"/>
    <w:rsid w:val="00A57C7C"/>
    <w:rsid w:val="00A60B21"/>
    <w:rsid w:val="00A632AC"/>
    <w:rsid w:val="00A634DF"/>
    <w:rsid w:val="00A64E2F"/>
    <w:rsid w:val="00A64FD8"/>
    <w:rsid w:val="00A650BE"/>
    <w:rsid w:val="00A652EA"/>
    <w:rsid w:val="00A65DC5"/>
    <w:rsid w:val="00A67278"/>
    <w:rsid w:val="00A67357"/>
    <w:rsid w:val="00A6770D"/>
    <w:rsid w:val="00A70299"/>
    <w:rsid w:val="00A7155B"/>
    <w:rsid w:val="00A71C4C"/>
    <w:rsid w:val="00A71E9D"/>
    <w:rsid w:val="00A725C8"/>
    <w:rsid w:val="00A73BA4"/>
    <w:rsid w:val="00A73F3B"/>
    <w:rsid w:val="00A7475E"/>
    <w:rsid w:val="00A75354"/>
    <w:rsid w:val="00A755F9"/>
    <w:rsid w:val="00A758A3"/>
    <w:rsid w:val="00A801B5"/>
    <w:rsid w:val="00A816B7"/>
    <w:rsid w:val="00A81BE7"/>
    <w:rsid w:val="00A824D8"/>
    <w:rsid w:val="00A83B23"/>
    <w:rsid w:val="00A84F1C"/>
    <w:rsid w:val="00A84FE6"/>
    <w:rsid w:val="00A85855"/>
    <w:rsid w:val="00A8671C"/>
    <w:rsid w:val="00A86A83"/>
    <w:rsid w:val="00A86CE7"/>
    <w:rsid w:val="00A87AEC"/>
    <w:rsid w:val="00A90B5C"/>
    <w:rsid w:val="00A92BC9"/>
    <w:rsid w:val="00A945EF"/>
    <w:rsid w:val="00A9562A"/>
    <w:rsid w:val="00A966A0"/>
    <w:rsid w:val="00A96734"/>
    <w:rsid w:val="00A974AE"/>
    <w:rsid w:val="00AA02F2"/>
    <w:rsid w:val="00AA1722"/>
    <w:rsid w:val="00AA2A68"/>
    <w:rsid w:val="00AA2DF4"/>
    <w:rsid w:val="00AA2EE0"/>
    <w:rsid w:val="00AA3969"/>
    <w:rsid w:val="00AA3C75"/>
    <w:rsid w:val="00AA3D12"/>
    <w:rsid w:val="00AA3F61"/>
    <w:rsid w:val="00AA4820"/>
    <w:rsid w:val="00AA4F41"/>
    <w:rsid w:val="00AA50AC"/>
    <w:rsid w:val="00AA5249"/>
    <w:rsid w:val="00AA6D7C"/>
    <w:rsid w:val="00AA7B88"/>
    <w:rsid w:val="00AB0147"/>
    <w:rsid w:val="00AB3831"/>
    <w:rsid w:val="00AB4B9D"/>
    <w:rsid w:val="00AB4DCC"/>
    <w:rsid w:val="00AB4FB3"/>
    <w:rsid w:val="00AB5235"/>
    <w:rsid w:val="00AB5273"/>
    <w:rsid w:val="00AB6557"/>
    <w:rsid w:val="00AB6D31"/>
    <w:rsid w:val="00AB70E0"/>
    <w:rsid w:val="00AB7757"/>
    <w:rsid w:val="00AB79EE"/>
    <w:rsid w:val="00AC00FE"/>
    <w:rsid w:val="00AC06A9"/>
    <w:rsid w:val="00AC15BF"/>
    <w:rsid w:val="00AC2BB5"/>
    <w:rsid w:val="00AC35E3"/>
    <w:rsid w:val="00AC3EDF"/>
    <w:rsid w:val="00AC3F3D"/>
    <w:rsid w:val="00AC4901"/>
    <w:rsid w:val="00AC5136"/>
    <w:rsid w:val="00AC5326"/>
    <w:rsid w:val="00AC7C79"/>
    <w:rsid w:val="00AC7E7A"/>
    <w:rsid w:val="00AD0184"/>
    <w:rsid w:val="00AD1C47"/>
    <w:rsid w:val="00AD1EC1"/>
    <w:rsid w:val="00AD1F10"/>
    <w:rsid w:val="00AD20B1"/>
    <w:rsid w:val="00AD397F"/>
    <w:rsid w:val="00AD3C46"/>
    <w:rsid w:val="00AD4EB0"/>
    <w:rsid w:val="00AD5332"/>
    <w:rsid w:val="00AD618E"/>
    <w:rsid w:val="00AD623F"/>
    <w:rsid w:val="00AD6470"/>
    <w:rsid w:val="00AD69D1"/>
    <w:rsid w:val="00AD719E"/>
    <w:rsid w:val="00AD7EC1"/>
    <w:rsid w:val="00AE006C"/>
    <w:rsid w:val="00AE1712"/>
    <w:rsid w:val="00AE1F1C"/>
    <w:rsid w:val="00AE2F66"/>
    <w:rsid w:val="00AE3269"/>
    <w:rsid w:val="00AE4775"/>
    <w:rsid w:val="00AE5BD5"/>
    <w:rsid w:val="00AE68A7"/>
    <w:rsid w:val="00AF0EB1"/>
    <w:rsid w:val="00AF1382"/>
    <w:rsid w:val="00AF1BA5"/>
    <w:rsid w:val="00AF1CBA"/>
    <w:rsid w:val="00AF212F"/>
    <w:rsid w:val="00AF3D1A"/>
    <w:rsid w:val="00AF414B"/>
    <w:rsid w:val="00AF5E75"/>
    <w:rsid w:val="00AF6117"/>
    <w:rsid w:val="00AF65B8"/>
    <w:rsid w:val="00AF6EC5"/>
    <w:rsid w:val="00B0011B"/>
    <w:rsid w:val="00B0091B"/>
    <w:rsid w:val="00B00D34"/>
    <w:rsid w:val="00B0218D"/>
    <w:rsid w:val="00B029EB"/>
    <w:rsid w:val="00B02C6E"/>
    <w:rsid w:val="00B02D89"/>
    <w:rsid w:val="00B02F5A"/>
    <w:rsid w:val="00B05536"/>
    <w:rsid w:val="00B06740"/>
    <w:rsid w:val="00B10623"/>
    <w:rsid w:val="00B1071D"/>
    <w:rsid w:val="00B10F1E"/>
    <w:rsid w:val="00B1133A"/>
    <w:rsid w:val="00B114B6"/>
    <w:rsid w:val="00B11F0B"/>
    <w:rsid w:val="00B120B8"/>
    <w:rsid w:val="00B12535"/>
    <w:rsid w:val="00B12F93"/>
    <w:rsid w:val="00B13A84"/>
    <w:rsid w:val="00B13E85"/>
    <w:rsid w:val="00B143F2"/>
    <w:rsid w:val="00B15128"/>
    <w:rsid w:val="00B15935"/>
    <w:rsid w:val="00B177AD"/>
    <w:rsid w:val="00B21420"/>
    <w:rsid w:val="00B21546"/>
    <w:rsid w:val="00B22639"/>
    <w:rsid w:val="00B22F2C"/>
    <w:rsid w:val="00B23CF9"/>
    <w:rsid w:val="00B24F95"/>
    <w:rsid w:val="00B257A5"/>
    <w:rsid w:val="00B263E3"/>
    <w:rsid w:val="00B27020"/>
    <w:rsid w:val="00B30DA4"/>
    <w:rsid w:val="00B31300"/>
    <w:rsid w:val="00B3145A"/>
    <w:rsid w:val="00B31472"/>
    <w:rsid w:val="00B315BC"/>
    <w:rsid w:val="00B32951"/>
    <w:rsid w:val="00B32A38"/>
    <w:rsid w:val="00B332D2"/>
    <w:rsid w:val="00B33911"/>
    <w:rsid w:val="00B3412D"/>
    <w:rsid w:val="00B35A10"/>
    <w:rsid w:val="00B35E23"/>
    <w:rsid w:val="00B36729"/>
    <w:rsid w:val="00B3679D"/>
    <w:rsid w:val="00B40143"/>
    <w:rsid w:val="00B408FF"/>
    <w:rsid w:val="00B41216"/>
    <w:rsid w:val="00B4172F"/>
    <w:rsid w:val="00B434D2"/>
    <w:rsid w:val="00B43B32"/>
    <w:rsid w:val="00B44EEF"/>
    <w:rsid w:val="00B45579"/>
    <w:rsid w:val="00B45E15"/>
    <w:rsid w:val="00B46675"/>
    <w:rsid w:val="00B46715"/>
    <w:rsid w:val="00B46772"/>
    <w:rsid w:val="00B46E28"/>
    <w:rsid w:val="00B47E3D"/>
    <w:rsid w:val="00B47FE1"/>
    <w:rsid w:val="00B503B0"/>
    <w:rsid w:val="00B51F3C"/>
    <w:rsid w:val="00B52E14"/>
    <w:rsid w:val="00B538C7"/>
    <w:rsid w:val="00B544D0"/>
    <w:rsid w:val="00B55D90"/>
    <w:rsid w:val="00B57A90"/>
    <w:rsid w:val="00B57D79"/>
    <w:rsid w:val="00B57E06"/>
    <w:rsid w:val="00B57E86"/>
    <w:rsid w:val="00B61670"/>
    <w:rsid w:val="00B61E7F"/>
    <w:rsid w:val="00B622D0"/>
    <w:rsid w:val="00B6275C"/>
    <w:rsid w:val="00B63388"/>
    <w:rsid w:val="00B63BBE"/>
    <w:rsid w:val="00B63F89"/>
    <w:rsid w:val="00B64163"/>
    <w:rsid w:val="00B643DD"/>
    <w:rsid w:val="00B64ABF"/>
    <w:rsid w:val="00B64D24"/>
    <w:rsid w:val="00B65E2B"/>
    <w:rsid w:val="00B66594"/>
    <w:rsid w:val="00B670D6"/>
    <w:rsid w:val="00B700D4"/>
    <w:rsid w:val="00B70C54"/>
    <w:rsid w:val="00B71719"/>
    <w:rsid w:val="00B719CB"/>
    <w:rsid w:val="00B71AB2"/>
    <w:rsid w:val="00B722C7"/>
    <w:rsid w:val="00B729C5"/>
    <w:rsid w:val="00B73D76"/>
    <w:rsid w:val="00B74155"/>
    <w:rsid w:val="00B755C2"/>
    <w:rsid w:val="00B763E9"/>
    <w:rsid w:val="00B769A9"/>
    <w:rsid w:val="00B76D2D"/>
    <w:rsid w:val="00B76F01"/>
    <w:rsid w:val="00B77459"/>
    <w:rsid w:val="00B77D75"/>
    <w:rsid w:val="00B80109"/>
    <w:rsid w:val="00B813F5"/>
    <w:rsid w:val="00B8177E"/>
    <w:rsid w:val="00B8184F"/>
    <w:rsid w:val="00B82A51"/>
    <w:rsid w:val="00B83D45"/>
    <w:rsid w:val="00B83DFB"/>
    <w:rsid w:val="00B83E09"/>
    <w:rsid w:val="00B844D7"/>
    <w:rsid w:val="00B84617"/>
    <w:rsid w:val="00B8522E"/>
    <w:rsid w:val="00B852FB"/>
    <w:rsid w:val="00B86021"/>
    <w:rsid w:val="00B87757"/>
    <w:rsid w:val="00B87A4B"/>
    <w:rsid w:val="00B90750"/>
    <w:rsid w:val="00B9090C"/>
    <w:rsid w:val="00B9093A"/>
    <w:rsid w:val="00B90DF6"/>
    <w:rsid w:val="00B915F4"/>
    <w:rsid w:val="00B923C2"/>
    <w:rsid w:val="00B93522"/>
    <w:rsid w:val="00B94B17"/>
    <w:rsid w:val="00B95DE4"/>
    <w:rsid w:val="00B96B5F"/>
    <w:rsid w:val="00B96D8F"/>
    <w:rsid w:val="00B9702F"/>
    <w:rsid w:val="00B97574"/>
    <w:rsid w:val="00B97C12"/>
    <w:rsid w:val="00BA06BB"/>
    <w:rsid w:val="00BA125D"/>
    <w:rsid w:val="00BA18A7"/>
    <w:rsid w:val="00BA1F0F"/>
    <w:rsid w:val="00BA2C45"/>
    <w:rsid w:val="00BA2F9F"/>
    <w:rsid w:val="00BA3016"/>
    <w:rsid w:val="00BA317E"/>
    <w:rsid w:val="00BA389F"/>
    <w:rsid w:val="00BA464D"/>
    <w:rsid w:val="00BA4FD4"/>
    <w:rsid w:val="00BA522C"/>
    <w:rsid w:val="00BA5CD5"/>
    <w:rsid w:val="00BA62EF"/>
    <w:rsid w:val="00BA6D86"/>
    <w:rsid w:val="00BA6DB1"/>
    <w:rsid w:val="00BB003E"/>
    <w:rsid w:val="00BB0A32"/>
    <w:rsid w:val="00BB1C89"/>
    <w:rsid w:val="00BB20C5"/>
    <w:rsid w:val="00BB3966"/>
    <w:rsid w:val="00BB4493"/>
    <w:rsid w:val="00BB59E0"/>
    <w:rsid w:val="00BB6009"/>
    <w:rsid w:val="00BB726C"/>
    <w:rsid w:val="00BB7A15"/>
    <w:rsid w:val="00BB7DE3"/>
    <w:rsid w:val="00BC0115"/>
    <w:rsid w:val="00BC080F"/>
    <w:rsid w:val="00BC113B"/>
    <w:rsid w:val="00BC1D20"/>
    <w:rsid w:val="00BC240E"/>
    <w:rsid w:val="00BC253F"/>
    <w:rsid w:val="00BC25DE"/>
    <w:rsid w:val="00BC2821"/>
    <w:rsid w:val="00BC2A7C"/>
    <w:rsid w:val="00BC304D"/>
    <w:rsid w:val="00BC32AF"/>
    <w:rsid w:val="00BC43D5"/>
    <w:rsid w:val="00BC4A2B"/>
    <w:rsid w:val="00BC5B8B"/>
    <w:rsid w:val="00BC688C"/>
    <w:rsid w:val="00BC7EC8"/>
    <w:rsid w:val="00BC7FF1"/>
    <w:rsid w:val="00BD0EA4"/>
    <w:rsid w:val="00BD1E59"/>
    <w:rsid w:val="00BD22A7"/>
    <w:rsid w:val="00BD3BAE"/>
    <w:rsid w:val="00BD6684"/>
    <w:rsid w:val="00BD741A"/>
    <w:rsid w:val="00BD74D2"/>
    <w:rsid w:val="00BD7DE1"/>
    <w:rsid w:val="00BE04E1"/>
    <w:rsid w:val="00BE0686"/>
    <w:rsid w:val="00BE09DD"/>
    <w:rsid w:val="00BE0B05"/>
    <w:rsid w:val="00BE0CE1"/>
    <w:rsid w:val="00BE1D1C"/>
    <w:rsid w:val="00BE2B46"/>
    <w:rsid w:val="00BE2EF9"/>
    <w:rsid w:val="00BE3620"/>
    <w:rsid w:val="00BE38C7"/>
    <w:rsid w:val="00BE395C"/>
    <w:rsid w:val="00BE4302"/>
    <w:rsid w:val="00BE4A21"/>
    <w:rsid w:val="00BE4C0B"/>
    <w:rsid w:val="00BE54D4"/>
    <w:rsid w:val="00BE69DD"/>
    <w:rsid w:val="00BE6C45"/>
    <w:rsid w:val="00BE6F39"/>
    <w:rsid w:val="00BF125F"/>
    <w:rsid w:val="00BF1416"/>
    <w:rsid w:val="00BF2225"/>
    <w:rsid w:val="00BF2BA5"/>
    <w:rsid w:val="00BF6206"/>
    <w:rsid w:val="00BF7BB6"/>
    <w:rsid w:val="00BF7D6C"/>
    <w:rsid w:val="00C0049D"/>
    <w:rsid w:val="00C00AB4"/>
    <w:rsid w:val="00C018A1"/>
    <w:rsid w:val="00C01C4B"/>
    <w:rsid w:val="00C02616"/>
    <w:rsid w:val="00C02C0E"/>
    <w:rsid w:val="00C02EB8"/>
    <w:rsid w:val="00C033D4"/>
    <w:rsid w:val="00C03BF6"/>
    <w:rsid w:val="00C04388"/>
    <w:rsid w:val="00C05A66"/>
    <w:rsid w:val="00C05BE5"/>
    <w:rsid w:val="00C0654D"/>
    <w:rsid w:val="00C072C8"/>
    <w:rsid w:val="00C07DB1"/>
    <w:rsid w:val="00C10FDA"/>
    <w:rsid w:val="00C125B8"/>
    <w:rsid w:val="00C128DB"/>
    <w:rsid w:val="00C12BB8"/>
    <w:rsid w:val="00C1307E"/>
    <w:rsid w:val="00C13E1C"/>
    <w:rsid w:val="00C1573C"/>
    <w:rsid w:val="00C16F15"/>
    <w:rsid w:val="00C20753"/>
    <w:rsid w:val="00C210A9"/>
    <w:rsid w:val="00C2141E"/>
    <w:rsid w:val="00C2279D"/>
    <w:rsid w:val="00C237D2"/>
    <w:rsid w:val="00C24CB4"/>
    <w:rsid w:val="00C2748E"/>
    <w:rsid w:val="00C303AA"/>
    <w:rsid w:val="00C30918"/>
    <w:rsid w:val="00C3091D"/>
    <w:rsid w:val="00C31C8C"/>
    <w:rsid w:val="00C3236C"/>
    <w:rsid w:val="00C32DED"/>
    <w:rsid w:val="00C33195"/>
    <w:rsid w:val="00C341CC"/>
    <w:rsid w:val="00C34673"/>
    <w:rsid w:val="00C3645D"/>
    <w:rsid w:val="00C367AB"/>
    <w:rsid w:val="00C40420"/>
    <w:rsid w:val="00C409A7"/>
    <w:rsid w:val="00C410E5"/>
    <w:rsid w:val="00C418CC"/>
    <w:rsid w:val="00C41E2C"/>
    <w:rsid w:val="00C42AE3"/>
    <w:rsid w:val="00C42F52"/>
    <w:rsid w:val="00C43AA7"/>
    <w:rsid w:val="00C4449F"/>
    <w:rsid w:val="00C447F5"/>
    <w:rsid w:val="00C44AA7"/>
    <w:rsid w:val="00C44EC7"/>
    <w:rsid w:val="00C47D8B"/>
    <w:rsid w:val="00C5206C"/>
    <w:rsid w:val="00C534F6"/>
    <w:rsid w:val="00C54D20"/>
    <w:rsid w:val="00C55306"/>
    <w:rsid w:val="00C55AC1"/>
    <w:rsid w:val="00C57210"/>
    <w:rsid w:val="00C5741D"/>
    <w:rsid w:val="00C60172"/>
    <w:rsid w:val="00C6176B"/>
    <w:rsid w:val="00C6324E"/>
    <w:rsid w:val="00C66282"/>
    <w:rsid w:val="00C67560"/>
    <w:rsid w:val="00C67791"/>
    <w:rsid w:val="00C67912"/>
    <w:rsid w:val="00C7106D"/>
    <w:rsid w:val="00C71B77"/>
    <w:rsid w:val="00C71FF6"/>
    <w:rsid w:val="00C7268F"/>
    <w:rsid w:val="00C74656"/>
    <w:rsid w:val="00C7476A"/>
    <w:rsid w:val="00C7524B"/>
    <w:rsid w:val="00C753DD"/>
    <w:rsid w:val="00C75DD4"/>
    <w:rsid w:val="00C76314"/>
    <w:rsid w:val="00C766A7"/>
    <w:rsid w:val="00C76B3E"/>
    <w:rsid w:val="00C7722D"/>
    <w:rsid w:val="00C77342"/>
    <w:rsid w:val="00C775F2"/>
    <w:rsid w:val="00C77D1D"/>
    <w:rsid w:val="00C8057A"/>
    <w:rsid w:val="00C80FB1"/>
    <w:rsid w:val="00C822F2"/>
    <w:rsid w:val="00C82D86"/>
    <w:rsid w:val="00C85AE3"/>
    <w:rsid w:val="00C86399"/>
    <w:rsid w:val="00C864D7"/>
    <w:rsid w:val="00C86A52"/>
    <w:rsid w:val="00C86A78"/>
    <w:rsid w:val="00C86DF7"/>
    <w:rsid w:val="00C901EC"/>
    <w:rsid w:val="00C90B84"/>
    <w:rsid w:val="00C9121F"/>
    <w:rsid w:val="00C91385"/>
    <w:rsid w:val="00C92BC2"/>
    <w:rsid w:val="00C92CE6"/>
    <w:rsid w:val="00C945C4"/>
    <w:rsid w:val="00C94D66"/>
    <w:rsid w:val="00C94D88"/>
    <w:rsid w:val="00C95977"/>
    <w:rsid w:val="00C95EAC"/>
    <w:rsid w:val="00C96004"/>
    <w:rsid w:val="00C96F8B"/>
    <w:rsid w:val="00C97020"/>
    <w:rsid w:val="00C970A3"/>
    <w:rsid w:val="00C97345"/>
    <w:rsid w:val="00C973E4"/>
    <w:rsid w:val="00CA0F7B"/>
    <w:rsid w:val="00CA2E0B"/>
    <w:rsid w:val="00CA391B"/>
    <w:rsid w:val="00CA3A1B"/>
    <w:rsid w:val="00CA3B08"/>
    <w:rsid w:val="00CA3FB8"/>
    <w:rsid w:val="00CA408A"/>
    <w:rsid w:val="00CA4761"/>
    <w:rsid w:val="00CA4FCC"/>
    <w:rsid w:val="00CA5D03"/>
    <w:rsid w:val="00CA6550"/>
    <w:rsid w:val="00CA6955"/>
    <w:rsid w:val="00CA7F46"/>
    <w:rsid w:val="00CB10BF"/>
    <w:rsid w:val="00CB1200"/>
    <w:rsid w:val="00CB2272"/>
    <w:rsid w:val="00CB26E3"/>
    <w:rsid w:val="00CB2D40"/>
    <w:rsid w:val="00CB30D5"/>
    <w:rsid w:val="00CB38AD"/>
    <w:rsid w:val="00CB3C08"/>
    <w:rsid w:val="00CB4B05"/>
    <w:rsid w:val="00CB4C38"/>
    <w:rsid w:val="00CB5CD6"/>
    <w:rsid w:val="00CB5DA5"/>
    <w:rsid w:val="00CB677E"/>
    <w:rsid w:val="00CC1759"/>
    <w:rsid w:val="00CC20CD"/>
    <w:rsid w:val="00CC2637"/>
    <w:rsid w:val="00CC29BE"/>
    <w:rsid w:val="00CC3607"/>
    <w:rsid w:val="00CC47CC"/>
    <w:rsid w:val="00CC48C3"/>
    <w:rsid w:val="00CC50CF"/>
    <w:rsid w:val="00CC56FC"/>
    <w:rsid w:val="00CC605A"/>
    <w:rsid w:val="00CC6457"/>
    <w:rsid w:val="00CC66E8"/>
    <w:rsid w:val="00CC6D2C"/>
    <w:rsid w:val="00CD085F"/>
    <w:rsid w:val="00CD13E1"/>
    <w:rsid w:val="00CD1529"/>
    <w:rsid w:val="00CD1710"/>
    <w:rsid w:val="00CD19C0"/>
    <w:rsid w:val="00CD33AE"/>
    <w:rsid w:val="00CD37D3"/>
    <w:rsid w:val="00CD3E7F"/>
    <w:rsid w:val="00CD5A2A"/>
    <w:rsid w:val="00CD688C"/>
    <w:rsid w:val="00CD6DD5"/>
    <w:rsid w:val="00CD76C0"/>
    <w:rsid w:val="00CE1221"/>
    <w:rsid w:val="00CE1290"/>
    <w:rsid w:val="00CE1479"/>
    <w:rsid w:val="00CE179E"/>
    <w:rsid w:val="00CE1E1C"/>
    <w:rsid w:val="00CE21FF"/>
    <w:rsid w:val="00CE24D3"/>
    <w:rsid w:val="00CE2EE6"/>
    <w:rsid w:val="00CE38A1"/>
    <w:rsid w:val="00CE5330"/>
    <w:rsid w:val="00CE58A4"/>
    <w:rsid w:val="00CF007F"/>
    <w:rsid w:val="00CF0E6D"/>
    <w:rsid w:val="00CF11A0"/>
    <w:rsid w:val="00CF202C"/>
    <w:rsid w:val="00CF214E"/>
    <w:rsid w:val="00CF2241"/>
    <w:rsid w:val="00CF2CFF"/>
    <w:rsid w:val="00CF31A4"/>
    <w:rsid w:val="00CF3E8E"/>
    <w:rsid w:val="00CF4218"/>
    <w:rsid w:val="00CF4549"/>
    <w:rsid w:val="00CF6144"/>
    <w:rsid w:val="00CF6B56"/>
    <w:rsid w:val="00CF70E2"/>
    <w:rsid w:val="00D00D06"/>
    <w:rsid w:val="00D015A1"/>
    <w:rsid w:val="00D01F98"/>
    <w:rsid w:val="00D02C95"/>
    <w:rsid w:val="00D02E7C"/>
    <w:rsid w:val="00D03179"/>
    <w:rsid w:val="00D035E5"/>
    <w:rsid w:val="00D03C2B"/>
    <w:rsid w:val="00D040E8"/>
    <w:rsid w:val="00D050B9"/>
    <w:rsid w:val="00D05B6F"/>
    <w:rsid w:val="00D06256"/>
    <w:rsid w:val="00D063BA"/>
    <w:rsid w:val="00D07DBC"/>
    <w:rsid w:val="00D114D0"/>
    <w:rsid w:val="00D12C8E"/>
    <w:rsid w:val="00D12D3F"/>
    <w:rsid w:val="00D12E5B"/>
    <w:rsid w:val="00D14A02"/>
    <w:rsid w:val="00D14D97"/>
    <w:rsid w:val="00D1547F"/>
    <w:rsid w:val="00D159E7"/>
    <w:rsid w:val="00D15A6D"/>
    <w:rsid w:val="00D169BF"/>
    <w:rsid w:val="00D17CD5"/>
    <w:rsid w:val="00D17D03"/>
    <w:rsid w:val="00D207BA"/>
    <w:rsid w:val="00D2083B"/>
    <w:rsid w:val="00D2191C"/>
    <w:rsid w:val="00D22A95"/>
    <w:rsid w:val="00D23607"/>
    <w:rsid w:val="00D24E4B"/>
    <w:rsid w:val="00D2516E"/>
    <w:rsid w:val="00D25C73"/>
    <w:rsid w:val="00D26ED6"/>
    <w:rsid w:val="00D273C6"/>
    <w:rsid w:val="00D27AAD"/>
    <w:rsid w:val="00D300E3"/>
    <w:rsid w:val="00D33717"/>
    <w:rsid w:val="00D337F5"/>
    <w:rsid w:val="00D34C2C"/>
    <w:rsid w:val="00D35879"/>
    <w:rsid w:val="00D36030"/>
    <w:rsid w:val="00D367A2"/>
    <w:rsid w:val="00D36975"/>
    <w:rsid w:val="00D3699B"/>
    <w:rsid w:val="00D36C0A"/>
    <w:rsid w:val="00D36F49"/>
    <w:rsid w:val="00D40356"/>
    <w:rsid w:val="00D418A9"/>
    <w:rsid w:val="00D419D2"/>
    <w:rsid w:val="00D4231A"/>
    <w:rsid w:val="00D42DC6"/>
    <w:rsid w:val="00D437E2"/>
    <w:rsid w:val="00D438D6"/>
    <w:rsid w:val="00D43CE2"/>
    <w:rsid w:val="00D445E9"/>
    <w:rsid w:val="00D44964"/>
    <w:rsid w:val="00D44C80"/>
    <w:rsid w:val="00D452D0"/>
    <w:rsid w:val="00D46A18"/>
    <w:rsid w:val="00D46ECB"/>
    <w:rsid w:val="00D47007"/>
    <w:rsid w:val="00D5051B"/>
    <w:rsid w:val="00D50C86"/>
    <w:rsid w:val="00D50E8C"/>
    <w:rsid w:val="00D51ECA"/>
    <w:rsid w:val="00D52411"/>
    <w:rsid w:val="00D52B25"/>
    <w:rsid w:val="00D54BDC"/>
    <w:rsid w:val="00D5592C"/>
    <w:rsid w:val="00D55945"/>
    <w:rsid w:val="00D56236"/>
    <w:rsid w:val="00D57958"/>
    <w:rsid w:val="00D60341"/>
    <w:rsid w:val="00D60DC9"/>
    <w:rsid w:val="00D60FFD"/>
    <w:rsid w:val="00D6174B"/>
    <w:rsid w:val="00D61DF6"/>
    <w:rsid w:val="00D629FB"/>
    <w:rsid w:val="00D62C41"/>
    <w:rsid w:val="00D6308B"/>
    <w:rsid w:val="00D632B2"/>
    <w:rsid w:val="00D63EDD"/>
    <w:rsid w:val="00D64166"/>
    <w:rsid w:val="00D65562"/>
    <w:rsid w:val="00D6665E"/>
    <w:rsid w:val="00D66A2C"/>
    <w:rsid w:val="00D66B91"/>
    <w:rsid w:val="00D70288"/>
    <w:rsid w:val="00D702D3"/>
    <w:rsid w:val="00D71A88"/>
    <w:rsid w:val="00D72060"/>
    <w:rsid w:val="00D723D4"/>
    <w:rsid w:val="00D72965"/>
    <w:rsid w:val="00D72E57"/>
    <w:rsid w:val="00D73039"/>
    <w:rsid w:val="00D73192"/>
    <w:rsid w:val="00D74521"/>
    <w:rsid w:val="00D74A22"/>
    <w:rsid w:val="00D751DF"/>
    <w:rsid w:val="00D75655"/>
    <w:rsid w:val="00D768D3"/>
    <w:rsid w:val="00D76923"/>
    <w:rsid w:val="00D77DB3"/>
    <w:rsid w:val="00D8015C"/>
    <w:rsid w:val="00D802E8"/>
    <w:rsid w:val="00D82AAF"/>
    <w:rsid w:val="00D82EA9"/>
    <w:rsid w:val="00D83937"/>
    <w:rsid w:val="00D86522"/>
    <w:rsid w:val="00D8697C"/>
    <w:rsid w:val="00D87BB9"/>
    <w:rsid w:val="00D9010E"/>
    <w:rsid w:val="00D902DA"/>
    <w:rsid w:val="00D90ECA"/>
    <w:rsid w:val="00D91558"/>
    <w:rsid w:val="00D92B03"/>
    <w:rsid w:val="00D93A57"/>
    <w:rsid w:val="00D94559"/>
    <w:rsid w:val="00D945AD"/>
    <w:rsid w:val="00D94D47"/>
    <w:rsid w:val="00D969F8"/>
    <w:rsid w:val="00D973DE"/>
    <w:rsid w:val="00DA0E77"/>
    <w:rsid w:val="00DA18E9"/>
    <w:rsid w:val="00DA1F71"/>
    <w:rsid w:val="00DA239A"/>
    <w:rsid w:val="00DA282C"/>
    <w:rsid w:val="00DA2841"/>
    <w:rsid w:val="00DA2C2F"/>
    <w:rsid w:val="00DA3DD6"/>
    <w:rsid w:val="00DA412F"/>
    <w:rsid w:val="00DA4CB3"/>
    <w:rsid w:val="00DA6B0E"/>
    <w:rsid w:val="00DA6C36"/>
    <w:rsid w:val="00DA6D98"/>
    <w:rsid w:val="00DA6E7C"/>
    <w:rsid w:val="00DA78AE"/>
    <w:rsid w:val="00DB08E5"/>
    <w:rsid w:val="00DB0A23"/>
    <w:rsid w:val="00DB162D"/>
    <w:rsid w:val="00DB1C31"/>
    <w:rsid w:val="00DB3F05"/>
    <w:rsid w:val="00DB44C8"/>
    <w:rsid w:val="00DB46F1"/>
    <w:rsid w:val="00DB5F4C"/>
    <w:rsid w:val="00DB6157"/>
    <w:rsid w:val="00DB6749"/>
    <w:rsid w:val="00DB6B5A"/>
    <w:rsid w:val="00DB77A3"/>
    <w:rsid w:val="00DB77D3"/>
    <w:rsid w:val="00DB7EB6"/>
    <w:rsid w:val="00DC0B04"/>
    <w:rsid w:val="00DC112B"/>
    <w:rsid w:val="00DC115C"/>
    <w:rsid w:val="00DC39C2"/>
    <w:rsid w:val="00DC3A87"/>
    <w:rsid w:val="00DC3AE0"/>
    <w:rsid w:val="00DC42F3"/>
    <w:rsid w:val="00DC5ABD"/>
    <w:rsid w:val="00DC6279"/>
    <w:rsid w:val="00DC7193"/>
    <w:rsid w:val="00DD1C1E"/>
    <w:rsid w:val="00DD1D57"/>
    <w:rsid w:val="00DD35F6"/>
    <w:rsid w:val="00DD42CE"/>
    <w:rsid w:val="00DD4765"/>
    <w:rsid w:val="00DD4AFF"/>
    <w:rsid w:val="00DD5317"/>
    <w:rsid w:val="00DD5769"/>
    <w:rsid w:val="00DD5999"/>
    <w:rsid w:val="00DD62D7"/>
    <w:rsid w:val="00DD64D8"/>
    <w:rsid w:val="00DD6CBB"/>
    <w:rsid w:val="00DD6D59"/>
    <w:rsid w:val="00DD7A0C"/>
    <w:rsid w:val="00DE0ACB"/>
    <w:rsid w:val="00DE1008"/>
    <w:rsid w:val="00DE1C27"/>
    <w:rsid w:val="00DE1D2C"/>
    <w:rsid w:val="00DE1DC4"/>
    <w:rsid w:val="00DE2413"/>
    <w:rsid w:val="00DE2826"/>
    <w:rsid w:val="00DE2A91"/>
    <w:rsid w:val="00DE3148"/>
    <w:rsid w:val="00DE3958"/>
    <w:rsid w:val="00DE3AEB"/>
    <w:rsid w:val="00DE47AE"/>
    <w:rsid w:val="00DE47D2"/>
    <w:rsid w:val="00DE4924"/>
    <w:rsid w:val="00DE57ED"/>
    <w:rsid w:val="00DE6107"/>
    <w:rsid w:val="00DE6800"/>
    <w:rsid w:val="00DE69B2"/>
    <w:rsid w:val="00DE6C8F"/>
    <w:rsid w:val="00DE71D7"/>
    <w:rsid w:val="00DE7ACD"/>
    <w:rsid w:val="00DF05E2"/>
    <w:rsid w:val="00DF3794"/>
    <w:rsid w:val="00DF3AC7"/>
    <w:rsid w:val="00DF4068"/>
    <w:rsid w:val="00DF41BC"/>
    <w:rsid w:val="00DF48F4"/>
    <w:rsid w:val="00DF4943"/>
    <w:rsid w:val="00DF5116"/>
    <w:rsid w:val="00DF5406"/>
    <w:rsid w:val="00DF6018"/>
    <w:rsid w:val="00DF638D"/>
    <w:rsid w:val="00DF69C5"/>
    <w:rsid w:val="00E00243"/>
    <w:rsid w:val="00E005E5"/>
    <w:rsid w:val="00E00B3D"/>
    <w:rsid w:val="00E01036"/>
    <w:rsid w:val="00E01CD2"/>
    <w:rsid w:val="00E02180"/>
    <w:rsid w:val="00E03275"/>
    <w:rsid w:val="00E03644"/>
    <w:rsid w:val="00E036E6"/>
    <w:rsid w:val="00E03A1C"/>
    <w:rsid w:val="00E03EAE"/>
    <w:rsid w:val="00E03F16"/>
    <w:rsid w:val="00E0483C"/>
    <w:rsid w:val="00E04C2B"/>
    <w:rsid w:val="00E05160"/>
    <w:rsid w:val="00E05424"/>
    <w:rsid w:val="00E05926"/>
    <w:rsid w:val="00E06650"/>
    <w:rsid w:val="00E06FE1"/>
    <w:rsid w:val="00E0754F"/>
    <w:rsid w:val="00E07E2A"/>
    <w:rsid w:val="00E1124E"/>
    <w:rsid w:val="00E11716"/>
    <w:rsid w:val="00E11B2B"/>
    <w:rsid w:val="00E11C7A"/>
    <w:rsid w:val="00E11CA5"/>
    <w:rsid w:val="00E11EEE"/>
    <w:rsid w:val="00E128F3"/>
    <w:rsid w:val="00E12917"/>
    <w:rsid w:val="00E12A92"/>
    <w:rsid w:val="00E14254"/>
    <w:rsid w:val="00E169B0"/>
    <w:rsid w:val="00E203CF"/>
    <w:rsid w:val="00E213D1"/>
    <w:rsid w:val="00E219C2"/>
    <w:rsid w:val="00E2246F"/>
    <w:rsid w:val="00E22503"/>
    <w:rsid w:val="00E22A4B"/>
    <w:rsid w:val="00E22AB5"/>
    <w:rsid w:val="00E22CC1"/>
    <w:rsid w:val="00E23747"/>
    <w:rsid w:val="00E250FB"/>
    <w:rsid w:val="00E25BF0"/>
    <w:rsid w:val="00E25FBA"/>
    <w:rsid w:val="00E260B4"/>
    <w:rsid w:val="00E26E54"/>
    <w:rsid w:val="00E275BF"/>
    <w:rsid w:val="00E30171"/>
    <w:rsid w:val="00E307E7"/>
    <w:rsid w:val="00E3207D"/>
    <w:rsid w:val="00E32B05"/>
    <w:rsid w:val="00E332D8"/>
    <w:rsid w:val="00E33DEE"/>
    <w:rsid w:val="00E34876"/>
    <w:rsid w:val="00E349C3"/>
    <w:rsid w:val="00E35471"/>
    <w:rsid w:val="00E35C55"/>
    <w:rsid w:val="00E377C2"/>
    <w:rsid w:val="00E37BA8"/>
    <w:rsid w:val="00E37F24"/>
    <w:rsid w:val="00E4042B"/>
    <w:rsid w:val="00E40912"/>
    <w:rsid w:val="00E41216"/>
    <w:rsid w:val="00E42CEE"/>
    <w:rsid w:val="00E43AD8"/>
    <w:rsid w:val="00E44C72"/>
    <w:rsid w:val="00E45E6C"/>
    <w:rsid w:val="00E45EED"/>
    <w:rsid w:val="00E46E90"/>
    <w:rsid w:val="00E471AE"/>
    <w:rsid w:val="00E479AA"/>
    <w:rsid w:val="00E5045D"/>
    <w:rsid w:val="00E50729"/>
    <w:rsid w:val="00E52011"/>
    <w:rsid w:val="00E5257C"/>
    <w:rsid w:val="00E52CEB"/>
    <w:rsid w:val="00E5346D"/>
    <w:rsid w:val="00E53649"/>
    <w:rsid w:val="00E54149"/>
    <w:rsid w:val="00E54182"/>
    <w:rsid w:val="00E546E7"/>
    <w:rsid w:val="00E54827"/>
    <w:rsid w:val="00E55B08"/>
    <w:rsid w:val="00E55BAC"/>
    <w:rsid w:val="00E5600E"/>
    <w:rsid w:val="00E579CD"/>
    <w:rsid w:val="00E57DDD"/>
    <w:rsid w:val="00E60900"/>
    <w:rsid w:val="00E611E1"/>
    <w:rsid w:val="00E6174A"/>
    <w:rsid w:val="00E6185D"/>
    <w:rsid w:val="00E6217B"/>
    <w:rsid w:val="00E622AE"/>
    <w:rsid w:val="00E628A2"/>
    <w:rsid w:val="00E63D11"/>
    <w:rsid w:val="00E64A3B"/>
    <w:rsid w:val="00E655FD"/>
    <w:rsid w:val="00E65D92"/>
    <w:rsid w:val="00E66AE2"/>
    <w:rsid w:val="00E677E5"/>
    <w:rsid w:val="00E67DCB"/>
    <w:rsid w:val="00E70806"/>
    <w:rsid w:val="00E71306"/>
    <w:rsid w:val="00E71378"/>
    <w:rsid w:val="00E72414"/>
    <w:rsid w:val="00E75AB4"/>
    <w:rsid w:val="00E7625D"/>
    <w:rsid w:val="00E7796B"/>
    <w:rsid w:val="00E77F65"/>
    <w:rsid w:val="00E809A3"/>
    <w:rsid w:val="00E816D1"/>
    <w:rsid w:val="00E81B85"/>
    <w:rsid w:val="00E8201F"/>
    <w:rsid w:val="00E82DEC"/>
    <w:rsid w:val="00E84A87"/>
    <w:rsid w:val="00E84C7D"/>
    <w:rsid w:val="00E84C92"/>
    <w:rsid w:val="00E8513A"/>
    <w:rsid w:val="00E853BB"/>
    <w:rsid w:val="00E85E0C"/>
    <w:rsid w:val="00E9156C"/>
    <w:rsid w:val="00E91DF6"/>
    <w:rsid w:val="00E92B9D"/>
    <w:rsid w:val="00E931A8"/>
    <w:rsid w:val="00E94E44"/>
    <w:rsid w:val="00E94EFE"/>
    <w:rsid w:val="00E9547D"/>
    <w:rsid w:val="00E95705"/>
    <w:rsid w:val="00E95CF8"/>
    <w:rsid w:val="00E962B9"/>
    <w:rsid w:val="00E974BB"/>
    <w:rsid w:val="00E97829"/>
    <w:rsid w:val="00E97BAB"/>
    <w:rsid w:val="00E97EEE"/>
    <w:rsid w:val="00EA203D"/>
    <w:rsid w:val="00EA2249"/>
    <w:rsid w:val="00EA31FF"/>
    <w:rsid w:val="00EA513A"/>
    <w:rsid w:val="00EA6118"/>
    <w:rsid w:val="00EA62A4"/>
    <w:rsid w:val="00EA63A8"/>
    <w:rsid w:val="00EA6462"/>
    <w:rsid w:val="00EA70C5"/>
    <w:rsid w:val="00EA7AA4"/>
    <w:rsid w:val="00EB120E"/>
    <w:rsid w:val="00EB12A1"/>
    <w:rsid w:val="00EB17E8"/>
    <w:rsid w:val="00EB21AE"/>
    <w:rsid w:val="00EB38EA"/>
    <w:rsid w:val="00EB3CBB"/>
    <w:rsid w:val="00EB3F66"/>
    <w:rsid w:val="00EB4A0B"/>
    <w:rsid w:val="00EB56E0"/>
    <w:rsid w:val="00EB6ABB"/>
    <w:rsid w:val="00EC0334"/>
    <w:rsid w:val="00EC0338"/>
    <w:rsid w:val="00EC05D9"/>
    <w:rsid w:val="00EC0964"/>
    <w:rsid w:val="00EC223D"/>
    <w:rsid w:val="00EC2B0E"/>
    <w:rsid w:val="00EC442D"/>
    <w:rsid w:val="00EC4C09"/>
    <w:rsid w:val="00EC4C9A"/>
    <w:rsid w:val="00EC531A"/>
    <w:rsid w:val="00EC5DE5"/>
    <w:rsid w:val="00ED034D"/>
    <w:rsid w:val="00ED0D1A"/>
    <w:rsid w:val="00ED2018"/>
    <w:rsid w:val="00ED22E6"/>
    <w:rsid w:val="00ED2D81"/>
    <w:rsid w:val="00ED3B75"/>
    <w:rsid w:val="00ED46B5"/>
    <w:rsid w:val="00ED5269"/>
    <w:rsid w:val="00ED6CDB"/>
    <w:rsid w:val="00ED6E50"/>
    <w:rsid w:val="00ED70F7"/>
    <w:rsid w:val="00ED7B33"/>
    <w:rsid w:val="00EE041C"/>
    <w:rsid w:val="00EE0D5C"/>
    <w:rsid w:val="00EE1635"/>
    <w:rsid w:val="00EE1813"/>
    <w:rsid w:val="00EE193E"/>
    <w:rsid w:val="00EE2538"/>
    <w:rsid w:val="00EE26FC"/>
    <w:rsid w:val="00EE2A49"/>
    <w:rsid w:val="00EE3498"/>
    <w:rsid w:val="00EE376F"/>
    <w:rsid w:val="00EE40A7"/>
    <w:rsid w:val="00EE4183"/>
    <w:rsid w:val="00EE4521"/>
    <w:rsid w:val="00EE4E60"/>
    <w:rsid w:val="00EE586D"/>
    <w:rsid w:val="00EE6219"/>
    <w:rsid w:val="00EE7185"/>
    <w:rsid w:val="00EF16B9"/>
    <w:rsid w:val="00EF1C37"/>
    <w:rsid w:val="00EF38AB"/>
    <w:rsid w:val="00EF3B34"/>
    <w:rsid w:val="00EF3C06"/>
    <w:rsid w:val="00EF402D"/>
    <w:rsid w:val="00EF53DE"/>
    <w:rsid w:val="00EF5462"/>
    <w:rsid w:val="00EF54F4"/>
    <w:rsid w:val="00EF5531"/>
    <w:rsid w:val="00EF582D"/>
    <w:rsid w:val="00EF5A87"/>
    <w:rsid w:val="00EF5E23"/>
    <w:rsid w:val="00EF64CF"/>
    <w:rsid w:val="00EF79E0"/>
    <w:rsid w:val="00F0041D"/>
    <w:rsid w:val="00F0064D"/>
    <w:rsid w:val="00F008C4"/>
    <w:rsid w:val="00F028E1"/>
    <w:rsid w:val="00F03502"/>
    <w:rsid w:val="00F0364F"/>
    <w:rsid w:val="00F036EE"/>
    <w:rsid w:val="00F03A2F"/>
    <w:rsid w:val="00F05ED3"/>
    <w:rsid w:val="00F05FF1"/>
    <w:rsid w:val="00F06799"/>
    <w:rsid w:val="00F068C2"/>
    <w:rsid w:val="00F06FFF"/>
    <w:rsid w:val="00F07537"/>
    <w:rsid w:val="00F075ED"/>
    <w:rsid w:val="00F07CFB"/>
    <w:rsid w:val="00F10A89"/>
    <w:rsid w:val="00F1305F"/>
    <w:rsid w:val="00F13AB0"/>
    <w:rsid w:val="00F1411A"/>
    <w:rsid w:val="00F14B57"/>
    <w:rsid w:val="00F15AF5"/>
    <w:rsid w:val="00F15C16"/>
    <w:rsid w:val="00F15C90"/>
    <w:rsid w:val="00F15CF2"/>
    <w:rsid w:val="00F1659D"/>
    <w:rsid w:val="00F16AA1"/>
    <w:rsid w:val="00F16F4E"/>
    <w:rsid w:val="00F176E3"/>
    <w:rsid w:val="00F17F1F"/>
    <w:rsid w:val="00F2090F"/>
    <w:rsid w:val="00F20A31"/>
    <w:rsid w:val="00F20BE3"/>
    <w:rsid w:val="00F214D3"/>
    <w:rsid w:val="00F21FB3"/>
    <w:rsid w:val="00F22ADE"/>
    <w:rsid w:val="00F22D82"/>
    <w:rsid w:val="00F2319B"/>
    <w:rsid w:val="00F23919"/>
    <w:rsid w:val="00F244C4"/>
    <w:rsid w:val="00F24712"/>
    <w:rsid w:val="00F25F53"/>
    <w:rsid w:val="00F262EC"/>
    <w:rsid w:val="00F263C7"/>
    <w:rsid w:val="00F26F7F"/>
    <w:rsid w:val="00F2774B"/>
    <w:rsid w:val="00F30A24"/>
    <w:rsid w:val="00F310BC"/>
    <w:rsid w:val="00F310D0"/>
    <w:rsid w:val="00F31AAA"/>
    <w:rsid w:val="00F321C5"/>
    <w:rsid w:val="00F32B91"/>
    <w:rsid w:val="00F33448"/>
    <w:rsid w:val="00F343BB"/>
    <w:rsid w:val="00F34B03"/>
    <w:rsid w:val="00F36FC6"/>
    <w:rsid w:val="00F40528"/>
    <w:rsid w:val="00F41FB9"/>
    <w:rsid w:val="00F42168"/>
    <w:rsid w:val="00F4233F"/>
    <w:rsid w:val="00F43E62"/>
    <w:rsid w:val="00F444BB"/>
    <w:rsid w:val="00F4554D"/>
    <w:rsid w:val="00F4569A"/>
    <w:rsid w:val="00F4588B"/>
    <w:rsid w:val="00F45C0B"/>
    <w:rsid w:val="00F46F39"/>
    <w:rsid w:val="00F47A84"/>
    <w:rsid w:val="00F47FA1"/>
    <w:rsid w:val="00F505B0"/>
    <w:rsid w:val="00F51D48"/>
    <w:rsid w:val="00F52C3E"/>
    <w:rsid w:val="00F53329"/>
    <w:rsid w:val="00F5338D"/>
    <w:rsid w:val="00F5347B"/>
    <w:rsid w:val="00F5377A"/>
    <w:rsid w:val="00F53871"/>
    <w:rsid w:val="00F54CF8"/>
    <w:rsid w:val="00F554F6"/>
    <w:rsid w:val="00F56B5C"/>
    <w:rsid w:val="00F56C3A"/>
    <w:rsid w:val="00F57F66"/>
    <w:rsid w:val="00F60E35"/>
    <w:rsid w:val="00F61E3F"/>
    <w:rsid w:val="00F62032"/>
    <w:rsid w:val="00F63212"/>
    <w:rsid w:val="00F63846"/>
    <w:rsid w:val="00F63E7F"/>
    <w:rsid w:val="00F63F9D"/>
    <w:rsid w:val="00F6520B"/>
    <w:rsid w:val="00F652FB"/>
    <w:rsid w:val="00F6584F"/>
    <w:rsid w:val="00F65B32"/>
    <w:rsid w:val="00F66061"/>
    <w:rsid w:val="00F66954"/>
    <w:rsid w:val="00F67E6F"/>
    <w:rsid w:val="00F70E2F"/>
    <w:rsid w:val="00F72333"/>
    <w:rsid w:val="00F729B4"/>
    <w:rsid w:val="00F729C6"/>
    <w:rsid w:val="00F73979"/>
    <w:rsid w:val="00F73AF9"/>
    <w:rsid w:val="00F73C18"/>
    <w:rsid w:val="00F74B3C"/>
    <w:rsid w:val="00F80F30"/>
    <w:rsid w:val="00F8150B"/>
    <w:rsid w:val="00F8151F"/>
    <w:rsid w:val="00F834AC"/>
    <w:rsid w:val="00F8354B"/>
    <w:rsid w:val="00F83852"/>
    <w:rsid w:val="00F847A5"/>
    <w:rsid w:val="00F84D4E"/>
    <w:rsid w:val="00F84FFC"/>
    <w:rsid w:val="00F85B97"/>
    <w:rsid w:val="00F87166"/>
    <w:rsid w:val="00F87ED7"/>
    <w:rsid w:val="00F87FC1"/>
    <w:rsid w:val="00F906FD"/>
    <w:rsid w:val="00F90BEE"/>
    <w:rsid w:val="00F90D3D"/>
    <w:rsid w:val="00F9136A"/>
    <w:rsid w:val="00F9144C"/>
    <w:rsid w:val="00F918FA"/>
    <w:rsid w:val="00F91D64"/>
    <w:rsid w:val="00F934B9"/>
    <w:rsid w:val="00F94252"/>
    <w:rsid w:val="00F96DE2"/>
    <w:rsid w:val="00F97B80"/>
    <w:rsid w:val="00FA08D1"/>
    <w:rsid w:val="00FA132A"/>
    <w:rsid w:val="00FA16E6"/>
    <w:rsid w:val="00FA17F8"/>
    <w:rsid w:val="00FA1A6B"/>
    <w:rsid w:val="00FA2111"/>
    <w:rsid w:val="00FA2DB2"/>
    <w:rsid w:val="00FA31C8"/>
    <w:rsid w:val="00FA34A2"/>
    <w:rsid w:val="00FA358B"/>
    <w:rsid w:val="00FA37A7"/>
    <w:rsid w:val="00FA3BEA"/>
    <w:rsid w:val="00FA5523"/>
    <w:rsid w:val="00FA5B27"/>
    <w:rsid w:val="00FA6DD5"/>
    <w:rsid w:val="00FA7585"/>
    <w:rsid w:val="00FA7F52"/>
    <w:rsid w:val="00FB0461"/>
    <w:rsid w:val="00FB04F2"/>
    <w:rsid w:val="00FB085E"/>
    <w:rsid w:val="00FB1B4C"/>
    <w:rsid w:val="00FB20D5"/>
    <w:rsid w:val="00FB35D7"/>
    <w:rsid w:val="00FB3AA9"/>
    <w:rsid w:val="00FB3BA9"/>
    <w:rsid w:val="00FB3F13"/>
    <w:rsid w:val="00FB56FD"/>
    <w:rsid w:val="00FB6216"/>
    <w:rsid w:val="00FB6A7D"/>
    <w:rsid w:val="00FB6E43"/>
    <w:rsid w:val="00FB7325"/>
    <w:rsid w:val="00FB74DF"/>
    <w:rsid w:val="00FC009D"/>
    <w:rsid w:val="00FC1539"/>
    <w:rsid w:val="00FC1BDE"/>
    <w:rsid w:val="00FC34A5"/>
    <w:rsid w:val="00FC383A"/>
    <w:rsid w:val="00FC4040"/>
    <w:rsid w:val="00FC443D"/>
    <w:rsid w:val="00FC578E"/>
    <w:rsid w:val="00FC6A83"/>
    <w:rsid w:val="00FC7191"/>
    <w:rsid w:val="00FC7251"/>
    <w:rsid w:val="00FC78E0"/>
    <w:rsid w:val="00FD04FE"/>
    <w:rsid w:val="00FD12D6"/>
    <w:rsid w:val="00FD1E1E"/>
    <w:rsid w:val="00FD2343"/>
    <w:rsid w:val="00FD24AA"/>
    <w:rsid w:val="00FD4573"/>
    <w:rsid w:val="00FD4D8B"/>
    <w:rsid w:val="00FD4DA9"/>
    <w:rsid w:val="00FD57D8"/>
    <w:rsid w:val="00FD7774"/>
    <w:rsid w:val="00FD7E00"/>
    <w:rsid w:val="00FE243F"/>
    <w:rsid w:val="00FE2789"/>
    <w:rsid w:val="00FE2D7C"/>
    <w:rsid w:val="00FE3815"/>
    <w:rsid w:val="00FE3EA6"/>
    <w:rsid w:val="00FE3F62"/>
    <w:rsid w:val="00FE475E"/>
    <w:rsid w:val="00FE4B11"/>
    <w:rsid w:val="00FE718A"/>
    <w:rsid w:val="00FE7458"/>
    <w:rsid w:val="00FF03F3"/>
    <w:rsid w:val="00FF09D8"/>
    <w:rsid w:val="00FF1A1C"/>
    <w:rsid w:val="00FF1C1C"/>
    <w:rsid w:val="00FF2F38"/>
    <w:rsid w:val="00FF336F"/>
    <w:rsid w:val="00FF34AD"/>
    <w:rsid w:val="00FF400A"/>
    <w:rsid w:val="00FF41A0"/>
    <w:rsid w:val="00FF4571"/>
    <w:rsid w:val="00FF46EF"/>
    <w:rsid w:val="00FF4B46"/>
    <w:rsid w:val="00FF4BF3"/>
    <w:rsid w:val="00FF50D5"/>
    <w:rsid w:val="00FF68CD"/>
    <w:rsid w:val="00FF6E57"/>
    <w:rsid w:val="00FF711B"/>
    <w:rsid w:val="00FF7BB2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A6FF97B"/>
  <w14:defaultImageDpi w14:val="32767"/>
  <w15:docId w15:val="{1F900AF6-1A2D-4194-B616-A67DA85C0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Paragraph,Segundo nivel de viñetas,List Paragraph1,Párrafo de lista1,Bullets,Bullet,titulo 3,Lista vistosa - Énfasis 11,HOJA,Bolita,Párrafo de lista4,BOLADEF,Párrafo de lista2,Párrafo de lista21,BOLA,Nivel 1 OS,DH1,l,Ha"/>
    <w:basedOn w:val="Normal"/>
    <w:link w:val="ListParagraphChar"/>
    <w:uiPriority w:val="34"/>
    <w:qFormat/>
    <w:rsid w:val="00553C65"/>
    <w:pPr>
      <w:ind w:left="720"/>
      <w:contextualSpacing/>
    </w:pPr>
  </w:style>
  <w:style w:type="paragraph" w:styleId="FootnoteText">
    <w:name w:val="footnote text"/>
    <w:aliases w:val="fn,FOOTNOTES,single space,footnote text,Footnote Text Char Char,footnote,Texto nota pie IIRSA,Texto de rodapé,nota_rodapé,nota de rodapé,texto de nota al pie,Texto nota pie Car Car Car Car Car Car Car Car,foottextfra,F,f,ADB,ft"/>
    <w:basedOn w:val="Normal"/>
    <w:link w:val="FootnoteTextChar"/>
    <w:uiPriority w:val="99"/>
    <w:unhideWhenUsed/>
    <w:qFormat/>
    <w:rsid w:val="00303038"/>
    <w:rPr>
      <w:sz w:val="20"/>
      <w:szCs w:val="20"/>
      <w:lang w:val="es-CO"/>
    </w:rPr>
  </w:style>
  <w:style w:type="character" w:customStyle="1" w:styleId="FootnoteTextChar">
    <w:name w:val="Footnote Text Char"/>
    <w:aliases w:val="fn Char,FOOTNOTES Char,single space Char,footnote text Char,Footnote Text Char Char Char,footnote Char,Texto nota pie IIRSA Char,Texto de rodapé Char,nota_rodapé Char,nota de rodapé Char,texto de nota al pie Char,foottextfra Char"/>
    <w:basedOn w:val="DefaultParagraphFont"/>
    <w:link w:val="FootnoteText"/>
    <w:uiPriority w:val="99"/>
    <w:rsid w:val="00303038"/>
    <w:rPr>
      <w:sz w:val="20"/>
      <w:szCs w:val="20"/>
      <w:lang w:val="es-CO"/>
    </w:rPr>
  </w:style>
  <w:style w:type="character" w:styleId="FootnoteReference">
    <w:name w:val="footnote reference"/>
    <w:aliases w:val="FC,referencia nota al pie,Stinking Styles11,Texto de nota al pie,Footnote symbol,Footnote,titulo 2,ftref,Style 24,pie pddes,Fußnotenzeichen DISS,Footnote Reference1,Ref,de nota al pie,16 Point,Superscript 6 Point,Знак сноски 1,BVI fn"/>
    <w:basedOn w:val="DefaultParagraphFont"/>
    <w:link w:val="Char2"/>
    <w:uiPriority w:val="99"/>
    <w:unhideWhenUsed/>
    <w:qFormat/>
    <w:rsid w:val="0030303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53FE0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3FE0"/>
  </w:style>
  <w:style w:type="paragraph" w:styleId="Footer">
    <w:name w:val="footer"/>
    <w:basedOn w:val="Normal"/>
    <w:link w:val="FooterChar"/>
    <w:uiPriority w:val="99"/>
    <w:unhideWhenUsed/>
    <w:rsid w:val="00A53FE0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3FE0"/>
  </w:style>
  <w:style w:type="paragraph" w:styleId="BalloonText">
    <w:name w:val="Balloon Text"/>
    <w:basedOn w:val="Normal"/>
    <w:link w:val="BalloonTextChar"/>
    <w:uiPriority w:val="99"/>
    <w:semiHidden/>
    <w:unhideWhenUsed/>
    <w:rsid w:val="00013C3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C33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262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2A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2A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2A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2A66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133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501C8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lanormal41">
    <w:name w:val="Tabla normal 41"/>
    <w:basedOn w:val="TableNormal"/>
    <w:uiPriority w:val="44"/>
    <w:rsid w:val="00BA301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Strong">
    <w:name w:val="Strong"/>
    <w:basedOn w:val="DefaultParagraphFont"/>
    <w:uiPriority w:val="22"/>
    <w:qFormat/>
    <w:rsid w:val="00530B2A"/>
    <w:rPr>
      <w:b/>
      <w:bCs/>
    </w:rPr>
  </w:style>
  <w:style w:type="character" w:styleId="Hyperlink">
    <w:name w:val="Hyperlink"/>
    <w:basedOn w:val="DefaultParagraphFont"/>
    <w:uiPriority w:val="99"/>
    <w:unhideWhenUsed/>
    <w:rsid w:val="002502AE"/>
    <w:rPr>
      <w:color w:val="0000FF"/>
      <w:u w:val="single"/>
    </w:rPr>
  </w:style>
  <w:style w:type="table" w:customStyle="1" w:styleId="Tabladelista1clara-nfasis11">
    <w:name w:val="Tabla de lista 1 clara - Énfasis 11"/>
    <w:basedOn w:val="TableNormal"/>
    <w:uiPriority w:val="46"/>
    <w:rsid w:val="006F55D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Tabladecuadrcula3-nfasis11">
    <w:name w:val="Tabla de cuadrícula 3 - Énfasis 11"/>
    <w:basedOn w:val="TableNormal"/>
    <w:uiPriority w:val="48"/>
    <w:rsid w:val="00012F80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customStyle="1" w:styleId="Tabladecuadrcula1clara-nfasis51">
    <w:name w:val="Tabla de cuadrícula 1 clara - Énfasis 51"/>
    <w:basedOn w:val="TableNormal"/>
    <w:uiPriority w:val="46"/>
    <w:rsid w:val="00012F80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decuadrcula1clara-nfasis11">
    <w:name w:val="Tabla de cuadrícula 1 clara - Énfasis 11"/>
    <w:basedOn w:val="TableNormal"/>
    <w:uiPriority w:val="46"/>
    <w:rsid w:val="00E1124E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delista3-nfasis11">
    <w:name w:val="Tabla de lista 3 - Énfasis 11"/>
    <w:basedOn w:val="TableNormal"/>
    <w:uiPriority w:val="48"/>
    <w:rsid w:val="00EF3C06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customStyle="1" w:styleId="Cuadrculadetablaclara1">
    <w:name w:val="Cuadrícula de tabla clara1"/>
    <w:basedOn w:val="TableNormal"/>
    <w:uiPriority w:val="40"/>
    <w:rsid w:val="00062B0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1Light-Accent1">
    <w:name w:val="Grid Table 1 Light Accent 1"/>
    <w:basedOn w:val="TableNormal"/>
    <w:uiPriority w:val="46"/>
    <w:rsid w:val="00923647"/>
    <w:rPr>
      <w:sz w:val="22"/>
      <w:szCs w:val="22"/>
      <w:lang w:val="en-US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PlaceholderText">
    <w:name w:val="Placeholder Text"/>
    <w:basedOn w:val="DefaultParagraphFont"/>
    <w:uiPriority w:val="99"/>
    <w:semiHidden/>
    <w:rsid w:val="00241BD0"/>
    <w:rPr>
      <w:color w:val="808080"/>
    </w:rPr>
  </w:style>
  <w:style w:type="paragraph" w:styleId="NoSpacing">
    <w:name w:val="No Spacing"/>
    <w:link w:val="NoSpacingChar"/>
    <w:uiPriority w:val="1"/>
    <w:qFormat/>
    <w:rsid w:val="003F6789"/>
    <w:pPr>
      <w:numPr>
        <w:ilvl w:val="1"/>
        <w:numId w:val="32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16F15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F41FB9"/>
    <w:pPr>
      <w:numPr>
        <w:ilvl w:val="3"/>
        <w:numId w:val="32"/>
      </w:numPr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aption">
    <w:name w:val="caption"/>
    <w:aliases w:val="CONPES título tablas y gráficos"/>
    <w:basedOn w:val="CONPESTexto"/>
    <w:next w:val="CONPESTexto"/>
    <w:uiPriority w:val="35"/>
    <w:rsid w:val="00E22503"/>
    <w:pPr>
      <w:ind w:firstLine="0"/>
    </w:pPr>
    <w:rPr>
      <w:b/>
      <w:iCs/>
      <w:color w:val="auto"/>
      <w:szCs w:val="18"/>
    </w:rPr>
  </w:style>
  <w:style w:type="paragraph" w:customStyle="1" w:styleId="CONPESTexto">
    <w:name w:val="CONPES Texto"/>
    <w:basedOn w:val="Normal"/>
    <w:qFormat/>
    <w:rsid w:val="00E22503"/>
    <w:pPr>
      <w:spacing w:before="120" w:after="120" w:line="276" w:lineRule="auto"/>
      <w:ind w:firstLine="567"/>
      <w:jc w:val="both"/>
    </w:pPr>
    <w:rPr>
      <w:rFonts w:ascii="Futura Std Book" w:eastAsia="Calibri" w:hAnsi="Futura Std Book" w:cs="Times New Roman"/>
      <w:color w:val="000000"/>
      <w:sz w:val="22"/>
      <w:lang w:val="es-CO"/>
    </w:rPr>
  </w:style>
  <w:style w:type="paragraph" w:customStyle="1" w:styleId="CONPESfuentenotaobjetos">
    <w:name w:val="CONPES fuente/nota objetos"/>
    <w:basedOn w:val="Normal"/>
    <w:qFormat/>
    <w:rsid w:val="00E22503"/>
    <w:pPr>
      <w:spacing w:before="60" w:after="240"/>
      <w:jc w:val="both"/>
    </w:pPr>
    <w:rPr>
      <w:rFonts w:ascii="Futura Std Book" w:eastAsia="Times New Roman" w:hAnsi="Futura Std Book" w:cs="Times New Roman"/>
      <w:sz w:val="18"/>
      <w:szCs w:val="20"/>
      <w:lang w:val="es-ES" w:eastAsia="es-E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8C0452"/>
  </w:style>
  <w:style w:type="paragraph" w:customStyle="1" w:styleId="Chapter">
    <w:name w:val="Chapter"/>
    <w:basedOn w:val="Normal"/>
    <w:next w:val="Normal"/>
    <w:rsid w:val="00A343F7"/>
    <w:pPr>
      <w:numPr>
        <w:numId w:val="11"/>
      </w:numPr>
      <w:tabs>
        <w:tab w:val="left" w:pos="1440"/>
      </w:tabs>
      <w:spacing w:before="240" w:after="240"/>
      <w:jc w:val="center"/>
    </w:pPr>
    <w:rPr>
      <w:rFonts w:ascii="Times New Roman" w:eastAsia="Times New Roman" w:hAnsi="Times New Roman" w:cs="Times New Roman"/>
      <w:b/>
      <w:smallCaps/>
      <w:szCs w:val="20"/>
    </w:rPr>
  </w:style>
  <w:style w:type="paragraph" w:customStyle="1" w:styleId="Paragraph">
    <w:name w:val="Paragraph"/>
    <w:aliases w:val="paragraph,p,PARAGRAPH,PG,pa,at,paragraph+1,at Char"/>
    <w:basedOn w:val="BodyTextIndent"/>
    <w:link w:val="ParagraphChar"/>
    <w:qFormat/>
    <w:rsid w:val="00A343F7"/>
    <w:pPr>
      <w:numPr>
        <w:ilvl w:val="1"/>
        <w:numId w:val="11"/>
      </w:numPr>
      <w:tabs>
        <w:tab w:val="clear" w:pos="1656"/>
        <w:tab w:val="num" w:pos="360"/>
        <w:tab w:val="num" w:pos="720"/>
      </w:tabs>
      <w:spacing w:before="120"/>
      <w:ind w:left="720" w:hanging="720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paragraph" w:customStyle="1" w:styleId="subpar">
    <w:name w:val="subpar"/>
    <w:basedOn w:val="BodyTextIndent3"/>
    <w:rsid w:val="00A343F7"/>
    <w:pPr>
      <w:numPr>
        <w:ilvl w:val="2"/>
        <w:numId w:val="11"/>
      </w:numPr>
      <w:tabs>
        <w:tab w:val="clear" w:pos="2304"/>
        <w:tab w:val="num" w:pos="360"/>
      </w:tabs>
      <w:spacing w:before="120"/>
      <w:ind w:left="864" w:firstLine="0"/>
      <w:jc w:val="both"/>
      <w:outlineLvl w:val="2"/>
    </w:pPr>
    <w:rPr>
      <w:rFonts w:ascii="Times New Roman" w:eastAsia="Times New Roman" w:hAnsi="Times New Roman" w:cs="Times New Roman"/>
      <w:sz w:val="24"/>
    </w:rPr>
  </w:style>
  <w:style w:type="paragraph" w:customStyle="1" w:styleId="SubSubPar">
    <w:name w:val="SubSubPar"/>
    <w:basedOn w:val="subpar"/>
    <w:rsid w:val="00A343F7"/>
    <w:pPr>
      <w:numPr>
        <w:ilvl w:val="3"/>
      </w:numPr>
      <w:tabs>
        <w:tab w:val="clear" w:pos="2736"/>
        <w:tab w:val="left" w:pos="0"/>
        <w:tab w:val="num" w:pos="360"/>
        <w:tab w:val="num" w:pos="1296"/>
      </w:tabs>
      <w:ind w:left="1296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343F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343F7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343F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343F7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F4BF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 w:eastAsia="es-CO"/>
    </w:rPr>
  </w:style>
  <w:style w:type="character" w:customStyle="1" w:styleId="ListParagraphChar">
    <w:name w:val="List Paragraph Char"/>
    <w:aliases w:val="Numbered Paragraph Char,Segundo nivel de viñetas Char,List Paragraph1 Char,Párrafo de lista1 Char,Bullets Char,Bullet Char,titulo 3 Char,Lista vistosa - Énfasis 11 Char,HOJA Char,Bolita Char,Párrafo de lista4 Char,BOLADEF Char,l Char"/>
    <w:link w:val="ListParagraph"/>
    <w:uiPriority w:val="34"/>
    <w:locked/>
    <w:rsid w:val="00631F43"/>
  </w:style>
  <w:style w:type="character" w:customStyle="1" w:styleId="ParagraphChar">
    <w:name w:val="Paragraph Char"/>
    <w:basedOn w:val="BodyTextIndentChar"/>
    <w:link w:val="Paragraph"/>
    <w:rsid w:val="00B263E3"/>
    <w:rPr>
      <w:rFonts w:ascii="Times New Roman" w:eastAsia="Times New Roman" w:hAnsi="Times New Roman" w:cs="Times New Roman"/>
      <w:szCs w:val="20"/>
    </w:rPr>
  </w:style>
  <w:style w:type="paragraph" w:customStyle="1" w:styleId="Char2">
    <w:name w:val="Char2"/>
    <w:basedOn w:val="Normal"/>
    <w:link w:val="FootnoteReference"/>
    <w:uiPriority w:val="99"/>
    <w:rsid w:val="00C753DD"/>
    <w:pPr>
      <w:spacing w:after="160" w:line="240" w:lineRule="exact"/>
    </w:pPr>
    <w:rPr>
      <w:vertAlign w:val="superscript"/>
    </w:rPr>
  </w:style>
  <w:style w:type="paragraph" w:customStyle="1" w:styleId="heading-b24">
    <w:name w:val="heading-b24"/>
    <w:basedOn w:val="Normal"/>
    <w:next w:val="Normal"/>
    <w:rsid w:val="009B1272"/>
    <w:pPr>
      <w:spacing w:after="600"/>
      <w:jc w:val="center"/>
    </w:pPr>
    <w:rPr>
      <w:rFonts w:ascii="Times New Roman Bold" w:eastAsia="Times New Roman" w:hAnsi="Times New Roman Bold" w:cs="Times New Roman"/>
      <w:b/>
      <w:smallCaps/>
      <w:spacing w:val="-3"/>
      <w:szCs w:val="20"/>
    </w:rPr>
  </w:style>
  <w:style w:type="character" w:customStyle="1" w:styleId="ParagraphCar">
    <w:name w:val="Paragraph Car"/>
    <w:uiPriority w:val="99"/>
    <w:rsid w:val="00A9562A"/>
    <w:rPr>
      <w:sz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6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16" Type="http://schemas.openxmlformats.org/officeDocument/2006/relationships/customXml" Target="../customXml/item2.xml"/><Relationship Id="rId20" Type="http://schemas.openxmlformats.org/officeDocument/2006/relationships/customXml" Target="../customXml/item6.xml"/><Relationship Id="rId6" Type="http://schemas.openxmlformats.org/officeDocument/2006/relationships/styles" Target="styles.xml"/><Relationship Id="rId11" Type="http://schemas.openxmlformats.org/officeDocument/2006/relationships/hyperlink" Target="http://idbdocs.iadb.org/wsdocs/getDocument.aspx?DOCNUM=EZSHARE-1794806022-14" TargetMode="External"/><Relationship Id="rId5" Type="http://schemas.openxmlformats.org/officeDocument/2006/relationships/numbering" Target="numbering.xml"/><Relationship Id="rId15" Type="http://schemas.openxmlformats.org/officeDocument/2006/relationships/customXml" Target="../customXml/item1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C4A995E70D08D47A590581B9B257699" ma:contentTypeVersion="2426" ma:contentTypeDescription="A content type to manage public (operations) IDB documents" ma:contentTypeScope="" ma:versionID="353d142bd7e384125f15c4d45b9059b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7f0f4631f7b7d991d706a82865cb677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O-L1265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z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INE/TSP</Division_x0020_or_x0020_Unit>
    <_dlc_DocId xmlns="cdc7663a-08f0-4737-9e8c-148ce897a09c">EZSHARE-1794806022-13</_dlc_DocId>
    <Document_x0020_Author xmlns="cdc7663a-08f0-4737-9e8c-148ce897a09c">Noboa LopezNathaly Sofia</Document_x0020_Author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Colombia</TermName>
          <TermId xmlns="http://schemas.microsoft.com/office/infopath/2007/PartnerControls">c7d386d6-75f3-4fc0-bde8-e021ccd68f5c</TermId>
        </TermInfo>
      </Terms>
    </ic46d7e087fd4a108fb86518ca413cc6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CO-L1265</Project_x0020_Number>
    <Migration_x0020_Info xmlns="cdc7663a-08f0-4737-9e8c-148ce897a09c" xsi:nil="true"/>
    <Package_x0020_Code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>Life Cycle</Business_x0020_Area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SISCOR_x0020_Number xmlns="cdc7663a-08f0-4737-9e8c-148ce897a09c" xsi:nil="true"/>
    <Access_x0020_to_x0020_Information_x00a0_Policy xmlns="cdc7663a-08f0-4737-9e8c-148ce897a09c">Public</Access_x0020_to_x0020_Information_x00a0_Policy>
    <Identifier xmlns="cdc7663a-08f0-4737-9e8c-148ce897a09c" xsi:nil="true"/>
    <Document_x0020_Language_x0020_IDB xmlns="cdc7663a-08f0-4737-9e8c-148ce897a09c">Spanish</Document_x0020_Language_x0020_IDB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RAILWAYS</TermName>
          <TermId xmlns="http://schemas.microsoft.com/office/infopath/2007/PartnerControls">cf8c3685-4207-4f7a-8b0a-d6774a34838b</TermId>
        </TermInfo>
      </Terms>
    </b2ec7cfb18674cb8803df6b262e8b107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TRANSPORT</TermName>
          <TermId xmlns="http://schemas.microsoft.com/office/infopath/2007/PartnerControls">5a25d1a8-4baf-41a8-9e3b-e167accda6ea</TermId>
        </TermInfo>
      </Terms>
    </nddeef1749674d76abdbe4b239a70bc6>
    <_dlc_DocIdUrl xmlns="cdc7663a-08f0-4737-9e8c-148ce897a09c">
      <Url>https://idbg.sharepoint.com/teams/EZ-CO-LON/CO-L1265/_layouts/15/DocIdRedir.aspx?ID=EZSHARE-1794806022-13</Url>
      <Description>EZSHARE-1794806022-13</Description>
    </_dlc_DocIdUrl>
    <Phase xmlns="cdc7663a-08f0-4737-9e8c-148ce897a09c">ACTIVE</Phase>
    <Other_x0020_Author xmlns="cdc7663a-08f0-4737-9e8c-148ce897a09c" xsi:nil="true"/>
    <IDBDocs_x0020_Number xmlns="cdc7663a-08f0-4737-9e8c-148ce897a09c" xsi:nil="true"/>
    <TaxCatchAll xmlns="cdc7663a-08f0-4737-9e8c-148ce897a09c">
      <Value>27</Value>
      <Value>670</Value>
      <Value>31</Value>
      <Value>1</Value>
      <Value>28</Value>
    </TaxCatchAll>
    <Fiscal_x0020_Year_x0020_IDB xmlns="cdc7663a-08f0-4737-9e8c-148ce897a09c">2020</Fiscal_x0020_Year_x0020_IDB>
    <Operation_x0020_Type xmlns="cdc7663a-08f0-4737-9e8c-148ce897a09c">Loan Operation</Operation_x0020_Type>
    <Extracted_x0020_Keywords xmlns="cdc7663a-08f0-4737-9e8c-148ce897a09c"/>
    <Disclosure_x0020_Activity xmlns="cdc7663a-08f0-4737-9e8c-148ce897a09c">Electronic Links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67E3EC41-45FB-4C96-8477-A6F15966CBC3}"/>
</file>

<file path=customXml/itemProps2.xml><?xml version="1.0" encoding="utf-8"?>
<ds:datastoreItem xmlns:ds="http://schemas.openxmlformats.org/officeDocument/2006/customXml" ds:itemID="{FFC9FF7F-0824-40F4-8D2D-9D786D82D612}"/>
</file>

<file path=customXml/itemProps3.xml><?xml version="1.0" encoding="utf-8"?>
<ds:datastoreItem xmlns:ds="http://schemas.openxmlformats.org/officeDocument/2006/customXml" ds:itemID="{049DAFAB-AC94-4EE7-B7DC-4760C8625D5A}"/>
</file>

<file path=customXml/itemProps4.xml><?xml version="1.0" encoding="utf-8"?>
<ds:datastoreItem xmlns:ds="http://schemas.openxmlformats.org/officeDocument/2006/customXml" ds:itemID="{09751343-CA94-4091-8343-8D3716B9CCAD}"/>
</file>

<file path=customXml/itemProps5.xml><?xml version="1.0" encoding="utf-8"?>
<ds:datastoreItem xmlns:ds="http://schemas.openxmlformats.org/officeDocument/2006/customXml" ds:itemID="{0F101467-D570-446B-A869-8614DCB36A91}"/>
</file>

<file path=customXml/itemProps6.xml><?xml version="1.0" encoding="utf-8"?>
<ds:datastoreItem xmlns:ds="http://schemas.openxmlformats.org/officeDocument/2006/customXml" ds:itemID="{ED9ABAB0-D604-45B2-81D4-C092E7123B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14</Pages>
  <Words>3404</Words>
  <Characters>19267</Characters>
  <Application>Microsoft Office Word</Application>
  <DocSecurity>0</DocSecurity>
  <Lines>409</Lines>
  <Paragraphs>158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CLUB CBE</Company>
  <LinksUpToDate>false</LinksUpToDate>
  <CharactersWithSpaces>22513</CharactersWithSpaces>
  <SharedDoc>false</SharedDoc>
  <HLinks>
    <vt:vector size="6" baseType="variant">
      <vt:variant>
        <vt:i4>4718678</vt:i4>
      </vt:variant>
      <vt:variant>
        <vt:i4>0</vt:i4>
      </vt:variant>
      <vt:variant>
        <vt:i4>0</vt:i4>
      </vt:variant>
      <vt:variant>
        <vt:i4>5</vt:i4>
      </vt:variant>
      <vt:variant>
        <vt:lpwstr>http://idbdocs.iadb.org/wsdocs/getDocument.aspx?DOCNUM=EZSHARE-1794806022-14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Carolina Ramirez Pineda</dc:creator>
  <cp:keywords/>
  <cp:lastModifiedBy>Noboa Lopez, Nathaly Sofia</cp:lastModifiedBy>
  <cp:revision>44</cp:revision>
  <cp:lastPrinted>2019-10-23T15:28:00Z</cp:lastPrinted>
  <dcterms:created xsi:type="dcterms:W3CDTF">2020-10-22T17:19:00Z</dcterms:created>
  <dcterms:modified xsi:type="dcterms:W3CDTF">2021-03-15T14:18:00Z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Function_x0020_Operations_x0020_IDB">
    <vt:lpwstr>1;#Project Preparation Planning and Design|29ca0c72-1fc4-435f-a09c-28585cb5eac9</vt:lpwstr>
  </property>
  <property fmtid="{D5CDD505-2E9C-101B-9397-08002B2CF9AE}" pid="6" name="TaxKeywordTaxHTField">
    <vt:lpwstr/>
  </property>
  <property fmtid="{D5CDD505-2E9C-101B-9397-08002B2CF9AE}" pid="8" name="Sub-Sector">
    <vt:lpwstr>670;#RAILWAYS|cf8c3685-4207-4f7a-8b0a-d6774a34838b</vt:lpwstr>
  </property>
  <property fmtid="{D5CDD505-2E9C-101B-9397-08002B2CF9AE}" pid="9" name="Country">
    <vt:lpwstr>27;#Colombia|c7d386d6-75f3-4fc0-bde8-e021ccd68f5c</vt:lpwstr>
  </property>
  <property fmtid="{D5CDD505-2E9C-101B-9397-08002B2CF9AE}" pid="10" name="_dlc_DocIdItemGuid">
    <vt:lpwstr>f984da25-3d9c-4d4c-8670-46f56fd700c7</vt:lpwstr>
  </property>
  <property fmtid="{D5CDD505-2E9C-101B-9397-08002B2CF9AE}" pid="11" name="Fund IDB">
    <vt:lpwstr/>
  </property>
  <property fmtid="{D5CDD505-2E9C-101B-9397-08002B2CF9AE}" pid="12" name="Fund_x0020_IDB">
    <vt:lpwstr/>
  </property>
  <property fmtid="{D5CDD505-2E9C-101B-9397-08002B2CF9AE}" pid="13" name="Series_x0020_Operations_x0020_IDB">
    <vt:lpwstr/>
  </property>
  <property fmtid="{D5CDD505-2E9C-101B-9397-08002B2CF9AE}" pid="14" name="Sector IDB">
    <vt:lpwstr/>
  </property>
  <property fmtid="{D5CDD505-2E9C-101B-9397-08002B2CF9AE}" pid="15" name="Function Operations IDB">
    <vt:lpwstr>1;#Project Preparation Planning and Design|29ca0c72-1fc4-435f-a09c-28585cb5eac9</vt:lpwstr>
  </property>
  <property fmtid="{D5CDD505-2E9C-101B-9397-08002B2CF9AE}" pid="16" name="Sector_x0020_IDB">
    <vt:lpwstr/>
  </property>
  <property fmtid="{D5CDD505-2E9C-101B-9397-08002B2CF9AE}" pid="18" name="Disclosure Activity">
    <vt:lpwstr>Electronic Links</vt:lpwstr>
  </property>
  <property fmtid="{D5CDD505-2E9C-101B-9397-08002B2CF9AE}" pid="27" name="Disclosed">
    <vt:bool>false</vt:bool>
  </property>
  <property fmtid="{D5CDD505-2E9C-101B-9397-08002B2CF9AE}" pid="29" name="ContentTypeId">
    <vt:lpwstr>0x0101001A458A224826124E8B45B1D613300CFC000C4A995E70D08D47A590581B9B257699</vt:lpwstr>
  </property>
  <property fmtid="{D5CDD505-2E9C-101B-9397-08002B2CF9AE}" pid="30" name="Series Operations IDB">
    <vt:lpwstr/>
  </property>
</Properties>
</file>