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FFCDC" w14:textId="77777777" w:rsidR="003E0B08" w:rsidRPr="00F66082" w:rsidRDefault="006E111B">
      <w:pPr>
        <w:spacing w:before="200" w:after="200"/>
        <w:jc w:val="center"/>
        <w:rPr>
          <w:lang w:val="es-419"/>
        </w:rPr>
      </w:pPr>
      <w:r w:rsidRPr="00F66082">
        <w:rPr>
          <w:rFonts w:ascii="Arial" w:hAnsi="Arial" w:cs="Arial"/>
          <w:b/>
          <w:lang w:val="es-419"/>
        </w:rPr>
        <w:t>ABSTRACTO DE COOPERACIÓN TÉCNICA</w:t>
      </w:r>
    </w:p>
    <w:p w14:paraId="68144F13" w14:textId="77777777" w:rsidR="003E0B08" w:rsidRPr="00F66082" w:rsidRDefault="006E111B">
      <w:pPr>
        <w:spacing w:before="120" w:after="120"/>
        <w:ind w:left="579" w:hanging="579"/>
        <w:rPr>
          <w:lang w:val="es-419"/>
        </w:rPr>
      </w:pPr>
      <w:r w:rsidRPr="00F66082">
        <w:rPr>
          <w:rFonts w:ascii="Arial" w:hAnsi="Arial" w:cs="Arial"/>
          <w:b/>
          <w:lang w:val="es-419"/>
        </w:rPr>
        <w:t>I.</w:t>
      </w:r>
      <w:r w:rsidRPr="00F66082">
        <w:rPr>
          <w:rFonts w:ascii="Arial" w:hAnsi="Arial" w:cs="Arial"/>
          <w:b/>
          <w:lang w:val="es-419"/>
        </w:rPr>
        <w:tab/>
        <w:t>Información Básica del Proyecto</w:t>
      </w:r>
    </w:p>
    <w:tbl>
      <w:tblPr>
        <w:tblStyle w:val="TableGrid"/>
        <w:tblW w:w="5000" w:type="auto"/>
        <w:jc w:val="center"/>
        <w:tblBorders>
          <w:top w:val="single" w:sz="2" w:space="0" w:color="D3D3D3"/>
          <w:left w:val="single" w:sz="2" w:space="0" w:color="D3D3D3"/>
          <w:bottom w:val="single" w:sz="2" w:space="0" w:color="D3D3D3"/>
          <w:right w:val="single" w:sz="2" w:space="0" w:color="D3D3D3"/>
          <w:insideH w:val="single" w:sz="2" w:space="0" w:color="D3D3D3"/>
          <w:insideV w:val="single" w:sz="2" w:space="0" w:color="D3D3D3"/>
        </w:tblBorders>
        <w:tblLook w:val="04A0" w:firstRow="1" w:lastRow="0" w:firstColumn="1" w:lastColumn="0" w:noHBand="0" w:noVBand="1"/>
      </w:tblPr>
      <w:tblGrid>
        <w:gridCol w:w="4068"/>
        <w:gridCol w:w="4952"/>
      </w:tblGrid>
      <w:tr w:rsidR="003E0B08" w14:paraId="2D1F00BE" w14:textId="77777777">
        <w:trPr>
          <w:jc w:val="center"/>
        </w:trPr>
        <w:tc>
          <w:tcPr>
            <w:tcW w:w="5250" w:type="dxa"/>
          </w:tcPr>
          <w:p w14:paraId="6E2A6CDB" w14:textId="77777777" w:rsidR="003E0B08" w:rsidRDefault="006E111B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País/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Región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6750" w:type="dxa"/>
          </w:tcPr>
          <w:p w14:paraId="6C9F0F68" w14:textId="77777777" w:rsidR="003E0B08" w:rsidRDefault="006E111B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 xml:space="preserve">BOLIVIA/CAN - Grupo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Andino</w:t>
            </w:r>
            <w:proofErr w:type="spellEnd"/>
          </w:p>
        </w:tc>
      </w:tr>
      <w:tr w:rsidR="003E0B08" w:rsidRPr="00F66082" w14:paraId="31FD3C1C" w14:textId="77777777">
        <w:trPr>
          <w:jc w:val="center"/>
        </w:trPr>
        <w:tc>
          <w:tcPr>
            <w:tcW w:w="5250" w:type="dxa"/>
          </w:tcPr>
          <w:p w14:paraId="196C4B86" w14:textId="77777777" w:rsidR="003E0B08" w:rsidRDefault="006E111B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Nombre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de la CT:</w:t>
            </w:r>
          </w:p>
        </w:tc>
        <w:tc>
          <w:tcPr>
            <w:tcW w:w="6750" w:type="dxa"/>
          </w:tcPr>
          <w:p w14:paraId="6A9A06A1" w14:textId="77777777" w:rsidR="003E0B08" w:rsidRPr="00F66082" w:rsidRDefault="006E111B">
            <w:pPr>
              <w:spacing w:before="40" w:after="40"/>
              <w:rPr>
                <w:lang w:val="es-419"/>
              </w:rPr>
            </w:pPr>
            <w:r w:rsidRPr="00F66082">
              <w:rPr>
                <w:rFonts w:ascii="Arial" w:hAnsi="Arial" w:cs="Arial"/>
                <w:sz w:val="18"/>
                <w:szCs w:val="18"/>
                <w:lang w:val="es-419"/>
              </w:rPr>
              <w:t xml:space="preserve">Apoyo al Desarrollo y Modernización de las Políticas de Recursos Humanos de Salud en Bolivia en el Marco del Programa de </w:t>
            </w:r>
            <w:r w:rsidRPr="00F66082">
              <w:rPr>
                <w:rFonts w:ascii="Arial" w:hAnsi="Arial" w:cs="Arial"/>
                <w:sz w:val="18"/>
                <w:szCs w:val="18"/>
                <w:lang w:val="es-419"/>
              </w:rPr>
              <w:t>Mejora en la Accesibilidad a los Servicios de Salud Materna y Neonatal</w:t>
            </w:r>
          </w:p>
        </w:tc>
      </w:tr>
      <w:tr w:rsidR="003E0B08" w14:paraId="2B8F5AC6" w14:textId="77777777">
        <w:trPr>
          <w:jc w:val="center"/>
        </w:trPr>
        <w:tc>
          <w:tcPr>
            <w:tcW w:w="5250" w:type="dxa"/>
          </w:tcPr>
          <w:p w14:paraId="5AF7CE0B" w14:textId="77777777" w:rsidR="003E0B08" w:rsidRDefault="006E111B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Número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de CT:</w:t>
            </w:r>
          </w:p>
        </w:tc>
        <w:tc>
          <w:tcPr>
            <w:tcW w:w="6750" w:type="dxa"/>
          </w:tcPr>
          <w:p w14:paraId="6FA86DF6" w14:textId="77777777" w:rsidR="003E0B08" w:rsidRDefault="006E111B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BO-T1313</w:t>
            </w:r>
          </w:p>
        </w:tc>
      </w:tr>
      <w:tr w:rsidR="003E0B08" w14:paraId="0F5A613B" w14:textId="77777777">
        <w:trPr>
          <w:jc w:val="center"/>
        </w:trPr>
        <w:tc>
          <w:tcPr>
            <w:tcW w:w="5250" w:type="dxa"/>
          </w:tcPr>
          <w:p w14:paraId="359A20B1" w14:textId="77777777" w:rsidR="003E0B08" w:rsidRDefault="006E111B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Jefe de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Equipo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Miembros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6750" w:type="dxa"/>
          </w:tcPr>
          <w:p w14:paraId="74E4FA11" w14:textId="77777777" w:rsidR="003E0B08" w:rsidRDefault="006E111B" w:rsidP="00F66082">
            <w:pPr>
              <w:spacing w:before="40" w:after="40"/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 xml:space="preserve">BUSCARONS CUESTA, LUIS (SCL/SPH)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Líder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del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Equipo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; FORONDA NOGALES, SHIRLEY MABEL (VPC/FMP); JIMENEZ MOSQUERA, JAVIER I. (LEG/SGO);</w:t>
            </w:r>
            <w:r>
              <w:rPr>
                <w:rFonts w:ascii="Arial" w:hAnsi="Arial" w:cs="Arial"/>
                <w:sz w:val="18"/>
                <w:szCs w:val="18"/>
              </w:rPr>
              <w:t xml:space="preserve"> ELLIOT PORTAL, JOYCE (CAN/CBO); DELFS ILIEVA, ISABEL (SCL/SPH); COSSIO VIOREL, JORGE ISAAC (CAN/CBO); BENDIX, WILLY (VPC/FMP); ORELLANA, MIGUEL ANGEL (VPC/FMP); ALVARADO MORALES, MARIA STEPHANIE (SCL/SPH)</w:t>
            </w:r>
          </w:p>
        </w:tc>
      </w:tr>
      <w:tr w:rsidR="003E0B08" w14:paraId="7E3A2D16" w14:textId="77777777">
        <w:trPr>
          <w:jc w:val="center"/>
        </w:trPr>
        <w:tc>
          <w:tcPr>
            <w:tcW w:w="5250" w:type="dxa"/>
          </w:tcPr>
          <w:p w14:paraId="1950BC13" w14:textId="77777777" w:rsidR="003E0B08" w:rsidRDefault="006E111B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Taxonomía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6750" w:type="dxa"/>
          </w:tcPr>
          <w:p w14:paraId="494BDBC0" w14:textId="77777777" w:rsidR="003E0B08" w:rsidRDefault="006E111B">
            <w:pPr>
              <w:spacing w:before="40" w:after="40"/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Apoyo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Operativo</w:t>
            </w:r>
            <w:proofErr w:type="spellEnd"/>
          </w:p>
        </w:tc>
      </w:tr>
      <w:tr w:rsidR="003E0B08" w:rsidRPr="00F66082" w14:paraId="7A3A983B" w14:textId="77777777">
        <w:trPr>
          <w:jc w:val="center"/>
        </w:trPr>
        <w:tc>
          <w:tcPr>
            <w:tcW w:w="5250" w:type="dxa"/>
          </w:tcPr>
          <w:p w14:paraId="18E0AB1E" w14:textId="77777777" w:rsidR="003E0B08" w:rsidRPr="00F66082" w:rsidRDefault="006E111B">
            <w:pPr>
              <w:spacing w:before="40" w:after="40"/>
              <w:ind w:left="115" w:hanging="115"/>
              <w:rPr>
                <w:lang w:val="es-419"/>
              </w:rPr>
            </w:pPr>
            <w:r w:rsidRPr="00F66082">
              <w:rPr>
                <w:rFonts w:ascii="Arial" w:hAnsi="Arial" w:cs="Arial"/>
                <w:sz w:val="18"/>
                <w:szCs w:val="18"/>
                <w:lang w:val="es-419"/>
              </w:rPr>
              <w:t>▪</w:t>
            </w:r>
            <w:r w:rsidRPr="00F66082">
              <w:rPr>
                <w:rFonts w:ascii="Arial" w:hAnsi="Arial" w:cs="Arial"/>
                <w:sz w:val="18"/>
                <w:szCs w:val="18"/>
                <w:lang w:val="es-419"/>
              </w:rPr>
              <w:t xml:space="preserve"> Número y </w:t>
            </w:r>
            <w:r w:rsidRPr="00F66082">
              <w:rPr>
                <w:rFonts w:ascii="Arial" w:hAnsi="Arial" w:cs="Arial"/>
                <w:sz w:val="18"/>
                <w:szCs w:val="18"/>
                <w:lang w:val="es-419"/>
              </w:rPr>
              <w:t>nombre de la operación que apoyará la CT:</w:t>
            </w:r>
          </w:p>
        </w:tc>
        <w:tc>
          <w:tcPr>
            <w:tcW w:w="6750" w:type="dxa"/>
          </w:tcPr>
          <w:p w14:paraId="7E1156C4" w14:textId="548C4D9E" w:rsidR="003E0B08" w:rsidRPr="00F66082" w:rsidRDefault="006E111B">
            <w:pPr>
              <w:spacing w:before="40" w:after="40"/>
              <w:rPr>
                <w:lang w:val="es-419"/>
              </w:rPr>
            </w:pPr>
            <w:r w:rsidRPr="00F66082">
              <w:rPr>
                <w:rFonts w:ascii="Arial" w:hAnsi="Arial" w:cs="Arial"/>
                <w:sz w:val="18"/>
                <w:szCs w:val="18"/>
                <w:lang w:val="es-419"/>
              </w:rPr>
              <w:t xml:space="preserve">Programa de Mejora en la Accesibilidad a los Servicios de Salud Materna y Neonatal en Bolivia </w:t>
            </w:r>
            <w:r w:rsidR="002D7C77">
              <w:rPr>
                <w:rFonts w:ascii="Arial" w:hAnsi="Arial" w:cs="Arial"/>
                <w:sz w:val="18"/>
                <w:szCs w:val="18"/>
                <w:lang w:val="es-419"/>
              </w:rPr>
              <w:t>–</w:t>
            </w:r>
            <w:r w:rsidRPr="00F66082">
              <w:rPr>
                <w:rFonts w:ascii="Arial" w:hAnsi="Arial" w:cs="Arial"/>
                <w:sz w:val="18"/>
                <w:szCs w:val="18"/>
                <w:lang w:val="es-419"/>
              </w:rPr>
              <w:t xml:space="preserve"> </w:t>
            </w:r>
            <w:r w:rsidR="002D7C77">
              <w:rPr>
                <w:rFonts w:ascii="Arial" w:hAnsi="Arial" w:cs="Arial"/>
                <w:sz w:val="18"/>
                <w:szCs w:val="18"/>
                <w:lang w:val="es-419"/>
              </w:rPr>
              <w:t>(</w:t>
            </w:r>
            <w:r w:rsidR="002D7C77" w:rsidRPr="002D7C77">
              <w:rPr>
                <w:rFonts w:ascii="Arial" w:hAnsi="Arial" w:cs="Arial"/>
                <w:sz w:val="18"/>
                <w:szCs w:val="18"/>
                <w:lang w:val="es-419"/>
              </w:rPr>
              <w:t>4612/BL-BO</w:t>
            </w:r>
            <w:r w:rsidR="002D7C77">
              <w:rPr>
                <w:rFonts w:ascii="Arial" w:hAnsi="Arial" w:cs="Arial"/>
                <w:sz w:val="18"/>
                <w:szCs w:val="18"/>
                <w:lang w:val="es-419"/>
              </w:rPr>
              <w:t>)</w:t>
            </w:r>
            <w:r w:rsidRPr="00F66082">
              <w:rPr>
                <w:rFonts w:ascii="Arial" w:hAnsi="Arial" w:cs="Arial"/>
                <w:sz w:val="18"/>
                <w:szCs w:val="18"/>
                <w:lang w:val="es-419"/>
              </w:rPr>
              <w:t xml:space="preserve"> </w:t>
            </w:r>
            <w:r w:rsidRPr="00F66082">
              <w:rPr>
                <w:rFonts w:ascii="Arial" w:hAnsi="Arial" w:cs="Arial"/>
                <w:sz w:val="18"/>
                <w:szCs w:val="18"/>
                <w:lang w:val="es-419"/>
              </w:rPr>
              <w:br/>
            </w:r>
            <w:r w:rsidRPr="00F66082">
              <w:rPr>
                <w:rFonts w:ascii="Arial" w:hAnsi="Arial" w:cs="Arial"/>
                <w:sz w:val="18"/>
                <w:szCs w:val="18"/>
                <w:lang w:val="es-419"/>
              </w:rPr>
              <w:br/>
            </w:r>
          </w:p>
        </w:tc>
      </w:tr>
      <w:tr w:rsidR="003E0B08" w14:paraId="1A01A44C" w14:textId="77777777">
        <w:trPr>
          <w:jc w:val="center"/>
        </w:trPr>
        <w:tc>
          <w:tcPr>
            <w:tcW w:w="5250" w:type="dxa"/>
          </w:tcPr>
          <w:p w14:paraId="34EF1987" w14:textId="77777777" w:rsidR="003E0B08" w:rsidRPr="00F66082" w:rsidRDefault="006E111B">
            <w:pPr>
              <w:spacing w:before="40" w:after="40"/>
              <w:ind w:left="115" w:hanging="115"/>
              <w:rPr>
                <w:lang w:val="es-419"/>
              </w:rPr>
            </w:pPr>
            <w:r w:rsidRPr="00F66082">
              <w:rPr>
                <w:rFonts w:ascii="Arial" w:hAnsi="Arial" w:cs="Arial"/>
                <w:sz w:val="18"/>
                <w:szCs w:val="18"/>
                <w:lang w:val="es-419"/>
              </w:rPr>
              <w:t>▪</w:t>
            </w:r>
            <w:r w:rsidRPr="00F66082">
              <w:rPr>
                <w:rFonts w:ascii="Arial" w:hAnsi="Arial" w:cs="Arial"/>
                <w:sz w:val="18"/>
                <w:szCs w:val="18"/>
                <w:lang w:val="es-419"/>
              </w:rPr>
              <w:t xml:space="preserve"> Fecha del Abstracto de CT:</w:t>
            </w:r>
          </w:p>
        </w:tc>
        <w:tc>
          <w:tcPr>
            <w:tcW w:w="6750" w:type="dxa"/>
          </w:tcPr>
          <w:p w14:paraId="53B320E4" w14:textId="77777777" w:rsidR="003E0B08" w:rsidRDefault="006E111B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29 Apr 2021</w:t>
            </w:r>
          </w:p>
        </w:tc>
      </w:tr>
      <w:tr w:rsidR="003E0B08" w14:paraId="4D4E79ED" w14:textId="77777777">
        <w:trPr>
          <w:jc w:val="center"/>
        </w:trPr>
        <w:tc>
          <w:tcPr>
            <w:tcW w:w="5250" w:type="dxa"/>
          </w:tcPr>
          <w:p w14:paraId="4C08A670" w14:textId="77777777" w:rsidR="003E0B08" w:rsidRDefault="006E111B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Beneficiario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6750" w:type="dxa"/>
          </w:tcPr>
          <w:p w14:paraId="02E604B0" w14:textId="77777777" w:rsidR="003E0B08" w:rsidRDefault="006E111B">
            <w:pPr>
              <w:spacing w:before="40" w:after="40"/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Ministerio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Salud</w:t>
            </w:r>
            <w:proofErr w:type="spellEnd"/>
          </w:p>
        </w:tc>
      </w:tr>
      <w:tr w:rsidR="003E0B08" w:rsidRPr="00437408" w14:paraId="78A8C477" w14:textId="77777777">
        <w:trPr>
          <w:jc w:val="center"/>
        </w:trPr>
        <w:tc>
          <w:tcPr>
            <w:tcW w:w="5250" w:type="dxa"/>
          </w:tcPr>
          <w:p w14:paraId="56A85676" w14:textId="77777777" w:rsidR="003E0B08" w:rsidRDefault="006E111B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Agencia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Ejecutora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6750" w:type="dxa"/>
          </w:tcPr>
          <w:p w14:paraId="1309C3C9" w14:textId="64D94739" w:rsidR="003E0B08" w:rsidRPr="00437408" w:rsidRDefault="007D318F">
            <w:pPr>
              <w:spacing w:before="40" w:after="40"/>
              <w:rPr>
                <w:lang w:val="es-419"/>
              </w:rPr>
            </w:pPr>
            <w:r w:rsidRPr="00437408">
              <w:rPr>
                <w:rFonts w:ascii="Arial" w:hAnsi="Arial" w:cs="Arial"/>
                <w:sz w:val="18"/>
                <w:szCs w:val="18"/>
                <w:lang w:val="es-419"/>
              </w:rPr>
              <w:t>Banco Interamericano de Desarrollo</w:t>
            </w:r>
            <w:r w:rsidR="00437408" w:rsidRPr="00437408">
              <w:rPr>
                <w:rFonts w:ascii="Arial" w:hAnsi="Arial" w:cs="Arial"/>
                <w:sz w:val="18"/>
                <w:szCs w:val="18"/>
                <w:lang w:val="es-419"/>
              </w:rPr>
              <w:t xml:space="preserve"> (B</w:t>
            </w:r>
            <w:r w:rsidR="00437408">
              <w:rPr>
                <w:rFonts w:ascii="Arial" w:hAnsi="Arial" w:cs="Arial"/>
                <w:sz w:val="18"/>
                <w:szCs w:val="18"/>
                <w:lang w:val="es-419"/>
              </w:rPr>
              <w:t>ID)</w:t>
            </w:r>
          </w:p>
        </w:tc>
      </w:tr>
      <w:tr w:rsidR="003E0B08" w14:paraId="40E74BE5" w14:textId="77777777">
        <w:trPr>
          <w:jc w:val="center"/>
        </w:trPr>
        <w:tc>
          <w:tcPr>
            <w:tcW w:w="5250" w:type="dxa"/>
          </w:tcPr>
          <w:p w14:paraId="7D86103F" w14:textId="77777777" w:rsidR="003E0B08" w:rsidRDefault="006E111B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Financiamiento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solicitado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del BID:</w:t>
            </w:r>
          </w:p>
        </w:tc>
        <w:tc>
          <w:tcPr>
            <w:tcW w:w="6750" w:type="dxa"/>
          </w:tcPr>
          <w:p w14:paraId="1B2A4D61" w14:textId="77777777" w:rsidR="003E0B08" w:rsidRDefault="006E111B">
            <w:pPr>
              <w:bidi/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US$500,000.00</w:t>
            </w:r>
          </w:p>
        </w:tc>
      </w:tr>
      <w:tr w:rsidR="003E0B08" w14:paraId="66B9FC31" w14:textId="77777777">
        <w:trPr>
          <w:jc w:val="center"/>
        </w:trPr>
        <w:tc>
          <w:tcPr>
            <w:tcW w:w="5250" w:type="dxa"/>
          </w:tcPr>
          <w:p w14:paraId="045758E0" w14:textId="77777777" w:rsidR="003E0B08" w:rsidRDefault="006E111B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Contrapartida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Local:</w:t>
            </w:r>
          </w:p>
        </w:tc>
        <w:tc>
          <w:tcPr>
            <w:tcW w:w="6750" w:type="dxa"/>
          </w:tcPr>
          <w:p w14:paraId="25F94432" w14:textId="77777777" w:rsidR="003E0B08" w:rsidRDefault="006E111B">
            <w:pPr>
              <w:bidi/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US$0.00</w:t>
            </w:r>
          </w:p>
        </w:tc>
      </w:tr>
      <w:tr w:rsidR="003E0B08" w14:paraId="6A1D24D5" w14:textId="77777777">
        <w:trPr>
          <w:jc w:val="center"/>
        </w:trPr>
        <w:tc>
          <w:tcPr>
            <w:tcW w:w="5250" w:type="dxa"/>
          </w:tcPr>
          <w:p w14:paraId="080CCF54" w14:textId="77777777" w:rsidR="003E0B08" w:rsidRDefault="006E111B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Periodo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Desembolso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6750" w:type="dxa"/>
          </w:tcPr>
          <w:p w14:paraId="6E7A6FBA" w14:textId="77777777" w:rsidR="003E0B08" w:rsidRDefault="006E111B">
            <w:pPr>
              <w:bidi/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36 meses</w:t>
            </w:r>
          </w:p>
        </w:tc>
      </w:tr>
      <w:tr w:rsidR="003E0B08" w14:paraId="62700DA4" w14:textId="77777777">
        <w:trPr>
          <w:jc w:val="center"/>
        </w:trPr>
        <w:tc>
          <w:tcPr>
            <w:tcW w:w="5250" w:type="dxa"/>
          </w:tcPr>
          <w:p w14:paraId="7B1AFFBA" w14:textId="77777777" w:rsidR="003E0B08" w:rsidRDefault="006E111B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Tipos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consultores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6750" w:type="dxa"/>
          </w:tcPr>
          <w:p w14:paraId="55D1888B" w14:textId="77777777" w:rsidR="003E0B08" w:rsidRDefault="006E111B">
            <w:pPr>
              <w:spacing w:before="40" w:after="40"/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Empresas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Individuos</w:t>
            </w:r>
            <w:proofErr w:type="spellEnd"/>
          </w:p>
        </w:tc>
      </w:tr>
      <w:tr w:rsidR="003E0B08" w:rsidRPr="00F66082" w14:paraId="461E83D5" w14:textId="77777777">
        <w:trPr>
          <w:jc w:val="center"/>
        </w:trPr>
        <w:tc>
          <w:tcPr>
            <w:tcW w:w="5250" w:type="dxa"/>
          </w:tcPr>
          <w:p w14:paraId="7FC841EA" w14:textId="77777777" w:rsidR="003E0B08" w:rsidRDefault="006E111B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Unidad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Responsable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Preparación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6750" w:type="dxa"/>
          </w:tcPr>
          <w:p w14:paraId="40959915" w14:textId="77777777" w:rsidR="003E0B08" w:rsidRPr="00F66082" w:rsidRDefault="006E111B">
            <w:pPr>
              <w:spacing w:before="40" w:after="40"/>
              <w:rPr>
                <w:lang w:val="es-419"/>
              </w:rPr>
            </w:pPr>
            <w:r w:rsidRPr="00F66082">
              <w:rPr>
                <w:rFonts w:ascii="Arial" w:hAnsi="Arial" w:cs="Arial"/>
                <w:sz w:val="18"/>
                <w:szCs w:val="18"/>
                <w:lang w:val="es-419"/>
              </w:rPr>
              <w:t xml:space="preserve">SCL/SPH - </w:t>
            </w:r>
            <w:proofErr w:type="spellStart"/>
            <w:r w:rsidRPr="00F66082">
              <w:rPr>
                <w:rFonts w:ascii="Arial" w:hAnsi="Arial" w:cs="Arial"/>
                <w:sz w:val="18"/>
                <w:szCs w:val="18"/>
                <w:lang w:val="es-419"/>
              </w:rPr>
              <w:t>Proteccion</w:t>
            </w:r>
            <w:proofErr w:type="spellEnd"/>
            <w:r w:rsidRPr="00F66082">
              <w:rPr>
                <w:rFonts w:ascii="Arial" w:hAnsi="Arial" w:cs="Arial"/>
                <w:sz w:val="18"/>
                <w:szCs w:val="18"/>
                <w:lang w:val="es-419"/>
              </w:rPr>
              <w:t xml:space="preserve"> Social y Salud</w:t>
            </w:r>
          </w:p>
        </w:tc>
      </w:tr>
      <w:tr w:rsidR="003E0B08" w14:paraId="3B7E54EE" w14:textId="77777777">
        <w:trPr>
          <w:jc w:val="center"/>
        </w:trPr>
        <w:tc>
          <w:tcPr>
            <w:tcW w:w="5250" w:type="dxa"/>
          </w:tcPr>
          <w:p w14:paraId="1BB46DFA" w14:textId="77777777" w:rsidR="003E0B08" w:rsidRDefault="006E111B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Unidad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Responsable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Desembolso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6750" w:type="dxa"/>
          </w:tcPr>
          <w:p w14:paraId="73EBE35D" w14:textId="77777777" w:rsidR="003E0B08" w:rsidRDefault="006E111B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 xml:space="preserve">CAN/CBO -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Representación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Bolivia</w:t>
            </w:r>
          </w:p>
        </w:tc>
      </w:tr>
      <w:tr w:rsidR="003E0B08" w14:paraId="4057399B" w14:textId="77777777">
        <w:trPr>
          <w:jc w:val="center"/>
        </w:trPr>
        <w:tc>
          <w:tcPr>
            <w:tcW w:w="5250" w:type="dxa"/>
          </w:tcPr>
          <w:p w14:paraId="788D08E5" w14:textId="77777777" w:rsidR="003E0B08" w:rsidRPr="00F66082" w:rsidRDefault="006E111B">
            <w:pPr>
              <w:spacing w:before="40" w:after="40"/>
              <w:rPr>
                <w:lang w:val="es-419"/>
              </w:rPr>
            </w:pPr>
            <w:r w:rsidRPr="00F66082">
              <w:rPr>
                <w:rFonts w:ascii="Arial" w:hAnsi="Arial" w:cs="Arial"/>
                <w:sz w:val="18"/>
                <w:szCs w:val="18"/>
                <w:lang w:val="es-419"/>
              </w:rPr>
              <w:t>▪</w:t>
            </w:r>
            <w:r w:rsidRPr="00F66082">
              <w:rPr>
                <w:rFonts w:ascii="Arial" w:hAnsi="Arial" w:cs="Arial"/>
                <w:sz w:val="18"/>
                <w:szCs w:val="18"/>
                <w:lang w:val="es-419"/>
              </w:rPr>
              <w:t xml:space="preserve"> CT incluida en la Estrategia de País (s/n):</w:t>
            </w:r>
            <w:r w:rsidRPr="00F66082">
              <w:rPr>
                <w:rFonts w:ascii="Arial" w:hAnsi="Arial" w:cs="Arial"/>
                <w:sz w:val="18"/>
                <w:szCs w:val="18"/>
                <w:lang w:val="es-419"/>
              </w:rPr>
              <w:br/>
            </w:r>
            <w:r w:rsidRPr="00F66082">
              <w:rPr>
                <w:rFonts w:ascii="Arial" w:hAnsi="Arial" w:cs="Arial"/>
                <w:sz w:val="18"/>
                <w:szCs w:val="18"/>
                <w:lang w:val="es-419"/>
              </w:rPr>
              <w:br/>
              <w:t>▪ CT incluida en CPD (s/n):</w:t>
            </w:r>
          </w:p>
        </w:tc>
        <w:tc>
          <w:tcPr>
            <w:tcW w:w="6750" w:type="dxa"/>
          </w:tcPr>
          <w:p w14:paraId="559B429C" w14:textId="77777777" w:rsidR="003E0B08" w:rsidRDefault="006E111B">
            <w:pPr>
              <w:spacing w:before="40" w:after="40"/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Sí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Sí</w:t>
            </w:r>
            <w:proofErr w:type="spellEnd"/>
          </w:p>
        </w:tc>
      </w:tr>
      <w:tr w:rsidR="003E0B08" w:rsidRPr="00F66082" w14:paraId="0525E807" w14:textId="77777777">
        <w:trPr>
          <w:jc w:val="center"/>
        </w:trPr>
        <w:tc>
          <w:tcPr>
            <w:tcW w:w="5250" w:type="dxa"/>
          </w:tcPr>
          <w:p w14:paraId="6D49CE77" w14:textId="77777777" w:rsidR="003E0B08" w:rsidRPr="00F66082" w:rsidRDefault="006E111B">
            <w:pPr>
              <w:spacing w:before="40" w:after="40"/>
              <w:ind w:left="115" w:hanging="115"/>
              <w:rPr>
                <w:lang w:val="es-419"/>
              </w:rPr>
            </w:pPr>
            <w:r w:rsidRPr="00F66082">
              <w:rPr>
                <w:rFonts w:ascii="Arial" w:hAnsi="Arial" w:cs="Arial"/>
                <w:sz w:val="18"/>
                <w:szCs w:val="18"/>
                <w:lang w:val="es-419"/>
              </w:rPr>
              <w:t>▪</w:t>
            </w:r>
            <w:r w:rsidRPr="00F66082">
              <w:rPr>
                <w:rFonts w:ascii="Arial" w:hAnsi="Arial" w:cs="Arial"/>
                <w:sz w:val="18"/>
                <w:szCs w:val="18"/>
                <w:lang w:val="es-419"/>
              </w:rPr>
              <w:t xml:space="preserve"> Alineación a la Actualización de la Estrategia Institucional </w:t>
            </w:r>
            <w:r w:rsidRPr="00F66082">
              <w:rPr>
                <w:rFonts w:ascii="Arial" w:hAnsi="Arial" w:cs="Arial"/>
                <w:sz w:val="18"/>
                <w:szCs w:val="18"/>
                <w:lang w:val="es-419"/>
              </w:rPr>
              <w:t>2010-2020:</w:t>
            </w:r>
          </w:p>
        </w:tc>
        <w:tc>
          <w:tcPr>
            <w:tcW w:w="6750" w:type="dxa"/>
          </w:tcPr>
          <w:p w14:paraId="43829F4B" w14:textId="77777777" w:rsidR="003E0B08" w:rsidRPr="00F66082" w:rsidRDefault="006E111B">
            <w:pPr>
              <w:spacing w:before="40" w:after="40"/>
              <w:rPr>
                <w:lang w:val="es-419"/>
              </w:rPr>
            </w:pPr>
            <w:r w:rsidRPr="00F66082">
              <w:rPr>
                <w:rFonts w:ascii="Arial" w:hAnsi="Arial" w:cs="Arial"/>
                <w:sz w:val="18"/>
                <w:szCs w:val="18"/>
                <w:lang w:val="es-419"/>
              </w:rPr>
              <w:t>Inclusión social e igualdad; Productividad e innovación; Capacidad institucional y estado de derecho</w:t>
            </w:r>
          </w:p>
        </w:tc>
      </w:tr>
      <w:tr w:rsidR="003E0B08" w:rsidRPr="00F66082" w14:paraId="2FDFF3BF" w14:textId="77777777">
        <w:trPr>
          <w:jc w:val="center"/>
        </w:trPr>
        <w:tc>
          <w:tcPr>
            <w:tcW w:w="5250" w:type="dxa"/>
          </w:tcPr>
          <w:p w14:paraId="1A42F79D" w14:textId="77777777" w:rsidR="003E0B08" w:rsidRPr="00F66082" w:rsidRDefault="003E0B08">
            <w:pPr>
              <w:rPr>
                <w:lang w:val="es-419"/>
              </w:rPr>
            </w:pPr>
          </w:p>
        </w:tc>
        <w:tc>
          <w:tcPr>
            <w:tcW w:w="6750" w:type="dxa"/>
          </w:tcPr>
          <w:p w14:paraId="1621F5D0" w14:textId="77777777" w:rsidR="003E0B08" w:rsidRPr="00F66082" w:rsidRDefault="003E0B08">
            <w:pPr>
              <w:rPr>
                <w:lang w:val="es-419"/>
              </w:rPr>
            </w:pPr>
          </w:p>
        </w:tc>
      </w:tr>
    </w:tbl>
    <w:p w14:paraId="3D96AF4B" w14:textId="77777777" w:rsidR="003E0B08" w:rsidRPr="00F66082" w:rsidRDefault="006E111B">
      <w:pPr>
        <w:spacing w:before="120" w:after="120"/>
        <w:ind w:left="579" w:hanging="579"/>
        <w:rPr>
          <w:lang w:val="es-419"/>
        </w:rPr>
      </w:pPr>
      <w:r w:rsidRPr="00F66082">
        <w:rPr>
          <w:rFonts w:ascii="Arial" w:hAnsi="Arial" w:cs="Arial"/>
          <w:b/>
          <w:lang w:val="es-419"/>
        </w:rPr>
        <w:t>II.</w:t>
      </w:r>
      <w:r w:rsidRPr="00F66082">
        <w:rPr>
          <w:rFonts w:ascii="Arial" w:hAnsi="Arial" w:cs="Arial"/>
          <w:b/>
          <w:lang w:val="es-419"/>
        </w:rPr>
        <w:tab/>
        <w:t>Objetivos y Justificación de la CT</w:t>
      </w:r>
    </w:p>
    <w:p w14:paraId="58CF9FF8" w14:textId="4CDC2007" w:rsidR="003E0B08" w:rsidRPr="00F66082" w:rsidRDefault="006E111B" w:rsidP="00F66082">
      <w:pPr>
        <w:pStyle w:val="ListParagraph"/>
        <w:numPr>
          <w:ilvl w:val="1"/>
          <w:numId w:val="2"/>
        </w:numPr>
        <w:spacing w:before="120" w:after="120"/>
        <w:ind w:left="634" w:hanging="634"/>
        <w:contextualSpacing w:val="0"/>
        <w:jc w:val="both"/>
        <w:rPr>
          <w:lang w:val="es-419"/>
        </w:rPr>
      </w:pPr>
      <w:r w:rsidRPr="00F66082">
        <w:rPr>
          <w:rFonts w:ascii="Arial" w:hAnsi="Arial" w:cs="Arial"/>
          <w:lang w:val="es-419"/>
        </w:rPr>
        <w:t xml:space="preserve">El objetivo de la </w:t>
      </w:r>
      <w:r w:rsidR="00F66082">
        <w:rPr>
          <w:rFonts w:ascii="Arial" w:hAnsi="Arial" w:cs="Arial"/>
          <w:lang w:val="es-419"/>
        </w:rPr>
        <w:t>C</w:t>
      </w:r>
      <w:r w:rsidRPr="00F66082">
        <w:rPr>
          <w:rFonts w:ascii="Arial" w:hAnsi="Arial" w:cs="Arial"/>
          <w:lang w:val="es-419"/>
        </w:rPr>
        <w:t xml:space="preserve">ooperación </w:t>
      </w:r>
      <w:r w:rsidR="00F66082">
        <w:rPr>
          <w:rFonts w:ascii="Arial" w:hAnsi="Arial" w:cs="Arial"/>
          <w:lang w:val="es-419"/>
        </w:rPr>
        <w:t>T</w:t>
      </w:r>
      <w:r w:rsidRPr="00F66082">
        <w:rPr>
          <w:rFonts w:ascii="Arial" w:hAnsi="Arial" w:cs="Arial"/>
          <w:lang w:val="es-419"/>
        </w:rPr>
        <w:t>écnica</w:t>
      </w:r>
      <w:r w:rsidR="00F66082">
        <w:rPr>
          <w:rFonts w:ascii="Arial" w:hAnsi="Arial" w:cs="Arial"/>
          <w:lang w:val="es-419"/>
        </w:rPr>
        <w:t xml:space="preserve"> (CT)</w:t>
      </w:r>
      <w:r w:rsidRPr="00F66082">
        <w:rPr>
          <w:rFonts w:ascii="Arial" w:hAnsi="Arial" w:cs="Arial"/>
          <w:lang w:val="es-419"/>
        </w:rPr>
        <w:t xml:space="preserve"> es apoyar al Ministerio de Salud en la  ejecución de</w:t>
      </w:r>
      <w:r w:rsidR="0098336B">
        <w:rPr>
          <w:rFonts w:ascii="Arial" w:hAnsi="Arial" w:cs="Arial"/>
          <w:lang w:val="es-419"/>
        </w:rPr>
        <w:t>l “</w:t>
      </w:r>
      <w:r w:rsidR="0098336B" w:rsidRPr="0098336B">
        <w:rPr>
          <w:rFonts w:ascii="Arial" w:hAnsi="Arial" w:cs="Arial"/>
          <w:lang w:val="es-419"/>
        </w:rPr>
        <w:t>Programa de Mejora en la Accesibilidad a los Servicios de Salud Materna y Neonatal en Bolivia</w:t>
      </w:r>
      <w:r w:rsidR="0098336B">
        <w:rPr>
          <w:rFonts w:ascii="Arial" w:hAnsi="Arial" w:cs="Arial"/>
          <w:lang w:val="es-419"/>
        </w:rPr>
        <w:t xml:space="preserve"> </w:t>
      </w:r>
      <w:r w:rsidR="002D7C77">
        <w:rPr>
          <w:rFonts w:ascii="Arial" w:hAnsi="Arial" w:cs="Arial"/>
          <w:lang w:val="es-419"/>
        </w:rPr>
        <w:t xml:space="preserve">- </w:t>
      </w:r>
      <w:r w:rsidR="0098336B">
        <w:rPr>
          <w:rFonts w:ascii="Arial" w:hAnsi="Arial" w:cs="Arial"/>
          <w:lang w:val="es-419"/>
        </w:rPr>
        <w:t>(</w:t>
      </w:r>
      <w:r w:rsidR="002D7C77" w:rsidRPr="002D7C77">
        <w:rPr>
          <w:rFonts w:ascii="Arial" w:hAnsi="Arial" w:cs="Arial"/>
          <w:lang w:val="es-419"/>
        </w:rPr>
        <w:t>4612/BL-BO</w:t>
      </w:r>
      <w:r w:rsidR="002D7C77">
        <w:rPr>
          <w:rFonts w:ascii="Arial" w:hAnsi="Arial" w:cs="Arial"/>
          <w:lang w:val="es-419"/>
        </w:rPr>
        <w:t>)</w:t>
      </w:r>
      <w:r w:rsidR="0098336B">
        <w:rPr>
          <w:rFonts w:ascii="Arial" w:hAnsi="Arial" w:cs="Arial"/>
          <w:lang w:val="es-419"/>
        </w:rPr>
        <w:t>”</w:t>
      </w:r>
      <w:r w:rsidRPr="00F66082">
        <w:rPr>
          <w:rFonts w:ascii="Arial" w:hAnsi="Arial" w:cs="Arial"/>
          <w:lang w:val="es-419"/>
        </w:rPr>
        <w:t xml:space="preserve">  de mejora en la accesibilidad a los servicios de salud materna y neonatal, elaborando una Política de Desarrollo de Recursos Humanos en Salud (RHS) orientada a promover la equidad en el acceso a los servicios de salud, tanto en materia </w:t>
      </w:r>
      <w:r w:rsidRPr="00F66082">
        <w:rPr>
          <w:rFonts w:ascii="Arial" w:hAnsi="Arial" w:cs="Arial"/>
          <w:lang w:val="es-419"/>
        </w:rPr>
        <w:t>de cobertura como  de calidad de atención y desarrollando un plan de adecuación de la red de servicios para hacer frente a la emergencia sanitaria COVID19 asegurando la continuidad en la provisión de los servicios esenciales de salud.</w:t>
      </w:r>
    </w:p>
    <w:p w14:paraId="4F0ED8E5" w14:textId="0438E225" w:rsidR="00F66082" w:rsidRPr="00F66082" w:rsidRDefault="006E111B" w:rsidP="00F66082">
      <w:pPr>
        <w:pStyle w:val="ListParagraph"/>
        <w:numPr>
          <w:ilvl w:val="1"/>
          <w:numId w:val="2"/>
        </w:numPr>
        <w:spacing w:before="120" w:after="120"/>
        <w:ind w:left="634" w:hanging="634"/>
        <w:contextualSpacing w:val="0"/>
        <w:jc w:val="both"/>
        <w:rPr>
          <w:lang w:val="es-419"/>
        </w:rPr>
      </w:pPr>
      <w:r w:rsidRPr="00F66082">
        <w:rPr>
          <w:rFonts w:ascii="Arial" w:hAnsi="Arial" w:cs="Arial"/>
          <w:lang w:val="es-419"/>
        </w:rPr>
        <w:t>Bolivia, con 14,1</w:t>
      </w:r>
      <w:r w:rsidRPr="00F66082">
        <w:rPr>
          <w:rFonts w:ascii="Arial" w:hAnsi="Arial" w:cs="Arial"/>
          <w:lang w:val="es-419"/>
        </w:rPr>
        <w:t xml:space="preserve"> profesionales sanitarios (médicos, enfermeros y parteras) por cada 10.000 habitantes, se encuentra entre los países de la región con un déficit mayor de </w:t>
      </w:r>
      <w:r w:rsidRPr="00F66082">
        <w:rPr>
          <w:rFonts w:ascii="Arial" w:hAnsi="Arial" w:cs="Arial"/>
          <w:lang w:val="es-419"/>
        </w:rPr>
        <w:t>RHS</w:t>
      </w:r>
      <w:r w:rsidRPr="00F66082">
        <w:rPr>
          <w:rFonts w:ascii="Arial" w:hAnsi="Arial" w:cs="Arial"/>
          <w:lang w:val="es-419"/>
        </w:rPr>
        <w:t xml:space="preserve">, sólo por encima de Honduras (13,6), Guatemala (12,5), Guyana (11,2) y </w:t>
      </w:r>
      <w:r w:rsidRPr="00F66082">
        <w:rPr>
          <w:rFonts w:ascii="Arial" w:hAnsi="Arial" w:cs="Arial"/>
          <w:lang w:val="es-419"/>
        </w:rPr>
        <w:t>Haití (3,6).</w:t>
      </w:r>
    </w:p>
    <w:p w14:paraId="45BF26F7" w14:textId="5763FC3C" w:rsidR="00F66082" w:rsidRPr="00F66082" w:rsidRDefault="006E111B" w:rsidP="00F66082">
      <w:pPr>
        <w:pStyle w:val="ListParagraph"/>
        <w:numPr>
          <w:ilvl w:val="1"/>
          <w:numId w:val="2"/>
        </w:numPr>
        <w:spacing w:before="120" w:after="120"/>
        <w:ind w:left="634" w:hanging="634"/>
        <w:contextualSpacing w:val="0"/>
        <w:jc w:val="both"/>
        <w:rPr>
          <w:lang w:val="es-419"/>
        </w:rPr>
      </w:pPr>
      <w:r w:rsidRPr="00F66082">
        <w:rPr>
          <w:rFonts w:ascii="Arial" w:hAnsi="Arial" w:cs="Arial"/>
          <w:lang w:val="es-419"/>
        </w:rPr>
        <w:lastRenderedPageBreak/>
        <w:t xml:space="preserve">El déficit en RHS repercute en una limitación del acceso a servicios de salud de calidad, lo cual explica en parte que Bolivia, a pesar de los </w:t>
      </w:r>
      <w:r w:rsidRPr="00F66082">
        <w:rPr>
          <w:rFonts w:ascii="Arial" w:hAnsi="Arial" w:cs="Arial"/>
          <w:lang w:val="es-419"/>
        </w:rPr>
        <w:t xml:space="preserve">avances que  ha venido </w:t>
      </w:r>
      <w:r w:rsidR="0019343D" w:rsidRPr="00F66082">
        <w:rPr>
          <w:rFonts w:ascii="Arial" w:hAnsi="Arial" w:cs="Arial"/>
          <w:lang w:val="es-419"/>
        </w:rPr>
        <w:t>desplegando</w:t>
      </w:r>
      <w:r w:rsidRPr="00F66082">
        <w:rPr>
          <w:rFonts w:ascii="Arial" w:hAnsi="Arial" w:cs="Arial"/>
          <w:lang w:val="es-419"/>
        </w:rPr>
        <w:t xml:space="preserve"> en desarrollo social, se mantenga entre los países de la r</w:t>
      </w:r>
      <w:r w:rsidRPr="00F66082">
        <w:rPr>
          <w:rFonts w:ascii="Arial" w:hAnsi="Arial" w:cs="Arial"/>
          <w:lang w:val="es-419"/>
        </w:rPr>
        <w:t>egión con los índices de expectativa de vida al nacer más bajos y con desafíos todavía muy importantes relacionados, por ejemplo, con la salud materno infantil o el estado nutricional de los niños; existiendo brechas muy pronunciadas entre las áreas urbana</w:t>
      </w:r>
      <w:r w:rsidRPr="00F66082">
        <w:rPr>
          <w:rFonts w:ascii="Arial" w:hAnsi="Arial" w:cs="Arial"/>
          <w:lang w:val="es-419"/>
        </w:rPr>
        <w:t xml:space="preserve">s y rurales. </w:t>
      </w:r>
    </w:p>
    <w:p w14:paraId="2B1C4461" w14:textId="59AFCBCD" w:rsidR="00F66082" w:rsidRPr="00F66082" w:rsidRDefault="006E111B" w:rsidP="00F66082">
      <w:pPr>
        <w:pStyle w:val="ListParagraph"/>
        <w:numPr>
          <w:ilvl w:val="1"/>
          <w:numId w:val="2"/>
        </w:numPr>
        <w:spacing w:before="120" w:after="120"/>
        <w:ind w:left="634" w:hanging="634"/>
        <w:contextualSpacing w:val="0"/>
        <w:jc w:val="both"/>
        <w:rPr>
          <w:lang w:val="es-419"/>
        </w:rPr>
      </w:pPr>
      <w:r w:rsidRPr="00F66082">
        <w:rPr>
          <w:rFonts w:ascii="Arial" w:hAnsi="Arial" w:cs="Arial"/>
          <w:lang w:val="es-419"/>
        </w:rPr>
        <w:t xml:space="preserve">La epidemia por la COVID-19  ha hecho que los servicios de salud vuelquen su atención en la contención y mitigación de la misma; sin embargo, esta </w:t>
      </w:r>
      <w:r w:rsidR="00482D7A" w:rsidRPr="00F66082">
        <w:rPr>
          <w:rFonts w:ascii="Arial" w:hAnsi="Arial" w:cs="Arial"/>
          <w:lang w:val="es-419"/>
        </w:rPr>
        <w:t>reorientación</w:t>
      </w:r>
      <w:r w:rsidRPr="00F66082">
        <w:rPr>
          <w:rFonts w:ascii="Arial" w:hAnsi="Arial" w:cs="Arial"/>
          <w:lang w:val="es-419"/>
        </w:rPr>
        <w:t xml:space="preserve"> de esfuerzos en una situación de </w:t>
      </w:r>
      <w:r w:rsidR="00482D7A" w:rsidRPr="00F66082">
        <w:rPr>
          <w:rFonts w:ascii="Arial" w:hAnsi="Arial" w:cs="Arial"/>
          <w:lang w:val="es-419"/>
        </w:rPr>
        <w:t>déficit</w:t>
      </w:r>
      <w:r w:rsidRPr="00F66082">
        <w:rPr>
          <w:rFonts w:ascii="Arial" w:hAnsi="Arial" w:cs="Arial"/>
          <w:lang w:val="es-419"/>
        </w:rPr>
        <w:t xml:space="preserve"> endémico de RHS presenta el riesgo de d</w:t>
      </w:r>
      <w:r w:rsidRPr="00F66082">
        <w:rPr>
          <w:rFonts w:ascii="Arial" w:hAnsi="Arial" w:cs="Arial"/>
          <w:lang w:val="es-419"/>
        </w:rPr>
        <w:t>escuidar la provisión de servicios esenciales para la población, lo cual puede llegar a ser un problema sanitario a corto y mediano plazo por una demanda desatendida que, con el tiempo, se convertirá en una  carga acumulada importante para los servicios de</w:t>
      </w:r>
      <w:r w:rsidRPr="00F66082">
        <w:rPr>
          <w:rFonts w:ascii="Arial" w:hAnsi="Arial" w:cs="Arial"/>
          <w:lang w:val="es-419"/>
        </w:rPr>
        <w:t xml:space="preserve"> salud.</w:t>
      </w:r>
    </w:p>
    <w:p w14:paraId="544131FB" w14:textId="2DE5E5C5" w:rsidR="00F66082" w:rsidRPr="00F66082" w:rsidRDefault="006E111B" w:rsidP="00F66082">
      <w:pPr>
        <w:pStyle w:val="ListParagraph"/>
        <w:numPr>
          <w:ilvl w:val="1"/>
          <w:numId w:val="2"/>
        </w:numPr>
        <w:spacing w:before="120" w:after="120"/>
        <w:ind w:left="634" w:hanging="634"/>
        <w:contextualSpacing w:val="0"/>
        <w:jc w:val="both"/>
        <w:rPr>
          <w:lang w:val="es-419"/>
        </w:rPr>
      </w:pPr>
      <w:r w:rsidRPr="00F66082">
        <w:rPr>
          <w:rFonts w:ascii="Arial" w:hAnsi="Arial" w:cs="Arial"/>
          <w:lang w:val="es-419"/>
        </w:rPr>
        <w:t>Adaptarse a la situación actual, es decir hacer frente a la emergencia sanitaria COVID</w:t>
      </w:r>
      <w:r w:rsidR="00684FFA">
        <w:rPr>
          <w:rFonts w:ascii="Arial" w:hAnsi="Arial" w:cs="Arial"/>
          <w:lang w:val="es-419"/>
        </w:rPr>
        <w:noBreakHyphen/>
      </w:r>
      <w:r w:rsidRPr="00F66082">
        <w:rPr>
          <w:rFonts w:ascii="Arial" w:hAnsi="Arial" w:cs="Arial"/>
          <w:lang w:val="es-419"/>
        </w:rPr>
        <w:t>19 asegurando la continuidad en la provisión de los servicios esenciales de salud</w:t>
      </w:r>
      <w:r w:rsidR="00684FFA">
        <w:rPr>
          <w:rFonts w:ascii="Arial" w:hAnsi="Arial" w:cs="Arial"/>
          <w:lang w:val="es-419"/>
        </w:rPr>
        <w:t>,</w:t>
      </w:r>
      <w:r w:rsidRPr="00F66082">
        <w:rPr>
          <w:rFonts w:ascii="Arial" w:hAnsi="Arial" w:cs="Arial"/>
          <w:lang w:val="es-419"/>
        </w:rPr>
        <w:t xml:space="preserve"> implica la adecuación de la red de servicios de salud. Esta adecuación requiere </w:t>
      </w:r>
      <w:r w:rsidRPr="00F66082">
        <w:rPr>
          <w:rFonts w:ascii="Arial" w:hAnsi="Arial" w:cs="Arial"/>
          <w:lang w:val="es-419"/>
        </w:rPr>
        <w:t xml:space="preserve">el fortalecimiento de la capacidad de gestión de las coordinaciones de red, así como el fortalecimiento y mejora de las capacidades resolutivas del recurso humano de salud del primer nivel de atención, </w:t>
      </w:r>
      <w:r w:rsidR="00F66082" w:rsidRPr="00F66082">
        <w:rPr>
          <w:rFonts w:ascii="Arial" w:hAnsi="Arial" w:cs="Arial"/>
          <w:lang w:val="es-419"/>
        </w:rPr>
        <w:t>implementando nuevas</w:t>
      </w:r>
      <w:r w:rsidRPr="00F66082">
        <w:rPr>
          <w:rFonts w:ascii="Arial" w:hAnsi="Arial" w:cs="Arial"/>
          <w:lang w:val="es-419"/>
        </w:rPr>
        <w:t xml:space="preserve"> modalidades de brindar servicios</w:t>
      </w:r>
      <w:r w:rsidRPr="00F66082">
        <w:rPr>
          <w:rFonts w:ascii="Arial" w:hAnsi="Arial" w:cs="Arial"/>
          <w:lang w:val="es-419"/>
        </w:rPr>
        <w:t xml:space="preserve"> más eficientes y mejorando la calidad de las mismas.</w:t>
      </w:r>
    </w:p>
    <w:p w14:paraId="6FE28117" w14:textId="17EBC766" w:rsidR="00F66082" w:rsidRPr="00F66082" w:rsidRDefault="006E111B" w:rsidP="00F66082">
      <w:pPr>
        <w:pStyle w:val="ListParagraph"/>
        <w:numPr>
          <w:ilvl w:val="1"/>
          <w:numId w:val="2"/>
        </w:numPr>
        <w:spacing w:before="120" w:after="120"/>
        <w:ind w:left="634" w:hanging="634"/>
        <w:contextualSpacing w:val="0"/>
        <w:jc w:val="both"/>
        <w:rPr>
          <w:lang w:val="es-419"/>
        </w:rPr>
      </w:pPr>
      <w:r w:rsidRPr="00F66082">
        <w:rPr>
          <w:rFonts w:ascii="Arial" w:hAnsi="Arial" w:cs="Arial"/>
          <w:lang w:val="es-419"/>
        </w:rPr>
        <w:t xml:space="preserve">La presente </w:t>
      </w:r>
      <w:r w:rsidR="00F66082">
        <w:rPr>
          <w:rFonts w:ascii="Arial" w:hAnsi="Arial" w:cs="Arial"/>
          <w:lang w:val="es-419"/>
        </w:rPr>
        <w:t>CT</w:t>
      </w:r>
      <w:r w:rsidRPr="00F66082">
        <w:rPr>
          <w:rFonts w:ascii="Arial" w:hAnsi="Arial" w:cs="Arial"/>
          <w:lang w:val="es-419"/>
        </w:rPr>
        <w:t xml:space="preserve"> financiará el </w:t>
      </w:r>
      <w:r w:rsidR="00F66082" w:rsidRPr="00F66082">
        <w:rPr>
          <w:rFonts w:ascii="Arial" w:hAnsi="Arial" w:cs="Arial"/>
          <w:lang w:val="es-419"/>
        </w:rPr>
        <w:t>diseño</w:t>
      </w:r>
      <w:r w:rsidRPr="00F66082">
        <w:rPr>
          <w:rFonts w:ascii="Arial" w:hAnsi="Arial" w:cs="Arial"/>
          <w:lang w:val="es-419"/>
        </w:rPr>
        <w:t xml:space="preserve"> de lineamientos para la adecuación de la red de servicios y el desarrollo de políticas de RHS que permitirá asegurar la continuidad de los programas </w:t>
      </w:r>
      <w:r w:rsidRPr="00F66082">
        <w:rPr>
          <w:rFonts w:ascii="Arial" w:hAnsi="Arial" w:cs="Arial"/>
          <w:lang w:val="es-419"/>
        </w:rPr>
        <w:t>prioritarios y la atención de poblaciones en condición de vulnerabilidad durante el periodo de transmisión comunitaria sostenida de la pandemia de COVID-19.</w:t>
      </w:r>
    </w:p>
    <w:p w14:paraId="072F677A" w14:textId="26ECA350" w:rsidR="00F66082" w:rsidRPr="00F66082" w:rsidRDefault="006E111B" w:rsidP="00F66082">
      <w:pPr>
        <w:pStyle w:val="ListParagraph"/>
        <w:numPr>
          <w:ilvl w:val="1"/>
          <w:numId w:val="2"/>
        </w:numPr>
        <w:spacing w:before="120" w:after="120"/>
        <w:ind w:left="634" w:hanging="634"/>
        <w:contextualSpacing w:val="0"/>
        <w:jc w:val="both"/>
        <w:rPr>
          <w:lang w:val="es-419"/>
        </w:rPr>
      </w:pPr>
      <w:r w:rsidRPr="00F66082">
        <w:rPr>
          <w:rFonts w:ascii="Arial" w:hAnsi="Arial" w:cs="Arial"/>
          <w:lang w:val="es-419"/>
        </w:rPr>
        <w:t>La adecuación de la red de servicios reposa sobre los siguientes pilares: (i)</w:t>
      </w:r>
      <w:r w:rsidR="00F302D7">
        <w:rPr>
          <w:rFonts w:ascii="Arial" w:hAnsi="Arial" w:cs="Arial"/>
          <w:lang w:val="es-419"/>
        </w:rPr>
        <w:t> f</w:t>
      </w:r>
      <w:r w:rsidRPr="00F66082">
        <w:rPr>
          <w:rFonts w:ascii="Arial" w:hAnsi="Arial" w:cs="Arial"/>
          <w:lang w:val="es-419"/>
        </w:rPr>
        <w:t>ortalecimiento de la</w:t>
      </w:r>
      <w:r w:rsidRPr="00F66082">
        <w:rPr>
          <w:rFonts w:ascii="Arial" w:hAnsi="Arial" w:cs="Arial"/>
          <w:lang w:val="es-419"/>
        </w:rPr>
        <w:t>s Coordinaciones de Red; (</w:t>
      </w:r>
      <w:proofErr w:type="spellStart"/>
      <w:r w:rsidRPr="00F66082">
        <w:rPr>
          <w:rFonts w:ascii="Arial" w:hAnsi="Arial" w:cs="Arial"/>
          <w:lang w:val="es-419"/>
        </w:rPr>
        <w:t>ii</w:t>
      </w:r>
      <w:proofErr w:type="spellEnd"/>
      <w:r w:rsidRPr="00F66082">
        <w:rPr>
          <w:rFonts w:ascii="Arial" w:hAnsi="Arial" w:cs="Arial"/>
          <w:lang w:val="es-419"/>
        </w:rPr>
        <w:t xml:space="preserve">) </w:t>
      </w:r>
      <w:r w:rsidR="00F302D7">
        <w:rPr>
          <w:rFonts w:ascii="Arial" w:hAnsi="Arial" w:cs="Arial"/>
          <w:lang w:val="es-419"/>
        </w:rPr>
        <w:t>f</w:t>
      </w:r>
      <w:r w:rsidRPr="00F66082">
        <w:rPr>
          <w:rFonts w:ascii="Arial" w:hAnsi="Arial" w:cs="Arial"/>
          <w:lang w:val="es-419"/>
        </w:rPr>
        <w:t>ortalecimiento del Primer Nivel de Atención; (</w:t>
      </w:r>
      <w:proofErr w:type="spellStart"/>
      <w:r w:rsidRPr="00F66082">
        <w:rPr>
          <w:rFonts w:ascii="Arial" w:hAnsi="Arial" w:cs="Arial"/>
          <w:lang w:val="es-419"/>
        </w:rPr>
        <w:t>iii</w:t>
      </w:r>
      <w:proofErr w:type="spellEnd"/>
      <w:r w:rsidRPr="00F66082">
        <w:rPr>
          <w:rFonts w:ascii="Arial" w:hAnsi="Arial" w:cs="Arial"/>
          <w:lang w:val="es-419"/>
        </w:rPr>
        <w:t xml:space="preserve">) </w:t>
      </w:r>
      <w:r w:rsidR="00F302D7">
        <w:rPr>
          <w:rFonts w:ascii="Arial" w:hAnsi="Arial" w:cs="Arial"/>
          <w:lang w:val="es-419"/>
        </w:rPr>
        <w:t>c</w:t>
      </w:r>
      <w:r w:rsidRPr="00F66082">
        <w:rPr>
          <w:rFonts w:ascii="Arial" w:hAnsi="Arial" w:cs="Arial"/>
          <w:lang w:val="es-419"/>
        </w:rPr>
        <w:t>onformación de Brigadas de Vigilancia Comunitaria; (</w:t>
      </w:r>
      <w:proofErr w:type="spellStart"/>
      <w:r w:rsidRPr="00F66082">
        <w:rPr>
          <w:rFonts w:ascii="Arial" w:hAnsi="Arial" w:cs="Arial"/>
          <w:lang w:val="es-419"/>
        </w:rPr>
        <w:t>iii</w:t>
      </w:r>
      <w:proofErr w:type="spellEnd"/>
      <w:r w:rsidRPr="00F66082">
        <w:rPr>
          <w:rFonts w:ascii="Arial" w:hAnsi="Arial" w:cs="Arial"/>
          <w:lang w:val="es-419"/>
        </w:rPr>
        <w:t xml:space="preserve">) </w:t>
      </w:r>
      <w:r w:rsidR="00F302D7">
        <w:rPr>
          <w:rFonts w:ascii="Arial" w:hAnsi="Arial" w:cs="Arial"/>
          <w:lang w:val="es-419"/>
        </w:rPr>
        <w:t>m</w:t>
      </w:r>
      <w:r w:rsidRPr="00F66082">
        <w:rPr>
          <w:rFonts w:ascii="Arial" w:hAnsi="Arial" w:cs="Arial"/>
          <w:lang w:val="es-419"/>
        </w:rPr>
        <w:t>ejoramiento de la capacidad resolutiva del primer nivel de atención; (</w:t>
      </w:r>
      <w:proofErr w:type="spellStart"/>
      <w:r w:rsidRPr="00F66082">
        <w:rPr>
          <w:rFonts w:ascii="Arial" w:hAnsi="Arial" w:cs="Arial"/>
          <w:lang w:val="es-419"/>
        </w:rPr>
        <w:t>iv</w:t>
      </w:r>
      <w:proofErr w:type="spellEnd"/>
      <w:r w:rsidRPr="00F66082">
        <w:rPr>
          <w:rFonts w:ascii="Arial" w:hAnsi="Arial" w:cs="Arial"/>
          <w:lang w:val="es-419"/>
        </w:rPr>
        <w:t xml:space="preserve">) </w:t>
      </w:r>
      <w:r w:rsidR="00F302D7">
        <w:rPr>
          <w:rFonts w:ascii="Arial" w:hAnsi="Arial" w:cs="Arial"/>
          <w:lang w:val="es-419"/>
        </w:rPr>
        <w:t>a</w:t>
      </w:r>
      <w:r w:rsidRPr="00F66082">
        <w:rPr>
          <w:rFonts w:ascii="Arial" w:hAnsi="Arial" w:cs="Arial"/>
          <w:lang w:val="es-419"/>
        </w:rPr>
        <w:t>tención y seguimiento de pacientes a dis</w:t>
      </w:r>
      <w:r w:rsidRPr="00F66082">
        <w:rPr>
          <w:rFonts w:ascii="Arial" w:hAnsi="Arial" w:cs="Arial"/>
          <w:lang w:val="es-419"/>
        </w:rPr>
        <w:t xml:space="preserve">tancia (Telemedicina y transformación digital).  </w:t>
      </w:r>
    </w:p>
    <w:p w14:paraId="3038D120" w14:textId="576EEC06" w:rsidR="003E0B08" w:rsidRPr="00F66082" w:rsidRDefault="006E111B" w:rsidP="00F66082">
      <w:pPr>
        <w:pStyle w:val="ListParagraph"/>
        <w:numPr>
          <w:ilvl w:val="1"/>
          <w:numId w:val="2"/>
        </w:numPr>
        <w:spacing w:before="120" w:after="120"/>
        <w:ind w:left="634" w:hanging="634"/>
        <w:contextualSpacing w:val="0"/>
        <w:jc w:val="both"/>
        <w:rPr>
          <w:lang w:val="es-419"/>
        </w:rPr>
      </w:pPr>
      <w:r w:rsidRPr="00F66082">
        <w:rPr>
          <w:rFonts w:ascii="Arial" w:hAnsi="Arial" w:cs="Arial"/>
          <w:lang w:val="es-419"/>
        </w:rPr>
        <w:t>Estos pilares a su vez se deben apoyar sobre un programa de capacitación continuo para mejorar las capacidades en el campo de la gestión y en el campo asistencial y la transformación digital integral del si</w:t>
      </w:r>
      <w:r w:rsidRPr="00F66082">
        <w:rPr>
          <w:rFonts w:ascii="Arial" w:hAnsi="Arial" w:cs="Arial"/>
          <w:lang w:val="es-419"/>
        </w:rPr>
        <w:t xml:space="preserve">stema, considerando tanto el </w:t>
      </w:r>
      <w:r w:rsidR="001E04AB" w:rsidRPr="00F66082">
        <w:rPr>
          <w:rFonts w:ascii="Arial" w:hAnsi="Arial" w:cs="Arial"/>
          <w:lang w:val="es-419"/>
        </w:rPr>
        <w:t>subsector</w:t>
      </w:r>
      <w:r w:rsidRPr="00F66082">
        <w:rPr>
          <w:rFonts w:ascii="Arial" w:hAnsi="Arial" w:cs="Arial"/>
          <w:lang w:val="es-419"/>
        </w:rPr>
        <w:t xml:space="preserve"> </w:t>
      </w:r>
      <w:r w:rsidR="001E04AB" w:rsidRPr="00F66082">
        <w:rPr>
          <w:rFonts w:ascii="Arial" w:hAnsi="Arial" w:cs="Arial"/>
          <w:lang w:val="es-419"/>
        </w:rPr>
        <w:t>público</w:t>
      </w:r>
      <w:r w:rsidRPr="00F66082">
        <w:rPr>
          <w:rFonts w:ascii="Arial" w:hAnsi="Arial" w:cs="Arial"/>
          <w:lang w:val="es-419"/>
        </w:rPr>
        <w:t xml:space="preserve"> como el </w:t>
      </w:r>
      <w:r w:rsidR="001E04AB" w:rsidRPr="00F66082">
        <w:rPr>
          <w:rFonts w:ascii="Arial" w:hAnsi="Arial" w:cs="Arial"/>
          <w:lang w:val="es-419"/>
        </w:rPr>
        <w:t>subsector</w:t>
      </w:r>
      <w:r w:rsidRPr="00F66082">
        <w:rPr>
          <w:rFonts w:ascii="Arial" w:hAnsi="Arial" w:cs="Arial"/>
          <w:lang w:val="es-419"/>
        </w:rPr>
        <w:t xml:space="preserve"> seguridad social.</w:t>
      </w:r>
    </w:p>
    <w:p w14:paraId="0EBB7EE9" w14:textId="77777777" w:rsidR="003E0B08" w:rsidRPr="00F66082" w:rsidRDefault="006E111B">
      <w:pPr>
        <w:spacing w:before="120" w:after="120"/>
        <w:ind w:left="579" w:hanging="579"/>
        <w:rPr>
          <w:lang w:val="es-419"/>
        </w:rPr>
      </w:pPr>
      <w:r w:rsidRPr="00F66082">
        <w:rPr>
          <w:rFonts w:ascii="Arial" w:hAnsi="Arial" w:cs="Arial"/>
          <w:b/>
          <w:lang w:val="es-419"/>
        </w:rPr>
        <w:t>III.</w:t>
      </w:r>
      <w:r w:rsidRPr="00F66082">
        <w:rPr>
          <w:rFonts w:ascii="Arial" w:hAnsi="Arial" w:cs="Arial"/>
          <w:b/>
          <w:lang w:val="es-419"/>
        </w:rPr>
        <w:tab/>
        <w:t>Descripción de las Actividades y Resultados</w:t>
      </w:r>
    </w:p>
    <w:p w14:paraId="4A0072A8" w14:textId="55DD9EE8" w:rsidR="003E0B08" w:rsidRPr="00F66082" w:rsidRDefault="006E111B">
      <w:pPr>
        <w:spacing w:before="120" w:after="120"/>
        <w:ind w:left="579" w:hanging="579"/>
        <w:jc w:val="both"/>
        <w:rPr>
          <w:lang w:val="es-419"/>
        </w:rPr>
      </w:pPr>
      <w:r w:rsidRPr="00F66082">
        <w:rPr>
          <w:rFonts w:ascii="Arial" w:hAnsi="Arial" w:cs="Arial"/>
          <w:lang w:val="es-419"/>
        </w:rPr>
        <w:t>3.1</w:t>
      </w:r>
      <w:r w:rsidRPr="00F66082">
        <w:rPr>
          <w:rFonts w:ascii="Arial" w:hAnsi="Arial" w:cs="Arial"/>
          <w:lang w:val="es-419"/>
        </w:rPr>
        <w:tab/>
      </w:r>
      <w:r w:rsidRPr="00F66082">
        <w:rPr>
          <w:rFonts w:ascii="Arial" w:hAnsi="Arial" w:cs="Arial"/>
          <w:b/>
          <w:lang w:val="es-419"/>
        </w:rPr>
        <w:t xml:space="preserve">Componente </w:t>
      </w:r>
      <w:r w:rsidR="00B97A44">
        <w:rPr>
          <w:rFonts w:ascii="Arial" w:hAnsi="Arial" w:cs="Arial"/>
          <w:b/>
          <w:lang w:val="es-419"/>
        </w:rPr>
        <w:t>1</w:t>
      </w:r>
      <w:r w:rsidRPr="00F66082">
        <w:rPr>
          <w:rFonts w:ascii="Arial" w:hAnsi="Arial" w:cs="Arial"/>
          <w:b/>
          <w:lang w:val="es-419"/>
        </w:rPr>
        <w:t xml:space="preserve">: </w:t>
      </w:r>
      <w:r w:rsidR="00B97A44" w:rsidRPr="00F66082">
        <w:rPr>
          <w:rFonts w:ascii="Arial" w:hAnsi="Arial" w:cs="Arial"/>
          <w:b/>
          <w:lang w:val="es-419"/>
        </w:rPr>
        <w:t>Actualización</w:t>
      </w:r>
      <w:r w:rsidRPr="00F66082">
        <w:rPr>
          <w:rFonts w:ascii="Arial" w:hAnsi="Arial" w:cs="Arial"/>
          <w:b/>
          <w:lang w:val="es-419"/>
        </w:rPr>
        <w:t xml:space="preserve"> de la política de desarrollo de RHS y fortalecimiento de la gobernanza. </w:t>
      </w:r>
      <w:r w:rsidRPr="00F66082">
        <w:rPr>
          <w:rFonts w:ascii="Arial" w:hAnsi="Arial" w:cs="Arial"/>
          <w:lang w:val="es-419"/>
        </w:rPr>
        <w:t xml:space="preserve">Elaboración de un </w:t>
      </w:r>
      <w:r w:rsidRPr="00F66082">
        <w:rPr>
          <w:rFonts w:ascii="Arial" w:hAnsi="Arial" w:cs="Arial"/>
          <w:lang w:val="es-419"/>
        </w:rPr>
        <w:t>diagnóstico sobre la situación del marco normativo existente y desarrollo de una propuesta de actualización de la actual política de RHS.</w:t>
      </w:r>
    </w:p>
    <w:p w14:paraId="0E3B71D9" w14:textId="14E55B6E" w:rsidR="003E0B08" w:rsidRPr="00F66082" w:rsidRDefault="006E111B">
      <w:pPr>
        <w:spacing w:before="120" w:after="120"/>
        <w:ind w:left="579" w:hanging="579"/>
        <w:jc w:val="both"/>
        <w:rPr>
          <w:lang w:val="es-419"/>
        </w:rPr>
      </w:pPr>
      <w:r w:rsidRPr="00F66082">
        <w:rPr>
          <w:rFonts w:ascii="Arial" w:hAnsi="Arial" w:cs="Arial"/>
          <w:lang w:val="es-419"/>
        </w:rPr>
        <w:t>3.2</w:t>
      </w:r>
      <w:r w:rsidRPr="00F66082">
        <w:rPr>
          <w:rFonts w:ascii="Arial" w:hAnsi="Arial" w:cs="Arial"/>
          <w:lang w:val="es-419"/>
        </w:rPr>
        <w:tab/>
      </w:r>
      <w:r w:rsidRPr="00F66082">
        <w:rPr>
          <w:rFonts w:ascii="Arial" w:hAnsi="Arial" w:cs="Arial"/>
          <w:b/>
          <w:lang w:val="es-419"/>
        </w:rPr>
        <w:t xml:space="preserve">Componente </w:t>
      </w:r>
      <w:r w:rsidR="00B97A44">
        <w:rPr>
          <w:rFonts w:ascii="Arial" w:hAnsi="Arial" w:cs="Arial"/>
          <w:b/>
          <w:lang w:val="es-419"/>
        </w:rPr>
        <w:t>2</w:t>
      </w:r>
      <w:r w:rsidRPr="00F66082">
        <w:rPr>
          <w:rFonts w:ascii="Arial" w:hAnsi="Arial" w:cs="Arial"/>
          <w:b/>
          <w:lang w:val="es-419"/>
        </w:rPr>
        <w:t xml:space="preserve">: Cuantificación y Planificación de las necesidades de RHS. </w:t>
      </w:r>
      <w:r w:rsidRPr="00F66082">
        <w:rPr>
          <w:rFonts w:ascii="Arial" w:hAnsi="Arial" w:cs="Arial"/>
          <w:lang w:val="es-419"/>
        </w:rPr>
        <w:t xml:space="preserve">Cuantificación de las </w:t>
      </w:r>
      <w:r w:rsidRPr="00F66082">
        <w:rPr>
          <w:rFonts w:ascii="Arial" w:hAnsi="Arial" w:cs="Arial"/>
          <w:lang w:val="es-419"/>
        </w:rPr>
        <w:t xml:space="preserve">necesidades futuras de RHS en las redes de salud beneficiarias de la operación </w:t>
      </w:r>
      <w:r w:rsidR="002D7C77">
        <w:rPr>
          <w:rFonts w:ascii="Arial" w:hAnsi="Arial" w:cs="Arial"/>
          <w:lang w:val="es-419"/>
        </w:rPr>
        <w:t>4612/BL-BO</w:t>
      </w:r>
      <w:r w:rsidRPr="00F66082">
        <w:rPr>
          <w:rFonts w:ascii="Arial" w:hAnsi="Arial" w:cs="Arial"/>
          <w:lang w:val="es-419"/>
        </w:rPr>
        <w:t xml:space="preserve"> así como para los programas específicos de </w:t>
      </w:r>
      <w:r w:rsidR="00B97A44" w:rsidRPr="00F66082">
        <w:rPr>
          <w:rFonts w:ascii="Arial" w:hAnsi="Arial" w:cs="Arial"/>
          <w:lang w:val="es-419"/>
        </w:rPr>
        <w:t>cáncer</w:t>
      </w:r>
      <w:r w:rsidRPr="00F66082">
        <w:rPr>
          <w:rFonts w:ascii="Arial" w:hAnsi="Arial" w:cs="Arial"/>
          <w:lang w:val="es-419"/>
        </w:rPr>
        <w:t xml:space="preserve"> y salud renal en el marco del fortalecimiento del Sistema Único de Salud (SUS)</w:t>
      </w:r>
    </w:p>
    <w:p w14:paraId="198B4B01" w14:textId="6D6D83E8" w:rsidR="003E0B08" w:rsidRPr="00F66082" w:rsidRDefault="006E111B">
      <w:pPr>
        <w:spacing w:before="120" w:after="120"/>
        <w:ind w:left="579" w:hanging="579"/>
        <w:jc w:val="both"/>
        <w:rPr>
          <w:lang w:val="es-419"/>
        </w:rPr>
      </w:pPr>
      <w:r w:rsidRPr="00F66082">
        <w:rPr>
          <w:rFonts w:ascii="Arial" w:hAnsi="Arial" w:cs="Arial"/>
          <w:lang w:val="es-419"/>
        </w:rPr>
        <w:t>3.3</w:t>
      </w:r>
      <w:r w:rsidRPr="00F66082">
        <w:rPr>
          <w:rFonts w:ascii="Arial" w:hAnsi="Arial" w:cs="Arial"/>
          <w:lang w:val="es-419"/>
        </w:rPr>
        <w:tab/>
      </w:r>
      <w:r w:rsidRPr="00F66082">
        <w:rPr>
          <w:rFonts w:ascii="Arial" w:hAnsi="Arial" w:cs="Arial"/>
          <w:b/>
          <w:lang w:val="es-419"/>
        </w:rPr>
        <w:t xml:space="preserve">Componente </w:t>
      </w:r>
      <w:r w:rsidR="00B97A44">
        <w:rPr>
          <w:rFonts w:ascii="Arial" w:hAnsi="Arial" w:cs="Arial"/>
          <w:b/>
          <w:lang w:val="es-419"/>
        </w:rPr>
        <w:t>3</w:t>
      </w:r>
      <w:r w:rsidRPr="00F66082">
        <w:rPr>
          <w:rFonts w:ascii="Arial" w:hAnsi="Arial" w:cs="Arial"/>
          <w:b/>
          <w:lang w:val="es-419"/>
        </w:rPr>
        <w:t>: Adecuación de la re</w:t>
      </w:r>
      <w:r w:rsidRPr="00F66082">
        <w:rPr>
          <w:rFonts w:ascii="Arial" w:hAnsi="Arial" w:cs="Arial"/>
          <w:b/>
          <w:lang w:val="es-419"/>
        </w:rPr>
        <w:t>d de servicios para hacer frente a la emergencia sanitaria COVID</w:t>
      </w:r>
      <w:r w:rsidR="00B97A44">
        <w:rPr>
          <w:rFonts w:ascii="Arial" w:hAnsi="Arial" w:cs="Arial"/>
          <w:b/>
          <w:lang w:val="es-419"/>
        </w:rPr>
        <w:noBreakHyphen/>
      </w:r>
      <w:r w:rsidR="00B97A44" w:rsidRPr="00F66082">
        <w:rPr>
          <w:rFonts w:ascii="Arial" w:hAnsi="Arial" w:cs="Arial"/>
          <w:b/>
          <w:lang w:val="es-419"/>
        </w:rPr>
        <w:t>19.</w:t>
      </w:r>
      <w:r w:rsidRPr="00F66082">
        <w:rPr>
          <w:rFonts w:ascii="Arial" w:hAnsi="Arial" w:cs="Arial"/>
          <w:b/>
          <w:lang w:val="es-419"/>
        </w:rPr>
        <w:t xml:space="preserve"> </w:t>
      </w:r>
      <w:r w:rsidRPr="00F66082">
        <w:rPr>
          <w:rFonts w:ascii="Arial" w:hAnsi="Arial" w:cs="Arial"/>
          <w:lang w:val="es-419"/>
        </w:rPr>
        <w:t xml:space="preserve">Desarrollo de un plan de adecuación de la red de servicios en las redes beneficiarias de la operación </w:t>
      </w:r>
      <w:r w:rsidR="002D7C77">
        <w:rPr>
          <w:rFonts w:ascii="Arial" w:hAnsi="Arial" w:cs="Arial"/>
          <w:lang w:val="es-419"/>
        </w:rPr>
        <w:t>4612/BL-BO</w:t>
      </w:r>
      <w:r w:rsidRPr="00F66082">
        <w:rPr>
          <w:rFonts w:ascii="Arial" w:hAnsi="Arial" w:cs="Arial"/>
          <w:lang w:val="es-419"/>
        </w:rPr>
        <w:t xml:space="preserve"> para hacer frente a la emergencia sanitaria COVID19, asegurando la continuid</w:t>
      </w:r>
      <w:r w:rsidRPr="00F66082">
        <w:rPr>
          <w:rFonts w:ascii="Arial" w:hAnsi="Arial" w:cs="Arial"/>
          <w:lang w:val="es-419"/>
        </w:rPr>
        <w:t xml:space="preserve">ad en la provisión de los servicios esenciales de salud </w:t>
      </w:r>
    </w:p>
    <w:p w14:paraId="0FC92F8C" w14:textId="1C81D4D8" w:rsidR="003E0B08" w:rsidRPr="00F66082" w:rsidRDefault="006E111B">
      <w:pPr>
        <w:spacing w:before="120" w:after="120"/>
        <w:ind w:left="579" w:hanging="579"/>
        <w:jc w:val="both"/>
        <w:rPr>
          <w:lang w:val="es-419"/>
        </w:rPr>
      </w:pPr>
      <w:r w:rsidRPr="00F66082">
        <w:rPr>
          <w:rFonts w:ascii="Arial" w:hAnsi="Arial" w:cs="Arial"/>
          <w:lang w:val="es-419"/>
        </w:rPr>
        <w:t>3.4</w:t>
      </w:r>
      <w:r w:rsidRPr="00F66082">
        <w:rPr>
          <w:rFonts w:ascii="Arial" w:hAnsi="Arial" w:cs="Arial"/>
          <w:lang w:val="es-419"/>
        </w:rPr>
        <w:tab/>
      </w:r>
      <w:r w:rsidRPr="00F66082">
        <w:rPr>
          <w:rFonts w:ascii="Arial" w:hAnsi="Arial" w:cs="Arial"/>
          <w:b/>
          <w:lang w:val="es-419"/>
        </w:rPr>
        <w:t xml:space="preserve">Componente </w:t>
      </w:r>
      <w:r w:rsidR="00B97A44">
        <w:rPr>
          <w:rFonts w:ascii="Arial" w:hAnsi="Arial" w:cs="Arial"/>
          <w:b/>
          <w:lang w:val="es-419"/>
        </w:rPr>
        <w:t>4</w:t>
      </w:r>
      <w:r w:rsidRPr="00F66082">
        <w:rPr>
          <w:rFonts w:ascii="Arial" w:hAnsi="Arial" w:cs="Arial"/>
          <w:b/>
          <w:lang w:val="es-419"/>
        </w:rPr>
        <w:t xml:space="preserve">: Apoyo al proyecto de trasformación digital del Ministerio de Salud. </w:t>
      </w:r>
      <w:r w:rsidRPr="00F66082">
        <w:rPr>
          <w:rFonts w:ascii="Arial" w:hAnsi="Arial" w:cs="Arial"/>
          <w:lang w:val="es-419"/>
        </w:rPr>
        <w:t xml:space="preserve">Fortalecimiento de la organización del sistema de Telemedicina en las redes beneficiarias de la operación </w:t>
      </w:r>
      <w:r w:rsidR="002D7C77">
        <w:rPr>
          <w:rFonts w:ascii="Arial" w:hAnsi="Arial" w:cs="Arial"/>
          <w:lang w:val="es-419"/>
        </w:rPr>
        <w:t>4612/BL-BO</w:t>
      </w:r>
      <w:r w:rsidRPr="00F66082">
        <w:rPr>
          <w:rFonts w:ascii="Arial" w:hAnsi="Arial" w:cs="Arial"/>
          <w:lang w:val="es-419"/>
        </w:rPr>
        <w:t xml:space="preserve"> y desarrollo de una propuesta de </w:t>
      </w:r>
      <w:r w:rsidR="004F27E6" w:rsidRPr="00F66082">
        <w:rPr>
          <w:rFonts w:ascii="Arial" w:hAnsi="Arial" w:cs="Arial"/>
          <w:lang w:val="es-419"/>
        </w:rPr>
        <w:lastRenderedPageBreak/>
        <w:t>transformación</w:t>
      </w:r>
      <w:r w:rsidRPr="00F66082">
        <w:rPr>
          <w:rFonts w:ascii="Arial" w:hAnsi="Arial" w:cs="Arial"/>
          <w:lang w:val="es-419"/>
        </w:rPr>
        <w:t xml:space="preserve"> digital de la seguridad social de corto plazo para asegurar su convergencia con el </w:t>
      </w:r>
      <w:r w:rsidRPr="00F66082">
        <w:rPr>
          <w:rFonts w:ascii="Arial" w:hAnsi="Arial" w:cs="Arial"/>
          <w:lang w:val="es-419"/>
        </w:rPr>
        <w:t>SUIS</w:t>
      </w:r>
      <w:r w:rsidRPr="00F66082">
        <w:rPr>
          <w:rFonts w:ascii="Arial" w:hAnsi="Arial" w:cs="Arial"/>
          <w:lang w:val="es-419"/>
        </w:rPr>
        <w:t xml:space="preserve">. </w:t>
      </w:r>
    </w:p>
    <w:p w14:paraId="3431BA98" w14:textId="77777777" w:rsidR="003E0B08" w:rsidRDefault="006E111B">
      <w:pPr>
        <w:spacing w:before="120" w:after="120"/>
        <w:ind w:left="579" w:hanging="579"/>
      </w:pPr>
      <w:r>
        <w:rPr>
          <w:rFonts w:ascii="Arial" w:hAnsi="Arial" w:cs="Arial"/>
          <w:b/>
        </w:rPr>
        <w:t>IV.</w:t>
      </w:r>
      <w:r>
        <w:rPr>
          <w:rFonts w:ascii="Arial" w:hAnsi="Arial" w:cs="Arial"/>
          <w:b/>
        </w:rPr>
        <w:tab/>
      </w:r>
      <w:proofErr w:type="spellStart"/>
      <w:r>
        <w:rPr>
          <w:rFonts w:ascii="Arial" w:hAnsi="Arial" w:cs="Arial"/>
          <w:b/>
        </w:rPr>
        <w:t>Presupuesto</w:t>
      </w:r>
      <w:proofErr w:type="spellEnd"/>
    </w:p>
    <w:p w14:paraId="72D01D8D" w14:textId="4E419E99" w:rsidR="003E0B08" w:rsidRDefault="006E111B">
      <w:pPr>
        <w:spacing w:before="240" w:after="120"/>
        <w:jc w:val="center"/>
      </w:pPr>
      <w:proofErr w:type="spellStart"/>
      <w:r>
        <w:rPr>
          <w:rFonts w:ascii="Arial" w:hAnsi="Arial" w:cs="Arial"/>
          <w:b/>
          <w:sz w:val="18"/>
          <w:szCs w:val="18"/>
        </w:rPr>
        <w:t>Presupuesto</w:t>
      </w:r>
      <w:proofErr w:type="spellEnd"/>
      <w:r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b/>
          <w:sz w:val="18"/>
          <w:szCs w:val="18"/>
        </w:rPr>
        <w:t>Indicativo</w:t>
      </w:r>
      <w:proofErr w:type="spellEnd"/>
      <w:r w:rsidR="00B850D1">
        <w:rPr>
          <w:rFonts w:ascii="Arial" w:hAnsi="Arial" w:cs="Arial"/>
          <w:b/>
          <w:sz w:val="18"/>
          <w:szCs w:val="18"/>
        </w:rPr>
        <w:t xml:space="preserve"> (US$)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97"/>
        <w:gridCol w:w="2269"/>
        <w:gridCol w:w="2218"/>
        <w:gridCol w:w="2232"/>
      </w:tblGrid>
      <w:tr w:rsidR="003E0B08" w14:paraId="69794BAF" w14:textId="77777777" w:rsidTr="00B850D1">
        <w:tc>
          <w:tcPr>
            <w:tcW w:w="2297" w:type="dxa"/>
            <w:vAlign w:val="center"/>
          </w:tcPr>
          <w:p w14:paraId="350A9D3D" w14:textId="77777777" w:rsidR="003E0B08" w:rsidRDefault="006E111B">
            <w:pPr>
              <w:spacing w:before="40" w:after="40"/>
              <w:jc w:val="center"/>
            </w:pP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Actividad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>/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Componente</w:t>
            </w:r>
            <w:proofErr w:type="spellEnd"/>
          </w:p>
        </w:tc>
        <w:tc>
          <w:tcPr>
            <w:tcW w:w="2269" w:type="dxa"/>
          </w:tcPr>
          <w:p w14:paraId="733F001A" w14:textId="77777777" w:rsidR="003E0B08" w:rsidRDefault="006E111B">
            <w:pPr>
              <w:spacing w:before="40" w:after="40"/>
              <w:jc w:val="center"/>
            </w:pPr>
            <w:r>
              <w:rPr>
                <w:rFonts w:ascii="Arial" w:hAnsi="Arial" w:cs="Arial"/>
                <w:b/>
                <w:sz w:val="18"/>
                <w:szCs w:val="18"/>
              </w:rPr>
              <w:t>BID/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Financiamien</w:t>
            </w:r>
            <w:r>
              <w:rPr>
                <w:rFonts w:ascii="Arial" w:hAnsi="Arial" w:cs="Arial"/>
                <w:b/>
                <w:sz w:val="18"/>
                <w:szCs w:val="18"/>
              </w:rPr>
              <w:t>to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 xml:space="preserve"> por 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Fondo</w:t>
            </w:r>
            <w:proofErr w:type="spellEnd"/>
          </w:p>
        </w:tc>
        <w:tc>
          <w:tcPr>
            <w:tcW w:w="2218" w:type="dxa"/>
          </w:tcPr>
          <w:p w14:paraId="52F3E892" w14:textId="77777777" w:rsidR="003E0B08" w:rsidRDefault="006E111B">
            <w:pPr>
              <w:spacing w:before="40" w:after="40"/>
              <w:jc w:val="center"/>
            </w:pP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Contrapartida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 xml:space="preserve"> Local</w:t>
            </w:r>
          </w:p>
        </w:tc>
        <w:tc>
          <w:tcPr>
            <w:tcW w:w="2232" w:type="dxa"/>
          </w:tcPr>
          <w:p w14:paraId="722DFE14" w14:textId="77777777" w:rsidR="003E0B08" w:rsidRDefault="006E111B">
            <w:pPr>
              <w:spacing w:before="40" w:after="40"/>
              <w:jc w:val="center"/>
            </w:pP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Financiamiento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 xml:space="preserve"> Total</w:t>
            </w:r>
          </w:p>
        </w:tc>
      </w:tr>
      <w:tr w:rsidR="00B850D1" w14:paraId="242B9901" w14:textId="77777777" w:rsidTr="00B850D1">
        <w:tc>
          <w:tcPr>
            <w:tcW w:w="2297" w:type="dxa"/>
            <w:vAlign w:val="center"/>
          </w:tcPr>
          <w:p w14:paraId="6D5973AE" w14:textId="77777777" w:rsidR="00B850D1" w:rsidRPr="00F66082" w:rsidRDefault="00B850D1" w:rsidP="00B850D1">
            <w:pPr>
              <w:spacing w:before="40" w:after="40"/>
              <w:rPr>
                <w:lang w:val="es-419"/>
              </w:rPr>
            </w:pPr>
            <w:proofErr w:type="spellStart"/>
            <w:r w:rsidRPr="00F66082">
              <w:rPr>
                <w:rFonts w:ascii="Arial" w:hAnsi="Arial" w:cs="Arial"/>
                <w:sz w:val="18"/>
                <w:szCs w:val="18"/>
                <w:lang w:val="es-419"/>
              </w:rPr>
              <w:t>Actualizacion</w:t>
            </w:r>
            <w:proofErr w:type="spellEnd"/>
            <w:r w:rsidRPr="00F66082">
              <w:rPr>
                <w:rFonts w:ascii="Arial" w:hAnsi="Arial" w:cs="Arial"/>
                <w:sz w:val="18"/>
                <w:szCs w:val="18"/>
                <w:lang w:val="es-419"/>
              </w:rPr>
              <w:t xml:space="preserve"> de la política de desarrollo de RHS y fortalecimiento de la gobernanza</w:t>
            </w:r>
          </w:p>
        </w:tc>
        <w:tc>
          <w:tcPr>
            <w:tcW w:w="2269" w:type="dxa"/>
            <w:vAlign w:val="center"/>
          </w:tcPr>
          <w:p w14:paraId="1BB7C4C3" w14:textId="6A912CFF" w:rsidR="00B850D1" w:rsidRDefault="00B850D1" w:rsidP="00B850D1">
            <w:pPr>
              <w:spacing w:before="40" w:after="40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50.000</w:t>
            </w:r>
          </w:p>
        </w:tc>
        <w:tc>
          <w:tcPr>
            <w:tcW w:w="2218" w:type="dxa"/>
            <w:vAlign w:val="center"/>
          </w:tcPr>
          <w:p w14:paraId="74042BB4" w14:textId="1ABF4AE2" w:rsidR="00B850D1" w:rsidRDefault="00B850D1" w:rsidP="00B850D1">
            <w:pPr>
              <w:spacing w:before="40" w:after="40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2232" w:type="dxa"/>
            <w:vAlign w:val="center"/>
          </w:tcPr>
          <w:p w14:paraId="5F0D8170" w14:textId="6B01DBC0" w:rsidR="00B850D1" w:rsidRDefault="00B850D1" w:rsidP="00B850D1">
            <w:pPr>
              <w:spacing w:before="40" w:after="40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50.000</w:t>
            </w:r>
          </w:p>
        </w:tc>
      </w:tr>
      <w:tr w:rsidR="00B850D1" w14:paraId="67DB052C" w14:textId="77777777" w:rsidTr="00B850D1">
        <w:tc>
          <w:tcPr>
            <w:tcW w:w="2297" w:type="dxa"/>
            <w:vAlign w:val="center"/>
          </w:tcPr>
          <w:p w14:paraId="379983BF" w14:textId="77777777" w:rsidR="00B850D1" w:rsidRPr="00F66082" w:rsidRDefault="00B850D1" w:rsidP="00B850D1">
            <w:pPr>
              <w:spacing w:before="40" w:after="40"/>
              <w:rPr>
                <w:lang w:val="es-419"/>
              </w:rPr>
            </w:pPr>
            <w:r w:rsidRPr="00F66082">
              <w:rPr>
                <w:rFonts w:ascii="Arial" w:hAnsi="Arial" w:cs="Arial"/>
                <w:sz w:val="18"/>
                <w:szCs w:val="18"/>
                <w:lang w:val="es-419"/>
              </w:rPr>
              <w:t>Cuantificación y Planificación de las necesidades de RHS</w:t>
            </w:r>
          </w:p>
        </w:tc>
        <w:tc>
          <w:tcPr>
            <w:tcW w:w="2269" w:type="dxa"/>
            <w:vAlign w:val="center"/>
          </w:tcPr>
          <w:p w14:paraId="175FFBB3" w14:textId="5E781504" w:rsidR="00B850D1" w:rsidRDefault="00B850D1" w:rsidP="00B850D1">
            <w:pPr>
              <w:spacing w:before="40" w:after="40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125.000</w:t>
            </w:r>
          </w:p>
        </w:tc>
        <w:tc>
          <w:tcPr>
            <w:tcW w:w="2218" w:type="dxa"/>
            <w:vAlign w:val="center"/>
          </w:tcPr>
          <w:p w14:paraId="5847B62D" w14:textId="58E77294" w:rsidR="00B850D1" w:rsidRDefault="00B850D1" w:rsidP="00B850D1">
            <w:pPr>
              <w:spacing w:before="40" w:after="40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2232" w:type="dxa"/>
            <w:vAlign w:val="center"/>
          </w:tcPr>
          <w:p w14:paraId="5224C65F" w14:textId="7267217D" w:rsidR="00B850D1" w:rsidRDefault="00B850D1" w:rsidP="00B850D1">
            <w:pPr>
              <w:spacing w:before="40" w:after="40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125.000</w:t>
            </w:r>
          </w:p>
        </w:tc>
      </w:tr>
      <w:tr w:rsidR="00B850D1" w14:paraId="45E1F472" w14:textId="77777777" w:rsidTr="00B850D1">
        <w:tc>
          <w:tcPr>
            <w:tcW w:w="2297" w:type="dxa"/>
            <w:vAlign w:val="center"/>
          </w:tcPr>
          <w:p w14:paraId="586260F2" w14:textId="77777777" w:rsidR="00B850D1" w:rsidRPr="00F66082" w:rsidRDefault="00B850D1" w:rsidP="00B850D1">
            <w:pPr>
              <w:spacing w:before="40" w:after="40"/>
              <w:rPr>
                <w:lang w:val="es-419"/>
              </w:rPr>
            </w:pPr>
            <w:r w:rsidRPr="00F66082">
              <w:rPr>
                <w:rFonts w:ascii="Arial" w:hAnsi="Arial" w:cs="Arial"/>
                <w:sz w:val="18"/>
                <w:szCs w:val="18"/>
                <w:lang w:val="es-419"/>
              </w:rPr>
              <w:t xml:space="preserve">Adecuación de la red de servicios para hacer frente a la emergencia sanitaria COVID19 </w:t>
            </w:r>
          </w:p>
        </w:tc>
        <w:tc>
          <w:tcPr>
            <w:tcW w:w="2269" w:type="dxa"/>
            <w:vAlign w:val="center"/>
          </w:tcPr>
          <w:p w14:paraId="512DF656" w14:textId="3FCB2740" w:rsidR="00B850D1" w:rsidRDefault="00B850D1" w:rsidP="00B850D1">
            <w:pPr>
              <w:spacing w:before="40" w:after="40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150.000</w:t>
            </w:r>
          </w:p>
        </w:tc>
        <w:tc>
          <w:tcPr>
            <w:tcW w:w="2218" w:type="dxa"/>
            <w:vAlign w:val="center"/>
          </w:tcPr>
          <w:p w14:paraId="6B501396" w14:textId="6448BECC" w:rsidR="00B850D1" w:rsidRDefault="00B850D1" w:rsidP="00B850D1">
            <w:pPr>
              <w:spacing w:before="40" w:after="40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2232" w:type="dxa"/>
            <w:vAlign w:val="center"/>
          </w:tcPr>
          <w:p w14:paraId="7A0C533B" w14:textId="3FA0DDEB" w:rsidR="00B850D1" w:rsidRDefault="00B850D1" w:rsidP="00B850D1">
            <w:pPr>
              <w:spacing w:before="40" w:after="40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150.000</w:t>
            </w:r>
          </w:p>
        </w:tc>
      </w:tr>
      <w:tr w:rsidR="00B850D1" w14:paraId="0CABB201" w14:textId="77777777" w:rsidTr="00B850D1">
        <w:tc>
          <w:tcPr>
            <w:tcW w:w="2297" w:type="dxa"/>
            <w:vAlign w:val="center"/>
          </w:tcPr>
          <w:p w14:paraId="086B968E" w14:textId="77777777" w:rsidR="00B850D1" w:rsidRPr="00F66082" w:rsidRDefault="00B850D1" w:rsidP="00B850D1">
            <w:pPr>
              <w:spacing w:before="40" w:after="40"/>
              <w:rPr>
                <w:lang w:val="es-419"/>
              </w:rPr>
            </w:pPr>
            <w:r w:rsidRPr="00F66082">
              <w:rPr>
                <w:rFonts w:ascii="Arial" w:hAnsi="Arial" w:cs="Arial"/>
                <w:sz w:val="18"/>
                <w:szCs w:val="18"/>
                <w:lang w:val="es-419"/>
              </w:rPr>
              <w:t>Apoyo al proyecto de trasformación digital del Ministerio de Salud</w:t>
            </w:r>
          </w:p>
        </w:tc>
        <w:tc>
          <w:tcPr>
            <w:tcW w:w="2269" w:type="dxa"/>
            <w:vAlign w:val="center"/>
          </w:tcPr>
          <w:p w14:paraId="227B7099" w14:textId="6FAD9232" w:rsidR="00B850D1" w:rsidRDefault="00B850D1" w:rsidP="00B850D1">
            <w:pPr>
              <w:spacing w:before="40" w:after="40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175.000</w:t>
            </w:r>
          </w:p>
        </w:tc>
        <w:tc>
          <w:tcPr>
            <w:tcW w:w="2218" w:type="dxa"/>
            <w:vAlign w:val="center"/>
          </w:tcPr>
          <w:p w14:paraId="749B5B18" w14:textId="23F67281" w:rsidR="00B850D1" w:rsidRDefault="00B850D1" w:rsidP="00B850D1">
            <w:pPr>
              <w:spacing w:before="40" w:after="40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2232" w:type="dxa"/>
            <w:vAlign w:val="center"/>
          </w:tcPr>
          <w:p w14:paraId="0702ACCC" w14:textId="3AB28DD7" w:rsidR="00B850D1" w:rsidRDefault="00B850D1" w:rsidP="00B850D1">
            <w:pPr>
              <w:spacing w:before="40" w:after="40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175.000</w:t>
            </w:r>
          </w:p>
        </w:tc>
      </w:tr>
      <w:tr w:rsidR="00B850D1" w14:paraId="1165F856" w14:textId="77777777" w:rsidTr="00B850D1">
        <w:tc>
          <w:tcPr>
            <w:tcW w:w="2297" w:type="dxa"/>
            <w:vAlign w:val="center"/>
          </w:tcPr>
          <w:p w14:paraId="31D88411" w14:textId="77777777" w:rsidR="00B850D1" w:rsidRDefault="00B850D1" w:rsidP="00B850D1">
            <w:pPr>
              <w:spacing w:before="40" w:after="40"/>
            </w:pPr>
            <w:r>
              <w:rPr>
                <w:rFonts w:ascii="Arial" w:hAnsi="Arial" w:cs="Arial"/>
                <w:b/>
                <w:sz w:val="18"/>
                <w:szCs w:val="18"/>
              </w:rPr>
              <w:t>Total</w:t>
            </w:r>
          </w:p>
        </w:tc>
        <w:tc>
          <w:tcPr>
            <w:tcW w:w="2269" w:type="dxa"/>
            <w:vAlign w:val="center"/>
          </w:tcPr>
          <w:p w14:paraId="5A4F4063" w14:textId="70CE8118" w:rsidR="00B850D1" w:rsidRDefault="00B850D1" w:rsidP="00B850D1">
            <w:pPr>
              <w:spacing w:before="40" w:after="40"/>
              <w:jc w:val="right"/>
            </w:pPr>
            <w:r>
              <w:rPr>
                <w:rFonts w:ascii="Arial" w:hAnsi="Arial" w:cs="Arial"/>
                <w:b/>
                <w:sz w:val="18"/>
                <w:szCs w:val="18"/>
              </w:rPr>
              <w:t>500.000</w:t>
            </w:r>
          </w:p>
        </w:tc>
        <w:tc>
          <w:tcPr>
            <w:tcW w:w="2218" w:type="dxa"/>
            <w:vAlign w:val="center"/>
          </w:tcPr>
          <w:p w14:paraId="2D66095B" w14:textId="77FA32B5" w:rsidR="00B850D1" w:rsidRDefault="00B850D1" w:rsidP="00B850D1">
            <w:pPr>
              <w:spacing w:before="40" w:after="40"/>
              <w:jc w:val="right"/>
            </w:pPr>
            <w:r>
              <w:rPr>
                <w:rFonts w:ascii="Arial" w:hAnsi="Arial" w:cs="Arial"/>
                <w:b/>
                <w:sz w:val="18"/>
                <w:szCs w:val="18"/>
              </w:rPr>
              <w:t>0,00</w:t>
            </w:r>
          </w:p>
        </w:tc>
        <w:tc>
          <w:tcPr>
            <w:tcW w:w="2232" w:type="dxa"/>
            <w:vAlign w:val="center"/>
          </w:tcPr>
          <w:p w14:paraId="3E81B768" w14:textId="4551C3BE" w:rsidR="00B850D1" w:rsidRDefault="00B850D1" w:rsidP="00B850D1">
            <w:pPr>
              <w:spacing w:before="40" w:after="40"/>
              <w:jc w:val="right"/>
            </w:pPr>
            <w:r>
              <w:rPr>
                <w:rFonts w:ascii="Arial" w:hAnsi="Arial" w:cs="Arial"/>
                <w:b/>
                <w:sz w:val="18"/>
                <w:szCs w:val="18"/>
              </w:rPr>
              <w:t>500.000</w:t>
            </w:r>
          </w:p>
        </w:tc>
      </w:tr>
    </w:tbl>
    <w:p w14:paraId="0FF4AFC5" w14:textId="77777777" w:rsidR="003E0B08" w:rsidRPr="00F66082" w:rsidRDefault="006E111B">
      <w:pPr>
        <w:spacing w:before="120" w:after="120"/>
        <w:ind w:left="579" w:hanging="579"/>
        <w:rPr>
          <w:lang w:val="es-419"/>
        </w:rPr>
      </w:pPr>
      <w:r w:rsidRPr="00F66082">
        <w:rPr>
          <w:rFonts w:ascii="Arial" w:hAnsi="Arial" w:cs="Arial"/>
          <w:b/>
          <w:lang w:val="es-419"/>
        </w:rPr>
        <w:t>V.</w:t>
      </w:r>
      <w:r w:rsidRPr="00F66082">
        <w:rPr>
          <w:rFonts w:ascii="Arial" w:hAnsi="Arial" w:cs="Arial"/>
          <w:b/>
          <w:lang w:val="es-419"/>
        </w:rPr>
        <w:tab/>
        <w:t>Agencia Ejecutora y Estructura de Ejecución</w:t>
      </w:r>
    </w:p>
    <w:p w14:paraId="3907D8B5" w14:textId="5BBB6816" w:rsidR="003E0B08" w:rsidRPr="00F66082" w:rsidRDefault="006E111B">
      <w:pPr>
        <w:spacing w:before="200" w:after="200"/>
        <w:ind w:left="579" w:hanging="579"/>
        <w:jc w:val="both"/>
        <w:rPr>
          <w:lang w:val="es-419"/>
        </w:rPr>
      </w:pPr>
      <w:r w:rsidRPr="00F66082">
        <w:rPr>
          <w:rFonts w:ascii="Arial" w:hAnsi="Arial" w:cs="Arial"/>
          <w:lang w:val="es-419"/>
        </w:rPr>
        <w:t>5.1</w:t>
      </w:r>
      <w:r w:rsidRPr="00F66082">
        <w:rPr>
          <w:rFonts w:ascii="Arial" w:hAnsi="Arial" w:cs="Arial"/>
          <w:lang w:val="es-419"/>
        </w:rPr>
        <w:tab/>
        <w:t xml:space="preserve">A solicitud del gobierno de Bolivia, el Banco a través de </w:t>
      </w:r>
      <w:r w:rsidR="00411899">
        <w:rPr>
          <w:rFonts w:ascii="Arial" w:hAnsi="Arial" w:cs="Arial"/>
          <w:lang w:val="es-419"/>
        </w:rPr>
        <w:t>su Representación en Bolivia (CAN/</w:t>
      </w:r>
      <w:r w:rsidRPr="00F66082">
        <w:rPr>
          <w:rFonts w:ascii="Arial" w:hAnsi="Arial" w:cs="Arial"/>
          <w:lang w:val="es-419"/>
        </w:rPr>
        <w:t>CBO</w:t>
      </w:r>
      <w:r w:rsidR="00411899">
        <w:rPr>
          <w:rFonts w:ascii="Arial" w:hAnsi="Arial" w:cs="Arial"/>
          <w:lang w:val="es-419"/>
        </w:rPr>
        <w:t>)</w:t>
      </w:r>
      <w:r w:rsidRPr="00F66082">
        <w:rPr>
          <w:rFonts w:ascii="Arial" w:hAnsi="Arial" w:cs="Arial"/>
          <w:lang w:val="es-419"/>
        </w:rPr>
        <w:t xml:space="preserve"> será la entidad contratante.  El equipo consultor contratado trabajará en estrecha </w:t>
      </w:r>
      <w:r w:rsidRPr="00F66082">
        <w:rPr>
          <w:rFonts w:ascii="Arial" w:hAnsi="Arial" w:cs="Arial"/>
          <w:lang w:val="es-419"/>
        </w:rPr>
        <w:t>coordinación con la Dirección General de servicios de Salud y la Unidad de Recursos Humanos del Ministerio de Salud.</w:t>
      </w:r>
    </w:p>
    <w:p w14:paraId="7D115DCF" w14:textId="30753DC7" w:rsidR="003E0B08" w:rsidRPr="00F66082" w:rsidRDefault="006E111B">
      <w:pPr>
        <w:spacing w:before="200" w:after="200"/>
        <w:ind w:left="579" w:hanging="579"/>
        <w:jc w:val="both"/>
        <w:rPr>
          <w:lang w:val="es-419"/>
        </w:rPr>
      </w:pPr>
      <w:r w:rsidRPr="00F66082">
        <w:rPr>
          <w:rFonts w:ascii="Arial" w:hAnsi="Arial" w:cs="Arial"/>
          <w:lang w:val="es-419"/>
        </w:rPr>
        <w:t>5.2</w:t>
      </w:r>
      <w:r w:rsidRPr="00F66082">
        <w:rPr>
          <w:rFonts w:ascii="Arial" w:hAnsi="Arial" w:cs="Arial"/>
          <w:lang w:val="es-419"/>
        </w:rPr>
        <w:tab/>
        <w:t>El Ministerio de Salud ha considerado más eficiente la ejecución a través del Banco (</w:t>
      </w:r>
      <w:r w:rsidR="00086E02">
        <w:rPr>
          <w:rFonts w:ascii="Arial" w:hAnsi="Arial" w:cs="Arial"/>
          <w:lang w:val="es-419"/>
        </w:rPr>
        <w:t>CAN/</w:t>
      </w:r>
      <w:r w:rsidRPr="00F66082">
        <w:rPr>
          <w:rFonts w:ascii="Arial" w:hAnsi="Arial" w:cs="Arial"/>
          <w:lang w:val="es-419"/>
        </w:rPr>
        <w:t>COB), por el hecho de que la Unidad de Recursos Hu</w:t>
      </w:r>
      <w:r w:rsidRPr="00F66082">
        <w:rPr>
          <w:rFonts w:ascii="Arial" w:hAnsi="Arial" w:cs="Arial"/>
          <w:lang w:val="es-419"/>
        </w:rPr>
        <w:t>manos del MS no cuenta en la actualidad con una estructura adecuada para la administración de la CT</w:t>
      </w:r>
      <w:r w:rsidR="00086E02">
        <w:rPr>
          <w:rFonts w:ascii="Arial" w:hAnsi="Arial" w:cs="Arial"/>
          <w:lang w:val="es-419"/>
        </w:rPr>
        <w:t>.</w:t>
      </w:r>
    </w:p>
    <w:p w14:paraId="1E48C809" w14:textId="77777777" w:rsidR="003E0B08" w:rsidRPr="00F66082" w:rsidRDefault="006E111B">
      <w:pPr>
        <w:spacing w:before="120" w:after="120"/>
        <w:ind w:left="579" w:hanging="579"/>
        <w:rPr>
          <w:lang w:val="es-419"/>
        </w:rPr>
      </w:pPr>
      <w:r w:rsidRPr="00F66082">
        <w:rPr>
          <w:rFonts w:ascii="Arial" w:hAnsi="Arial" w:cs="Arial"/>
          <w:b/>
          <w:lang w:val="es-419"/>
        </w:rPr>
        <w:t>VI.</w:t>
      </w:r>
      <w:r w:rsidRPr="00F66082">
        <w:rPr>
          <w:rFonts w:ascii="Arial" w:hAnsi="Arial" w:cs="Arial"/>
          <w:b/>
          <w:lang w:val="es-419"/>
        </w:rPr>
        <w:tab/>
        <w:t>Riesgos Importantes</w:t>
      </w:r>
    </w:p>
    <w:p w14:paraId="692EC23B" w14:textId="77777777" w:rsidR="003E0B08" w:rsidRPr="00F66082" w:rsidRDefault="006E111B">
      <w:pPr>
        <w:spacing w:before="200" w:after="200"/>
        <w:ind w:left="579" w:hanging="579"/>
        <w:jc w:val="both"/>
        <w:rPr>
          <w:lang w:val="es-419"/>
        </w:rPr>
      </w:pPr>
      <w:r w:rsidRPr="00F66082">
        <w:rPr>
          <w:rFonts w:ascii="Arial" w:hAnsi="Arial" w:cs="Arial"/>
          <w:lang w:val="es-419"/>
        </w:rPr>
        <w:t>6.1</w:t>
      </w:r>
      <w:r w:rsidRPr="00F66082">
        <w:rPr>
          <w:rFonts w:ascii="Arial" w:hAnsi="Arial" w:cs="Arial"/>
          <w:lang w:val="es-419"/>
        </w:rPr>
        <w:tab/>
        <w:t>Se identifica como potencial riesgo, el cual tiene que ver con la sostenibilidad en el tiempo de los beneficios de la CT, que hu</w:t>
      </w:r>
      <w:r w:rsidRPr="00F66082">
        <w:rPr>
          <w:rFonts w:ascii="Arial" w:hAnsi="Arial" w:cs="Arial"/>
          <w:lang w:val="es-419"/>
        </w:rPr>
        <w:t>biera una aplicación parcial de los lineamientos y políticas elaborados y de la organización propuesta. Para mitigar este riesgo, se realizarán actividades de socialización al más alto nivel del MS para que las propuestas sean asumidas como un compromiso i</w:t>
      </w:r>
      <w:r w:rsidRPr="00F66082">
        <w:rPr>
          <w:rFonts w:ascii="Arial" w:hAnsi="Arial" w:cs="Arial"/>
          <w:lang w:val="es-419"/>
        </w:rPr>
        <w:t>nstitucional; y se plasmen, a través de la aprobación de las normativas internas y reglamentos, asegurando la institucionalización de los procesos desarrollados y, por tanto, garantizando su posterior aplicación.</w:t>
      </w:r>
    </w:p>
    <w:p w14:paraId="41DE3DC8" w14:textId="77777777" w:rsidR="003E0B08" w:rsidRPr="00F66082" w:rsidRDefault="006E111B">
      <w:pPr>
        <w:spacing w:before="120" w:after="120"/>
        <w:ind w:left="579" w:hanging="579"/>
        <w:rPr>
          <w:lang w:val="es-419"/>
        </w:rPr>
      </w:pPr>
      <w:r w:rsidRPr="00F66082">
        <w:rPr>
          <w:rFonts w:ascii="Arial" w:hAnsi="Arial" w:cs="Arial"/>
          <w:b/>
          <w:lang w:val="es-419"/>
        </w:rPr>
        <w:t>VII.</w:t>
      </w:r>
      <w:r w:rsidRPr="00F66082">
        <w:rPr>
          <w:rFonts w:ascii="Arial" w:hAnsi="Arial" w:cs="Arial"/>
          <w:b/>
          <w:lang w:val="es-419"/>
        </w:rPr>
        <w:tab/>
        <w:t>Salvaguardias Ambientales</w:t>
      </w:r>
    </w:p>
    <w:p w14:paraId="05F4EE29" w14:textId="5BADA0D0" w:rsidR="003E0B08" w:rsidRPr="00F66082" w:rsidRDefault="006E111B">
      <w:pPr>
        <w:spacing w:before="240" w:after="120"/>
        <w:ind w:left="579" w:hanging="579"/>
        <w:jc w:val="both"/>
        <w:rPr>
          <w:lang w:val="es-419"/>
        </w:rPr>
      </w:pPr>
      <w:r w:rsidRPr="00F66082">
        <w:rPr>
          <w:rFonts w:ascii="Arial" w:hAnsi="Arial" w:cs="Arial"/>
          <w:lang w:val="es-419"/>
        </w:rPr>
        <w:t>7.1</w:t>
      </w:r>
      <w:r w:rsidRPr="00F66082">
        <w:rPr>
          <w:rFonts w:ascii="Arial" w:hAnsi="Arial" w:cs="Arial"/>
          <w:lang w:val="es-419"/>
        </w:rPr>
        <w:tab/>
      </w:r>
      <w:r w:rsidR="00BD5026" w:rsidRPr="00BD5026">
        <w:rPr>
          <w:rFonts w:ascii="Arial" w:hAnsi="Arial" w:cs="Arial"/>
          <w:lang w:val="es-419"/>
        </w:rPr>
        <w:t>La clasificación ESG para esta operación es "indefinida".</w:t>
      </w:r>
    </w:p>
    <w:sectPr w:rsidR="003E0B08" w:rsidRPr="00F66082" w:rsidSect="00FC3028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7C352B" w14:textId="77777777" w:rsidR="006E111B" w:rsidRDefault="006E111B">
      <w:r>
        <w:separator/>
      </w:r>
    </w:p>
  </w:endnote>
  <w:endnote w:type="continuationSeparator" w:id="0">
    <w:p w14:paraId="4E730DC6" w14:textId="77777777" w:rsidR="006E111B" w:rsidRDefault="006E11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15D10" w14:textId="77777777" w:rsidR="003E0B08" w:rsidRDefault="006E111B">
    <w:pPr>
      <w:pStyle w:val="FooterStyle"/>
      <w:jc w:val="center"/>
    </w:pPr>
    <w:r>
      <w:t xml:space="preserve"> - </w:t>
    </w:r>
    <w:r>
      <w:fldChar w:fldCharType="begin"/>
    </w:r>
    <w:r>
      <w:instrText xml:space="preserve"> PAGE </w:instrText>
    </w:r>
    <w:r>
      <w:fldChar w:fldCharType="separate"/>
    </w:r>
    <w:r w:rsidR="00F66082">
      <w:rPr>
        <w:noProof/>
      </w:rPr>
      <w:t>1</w:t>
    </w:r>
    <w:r>
      <w:fldChar w:fldCharType="end"/>
    </w:r>
    <w:r>
      <w:t xml:space="preserve"> -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E3B12E" w14:textId="77777777" w:rsidR="006E111B" w:rsidRDefault="006E111B">
      <w:r>
        <w:separator/>
      </w:r>
    </w:p>
  </w:footnote>
  <w:footnote w:type="continuationSeparator" w:id="0">
    <w:p w14:paraId="672B386A" w14:textId="77777777" w:rsidR="006E111B" w:rsidRDefault="006E11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4255A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AA60AD6"/>
    <w:multiLevelType w:val="multilevel"/>
    <w:tmpl w:val="CCF461FE"/>
    <w:lvl w:ilvl="0">
      <w:start w:val="2"/>
      <w:numFmt w:val="decimal"/>
      <w:lvlText w:val="%1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cs="Aria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hAnsi="Arial" w:cs="Ari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hAnsi="Arial" w:cs="Arial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hAnsi="Arial" w:cs="Aria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hAnsi="Arial" w:cs="Arial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Arial" w:hAnsi="Arial" w:cs="Aria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F62"/>
    <w:rsid w:val="00086E02"/>
    <w:rsid w:val="001915A3"/>
    <w:rsid w:val="0019343D"/>
    <w:rsid w:val="001E04AB"/>
    <w:rsid w:val="00217F62"/>
    <w:rsid w:val="002D7C77"/>
    <w:rsid w:val="003E0B08"/>
    <w:rsid w:val="00411899"/>
    <w:rsid w:val="00437408"/>
    <w:rsid w:val="00482D7A"/>
    <w:rsid w:val="004F27E6"/>
    <w:rsid w:val="00684FFA"/>
    <w:rsid w:val="006E111B"/>
    <w:rsid w:val="007D318F"/>
    <w:rsid w:val="0098336B"/>
    <w:rsid w:val="00A345FA"/>
    <w:rsid w:val="00A906D8"/>
    <w:rsid w:val="00AB5A74"/>
    <w:rsid w:val="00B850D1"/>
    <w:rsid w:val="00B97A44"/>
    <w:rsid w:val="00BD5026"/>
    <w:rsid w:val="00F071AE"/>
    <w:rsid w:val="00F302D7"/>
    <w:rsid w:val="00F66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A112C6"/>
  <w15:docId w15:val="{FBC1E5A6-C108-4EC4-84F5-56655F2E2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465E"/>
  </w:style>
  <w:style w:type="paragraph" w:styleId="Heading1">
    <w:name w:val="heading 1"/>
    <w:basedOn w:val="Normal"/>
    <w:next w:val="Normal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TableGrid">
    <w:name w:val="Table Grid"/>
    <w:basedOn w:val="TableNormal"/>
    <w:uiPriority w:val="59"/>
    <w:rsid w:val="008D011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FooterStyle">
    <w:name w:val="FooterStyle"/>
    <w:rPr>
      <w:rFonts w:ascii="Arial" w:eastAsia="Arial" w:hAnsi="Arial" w:cs="Arial"/>
      <w:sz w:val="18"/>
    </w:rPr>
  </w:style>
  <w:style w:type="paragraph" w:styleId="ListParagraph">
    <w:name w:val="List Paragraph"/>
    <w:basedOn w:val="Normal"/>
    <w:uiPriority w:val="34"/>
    <w:qFormat/>
    <w:rsid w:val="00F660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555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5" Type="http://schemas.openxmlformats.org/officeDocument/2006/relationships/customXml" Target="../customXml/item6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A1C27E8637353B4CAA1AE58CE835D694" ma:contentTypeVersion="1998" ma:contentTypeDescription="A content type to manage public (operations) IDB documents" ma:contentTypeScope="" ma:versionID="c32306a047595710157584e6eac652ec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830d4dc04d1bde62d4d7be0bd15cca1e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  <xsd:element ref="ns2:Extracted_x0020_Keywor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BO-T1313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default="Technical Cooperation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  <xsd:element name="Extracted_x0020_Keywords" ma:index="55" nillable="true" ma:displayName="Extracted Keywords" ma:hidden="true" ma:internalName="Extracted_x0020_Keywords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ez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Bolivia</TermName>
          <TermId xmlns="http://schemas.microsoft.com/office/infopath/2007/PartnerControls">6445a937-aea4-4907-9f24-bff96a7c61c8</TermId>
        </TermInfo>
      </Terms>
    </ic46d7e087fd4a108fb86518ca413cc6>
    <IDBDocs_x0020_Number xmlns="cdc7663a-08f0-4737-9e8c-148ce897a09c" xsi:nil="true"/>
    <Division_x0020_or_x0020_Unit xmlns="cdc7663a-08f0-4737-9e8c-148ce897a09c">SCL/SPH</Division_x0020_or_x0020_Unit>
    <Fiscal_x0020_Year_x0020_IDB xmlns="cdc7663a-08f0-4737-9e8c-148ce897a09c">2021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 Planning and Design</TermName>
          <TermId xmlns="http://schemas.microsoft.com/office/infopath/2007/PartnerControls">29ca0c72-1fc4-435f-a09c-28585cb5eac9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 xsi:nil="true"/>
    <Phase xmlns="cdc7663a-08f0-4737-9e8c-148ce897a09c">PHASE_PREPARATION</Phase>
    <Document_x0020_Author xmlns="cdc7663a-08f0-4737-9e8c-148ce897a09c">Delfs Ilieva Isabel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HEALTH SYSTEM STRENGTHENING</TermName>
          <TermId xmlns="http://schemas.microsoft.com/office/infopath/2007/PartnerControls">98be7628-374e-4ecf-a12c-bb48b439037b</TermId>
        </TermInfo>
      </Terms>
    </b2ec7cfb18674cb8803df6b262e8b107>
    <Business_x0020_Area xmlns="cdc7663a-08f0-4737-9e8c-148ce897a09c">Life Cycle</Business_x0020_Area>
    <Key_x0020_Document xmlns="cdc7663a-08f0-4737-9e8c-148ce897a09c">false</Key_x0020_Document>
    <Document_x0020_Language_x0020_IDB xmlns="cdc7663a-08f0-4737-9e8c-148ce897a09c">Spanish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SOC</TermName>
          <TermId xmlns="http://schemas.microsoft.com/office/infopath/2007/PartnerControls">3086ce3f-38db-462a-ad79-6fb1ca9264c8</TermId>
        </TermInfo>
      </Terms>
    </g511464f9e53401d84b16fa9b379a574>
    <Related_x0020_SisCor_x0020_Number xmlns="cdc7663a-08f0-4737-9e8c-148ce897a09c" xsi:nil="true"/>
    <TaxCatchAll xmlns="cdc7663a-08f0-4737-9e8c-148ce897a09c">
      <Value>33</Value>
      <Value>66</Value>
      <Value>114</Value>
      <Value>1</Value>
      <Value>70</Value>
    </TaxCatchAll>
    <Operation_x0020_Type xmlns="cdc7663a-08f0-4737-9e8c-148ce897a09c">TCP</Operation_x0020_Type>
    <Package_x0020_Code xmlns="cdc7663a-08f0-4737-9e8c-148ce897a09c" xsi:nil="true"/>
    <Identifier xmlns="cdc7663a-08f0-4737-9e8c-148ce897a09c" xsi:nil="true"/>
    <Project_x0020_Number xmlns="cdc7663a-08f0-4737-9e8c-148ce897a09c">BO-T1313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HEALTH</TermName>
          <TermId xmlns="http://schemas.microsoft.com/office/infopath/2007/PartnerControls">e15154b4-8fa2-4f19-a924-5a9b44dc8218</TermId>
        </TermInfo>
      </Terms>
    </nddeef1749674d76abdbe4b239a70bc6>
    <Record_x0020_Number xmlns="cdc7663a-08f0-4737-9e8c-148ce897a09c" xsi:nil="true"/>
    <Extracted_x0020_Keywords xmlns="cdc7663a-08f0-4737-9e8c-148ce897a09c"/>
    <_dlc_DocId xmlns="cdc7663a-08f0-4737-9e8c-148ce897a09c">EZSHARE-1801643458-3</_dlc_DocId>
    <_dlc_DocIdUrl xmlns="cdc7663a-08f0-4737-9e8c-148ce897a09c">
      <Url>https://idbg.sharepoint.com/teams/EZ-BO-TCP/BO-T1313/_layouts/15/DocIdRedir.aspx?ID=EZSHARE-1801643458-3</Url>
      <Description>EZSHARE-1801643458-3</Description>
    </_dlc_DocIdUrl>
    <Disclosure_x0020_Activity xmlns="cdc7663a-08f0-4737-9e8c-148ce897a09c">TC Abstract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Props1.xml><?xml version="1.0" encoding="utf-8"?>
<ds:datastoreItem xmlns:ds="http://schemas.openxmlformats.org/officeDocument/2006/customXml" ds:itemID="{0BB9F13C-4FCE-4AB1-B33E-7F057D043A61}"/>
</file>

<file path=customXml/itemProps2.xml><?xml version="1.0" encoding="utf-8"?>
<ds:datastoreItem xmlns:ds="http://schemas.openxmlformats.org/officeDocument/2006/customXml" ds:itemID="{1E14B8D6-B383-43A8-B61C-AB09869E0432}"/>
</file>

<file path=customXml/itemProps3.xml><?xml version="1.0" encoding="utf-8"?>
<ds:datastoreItem xmlns:ds="http://schemas.openxmlformats.org/officeDocument/2006/customXml" ds:itemID="{BDF36E6D-C47F-4707-B4A7-3E02EE60C504}"/>
</file>

<file path=customXml/itemProps4.xml><?xml version="1.0" encoding="utf-8"?>
<ds:datastoreItem xmlns:ds="http://schemas.openxmlformats.org/officeDocument/2006/customXml" ds:itemID="{F1D853BF-5B01-41E6-962D-AE84BD9F3959}"/>
</file>

<file path=customXml/itemProps5.xml><?xml version="1.0" encoding="utf-8"?>
<ds:datastoreItem xmlns:ds="http://schemas.openxmlformats.org/officeDocument/2006/customXml" ds:itemID="{1DA5FE4D-B55D-45C7-80E1-5BB54F3A1AAB}"/>
</file>

<file path=customXml/itemProps6.xml><?xml version="1.0" encoding="utf-8"?>
<ds:datastoreItem xmlns:ds="http://schemas.openxmlformats.org/officeDocument/2006/customXml" ds:itemID="{E1E7C26B-CC17-44AF-AE0D-831D6FAB778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1289</Words>
  <Characters>7094</Characters>
  <Application>Microsoft Office Word</Application>
  <DocSecurity>0</DocSecurity>
  <Lines>59</Lines>
  <Paragraphs>16</Paragraphs>
  <ScaleCrop>false</ScaleCrop>
  <Company/>
  <LinksUpToDate>false</LinksUpToDate>
  <CharactersWithSpaces>8367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Delfs Ilieva, Isabel</dc:creator>
  <cp:keywords/>
  <cp:lastModifiedBy>Delfs Ilieva, Isabel</cp:lastModifiedBy>
  <cp:revision>20</cp:revision>
  <dcterms:created xsi:type="dcterms:W3CDTF">2021-06-10T13:08:00Z</dcterms:created>
  <dcterms:modified xsi:type="dcterms:W3CDTF">2021-06-10T13:32:00Z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Sub_x002d_Sector">
    <vt:lpwstr/>
  </property>
  <property fmtid="{D5CDD505-2E9C-101B-9397-08002B2CF9AE}" pid="5" name="TaxKeywordTaxHTField">
    <vt:lpwstr/>
  </property>
  <property fmtid="{D5CDD505-2E9C-101B-9397-08002B2CF9AE}" pid="6" name="Country">
    <vt:lpwstr>33;#Bolivia|6445a937-aea4-4907-9f24-bff96a7c61c8</vt:lpwstr>
  </property>
  <property fmtid="{D5CDD505-2E9C-101B-9397-08002B2CF9AE}" pid="7" name="Fund_x0020_IDB">
    <vt:lpwstr/>
  </property>
  <property fmtid="{D5CDD505-2E9C-101B-9397-08002B2CF9AE}" pid="8" name="Series_x0020_Operations_x0020_IDB">
    <vt:lpwstr/>
  </property>
  <property fmtid="{D5CDD505-2E9C-101B-9397-08002B2CF9AE}" pid="9" name="Function Operations IDB">
    <vt:lpwstr>1;#Project Preparation Planning and Design|29ca0c72-1fc4-435f-a09c-28585cb5eac9</vt:lpwstr>
  </property>
  <property fmtid="{D5CDD505-2E9C-101B-9397-08002B2CF9AE}" pid="10" name="Sector_x0020_IDB">
    <vt:lpwstr/>
  </property>
  <property fmtid="{D5CDD505-2E9C-101B-9397-08002B2CF9AE}" pid="11" name="Sub-Sector">
    <vt:lpwstr>70;#HEALTH SYSTEM STRENGTHENING|98be7628-374e-4ecf-a12c-bb48b439037b</vt:lpwstr>
  </property>
  <property fmtid="{D5CDD505-2E9C-101B-9397-08002B2CF9AE}" pid="13" name="Fund IDB">
    <vt:lpwstr>114;#SOC|3086ce3f-38db-462a-ad79-6fb1ca9264c8</vt:lpwstr>
  </property>
  <property fmtid="{D5CDD505-2E9C-101B-9397-08002B2CF9AE}" pid="14" name="Sector IDB">
    <vt:lpwstr>66;#HEALTH|e15154b4-8fa2-4f19-a924-5a9b44dc8218</vt:lpwstr>
  </property>
  <property fmtid="{D5CDD505-2E9C-101B-9397-08002B2CF9AE}" pid="15" name="_dlc_DocIdItemGuid">
    <vt:lpwstr>881507d9-cafc-4fa3-a90f-41edaed03a62</vt:lpwstr>
  </property>
  <property fmtid="{D5CDD505-2E9C-101B-9397-08002B2CF9AE}" pid="16" name="Disclosure Activity">
    <vt:lpwstr>TC Abstract</vt:lpwstr>
  </property>
  <property fmtid="{D5CDD505-2E9C-101B-9397-08002B2CF9AE}" pid="18" name="ContentTypeId">
    <vt:lpwstr>0x0101001A458A224826124E8B45B1D613300CFC00A1C27E8637353B4CAA1AE58CE835D694</vt:lpwstr>
  </property>
  <property fmtid="{D5CDD505-2E9C-101B-9397-08002B2CF9AE}" pid="19" name="Series Operations IDB">
    <vt:lpwstr/>
  </property>
</Properties>
</file>