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13225" w14:textId="33EFEAB2" w:rsidR="00636FEA" w:rsidRPr="00E07C63" w:rsidRDefault="00FE6036" w:rsidP="00636FEA">
      <w:pPr>
        <w:jc w:val="both"/>
        <w:rPr>
          <w:rFonts w:ascii="Arial" w:hAnsi="Arial" w:cs="Arial"/>
          <w:b/>
          <w:smallCaps/>
          <w:sz w:val="28"/>
          <w:szCs w:val="28"/>
        </w:rPr>
      </w:pPr>
      <w:r>
        <w:rPr>
          <w:noProof/>
          <w:lang w:val="es-419" w:eastAsia="es-419"/>
        </w:rPr>
        <w:drawing>
          <wp:anchor distT="0" distB="0" distL="114300" distR="114300" simplePos="0" relativeHeight="251665408" behindDoc="0" locked="0" layoutInCell="1" allowOverlap="1" wp14:anchorId="0F0EE070" wp14:editId="36F3C951">
            <wp:simplePos x="0" y="0"/>
            <wp:positionH relativeFrom="column">
              <wp:posOffset>-41910</wp:posOffset>
            </wp:positionH>
            <wp:positionV relativeFrom="paragraph">
              <wp:posOffset>-121920</wp:posOffset>
            </wp:positionV>
            <wp:extent cx="1762125" cy="1246104"/>
            <wp:effectExtent l="0" t="0" r="0" b="0"/>
            <wp:wrapNone/>
            <wp:docPr id="15" name="Picture 15" descr="https://spexternal.iadb.org/sites/identity/en/Documents/Logo%20IDB/Spanish/White/BID_Spanish_Without%20descriptor_White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pexternal.iadb.org/sites/identity/en/Documents/Logo%20IDB/Spanish/White/BID_Spanish_Without%20descriptor_White_PN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62125" cy="1246104"/>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6A8C">
        <w:rPr>
          <w:rFonts w:ascii="Arial" w:hAnsi="Arial" w:cs="Arial"/>
          <w:b/>
          <w:smallCaps/>
          <w:noProof/>
          <w:sz w:val="28"/>
          <w:szCs w:val="28"/>
          <w:lang w:val="es-419" w:eastAsia="es-419"/>
        </w:rPr>
        <mc:AlternateContent>
          <mc:Choice Requires="wps">
            <w:drawing>
              <wp:anchor distT="0" distB="0" distL="114300" distR="114300" simplePos="0" relativeHeight="251663360" behindDoc="0" locked="0" layoutInCell="1" allowOverlap="1" wp14:anchorId="68B52BDC" wp14:editId="41193277">
                <wp:simplePos x="0" y="0"/>
                <wp:positionH relativeFrom="column">
                  <wp:posOffset>219075</wp:posOffset>
                </wp:positionH>
                <wp:positionV relativeFrom="paragraph">
                  <wp:posOffset>1893570</wp:posOffset>
                </wp:positionV>
                <wp:extent cx="4152900" cy="31527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3152775"/>
                        </a:xfrm>
                        <a:prstGeom prst="rect">
                          <a:avLst/>
                        </a:prstGeom>
                        <a:noFill/>
                        <a:ln w="9525">
                          <a:noFill/>
                          <a:miter lim="800000"/>
                          <a:headEnd/>
                          <a:tailEnd/>
                        </a:ln>
                      </wps:spPr>
                      <wps:txbx>
                        <w:txbxContent>
                          <w:p w14:paraId="581D51B3" w14:textId="77777777" w:rsidR="00D82D65" w:rsidRDefault="00D82D65" w:rsidP="00636FEA">
                            <w:pPr>
                              <w:rPr>
                                <w:rFonts w:ascii="Arial Black" w:hAnsi="Arial Black"/>
                                <w:color w:val="FFFFFF" w:themeColor="background1"/>
                                <w:sz w:val="36"/>
                                <w:lang w:val="es-ES_tradnl"/>
                              </w:rPr>
                            </w:pPr>
                            <w:r>
                              <w:rPr>
                                <w:rFonts w:ascii="Arial Black" w:hAnsi="Arial Black"/>
                                <w:color w:val="FFFFFF" w:themeColor="background1"/>
                                <w:sz w:val="36"/>
                                <w:lang w:val="es-ES_tradnl"/>
                              </w:rPr>
                              <w:t>Proyecto:</w:t>
                            </w:r>
                          </w:p>
                          <w:p w14:paraId="77D4319E" w14:textId="77777777" w:rsidR="00D82D65" w:rsidRDefault="00D82D65" w:rsidP="00636FEA">
                            <w:pPr>
                              <w:rPr>
                                <w:rFonts w:ascii="Arial Black" w:hAnsi="Arial Black"/>
                                <w:color w:val="FFFFFF" w:themeColor="background1"/>
                                <w:sz w:val="36"/>
                                <w:lang w:val="es-ES_tradnl"/>
                              </w:rPr>
                            </w:pPr>
                            <w:r w:rsidRPr="003C127D">
                              <w:rPr>
                                <w:rFonts w:ascii="Arial Black" w:hAnsi="Arial Black"/>
                                <w:color w:val="FFFFFF" w:themeColor="background1"/>
                                <w:sz w:val="36"/>
                                <w:lang w:val="es-ES_tradnl"/>
                              </w:rPr>
                              <w:t>Línea de Transmisión</w:t>
                            </w:r>
                            <w:r>
                              <w:rPr>
                                <w:rFonts w:ascii="Arial Black" w:hAnsi="Arial Black"/>
                                <w:color w:val="FFFFFF" w:themeColor="background1"/>
                                <w:sz w:val="36"/>
                                <w:lang w:val="es-ES_tradnl"/>
                              </w:rPr>
                              <w:t>:</w:t>
                            </w:r>
                            <w:r w:rsidRPr="003C127D">
                              <w:rPr>
                                <w:rFonts w:ascii="Arial Black" w:hAnsi="Arial Black"/>
                                <w:color w:val="FFFFFF" w:themeColor="background1"/>
                                <w:sz w:val="36"/>
                                <w:lang w:val="es-ES_tradnl"/>
                              </w:rPr>
                              <w:t xml:space="preserve"> </w:t>
                            </w:r>
                            <w:r>
                              <w:rPr>
                                <w:rFonts w:ascii="Arial Black" w:hAnsi="Arial Black"/>
                                <w:color w:val="FFFFFF" w:themeColor="background1"/>
                                <w:sz w:val="36"/>
                                <w:lang w:val="es-ES_tradnl"/>
                              </w:rPr>
                              <w:t xml:space="preserve">          Los Troncos – San Ignacio de Velasco</w:t>
                            </w:r>
                            <w:r w:rsidRPr="003C127D">
                              <w:rPr>
                                <w:rFonts w:ascii="Arial Black" w:hAnsi="Arial Black"/>
                                <w:color w:val="FFFFFF" w:themeColor="background1"/>
                                <w:sz w:val="36"/>
                                <w:lang w:val="es-ES_tradnl"/>
                              </w:rPr>
                              <w:t xml:space="preserve"> </w:t>
                            </w:r>
                          </w:p>
                          <w:p w14:paraId="22806253" w14:textId="77777777" w:rsidR="00D82D65" w:rsidRPr="003016EF" w:rsidRDefault="00D82D65" w:rsidP="00636FEA">
                            <w:pPr>
                              <w:spacing w:before="240" w:after="240"/>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 xml:space="preserve"> </w:t>
                            </w:r>
                          </w:p>
                          <w:p w14:paraId="3248E198" w14:textId="77777777" w:rsidR="00D82D65" w:rsidRPr="003016EF" w:rsidRDefault="00D82D65" w:rsidP="00636FEA">
                            <w:pPr>
                              <w:rPr>
                                <w:rFonts w:ascii="Arial Black" w:hAnsi="Arial Black"/>
                                <w:color w:val="FFFFFF" w:themeColor="background1"/>
                                <w:sz w:val="36"/>
                                <w:lang w:val="es-ES_tradnl"/>
                              </w:rPr>
                            </w:pPr>
                          </w:p>
                          <w:p w14:paraId="31035D16" w14:textId="77777777" w:rsidR="00D82D65" w:rsidRDefault="00D82D65" w:rsidP="00636FEA">
                            <w:pPr>
                              <w:jc w:val="right"/>
                              <w:rPr>
                                <w:rFonts w:ascii="Arial Black" w:hAnsi="Arial Black"/>
                                <w:color w:val="FFFFFF" w:themeColor="background1"/>
                                <w:sz w:val="36"/>
                                <w:lang w:val="es-ES_tradnl"/>
                              </w:rPr>
                            </w:pPr>
                            <w:r>
                              <w:rPr>
                                <w:rFonts w:ascii="Arial Black" w:hAnsi="Arial Black"/>
                                <w:color w:val="FFFFFF" w:themeColor="background1"/>
                                <w:sz w:val="36"/>
                                <w:lang w:val="es-ES_tradnl"/>
                              </w:rPr>
                              <w:t>Evaluación Económica</w:t>
                            </w:r>
                          </w:p>
                          <w:p w14:paraId="6916D8CD" w14:textId="77777777" w:rsidR="00D82D65" w:rsidRPr="003016EF" w:rsidRDefault="00D82D65" w:rsidP="00636FEA">
                            <w:pPr>
                              <w:rPr>
                                <w:rFonts w:ascii="Arial Black" w:hAnsi="Arial Black"/>
                                <w:color w:val="FFFFFF" w:themeColor="background1"/>
                                <w:sz w:val="36"/>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52BDC" id="_x0000_t202" coordsize="21600,21600" o:spt="202" path="m,l,21600r21600,l21600,xe">
                <v:stroke joinstyle="miter"/>
                <v:path gradientshapeok="t" o:connecttype="rect"/>
              </v:shapetype>
              <v:shape id="Text Box 2" o:spid="_x0000_s1026" type="#_x0000_t202" style="position:absolute;left:0;text-align:left;margin-left:17.25pt;margin-top:149.1pt;width:327pt;height:24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" filled="f" stroked="f">
                <v:textbox>
                  <w:txbxContent>
                    <w:p w14:paraId="581D51B3" w14:textId="77777777" w:rsidR="00D82D65" w:rsidRDefault="00D82D65" w:rsidP="00636FEA">
                      <w:pPr>
                        <w:rPr>
                          <w:rFonts w:ascii="Arial Black" w:hAnsi="Arial Black"/>
                          <w:color w:val="FFFFFF" w:themeColor="background1"/>
                          <w:sz w:val="36"/>
                          <w:lang w:val="es-ES_tradnl"/>
                        </w:rPr>
                      </w:pPr>
                      <w:r>
                        <w:rPr>
                          <w:rFonts w:ascii="Arial Black" w:hAnsi="Arial Black"/>
                          <w:color w:val="FFFFFF" w:themeColor="background1"/>
                          <w:sz w:val="36"/>
                          <w:lang w:val="es-ES_tradnl"/>
                        </w:rPr>
                        <w:t>Proyecto:</w:t>
                      </w:r>
                    </w:p>
                    <w:p w14:paraId="77D4319E" w14:textId="77777777" w:rsidR="00D82D65" w:rsidRDefault="00D82D65" w:rsidP="00636FEA">
                      <w:pPr>
                        <w:rPr>
                          <w:rFonts w:ascii="Arial Black" w:hAnsi="Arial Black"/>
                          <w:color w:val="FFFFFF" w:themeColor="background1"/>
                          <w:sz w:val="36"/>
                          <w:lang w:val="es-ES_tradnl"/>
                        </w:rPr>
                      </w:pPr>
                      <w:r w:rsidRPr="003C127D">
                        <w:rPr>
                          <w:rFonts w:ascii="Arial Black" w:hAnsi="Arial Black"/>
                          <w:color w:val="FFFFFF" w:themeColor="background1"/>
                          <w:sz w:val="36"/>
                          <w:lang w:val="es-ES_tradnl"/>
                        </w:rPr>
                        <w:t>Línea de Transmisión</w:t>
                      </w:r>
                      <w:r>
                        <w:rPr>
                          <w:rFonts w:ascii="Arial Black" w:hAnsi="Arial Black"/>
                          <w:color w:val="FFFFFF" w:themeColor="background1"/>
                          <w:sz w:val="36"/>
                          <w:lang w:val="es-ES_tradnl"/>
                        </w:rPr>
                        <w:t>:</w:t>
                      </w:r>
                      <w:r w:rsidRPr="003C127D">
                        <w:rPr>
                          <w:rFonts w:ascii="Arial Black" w:hAnsi="Arial Black"/>
                          <w:color w:val="FFFFFF" w:themeColor="background1"/>
                          <w:sz w:val="36"/>
                          <w:lang w:val="es-ES_tradnl"/>
                        </w:rPr>
                        <w:t xml:space="preserve"> </w:t>
                      </w:r>
                      <w:r>
                        <w:rPr>
                          <w:rFonts w:ascii="Arial Black" w:hAnsi="Arial Black"/>
                          <w:color w:val="FFFFFF" w:themeColor="background1"/>
                          <w:sz w:val="36"/>
                          <w:lang w:val="es-ES_tradnl"/>
                        </w:rPr>
                        <w:t xml:space="preserve">          Los Troncos – San Ignacio de Velasco</w:t>
                      </w:r>
                      <w:r w:rsidRPr="003C127D">
                        <w:rPr>
                          <w:rFonts w:ascii="Arial Black" w:hAnsi="Arial Black"/>
                          <w:color w:val="FFFFFF" w:themeColor="background1"/>
                          <w:sz w:val="36"/>
                          <w:lang w:val="es-ES_tradnl"/>
                        </w:rPr>
                        <w:t xml:space="preserve"> </w:t>
                      </w:r>
                    </w:p>
                    <w:p w14:paraId="22806253" w14:textId="77777777" w:rsidR="00D82D65" w:rsidRPr="003016EF" w:rsidRDefault="00D82D65" w:rsidP="00636FEA">
                      <w:pPr>
                        <w:spacing w:before="240" w:after="240"/>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 xml:space="preserve"> </w:t>
                      </w:r>
                    </w:p>
                    <w:p w14:paraId="3248E198" w14:textId="77777777" w:rsidR="00D82D65" w:rsidRPr="003016EF" w:rsidRDefault="00D82D65" w:rsidP="00636FEA">
                      <w:pPr>
                        <w:rPr>
                          <w:rFonts w:ascii="Arial Black" w:hAnsi="Arial Black"/>
                          <w:color w:val="FFFFFF" w:themeColor="background1"/>
                          <w:sz w:val="36"/>
                          <w:lang w:val="es-ES_tradnl"/>
                        </w:rPr>
                      </w:pPr>
                    </w:p>
                    <w:p w14:paraId="31035D16" w14:textId="77777777" w:rsidR="00D82D65" w:rsidRDefault="00D82D65" w:rsidP="00636FEA">
                      <w:pPr>
                        <w:jc w:val="right"/>
                        <w:rPr>
                          <w:rFonts w:ascii="Arial Black" w:hAnsi="Arial Black"/>
                          <w:color w:val="FFFFFF" w:themeColor="background1"/>
                          <w:sz w:val="36"/>
                          <w:lang w:val="es-ES_tradnl"/>
                        </w:rPr>
                      </w:pPr>
                      <w:r>
                        <w:rPr>
                          <w:rFonts w:ascii="Arial Black" w:hAnsi="Arial Black"/>
                          <w:color w:val="FFFFFF" w:themeColor="background1"/>
                          <w:sz w:val="36"/>
                          <w:lang w:val="es-ES_tradnl"/>
                        </w:rPr>
                        <w:t>Evaluación Económica</w:t>
                      </w:r>
                    </w:p>
                    <w:p w14:paraId="6916D8CD" w14:textId="77777777" w:rsidR="00D82D65" w:rsidRPr="003016EF" w:rsidRDefault="00D82D65" w:rsidP="00636FEA">
                      <w:pPr>
                        <w:rPr>
                          <w:rFonts w:ascii="Arial Black" w:hAnsi="Arial Black"/>
                          <w:color w:val="FFFFFF" w:themeColor="background1"/>
                          <w:sz w:val="36"/>
                          <w:lang w:val="es-ES_tradnl"/>
                        </w:rPr>
                      </w:pPr>
                    </w:p>
                  </w:txbxContent>
                </v:textbox>
              </v:shape>
            </w:pict>
          </mc:Fallback>
        </mc:AlternateContent>
      </w:r>
      <w:r w:rsidR="00636FEA" w:rsidRPr="00EA6A8C">
        <w:rPr>
          <w:rFonts w:ascii="Arial" w:hAnsi="Arial" w:cs="Arial"/>
          <w:noProof/>
          <w:lang w:val="es-419" w:eastAsia="es-419"/>
        </w:rPr>
        <w:drawing>
          <wp:anchor distT="0" distB="0" distL="114300" distR="114300" simplePos="0" relativeHeight="251662336" behindDoc="1" locked="0" layoutInCell="1" allowOverlap="1" wp14:anchorId="099F3E10" wp14:editId="7B523B28">
            <wp:simplePos x="0" y="0"/>
            <wp:positionH relativeFrom="column">
              <wp:posOffset>-146050</wp:posOffset>
            </wp:positionH>
            <wp:positionV relativeFrom="paragraph">
              <wp:posOffset>-162560</wp:posOffset>
            </wp:positionV>
            <wp:extent cx="6233160" cy="8582025"/>
            <wp:effectExtent l="0" t="0" r="0" b="9525"/>
            <wp:wrapNone/>
            <wp:docPr id="8" name="Picture 8" descr="C:\Users\SHAKIRAHC\AppData\Local\Microsoft\Windows\Temporary Internet Files\Content.Word\fondo_vertical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KIRAHC\AppData\Local\Microsoft\Windows\Temporary Internet Files\Content.Word\fondo_vertical5-0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33160" cy="858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636FEA" w:rsidRPr="00EA6A8C">
        <w:rPr>
          <w:rFonts w:ascii="Arial" w:hAnsi="Arial" w:cs="Arial"/>
          <w:noProof/>
          <w:lang w:val="es-419" w:eastAsia="es-419"/>
        </w:rPr>
        <w:drawing>
          <wp:anchor distT="0" distB="0" distL="114300" distR="114300" simplePos="0" relativeHeight="251659264" behindDoc="1" locked="0" layoutInCell="1" allowOverlap="1" wp14:anchorId="41CF197C" wp14:editId="411179D9">
            <wp:simplePos x="0" y="0"/>
            <wp:positionH relativeFrom="column">
              <wp:posOffset>-122555</wp:posOffset>
            </wp:positionH>
            <wp:positionV relativeFrom="paragraph">
              <wp:posOffset>-84455</wp:posOffset>
            </wp:positionV>
            <wp:extent cx="2171700" cy="1534795"/>
            <wp:effectExtent l="0" t="0" r="0" b="0"/>
            <wp:wrapNone/>
            <wp:docPr id="4" name="Picture 4"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36FEA" w:rsidRPr="00EA6A8C">
        <w:rPr>
          <w:rFonts w:ascii="Arial" w:hAnsi="Arial" w:cs="Arial"/>
          <w:b/>
          <w:bCs/>
          <w:i/>
          <w:iCs/>
          <w:noProof/>
          <w:lang w:val="es-419" w:eastAsia="es-419"/>
        </w:rPr>
        <mc:AlternateContent>
          <mc:Choice Requires="wps">
            <w:drawing>
              <wp:anchor distT="0" distB="0" distL="114300" distR="114300" simplePos="0" relativeHeight="251664384" behindDoc="0" locked="0" layoutInCell="1" allowOverlap="1" wp14:anchorId="567C3E77" wp14:editId="5A814385">
                <wp:simplePos x="0" y="0"/>
                <wp:positionH relativeFrom="column">
                  <wp:posOffset>-123825</wp:posOffset>
                </wp:positionH>
                <wp:positionV relativeFrom="paragraph">
                  <wp:posOffset>5174615</wp:posOffset>
                </wp:positionV>
                <wp:extent cx="6096000" cy="1384300"/>
                <wp:effectExtent l="0" t="0" r="0" b="63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384300"/>
                        </a:xfrm>
                        <a:prstGeom prst="rect">
                          <a:avLst/>
                        </a:prstGeom>
                        <a:noFill/>
                        <a:ln w="9525">
                          <a:noFill/>
                          <a:miter lim="800000"/>
                          <a:headEnd/>
                          <a:tailEnd/>
                        </a:ln>
                      </wps:spPr>
                      <wps:txbx>
                        <w:txbxContent>
                          <w:p w14:paraId="6D2678B3" w14:textId="77777777" w:rsidR="00D82D65" w:rsidRDefault="00D82D65" w:rsidP="00636FEA">
                            <w:pPr>
                              <w:rPr>
                                <w:rFonts w:cs="Arial"/>
                                <w:b/>
                                <w:bCs/>
                                <w:i/>
                                <w:iCs/>
                                <w:color w:val="FFFFFF" w:themeColor="background1"/>
                                <w:lang w:val="es-BO"/>
                              </w:rPr>
                            </w:pPr>
                          </w:p>
                          <w:p w14:paraId="77F158DF" w14:textId="77777777" w:rsidR="00D82D65" w:rsidRPr="003016EF" w:rsidRDefault="00D82D65" w:rsidP="00636FEA">
                            <w:pPr>
                              <w:rPr>
                                <w:rFonts w:ascii="Arial" w:hAnsi="Arial" w:cs="Arial"/>
                                <w:b/>
                                <w:bCs/>
                                <w:i/>
                                <w:iCs/>
                                <w:color w:val="FFFFFF" w:themeColor="background1"/>
                                <w:lang w:val="es-ES_tradnl"/>
                              </w:rPr>
                            </w:pPr>
                          </w:p>
                          <w:p w14:paraId="00EB47F2" w14:textId="77777777" w:rsidR="00D82D65" w:rsidRDefault="00D82D65" w:rsidP="00636FEA">
                            <w:pPr>
                              <w:jc w:val="right"/>
                              <w:rPr>
                                <w:rFonts w:ascii="Arial" w:hAnsi="Arial" w:cs="Arial"/>
                                <w:b/>
                                <w:bCs/>
                                <w:i/>
                                <w:iCs/>
                                <w:color w:val="FFFFFF" w:themeColor="background1"/>
                                <w:lang w:val="es-ES_tradnl"/>
                              </w:rPr>
                            </w:pPr>
                            <w:r>
                              <w:rPr>
                                <w:rFonts w:ascii="Arial" w:hAnsi="Arial" w:cs="Arial"/>
                                <w:b/>
                                <w:bCs/>
                                <w:i/>
                                <w:iCs/>
                                <w:color w:val="FFFFFF" w:themeColor="background1"/>
                                <w:lang w:val="es-ES_tradnl"/>
                              </w:rPr>
                              <w:t>CONSULTOR</w:t>
                            </w:r>
                            <w:r w:rsidRPr="003016EF">
                              <w:rPr>
                                <w:rFonts w:ascii="Arial" w:hAnsi="Arial" w:cs="Arial"/>
                                <w:b/>
                                <w:bCs/>
                                <w:i/>
                                <w:iCs/>
                                <w:color w:val="FFFFFF" w:themeColor="background1"/>
                                <w:lang w:val="es-ES_tradnl"/>
                              </w:rPr>
                              <w:t xml:space="preserve">: </w:t>
                            </w:r>
                            <w:r>
                              <w:rPr>
                                <w:rFonts w:ascii="Arial" w:hAnsi="Arial" w:cs="Arial"/>
                                <w:b/>
                                <w:bCs/>
                                <w:i/>
                                <w:iCs/>
                                <w:color w:val="FFFFFF" w:themeColor="background1"/>
                                <w:lang w:val="es-ES_tradnl"/>
                              </w:rPr>
                              <w:t>Renán Orellana Lafuente</w:t>
                            </w:r>
                          </w:p>
                          <w:p w14:paraId="5D33B5CD" w14:textId="77777777" w:rsidR="00D82D65" w:rsidRPr="003016EF" w:rsidRDefault="00D82D65" w:rsidP="00636FEA">
                            <w:pPr>
                              <w:rPr>
                                <w:rFonts w:ascii="Arial" w:hAnsi="Arial" w:cs="Arial"/>
                                <w:b/>
                                <w:bCs/>
                                <w:i/>
                                <w:iCs/>
                                <w:color w:val="FFFFFF" w:themeColor="background1"/>
                                <w:lang w:val="es-ES_tradnl"/>
                              </w:rPr>
                            </w:pPr>
                          </w:p>
                          <w:p w14:paraId="23D25DBB" w14:textId="77777777" w:rsidR="00D82D65" w:rsidRPr="003016EF" w:rsidRDefault="00D82D65" w:rsidP="00636FEA">
                            <w:pPr>
                              <w:rPr>
                                <w:rFonts w:ascii="Times New Roman" w:hAnsi="Times New Roman"/>
                                <w:b/>
                                <w:bCs/>
                                <w:i/>
                                <w:iCs/>
                                <w:color w:val="FFFFFF" w:themeColor="background1"/>
                                <w:lang w:val="es-ES_tradnl"/>
                              </w:rPr>
                            </w:pPr>
                          </w:p>
                          <w:p w14:paraId="58628F39" w14:textId="77777777" w:rsidR="00D82D65" w:rsidRPr="003016EF" w:rsidRDefault="00D82D65" w:rsidP="00636FEA">
                            <w:pPr>
                              <w:rPr>
                                <w:color w:val="FFFFFF" w:themeColor="background1"/>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C3E77" id="_x0000_s1027" type="#_x0000_t202" style="position:absolute;left:0;text-align:left;margin-left:-9.75pt;margin-top:407.45pt;width:480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" filled="f" stroked="f">
                <v:textbox>
                  <w:txbxContent>
                    <w:p w14:paraId="6D2678B3" w14:textId="77777777" w:rsidR="00D82D65" w:rsidRDefault="00D82D65" w:rsidP="00636FEA">
                      <w:pPr>
                        <w:rPr>
                          <w:rFonts w:cs="Arial"/>
                          <w:b/>
                          <w:bCs/>
                          <w:i/>
                          <w:iCs/>
                          <w:color w:val="FFFFFF" w:themeColor="background1"/>
                          <w:lang w:val="es-BO"/>
                        </w:rPr>
                      </w:pPr>
                    </w:p>
                    <w:p w14:paraId="77F158DF" w14:textId="77777777" w:rsidR="00D82D65" w:rsidRPr="003016EF" w:rsidRDefault="00D82D65" w:rsidP="00636FEA">
                      <w:pPr>
                        <w:rPr>
                          <w:rFonts w:ascii="Arial" w:hAnsi="Arial" w:cs="Arial"/>
                          <w:b/>
                          <w:bCs/>
                          <w:i/>
                          <w:iCs/>
                          <w:color w:val="FFFFFF" w:themeColor="background1"/>
                          <w:lang w:val="es-ES_tradnl"/>
                        </w:rPr>
                      </w:pPr>
                    </w:p>
                    <w:p w14:paraId="00EB47F2" w14:textId="77777777" w:rsidR="00D82D65" w:rsidRDefault="00D82D65" w:rsidP="00636FEA">
                      <w:pPr>
                        <w:jc w:val="right"/>
                        <w:rPr>
                          <w:rFonts w:ascii="Arial" w:hAnsi="Arial" w:cs="Arial"/>
                          <w:b/>
                          <w:bCs/>
                          <w:i/>
                          <w:iCs/>
                          <w:color w:val="FFFFFF" w:themeColor="background1"/>
                          <w:lang w:val="es-ES_tradnl"/>
                        </w:rPr>
                      </w:pPr>
                      <w:r>
                        <w:rPr>
                          <w:rFonts w:ascii="Arial" w:hAnsi="Arial" w:cs="Arial"/>
                          <w:b/>
                          <w:bCs/>
                          <w:i/>
                          <w:iCs/>
                          <w:color w:val="FFFFFF" w:themeColor="background1"/>
                          <w:lang w:val="es-ES_tradnl"/>
                        </w:rPr>
                        <w:t>CONSULTOR</w:t>
                      </w:r>
                      <w:r w:rsidRPr="003016EF">
                        <w:rPr>
                          <w:rFonts w:ascii="Arial" w:hAnsi="Arial" w:cs="Arial"/>
                          <w:b/>
                          <w:bCs/>
                          <w:i/>
                          <w:iCs/>
                          <w:color w:val="FFFFFF" w:themeColor="background1"/>
                          <w:lang w:val="es-ES_tradnl"/>
                        </w:rPr>
                        <w:t xml:space="preserve">: </w:t>
                      </w:r>
                      <w:r>
                        <w:rPr>
                          <w:rFonts w:ascii="Arial" w:hAnsi="Arial" w:cs="Arial"/>
                          <w:b/>
                          <w:bCs/>
                          <w:i/>
                          <w:iCs/>
                          <w:color w:val="FFFFFF" w:themeColor="background1"/>
                          <w:lang w:val="es-ES_tradnl"/>
                        </w:rPr>
                        <w:t>Renán Orellana Lafuente</w:t>
                      </w:r>
                    </w:p>
                    <w:p w14:paraId="5D33B5CD" w14:textId="77777777" w:rsidR="00D82D65" w:rsidRPr="003016EF" w:rsidRDefault="00D82D65" w:rsidP="00636FEA">
                      <w:pPr>
                        <w:rPr>
                          <w:rFonts w:ascii="Arial" w:hAnsi="Arial" w:cs="Arial"/>
                          <w:b/>
                          <w:bCs/>
                          <w:i/>
                          <w:iCs/>
                          <w:color w:val="FFFFFF" w:themeColor="background1"/>
                          <w:lang w:val="es-ES_tradnl"/>
                        </w:rPr>
                      </w:pPr>
                    </w:p>
                    <w:p w14:paraId="23D25DBB" w14:textId="77777777" w:rsidR="00D82D65" w:rsidRPr="003016EF" w:rsidRDefault="00D82D65" w:rsidP="00636FEA">
                      <w:pPr>
                        <w:rPr>
                          <w:rFonts w:ascii="Times New Roman" w:hAnsi="Times New Roman"/>
                          <w:b/>
                          <w:bCs/>
                          <w:i/>
                          <w:iCs/>
                          <w:color w:val="FFFFFF" w:themeColor="background1"/>
                          <w:lang w:val="es-ES_tradnl"/>
                        </w:rPr>
                      </w:pPr>
                    </w:p>
                    <w:p w14:paraId="58628F39" w14:textId="77777777" w:rsidR="00D82D65" w:rsidRPr="003016EF" w:rsidRDefault="00D82D65" w:rsidP="00636FEA">
                      <w:pPr>
                        <w:rPr>
                          <w:color w:val="FFFFFF" w:themeColor="background1"/>
                          <w:lang w:val="es-ES_tradnl"/>
                        </w:rPr>
                      </w:pPr>
                    </w:p>
                  </w:txbxContent>
                </v:textbox>
              </v:shape>
            </w:pict>
          </mc:Fallback>
        </mc:AlternateContent>
      </w:r>
      <w:r w:rsidR="00636FEA" w:rsidRPr="00EA6A8C">
        <w:rPr>
          <w:rFonts w:ascii="Arial" w:hAnsi="Arial" w:cs="Arial"/>
          <w:b/>
          <w:smallCaps/>
          <w:noProof/>
          <w:sz w:val="28"/>
          <w:szCs w:val="28"/>
          <w:lang w:val="es-419" w:eastAsia="es-419"/>
        </w:rPr>
        <mc:AlternateContent>
          <mc:Choice Requires="wps">
            <w:drawing>
              <wp:anchor distT="0" distB="0" distL="114300" distR="114300" simplePos="0" relativeHeight="251661312" behindDoc="0" locked="0" layoutInCell="1" allowOverlap="1" wp14:anchorId="59367C6F" wp14:editId="1A509880">
                <wp:simplePos x="0" y="0"/>
                <wp:positionH relativeFrom="column">
                  <wp:posOffset>215900</wp:posOffset>
                </wp:positionH>
                <wp:positionV relativeFrom="paragraph">
                  <wp:posOffset>3271520</wp:posOffset>
                </wp:positionV>
                <wp:extent cx="2988310" cy="379095"/>
                <wp:effectExtent l="0" t="0" r="0" b="190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14:paraId="2C881913" w14:textId="77777777" w:rsidR="00D82D65" w:rsidRPr="00CB1D5B" w:rsidRDefault="00D82D65" w:rsidP="00636FEA">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367C6F" id="Text Box 26" o:spid="_x0000_s1028" type="#_x0000_t202" style="position:absolute;left:0;text-align:left;margin-left:17pt;margin-top:257.6pt;width:235.3pt;height:2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" filled="f" stroked="f">
                <v:textbox>
                  <w:txbxContent>
                    <w:p w14:paraId="2C881913" w14:textId="77777777" w:rsidR="00D82D65" w:rsidRPr="00CB1D5B" w:rsidRDefault="00D82D65" w:rsidP="00636FEA">
                      <w:pPr>
                        <w:autoSpaceDE w:val="0"/>
                        <w:autoSpaceDN w:val="0"/>
                        <w:adjustRightInd w:val="0"/>
                        <w:jc w:val="center"/>
                        <w:rPr>
                          <w:rFonts w:ascii="Arial Black" w:hAnsi="Arial Black"/>
                          <w:color w:val="FFFFFF" w:themeColor="background1"/>
                        </w:rPr>
                      </w:pPr>
                    </w:p>
                  </w:txbxContent>
                </v:textbox>
              </v:shape>
            </w:pict>
          </mc:Fallback>
        </mc:AlternateContent>
      </w:r>
      <w:r w:rsidR="00636FEA" w:rsidRPr="00EA6A8C">
        <w:rPr>
          <w:rFonts w:ascii="Arial" w:hAnsi="Arial" w:cs="Arial"/>
          <w:noProof/>
          <w:sz w:val="40"/>
          <w:lang w:val="es-419" w:eastAsia="es-419"/>
        </w:rPr>
        <mc:AlternateContent>
          <mc:Choice Requires="wps">
            <w:drawing>
              <wp:anchor distT="0" distB="0" distL="114300" distR="114300" simplePos="0" relativeHeight="251660288" behindDoc="0" locked="1" layoutInCell="1" allowOverlap="1" wp14:anchorId="20F728BD" wp14:editId="44E2A404">
                <wp:simplePos x="0" y="0"/>
                <wp:positionH relativeFrom="column">
                  <wp:posOffset>3235960</wp:posOffset>
                </wp:positionH>
                <wp:positionV relativeFrom="paragraph">
                  <wp:posOffset>7620635</wp:posOffset>
                </wp:positionV>
                <wp:extent cx="3526790" cy="32385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323850"/>
                        </a:xfrm>
                        <a:prstGeom prst="rect">
                          <a:avLst/>
                        </a:prstGeom>
                        <a:noFill/>
                        <a:ln w="9525">
                          <a:noFill/>
                          <a:miter lim="800000"/>
                          <a:headEnd/>
                          <a:tailEnd/>
                        </a:ln>
                      </wps:spPr>
                      <wps:txbx>
                        <w:txbxContent>
                          <w:p w14:paraId="7C36B741" w14:textId="77777777" w:rsidR="00D82D65" w:rsidRPr="000F22AD" w:rsidRDefault="00D82D65" w:rsidP="00636FEA">
                            <w:pPr>
                              <w:jc w:val="center"/>
                              <w:rPr>
                                <w:i/>
                                <w:color w:val="FFFFFF" w:themeColor="background1"/>
                                <w:sz w:val="28"/>
                                <w:szCs w:val="28"/>
                              </w:rPr>
                            </w:pPr>
                            <w:r w:rsidRPr="000F22AD">
                              <w:rPr>
                                <w:i/>
                                <w:color w:val="FFFFFF" w:themeColor="background1"/>
                                <w:sz w:val="28"/>
                                <w:szCs w:val="28"/>
                              </w:rPr>
                              <w:t>For internal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F728BD" id="_x0000_s1029" type="#_x0000_t202" style="position:absolute;left:0;text-align:left;margin-left:254.8pt;margin-top:600.05pt;width:277.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" filled="f" stroked="f">
                <v:textbox>
                  <w:txbxContent>
                    <w:p w14:paraId="7C36B741" w14:textId="77777777" w:rsidR="00D82D65" w:rsidRPr="000F22AD" w:rsidRDefault="00D82D65" w:rsidP="00636FEA">
                      <w:pPr>
                        <w:jc w:val="center"/>
                        <w:rPr>
                          <w:i/>
                          <w:color w:val="FFFFFF" w:themeColor="background1"/>
                          <w:sz w:val="28"/>
                          <w:szCs w:val="28"/>
                        </w:rPr>
                      </w:pPr>
                      <w:r w:rsidRPr="000F22AD">
                        <w:rPr>
                          <w:i/>
                          <w:color w:val="FFFFFF" w:themeColor="background1"/>
                          <w:sz w:val="28"/>
                          <w:szCs w:val="28"/>
                        </w:rPr>
                        <w:t>For internal use only</w:t>
                      </w:r>
                    </w:p>
                  </w:txbxContent>
                </v:textbox>
                <w10:anchorlock/>
              </v:shape>
            </w:pict>
          </mc:Fallback>
        </mc:AlternateContent>
      </w:r>
      <w:r w:rsidR="00636FEA" w:rsidRPr="00EA6A8C">
        <w:rPr>
          <w:rFonts w:ascii="Arial" w:hAnsi="Arial" w:cs="Arial"/>
        </w:rPr>
        <w:br w:type="page"/>
      </w:r>
    </w:p>
    <w:p w14:paraId="468DA742" w14:textId="77777777" w:rsidR="00636FEA" w:rsidRPr="00EA6A8C" w:rsidRDefault="00636FEA" w:rsidP="00636FEA">
      <w:pPr>
        <w:rPr>
          <w:rFonts w:ascii="Arial" w:hAnsi="Arial" w:cs="Arial"/>
          <w:color w:val="7F7F7F" w:themeColor="text1" w:themeTint="80"/>
          <w:sz w:val="28"/>
          <w:szCs w:val="28"/>
        </w:rPr>
        <w:sectPr w:rsidR="00636FEA" w:rsidRPr="00EA6A8C" w:rsidSect="008071BA">
          <w:footerReference w:type="default" r:id="rId17"/>
          <w:pgSz w:w="12240" w:h="15840"/>
          <w:pgMar w:top="1440" w:right="1440" w:bottom="1440" w:left="1440" w:header="720" w:footer="720" w:gutter="0"/>
          <w:pgNumType w:fmt="lowerRoman" w:start="1"/>
          <w:cols w:space="720"/>
          <w:titlePg/>
          <w:docGrid w:linePitch="360"/>
        </w:sectPr>
      </w:pPr>
    </w:p>
    <w:sdt>
      <w:sdtPr>
        <w:rPr>
          <w:rFonts w:ascii="Arial" w:eastAsiaTheme="minorHAnsi" w:hAnsi="Arial" w:cs="Arial"/>
          <w:b w:val="0"/>
          <w:bCs w:val="0"/>
          <w:color w:val="auto"/>
          <w:sz w:val="22"/>
          <w:szCs w:val="22"/>
          <w:lang w:val="es-MX" w:eastAsia="en-US"/>
        </w:rPr>
        <w:id w:val="-1150281611"/>
        <w:docPartObj>
          <w:docPartGallery w:val="Table of Contents"/>
          <w:docPartUnique/>
        </w:docPartObj>
      </w:sdtPr>
      <w:sdtEndPr>
        <w:rPr>
          <w:noProof/>
        </w:rPr>
      </w:sdtEndPr>
      <w:sdtContent>
        <w:p w14:paraId="43566572" w14:textId="77777777" w:rsidR="00636FEA" w:rsidRDefault="00636FEA" w:rsidP="00636FEA">
          <w:pPr>
            <w:pStyle w:val="TOCHeading"/>
            <w:rPr>
              <w:rFonts w:ascii="Arial" w:hAnsi="Arial" w:cs="Arial"/>
              <w:lang w:val="es-MX"/>
            </w:rPr>
          </w:pPr>
          <w:r>
            <w:rPr>
              <w:rFonts w:ascii="Arial" w:hAnsi="Arial" w:cs="Arial"/>
              <w:lang w:val="es-MX"/>
            </w:rPr>
            <w:t>Contenido</w:t>
          </w:r>
        </w:p>
        <w:p w14:paraId="647E916A" w14:textId="77777777" w:rsidR="00636FEA" w:rsidRPr="00FE60BE" w:rsidRDefault="00636FEA" w:rsidP="00636FEA">
          <w:pPr>
            <w:rPr>
              <w:lang w:val="es-MX" w:eastAsia="ja-JP"/>
            </w:rPr>
          </w:pPr>
        </w:p>
        <w:p w14:paraId="669D88E4" w14:textId="77777777" w:rsidR="00636FEA" w:rsidRDefault="00636FEA" w:rsidP="00636FEA">
          <w:pPr>
            <w:pStyle w:val="TOC1"/>
            <w:rPr>
              <w:rFonts w:eastAsiaTheme="minorEastAsia"/>
              <w:lang w:val="es-419" w:eastAsia="es-419"/>
            </w:rPr>
          </w:pPr>
          <w:r w:rsidRPr="00EA6A8C">
            <w:rPr>
              <w:lang w:val="es-MX"/>
            </w:rPr>
            <w:fldChar w:fldCharType="begin"/>
          </w:r>
          <w:r w:rsidRPr="00EA6A8C">
            <w:rPr>
              <w:lang w:val="es-MX"/>
            </w:rPr>
            <w:instrText xml:space="preserve"> TOC \o "1-3" \h \z \u </w:instrText>
          </w:r>
          <w:r w:rsidRPr="00EA6A8C">
            <w:rPr>
              <w:lang w:val="es-MX"/>
            </w:rPr>
            <w:fldChar w:fldCharType="separate"/>
          </w:r>
          <w:hyperlink w:anchor="_Toc494317168" w:history="1">
            <w:r w:rsidRPr="0056175C">
              <w:rPr>
                <w:rStyle w:val="Hyperlink"/>
                <w:lang w:val="es-MX"/>
              </w:rPr>
              <w:t>I.</w:t>
            </w:r>
            <w:r>
              <w:rPr>
                <w:rFonts w:eastAsiaTheme="minorEastAsia"/>
                <w:lang w:val="es-419" w:eastAsia="es-419"/>
              </w:rPr>
              <w:tab/>
            </w:r>
            <w:r w:rsidRPr="0056175C">
              <w:rPr>
                <w:rStyle w:val="Hyperlink"/>
              </w:rPr>
              <w:t>Introducción</w:t>
            </w:r>
            <w:r>
              <w:rPr>
                <w:webHidden/>
              </w:rPr>
              <w:tab/>
            </w:r>
            <w:r>
              <w:rPr>
                <w:webHidden/>
              </w:rPr>
              <w:fldChar w:fldCharType="begin"/>
            </w:r>
            <w:r>
              <w:rPr>
                <w:webHidden/>
              </w:rPr>
              <w:instrText xml:space="preserve"> PAGEREF _Toc494317168 \h </w:instrText>
            </w:r>
            <w:r>
              <w:rPr>
                <w:webHidden/>
              </w:rPr>
            </w:r>
            <w:r>
              <w:rPr>
                <w:webHidden/>
              </w:rPr>
              <w:fldChar w:fldCharType="separate"/>
            </w:r>
            <w:r>
              <w:rPr>
                <w:webHidden/>
              </w:rPr>
              <w:t>2</w:t>
            </w:r>
            <w:r>
              <w:rPr>
                <w:webHidden/>
              </w:rPr>
              <w:fldChar w:fldCharType="end"/>
            </w:r>
          </w:hyperlink>
        </w:p>
        <w:p w14:paraId="4499768F" w14:textId="77777777" w:rsidR="00636FEA" w:rsidRDefault="00D82D65" w:rsidP="00636FEA">
          <w:pPr>
            <w:pStyle w:val="TOC1"/>
            <w:rPr>
              <w:rFonts w:eastAsiaTheme="minorEastAsia"/>
              <w:lang w:val="es-419" w:eastAsia="es-419"/>
            </w:rPr>
          </w:pPr>
          <w:hyperlink w:anchor="_Toc494317169" w:history="1">
            <w:r w:rsidR="00636FEA" w:rsidRPr="0056175C">
              <w:rPr>
                <w:rStyle w:val="Hyperlink"/>
                <w:lang w:val="es-MX"/>
              </w:rPr>
              <w:t>II.</w:t>
            </w:r>
            <w:r w:rsidR="00636FEA">
              <w:rPr>
                <w:rFonts w:eastAsiaTheme="minorEastAsia"/>
                <w:lang w:val="es-419" w:eastAsia="es-419"/>
              </w:rPr>
              <w:tab/>
            </w:r>
            <w:r w:rsidR="00636FEA" w:rsidRPr="0056175C">
              <w:rPr>
                <w:rStyle w:val="Hyperlink"/>
              </w:rPr>
              <w:t>Justificación del Proyecto</w:t>
            </w:r>
            <w:r w:rsidR="00636FEA">
              <w:rPr>
                <w:webHidden/>
              </w:rPr>
              <w:tab/>
            </w:r>
            <w:r w:rsidR="00636FEA">
              <w:rPr>
                <w:webHidden/>
              </w:rPr>
              <w:fldChar w:fldCharType="begin"/>
            </w:r>
            <w:r w:rsidR="00636FEA">
              <w:rPr>
                <w:webHidden/>
              </w:rPr>
              <w:instrText xml:space="preserve"> PAGEREF _Toc494317169 \h </w:instrText>
            </w:r>
            <w:r w:rsidR="00636FEA">
              <w:rPr>
                <w:webHidden/>
              </w:rPr>
            </w:r>
            <w:r w:rsidR="00636FEA">
              <w:rPr>
                <w:webHidden/>
              </w:rPr>
              <w:fldChar w:fldCharType="separate"/>
            </w:r>
            <w:r w:rsidR="00636FEA">
              <w:rPr>
                <w:webHidden/>
              </w:rPr>
              <w:t>3</w:t>
            </w:r>
            <w:r w:rsidR="00636FEA">
              <w:rPr>
                <w:webHidden/>
              </w:rPr>
              <w:fldChar w:fldCharType="end"/>
            </w:r>
          </w:hyperlink>
        </w:p>
        <w:p w14:paraId="4E661CB9" w14:textId="77777777" w:rsidR="00636FEA" w:rsidRDefault="00D82D65" w:rsidP="00636FEA">
          <w:pPr>
            <w:pStyle w:val="TOC1"/>
            <w:rPr>
              <w:rFonts w:eastAsiaTheme="minorEastAsia"/>
              <w:lang w:val="es-419" w:eastAsia="es-419"/>
            </w:rPr>
          </w:pPr>
          <w:hyperlink w:anchor="_Toc494317170" w:history="1">
            <w:r w:rsidR="00636FEA" w:rsidRPr="0056175C">
              <w:rPr>
                <w:rStyle w:val="Hyperlink"/>
                <w:lang w:val="es-MX"/>
              </w:rPr>
              <w:t>III.</w:t>
            </w:r>
            <w:r w:rsidR="00636FEA">
              <w:rPr>
                <w:rFonts w:eastAsiaTheme="minorEastAsia"/>
                <w:lang w:val="es-419" w:eastAsia="es-419"/>
              </w:rPr>
              <w:tab/>
            </w:r>
            <w:r w:rsidR="00636FEA" w:rsidRPr="0056175C">
              <w:rPr>
                <w:rStyle w:val="Hyperlink"/>
              </w:rPr>
              <w:t>Descripción del Proyecto</w:t>
            </w:r>
            <w:r w:rsidR="00636FEA">
              <w:rPr>
                <w:webHidden/>
              </w:rPr>
              <w:tab/>
            </w:r>
            <w:r w:rsidR="00636FEA">
              <w:rPr>
                <w:webHidden/>
              </w:rPr>
              <w:fldChar w:fldCharType="begin"/>
            </w:r>
            <w:r w:rsidR="00636FEA">
              <w:rPr>
                <w:webHidden/>
              </w:rPr>
              <w:instrText xml:space="preserve"> PAGEREF _Toc494317170 \h </w:instrText>
            </w:r>
            <w:r w:rsidR="00636FEA">
              <w:rPr>
                <w:webHidden/>
              </w:rPr>
            </w:r>
            <w:r w:rsidR="00636FEA">
              <w:rPr>
                <w:webHidden/>
              </w:rPr>
              <w:fldChar w:fldCharType="separate"/>
            </w:r>
            <w:r w:rsidR="00636FEA">
              <w:rPr>
                <w:webHidden/>
              </w:rPr>
              <w:t>5</w:t>
            </w:r>
            <w:r w:rsidR="00636FEA">
              <w:rPr>
                <w:webHidden/>
              </w:rPr>
              <w:fldChar w:fldCharType="end"/>
            </w:r>
          </w:hyperlink>
        </w:p>
        <w:p w14:paraId="3E68B7B4" w14:textId="77777777" w:rsidR="00636FEA" w:rsidRDefault="00D82D65" w:rsidP="00636FEA">
          <w:pPr>
            <w:pStyle w:val="TOC1"/>
            <w:rPr>
              <w:rFonts w:eastAsiaTheme="minorEastAsia"/>
              <w:lang w:val="es-419" w:eastAsia="es-419"/>
            </w:rPr>
          </w:pPr>
          <w:hyperlink w:anchor="_Toc494317171" w:history="1">
            <w:r w:rsidR="00636FEA" w:rsidRPr="0056175C">
              <w:rPr>
                <w:rStyle w:val="Hyperlink"/>
              </w:rPr>
              <w:t>3.1</w:t>
            </w:r>
            <w:r w:rsidR="00636FEA">
              <w:rPr>
                <w:rFonts w:eastAsiaTheme="minorEastAsia"/>
                <w:lang w:val="es-419" w:eastAsia="es-419"/>
              </w:rPr>
              <w:tab/>
            </w:r>
            <w:r w:rsidR="00636FEA" w:rsidRPr="0056175C">
              <w:rPr>
                <w:rStyle w:val="Hyperlink"/>
              </w:rPr>
              <w:t>Línea de Transmisión</w:t>
            </w:r>
            <w:r w:rsidR="00636FEA">
              <w:rPr>
                <w:webHidden/>
              </w:rPr>
              <w:tab/>
            </w:r>
            <w:r w:rsidR="00636FEA">
              <w:rPr>
                <w:webHidden/>
              </w:rPr>
              <w:fldChar w:fldCharType="begin"/>
            </w:r>
            <w:r w:rsidR="00636FEA">
              <w:rPr>
                <w:webHidden/>
              </w:rPr>
              <w:instrText xml:space="preserve"> PAGEREF _Toc494317171 \h </w:instrText>
            </w:r>
            <w:r w:rsidR="00636FEA">
              <w:rPr>
                <w:webHidden/>
              </w:rPr>
            </w:r>
            <w:r w:rsidR="00636FEA">
              <w:rPr>
                <w:webHidden/>
              </w:rPr>
              <w:fldChar w:fldCharType="separate"/>
            </w:r>
            <w:r w:rsidR="00636FEA">
              <w:rPr>
                <w:webHidden/>
              </w:rPr>
              <w:t>5</w:t>
            </w:r>
            <w:r w:rsidR="00636FEA">
              <w:rPr>
                <w:webHidden/>
              </w:rPr>
              <w:fldChar w:fldCharType="end"/>
            </w:r>
          </w:hyperlink>
        </w:p>
        <w:p w14:paraId="525C4DB4" w14:textId="77777777" w:rsidR="00636FEA" w:rsidRDefault="00D82D65" w:rsidP="00636FEA">
          <w:pPr>
            <w:pStyle w:val="TOC1"/>
            <w:rPr>
              <w:rFonts w:eastAsiaTheme="minorEastAsia"/>
              <w:lang w:val="es-419" w:eastAsia="es-419"/>
            </w:rPr>
          </w:pPr>
          <w:hyperlink w:anchor="_Toc494317172" w:history="1">
            <w:r w:rsidR="00636FEA" w:rsidRPr="0056175C">
              <w:rPr>
                <w:rStyle w:val="Hyperlink"/>
              </w:rPr>
              <w:t>3.2</w:t>
            </w:r>
            <w:r w:rsidR="00636FEA">
              <w:rPr>
                <w:rFonts w:eastAsiaTheme="minorEastAsia"/>
                <w:lang w:val="es-419" w:eastAsia="es-419"/>
              </w:rPr>
              <w:tab/>
            </w:r>
            <w:r w:rsidR="00636FEA" w:rsidRPr="0056175C">
              <w:rPr>
                <w:rStyle w:val="Hyperlink"/>
              </w:rPr>
              <w:t>Subestación Los Troncos</w:t>
            </w:r>
            <w:r w:rsidR="00636FEA">
              <w:rPr>
                <w:webHidden/>
              </w:rPr>
              <w:tab/>
            </w:r>
            <w:r w:rsidR="00636FEA">
              <w:rPr>
                <w:webHidden/>
              </w:rPr>
              <w:fldChar w:fldCharType="begin"/>
            </w:r>
            <w:r w:rsidR="00636FEA">
              <w:rPr>
                <w:webHidden/>
              </w:rPr>
              <w:instrText xml:space="preserve"> PAGEREF _Toc494317172 \h </w:instrText>
            </w:r>
            <w:r w:rsidR="00636FEA">
              <w:rPr>
                <w:webHidden/>
              </w:rPr>
            </w:r>
            <w:r w:rsidR="00636FEA">
              <w:rPr>
                <w:webHidden/>
              </w:rPr>
              <w:fldChar w:fldCharType="separate"/>
            </w:r>
            <w:r w:rsidR="00636FEA">
              <w:rPr>
                <w:webHidden/>
              </w:rPr>
              <w:t>6</w:t>
            </w:r>
            <w:r w:rsidR="00636FEA">
              <w:rPr>
                <w:webHidden/>
              </w:rPr>
              <w:fldChar w:fldCharType="end"/>
            </w:r>
          </w:hyperlink>
        </w:p>
        <w:p w14:paraId="3A1DE003" w14:textId="77777777" w:rsidR="00636FEA" w:rsidRPr="00FE60BE" w:rsidRDefault="00D82D65" w:rsidP="00636FEA">
          <w:pPr>
            <w:pStyle w:val="TOC1"/>
            <w:rPr>
              <w:rFonts w:eastAsiaTheme="minorEastAsia"/>
              <w:lang w:val="es-419" w:eastAsia="es-419"/>
            </w:rPr>
          </w:pPr>
          <w:hyperlink w:anchor="_Toc494317173" w:history="1">
            <w:r w:rsidR="00636FEA" w:rsidRPr="00FE60BE">
              <w:rPr>
                <w:rStyle w:val="Hyperlink"/>
              </w:rPr>
              <w:t>3.3</w:t>
            </w:r>
            <w:r w:rsidR="00636FEA" w:rsidRPr="00FE60BE">
              <w:rPr>
                <w:rFonts w:eastAsiaTheme="minorEastAsia"/>
                <w:lang w:val="es-419" w:eastAsia="es-419"/>
              </w:rPr>
              <w:tab/>
            </w:r>
            <w:r w:rsidR="00636FEA" w:rsidRPr="00FE60BE">
              <w:rPr>
                <w:rStyle w:val="Hyperlink"/>
              </w:rPr>
              <w:t>Subestación San Ignacio de Velasco</w:t>
            </w:r>
            <w:r w:rsidR="00636FEA" w:rsidRPr="00FE60BE">
              <w:rPr>
                <w:webHidden/>
              </w:rPr>
              <w:tab/>
            </w:r>
            <w:r w:rsidR="00636FEA" w:rsidRPr="00FE60BE">
              <w:rPr>
                <w:webHidden/>
              </w:rPr>
              <w:fldChar w:fldCharType="begin"/>
            </w:r>
            <w:r w:rsidR="00636FEA" w:rsidRPr="00FE60BE">
              <w:rPr>
                <w:webHidden/>
              </w:rPr>
              <w:instrText xml:space="preserve"> PAGEREF _Toc494317173 \h </w:instrText>
            </w:r>
            <w:r w:rsidR="00636FEA" w:rsidRPr="00FE60BE">
              <w:rPr>
                <w:webHidden/>
              </w:rPr>
            </w:r>
            <w:r w:rsidR="00636FEA" w:rsidRPr="00FE60BE">
              <w:rPr>
                <w:webHidden/>
              </w:rPr>
              <w:fldChar w:fldCharType="separate"/>
            </w:r>
            <w:r w:rsidR="00636FEA" w:rsidRPr="00FE60BE">
              <w:rPr>
                <w:webHidden/>
              </w:rPr>
              <w:t>6</w:t>
            </w:r>
            <w:r w:rsidR="00636FEA" w:rsidRPr="00FE60BE">
              <w:rPr>
                <w:webHidden/>
              </w:rPr>
              <w:fldChar w:fldCharType="end"/>
            </w:r>
          </w:hyperlink>
        </w:p>
        <w:p w14:paraId="2727A2F7" w14:textId="77777777" w:rsidR="00636FEA" w:rsidRDefault="00D82D65" w:rsidP="00636FEA">
          <w:pPr>
            <w:pStyle w:val="TOC1"/>
            <w:rPr>
              <w:rFonts w:eastAsiaTheme="minorEastAsia"/>
              <w:lang w:val="es-419" w:eastAsia="es-419"/>
            </w:rPr>
          </w:pPr>
          <w:hyperlink w:anchor="_Toc494317174" w:history="1">
            <w:r w:rsidR="00636FEA" w:rsidRPr="0056175C">
              <w:rPr>
                <w:rStyle w:val="Hyperlink"/>
                <w:lang w:val="es-MX"/>
              </w:rPr>
              <w:t>IV.</w:t>
            </w:r>
            <w:r w:rsidR="00636FEA">
              <w:rPr>
                <w:rFonts w:eastAsiaTheme="minorEastAsia"/>
                <w:lang w:val="es-419" w:eastAsia="es-419"/>
              </w:rPr>
              <w:tab/>
            </w:r>
            <w:r w:rsidR="00636FEA" w:rsidRPr="0056175C">
              <w:rPr>
                <w:rStyle w:val="Hyperlink"/>
              </w:rPr>
              <w:t>Metodología</w:t>
            </w:r>
            <w:r w:rsidR="00636FEA">
              <w:rPr>
                <w:webHidden/>
              </w:rPr>
              <w:tab/>
            </w:r>
            <w:r w:rsidR="00636FEA">
              <w:rPr>
                <w:webHidden/>
              </w:rPr>
              <w:fldChar w:fldCharType="begin"/>
            </w:r>
            <w:r w:rsidR="00636FEA">
              <w:rPr>
                <w:webHidden/>
              </w:rPr>
              <w:instrText xml:space="preserve"> PAGEREF _Toc494317174 \h </w:instrText>
            </w:r>
            <w:r w:rsidR="00636FEA">
              <w:rPr>
                <w:webHidden/>
              </w:rPr>
            </w:r>
            <w:r w:rsidR="00636FEA">
              <w:rPr>
                <w:webHidden/>
              </w:rPr>
              <w:fldChar w:fldCharType="separate"/>
            </w:r>
            <w:r w:rsidR="00636FEA">
              <w:rPr>
                <w:webHidden/>
              </w:rPr>
              <w:t>7</w:t>
            </w:r>
            <w:r w:rsidR="00636FEA">
              <w:rPr>
                <w:webHidden/>
              </w:rPr>
              <w:fldChar w:fldCharType="end"/>
            </w:r>
          </w:hyperlink>
        </w:p>
        <w:p w14:paraId="36A3A956" w14:textId="77777777" w:rsidR="00636FEA" w:rsidRDefault="00D82D65" w:rsidP="00636FEA">
          <w:pPr>
            <w:pStyle w:val="TOC1"/>
            <w:rPr>
              <w:rFonts w:eastAsiaTheme="minorEastAsia"/>
              <w:lang w:val="es-419" w:eastAsia="es-419"/>
            </w:rPr>
          </w:pPr>
          <w:hyperlink w:anchor="_Toc494317175" w:history="1">
            <w:r w:rsidR="00636FEA" w:rsidRPr="0056175C">
              <w:rPr>
                <w:rStyle w:val="Hyperlink"/>
              </w:rPr>
              <w:t>4.1</w:t>
            </w:r>
            <w:r w:rsidR="00636FEA">
              <w:rPr>
                <w:rFonts w:eastAsiaTheme="minorEastAsia"/>
                <w:lang w:val="es-419" w:eastAsia="es-419"/>
              </w:rPr>
              <w:tab/>
            </w:r>
            <w:r w:rsidR="00636FEA" w:rsidRPr="0056175C">
              <w:rPr>
                <w:rStyle w:val="Hyperlink"/>
              </w:rPr>
              <w:t>Escenarios “sin” y “con” proyecto</w:t>
            </w:r>
            <w:r w:rsidR="00636FEA">
              <w:rPr>
                <w:webHidden/>
              </w:rPr>
              <w:tab/>
            </w:r>
            <w:r w:rsidR="00636FEA">
              <w:rPr>
                <w:webHidden/>
              </w:rPr>
              <w:fldChar w:fldCharType="begin"/>
            </w:r>
            <w:r w:rsidR="00636FEA">
              <w:rPr>
                <w:webHidden/>
              </w:rPr>
              <w:instrText xml:space="preserve"> PAGEREF _Toc494317175 \h </w:instrText>
            </w:r>
            <w:r w:rsidR="00636FEA">
              <w:rPr>
                <w:webHidden/>
              </w:rPr>
            </w:r>
            <w:r w:rsidR="00636FEA">
              <w:rPr>
                <w:webHidden/>
              </w:rPr>
              <w:fldChar w:fldCharType="separate"/>
            </w:r>
            <w:r w:rsidR="00636FEA">
              <w:rPr>
                <w:webHidden/>
              </w:rPr>
              <w:t>7</w:t>
            </w:r>
            <w:r w:rsidR="00636FEA">
              <w:rPr>
                <w:webHidden/>
              </w:rPr>
              <w:fldChar w:fldCharType="end"/>
            </w:r>
          </w:hyperlink>
        </w:p>
        <w:p w14:paraId="3FA40648" w14:textId="77777777" w:rsidR="00636FEA" w:rsidRDefault="00D82D65" w:rsidP="00636FEA">
          <w:pPr>
            <w:pStyle w:val="TOC1"/>
            <w:rPr>
              <w:rFonts w:eastAsiaTheme="minorEastAsia"/>
              <w:lang w:val="es-419" w:eastAsia="es-419"/>
            </w:rPr>
          </w:pPr>
          <w:hyperlink w:anchor="_Toc494317176" w:history="1">
            <w:r w:rsidR="00636FEA" w:rsidRPr="0056175C">
              <w:rPr>
                <w:rStyle w:val="Hyperlink"/>
              </w:rPr>
              <w:t>4.2</w:t>
            </w:r>
            <w:r w:rsidR="00636FEA">
              <w:rPr>
                <w:rFonts w:eastAsiaTheme="minorEastAsia"/>
                <w:lang w:val="es-419" w:eastAsia="es-419"/>
              </w:rPr>
              <w:tab/>
            </w:r>
            <w:r w:rsidR="00636FEA" w:rsidRPr="0056175C">
              <w:rPr>
                <w:rStyle w:val="Hyperlink"/>
              </w:rPr>
              <w:t>Análisis Financiero o Privado del Proyecto</w:t>
            </w:r>
            <w:r w:rsidR="00636FEA">
              <w:rPr>
                <w:webHidden/>
              </w:rPr>
              <w:tab/>
            </w:r>
            <w:r w:rsidR="00636FEA">
              <w:rPr>
                <w:webHidden/>
              </w:rPr>
              <w:fldChar w:fldCharType="begin"/>
            </w:r>
            <w:r w:rsidR="00636FEA">
              <w:rPr>
                <w:webHidden/>
              </w:rPr>
              <w:instrText xml:space="preserve"> PAGEREF _Toc494317176 \h </w:instrText>
            </w:r>
            <w:r w:rsidR="00636FEA">
              <w:rPr>
                <w:webHidden/>
              </w:rPr>
            </w:r>
            <w:r w:rsidR="00636FEA">
              <w:rPr>
                <w:webHidden/>
              </w:rPr>
              <w:fldChar w:fldCharType="separate"/>
            </w:r>
            <w:r w:rsidR="00636FEA">
              <w:rPr>
                <w:webHidden/>
              </w:rPr>
              <w:t>7</w:t>
            </w:r>
            <w:r w:rsidR="00636FEA">
              <w:rPr>
                <w:webHidden/>
              </w:rPr>
              <w:fldChar w:fldCharType="end"/>
            </w:r>
          </w:hyperlink>
        </w:p>
        <w:p w14:paraId="1291E149" w14:textId="77777777" w:rsidR="00636FEA" w:rsidRDefault="00D82D65" w:rsidP="00636FEA">
          <w:pPr>
            <w:pStyle w:val="TOC1"/>
            <w:rPr>
              <w:rFonts w:eastAsiaTheme="minorEastAsia"/>
              <w:lang w:val="es-419" w:eastAsia="es-419"/>
            </w:rPr>
          </w:pPr>
          <w:hyperlink w:anchor="_Toc494317177" w:history="1">
            <w:r w:rsidR="00636FEA" w:rsidRPr="0056175C">
              <w:rPr>
                <w:rStyle w:val="Hyperlink"/>
              </w:rPr>
              <w:t>4.3</w:t>
            </w:r>
            <w:r w:rsidR="00636FEA">
              <w:rPr>
                <w:rFonts w:eastAsiaTheme="minorEastAsia"/>
                <w:lang w:val="es-419" w:eastAsia="es-419"/>
              </w:rPr>
              <w:tab/>
            </w:r>
            <w:r w:rsidR="00636FEA" w:rsidRPr="0056175C">
              <w:rPr>
                <w:rStyle w:val="Hyperlink"/>
              </w:rPr>
              <w:t>Análisis Socioeconómico del Proyecto</w:t>
            </w:r>
            <w:r w:rsidR="00636FEA">
              <w:rPr>
                <w:webHidden/>
              </w:rPr>
              <w:tab/>
            </w:r>
            <w:r w:rsidR="00636FEA">
              <w:rPr>
                <w:webHidden/>
              </w:rPr>
              <w:fldChar w:fldCharType="begin"/>
            </w:r>
            <w:r w:rsidR="00636FEA">
              <w:rPr>
                <w:webHidden/>
              </w:rPr>
              <w:instrText xml:space="preserve"> PAGEREF _Toc494317177 \h </w:instrText>
            </w:r>
            <w:r w:rsidR="00636FEA">
              <w:rPr>
                <w:webHidden/>
              </w:rPr>
            </w:r>
            <w:r w:rsidR="00636FEA">
              <w:rPr>
                <w:webHidden/>
              </w:rPr>
              <w:fldChar w:fldCharType="separate"/>
            </w:r>
            <w:r w:rsidR="00636FEA">
              <w:rPr>
                <w:webHidden/>
              </w:rPr>
              <w:t>7</w:t>
            </w:r>
            <w:r w:rsidR="00636FEA">
              <w:rPr>
                <w:webHidden/>
              </w:rPr>
              <w:fldChar w:fldCharType="end"/>
            </w:r>
          </w:hyperlink>
        </w:p>
        <w:p w14:paraId="017C5AEE" w14:textId="77777777" w:rsidR="00636FEA" w:rsidRDefault="00D82D65" w:rsidP="00636FEA">
          <w:pPr>
            <w:pStyle w:val="TOC1"/>
            <w:rPr>
              <w:rFonts w:eastAsiaTheme="minorEastAsia"/>
              <w:lang w:val="es-419" w:eastAsia="es-419"/>
            </w:rPr>
          </w:pPr>
          <w:hyperlink w:anchor="_Toc494317178" w:history="1">
            <w:r w:rsidR="00636FEA" w:rsidRPr="0056175C">
              <w:rPr>
                <w:rStyle w:val="Hyperlink"/>
                <w:lang w:val="es-MX"/>
              </w:rPr>
              <w:t>V.</w:t>
            </w:r>
            <w:r w:rsidR="00636FEA">
              <w:rPr>
                <w:rFonts w:eastAsiaTheme="minorEastAsia"/>
                <w:lang w:val="es-419" w:eastAsia="es-419"/>
              </w:rPr>
              <w:tab/>
            </w:r>
            <w:r w:rsidR="00636FEA" w:rsidRPr="0056175C">
              <w:rPr>
                <w:rStyle w:val="Hyperlink"/>
              </w:rPr>
              <w:t>Supuestos</w:t>
            </w:r>
            <w:r w:rsidR="00636FEA">
              <w:rPr>
                <w:webHidden/>
              </w:rPr>
              <w:tab/>
            </w:r>
            <w:r w:rsidR="00636FEA">
              <w:rPr>
                <w:webHidden/>
              </w:rPr>
              <w:fldChar w:fldCharType="begin"/>
            </w:r>
            <w:r w:rsidR="00636FEA">
              <w:rPr>
                <w:webHidden/>
              </w:rPr>
              <w:instrText xml:space="preserve"> PAGEREF _Toc494317178 \h </w:instrText>
            </w:r>
            <w:r w:rsidR="00636FEA">
              <w:rPr>
                <w:webHidden/>
              </w:rPr>
            </w:r>
            <w:r w:rsidR="00636FEA">
              <w:rPr>
                <w:webHidden/>
              </w:rPr>
              <w:fldChar w:fldCharType="separate"/>
            </w:r>
            <w:r w:rsidR="00636FEA">
              <w:rPr>
                <w:webHidden/>
              </w:rPr>
              <w:t>8</w:t>
            </w:r>
            <w:r w:rsidR="00636FEA">
              <w:rPr>
                <w:webHidden/>
              </w:rPr>
              <w:fldChar w:fldCharType="end"/>
            </w:r>
          </w:hyperlink>
        </w:p>
        <w:p w14:paraId="1AB912C9" w14:textId="77777777" w:rsidR="00636FEA" w:rsidRDefault="00D82D65" w:rsidP="00636FEA">
          <w:pPr>
            <w:pStyle w:val="TOC1"/>
            <w:rPr>
              <w:rFonts w:eastAsiaTheme="minorEastAsia"/>
              <w:lang w:val="es-419" w:eastAsia="es-419"/>
            </w:rPr>
          </w:pPr>
          <w:hyperlink w:anchor="_Toc494317179" w:history="1">
            <w:r w:rsidR="00636FEA" w:rsidRPr="0056175C">
              <w:rPr>
                <w:rStyle w:val="Hyperlink"/>
                <w:lang w:val="es-MX"/>
              </w:rPr>
              <w:t>VI.</w:t>
            </w:r>
            <w:r w:rsidR="00636FEA">
              <w:rPr>
                <w:rFonts w:eastAsiaTheme="minorEastAsia"/>
                <w:lang w:val="es-419" w:eastAsia="es-419"/>
              </w:rPr>
              <w:tab/>
            </w:r>
            <w:r w:rsidR="00636FEA" w:rsidRPr="0056175C">
              <w:rPr>
                <w:rStyle w:val="Hyperlink"/>
              </w:rPr>
              <w:t>Beneficios Económicos</w:t>
            </w:r>
            <w:r w:rsidR="00636FEA">
              <w:rPr>
                <w:webHidden/>
              </w:rPr>
              <w:tab/>
            </w:r>
            <w:r w:rsidR="00636FEA">
              <w:rPr>
                <w:webHidden/>
              </w:rPr>
              <w:fldChar w:fldCharType="begin"/>
            </w:r>
            <w:r w:rsidR="00636FEA">
              <w:rPr>
                <w:webHidden/>
              </w:rPr>
              <w:instrText xml:space="preserve"> PAGEREF _Toc494317179 \h </w:instrText>
            </w:r>
            <w:r w:rsidR="00636FEA">
              <w:rPr>
                <w:webHidden/>
              </w:rPr>
            </w:r>
            <w:r w:rsidR="00636FEA">
              <w:rPr>
                <w:webHidden/>
              </w:rPr>
              <w:fldChar w:fldCharType="separate"/>
            </w:r>
            <w:r w:rsidR="00636FEA">
              <w:rPr>
                <w:webHidden/>
              </w:rPr>
              <w:t>10</w:t>
            </w:r>
            <w:r w:rsidR="00636FEA">
              <w:rPr>
                <w:webHidden/>
              </w:rPr>
              <w:fldChar w:fldCharType="end"/>
            </w:r>
          </w:hyperlink>
        </w:p>
        <w:p w14:paraId="491276F2" w14:textId="77777777" w:rsidR="00636FEA" w:rsidRDefault="00D82D65" w:rsidP="00636FEA">
          <w:pPr>
            <w:pStyle w:val="TOC1"/>
            <w:rPr>
              <w:rFonts w:eastAsiaTheme="minorEastAsia"/>
              <w:lang w:val="es-419" w:eastAsia="es-419"/>
            </w:rPr>
          </w:pPr>
          <w:hyperlink w:anchor="_Toc494317180" w:history="1">
            <w:r w:rsidR="00636FEA" w:rsidRPr="0056175C">
              <w:rPr>
                <w:rStyle w:val="Hyperlink"/>
                <w:lang w:val="es-MX"/>
              </w:rPr>
              <w:t>VII.</w:t>
            </w:r>
            <w:r w:rsidR="00636FEA">
              <w:rPr>
                <w:rFonts w:eastAsiaTheme="minorEastAsia"/>
                <w:lang w:val="es-419" w:eastAsia="es-419"/>
              </w:rPr>
              <w:tab/>
            </w:r>
            <w:r w:rsidR="00636FEA" w:rsidRPr="0056175C">
              <w:rPr>
                <w:rStyle w:val="Hyperlink"/>
              </w:rPr>
              <w:t>Costos Económicos</w:t>
            </w:r>
            <w:r w:rsidR="00636FEA">
              <w:rPr>
                <w:webHidden/>
              </w:rPr>
              <w:tab/>
            </w:r>
            <w:r w:rsidR="00636FEA">
              <w:rPr>
                <w:webHidden/>
              </w:rPr>
              <w:fldChar w:fldCharType="begin"/>
            </w:r>
            <w:r w:rsidR="00636FEA">
              <w:rPr>
                <w:webHidden/>
              </w:rPr>
              <w:instrText xml:space="preserve"> PAGEREF _Toc494317180 \h </w:instrText>
            </w:r>
            <w:r w:rsidR="00636FEA">
              <w:rPr>
                <w:webHidden/>
              </w:rPr>
            </w:r>
            <w:r w:rsidR="00636FEA">
              <w:rPr>
                <w:webHidden/>
              </w:rPr>
              <w:fldChar w:fldCharType="separate"/>
            </w:r>
            <w:r w:rsidR="00636FEA">
              <w:rPr>
                <w:webHidden/>
              </w:rPr>
              <w:t>10</w:t>
            </w:r>
            <w:r w:rsidR="00636FEA">
              <w:rPr>
                <w:webHidden/>
              </w:rPr>
              <w:fldChar w:fldCharType="end"/>
            </w:r>
          </w:hyperlink>
        </w:p>
        <w:p w14:paraId="646A03A8" w14:textId="77777777" w:rsidR="00636FEA" w:rsidRDefault="00D82D65" w:rsidP="00636FEA">
          <w:pPr>
            <w:pStyle w:val="TOC1"/>
            <w:rPr>
              <w:rFonts w:eastAsiaTheme="minorEastAsia"/>
              <w:lang w:val="es-419" w:eastAsia="es-419"/>
            </w:rPr>
          </w:pPr>
          <w:hyperlink w:anchor="_Toc494317181" w:history="1">
            <w:r w:rsidR="00636FEA" w:rsidRPr="0056175C">
              <w:rPr>
                <w:rStyle w:val="Hyperlink"/>
                <w:lang w:val="es-MX"/>
              </w:rPr>
              <w:t>VIII.</w:t>
            </w:r>
            <w:r w:rsidR="00636FEA">
              <w:rPr>
                <w:rFonts w:eastAsiaTheme="minorEastAsia"/>
                <w:lang w:val="es-419" w:eastAsia="es-419"/>
              </w:rPr>
              <w:tab/>
            </w:r>
            <w:r w:rsidR="00636FEA" w:rsidRPr="0056175C">
              <w:rPr>
                <w:rStyle w:val="Hyperlink"/>
              </w:rPr>
              <w:t>Indicadores de la Evaluación Económica</w:t>
            </w:r>
            <w:r w:rsidR="00636FEA">
              <w:rPr>
                <w:webHidden/>
              </w:rPr>
              <w:tab/>
            </w:r>
            <w:r w:rsidR="00636FEA">
              <w:rPr>
                <w:webHidden/>
              </w:rPr>
              <w:fldChar w:fldCharType="begin"/>
            </w:r>
            <w:r w:rsidR="00636FEA">
              <w:rPr>
                <w:webHidden/>
              </w:rPr>
              <w:instrText xml:space="preserve"> PAGEREF _Toc494317181 \h </w:instrText>
            </w:r>
            <w:r w:rsidR="00636FEA">
              <w:rPr>
                <w:webHidden/>
              </w:rPr>
            </w:r>
            <w:r w:rsidR="00636FEA">
              <w:rPr>
                <w:webHidden/>
              </w:rPr>
              <w:fldChar w:fldCharType="separate"/>
            </w:r>
            <w:r w:rsidR="00636FEA">
              <w:rPr>
                <w:webHidden/>
              </w:rPr>
              <w:t>11</w:t>
            </w:r>
            <w:r w:rsidR="00636FEA">
              <w:rPr>
                <w:webHidden/>
              </w:rPr>
              <w:fldChar w:fldCharType="end"/>
            </w:r>
          </w:hyperlink>
        </w:p>
        <w:p w14:paraId="521B2F2E" w14:textId="77777777" w:rsidR="00636FEA" w:rsidRDefault="00D82D65" w:rsidP="00636FEA">
          <w:pPr>
            <w:pStyle w:val="TOC1"/>
            <w:rPr>
              <w:rFonts w:eastAsiaTheme="minorEastAsia"/>
              <w:lang w:val="es-419" w:eastAsia="es-419"/>
            </w:rPr>
          </w:pPr>
          <w:hyperlink w:anchor="_Toc494317182" w:history="1">
            <w:r w:rsidR="00636FEA" w:rsidRPr="0056175C">
              <w:rPr>
                <w:rStyle w:val="Hyperlink"/>
                <w:lang w:val="es-MX"/>
              </w:rPr>
              <w:t>IX.</w:t>
            </w:r>
            <w:r w:rsidR="00636FEA">
              <w:rPr>
                <w:rFonts w:eastAsiaTheme="minorEastAsia"/>
                <w:lang w:val="es-419" w:eastAsia="es-419"/>
              </w:rPr>
              <w:tab/>
            </w:r>
            <w:r w:rsidR="00636FEA" w:rsidRPr="0056175C">
              <w:rPr>
                <w:rStyle w:val="Hyperlink"/>
              </w:rPr>
              <w:t>Análisis de Sensibilidad</w:t>
            </w:r>
            <w:r w:rsidR="00636FEA">
              <w:rPr>
                <w:webHidden/>
              </w:rPr>
              <w:tab/>
            </w:r>
            <w:r w:rsidR="00636FEA">
              <w:rPr>
                <w:webHidden/>
              </w:rPr>
              <w:fldChar w:fldCharType="begin"/>
            </w:r>
            <w:r w:rsidR="00636FEA">
              <w:rPr>
                <w:webHidden/>
              </w:rPr>
              <w:instrText xml:space="preserve"> PAGEREF _Toc494317182 \h </w:instrText>
            </w:r>
            <w:r w:rsidR="00636FEA">
              <w:rPr>
                <w:webHidden/>
              </w:rPr>
            </w:r>
            <w:r w:rsidR="00636FEA">
              <w:rPr>
                <w:webHidden/>
              </w:rPr>
              <w:fldChar w:fldCharType="separate"/>
            </w:r>
            <w:r w:rsidR="00636FEA">
              <w:rPr>
                <w:webHidden/>
              </w:rPr>
              <w:t>11</w:t>
            </w:r>
            <w:r w:rsidR="00636FEA">
              <w:rPr>
                <w:webHidden/>
              </w:rPr>
              <w:fldChar w:fldCharType="end"/>
            </w:r>
          </w:hyperlink>
        </w:p>
        <w:p w14:paraId="77EDC7CE" w14:textId="77777777" w:rsidR="00636FEA" w:rsidRDefault="00D82D65" w:rsidP="00636FEA">
          <w:pPr>
            <w:pStyle w:val="TOC1"/>
            <w:rPr>
              <w:rFonts w:eastAsiaTheme="minorEastAsia"/>
              <w:lang w:val="es-419" w:eastAsia="es-419"/>
            </w:rPr>
          </w:pPr>
          <w:hyperlink w:anchor="_Toc494317183" w:history="1">
            <w:r w:rsidR="00636FEA" w:rsidRPr="0056175C">
              <w:rPr>
                <w:rStyle w:val="Hyperlink"/>
                <w:lang w:val="es-MX"/>
              </w:rPr>
              <w:t>X.</w:t>
            </w:r>
            <w:r w:rsidR="00636FEA">
              <w:rPr>
                <w:rFonts w:eastAsiaTheme="minorEastAsia"/>
                <w:lang w:val="es-419" w:eastAsia="es-419"/>
              </w:rPr>
              <w:tab/>
            </w:r>
            <w:r w:rsidR="00636FEA" w:rsidRPr="0056175C">
              <w:rPr>
                <w:rStyle w:val="Hyperlink"/>
              </w:rPr>
              <w:t>Conclusiones</w:t>
            </w:r>
            <w:r w:rsidR="00636FEA">
              <w:rPr>
                <w:webHidden/>
              </w:rPr>
              <w:tab/>
            </w:r>
            <w:r w:rsidR="00636FEA">
              <w:rPr>
                <w:webHidden/>
              </w:rPr>
              <w:fldChar w:fldCharType="begin"/>
            </w:r>
            <w:r w:rsidR="00636FEA">
              <w:rPr>
                <w:webHidden/>
              </w:rPr>
              <w:instrText xml:space="preserve"> PAGEREF _Toc494317183 \h </w:instrText>
            </w:r>
            <w:r w:rsidR="00636FEA">
              <w:rPr>
                <w:webHidden/>
              </w:rPr>
            </w:r>
            <w:r w:rsidR="00636FEA">
              <w:rPr>
                <w:webHidden/>
              </w:rPr>
              <w:fldChar w:fldCharType="separate"/>
            </w:r>
            <w:r w:rsidR="00636FEA">
              <w:rPr>
                <w:webHidden/>
              </w:rPr>
              <w:t>12</w:t>
            </w:r>
            <w:r w:rsidR="00636FEA">
              <w:rPr>
                <w:webHidden/>
              </w:rPr>
              <w:fldChar w:fldCharType="end"/>
            </w:r>
          </w:hyperlink>
        </w:p>
        <w:p w14:paraId="781730B4" w14:textId="77777777" w:rsidR="00636FEA" w:rsidRPr="00EA6A8C" w:rsidRDefault="00636FEA" w:rsidP="00636FEA">
          <w:pPr>
            <w:rPr>
              <w:rFonts w:ascii="Arial" w:hAnsi="Arial" w:cs="Arial"/>
              <w:b/>
              <w:bCs/>
              <w:noProof/>
              <w:lang w:val="es-MX"/>
            </w:rPr>
          </w:pPr>
          <w:r w:rsidRPr="00EA6A8C">
            <w:rPr>
              <w:rFonts w:ascii="Arial" w:hAnsi="Arial" w:cs="Arial"/>
              <w:b/>
              <w:bCs/>
              <w:noProof/>
              <w:lang w:val="es-MX"/>
            </w:rPr>
            <w:fldChar w:fldCharType="end"/>
          </w:r>
        </w:p>
      </w:sdtContent>
    </w:sdt>
    <w:p w14:paraId="2CB467CC" w14:textId="77777777" w:rsidR="00636FEA" w:rsidRDefault="00636FEA" w:rsidP="00636FEA">
      <w:pPr>
        <w:rPr>
          <w:rFonts w:ascii="Arial" w:eastAsiaTheme="majorEastAsia" w:hAnsi="Arial" w:cs="Arial"/>
          <w:b/>
          <w:bCs/>
          <w:color w:val="244061" w:themeColor="accent1" w:themeShade="80"/>
          <w:sz w:val="26"/>
          <w:szCs w:val="26"/>
          <w:lang w:val="es-ES"/>
        </w:rPr>
      </w:pPr>
      <w:r>
        <w:rPr>
          <w:rFonts w:ascii="Arial" w:hAnsi="Arial" w:cs="Arial"/>
          <w:color w:val="244061" w:themeColor="accent1" w:themeShade="80"/>
          <w:lang w:val="es-ES"/>
        </w:rPr>
        <w:br w:type="page"/>
      </w:r>
    </w:p>
    <w:p w14:paraId="1FFEC112" w14:textId="77777777" w:rsidR="00636FEA" w:rsidRPr="00C43FA3" w:rsidRDefault="00636FEA" w:rsidP="00636FEA">
      <w:pPr>
        <w:pStyle w:val="Heading1"/>
        <w:ind w:left="426" w:hanging="284"/>
        <w:rPr>
          <w:rFonts w:ascii="Arial" w:hAnsi="Arial" w:cs="Arial"/>
          <w:color w:val="244061" w:themeColor="accent1" w:themeShade="80"/>
          <w:lang w:val="es-ES"/>
        </w:rPr>
      </w:pPr>
      <w:bookmarkStart w:id="0" w:name="_Toc494317168"/>
      <w:r w:rsidRPr="00C43FA3">
        <w:rPr>
          <w:rFonts w:ascii="Arial" w:hAnsi="Arial" w:cs="Arial"/>
          <w:color w:val="244061" w:themeColor="accent1" w:themeShade="80"/>
          <w:lang w:val="es-ES"/>
        </w:rPr>
        <w:t>INTRODUCCIÓN</w:t>
      </w:r>
      <w:bookmarkEnd w:id="0"/>
    </w:p>
    <w:p w14:paraId="0B419FB7" w14:textId="77777777" w:rsidR="00636FEA" w:rsidRPr="00EA6A8C" w:rsidRDefault="00636FEA" w:rsidP="00636FEA">
      <w:pPr>
        <w:tabs>
          <w:tab w:val="left" w:pos="2496"/>
        </w:tabs>
        <w:spacing w:before="60" w:after="60"/>
        <w:jc w:val="both"/>
        <w:rPr>
          <w:rFonts w:ascii="Arial" w:hAnsi="Arial" w:cs="Arial"/>
          <w:lang w:val="es-MX"/>
        </w:rPr>
      </w:pPr>
    </w:p>
    <w:p w14:paraId="6F98F097" w14:textId="77777777" w:rsidR="00636FEA" w:rsidRDefault="00636FEA" w:rsidP="00636FEA">
      <w:pPr>
        <w:tabs>
          <w:tab w:val="left" w:pos="2496"/>
        </w:tabs>
        <w:spacing w:before="60" w:after="60"/>
        <w:jc w:val="both"/>
        <w:rPr>
          <w:rFonts w:ascii="Arial" w:hAnsi="Arial" w:cs="Arial"/>
          <w:lang w:val="es-MX"/>
        </w:rPr>
      </w:pPr>
      <w:r w:rsidRPr="000B5CA5">
        <w:rPr>
          <w:rFonts w:ascii="Arial" w:hAnsi="Arial" w:cs="Arial"/>
          <w:lang w:val="es-MX"/>
        </w:rPr>
        <w:t>El Ministerio de Energías (ME) creado el 22 de enero de 2017, entidad cabeza de sector que formula políticas y normas, a través del Viceministerio de Electricidad y Energías Alternativas (VMEEA) tiene el propósito de impulsar el acceso al servicio eléctrico en el área rural. Para ello se ha creado el Programa Electricidad para Vivir con Dignidad (PEVD), mediante el Decreto Supremo N° 29635 de 9 de julio de 2008 y con ello se han propuesto diversas actividades orientadas a incentivar las inversiones y promover la participación del sector público y privado en la ampliación y operación de sistemas eléctricos en poblaciones menores y en el área rural.</w:t>
      </w:r>
    </w:p>
    <w:p w14:paraId="5952CB23" w14:textId="77777777" w:rsidR="00636FEA" w:rsidRPr="00EA6A8C" w:rsidRDefault="00636FEA" w:rsidP="00636FEA">
      <w:pPr>
        <w:tabs>
          <w:tab w:val="left" w:pos="2496"/>
        </w:tabs>
        <w:spacing w:before="60" w:after="60"/>
        <w:jc w:val="both"/>
        <w:rPr>
          <w:rFonts w:ascii="Arial" w:hAnsi="Arial" w:cs="Arial"/>
          <w:lang w:val="es-MX"/>
        </w:rPr>
      </w:pPr>
    </w:p>
    <w:p w14:paraId="5847E856" w14:textId="77777777" w:rsidR="00636FEA" w:rsidRDefault="00636FEA" w:rsidP="00636FEA">
      <w:pPr>
        <w:tabs>
          <w:tab w:val="left" w:pos="2496"/>
        </w:tabs>
        <w:spacing w:after="0"/>
        <w:jc w:val="both"/>
        <w:rPr>
          <w:rFonts w:ascii="Arial" w:hAnsi="Arial" w:cs="Arial"/>
          <w:lang w:val="es-MX"/>
        </w:rPr>
      </w:pPr>
      <w:r w:rsidRPr="00EF6ADF">
        <w:rPr>
          <w:rFonts w:ascii="Arial" w:hAnsi="Arial" w:cs="Arial"/>
          <w:lang w:val="es-MX"/>
        </w:rPr>
        <w:t>En el marco del Plan Nacional de Desarrollo Económico y Social (PDES 2016-2020) del Gobierno de Bolivia (GdB) se plantea el potenciamiento del sector eléctrico en generación para satisfacer la demanda interna y generar excedentes para la exportación, mediante el desarrollo de cambios en la matriz energética con la diversificación de las fuentes de generación a partir del fortalecimiento de energías alternativas y renovables. El PDES, entre otros resultados, espera a 2020: i) ampliar el sistema de transmisión y mejorar la confiabilidad del suministro de energía, mediante la construcción de 4.043 km de nuevas líneas de transmisión, ii) incrementar la generación mediante energías alternativas en 411 MW, iii) alcanzar una cobertura eléctrica del 97% a nivel nacional (100% urbana y 90% rural); y mejorar la eficiencia energética. En este entendido se encuentra en gestión de financiamiento el Programa BO-L1119 de apoyo al sistema de transmisión y eficiencia energética, que será financiado por el BID a través de un Contrato de Préstamo por un monto de $us75 millones.</w:t>
      </w:r>
    </w:p>
    <w:p w14:paraId="59A9174A" w14:textId="77777777" w:rsidR="00636FEA" w:rsidRPr="00C43FA3" w:rsidRDefault="00636FEA" w:rsidP="00636FEA">
      <w:pPr>
        <w:tabs>
          <w:tab w:val="left" w:pos="2496"/>
        </w:tabs>
        <w:spacing w:after="0"/>
        <w:jc w:val="both"/>
        <w:rPr>
          <w:rFonts w:ascii="Arial" w:hAnsi="Arial" w:cs="Arial"/>
          <w:lang w:val="es-MX"/>
        </w:rPr>
      </w:pPr>
    </w:p>
    <w:p w14:paraId="46EF48E0" w14:textId="77777777" w:rsidR="00636FEA" w:rsidRPr="00EF6ADF" w:rsidRDefault="00636FEA" w:rsidP="00636FEA">
      <w:pPr>
        <w:tabs>
          <w:tab w:val="left" w:pos="2496"/>
        </w:tabs>
        <w:spacing w:after="0"/>
        <w:jc w:val="both"/>
        <w:rPr>
          <w:rFonts w:ascii="Arial" w:hAnsi="Arial" w:cs="Arial"/>
          <w:lang w:val="es-MX"/>
        </w:rPr>
      </w:pPr>
      <w:r w:rsidRPr="00EF6ADF">
        <w:rPr>
          <w:rFonts w:ascii="Arial" w:hAnsi="Arial" w:cs="Arial"/>
          <w:lang w:val="es-MX"/>
        </w:rPr>
        <w:t xml:space="preserve">La Empresa Nacional de Electricidad (ENDE), es una Empresa Pública, Nacional, Estratégica y Corporativa del Estado Plurinacional de Bolivia, con un rol estratégico y protagónico en el sector eléctrico orientada al desarrollo económico y social del país, a través de la construcción de infraestructura eléctrica, que incremente la cobertura del servicio eléctrico en el área urbana y rural, con equidad y justicia social, priorizando el uso de recursos naturales renovables y energías alternativas, con participación en toda la cadena productiva como ser; Generación, Transmisión, Distribución y Comercialización de Electricidad, así como la </w:t>
      </w:r>
      <w:r>
        <w:rPr>
          <w:rFonts w:ascii="Arial" w:hAnsi="Arial" w:cs="Arial"/>
          <w:lang w:val="es-MX"/>
        </w:rPr>
        <w:t>e</w:t>
      </w:r>
      <w:r w:rsidRPr="00EF6ADF">
        <w:rPr>
          <w:rFonts w:ascii="Arial" w:hAnsi="Arial" w:cs="Arial"/>
          <w:lang w:val="es-MX"/>
        </w:rPr>
        <w:t xml:space="preserve">xportación, en forma sostenible. Asimismo, en concordancia con los pilares de la Agenda Patriótica, es objetivo primordial </w:t>
      </w:r>
      <w:r>
        <w:rPr>
          <w:rFonts w:ascii="Arial" w:hAnsi="Arial" w:cs="Arial"/>
          <w:lang w:val="es-MX"/>
        </w:rPr>
        <w:t xml:space="preserve">del GdB </w:t>
      </w:r>
      <w:r w:rsidRPr="00EF6ADF">
        <w:rPr>
          <w:rFonts w:ascii="Arial" w:hAnsi="Arial" w:cs="Arial"/>
          <w:lang w:val="es-MX"/>
        </w:rPr>
        <w:t>lograr la universalización del acceso al servicio básico de electricidad a todos los hogares bolivianos hasta el año 2025</w:t>
      </w:r>
    </w:p>
    <w:p w14:paraId="64CB8ECB" w14:textId="77777777" w:rsidR="00636FEA" w:rsidRPr="00EF6ADF" w:rsidRDefault="00636FEA" w:rsidP="00636FEA">
      <w:pPr>
        <w:tabs>
          <w:tab w:val="left" w:pos="2496"/>
        </w:tabs>
        <w:spacing w:after="0"/>
        <w:jc w:val="both"/>
        <w:rPr>
          <w:rFonts w:ascii="Arial" w:hAnsi="Arial" w:cs="Arial"/>
          <w:lang w:val="es-MX"/>
        </w:rPr>
      </w:pPr>
    </w:p>
    <w:p w14:paraId="7031DE48" w14:textId="77777777" w:rsidR="00636FEA" w:rsidRDefault="00636FEA" w:rsidP="00636FEA">
      <w:pPr>
        <w:tabs>
          <w:tab w:val="left" w:pos="2496"/>
        </w:tabs>
        <w:spacing w:after="0"/>
        <w:jc w:val="both"/>
        <w:rPr>
          <w:rFonts w:ascii="Arial" w:hAnsi="Arial" w:cs="Arial"/>
          <w:lang w:val="es-MX"/>
        </w:rPr>
      </w:pPr>
      <w:r w:rsidRPr="00EF6ADF">
        <w:rPr>
          <w:rFonts w:ascii="Arial" w:hAnsi="Arial" w:cs="Arial"/>
          <w:lang w:val="es-MX"/>
        </w:rPr>
        <w:t xml:space="preserve">El Plan Eléctrico del Estado </w:t>
      </w:r>
      <w:r>
        <w:rPr>
          <w:rFonts w:ascii="Arial" w:hAnsi="Arial" w:cs="Arial"/>
          <w:lang w:val="es-MX"/>
        </w:rPr>
        <w:t>P</w:t>
      </w:r>
      <w:r w:rsidRPr="00EF6ADF">
        <w:rPr>
          <w:rFonts w:ascii="Arial" w:hAnsi="Arial" w:cs="Arial"/>
          <w:lang w:val="es-MX"/>
        </w:rPr>
        <w:t xml:space="preserve">lurinacional de Bolivia 2025 </w:t>
      </w:r>
      <w:r>
        <w:rPr>
          <w:rFonts w:ascii="Arial" w:hAnsi="Arial" w:cs="Arial"/>
          <w:lang w:val="es-MX"/>
        </w:rPr>
        <w:t>prevé</w:t>
      </w:r>
      <w:r w:rsidRPr="00EF6ADF">
        <w:rPr>
          <w:rFonts w:ascii="Arial" w:hAnsi="Arial" w:cs="Arial"/>
          <w:lang w:val="es-MX"/>
        </w:rPr>
        <w:t xml:space="preserve"> la conexión de los siguientes Sistemas Aislados</w:t>
      </w:r>
      <w:r>
        <w:rPr>
          <w:rFonts w:ascii="Arial" w:hAnsi="Arial" w:cs="Arial"/>
          <w:lang w:val="es-MX"/>
        </w:rPr>
        <w:t>:</w:t>
      </w:r>
      <w:r w:rsidRPr="00EF6ADF">
        <w:rPr>
          <w:rFonts w:ascii="Arial" w:hAnsi="Arial" w:cs="Arial"/>
          <w:lang w:val="es-MX"/>
        </w:rPr>
        <w:t xml:space="preserve"> Norte Amazónico, Ituba, Yacuma; Itenez al Área Norte; </w:t>
      </w:r>
      <w:r w:rsidRPr="00EF6ADF">
        <w:rPr>
          <w:rFonts w:ascii="Arial" w:hAnsi="Arial" w:cs="Arial"/>
          <w:b/>
          <w:u w:val="single"/>
          <w:lang w:val="es-MX"/>
        </w:rPr>
        <w:t>San Ignacio</w:t>
      </w:r>
      <w:r w:rsidRPr="00EF6ADF">
        <w:rPr>
          <w:rFonts w:ascii="Arial" w:hAnsi="Arial" w:cs="Arial"/>
          <w:lang w:val="es-MX"/>
        </w:rPr>
        <w:t xml:space="preserve">, Misiones, </w:t>
      </w:r>
      <w:r w:rsidRPr="00EF6ADF">
        <w:rPr>
          <w:rFonts w:ascii="Arial" w:hAnsi="Arial" w:cs="Arial"/>
          <w:b/>
          <w:u w:val="single"/>
          <w:lang w:val="es-MX"/>
        </w:rPr>
        <w:t>San Matías</w:t>
      </w:r>
      <w:r w:rsidRPr="00EF6ADF">
        <w:rPr>
          <w:rFonts w:ascii="Arial" w:hAnsi="Arial" w:cs="Arial"/>
          <w:lang w:val="es-MX"/>
        </w:rPr>
        <w:t>, Germán Busch, Chiquitos, Charagua, Valles Cruceños y Cordillera al Área Oriental; Monteagudo, Chaco, Entre Ríos, Tarija y Bermejo al Área Sur.</w:t>
      </w:r>
    </w:p>
    <w:p w14:paraId="44295682" w14:textId="77777777" w:rsidR="00636FEA" w:rsidRDefault="00636FEA" w:rsidP="00636FEA">
      <w:pPr>
        <w:tabs>
          <w:tab w:val="left" w:pos="2496"/>
        </w:tabs>
        <w:spacing w:after="0"/>
        <w:jc w:val="both"/>
        <w:rPr>
          <w:rFonts w:ascii="Arial" w:hAnsi="Arial" w:cs="Arial"/>
          <w:lang w:val="es-MX"/>
        </w:rPr>
      </w:pPr>
    </w:p>
    <w:p w14:paraId="00E897DD" w14:textId="77777777" w:rsidR="00636FEA" w:rsidRDefault="00636FEA" w:rsidP="00636FEA">
      <w:pPr>
        <w:tabs>
          <w:tab w:val="left" w:pos="2496"/>
        </w:tabs>
        <w:spacing w:after="0"/>
        <w:jc w:val="both"/>
        <w:rPr>
          <w:rFonts w:ascii="Arial" w:hAnsi="Arial" w:cs="Arial"/>
          <w:lang w:val="es-MX"/>
        </w:rPr>
      </w:pPr>
      <w:r>
        <w:rPr>
          <w:rFonts w:ascii="Arial" w:hAnsi="Arial" w:cs="Arial"/>
          <w:lang w:val="es-MX"/>
        </w:rPr>
        <w:t>L</w:t>
      </w:r>
      <w:r w:rsidRPr="00EF6ADF">
        <w:rPr>
          <w:rFonts w:ascii="Arial" w:hAnsi="Arial" w:cs="Arial"/>
          <w:lang w:val="es-MX"/>
        </w:rPr>
        <w:t xml:space="preserve">a Autoridad de Fiscalización y Control Social </w:t>
      </w:r>
      <w:r>
        <w:rPr>
          <w:rFonts w:ascii="Arial" w:hAnsi="Arial" w:cs="Arial"/>
          <w:lang w:val="es-MX"/>
        </w:rPr>
        <w:t>(AE) m</w:t>
      </w:r>
      <w:r w:rsidRPr="00EF6ADF">
        <w:rPr>
          <w:rFonts w:ascii="Arial" w:hAnsi="Arial" w:cs="Arial"/>
          <w:lang w:val="es-MX"/>
        </w:rPr>
        <w:t xml:space="preserve">ediante </w:t>
      </w:r>
      <w:r>
        <w:rPr>
          <w:rFonts w:ascii="Arial" w:hAnsi="Arial" w:cs="Arial"/>
          <w:lang w:val="es-MX"/>
        </w:rPr>
        <w:t>informe</w:t>
      </w:r>
      <w:r w:rsidRPr="00EF6ADF">
        <w:rPr>
          <w:rFonts w:ascii="Arial" w:hAnsi="Arial" w:cs="Arial"/>
          <w:lang w:val="es-MX"/>
        </w:rPr>
        <w:t xml:space="preserve"> AE-DPT N° 232/2016 </w:t>
      </w:r>
      <w:r>
        <w:rPr>
          <w:rFonts w:ascii="Arial" w:hAnsi="Arial" w:cs="Arial"/>
          <w:lang w:val="es-MX"/>
        </w:rPr>
        <w:t xml:space="preserve">realizó la </w:t>
      </w:r>
      <w:r w:rsidRPr="00EF6ADF">
        <w:rPr>
          <w:rFonts w:ascii="Arial" w:hAnsi="Arial" w:cs="Arial"/>
          <w:lang w:val="es-MX"/>
        </w:rPr>
        <w:t>e</w:t>
      </w:r>
      <w:r>
        <w:rPr>
          <w:rFonts w:ascii="Arial" w:hAnsi="Arial" w:cs="Arial"/>
          <w:lang w:val="es-MX"/>
        </w:rPr>
        <w:t>valuación de</w:t>
      </w:r>
      <w:r w:rsidRPr="00EF6ADF">
        <w:rPr>
          <w:rFonts w:ascii="Arial" w:hAnsi="Arial" w:cs="Arial"/>
          <w:lang w:val="es-MX"/>
        </w:rPr>
        <w:t xml:space="preserve"> las alternativas </w:t>
      </w:r>
      <w:r>
        <w:rPr>
          <w:rFonts w:ascii="Arial" w:hAnsi="Arial" w:cs="Arial"/>
          <w:lang w:val="es-MX"/>
        </w:rPr>
        <w:t>de</w:t>
      </w:r>
      <w:r w:rsidRPr="00EF6ADF">
        <w:rPr>
          <w:rFonts w:ascii="Arial" w:hAnsi="Arial" w:cs="Arial"/>
          <w:lang w:val="es-MX"/>
        </w:rPr>
        <w:t xml:space="preserve"> interconexión de los Sistemas Aislados </w:t>
      </w:r>
      <w:r>
        <w:rPr>
          <w:rFonts w:ascii="Arial" w:hAnsi="Arial" w:cs="Arial"/>
          <w:lang w:val="es-MX"/>
        </w:rPr>
        <w:t xml:space="preserve">(SA) </w:t>
      </w:r>
      <w:r w:rsidRPr="00EF6ADF">
        <w:rPr>
          <w:rFonts w:ascii="Arial" w:hAnsi="Arial" w:cs="Arial"/>
          <w:lang w:val="es-MX"/>
        </w:rPr>
        <w:t>al Sistema Interconectado Nacional</w:t>
      </w:r>
      <w:r>
        <w:rPr>
          <w:rFonts w:ascii="Arial" w:hAnsi="Arial" w:cs="Arial"/>
          <w:lang w:val="es-MX"/>
        </w:rPr>
        <w:t xml:space="preserve"> (SIN)</w:t>
      </w:r>
      <w:r w:rsidRPr="00EF6ADF">
        <w:rPr>
          <w:rFonts w:ascii="Arial" w:hAnsi="Arial" w:cs="Arial"/>
          <w:lang w:val="es-MX"/>
        </w:rPr>
        <w:t xml:space="preserve">. </w:t>
      </w:r>
    </w:p>
    <w:p w14:paraId="7616BC91" w14:textId="77777777" w:rsidR="00636FEA" w:rsidRDefault="00636FEA" w:rsidP="00636FEA">
      <w:pPr>
        <w:tabs>
          <w:tab w:val="left" w:pos="2496"/>
        </w:tabs>
        <w:spacing w:after="0"/>
        <w:jc w:val="both"/>
        <w:rPr>
          <w:rFonts w:ascii="Arial" w:hAnsi="Arial" w:cs="Arial"/>
          <w:lang w:val="es-MX"/>
        </w:rPr>
      </w:pPr>
    </w:p>
    <w:p w14:paraId="614D0B39" w14:textId="77777777" w:rsidR="00636FEA" w:rsidRDefault="00636FEA" w:rsidP="00636FEA">
      <w:pPr>
        <w:tabs>
          <w:tab w:val="left" w:pos="2496"/>
        </w:tabs>
        <w:spacing w:after="0"/>
        <w:jc w:val="both"/>
        <w:rPr>
          <w:rFonts w:ascii="Arial" w:hAnsi="Arial" w:cs="Arial"/>
          <w:lang w:val="es-MX"/>
        </w:rPr>
      </w:pPr>
    </w:p>
    <w:p w14:paraId="63B47B85" w14:textId="77777777" w:rsidR="00636FEA" w:rsidRDefault="00636FEA" w:rsidP="00636FEA">
      <w:pPr>
        <w:tabs>
          <w:tab w:val="left" w:pos="2496"/>
        </w:tabs>
        <w:spacing w:after="0"/>
        <w:jc w:val="both"/>
        <w:rPr>
          <w:rFonts w:ascii="Arial" w:hAnsi="Arial" w:cs="Arial"/>
          <w:lang w:val="es-MX"/>
        </w:rPr>
      </w:pPr>
      <w:r w:rsidRPr="00EF6ADF">
        <w:rPr>
          <w:rFonts w:ascii="Arial" w:hAnsi="Arial" w:cs="Arial"/>
          <w:lang w:val="es-MX"/>
        </w:rPr>
        <w:t>Con referencia al Sistema San Ignacio</w:t>
      </w:r>
      <w:r>
        <w:rPr>
          <w:rFonts w:ascii="Arial" w:hAnsi="Arial" w:cs="Arial"/>
          <w:lang w:val="es-MX"/>
        </w:rPr>
        <w:t xml:space="preserve"> de Velasco, ubicado en el departamento de Santa Cruz, de acuerdo a la información proporcionada por el operador del sistema, la Cooperativa Rural de Electrificación (CRE) y la AE, el sistema, al año 2016, contaba con una potencia instalada de 6421 kW y 10720 usuarios.</w:t>
      </w:r>
    </w:p>
    <w:p w14:paraId="1DF39A26" w14:textId="77777777" w:rsidR="00636FEA" w:rsidRDefault="00636FEA" w:rsidP="00636FEA">
      <w:pPr>
        <w:tabs>
          <w:tab w:val="left" w:pos="2496"/>
        </w:tabs>
        <w:spacing w:after="0"/>
        <w:jc w:val="both"/>
        <w:rPr>
          <w:rFonts w:ascii="Arial" w:hAnsi="Arial" w:cs="Arial"/>
          <w:lang w:val="es-MX"/>
        </w:rPr>
      </w:pPr>
    </w:p>
    <w:p w14:paraId="256D6ECF" w14:textId="77777777" w:rsidR="00636FEA" w:rsidRDefault="00636FEA" w:rsidP="00636FEA">
      <w:pPr>
        <w:tabs>
          <w:tab w:val="left" w:pos="2496"/>
        </w:tabs>
        <w:spacing w:after="0"/>
        <w:jc w:val="both"/>
        <w:rPr>
          <w:rFonts w:ascii="Arial" w:hAnsi="Arial" w:cs="Arial"/>
          <w:lang w:val="es-MX"/>
        </w:rPr>
      </w:pPr>
      <w:r w:rsidRPr="00EF6ADF">
        <w:rPr>
          <w:rFonts w:ascii="Arial" w:hAnsi="Arial" w:cs="Arial"/>
          <w:lang w:val="es-MX"/>
        </w:rPr>
        <w:t>Actualmente la unidad de Pre inversión de ENDE está realizando Estudio de Diseño Técnico de Pre inversión (EDTP) “</w:t>
      </w:r>
      <w:r w:rsidRPr="00EF6ADF">
        <w:rPr>
          <w:rFonts w:ascii="Arial" w:hAnsi="Arial" w:cs="Arial"/>
          <w:i/>
          <w:lang w:val="es-MX"/>
        </w:rPr>
        <w:t>Interconexión San Ignacio de Velasco y San Matías al SIN</w:t>
      </w:r>
      <w:r w:rsidRPr="00EF6ADF">
        <w:rPr>
          <w:rFonts w:ascii="Arial" w:hAnsi="Arial" w:cs="Arial"/>
          <w:lang w:val="es-MX"/>
        </w:rPr>
        <w:t>” mediante el programa de Apoyo a la Pre inversión que es financiado por el BID, el estudio se realiza de acuerdo al alcance indicado Reglamento Básico del Sistema Nacional de Inversión Pública, se estima que finalice el segundo semestre de 2018.</w:t>
      </w:r>
    </w:p>
    <w:p w14:paraId="7240CE38" w14:textId="77777777" w:rsidR="00636FEA" w:rsidRDefault="00636FEA" w:rsidP="00636FEA">
      <w:pPr>
        <w:tabs>
          <w:tab w:val="left" w:pos="2496"/>
        </w:tabs>
        <w:spacing w:after="0"/>
        <w:jc w:val="both"/>
        <w:rPr>
          <w:rFonts w:ascii="Arial" w:hAnsi="Arial" w:cs="Arial"/>
          <w:lang w:val="es-MX"/>
        </w:rPr>
      </w:pPr>
    </w:p>
    <w:p w14:paraId="3B341E13" w14:textId="77777777" w:rsidR="00636FEA" w:rsidRPr="00EF6ADF" w:rsidRDefault="00636FEA" w:rsidP="00636FEA">
      <w:pPr>
        <w:tabs>
          <w:tab w:val="left" w:pos="2496"/>
        </w:tabs>
        <w:spacing w:after="0"/>
        <w:jc w:val="both"/>
        <w:rPr>
          <w:rFonts w:ascii="Arial" w:hAnsi="Arial" w:cs="Arial"/>
          <w:lang w:val="es-MX"/>
        </w:rPr>
      </w:pPr>
      <w:r>
        <w:rPr>
          <w:rFonts w:ascii="Arial" w:hAnsi="Arial" w:cs="Arial"/>
          <w:lang w:val="es-MX"/>
        </w:rPr>
        <w:t>Si bien el proyecto que viene siendo elaborado por ENDE considera la extensión de la Línea de Transmisión (LT) desde la localidad de Los Troncos hasta San Matías, pasando por San Ignacio de Velasco, la presente evaluación solamente considera el tramo inicial deLos Troncos a San Ignacio de Velasco.</w:t>
      </w:r>
    </w:p>
    <w:p w14:paraId="59728FC0" w14:textId="77777777" w:rsidR="00636FEA" w:rsidRPr="00C43FA3" w:rsidRDefault="00636FEA" w:rsidP="00636FEA">
      <w:pPr>
        <w:pStyle w:val="Heading1"/>
        <w:rPr>
          <w:rFonts w:ascii="Arial" w:hAnsi="Arial" w:cs="Arial"/>
          <w:color w:val="244061" w:themeColor="accent1" w:themeShade="80"/>
          <w:lang w:val="es-ES"/>
        </w:rPr>
      </w:pPr>
      <w:bookmarkStart w:id="1" w:name="_Toc494317169"/>
      <w:r w:rsidRPr="00C43FA3">
        <w:rPr>
          <w:rFonts w:ascii="Arial" w:hAnsi="Arial" w:cs="Arial"/>
          <w:color w:val="244061" w:themeColor="accent1" w:themeShade="80"/>
          <w:lang w:val="es-ES"/>
        </w:rPr>
        <w:t>JUSTIFICACIÓN DEL PROYECTO</w:t>
      </w:r>
      <w:bookmarkEnd w:id="1"/>
    </w:p>
    <w:p w14:paraId="1B019238" w14:textId="77777777" w:rsidR="00636FEA" w:rsidRDefault="00636FEA" w:rsidP="00636FEA">
      <w:pPr>
        <w:rPr>
          <w:lang w:val="es-MX"/>
        </w:rPr>
      </w:pPr>
    </w:p>
    <w:p w14:paraId="26531D2D" w14:textId="77777777" w:rsidR="00636FEA" w:rsidRPr="00E04768" w:rsidRDefault="00636FEA" w:rsidP="00636FEA">
      <w:pPr>
        <w:tabs>
          <w:tab w:val="left" w:pos="2496"/>
        </w:tabs>
        <w:spacing w:after="0"/>
        <w:jc w:val="both"/>
        <w:rPr>
          <w:rFonts w:ascii="Arial" w:hAnsi="Arial" w:cs="Arial"/>
          <w:lang w:val="es-MX"/>
        </w:rPr>
      </w:pPr>
      <w:r w:rsidRPr="00E04768">
        <w:rPr>
          <w:rFonts w:ascii="Arial" w:hAnsi="Arial" w:cs="Arial"/>
          <w:lang w:val="es-MX"/>
        </w:rPr>
        <w:t>El departamento de Santa Cruz es atendido principalmente por la CRE, a través de 7 subsistemas eléctricos: Sistema Área integrada, sistema Cordillera, sistema Valles, sistema German Busch, sistema Robore, sistema Velasco y sistema Las Misiones, las principales características de los subsistemas administrados por la CRE se presentan en la siguiente tabla:</w:t>
      </w:r>
    </w:p>
    <w:p w14:paraId="5D930EFA" w14:textId="77777777" w:rsidR="00636FEA" w:rsidRDefault="00636FEA" w:rsidP="00636FEA">
      <w:pPr>
        <w:spacing w:after="0" w:line="240" w:lineRule="auto"/>
        <w:jc w:val="both"/>
        <w:rPr>
          <w:rFonts w:ascii="Century" w:hAnsi="Century"/>
          <w:lang w:val="es-ES_tradnl"/>
        </w:rPr>
      </w:pPr>
    </w:p>
    <w:p w14:paraId="6DB27F88" w14:textId="77777777" w:rsidR="00636FEA" w:rsidRPr="00C2007D" w:rsidRDefault="00636FEA" w:rsidP="00636FEA">
      <w:pPr>
        <w:spacing w:after="0" w:line="240" w:lineRule="auto"/>
        <w:jc w:val="center"/>
        <w:rPr>
          <w:rFonts w:ascii="Arial" w:hAnsi="Arial" w:cs="Arial"/>
        </w:rPr>
      </w:pPr>
      <w:r w:rsidRPr="003D5444">
        <w:rPr>
          <w:rFonts w:ascii="Arial" w:hAnsi="Arial" w:cs="Arial"/>
          <w:b/>
          <w:lang w:val="es-419"/>
        </w:rPr>
        <w:t>Tabla</w:t>
      </w:r>
      <w:r w:rsidRPr="00C2007D">
        <w:rPr>
          <w:rFonts w:ascii="Arial" w:hAnsi="Arial" w:cs="Arial"/>
          <w:b/>
        </w:rPr>
        <w:t xml:space="preserve"> 1</w:t>
      </w:r>
      <w:r w:rsidRPr="00C2007D">
        <w:rPr>
          <w:rFonts w:ascii="Arial" w:hAnsi="Arial" w:cs="Arial"/>
        </w:rPr>
        <w:t xml:space="preserve">: </w:t>
      </w:r>
      <w:r w:rsidRPr="003D5444">
        <w:rPr>
          <w:rFonts w:ascii="Arial" w:hAnsi="Arial" w:cs="Arial"/>
          <w:lang w:val="es-419"/>
        </w:rPr>
        <w:t>Características</w:t>
      </w:r>
      <w:r>
        <w:rPr>
          <w:rFonts w:ascii="Arial" w:hAnsi="Arial" w:cs="Arial"/>
        </w:rPr>
        <w:t xml:space="preserve"> </w:t>
      </w:r>
      <w:r w:rsidRPr="003D5444">
        <w:rPr>
          <w:rFonts w:ascii="Arial" w:hAnsi="Arial" w:cs="Arial"/>
          <w:lang w:val="es-419"/>
        </w:rPr>
        <w:t>Consumo</w:t>
      </w:r>
      <w:r>
        <w:rPr>
          <w:rFonts w:ascii="Arial" w:hAnsi="Arial" w:cs="Arial"/>
        </w:rPr>
        <w:t xml:space="preserve"> S</w:t>
      </w:r>
      <w:r w:rsidRPr="00C2007D">
        <w:rPr>
          <w:rFonts w:ascii="Arial" w:hAnsi="Arial" w:cs="Arial"/>
        </w:rPr>
        <w:t>istema CRE, 201</w:t>
      </w:r>
      <w:r>
        <w:rPr>
          <w:rFonts w:ascii="Arial" w:hAnsi="Arial" w:cs="Arial"/>
        </w:rPr>
        <w:t>6</w:t>
      </w:r>
    </w:p>
    <w:p w14:paraId="73D38821" w14:textId="77777777" w:rsidR="00636FEA" w:rsidRDefault="00636FEA" w:rsidP="00636FEA">
      <w:pPr>
        <w:spacing w:after="0" w:line="240" w:lineRule="auto"/>
        <w:jc w:val="both"/>
        <w:rPr>
          <w:rFonts w:ascii="Times New Roman" w:hAnsi="Times New Roman" w:cs="Times New Roman"/>
          <w:sz w:val="18"/>
        </w:rPr>
      </w:pPr>
    </w:p>
    <w:tbl>
      <w:tblPr>
        <w:tblStyle w:val="TableGrid"/>
        <w:tblW w:w="0" w:type="auto"/>
        <w:jc w:val="center"/>
        <w:tblLook w:val="04A0" w:firstRow="1" w:lastRow="0" w:firstColumn="1" w:lastColumn="0" w:noHBand="0" w:noVBand="1"/>
      </w:tblPr>
      <w:tblGrid>
        <w:gridCol w:w="1636"/>
        <w:gridCol w:w="3584"/>
        <w:gridCol w:w="1366"/>
        <w:gridCol w:w="1483"/>
      </w:tblGrid>
      <w:tr w:rsidR="00636FEA" w:rsidRPr="00662E69" w14:paraId="51E7DF48" w14:textId="77777777" w:rsidTr="00D82D65">
        <w:trPr>
          <w:jc w:val="center"/>
        </w:trPr>
        <w:tc>
          <w:tcPr>
            <w:tcW w:w="1636" w:type="dxa"/>
          </w:tcPr>
          <w:p w14:paraId="151A406B" w14:textId="77777777" w:rsidR="00636FEA" w:rsidRPr="00662E69" w:rsidRDefault="00636FEA" w:rsidP="00D82D65">
            <w:pPr>
              <w:jc w:val="center"/>
              <w:rPr>
                <w:rFonts w:ascii="Arial" w:hAnsi="Arial" w:cs="Arial"/>
                <w:b/>
                <w:sz w:val="20"/>
                <w:szCs w:val="20"/>
                <w:lang w:val="es-ES_tradnl"/>
              </w:rPr>
            </w:pPr>
            <w:r w:rsidRPr="00662E69">
              <w:rPr>
                <w:rFonts w:ascii="Arial" w:hAnsi="Arial" w:cs="Arial"/>
                <w:b/>
                <w:sz w:val="20"/>
                <w:szCs w:val="20"/>
                <w:lang w:val="es-ES_tradnl"/>
              </w:rPr>
              <w:t>Sistema</w:t>
            </w:r>
          </w:p>
        </w:tc>
        <w:tc>
          <w:tcPr>
            <w:tcW w:w="3584" w:type="dxa"/>
          </w:tcPr>
          <w:p w14:paraId="2B26080A" w14:textId="77777777" w:rsidR="00636FEA" w:rsidRDefault="00636FEA" w:rsidP="00D82D65">
            <w:pPr>
              <w:jc w:val="center"/>
              <w:rPr>
                <w:rFonts w:ascii="Arial" w:hAnsi="Arial" w:cs="Arial"/>
                <w:b/>
                <w:sz w:val="20"/>
                <w:szCs w:val="20"/>
                <w:lang w:val="es-ES_tradnl"/>
              </w:rPr>
            </w:pPr>
            <w:r w:rsidRPr="00E5276D">
              <w:rPr>
                <w:rFonts w:ascii="Arial" w:hAnsi="Arial" w:cs="Arial"/>
                <w:b/>
                <w:sz w:val="20"/>
                <w:szCs w:val="20"/>
                <w:lang w:val="es-ES_tradnl"/>
              </w:rPr>
              <w:t>Área</w:t>
            </w:r>
          </w:p>
          <w:p w14:paraId="6D0F1FD4" w14:textId="77777777" w:rsidR="00636FEA" w:rsidRDefault="00636FEA" w:rsidP="00D82D65">
            <w:pPr>
              <w:jc w:val="center"/>
              <w:rPr>
                <w:rFonts w:ascii="Arial" w:hAnsi="Arial" w:cs="Arial"/>
                <w:b/>
                <w:sz w:val="20"/>
                <w:szCs w:val="20"/>
                <w:lang w:val="es-ES_tradnl"/>
              </w:rPr>
            </w:pPr>
            <w:r w:rsidRPr="00E5276D">
              <w:rPr>
                <w:rFonts w:ascii="Arial" w:hAnsi="Arial" w:cs="Arial"/>
                <w:b/>
                <w:sz w:val="20"/>
                <w:szCs w:val="20"/>
                <w:lang w:val="es-ES_tradnl"/>
              </w:rPr>
              <w:t xml:space="preserve"> Geográfica</w:t>
            </w:r>
          </w:p>
          <w:p w14:paraId="7844EAB1" w14:textId="77777777" w:rsidR="00636FEA" w:rsidRPr="00662E69" w:rsidRDefault="00636FEA" w:rsidP="00D82D65">
            <w:pPr>
              <w:jc w:val="center"/>
              <w:rPr>
                <w:rFonts w:ascii="Arial" w:hAnsi="Arial" w:cs="Arial"/>
                <w:b/>
                <w:sz w:val="20"/>
                <w:szCs w:val="20"/>
                <w:lang w:val="es-ES_tradnl"/>
              </w:rPr>
            </w:pPr>
            <w:r w:rsidRPr="00662E69">
              <w:rPr>
                <w:rFonts w:ascii="Arial" w:hAnsi="Arial" w:cs="Arial"/>
                <w:b/>
                <w:sz w:val="20"/>
                <w:szCs w:val="20"/>
                <w:lang w:val="es-ES_tradnl"/>
              </w:rPr>
              <w:t>(Provincias)</w:t>
            </w:r>
          </w:p>
        </w:tc>
        <w:tc>
          <w:tcPr>
            <w:tcW w:w="1366" w:type="dxa"/>
          </w:tcPr>
          <w:p w14:paraId="06EC910C" w14:textId="77777777" w:rsidR="00636FEA" w:rsidRDefault="00636FEA" w:rsidP="00D82D65">
            <w:pPr>
              <w:jc w:val="center"/>
              <w:rPr>
                <w:rFonts w:ascii="Arial" w:hAnsi="Arial" w:cs="Arial"/>
                <w:b/>
                <w:sz w:val="20"/>
                <w:szCs w:val="20"/>
                <w:lang w:val="es-ES_tradnl"/>
              </w:rPr>
            </w:pPr>
            <w:r>
              <w:rPr>
                <w:rFonts w:ascii="Arial" w:hAnsi="Arial" w:cs="Arial"/>
                <w:b/>
                <w:sz w:val="20"/>
                <w:szCs w:val="20"/>
                <w:lang w:val="es-ES_tradnl"/>
              </w:rPr>
              <w:t xml:space="preserve">Número de </w:t>
            </w:r>
            <w:r w:rsidRPr="00662E69">
              <w:rPr>
                <w:rFonts w:ascii="Arial" w:hAnsi="Arial" w:cs="Arial"/>
                <w:b/>
                <w:sz w:val="20"/>
                <w:szCs w:val="20"/>
                <w:lang w:val="es-ES_tradnl"/>
              </w:rPr>
              <w:t xml:space="preserve">Usuarios </w:t>
            </w:r>
          </w:p>
          <w:p w14:paraId="3C853FDE" w14:textId="77777777" w:rsidR="00636FEA" w:rsidRPr="00662E69" w:rsidRDefault="00636FEA" w:rsidP="00D82D65">
            <w:pPr>
              <w:jc w:val="center"/>
              <w:rPr>
                <w:rFonts w:ascii="Arial" w:hAnsi="Arial" w:cs="Arial"/>
                <w:b/>
                <w:sz w:val="20"/>
                <w:szCs w:val="20"/>
                <w:lang w:val="es-ES_tradnl"/>
              </w:rPr>
            </w:pPr>
            <w:r>
              <w:rPr>
                <w:rFonts w:ascii="Arial" w:hAnsi="Arial" w:cs="Arial"/>
                <w:b/>
                <w:sz w:val="20"/>
                <w:szCs w:val="20"/>
                <w:lang w:val="es-ES_tradnl"/>
              </w:rPr>
              <w:t>(2016</w:t>
            </w:r>
            <w:r w:rsidRPr="00662E69">
              <w:rPr>
                <w:rFonts w:ascii="Arial" w:hAnsi="Arial" w:cs="Arial"/>
                <w:b/>
                <w:sz w:val="20"/>
                <w:szCs w:val="20"/>
                <w:lang w:val="es-ES_tradnl"/>
              </w:rPr>
              <w:t>)</w:t>
            </w:r>
          </w:p>
        </w:tc>
        <w:tc>
          <w:tcPr>
            <w:tcW w:w="1483" w:type="dxa"/>
          </w:tcPr>
          <w:p w14:paraId="5EEFFE90" w14:textId="77777777" w:rsidR="00636FEA" w:rsidRDefault="00636FEA" w:rsidP="00D82D65">
            <w:pPr>
              <w:jc w:val="center"/>
              <w:rPr>
                <w:rFonts w:ascii="Arial" w:hAnsi="Arial" w:cs="Arial"/>
                <w:b/>
                <w:sz w:val="20"/>
                <w:szCs w:val="20"/>
                <w:lang w:val="es-ES_tradnl"/>
              </w:rPr>
            </w:pPr>
            <w:r>
              <w:rPr>
                <w:rFonts w:ascii="Arial" w:hAnsi="Arial" w:cs="Arial"/>
                <w:b/>
                <w:sz w:val="20"/>
                <w:szCs w:val="20"/>
                <w:lang w:val="es-ES_tradnl"/>
              </w:rPr>
              <w:t xml:space="preserve">Energía Consumida </w:t>
            </w:r>
          </w:p>
          <w:p w14:paraId="3805CF20" w14:textId="77777777" w:rsidR="00636FEA" w:rsidRPr="00662E69" w:rsidRDefault="00636FEA" w:rsidP="00D82D65">
            <w:pPr>
              <w:jc w:val="center"/>
              <w:rPr>
                <w:rFonts w:ascii="Arial" w:hAnsi="Arial" w:cs="Arial"/>
                <w:b/>
                <w:sz w:val="20"/>
                <w:szCs w:val="20"/>
                <w:lang w:val="es-ES_tradnl"/>
              </w:rPr>
            </w:pPr>
            <w:r>
              <w:rPr>
                <w:rFonts w:ascii="Arial" w:hAnsi="Arial" w:cs="Arial"/>
                <w:b/>
                <w:sz w:val="20"/>
                <w:szCs w:val="20"/>
                <w:lang w:val="es-ES_tradnl"/>
              </w:rPr>
              <w:t>MWh (2016)</w:t>
            </w:r>
          </w:p>
        </w:tc>
      </w:tr>
      <w:tr w:rsidR="00636FEA" w:rsidRPr="00662E69" w14:paraId="083287AA" w14:textId="77777777" w:rsidTr="00D82D65">
        <w:trPr>
          <w:jc w:val="center"/>
        </w:trPr>
        <w:tc>
          <w:tcPr>
            <w:tcW w:w="1636" w:type="dxa"/>
          </w:tcPr>
          <w:p w14:paraId="476DB322"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 xml:space="preserve">Área integrada </w:t>
            </w:r>
          </w:p>
        </w:tc>
        <w:tc>
          <w:tcPr>
            <w:tcW w:w="3584" w:type="dxa"/>
          </w:tcPr>
          <w:p w14:paraId="567E015B"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Andrés Ib</w:t>
            </w:r>
            <w:r>
              <w:rPr>
                <w:rFonts w:ascii="Arial" w:hAnsi="Arial" w:cs="Arial"/>
                <w:sz w:val="20"/>
                <w:szCs w:val="20"/>
                <w:lang w:val="es-ES_tradnl"/>
              </w:rPr>
              <w:t>áñ</w:t>
            </w:r>
            <w:r w:rsidRPr="00662E69">
              <w:rPr>
                <w:rFonts w:ascii="Arial" w:hAnsi="Arial" w:cs="Arial"/>
                <w:sz w:val="20"/>
                <w:szCs w:val="20"/>
                <w:lang w:val="es-ES_tradnl"/>
              </w:rPr>
              <w:t xml:space="preserve">ez, Warnes, Obispo Santisteban, Sara, Ichilo, parte de Cordillera y las tierras bajas del este en las provincias </w:t>
            </w:r>
            <w:r>
              <w:rPr>
                <w:rFonts w:ascii="Arial" w:hAnsi="Arial" w:cs="Arial"/>
                <w:sz w:val="20"/>
                <w:szCs w:val="20"/>
                <w:lang w:val="es-ES_tradnl"/>
              </w:rPr>
              <w:t>Ñuflo de Chávez y Chiquitos</w:t>
            </w:r>
          </w:p>
        </w:tc>
        <w:tc>
          <w:tcPr>
            <w:tcW w:w="1366" w:type="dxa"/>
          </w:tcPr>
          <w:p w14:paraId="3B06F060"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486.306</w:t>
            </w:r>
          </w:p>
        </w:tc>
        <w:tc>
          <w:tcPr>
            <w:tcW w:w="1483" w:type="dxa"/>
          </w:tcPr>
          <w:p w14:paraId="1440776F" w14:textId="77777777" w:rsidR="00636FEA" w:rsidRDefault="00636FEA" w:rsidP="00D82D65">
            <w:pPr>
              <w:jc w:val="center"/>
              <w:rPr>
                <w:rFonts w:ascii="Arial" w:hAnsi="Arial" w:cs="Arial"/>
                <w:sz w:val="20"/>
                <w:szCs w:val="20"/>
                <w:lang w:val="es-ES_tradnl"/>
              </w:rPr>
            </w:pPr>
            <w:r>
              <w:rPr>
                <w:rFonts w:ascii="Arial" w:hAnsi="Arial" w:cs="Arial"/>
                <w:sz w:val="20"/>
                <w:szCs w:val="20"/>
                <w:lang w:val="es-ES_tradnl"/>
              </w:rPr>
              <w:t>2.511.317,54</w:t>
            </w:r>
          </w:p>
        </w:tc>
      </w:tr>
      <w:tr w:rsidR="00636FEA" w:rsidRPr="00662E69" w14:paraId="0E1CAC35" w14:textId="77777777" w:rsidTr="00D82D65">
        <w:trPr>
          <w:jc w:val="center"/>
        </w:trPr>
        <w:tc>
          <w:tcPr>
            <w:tcW w:w="1636" w:type="dxa"/>
          </w:tcPr>
          <w:p w14:paraId="158B29ED"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Cordillera</w:t>
            </w:r>
          </w:p>
        </w:tc>
        <w:tc>
          <w:tcPr>
            <w:tcW w:w="3584" w:type="dxa"/>
          </w:tcPr>
          <w:p w14:paraId="16D4202C" w14:textId="77777777" w:rsidR="00636FEA" w:rsidRPr="00662E69" w:rsidRDefault="00636FEA" w:rsidP="00D82D65">
            <w:pPr>
              <w:rPr>
                <w:rFonts w:ascii="Arial" w:hAnsi="Arial" w:cs="Arial"/>
                <w:sz w:val="20"/>
                <w:szCs w:val="20"/>
                <w:lang w:val="es-ES_tradnl"/>
              </w:rPr>
            </w:pPr>
            <w:r>
              <w:rPr>
                <w:rFonts w:ascii="Arial" w:hAnsi="Arial" w:cs="Arial"/>
                <w:sz w:val="20"/>
                <w:szCs w:val="20"/>
                <w:lang w:val="es-ES_tradnl"/>
              </w:rPr>
              <w:t>Cordillera</w:t>
            </w:r>
          </w:p>
        </w:tc>
        <w:tc>
          <w:tcPr>
            <w:tcW w:w="1366" w:type="dxa"/>
          </w:tcPr>
          <w:p w14:paraId="62E2FEDD"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13243</w:t>
            </w:r>
          </w:p>
        </w:tc>
        <w:tc>
          <w:tcPr>
            <w:tcW w:w="1483" w:type="dxa"/>
          </w:tcPr>
          <w:p w14:paraId="39585E0B"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25810,16</w:t>
            </w:r>
          </w:p>
        </w:tc>
      </w:tr>
      <w:tr w:rsidR="00636FEA" w:rsidRPr="00662E69" w14:paraId="6B9FAEF3" w14:textId="77777777" w:rsidTr="00D82D65">
        <w:trPr>
          <w:jc w:val="center"/>
        </w:trPr>
        <w:tc>
          <w:tcPr>
            <w:tcW w:w="1636" w:type="dxa"/>
          </w:tcPr>
          <w:p w14:paraId="7D07296B"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Valles</w:t>
            </w:r>
          </w:p>
        </w:tc>
        <w:tc>
          <w:tcPr>
            <w:tcW w:w="3584" w:type="dxa"/>
          </w:tcPr>
          <w:p w14:paraId="16CCE89B" w14:textId="77777777" w:rsidR="00636FEA" w:rsidRPr="00662E69" w:rsidRDefault="00636FEA" w:rsidP="00D82D65">
            <w:pPr>
              <w:rPr>
                <w:rFonts w:ascii="Arial" w:hAnsi="Arial" w:cs="Arial"/>
                <w:sz w:val="20"/>
                <w:szCs w:val="20"/>
                <w:lang w:val="es-ES_tradnl"/>
              </w:rPr>
            </w:pPr>
            <w:r>
              <w:rPr>
                <w:rFonts w:ascii="Arial" w:hAnsi="Arial" w:cs="Arial"/>
                <w:sz w:val="20"/>
                <w:szCs w:val="20"/>
                <w:lang w:val="es-ES_tradnl"/>
              </w:rPr>
              <w:t>Florida, Manuel María Caballero y Vallegrande</w:t>
            </w:r>
          </w:p>
        </w:tc>
        <w:tc>
          <w:tcPr>
            <w:tcW w:w="1366" w:type="dxa"/>
          </w:tcPr>
          <w:p w14:paraId="4E044A2A"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18160</w:t>
            </w:r>
          </w:p>
        </w:tc>
        <w:tc>
          <w:tcPr>
            <w:tcW w:w="1483" w:type="dxa"/>
          </w:tcPr>
          <w:p w14:paraId="159E0E85"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21245,18</w:t>
            </w:r>
          </w:p>
        </w:tc>
      </w:tr>
      <w:tr w:rsidR="00636FEA" w:rsidRPr="00662E69" w14:paraId="630958FA" w14:textId="77777777" w:rsidTr="00D82D65">
        <w:trPr>
          <w:jc w:val="center"/>
        </w:trPr>
        <w:tc>
          <w:tcPr>
            <w:tcW w:w="1636" w:type="dxa"/>
          </w:tcPr>
          <w:p w14:paraId="680787AD"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German Busch</w:t>
            </w:r>
          </w:p>
        </w:tc>
        <w:tc>
          <w:tcPr>
            <w:tcW w:w="3584" w:type="dxa"/>
          </w:tcPr>
          <w:p w14:paraId="03ECEB2B" w14:textId="77777777" w:rsidR="00636FEA" w:rsidRPr="00662E69" w:rsidRDefault="00636FEA" w:rsidP="00D82D65">
            <w:pPr>
              <w:rPr>
                <w:rFonts w:ascii="Arial" w:hAnsi="Arial" w:cs="Arial"/>
                <w:sz w:val="20"/>
                <w:szCs w:val="20"/>
                <w:lang w:val="es-ES_tradnl"/>
              </w:rPr>
            </w:pPr>
            <w:r>
              <w:rPr>
                <w:rFonts w:ascii="Arial" w:hAnsi="Arial" w:cs="Arial"/>
                <w:sz w:val="20"/>
                <w:szCs w:val="20"/>
                <w:lang w:val="es-ES_tradnl"/>
              </w:rPr>
              <w:t>German Busch</w:t>
            </w:r>
          </w:p>
        </w:tc>
        <w:tc>
          <w:tcPr>
            <w:tcW w:w="1366" w:type="dxa"/>
          </w:tcPr>
          <w:p w14:paraId="330672A4"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8646</w:t>
            </w:r>
          </w:p>
        </w:tc>
        <w:tc>
          <w:tcPr>
            <w:tcW w:w="1483" w:type="dxa"/>
          </w:tcPr>
          <w:p w14:paraId="1968C2E4"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49864,03</w:t>
            </w:r>
          </w:p>
        </w:tc>
      </w:tr>
      <w:tr w:rsidR="00636FEA" w:rsidRPr="00662E69" w14:paraId="25052B28" w14:textId="77777777" w:rsidTr="00D82D65">
        <w:trPr>
          <w:jc w:val="center"/>
        </w:trPr>
        <w:tc>
          <w:tcPr>
            <w:tcW w:w="1636" w:type="dxa"/>
          </w:tcPr>
          <w:p w14:paraId="78A758D7"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Robore</w:t>
            </w:r>
          </w:p>
        </w:tc>
        <w:tc>
          <w:tcPr>
            <w:tcW w:w="3584" w:type="dxa"/>
          </w:tcPr>
          <w:p w14:paraId="47083122" w14:textId="77777777" w:rsidR="00636FEA" w:rsidRPr="00662E69" w:rsidRDefault="00636FEA" w:rsidP="00D82D65">
            <w:pPr>
              <w:rPr>
                <w:rFonts w:ascii="Arial" w:hAnsi="Arial" w:cs="Arial"/>
                <w:sz w:val="20"/>
                <w:szCs w:val="20"/>
                <w:lang w:val="es-ES_tradnl"/>
              </w:rPr>
            </w:pPr>
            <w:r>
              <w:rPr>
                <w:rFonts w:ascii="Arial" w:hAnsi="Arial" w:cs="Arial"/>
                <w:sz w:val="20"/>
                <w:szCs w:val="20"/>
                <w:lang w:val="es-ES_tradnl"/>
              </w:rPr>
              <w:t>Chiquitos</w:t>
            </w:r>
          </w:p>
        </w:tc>
        <w:tc>
          <w:tcPr>
            <w:tcW w:w="1366" w:type="dxa"/>
          </w:tcPr>
          <w:p w14:paraId="2051B71A"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6760</w:t>
            </w:r>
          </w:p>
        </w:tc>
        <w:tc>
          <w:tcPr>
            <w:tcW w:w="1483" w:type="dxa"/>
          </w:tcPr>
          <w:p w14:paraId="79EA1A70"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13815,35</w:t>
            </w:r>
          </w:p>
        </w:tc>
      </w:tr>
      <w:tr w:rsidR="00636FEA" w:rsidRPr="00B242A3" w14:paraId="0828DF1A" w14:textId="77777777" w:rsidTr="00D82D65">
        <w:trPr>
          <w:jc w:val="center"/>
        </w:trPr>
        <w:tc>
          <w:tcPr>
            <w:tcW w:w="1636" w:type="dxa"/>
          </w:tcPr>
          <w:p w14:paraId="525569BC" w14:textId="77777777" w:rsidR="00636FEA" w:rsidRPr="00B242A3" w:rsidRDefault="00636FEA" w:rsidP="00D82D65">
            <w:pPr>
              <w:rPr>
                <w:rFonts w:ascii="Arial" w:hAnsi="Arial" w:cs="Arial"/>
                <w:b/>
                <w:sz w:val="20"/>
                <w:szCs w:val="20"/>
                <w:lang w:val="es-ES_tradnl"/>
              </w:rPr>
            </w:pPr>
            <w:r w:rsidRPr="00B242A3">
              <w:rPr>
                <w:rFonts w:ascii="Arial" w:hAnsi="Arial" w:cs="Arial"/>
                <w:b/>
                <w:sz w:val="20"/>
                <w:szCs w:val="20"/>
                <w:lang w:val="es-ES_tradnl"/>
              </w:rPr>
              <w:t>Velasco</w:t>
            </w:r>
          </w:p>
        </w:tc>
        <w:tc>
          <w:tcPr>
            <w:tcW w:w="3584" w:type="dxa"/>
          </w:tcPr>
          <w:p w14:paraId="31C620B9" w14:textId="77777777" w:rsidR="00636FEA" w:rsidRPr="00B242A3" w:rsidRDefault="00636FEA" w:rsidP="00D82D65">
            <w:pPr>
              <w:rPr>
                <w:rFonts w:ascii="Arial" w:hAnsi="Arial" w:cs="Arial"/>
                <w:b/>
                <w:sz w:val="20"/>
                <w:szCs w:val="20"/>
                <w:lang w:val="es-ES_tradnl"/>
              </w:rPr>
            </w:pPr>
            <w:r w:rsidRPr="00B242A3">
              <w:rPr>
                <w:rFonts w:ascii="Arial" w:hAnsi="Arial" w:cs="Arial"/>
                <w:b/>
                <w:sz w:val="20"/>
                <w:szCs w:val="20"/>
                <w:lang w:val="es-ES_tradnl"/>
              </w:rPr>
              <w:t>José Miguel de Velasco</w:t>
            </w:r>
          </w:p>
        </w:tc>
        <w:tc>
          <w:tcPr>
            <w:tcW w:w="1366" w:type="dxa"/>
          </w:tcPr>
          <w:p w14:paraId="18E2215E" w14:textId="77777777" w:rsidR="00636FEA" w:rsidRPr="00B242A3" w:rsidRDefault="00636FEA" w:rsidP="00D82D65">
            <w:pPr>
              <w:jc w:val="center"/>
              <w:rPr>
                <w:rFonts w:ascii="Arial" w:hAnsi="Arial" w:cs="Arial"/>
                <w:b/>
                <w:sz w:val="20"/>
                <w:szCs w:val="20"/>
                <w:lang w:val="es-ES_tradnl"/>
              </w:rPr>
            </w:pPr>
            <w:r w:rsidRPr="00B242A3">
              <w:rPr>
                <w:rFonts w:ascii="Arial" w:hAnsi="Arial" w:cs="Arial"/>
                <w:b/>
                <w:sz w:val="20"/>
                <w:szCs w:val="20"/>
                <w:lang w:val="es-ES_tradnl"/>
              </w:rPr>
              <w:t>8812</w:t>
            </w:r>
          </w:p>
        </w:tc>
        <w:tc>
          <w:tcPr>
            <w:tcW w:w="1483" w:type="dxa"/>
          </w:tcPr>
          <w:p w14:paraId="3626C38E" w14:textId="77777777" w:rsidR="00636FEA" w:rsidRPr="00B242A3" w:rsidRDefault="00636FEA" w:rsidP="00D82D65">
            <w:pPr>
              <w:jc w:val="center"/>
              <w:rPr>
                <w:rFonts w:ascii="Arial" w:hAnsi="Arial" w:cs="Arial"/>
                <w:b/>
                <w:sz w:val="20"/>
                <w:szCs w:val="20"/>
                <w:lang w:val="es-ES_tradnl"/>
              </w:rPr>
            </w:pPr>
            <w:r w:rsidRPr="00B242A3">
              <w:rPr>
                <w:rFonts w:ascii="Arial" w:hAnsi="Arial" w:cs="Arial"/>
                <w:b/>
                <w:sz w:val="20"/>
                <w:szCs w:val="20"/>
                <w:lang w:val="es-ES_tradnl"/>
              </w:rPr>
              <w:t>17541,05</w:t>
            </w:r>
          </w:p>
        </w:tc>
      </w:tr>
      <w:tr w:rsidR="00636FEA" w:rsidRPr="00662E69" w14:paraId="71CBA789" w14:textId="77777777" w:rsidTr="00D82D65">
        <w:trPr>
          <w:jc w:val="center"/>
        </w:trPr>
        <w:tc>
          <w:tcPr>
            <w:tcW w:w="1636" w:type="dxa"/>
          </w:tcPr>
          <w:p w14:paraId="2303AAFC"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Las Misiones</w:t>
            </w:r>
          </w:p>
        </w:tc>
        <w:tc>
          <w:tcPr>
            <w:tcW w:w="3584" w:type="dxa"/>
          </w:tcPr>
          <w:p w14:paraId="5EC34469" w14:textId="77777777" w:rsidR="00636FEA" w:rsidRPr="00662E69" w:rsidRDefault="00636FEA" w:rsidP="00D82D65">
            <w:pPr>
              <w:rPr>
                <w:rFonts w:ascii="Arial" w:hAnsi="Arial" w:cs="Arial"/>
                <w:sz w:val="20"/>
                <w:szCs w:val="20"/>
                <w:lang w:val="es-ES_tradnl"/>
              </w:rPr>
            </w:pPr>
            <w:r>
              <w:rPr>
                <w:rFonts w:ascii="Arial" w:hAnsi="Arial" w:cs="Arial"/>
                <w:sz w:val="20"/>
                <w:szCs w:val="20"/>
                <w:lang w:val="es-ES_tradnl"/>
              </w:rPr>
              <w:t>Ñuflo de Chávez</w:t>
            </w:r>
          </w:p>
        </w:tc>
        <w:tc>
          <w:tcPr>
            <w:tcW w:w="1366" w:type="dxa"/>
          </w:tcPr>
          <w:p w14:paraId="04245933"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18188</w:t>
            </w:r>
          </w:p>
        </w:tc>
        <w:tc>
          <w:tcPr>
            <w:tcW w:w="1483" w:type="dxa"/>
          </w:tcPr>
          <w:p w14:paraId="017E9FF8"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37833,12</w:t>
            </w:r>
          </w:p>
        </w:tc>
      </w:tr>
      <w:tr w:rsidR="00636FEA" w:rsidRPr="00662E69" w14:paraId="4261B1E6" w14:textId="77777777" w:rsidTr="00D82D65">
        <w:trPr>
          <w:jc w:val="center"/>
        </w:trPr>
        <w:tc>
          <w:tcPr>
            <w:tcW w:w="1636" w:type="dxa"/>
          </w:tcPr>
          <w:p w14:paraId="2CE726B0" w14:textId="77777777" w:rsidR="00636FEA" w:rsidRPr="00662E69" w:rsidRDefault="00636FEA" w:rsidP="00D82D65">
            <w:pPr>
              <w:rPr>
                <w:rFonts w:ascii="Arial" w:hAnsi="Arial" w:cs="Arial"/>
                <w:sz w:val="20"/>
                <w:szCs w:val="20"/>
                <w:lang w:val="es-ES_tradnl"/>
              </w:rPr>
            </w:pPr>
          </w:p>
        </w:tc>
        <w:tc>
          <w:tcPr>
            <w:tcW w:w="3584" w:type="dxa"/>
          </w:tcPr>
          <w:p w14:paraId="3AC3ECF4" w14:textId="77777777" w:rsidR="00636FEA" w:rsidRDefault="00636FEA" w:rsidP="00D82D65">
            <w:pPr>
              <w:rPr>
                <w:rFonts w:ascii="Arial" w:hAnsi="Arial" w:cs="Arial"/>
                <w:sz w:val="20"/>
                <w:szCs w:val="20"/>
                <w:lang w:val="es-ES_tradnl"/>
              </w:rPr>
            </w:pPr>
          </w:p>
        </w:tc>
        <w:tc>
          <w:tcPr>
            <w:tcW w:w="1366" w:type="dxa"/>
          </w:tcPr>
          <w:p w14:paraId="09661D44" w14:textId="77777777" w:rsidR="00636FEA" w:rsidRDefault="00636FEA" w:rsidP="00D82D65">
            <w:pPr>
              <w:jc w:val="center"/>
              <w:rPr>
                <w:rFonts w:ascii="Arial" w:hAnsi="Arial" w:cs="Arial"/>
                <w:sz w:val="20"/>
                <w:szCs w:val="20"/>
                <w:lang w:val="es-ES_tradnl"/>
              </w:rPr>
            </w:pPr>
          </w:p>
        </w:tc>
        <w:tc>
          <w:tcPr>
            <w:tcW w:w="1483" w:type="dxa"/>
          </w:tcPr>
          <w:p w14:paraId="2D7D7E44" w14:textId="77777777" w:rsidR="00636FEA" w:rsidRDefault="00636FEA" w:rsidP="00D82D65">
            <w:pPr>
              <w:jc w:val="center"/>
              <w:rPr>
                <w:rFonts w:ascii="Arial" w:hAnsi="Arial" w:cs="Arial"/>
                <w:sz w:val="20"/>
                <w:szCs w:val="20"/>
                <w:lang w:val="es-ES_tradnl"/>
              </w:rPr>
            </w:pPr>
          </w:p>
        </w:tc>
      </w:tr>
    </w:tbl>
    <w:p w14:paraId="38F28B10" w14:textId="77777777" w:rsidR="00636FEA" w:rsidRPr="00875FEA" w:rsidRDefault="00636FEA" w:rsidP="00636FEA">
      <w:pPr>
        <w:spacing w:after="0" w:line="240" w:lineRule="auto"/>
        <w:jc w:val="both"/>
        <w:rPr>
          <w:rFonts w:ascii="Arial" w:hAnsi="Arial" w:cs="Arial"/>
          <w:sz w:val="18"/>
          <w:lang w:val="es-ES_tradnl"/>
        </w:rPr>
      </w:pPr>
      <w:r w:rsidRPr="00875FEA">
        <w:rPr>
          <w:rFonts w:ascii="Arial" w:hAnsi="Arial" w:cs="Arial"/>
          <w:b/>
          <w:sz w:val="16"/>
          <w:lang w:val="es-ES_tradnl"/>
        </w:rPr>
        <w:t xml:space="preserve">             </w:t>
      </w:r>
      <w:r>
        <w:rPr>
          <w:rFonts w:ascii="Arial" w:hAnsi="Arial" w:cs="Arial"/>
          <w:b/>
          <w:sz w:val="16"/>
          <w:lang w:val="es-ES_tradnl"/>
        </w:rPr>
        <w:t xml:space="preserve">   </w:t>
      </w:r>
      <w:r w:rsidRPr="00875FEA">
        <w:rPr>
          <w:rFonts w:ascii="Arial" w:hAnsi="Arial" w:cs="Arial"/>
          <w:b/>
          <w:sz w:val="16"/>
          <w:lang w:val="es-ES_tradnl"/>
        </w:rPr>
        <w:t xml:space="preserve">Fuente: </w:t>
      </w:r>
      <w:r w:rsidRPr="00875FEA">
        <w:rPr>
          <w:rFonts w:ascii="Arial" w:hAnsi="Arial" w:cs="Arial"/>
          <w:i/>
          <w:sz w:val="16"/>
          <w:lang w:val="es-ES_tradnl"/>
        </w:rPr>
        <w:t>Anuario AE, 2016</w:t>
      </w:r>
    </w:p>
    <w:p w14:paraId="4BCDBBBB" w14:textId="77777777" w:rsidR="00636FEA" w:rsidRDefault="00636FEA" w:rsidP="00636FEA">
      <w:pPr>
        <w:spacing w:after="0" w:line="240" w:lineRule="auto"/>
        <w:jc w:val="both"/>
        <w:rPr>
          <w:rFonts w:ascii="Century" w:hAnsi="Century"/>
          <w:lang w:val="es-ES_tradnl"/>
        </w:rPr>
      </w:pPr>
    </w:p>
    <w:p w14:paraId="2EA7C363" w14:textId="77777777" w:rsidR="00636FEA" w:rsidRDefault="00636FEA" w:rsidP="00636FEA">
      <w:pPr>
        <w:spacing w:after="0" w:line="240" w:lineRule="auto"/>
        <w:jc w:val="both"/>
        <w:rPr>
          <w:rFonts w:ascii="Century" w:hAnsi="Century"/>
          <w:lang w:val="es-ES_tradnl"/>
        </w:rPr>
      </w:pPr>
    </w:p>
    <w:p w14:paraId="74FF6742" w14:textId="77777777" w:rsidR="00636FEA" w:rsidRPr="00FE60BE" w:rsidRDefault="00636FEA" w:rsidP="00636FEA">
      <w:pPr>
        <w:rPr>
          <w:rFonts w:ascii="Arial" w:hAnsi="Arial" w:cs="Arial"/>
          <w:lang w:val="es-MX"/>
        </w:rPr>
      </w:pPr>
      <w:r w:rsidRPr="00FE60BE">
        <w:rPr>
          <w:rFonts w:ascii="Arial" w:hAnsi="Arial" w:cs="Arial"/>
          <w:lang w:val="es-MX"/>
        </w:rPr>
        <w:t>Los sistemas aislados de Santa Cruz cuentan con generadores a gas natural y diésel con las siguientes características:</w:t>
      </w:r>
    </w:p>
    <w:p w14:paraId="052934F5" w14:textId="77777777" w:rsidR="00636FEA" w:rsidRDefault="00636FEA" w:rsidP="00636FEA">
      <w:pPr>
        <w:spacing w:after="0" w:line="240" w:lineRule="auto"/>
        <w:rPr>
          <w:rFonts w:ascii="Times New Roman" w:hAnsi="Times New Roman" w:cs="Times New Roman"/>
          <w:sz w:val="24"/>
          <w:szCs w:val="24"/>
          <w:lang w:val="es-ES_tradnl"/>
        </w:rPr>
      </w:pPr>
    </w:p>
    <w:p w14:paraId="18E156B9" w14:textId="77777777" w:rsidR="00636FEA" w:rsidRPr="003D5444" w:rsidRDefault="00636FEA" w:rsidP="00636FEA">
      <w:pPr>
        <w:pStyle w:val="Heading6"/>
        <w:spacing w:before="240" w:after="240" w:line="240" w:lineRule="auto"/>
        <w:jc w:val="center"/>
        <w:rPr>
          <w:rFonts w:ascii="Arial" w:eastAsiaTheme="minorHAnsi" w:hAnsi="Arial" w:cs="Arial"/>
          <w:color w:val="auto"/>
          <w:lang w:val="es-419"/>
        </w:rPr>
      </w:pPr>
      <w:r w:rsidRPr="006A1733">
        <w:rPr>
          <w:rFonts w:ascii="Arial" w:eastAsiaTheme="minorHAnsi" w:hAnsi="Arial" w:cs="Arial"/>
          <w:b/>
          <w:color w:val="auto"/>
          <w:lang w:val="es-419"/>
        </w:rPr>
        <w:t xml:space="preserve">Tabla </w:t>
      </w:r>
      <w:r>
        <w:rPr>
          <w:rFonts w:ascii="Arial" w:eastAsiaTheme="minorHAnsi" w:hAnsi="Arial" w:cs="Arial"/>
          <w:b/>
          <w:color w:val="auto"/>
          <w:lang w:val="es-419"/>
        </w:rPr>
        <w:t>2</w:t>
      </w:r>
      <w:r w:rsidRPr="003D5444">
        <w:rPr>
          <w:rFonts w:ascii="Arial" w:eastAsiaTheme="minorHAnsi" w:hAnsi="Arial" w:cs="Arial"/>
          <w:color w:val="auto"/>
          <w:lang w:val="es-419"/>
        </w:rPr>
        <w:t xml:space="preserve">: </w:t>
      </w:r>
      <w:r>
        <w:rPr>
          <w:rFonts w:ascii="Arial" w:eastAsiaTheme="minorHAnsi" w:hAnsi="Arial" w:cs="Arial"/>
          <w:color w:val="auto"/>
          <w:lang w:val="es-419"/>
        </w:rPr>
        <w:t>P</w:t>
      </w:r>
      <w:r w:rsidRPr="003D5444">
        <w:rPr>
          <w:rFonts w:ascii="Arial" w:eastAsiaTheme="minorHAnsi" w:hAnsi="Arial" w:cs="Arial"/>
          <w:color w:val="auto"/>
          <w:lang w:val="es-419"/>
        </w:rPr>
        <w:t xml:space="preserve">otencia instalada sistemas aislados </w:t>
      </w:r>
      <w:r>
        <w:rPr>
          <w:rFonts w:ascii="Arial" w:eastAsiaTheme="minorHAnsi" w:hAnsi="Arial" w:cs="Arial"/>
          <w:color w:val="auto"/>
          <w:lang w:val="es-419"/>
        </w:rPr>
        <w:t>Santa C</w:t>
      </w:r>
      <w:r w:rsidRPr="003D5444">
        <w:rPr>
          <w:rFonts w:ascii="Arial" w:eastAsiaTheme="minorHAnsi" w:hAnsi="Arial" w:cs="Arial"/>
          <w:color w:val="auto"/>
          <w:lang w:val="es-419"/>
        </w:rPr>
        <w:t>ruz, 201</w:t>
      </w:r>
      <w:r>
        <w:rPr>
          <w:rFonts w:ascii="Arial" w:eastAsiaTheme="minorHAnsi" w:hAnsi="Arial" w:cs="Arial"/>
          <w:color w:val="auto"/>
          <w:lang w:val="es-419"/>
        </w:rPr>
        <w:t>6</w:t>
      </w:r>
    </w:p>
    <w:tbl>
      <w:tblPr>
        <w:tblStyle w:val="TableGrid"/>
        <w:tblW w:w="0" w:type="auto"/>
        <w:jc w:val="center"/>
        <w:tblLook w:val="04A0" w:firstRow="1" w:lastRow="0" w:firstColumn="1" w:lastColumn="0" w:noHBand="0" w:noVBand="1"/>
      </w:tblPr>
      <w:tblGrid>
        <w:gridCol w:w="2616"/>
        <w:gridCol w:w="2198"/>
      </w:tblGrid>
      <w:tr w:rsidR="00636FEA" w:rsidRPr="00662E69" w14:paraId="360F524F" w14:textId="77777777" w:rsidTr="00D82D65">
        <w:trPr>
          <w:jc w:val="center"/>
        </w:trPr>
        <w:tc>
          <w:tcPr>
            <w:tcW w:w="2616" w:type="dxa"/>
          </w:tcPr>
          <w:p w14:paraId="17C8C822" w14:textId="77777777" w:rsidR="00636FEA" w:rsidRPr="00662E69" w:rsidRDefault="00636FEA" w:rsidP="00D82D65">
            <w:pPr>
              <w:jc w:val="center"/>
              <w:rPr>
                <w:rFonts w:ascii="Arial" w:hAnsi="Arial" w:cs="Arial"/>
                <w:b/>
                <w:sz w:val="20"/>
                <w:szCs w:val="20"/>
                <w:lang w:val="es-ES_tradnl"/>
              </w:rPr>
            </w:pPr>
            <w:r w:rsidRPr="00662E69">
              <w:rPr>
                <w:rFonts w:ascii="Arial" w:hAnsi="Arial" w:cs="Arial"/>
                <w:b/>
                <w:sz w:val="20"/>
                <w:szCs w:val="20"/>
                <w:lang w:val="es-ES_tradnl"/>
              </w:rPr>
              <w:t>Sistema</w:t>
            </w:r>
          </w:p>
        </w:tc>
        <w:tc>
          <w:tcPr>
            <w:tcW w:w="2198" w:type="dxa"/>
          </w:tcPr>
          <w:p w14:paraId="0CB27A6D" w14:textId="77777777" w:rsidR="00636FEA" w:rsidRPr="00662E69" w:rsidRDefault="00636FEA" w:rsidP="00D82D65">
            <w:pPr>
              <w:jc w:val="center"/>
              <w:rPr>
                <w:rFonts w:ascii="Arial" w:hAnsi="Arial" w:cs="Arial"/>
                <w:b/>
                <w:sz w:val="20"/>
                <w:szCs w:val="20"/>
                <w:lang w:val="es-ES_tradnl"/>
              </w:rPr>
            </w:pPr>
            <w:r>
              <w:rPr>
                <w:rFonts w:ascii="Arial" w:hAnsi="Arial" w:cs="Arial"/>
                <w:b/>
                <w:sz w:val="20"/>
                <w:szCs w:val="20"/>
                <w:lang w:val="es-ES_tradnl"/>
              </w:rPr>
              <w:t>Potencia Instalada (MW)</w:t>
            </w:r>
          </w:p>
        </w:tc>
      </w:tr>
      <w:tr w:rsidR="00636FEA" w:rsidRPr="00187EB8" w14:paraId="5669333F" w14:textId="77777777" w:rsidTr="00D82D65">
        <w:trPr>
          <w:jc w:val="center"/>
        </w:trPr>
        <w:tc>
          <w:tcPr>
            <w:tcW w:w="2616" w:type="dxa"/>
          </w:tcPr>
          <w:p w14:paraId="04D568B6"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Cordillera</w:t>
            </w:r>
            <w:r>
              <w:rPr>
                <w:rStyle w:val="FootnoteReference"/>
                <w:rFonts w:ascii="Arial" w:hAnsi="Arial" w:cs="Arial"/>
                <w:sz w:val="20"/>
                <w:szCs w:val="20"/>
                <w:lang w:val="es-ES_tradnl"/>
              </w:rPr>
              <w:footnoteReference w:id="1"/>
            </w:r>
            <w:r>
              <w:rPr>
                <w:rFonts w:ascii="Arial" w:hAnsi="Arial" w:cs="Arial"/>
                <w:sz w:val="20"/>
                <w:szCs w:val="20"/>
                <w:lang w:val="es-ES_tradnl"/>
              </w:rPr>
              <w:t xml:space="preserve"> </w:t>
            </w:r>
          </w:p>
        </w:tc>
        <w:tc>
          <w:tcPr>
            <w:tcW w:w="2198" w:type="dxa"/>
          </w:tcPr>
          <w:p w14:paraId="0A1EB096"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8.69</w:t>
            </w:r>
          </w:p>
        </w:tc>
      </w:tr>
      <w:tr w:rsidR="00636FEA" w:rsidRPr="00187EB8" w14:paraId="21B58B08" w14:textId="77777777" w:rsidTr="00D82D65">
        <w:trPr>
          <w:jc w:val="center"/>
        </w:trPr>
        <w:tc>
          <w:tcPr>
            <w:tcW w:w="2616" w:type="dxa"/>
          </w:tcPr>
          <w:p w14:paraId="1CDFE00A"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Valles</w:t>
            </w:r>
          </w:p>
        </w:tc>
        <w:tc>
          <w:tcPr>
            <w:tcW w:w="2198" w:type="dxa"/>
          </w:tcPr>
          <w:p w14:paraId="53A2A58A"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7.64</w:t>
            </w:r>
          </w:p>
        </w:tc>
      </w:tr>
      <w:tr w:rsidR="00636FEA" w:rsidRPr="00187EB8" w14:paraId="414DA155" w14:textId="77777777" w:rsidTr="00D82D65">
        <w:trPr>
          <w:jc w:val="center"/>
        </w:trPr>
        <w:tc>
          <w:tcPr>
            <w:tcW w:w="2616" w:type="dxa"/>
          </w:tcPr>
          <w:p w14:paraId="4CA37AF6"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German Busch</w:t>
            </w:r>
          </w:p>
        </w:tc>
        <w:tc>
          <w:tcPr>
            <w:tcW w:w="2198" w:type="dxa"/>
          </w:tcPr>
          <w:p w14:paraId="36B10D07"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21.0</w:t>
            </w:r>
          </w:p>
        </w:tc>
      </w:tr>
      <w:tr w:rsidR="00636FEA" w:rsidRPr="00187EB8" w14:paraId="0CBC0DCA" w14:textId="77777777" w:rsidTr="00D82D65">
        <w:trPr>
          <w:jc w:val="center"/>
        </w:trPr>
        <w:tc>
          <w:tcPr>
            <w:tcW w:w="2616" w:type="dxa"/>
          </w:tcPr>
          <w:p w14:paraId="5A3300E9"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Robore</w:t>
            </w:r>
          </w:p>
        </w:tc>
        <w:tc>
          <w:tcPr>
            <w:tcW w:w="2198" w:type="dxa"/>
          </w:tcPr>
          <w:p w14:paraId="71B6CBF9"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5.84</w:t>
            </w:r>
          </w:p>
        </w:tc>
      </w:tr>
      <w:tr w:rsidR="00636FEA" w:rsidRPr="006A1733" w14:paraId="6079909D" w14:textId="77777777" w:rsidTr="00D82D65">
        <w:trPr>
          <w:jc w:val="center"/>
        </w:trPr>
        <w:tc>
          <w:tcPr>
            <w:tcW w:w="2616" w:type="dxa"/>
          </w:tcPr>
          <w:p w14:paraId="2569BB74" w14:textId="77777777" w:rsidR="00636FEA" w:rsidRPr="006A1733" w:rsidRDefault="00636FEA" w:rsidP="00D82D65">
            <w:pPr>
              <w:rPr>
                <w:rFonts w:ascii="Arial" w:hAnsi="Arial" w:cs="Arial"/>
                <w:b/>
                <w:sz w:val="20"/>
                <w:szCs w:val="20"/>
                <w:lang w:val="es-ES_tradnl"/>
              </w:rPr>
            </w:pPr>
            <w:r w:rsidRPr="006A1733">
              <w:rPr>
                <w:rFonts w:ascii="Arial" w:hAnsi="Arial" w:cs="Arial"/>
                <w:b/>
                <w:sz w:val="20"/>
                <w:szCs w:val="20"/>
                <w:lang w:val="es-ES_tradnl"/>
              </w:rPr>
              <w:t>Velasco</w:t>
            </w:r>
          </w:p>
        </w:tc>
        <w:tc>
          <w:tcPr>
            <w:tcW w:w="2198" w:type="dxa"/>
          </w:tcPr>
          <w:p w14:paraId="6449060A" w14:textId="77777777" w:rsidR="00636FEA" w:rsidRPr="006A1733" w:rsidRDefault="00636FEA" w:rsidP="00D82D65">
            <w:pPr>
              <w:jc w:val="center"/>
              <w:rPr>
                <w:rFonts w:ascii="Arial" w:hAnsi="Arial" w:cs="Arial"/>
                <w:b/>
                <w:sz w:val="20"/>
                <w:szCs w:val="20"/>
                <w:lang w:val="es-ES_tradnl"/>
              </w:rPr>
            </w:pPr>
            <w:r w:rsidRPr="006A1733">
              <w:rPr>
                <w:rFonts w:ascii="Arial" w:hAnsi="Arial" w:cs="Arial"/>
                <w:b/>
                <w:sz w:val="20"/>
                <w:szCs w:val="20"/>
                <w:lang w:val="es-ES_tradnl"/>
              </w:rPr>
              <w:t>8.2</w:t>
            </w:r>
          </w:p>
        </w:tc>
      </w:tr>
      <w:tr w:rsidR="00636FEA" w:rsidRPr="00187EB8" w14:paraId="117CA1B4" w14:textId="77777777" w:rsidTr="00D82D65">
        <w:trPr>
          <w:jc w:val="center"/>
        </w:trPr>
        <w:tc>
          <w:tcPr>
            <w:tcW w:w="2616" w:type="dxa"/>
          </w:tcPr>
          <w:p w14:paraId="32ADAEDA" w14:textId="77777777" w:rsidR="00636FEA" w:rsidRPr="00662E69" w:rsidRDefault="00636FEA" w:rsidP="00D82D65">
            <w:pPr>
              <w:rPr>
                <w:rFonts w:ascii="Arial" w:hAnsi="Arial" w:cs="Arial"/>
                <w:sz w:val="20"/>
                <w:szCs w:val="20"/>
                <w:lang w:val="es-ES_tradnl"/>
              </w:rPr>
            </w:pPr>
            <w:r w:rsidRPr="00662E69">
              <w:rPr>
                <w:rFonts w:ascii="Arial" w:hAnsi="Arial" w:cs="Arial"/>
                <w:sz w:val="20"/>
                <w:szCs w:val="20"/>
                <w:lang w:val="es-ES_tradnl"/>
              </w:rPr>
              <w:t>Las Misiones</w:t>
            </w:r>
          </w:p>
        </w:tc>
        <w:tc>
          <w:tcPr>
            <w:tcW w:w="2198" w:type="dxa"/>
          </w:tcPr>
          <w:p w14:paraId="4C19B68A" w14:textId="77777777" w:rsidR="00636FEA" w:rsidRPr="00662E69" w:rsidRDefault="00636FEA" w:rsidP="00D82D65">
            <w:pPr>
              <w:jc w:val="center"/>
              <w:rPr>
                <w:rFonts w:ascii="Arial" w:hAnsi="Arial" w:cs="Arial"/>
                <w:sz w:val="20"/>
                <w:szCs w:val="20"/>
                <w:lang w:val="es-ES_tradnl"/>
              </w:rPr>
            </w:pPr>
            <w:r>
              <w:rPr>
                <w:rFonts w:ascii="Arial" w:hAnsi="Arial" w:cs="Arial"/>
                <w:sz w:val="20"/>
                <w:szCs w:val="20"/>
                <w:lang w:val="es-ES_tradnl"/>
              </w:rPr>
              <w:t>17.15</w:t>
            </w:r>
          </w:p>
        </w:tc>
      </w:tr>
      <w:tr w:rsidR="00636FEA" w:rsidRPr="00187EB8" w14:paraId="4B8425E8" w14:textId="77777777" w:rsidTr="00D82D65">
        <w:trPr>
          <w:jc w:val="center"/>
        </w:trPr>
        <w:tc>
          <w:tcPr>
            <w:tcW w:w="2616" w:type="dxa"/>
          </w:tcPr>
          <w:p w14:paraId="75543A7F" w14:textId="77777777" w:rsidR="00636FEA" w:rsidRPr="00662E69" w:rsidRDefault="00636FEA" w:rsidP="00D82D65">
            <w:pPr>
              <w:rPr>
                <w:rFonts w:ascii="Arial" w:hAnsi="Arial" w:cs="Arial"/>
                <w:sz w:val="20"/>
                <w:szCs w:val="20"/>
                <w:lang w:val="es-ES_tradnl"/>
              </w:rPr>
            </w:pPr>
            <w:r>
              <w:rPr>
                <w:rFonts w:ascii="Arial" w:hAnsi="Arial" w:cs="Arial"/>
                <w:sz w:val="20"/>
                <w:szCs w:val="20"/>
                <w:lang w:val="es-ES_tradnl"/>
              </w:rPr>
              <w:t>San Matías</w:t>
            </w:r>
            <w:r>
              <w:rPr>
                <w:rStyle w:val="FootnoteReference"/>
                <w:rFonts w:ascii="Arial" w:hAnsi="Arial" w:cs="Arial"/>
                <w:sz w:val="20"/>
                <w:szCs w:val="20"/>
                <w:lang w:val="es-ES_tradnl"/>
              </w:rPr>
              <w:footnoteReference w:id="2"/>
            </w:r>
          </w:p>
        </w:tc>
        <w:tc>
          <w:tcPr>
            <w:tcW w:w="2198" w:type="dxa"/>
          </w:tcPr>
          <w:p w14:paraId="3B551E9C" w14:textId="77777777" w:rsidR="00636FEA" w:rsidRDefault="00636FEA" w:rsidP="00D82D65">
            <w:pPr>
              <w:jc w:val="center"/>
              <w:rPr>
                <w:rFonts w:ascii="Arial" w:hAnsi="Arial" w:cs="Arial"/>
                <w:sz w:val="20"/>
                <w:szCs w:val="20"/>
                <w:lang w:val="es-ES_tradnl"/>
              </w:rPr>
            </w:pPr>
            <w:r>
              <w:rPr>
                <w:rFonts w:ascii="Arial" w:hAnsi="Arial" w:cs="Arial"/>
                <w:sz w:val="20"/>
                <w:szCs w:val="20"/>
                <w:lang w:val="es-ES_tradnl"/>
              </w:rPr>
              <w:t>2.72</w:t>
            </w:r>
          </w:p>
        </w:tc>
      </w:tr>
    </w:tbl>
    <w:p w14:paraId="27AF09F4" w14:textId="77777777" w:rsidR="00636FEA" w:rsidRDefault="00636FEA" w:rsidP="00636FEA">
      <w:pPr>
        <w:rPr>
          <w:rFonts w:ascii="Arial" w:hAnsi="Arial" w:cs="Arial"/>
          <w:lang w:val="es-MX"/>
        </w:rPr>
      </w:pPr>
    </w:p>
    <w:p w14:paraId="011D92DC" w14:textId="77777777" w:rsidR="00636FEA" w:rsidRPr="00FE60BE" w:rsidRDefault="00636FEA" w:rsidP="00636FEA">
      <w:pPr>
        <w:jc w:val="both"/>
        <w:rPr>
          <w:rFonts w:ascii="Arial" w:hAnsi="Arial" w:cs="Arial"/>
          <w:lang w:val="es-MX"/>
        </w:rPr>
      </w:pPr>
      <w:r w:rsidRPr="00FE60BE">
        <w:rPr>
          <w:rFonts w:ascii="Arial" w:hAnsi="Arial" w:cs="Arial"/>
          <w:lang w:val="es-MX"/>
        </w:rPr>
        <w:t xml:space="preserve">Los sistemas aislados se muestran en la siguiente figura, donde se observa que cada sistema aislado tiene una amplia cobertura, es decir, que no se restringe solamente a la población capital de municipio o provincia. Es de interés de la presente evaluación </w:t>
      </w:r>
      <w:r>
        <w:rPr>
          <w:rFonts w:ascii="Arial" w:hAnsi="Arial" w:cs="Arial"/>
          <w:lang w:val="es-MX"/>
        </w:rPr>
        <w:t>d</w:t>
      </w:r>
      <w:r w:rsidRPr="00FE60BE">
        <w:rPr>
          <w:rFonts w:ascii="Arial" w:hAnsi="Arial" w:cs="Arial"/>
          <w:lang w:val="es-MX"/>
        </w:rPr>
        <w:t>el Sistema Velasco</w:t>
      </w:r>
      <w:r>
        <w:rPr>
          <w:rFonts w:ascii="Arial" w:hAnsi="Arial" w:cs="Arial"/>
          <w:lang w:val="es-MX"/>
        </w:rPr>
        <w:t xml:space="preserve"> debido a que este consume una cantidad importante de diésel</w:t>
      </w:r>
      <w:r w:rsidRPr="00FE60BE">
        <w:rPr>
          <w:rFonts w:ascii="Arial" w:hAnsi="Arial" w:cs="Arial"/>
          <w:lang w:val="es-MX"/>
        </w:rPr>
        <w:t>.</w:t>
      </w:r>
    </w:p>
    <w:p w14:paraId="6697C4C2" w14:textId="77777777" w:rsidR="00636FEA" w:rsidRDefault="00636FEA" w:rsidP="00636FEA">
      <w:pPr>
        <w:spacing w:after="0" w:line="240" w:lineRule="auto"/>
        <w:jc w:val="center"/>
        <w:rPr>
          <w:rFonts w:ascii="Tahoma" w:hAnsi="Tahoma" w:cs="Tahoma"/>
          <w:sz w:val="20"/>
          <w:szCs w:val="20"/>
          <w:lang w:val="es-MX"/>
        </w:rPr>
      </w:pPr>
      <w:r>
        <w:rPr>
          <w:rFonts w:ascii="Tahoma" w:hAnsi="Tahoma" w:cs="Tahoma"/>
          <w:noProof/>
          <w:sz w:val="20"/>
          <w:szCs w:val="20"/>
          <w:lang w:val="es-419" w:eastAsia="es-419"/>
        </w:rPr>
        <w:drawing>
          <wp:inline distT="0" distB="0" distL="0" distR="0" wp14:anchorId="45BB00A0" wp14:editId="3213C56E">
            <wp:extent cx="4473575" cy="2956001"/>
            <wp:effectExtent l="19050" t="19050" r="22225" b="15875"/>
            <wp:docPr id="44" name="Imagen 44" descr="E:\ENDE\PC-NUEVA\Proyectos\LT San Ignacia - San Matias\RESUMEN EJECUTIVO\MAPA CRE SIS AISLA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NDE\PC-NUEVA\Proyectos\LT San Ignacia - San Matias\RESUMEN EJECUTIVO\MAPA CRE SIS AISLADOS.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83331" cy="2962447"/>
                    </a:xfrm>
                    <a:prstGeom prst="rect">
                      <a:avLst/>
                    </a:prstGeom>
                    <a:noFill/>
                    <a:ln w="12700">
                      <a:solidFill>
                        <a:schemeClr val="tx1"/>
                      </a:solidFill>
                    </a:ln>
                  </pic:spPr>
                </pic:pic>
              </a:graphicData>
            </a:graphic>
          </wp:inline>
        </w:drawing>
      </w:r>
    </w:p>
    <w:p w14:paraId="67642137" w14:textId="77777777" w:rsidR="00636FEA" w:rsidRDefault="00636FEA" w:rsidP="00636FEA">
      <w:pPr>
        <w:pStyle w:val="Heading6"/>
        <w:spacing w:before="0" w:line="240" w:lineRule="auto"/>
        <w:jc w:val="center"/>
        <w:rPr>
          <w:rFonts w:ascii="Arial" w:eastAsiaTheme="minorHAnsi" w:hAnsi="Arial" w:cs="Arial"/>
          <w:b/>
          <w:color w:val="auto"/>
          <w:sz w:val="20"/>
          <w:szCs w:val="20"/>
          <w:lang w:val="es-419"/>
        </w:rPr>
      </w:pPr>
    </w:p>
    <w:p w14:paraId="075B1F03" w14:textId="77777777" w:rsidR="00636FEA" w:rsidRPr="00E04768" w:rsidRDefault="00636FEA" w:rsidP="00636FEA">
      <w:pPr>
        <w:pStyle w:val="Heading6"/>
        <w:spacing w:before="0" w:line="240" w:lineRule="auto"/>
        <w:jc w:val="center"/>
        <w:rPr>
          <w:rFonts w:ascii="Arial" w:eastAsiaTheme="minorHAnsi" w:hAnsi="Arial" w:cs="Arial"/>
          <w:color w:val="auto"/>
          <w:sz w:val="20"/>
          <w:szCs w:val="20"/>
          <w:lang w:val="es-419"/>
        </w:rPr>
      </w:pPr>
      <w:r w:rsidRPr="00E04768">
        <w:rPr>
          <w:rFonts w:ascii="Arial" w:eastAsiaTheme="minorHAnsi" w:hAnsi="Arial" w:cs="Arial"/>
          <w:b/>
          <w:color w:val="auto"/>
          <w:sz w:val="20"/>
          <w:szCs w:val="20"/>
          <w:lang w:val="es-419"/>
        </w:rPr>
        <w:t>Fig. 1</w:t>
      </w:r>
      <w:r w:rsidRPr="00E04768">
        <w:rPr>
          <w:rFonts w:ascii="Arial" w:eastAsiaTheme="minorHAnsi" w:hAnsi="Arial" w:cs="Arial"/>
          <w:color w:val="auto"/>
          <w:sz w:val="20"/>
          <w:szCs w:val="20"/>
          <w:lang w:val="es-419"/>
        </w:rPr>
        <w:t>: Sistemas Aislados operados por la CRE</w:t>
      </w:r>
    </w:p>
    <w:p w14:paraId="4DC17C5F" w14:textId="77777777" w:rsidR="00636FEA" w:rsidRDefault="00636FEA" w:rsidP="00636FEA">
      <w:pPr>
        <w:rPr>
          <w:rFonts w:ascii="Tahoma" w:hAnsi="Tahoma" w:cs="Tahoma"/>
          <w:sz w:val="20"/>
          <w:szCs w:val="20"/>
          <w:lang w:val="es-419"/>
        </w:rPr>
      </w:pPr>
    </w:p>
    <w:p w14:paraId="12CD30E4" w14:textId="77777777" w:rsidR="00636FEA" w:rsidRPr="00A77899" w:rsidRDefault="00636FEA" w:rsidP="00636FEA">
      <w:pPr>
        <w:rPr>
          <w:rFonts w:ascii="Arial" w:hAnsi="Arial" w:cs="Arial"/>
          <w:szCs w:val="20"/>
          <w:lang w:val="es-419"/>
        </w:rPr>
      </w:pPr>
      <w:r w:rsidRPr="00A77899">
        <w:rPr>
          <w:rFonts w:ascii="Arial" w:hAnsi="Arial" w:cs="Arial"/>
          <w:szCs w:val="20"/>
          <w:lang w:val="es-419"/>
        </w:rPr>
        <w:t>En el caso del sistema Velasco cuyos generados usan diésel, sobre la base del crecimiento de la demanda observado en los años anteriores, se prevé un crecimiento del consumo de energía y por tanto de diésel como se muestra en la tabla 3.</w:t>
      </w:r>
    </w:p>
    <w:p w14:paraId="64D94F47" w14:textId="77777777" w:rsidR="00636FEA" w:rsidRDefault="00636FEA" w:rsidP="00636FEA">
      <w:pPr>
        <w:pStyle w:val="Heading6"/>
        <w:spacing w:before="240" w:after="240" w:line="240" w:lineRule="auto"/>
        <w:jc w:val="center"/>
        <w:rPr>
          <w:rFonts w:ascii="Arial" w:eastAsiaTheme="minorHAnsi" w:hAnsi="Arial" w:cs="Arial"/>
          <w:color w:val="auto"/>
          <w:lang w:val="es-419"/>
        </w:rPr>
      </w:pPr>
      <w:r w:rsidRPr="006A1733">
        <w:rPr>
          <w:rFonts w:ascii="Arial" w:eastAsiaTheme="minorHAnsi" w:hAnsi="Arial" w:cs="Arial"/>
          <w:b/>
          <w:color w:val="auto"/>
          <w:lang w:val="es-419"/>
        </w:rPr>
        <w:t xml:space="preserve">Tabla </w:t>
      </w:r>
      <w:r>
        <w:rPr>
          <w:rFonts w:ascii="Arial" w:eastAsiaTheme="minorHAnsi" w:hAnsi="Arial" w:cs="Arial"/>
          <w:b/>
          <w:color w:val="auto"/>
          <w:lang w:val="es-419"/>
        </w:rPr>
        <w:t>3</w:t>
      </w:r>
      <w:r w:rsidRPr="003D5444">
        <w:rPr>
          <w:rFonts w:ascii="Arial" w:eastAsiaTheme="minorHAnsi" w:hAnsi="Arial" w:cs="Arial"/>
          <w:color w:val="auto"/>
          <w:lang w:val="es-419"/>
        </w:rPr>
        <w:t xml:space="preserve">: </w:t>
      </w:r>
      <w:r>
        <w:rPr>
          <w:rFonts w:ascii="Arial" w:eastAsiaTheme="minorHAnsi" w:hAnsi="Arial" w:cs="Arial"/>
          <w:color w:val="auto"/>
          <w:lang w:val="es-419"/>
        </w:rPr>
        <w:t>Proyección de consumo de diésel sistema Velasco</w:t>
      </w:r>
    </w:p>
    <w:tbl>
      <w:tblPr>
        <w:tblW w:w="4000" w:type="dxa"/>
        <w:jc w:val="center"/>
        <w:tblCellMar>
          <w:left w:w="70" w:type="dxa"/>
          <w:right w:w="70" w:type="dxa"/>
        </w:tblCellMar>
        <w:tblLook w:val="04A0" w:firstRow="1" w:lastRow="0" w:firstColumn="1" w:lastColumn="0" w:noHBand="0" w:noVBand="1"/>
      </w:tblPr>
      <w:tblGrid>
        <w:gridCol w:w="1200"/>
        <w:gridCol w:w="1280"/>
        <w:gridCol w:w="1520"/>
      </w:tblGrid>
      <w:tr w:rsidR="00636FEA" w:rsidRPr="00B05E76" w14:paraId="7B2F4DFD" w14:textId="77777777" w:rsidTr="00D82D65">
        <w:trPr>
          <w:trHeight w:val="57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33653" w14:textId="77777777" w:rsidR="00636FEA" w:rsidRPr="00B05E76" w:rsidRDefault="00636FEA" w:rsidP="00D82D65">
            <w:pPr>
              <w:spacing w:after="0" w:line="240" w:lineRule="auto"/>
              <w:jc w:val="center"/>
              <w:rPr>
                <w:rFonts w:ascii="Arial" w:eastAsia="Times New Roman" w:hAnsi="Arial" w:cs="Arial"/>
                <w:b/>
                <w:bCs/>
                <w:color w:val="000000"/>
                <w:lang w:val="es-419" w:eastAsia="es-419"/>
              </w:rPr>
            </w:pPr>
            <w:r w:rsidRPr="00B05E76">
              <w:rPr>
                <w:rFonts w:ascii="Arial" w:eastAsia="Times New Roman" w:hAnsi="Arial" w:cs="Arial"/>
                <w:b/>
                <w:bCs/>
                <w:color w:val="000000"/>
                <w:lang w:val="es-BO" w:eastAsia="es-419"/>
              </w:rPr>
              <w:t>Año</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7F07FEB1" w14:textId="77777777" w:rsidR="00636FEA" w:rsidRPr="00B05E76" w:rsidRDefault="00636FEA" w:rsidP="00D82D65">
            <w:pPr>
              <w:spacing w:after="0" w:line="240" w:lineRule="auto"/>
              <w:jc w:val="center"/>
              <w:rPr>
                <w:rFonts w:ascii="Arial" w:eastAsia="Times New Roman" w:hAnsi="Arial" w:cs="Arial"/>
                <w:b/>
                <w:bCs/>
                <w:color w:val="000000"/>
                <w:lang w:val="es-419" w:eastAsia="es-419"/>
              </w:rPr>
            </w:pPr>
            <w:r w:rsidRPr="00B05E76">
              <w:rPr>
                <w:rFonts w:ascii="Arial" w:eastAsia="Times New Roman" w:hAnsi="Arial" w:cs="Arial"/>
                <w:b/>
                <w:bCs/>
                <w:color w:val="000000"/>
                <w:lang w:val="es-BO" w:eastAsia="es-419"/>
              </w:rPr>
              <w:t>Energía (MWh)</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70C2C5E8" w14:textId="77777777" w:rsidR="00636FEA" w:rsidRPr="00B05E76" w:rsidRDefault="00636FEA" w:rsidP="00D82D65">
            <w:pPr>
              <w:spacing w:after="0" w:line="240" w:lineRule="auto"/>
              <w:jc w:val="center"/>
              <w:rPr>
                <w:rFonts w:ascii="Arial" w:eastAsia="Times New Roman" w:hAnsi="Arial" w:cs="Arial"/>
                <w:b/>
                <w:bCs/>
                <w:color w:val="000000"/>
                <w:lang w:val="es-419" w:eastAsia="es-419"/>
              </w:rPr>
            </w:pPr>
            <w:r w:rsidRPr="00B05E76">
              <w:rPr>
                <w:rFonts w:ascii="Arial" w:eastAsia="Times New Roman" w:hAnsi="Arial" w:cs="Arial"/>
                <w:b/>
                <w:bCs/>
                <w:color w:val="000000"/>
                <w:lang w:val="es-419" w:eastAsia="es-419"/>
              </w:rPr>
              <w:t>Diésel (litros)</w:t>
            </w:r>
          </w:p>
        </w:tc>
      </w:tr>
      <w:tr w:rsidR="00636FEA" w:rsidRPr="00B05E76" w14:paraId="259C9621"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0CFD4B9"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2018</w:t>
            </w:r>
          </w:p>
        </w:tc>
        <w:tc>
          <w:tcPr>
            <w:tcW w:w="1280" w:type="dxa"/>
            <w:tcBorders>
              <w:top w:val="nil"/>
              <w:left w:val="nil"/>
              <w:bottom w:val="single" w:sz="4" w:space="0" w:color="auto"/>
              <w:right w:val="single" w:sz="4" w:space="0" w:color="auto"/>
            </w:tcBorders>
            <w:shd w:val="clear" w:color="auto" w:fill="auto"/>
            <w:noWrap/>
            <w:vAlign w:val="center"/>
            <w:hideMark/>
          </w:tcPr>
          <w:p w14:paraId="2020BA1D"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36,429</w:t>
            </w:r>
          </w:p>
        </w:tc>
        <w:tc>
          <w:tcPr>
            <w:tcW w:w="1520" w:type="dxa"/>
            <w:tcBorders>
              <w:top w:val="nil"/>
              <w:left w:val="nil"/>
              <w:bottom w:val="single" w:sz="4" w:space="0" w:color="auto"/>
              <w:right w:val="single" w:sz="4" w:space="0" w:color="auto"/>
            </w:tcBorders>
            <w:shd w:val="clear" w:color="auto" w:fill="auto"/>
            <w:noWrap/>
            <w:vAlign w:val="bottom"/>
            <w:hideMark/>
          </w:tcPr>
          <w:p w14:paraId="2290BC82"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10,065,333</w:t>
            </w:r>
          </w:p>
        </w:tc>
      </w:tr>
      <w:tr w:rsidR="00636FEA" w:rsidRPr="00B05E76" w14:paraId="54E6E7B5"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3382DBC"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2019</w:t>
            </w:r>
          </w:p>
        </w:tc>
        <w:tc>
          <w:tcPr>
            <w:tcW w:w="1280" w:type="dxa"/>
            <w:tcBorders>
              <w:top w:val="nil"/>
              <w:left w:val="nil"/>
              <w:bottom w:val="single" w:sz="4" w:space="0" w:color="auto"/>
              <w:right w:val="single" w:sz="4" w:space="0" w:color="auto"/>
            </w:tcBorders>
            <w:shd w:val="clear" w:color="auto" w:fill="auto"/>
            <w:noWrap/>
            <w:vAlign w:val="center"/>
            <w:hideMark/>
          </w:tcPr>
          <w:p w14:paraId="1D3F2C30"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39,169</w:t>
            </w:r>
          </w:p>
        </w:tc>
        <w:tc>
          <w:tcPr>
            <w:tcW w:w="1520" w:type="dxa"/>
            <w:tcBorders>
              <w:top w:val="nil"/>
              <w:left w:val="nil"/>
              <w:bottom w:val="single" w:sz="4" w:space="0" w:color="auto"/>
              <w:right w:val="single" w:sz="4" w:space="0" w:color="auto"/>
            </w:tcBorders>
            <w:shd w:val="clear" w:color="auto" w:fill="auto"/>
            <w:noWrap/>
            <w:vAlign w:val="bottom"/>
            <w:hideMark/>
          </w:tcPr>
          <w:p w14:paraId="1B8EEB55"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10,822,395</w:t>
            </w:r>
          </w:p>
        </w:tc>
      </w:tr>
      <w:tr w:rsidR="00636FEA" w:rsidRPr="00B05E76" w14:paraId="59429FEA"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953DDB3"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2020</w:t>
            </w:r>
          </w:p>
        </w:tc>
        <w:tc>
          <w:tcPr>
            <w:tcW w:w="1280" w:type="dxa"/>
            <w:tcBorders>
              <w:top w:val="nil"/>
              <w:left w:val="nil"/>
              <w:bottom w:val="single" w:sz="4" w:space="0" w:color="auto"/>
              <w:right w:val="single" w:sz="4" w:space="0" w:color="auto"/>
            </w:tcBorders>
            <w:shd w:val="clear" w:color="auto" w:fill="auto"/>
            <w:noWrap/>
            <w:vAlign w:val="center"/>
            <w:hideMark/>
          </w:tcPr>
          <w:p w14:paraId="616CF8C9"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41,177</w:t>
            </w:r>
          </w:p>
        </w:tc>
        <w:tc>
          <w:tcPr>
            <w:tcW w:w="1520" w:type="dxa"/>
            <w:tcBorders>
              <w:top w:val="nil"/>
              <w:left w:val="nil"/>
              <w:bottom w:val="single" w:sz="4" w:space="0" w:color="auto"/>
              <w:right w:val="single" w:sz="4" w:space="0" w:color="auto"/>
            </w:tcBorders>
            <w:shd w:val="clear" w:color="auto" w:fill="auto"/>
            <w:noWrap/>
            <w:vAlign w:val="bottom"/>
            <w:hideMark/>
          </w:tcPr>
          <w:p w14:paraId="2C913247"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11,377,205</w:t>
            </w:r>
          </w:p>
        </w:tc>
      </w:tr>
      <w:tr w:rsidR="00636FEA" w:rsidRPr="00B05E76" w14:paraId="1BC070C5"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BFDB0D7"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2021</w:t>
            </w:r>
          </w:p>
        </w:tc>
        <w:tc>
          <w:tcPr>
            <w:tcW w:w="1280" w:type="dxa"/>
            <w:tcBorders>
              <w:top w:val="nil"/>
              <w:left w:val="nil"/>
              <w:bottom w:val="single" w:sz="4" w:space="0" w:color="auto"/>
              <w:right w:val="single" w:sz="4" w:space="0" w:color="auto"/>
            </w:tcBorders>
            <w:shd w:val="clear" w:color="auto" w:fill="auto"/>
            <w:noWrap/>
            <w:vAlign w:val="center"/>
            <w:hideMark/>
          </w:tcPr>
          <w:p w14:paraId="7E762A54"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42,956</w:t>
            </w:r>
          </w:p>
        </w:tc>
        <w:tc>
          <w:tcPr>
            <w:tcW w:w="1520" w:type="dxa"/>
            <w:tcBorders>
              <w:top w:val="nil"/>
              <w:left w:val="nil"/>
              <w:bottom w:val="single" w:sz="4" w:space="0" w:color="auto"/>
              <w:right w:val="single" w:sz="4" w:space="0" w:color="auto"/>
            </w:tcBorders>
            <w:shd w:val="clear" w:color="auto" w:fill="auto"/>
            <w:noWrap/>
            <w:vAlign w:val="bottom"/>
            <w:hideMark/>
          </w:tcPr>
          <w:p w14:paraId="1642CD08"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11,868,743</w:t>
            </w:r>
          </w:p>
        </w:tc>
      </w:tr>
      <w:tr w:rsidR="00636FEA" w:rsidRPr="00B05E76" w14:paraId="7DC5C94F"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0B2E645"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2022</w:t>
            </w:r>
          </w:p>
        </w:tc>
        <w:tc>
          <w:tcPr>
            <w:tcW w:w="1280" w:type="dxa"/>
            <w:tcBorders>
              <w:top w:val="nil"/>
              <w:left w:val="nil"/>
              <w:bottom w:val="single" w:sz="4" w:space="0" w:color="auto"/>
              <w:right w:val="single" w:sz="4" w:space="0" w:color="auto"/>
            </w:tcBorders>
            <w:shd w:val="clear" w:color="auto" w:fill="auto"/>
            <w:noWrap/>
            <w:vAlign w:val="center"/>
            <w:hideMark/>
          </w:tcPr>
          <w:p w14:paraId="2A38C174"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44,811</w:t>
            </w:r>
          </w:p>
        </w:tc>
        <w:tc>
          <w:tcPr>
            <w:tcW w:w="1520" w:type="dxa"/>
            <w:tcBorders>
              <w:top w:val="nil"/>
              <w:left w:val="nil"/>
              <w:bottom w:val="single" w:sz="4" w:space="0" w:color="auto"/>
              <w:right w:val="single" w:sz="4" w:space="0" w:color="auto"/>
            </w:tcBorders>
            <w:shd w:val="clear" w:color="auto" w:fill="auto"/>
            <w:noWrap/>
            <w:vAlign w:val="bottom"/>
            <w:hideMark/>
          </w:tcPr>
          <w:p w14:paraId="5E62578E"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12,381,279</w:t>
            </w:r>
          </w:p>
        </w:tc>
      </w:tr>
      <w:tr w:rsidR="00636FEA" w:rsidRPr="00B05E76" w14:paraId="2A5085F0"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7C8DD07"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2023</w:t>
            </w:r>
          </w:p>
        </w:tc>
        <w:tc>
          <w:tcPr>
            <w:tcW w:w="1280" w:type="dxa"/>
            <w:tcBorders>
              <w:top w:val="nil"/>
              <w:left w:val="nil"/>
              <w:bottom w:val="single" w:sz="4" w:space="0" w:color="auto"/>
              <w:right w:val="single" w:sz="4" w:space="0" w:color="auto"/>
            </w:tcBorders>
            <w:shd w:val="clear" w:color="auto" w:fill="auto"/>
            <w:noWrap/>
            <w:vAlign w:val="center"/>
            <w:hideMark/>
          </w:tcPr>
          <w:p w14:paraId="5FD41CCC"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46,747</w:t>
            </w:r>
          </w:p>
        </w:tc>
        <w:tc>
          <w:tcPr>
            <w:tcW w:w="1520" w:type="dxa"/>
            <w:tcBorders>
              <w:top w:val="nil"/>
              <w:left w:val="nil"/>
              <w:bottom w:val="single" w:sz="4" w:space="0" w:color="auto"/>
              <w:right w:val="single" w:sz="4" w:space="0" w:color="auto"/>
            </w:tcBorders>
            <w:shd w:val="clear" w:color="auto" w:fill="auto"/>
            <w:noWrap/>
            <w:vAlign w:val="bottom"/>
            <w:hideMark/>
          </w:tcPr>
          <w:p w14:paraId="6761B458"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12,916,196</w:t>
            </w:r>
          </w:p>
        </w:tc>
      </w:tr>
      <w:tr w:rsidR="00636FEA" w:rsidRPr="00B05E76" w14:paraId="67DE0261"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E2F063A"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2024</w:t>
            </w:r>
          </w:p>
        </w:tc>
        <w:tc>
          <w:tcPr>
            <w:tcW w:w="1280" w:type="dxa"/>
            <w:tcBorders>
              <w:top w:val="nil"/>
              <w:left w:val="nil"/>
              <w:bottom w:val="single" w:sz="4" w:space="0" w:color="auto"/>
              <w:right w:val="single" w:sz="4" w:space="0" w:color="auto"/>
            </w:tcBorders>
            <w:shd w:val="clear" w:color="auto" w:fill="auto"/>
            <w:noWrap/>
            <w:vAlign w:val="center"/>
            <w:hideMark/>
          </w:tcPr>
          <w:p w14:paraId="1D0EC832"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48,767</w:t>
            </w:r>
          </w:p>
        </w:tc>
        <w:tc>
          <w:tcPr>
            <w:tcW w:w="1520" w:type="dxa"/>
            <w:tcBorders>
              <w:top w:val="nil"/>
              <w:left w:val="nil"/>
              <w:bottom w:val="single" w:sz="4" w:space="0" w:color="auto"/>
              <w:right w:val="single" w:sz="4" w:space="0" w:color="auto"/>
            </w:tcBorders>
            <w:shd w:val="clear" w:color="auto" w:fill="auto"/>
            <w:noWrap/>
            <w:vAlign w:val="bottom"/>
            <w:hideMark/>
          </w:tcPr>
          <w:p w14:paraId="5B22FA02"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13,474,322</w:t>
            </w:r>
          </w:p>
        </w:tc>
      </w:tr>
      <w:tr w:rsidR="00636FEA" w:rsidRPr="00B05E76" w14:paraId="127CC97E"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B0E3368"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2025</w:t>
            </w:r>
          </w:p>
        </w:tc>
        <w:tc>
          <w:tcPr>
            <w:tcW w:w="1280" w:type="dxa"/>
            <w:tcBorders>
              <w:top w:val="nil"/>
              <w:left w:val="nil"/>
              <w:bottom w:val="single" w:sz="4" w:space="0" w:color="auto"/>
              <w:right w:val="single" w:sz="4" w:space="0" w:color="auto"/>
            </w:tcBorders>
            <w:shd w:val="clear" w:color="auto" w:fill="auto"/>
            <w:noWrap/>
            <w:vAlign w:val="center"/>
            <w:hideMark/>
          </w:tcPr>
          <w:p w14:paraId="7AD6F365"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50,874</w:t>
            </w:r>
          </w:p>
        </w:tc>
        <w:tc>
          <w:tcPr>
            <w:tcW w:w="1520" w:type="dxa"/>
            <w:tcBorders>
              <w:top w:val="nil"/>
              <w:left w:val="nil"/>
              <w:bottom w:val="single" w:sz="4" w:space="0" w:color="auto"/>
              <w:right w:val="single" w:sz="4" w:space="0" w:color="auto"/>
            </w:tcBorders>
            <w:shd w:val="clear" w:color="auto" w:fill="auto"/>
            <w:noWrap/>
            <w:vAlign w:val="bottom"/>
            <w:hideMark/>
          </w:tcPr>
          <w:p w14:paraId="234468FF"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14,056,486</w:t>
            </w:r>
          </w:p>
        </w:tc>
      </w:tr>
      <w:tr w:rsidR="00636FEA" w:rsidRPr="00B05E76" w14:paraId="01F1DE81"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84AABDB"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2026</w:t>
            </w:r>
          </w:p>
        </w:tc>
        <w:tc>
          <w:tcPr>
            <w:tcW w:w="1280" w:type="dxa"/>
            <w:tcBorders>
              <w:top w:val="nil"/>
              <w:left w:val="nil"/>
              <w:bottom w:val="single" w:sz="4" w:space="0" w:color="auto"/>
              <w:right w:val="single" w:sz="4" w:space="0" w:color="auto"/>
            </w:tcBorders>
            <w:shd w:val="clear" w:color="auto" w:fill="auto"/>
            <w:noWrap/>
            <w:vAlign w:val="center"/>
            <w:hideMark/>
          </w:tcPr>
          <w:p w14:paraId="43AFDC88"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53,071</w:t>
            </w:r>
          </w:p>
        </w:tc>
        <w:tc>
          <w:tcPr>
            <w:tcW w:w="1520" w:type="dxa"/>
            <w:tcBorders>
              <w:top w:val="nil"/>
              <w:left w:val="nil"/>
              <w:bottom w:val="single" w:sz="4" w:space="0" w:color="auto"/>
              <w:right w:val="single" w:sz="4" w:space="0" w:color="auto"/>
            </w:tcBorders>
            <w:shd w:val="clear" w:color="auto" w:fill="auto"/>
            <w:noWrap/>
            <w:vAlign w:val="bottom"/>
            <w:hideMark/>
          </w:tcPr>
          <w:p w14:paraId="4CAC1D6E"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14,663,517</w:t>
            </w:r>
          </w:p>
        </w:tc>
      </w:tr>
      <w:tr w:rsidR="00636FEA" w:rsidRPr="00B05E76" w14:paraId="687EC9F4"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6F1B0AA"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2027</w:t>
            </w:r>
          </w:p>
        </w:tc>
        <w:tc>
          <w:tcPr>
            <w:tcW w:w="1280" w:type="dxa"/>
            <w:tcBorders>
              <w:top w:val="nil"/>
              <w:left w:val="nil"/>
              <w:bottom w:val="single" w:sz="4" w:space="0" w:color="auto"/>
              <w:right w:val="single" w:sz="4" w:space="0" w:color="auto"/>
            </w:tcBorders>
            <w:shd w:val="clear" w:color="auto" w:fill="auto"/>
            <w:noWrap/>
            <w:vAlign w:val="center"/>
            <w:hideMark/>
          </w:tcPr>
          <w:p w14:paraId="71132D45"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55,364</w:t>
            </w:r>
          </w:p>
        </w:tc>
        <w:tc>
          <w:tcPr>
            <w:tcW w:w="1520" w:type="dxa"/>
            <w:tcBorders>
              <w:top w:val="nil"/>
              <w:left w:val="nil"/>
              <w:bottom w:val="single" w:sz="4" w:space="0" w:color="auto"/>
              <w:right w:val="single" w:sz="4" w:space="0" w:color="auto"/>
            </w:tcBorders>
            <w:shd w:val="clear" w:color="auto" w:fill="auto"/>
            <w:noWrap/>
            <w:vAlign w:val="bottom"/>
            <w:hideMark/>
          </w:tcPr>
          <w:p w14:paraId="07BC93CD"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15,297,073</w:t>
            </w:r>
          </w:p>
        </w:tc>
      </w:tr>
      <w:tr w:rsidR="00636FEA" w:rsidRPr="00B05E76" w14:paraId="7B3957CD"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3169577"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2028</w:t>
            </w:r>
          </w:p>
        </w:tc>
        <w:tc>
          <w:tcPr>
            <w:tcW w:w="1280" w:type="dxa"/>
            <w:tcBorders>
              <w:top w:val="nil"/>
              <w:left w:val="nil"/>
              <w:bottom w:val="single" w:sz="4" w:space="0" w:color="auto"/>
              <w:right w:val="single" w:sz="4" w:space="0" w:color="auto"/>
            </w:tcBorders>
            <w:shd w:val="clear" w:color="auto" w:fill="auto"/>
            <w:noWrap/>
            <w:vAlign w:val="center"/>
            <w:hideMark/>
          </w:tcPr>
          <w:p w14:paraId="7470F1C9"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57,756</w:t>
            </w:r>
          </w:p>
        </w:tc>
        <w:tc>
          <w:tcPr>
            <w:tcW w:w="1520" w:type="dxa"/>
            <w:tcBorders>
              <w:top w:val="nil"/>
              <w:left w:val="nil"/>
              <w:bottom w:val="single" w:sz="4" w:space="0" w:color="auto"/>
              <w:right w:val="single" w:sz="4" w:space="0" w:color="auto"/>
            </w:tcBorders>
            <w:shd w:val="clear" w:color="auto" w:fill="auto"/>
            <w:noWrap/>
            <w:vAlign w:val="bottom"/>
            <w:hideMark/>
          </w:tcPr>
          <w:p w14:paraId="2BF89A04"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15,957,983</w:t>
            </w:r>
          </w:p>
        </w:tc>
      </w:tr>
      <w:tr w:rsidR="00636FEA" w:rsidRPr="00B05E76" w14:paraId="5C469370"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1EA5732"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2029</w:t>
            </w:r>
          </w:p>
        </w:tc>
        <w:tc>
          <w:tcPr>
            <w:tcW w:w="1280" w:type="dxa"/>
            <w:tcBorders>
              <w:top w:val="nil"/>
              <w:left w:val="nil"/>
              <w:bottom w:val="single" w:sz="4" w:space="0" w:color="auto"/>
              <w:right w:val="single" w:sz="4" w:space="0" w:color="auto"/>
            </w:tcBorders>
            <w:shd w:val="clear" w:color="auto" w:fill="auto"/>
            <w:noWrap/>
            <w:vAlign w:val="center"/>
            <w:hideMark/>
          </w:tcPr>
          <w:p w14:paraId="761FFF97"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60,251</w:t>
            </w:r>
          </w:p>
        </w:tc>
        <w:tc>
          <w:tcPr>
            <w:tcW w:w="1520" w:type="dxa"/>
            <w:tcBorders>
              <w:top w:val="nil"/>
              <w:left w:val="nil"/>
              <w:bottom w:val="single" w:sz="4" w:space="0" w:color="auto"/>
              <w:right w:val="single" w:sz="4" w:space="0" w:color="auto"/>
            </w:tcBorders>
            <w:shd w:val="clear" w:color="auto" w:fill="auto"/>
            <w:noWrap/>
            <w:vAlign w:val="bottom"/>
            <w:hideMark/>
          </w:tcPr>
          <w:p w14:paraId="449D294F"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16,647,351</w:t>
            </w:r>
          </w:p>
        </w:tc>
      </w:tr>
      <w:tr w:rsidR="00636FEA" w:rsidRPr="00B05E76" w14:paraId="08C75C09"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A93246E"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2030</w:t>
            </w:r>
          </w:p>
        </w:tc>
        <w:tc>
          <w:tcPr>
            <w:tcW w:w="1280" w:type="dxa"/>
            <w:tcBorders>
              <w:top w:val="nil"/>
              <w:left w:val="nil"/>
              <w:bottom w:val="single" w:sz="4" w:space="0" w:color="auto"/>
              <w:right w:val="single" w:sz="4" w:space="0" w:color="auto"/>
            </w:tcBorders>
            <w:shd w:val="clear" w:color="auto" w:fill="auto"/>
            <w:noWrap/>
            <w:vAlign w:val="center"/>
            <w:hideMark/>
          </w:tcPr>
          <w:p w14:paraId="19E9434A"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62,786</w:t>
            </w:r>
          </w:p>
        </w:tc>
        <w:tc>
          <w:tcPr>
            <w:tcW w:w="1520" w:type="dxa"/>
            <w:tcBorders>
              <w:top w:val="nil"/>
              <w:left w:val="nil"/>
              <w:bottom w:val="single" w:sz="4" w:space="0" w:color="auto"/>
              <w:right w:val="single" w:sz="4" w:space="0" w:color="auto"/>
            </w:tcBorders>
            <w:shd w:val="clear" w:color="auto" w:fill="auto"/>
            <w:noWrap/>
            <w:vAlign w:val="bottom"/>
            <w:hideMark/>
          </w:tcPr>
          <w:p w14:paraId="24C7319F"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17,347,772</w:t>
            </w:r>
          </w:p>
        </w:tc>
      </w:tr>
      <w:tr w:rsidR="00636FEA" w:rsidRPr="00B05E76" w14:paraId="0D6C1DE1"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3226C61"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2031</w:t>
            </w:r>
          </w:p>
        </w:tc>
        <w:tc>
          <w:tcPr>
            <w:tcW w:w="1280" w:type="dxa"/>
            <w:tcBorders>
              <w:top w:val="nil"/>
              <w:left w:val="nil"/>
              <w:bottom w:val="single" w:sz="4" w:space="0" w:color="auto"/>
              <w:right w:val="single" w:sz="4" w:space="0" w:color="auto"/>
            </w:tcBorders>
            <w:shd w:val="clear" w:color="auto" w:fill="auto"/>
            <w:noWrap/>
            <w:vAlign w:val="center"/>
            <w:hideMark/>
          </w:tcPr>
          <w:p w14:paraId="3AA4BE66"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65,402</w:t>
            </w:r>
          </w:p>
        </w:tc>
        <w:tc>
          <w:tcPr>
            <w:tcW w:w="1520" w:type="dxa"/>
            <w:tcBorders>
              <w:top w:val="nil"/>
              <w:left w:val="nil"/>
              <w:bottom w:val="single" w:sz="4" w:space="0" w:color="auto"/>
              <w:right w:val="single" w:sz="4" w:space="0" w:color="auto"/>
            </w:tcBorders>
            <w:shd w:val="clear" w:color="auto" w:fill="auto"/>
            <w:noWrap/>
            <w:vAlign w:val="bottom"/>
            <w:hideMark/>
          </w:tcPr>
          <w:p w14:paraId="5D291DE1"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18,070,573</w:t>
            </w:r>
          </w:p>
        </w:tc>
      </w:tr>
      <w:tr w:rsidR="00636FEA" w:rsidRPr="00B05E76" w14:paraId="346C91C3"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7C2EBC0"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2032</w:t>
            </w:r>
          </w:p>
        </w:tc>
        <w:tc>
          <w:tcPr>
            <w:tcW w:w="1280" w:type="dxa"/>
            <w:tcBorders>
              <w:top w:val="nil"/>
              <w:left w:val="nil"/>
              <w:bottom w:val="single" w:sz="4" w:space="0" w:color="auto"/>
              <w:right w:val="single" w:sz="4" w:space="0" w:color="auto"/>
            </w:tcBorders>
            <w:shd w:val="clear" w:color="auto" w:fill="auto"/>
            <w:noWrap/>
            <w:vAlign w:val="center"/>
            <w:hideMark/>
          </w:tcPr>
          <w:p w14:paraId="5BDAE244"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67,987</w:t>
            </w:r>
          </w:p>
        </w:tc>
        <w:tc>
          <w:tcPr>
            <w:tcW w:w="1520" w:type="dxa"/>
            <w:tcBorders>
              <w:top w:val="nil"/>
              <w:left w:val="nil"/>
              <w:bottom w:val="single" w:sz="4" w:space="0" w:color="auto"/>
              <w:right w:val="single" w:sz="4" w:space="0" w:color="auto"/>
            </w:tcBorders>
            <w:shd w:val="clear" w:color="auto" w:fill="auto"/>
            <w:noWrap/>
            <w:vAlign w:val="bottom"/>
            <w:hideMark/>
          </w:tcPr>
          <w:p w14:paraId="77272969"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18,784,808</w:t>
            </w:r>
          </w:p>
        </w:tc>
      </w:tr>
      <w:tr w:rsidR="00636FEA" w:rsidRPr="00B05E76" w14:paraId="722C2ACF"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420BFFB"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2033</w:t>
            </w:r>
          </w:p>
        </w:tc>
        <w:tc>
          <w:tcPr>
            <w:tcW w:w="1280" w:type="dxa"/>
            <w:tcBorders>
              <w:top w:val="nil"/>
              <w:left w:val="nil"/>
              <w:bottom w:val="single" w:sz="4" w:space="0" w:color="auto"/>
              <w:right w:val="single" w:sz="4" w:space="0" w:color="auto"/>
            </w:tcBorders>
            <w:shd w:val="clear" w:color="auto" w:fill="auto"/>
            <w:noWrap/>
            <w:vAlign w:val="center"/>
            <w:hideMark/>
          </w:tcPr>
          <w:p w14:paraId="3771C75E"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70,630</w:t>
            </w:r>
          </w:p>
        </w:tc>
        <w:tc>
          <w:tcPr>
            <w:tcW w:w="1520" w:type="dxa"/>
            <w:tcBorders>
              <w:top w:val="nil"/>
              <w:left w:val="nil"/>
              <w:bottom w:val="single" w:sz="4" w:space="0" w:color="auto"/>
              <w:right w:val="single" w:sz="4" w:space="0" w:color="auto"/>
            </w:tcBorders>
            <w:shd w:val="clear" w:color="auto" w:fill="auto"/>
            <w:noWrap/>
            <w:vAlign w:val="bottom"/>
            <w:hideMark/>
          </w:tcPr>
          <w:p w14:paraId="22FA2A0E"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19,515,069</w:t>
            </w:r>
          </w:p>
        </w:tc>
      </w:tr>
      <w:tr w:rsidR="00636FEA" w:rsidRPr="00B05E76" w14:paraId="5B4BB643"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3732B3B"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2034</w:t>
            </w:r>
          </w:p>
        </w:tc>
        <w:tc>
          <w:tcPr>
            <w:tcW w:w="1280" w:type="dxa"/>
            <w:tcBorders>
              <w:top w:val="nil"/>
              <w:left w:val="nil"/>
              <w:bottom w:val="single" w:sz="4" w:space="0" w:color="auto"/>
              <w:right w:val="single" w:sz="4" w:space="0" w:color="auto"/>
            </w:tcBorders>
            <w:shd w:val="clear" w:color="auto" w:fill="auto"/>
            <w:noWrap/>
            <w:vAlign w:val="center"/>
            <w:hideMark/>
          </w:tcPr>
          <w:p w14:paraId="144E3CCB"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73,340</w:t>
            </w:r>
          </w:p>
        </w:tc>
        <w:tc>
          <w:tcPr>
            <w:tcW w:w="1520" w:type="dxa"/>
            <w:tcBorders>
              <w:top w:val="nil"/>
              <w:left w:val="nil"/>
              <w:bottom w:val="single" w:sz="4" w:space="0" w:color="auto"/>
              <w:right w:val="single" w:sz="4" w:space="0" w:color="auto"/>
            </w:tcBorders>
            <w:shd w:val="clear" w:color="auto" w:fill="auto"/>
            <w:noWrap/>
            <w:vAlign w:val="bottom"/>
            <w:hideMark/>
          </w:tcPr>
          <w:p w14:paraId="187F00BB"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20,263,842</w:t>
            </w:r>
          </w:p>
        </w:tc>
      </w:tr>
      <w:tr w:rsidR="00636FEA" w:rsidRPr="00B05E76" w14:paraId="43FCADED"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29C0841"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2035</w:t>
            </w:r>
          </w:p>
        </w:tc>
        <w:tc>
          <w:tcPr>
            <w:tcW w:w="1280" w:type="dxa"/>
            <w:tcBorders>
              <w:top w:val="nil"/>
              <w:left w:val="nil"/>
              <w:bottom w:val="single" w:sz="4" w:space="0" w:color="auto"/>
              <w:right w:val="single" w:sz="4" w:space="0" w:color="auto"/>
            </w:tcBorders>
            <w:shd w:val="clear" w:color="auto" w:fill="auto"/>
            <w:noWrap/>
            <w:vAlign w:val="center"/>
            <w:hideMark/>
          </w:tcPr>
          <w:p w14:paraId="36F545E9"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76,032</w:t>
            </w:r>
          </w:p>
        </w:tc>
        <w:tc>
          <w:tcPr>
            <w:tcW w:w="1520" w:type="dxa"/>
            <w:tcBorders>
              <w:top w:val="nil"/>
              <w:left w:val="nil"/>
              <w:bottom w:val="single" w:sz="4" w:space="0" w:color="auto"/>
              <w:right w:val="single" w:sz="4" w:space="0" w:color="auto"/>
            </w:tcBorders>
            <w:shd w:val="clear" w:color="auto" w:fill="auto"/>
            <w:noWrap/>
            <w:vAlign w:val="bottom"/>
            <w:hideMark/>
          </w:tcPr>
          <w:p w14:paraId="7A87BA22"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21,007,642</w:t>
            </w:r>
          </w:p>
        </w:tc>
      </w:tr>
      <w:tr w:rsidR="00636FEA" w:rsidRPr="00B05E76" w14:paraId="5D408A3B"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FA93570"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2036</w:t>
            </w:r>
          </w:p>
        </w:tc>
        <w:tc>
          <w:tcPr>
            <w:tcW w:w="1280" w:type="dxa"/>
            <w:tcBorders>
              <w:top w:val="nil"/>
              <w:left w:val="nil"/>
              <w:bottom w:val="single" w:sz="4" w:space="0" w:color="auto"/>
              <w:right w:val="single" w:sz="4" w:space="0" w:color="auto"/>
            </w:tcBorders>
            <w:shd w:val="clear" w:color="auto" w:fill="auto"/>
            <w:noWrap/>
            <w:vAlign w:val="center"/>
            <w:hideMark/>
          </w:tcPr>
          <w:p w14:paraId="2973E973"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78,777</w:t>
            </w:r>
          </w:p>
        </w:tc>
        <w:tc>
          <w:tcPr>
            <w:tcW w:w="1520" w:type="dxa"/>
            <w:tcBorders>
              <w:top w:val="nil"/>
              <w:left w:val="nil"/>
              <w:bottom w:val="single" w:sz="4" w:space="0" w:color="auto"/>
              <w:right w:val="single" w:sz="4" w:space="0" w:color="auto"/>
            </w:tcBorders>
            <w:shd w:val="clear" w:color="auto" w:fill="auto"/>
            <w:noWrap/>
            <w:vAlign w:val="bottom"/>
            <w:hideMark/>
          </w:tcPr>
          <w:p w14:paraId="5ECF997F"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21,766,085</w:t>
            </w:r>
          </w:p>
        </w:tc>
      </w:tr>
      <w:tr w:rsidR="00636FEA" w:rsidRPr="00B05E76" w14:paraId="258C3CA2"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003E542"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2037</w:t>
            </w:r>
          </w:p>
        </w:tc>
        <w:tc>
          <w:tcPr>
            <w:tcW w:w="1280" w:type="dxa"/>
            <w:tcBorders>
              <w:top w:val="nil"/>
              <w:left w:val="nil"/>
              <w:bottom w:val="single" w:sz="4" w:space="0" w:color="auto"/>
              <w:right w:val="single" w:sz="4" w:space="0" w:color="auto"/>
            </w:tcBorders>
            <w:shd w:val="clear" w:color="auto" w:fill="auto"/>
            <w:noWrap/>
            <w:vAlign w:val="center"/>
            <w:hideMark/>
          </w:tcPr>
          <w:p w14:paraId="007ED711"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81,400</w:t>
            </w:r>
          </w:p>
        </w:tc>
        <w:tc>
          <w:tcPr>
            <w:tcW w:w="1520" w:type="dxa"/>
            <w:tcBorders>
              <w:top w:val="nil"/>
              <w:left w:val="nil"/>
              <w:bottom w:val="single" w:sz="4" w:space="0" w:color="auto"/>
              <w:right w:val="single" w:sz="4" w:space="0" w:color="auto"/>
            </w:tcBorders>
            <w:shd w:val="clear" w:color="auto" w:fill="auto"/>
            <w:noWrap/>
            <w:vAlign w:val="bottom"/>
            <w:hideMark/>
          </w:tcPr>
          <w:p w14:paraId="1D0D6299"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22,490,820</w:t>
            </w:r>
          </w:p>
        </w:tc>
      </w:tr>
      <w:tr w:rsidR="00636FEA" w:rsidRPr="00B05E76" w14:paraId="4A6750DB" w14:textId="77777777" w:rsidTr="00D82D65">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FFEE8E9" w14:textId="77777777" w:rsidR="00636FEA" w:rsidRPr="00B05E76" w:rsidRDefault="00636FEA" w:rsidP="00D82D65">
            <w:pPr>
              <w:spacing w:after="0" w:line="240" w:lineRule="auto"/>
              <w:jc w:val="center"/>
              <w:rPr>
                <w:rFonts w:ascii="Arial" w:eastAsia="Times New Roman" w:hAnsi="Arial" w:cs="Arial"/>
                <w:color w:val="000000"/>
                <w:lang w:val="es-419" w:eastAsia="es-419"/>
              </w:rPr>
            </w:pPr>
            <w:r w:rsidRPr="00B05E76">
              <w:rPr>
                <w:rFonts w:ascii="Arial" w:eastAsia="Times New Roman" w:hAnsi="Arial" w:cs="Arial"/>
                <w:color w:val="000000"/>
                <w:lang w:val="es-BO" w:eastAsia="es-419"/>
              </w:rPr>
              <w:t>2038</w:t>
            </w:r>
          </w:p>
        </w:tc>
        <w:tc>
          <w:tcPr>
            <w:tcW w:w="1280" w:type="dxa"/>
            <w:tcBorders>
              <w:top w:val="nil"/>
              <w:left w:val="nil"/>
              <w:bottom w:val="single" w:sz="4" w:space="0" w:color="auto"/>
              <w:right w:val="single" w:sz="4" w:space="0" w:color="auto"/>
            </w:tcBorders>
            <w:shd w:val="clear" w:color="auto" w:fill="auto"/>
            <w:noWrap/>
            <w:vAlign w:val="center"/>
            <w:hideMark/>
          </w:tcPr>
          <w:p w14:paraId="4139EA81" w14:textId="77777777" w:rsidR="00636FEA" w:rsidRPr="00B05E76" w:rsidRDefault="00636FEA" w:rsidP="00D82D65">
            <w:pPr>
              <w:spacing w:after="0" w:line="240" w:lineRule="auto"/>
              <w:jc w:val="right"/>
              <w:rPr>
                <w:rFonts w:ascii="Arial" w:hAnsi="Arial" w:cs="Arial"/>
                <w:color w:val="000000"/>
              </w:rPr>
            </w:pPr>
            <w:r w:rsidRPr="00B05E76">
              <w:rPr>
                <w:rFonts w:ascii="Arial" w:hAnsi="Arial" w:cs="Arial"/>
                <w:color w:val="000000"/>
                <w:lang w:val="es-BO"/>
              </w:rPr>
              <w:t>84,078</w:t>
            </w:r>
          </w:p>
        </w:tc>
        <w:tc>
          <w:tcPr>
            <w:tcW w:w="1520" w:type="dxa"/>
            <w:tcBorders>
              <w:top w:val="nil"/>
              <w:left w:val="nil"/>
              <w:bottom w:val="single" w:sz="4" w:space="0" w:color="auto"/>
              <w:right w:val="single" w:sz="4" w:space="0" w:color="auto"/>
            </w:tcBorders>
            <w:shd w:val="clear" w:color="auto" w:fill="auto"/>
            <w:noWrap/>
            <w:vAlign w:val="bottom"/>
            <w:hideMark/>
          </w:tcPr>
          <w:p w14:paraId="65E62D5E" w14:textId="77777777" w:rsidR="00636FEA" w:rsidRPr="00B05E76" w:rsidRDefault="00636FEA" w:rsidP="00D82D65">
            <w:pPr>
              <w:spacing w:after="0" w:line="240" w:lineRule="auto"/>
              <w:jc w:val="right"/>
              <w:rPr>
                <w:rFonts w:ascii="Arial" w:eastAsia="Times New Roman" w:hAnsi="Arial" w:cs="Arial"/>
                <w:color w:val="000000"/>
                <w:lang w:val="es-419" w:eastAsia="es-419"/>
              </w:rPr>
            </w:pPr>
            <w:r w:rsidRPr="00B05E76">
              <w:rPr>
                <w:rFonts w:ascii="Arial" w:eastAsia="Times New Roman" w:hAnsi="Arial" w:cs="Arial"/>
                <w:color w:val="000000"/>
                <w:lang w:val="es-419" w:eastAsia="es-419"/>
              </w:rPr>
              <w:t>23,230,751</w:t>
            </w:r>
          </w:p>
        </w:tc>
      </w:tr>
    </w:tbl>
    <w:p w14:paraId="7895B600" w14:textId="77777777" w:rsidR="00636FEA" w:rsidRDefault="00636FEA" w:rsidP="00636FEA">
      <w:pPr>
        <w:spacing w:after="0" w:line="240" w:lineRule="auto"/>
        <w:ind w:left="2552"/>
        <w:jc w:val="both"/>
        <w:rPr>
          <w:rFonts w:ascii="Tahoma" w:eastAsia="Times New Roman" w:hAnsi="Tahoma" w:cs="Tahoma"/>
          <w:sz w:val="20"/>
          <w:szCs w:val="20"/>
          <w:lang w:val="es-419"/>
        </w:rPr>
      </w:pPr>
      <w:r>
        <w:rPr>
          <w:rFonts w:ascii="Tahoma" w:eastAsia="Times New Roman" w:hAnsi="Tahoma" w:cs="Tahoma"/>
          <w:b/>
          <w:sz w:val="20"/>
          <w:szCs w:val="20"/>
          <w:lang w:val="es-419"/>
        </w:rPr>
        <w:t xml:space="preserve">Fuente: </w:t>
      </w:r>
      <w:r w:rsidRPr="005C6401">
        <w:rPr>
          <w:rFonts w:ascii="Tahoma" w:eastAsia="Times New Roman" w:hAnsi="Tahoma" w:cs="Tahoma"/>
          <w:sz w:val="20"/>
          <w:szCs w:val="20"/>
          <w:lang w:val="es-419"/>
        </w:rPr>
        <w:t xml:space="preserve">ENDE, Proyecto: Interconexión San Ignacio </w:t>
      </w:r>
    </w:p>
    <w:p w14:paraId="2274130A" w14:textId="77777777" w:rsidR="00636FEA" w:rsidRDefault="00636FEA" w:rsidP="00636FEA">
      <w:pPr>
        <w:spacing w:after="0" w:line="240" w:lineRule="auto"/>
        <w:ind w:left="2552"/>
        <w:jc w:val="both"/>
        <w:rPr>
          <w:rFonts w:ascii="Tahoma" w:eastAsia="Times New Roman" w:hAnsi="Tahoma" w:cs="Tahoma"/>
          <w:b/>
          <w:sz w:val="20"/>
          <w:szCs w:val="20"/>
          <w:lang w:val="es-419"/>
        </w:rPr>
      </w:pPr>
      <w:r w:rsidRPr="005C6401">
        <w:rPr>
          <w:rFonts w:ascii="Tahoma" w:eastAsia="Times New Roman" w:hAnsi="Tahoma" w:cs="Tahoma"/>
          <w:sz w:val="20"/>
          <w:szCs w:val="20"/>
          <w:lang w:val="es-419"/>
        </w:rPr>
        <w:t>de Velasco y San Matías al SIN</w:t>
      </w:r>
    </w:p>
    <w:p w14:paraId="5A0B35FB" w14:textId="77777777" w:rsidR="00636FEA" w:rsidRDefault="00636FEA" w:rsidP="00636FEA">
      <w:pPr>
        <w:ind w:left="2552"/>
        <w:jc w:val="both"/>
        <w:rPr>
          <w:rFonts w:ascii="Tahoma" w:eastAsia="Times New Roman" w:hAnsi="Tahoma" w:cs="Tahoma"/>
          <w:b/>
          <w:sz w:val="20"/>
          <w:szCs w:val="20"/>
          <w:lang w:val="es-419"/>
        </w:rPr>
      </w:pPr>
    </w:p>
    <w:p w14:paraId="7B22C5BB" w14:textId="77777777" w:rsidR="00636FEA" w:rsidRPr="00A77899" w:rsidRDefault="00636FEA" w:rsidP="00636FEA">
      <w:pPr>
        <w:jc w:val="both"/>
        <w:rPr>
          <w:rFonts w:ascii="Arial" w:hAnsi="Arial" w:cs="Arial"/>
          <w:szCs w:val="20"/>
          <w:lang w:val="es-419"/>
        </w:rPr>
      </w:pPr>
      <w:r w:rsidRPr="00A77899">
        <w:rPr>
          <w:rFonts w:ascii="Arial" w:hAnsi="Arial" w:cs="Arial"/>
          <w:szCs w:val="20"/>
          <w:lang w:val="es-419"/>
        </w:rPr>
        <w:t xml:space="preserve">Como se puede apreciar en la tabla 3, en ausencia de un proyecto de interconexión del sistema Velasco, el incremento del consumo de diésel al año 2038 (horizonte del proyecto) es significativo, por lo que el proyecto de la LT se hace necesario para revertir la situación actual y futura. </w:t>
      </w:r>
    </w:p>
    <w:p w14:paraId="00089830" w14:textId="77777777" w:rsidR="00636FEA" w:rsidRPr="007515A2" w:rsidRDefault="00636FEA" w:rsidP="00636FEA">
      <w:pPr>
        <w:pStyle w:val="Heading1"/>
        <w:rPr>
          <w:rFonts w:ascii="Arial" w:hAnsi="Arial" w:cs="Arial"/>
          <w:color w:val="244061" w:themeColor="accent1" w:themeShade="80"/>
          <w:lang w:val="es-ES"/>
        </w:rPr>
      </w:pPr>
      <w:bookmarkStart w:id="2" w:name="_Toc494317170"/>
      <w:r>
        <w:rPr>
          <w:rFonts w:ascii="Arial" w:hAnsi="Arial" w:cs="Arial"/>
          <w:color w:val="244061" w:themeColor="accent1" w:themeShade="80"/>
          <w:lang w:val="es-ES"/>
        </w:rPr>
        <w:t>DESCRIPCIÓN DEL PROYECTO</w:t>
      </w:r>
      <w:bookmarkEnd w:id="2"/>
    </w:p>
    <w:p w14:paraId="64C329A6" w14:textId="77777777" w:rsidR="00636FEA" w:rsidRPr="00B6550D" w:rsidRDefault="00636FEA" w:rsidP="00636FEA">
      <w:pPr>
        <w:pStyle w:val="Heading1"/>
        <w:numPr>
          <w:ilvl w:val="1"/>
          <w:numId w:val="1"/>
        </w:numPr>
        <w:rPr>
          <w:rFonts w:ascii="Arial" w:hAnsi="Arial" w:cs="Arial"/>
          <w:color w:val="244061" w:themeColor="accent1" w:themeShade="80"/>
          <w:lang w:val="es-ES"/>
        </w:rPr>
      </w:pPr>
      <w:bookmarkStart w:id="3" w:name="_Toc494317171"/>
      <w:r w:rsidRPr="00B6550D">
        <w:rPr>
          <w:rFonts w:ascii="Arial" w:hAnsi="Arial" w:cs="Arial"/>
          <w:color w:val="244061" w:themeColor="accent1" w:themeShade="80"/>
          <w:lang w:val="es-ES"/>
        </w:rPr>
        <w:t>Línea de Transmisión</w:t>
      </w:r>
      <w:bookmarkEnd w:id="3"/>
    </w:p>
    <w:p w14:paraId="2E21B8B2" w14:textId="77777777" w:rsidR="00636FEA" w:rsidRDefault="00636FEA" w:rsidP="00636FEA">
      <w:pPr>
        <w:jc w:val="both"/>
        <w:rPr>
          <w:rFonts w:ascii="Arial" w:hAnsi="Arial" w:cs="Arial"/>
          <w:szCs w:val="20"/>
          <w:lang w:val="es-419"/>
        </w:rPr>
      </w:pPr>
    </w:p>
    <w:p w14:paraId="5EB761A6" w14:textId="77777777" w:rsidR="00636FEA" w:rsidRPr="00A978DD" w:rsidRDefault="00636FEA" w:rsidP="00636FEA">
      <w:pPr>
        <w:jc w:val="both"/>
        <w:rPr>
          <w:rFonts w:ascii="Arial" w:hAnsi="Arial" w:cs="Arial"/>
          <w:szCs w:val="20"/>
          <w:lang w:val="es-419"/>
        </w:rPr>
      </w:pPr>
      <w:r>
        <w:rPr>
          <w:rFonts w:ascii="Arial" w:hAnsi="Arial" w:cs="Arial"/>
          <w:szCs w:val="20"/>
          <w:lang w:val="es-419"/>
        </w:rPr>
        <w:t>L</w:t>
      </w:r>
      <w:r w:rsidRPr="00A978DD">
        <w:rPr>
          <w:rFonts w:ascii="Arial" w:hAnsi="Arial" w:cs="Arial"/>
          <w:szCs w:val="20"/>
          <w:lang w:val="es-419"/>
        </w:rPr>
        <w:t xml:space="preserve">a línea de transmisión parte de la </w:t>
      </w:r>
      <w:r>
        <w:rPr>
          <w:rFonts w:ascii="Arial" w:hAnsi="Arial" w:cs="Arial"/>
          <w:szCs w:val="20"/>
          <w:lang w:val="es-419"/>
        </w:rPr>
        <w:t>SE</w:t>
      </w:r>
      <w:r w:rsidRPr="00A978DD">
        <w:rPr>
          <w:rFonts w:ascii="Arial" w:hAnsi="Arial" w:cs="Arial"/>
          <w:szCs w:val="20"/>
          <w:lang w:val="es-419"/>
        </w:rPr>
        <w:t xml:space="preserve"> </w:t>
      </w:r>
      <w:r>
        <w:rPr>
          <w:rFonts w:ascii="Arial" w:hAnsi="Arial" w:cs="Arial"/>
          <w:szCs w:val="20"/>
          <w:lang w:val="es-419"/>
        </w:rPr>
        <w:t xml:space="preserve">Los </w:t>
      </w:r>
      <w:r w:rsidRPr="00A978DD">
        <w:rPr>
          <w:rFonts w:ascii="Arial" w:hAnsi="Arial" w:cs="Arial"/>
          <w:szCs w:val="20"/>
          <w:lang w:val="es-419"/>
        </w:rPr>
        <w:t xml:space="preserve">Troncos y concluye en la </w:t>
      </w:r>
      <w:r>
        <w:rPr>
          <w:rFonts w:ascii="Arial" w:hAnsi="Arial" w:cs="Arial"/>
          <w:szCs w:val="20"/>
          <w:lang w:val="es-419"/>
        </w:rPr>
        <w:t>SE</w:t>
      </w:r>
      <w:r w:rsidRPr="00A978DD">
        <w:rPr>
          <w:rFonts w:ascii="Arial" w:hAnsi="Arial" w:cs="Arial"/>
          <w:szCs w:val="20"/>
          <w:lang w:val="es-419"/>
        </w:rPr>
        <w:t xml:space="preserve"> San Matías con una </w:t>
      </w:r>
      <w:r>
        <w:rPr>
          <w:rFonts w:ascii="Arial" w:hAnsi="Arial" w:cs="Arial"/>
          <w:szCs w:val="20"/>
          <w:lang w:val="es-419"/>
        </w:rPr>
        <w:t>SE</w:t>
      </w:r>
      <w:r w:rsidRPr="00A978DD">
        <w:rPr>
          <w:rFonts w:ascii="Arial" w:hAnsi="Arial" w:cs="Arial"/>
          <w:szCs w:val="20"/>
          <w:lang w:val="es-419"/>
        </w:rPr>
        <w:t xml:space="preserve"> int</w:t>
      </w:r>
      <w:r>
        <w:rPr>
          <w:rFonts w:ascii="Arial" w:hAnsi="Arial" w:cs="Arial"/>
          <w:szCs w:val="20"/>
          <w:lang w:val="es-419"/>
        </w:rPr>
        <w:t>ermedia en San Ignacio de Velasco,</w:t>
      </w:r>
      <w:r w:rsidRPr="00A978DD">
        <w:rPr>
          <w:rFonts w:ascii="Arial" w:hAnsi="Arial" w:cs="Arial"/>
          <w:szCs w:val="20"/>
          <w:lang w:val="es-419"/>
        </w:rPr>
        <w:t xml:space="preserve"> el trazo inicial tiene una longitud aproximada de </w:t>
      </w:r>
      <w:r>
        <w:rPr>
          <w:rFonts w:ascii="Arial" w:hAnsi="Arial" w:cs="Arial"/>
          <w:szCs w:val="20"/>
          <w:lang w:val="es-419"/>
        </w:rPr>
        <w:t>500</w:t>
      </w:r>
      <w:r w:rsidRPr="00A978DD">
        <w:rPr>
          <w:rFonts w:ascii="Arial" w:hAnsi="Arial" w:cs="Arial"/>
          <w:szCs w:val="20"/>
          <w:lang w:val="es-419"/>
        </w:rPr>
        <w:t xml:space="preserve"> km. El trazo de la línea de transmisión presenta una altimetría que varía de 107 a 492 m.s.n.m. </w:t>
      </w:r>
    </w:p>
    <w:p w14:paraId="3C2A071B" w14:textId="77777777" w:rsidR="00636FEA" w:rsidRPr="00A978DD" w:rsidRDefault="00636FEA" w:rsidP="00636FEA">
      <w:pPr>
        <w:jc w:val="both"/>
        <w:rPr>
          <w:rFonts w:ascii="Arial" w:hAnsi="Arial" w:cs="Arial"/>
          <w:szCs w:val="20"/>
          <w:lang w:val="es-419"/>
        </w:rPr>
      </w:pPr>
      <w:r w:rsidRPr="00256213">
        <w:rPr>
          <w:rFonts w:ascii="Arial" w:hAnsi="Arial" w:cs="Arial"/>
          <w:lang w:val="es-BO" w:eastAsia="es-BO"/>
        </w:rPr>
        <w:t>E</w:t>
      </w:r>
      <w:r w:rsidRPr="00256213">
        <w:rPr>
          <w:rFonts w:ascii="Arial" w:hAnsi="Arial" w:cs="Arial"/>
          <w:lang w:val="es-419" w:eastAsia="es-BO"/>
        </w:rPr>
        <w:t xml:space="preserve">l </w:t>
      </w:r>
      <w:r>
        <w:rPr>
          <w:rFonts w:ascii="Arial" w:hAnsi="Arial" w:cs="Arial"/>
          <w:lang w:val="es-419" w:eastAsia="es-BO"/>
        </w:rPr>
        <w:t>Tramo</w:t>
      </w:r>
      <w:r w:rsidRPr="00256213">
        <w:rPr>
          <w:rFonts w:ascii="Arial" w:hAnsi="Arial" w:cs="Arial"/>
          <w:lang w:val="es-419" w:eastAsia="es-BO"/>
        </w:rPr>
        <w:t xml:space="preserve"> I </w:t>
      </w:r>
      <w:r>
        <w:rPr>
          <w:rFonts w:ascii="Arial" w:hAnsi="Arial" w:cs="Arial"/>
          <w:lang w:val="es-419" w:eastAsia="es-BO"/>
        </w:rPr>
        <w:t xml:space="preserve">(que es objeto de la presente evaluación) </w:t>
      </w:r>
      <w:r w:rsidRPr="00256213">
        <w:rPr>
          <w:rFonts w:ascii="Arial" w:hAnsi="Arial" w:cs="Arial"/>
          <w:lang w:val="es-419" w:eastAsia="es-BO"/>
        </w:rPr>
        <w:t xml:space="preserve">corresponde </w:t>
      </w:r>
      <w:r>
        <w:rPr>
          <w:rFonts w:ascii="Arial" w:hAnsi="Arial" w:cs="Arial"/>
          <w:lang w:val="es-419" w:eastAsia="es-BO"/>
        </w:rPr>
        <w:t xml:space="preserve">a </w:t>
      </w:r>
      <w:r w:rsidRPr="00256213">
        <w:rPr>
          <w:rFonts w:ascii="Arial" w:hAnsi="Arial" w:cs="Arial"/>
          <w:lang w:val="es-419" w:eastAsia="es-BO"/>
        </w:rPr>
        <w:t xml:space="preserve">la bahía de salida en la SE Los Troncos, </w:t>
      </w:r>
      <w:r>
        <w:rPr>
          <w:rFonts w:ascii="Arial" w:hAnsi="Arial" w:cs="Arial"/>
          <w:lang w:val="es-419" w:eastAsia="es-BO"/>
        </w:rPr>
        <w:t xml:space="preserve">la </w:t>
      </w:r>
      <w:r w:rsidRPr="00256213">
        <w:rPr>
          <w:rFonts w:ascii="Arial" w:hAnsi="Arial" w:cs="Arial"/>
          <w:lang w:val="es-419" w:eastAsia="es-BO"/>
        </w:rPr>
        <w:t>línea de transmisión de</w:t>
      </w:r>
      <w:r>
        <w:rPr>
          <w:rFonts w:ascii="Arial" w:hAnsi="Arial" w:cs="Arial"/>
          <w:lang w:val="es-419" w:eastAsia="es-BO"/>
        </w:rPr>
        <w:t xml:space="preserve"> </w:t>
      </w:r>
      <w:r w:rsidRPr="00256213">
        <w:rPr>
          <w:rFonts w:ascii="Arial" w:hAnsi="Arial" w:cs="Arial"/>
          <w:lang w:val="es-419" w:eastAsia="es-BO"/>
        </w:rPr>
        <w:t>aproximadamente 238 km de longitud y la SE San Ignacio de Velasco.</w:t>
      </w:r>
    </w:p>
    <w:p w14:paraId="335F5C91" w14:textId="77777777" w:rsidR="00636FEA" w:rsidRDefault="00636FEA" w:rsidP="00636FEA">
      <w:pPr>
        <w:jc w:val="both"/>
        <w:rPr>
          <w:rFonts w:ascii="Tahoma" w:hAnsi="Tahoma" w:cs="Tahoma"/>
          <w:sz w:val="20"/>
          <w:szCs w:val="20"/>
          <w:lang w:val="es-419"/>
        </w:rPr>
      </w:pPr>
      <w:r w:rsidRPr="00A978DD">
        <w:rPr>
          <w:rFonts w:ascii="Arial" w:hAnsi="Arial" w:cs="Arial"/>
          <w:szCs w:val="20"/>
          <w:lang w:val="es-419"/>
        </w:rPr>
        <w:t xml:space="preserve">La línea de transmisión </w:t>
      </w:r>
      <w:r>
        <w:rPr>
          <w:rFonts w:ascii="Arial" w:hAnsi="Arial" w:cs="Arial"/>
          <w:szCs w:val="20"/>
          <w:lang w:val="es-419"/>
        </w:rPr>
        <w:t>está</w:t>
      </w:r>
      <w:r w:rsidRPr="00A978DD">
        <w:rPr>
          <w:rFonts w:ascii="Arial" w:hAnsi="Arial" w:cs="Arial"/>
          <w:szCs w:val="20"/>
          <w:lang w:val="es-419"/>
        </w:rPr>
        <w:t xml:space="preserve"> proyecta</w:t>
      </w:r>
      <w:r>
        <w:rPr>
          <w:rFonts w:ascii="Arial" w:hAnsi="Arial" w:cs="Arial"/>
          <w:szCs w:val="20"/>
          <w:lang w:val="es-419"/>
        </w:rPr>
        <w:t>da</w:t>
      </w:r>
      <w:r w:rsidRPr="00A978DD">
        <w:rPr>
          <w:rFonts w:ascii="Arial" w:hAnsi="Arial" w:cs="Arial"/>
          <w:szCs w:val="20"/>
          <w:lang w:val="es-419"/>
        </w:rPr>
        <w:t xml:space="preserve"> en un nivel de tensión de 230 kV trifásica en simple </w:t>
      </w:r>
      <w:r>
        <w:rPr>
          <w:rFonts w:ascii="Arial" w:hAnsi="Arial" w:cs="Arial"/>
          <w:szCs w:val="20"/>
          <w:lang w:val="es-419"/>
        </w:rPr>
        <w:t xml:space="preserve">terna </w:t>
      </w:r>
      <w:r w:rsidRPr="00A978DD">
        <w:rPr>
          <w:rFonts w:ascii="Arial" w:hAnsi="Arial" w:cs="Arial"/>
          <w:szCs w:val="20"/>
          <w:lang w:val="es-419"/>
        </w:rPr>
        <w:t>con un conductor por fase.</w:t>
      </w:r>
      <w:r w:rsidRPr="00A978DD">
        <w:rPr>
          <w:rFonts w:ascii="Tahoma" w:hAnsi="Tahoma" w:cs="Tahoma"/>
          <w:sz w:val="20"/>
          <w:szCs w:val="20"/>
          <w:lang w:val="es-419"/>
        </w:rPr>
        <w:t xml:space="preserve"> </w:t>
      </w:r>
    </w:p>
    <w:p w14:paraId="6C6F04A2" w14:textId="77777777" w:rsidR="00636FEA" w:rsidRPr="00B6550D" w:rsidRDefault="00636FEA" w:rsidP="00636FEA">
      <w:pPr>
        <w:pStyle w:val="Heading1"/>
        <w:numPr>
          <w:ilvl w:val="1"/>
          <w:numId w:val="1"/>
        </w:numPr>
        <w:rPr>
          <w:rFonts w:ascii="Arial" w:hAnsi="Arial" w:cs="Arial"/>
          <w:color w:val="244061" w:themeColor="accent1" w:themeShade="80"/>
          <w:lang w:val="es-ES"/>
        </w:rPr>
      </w:pPr>
      <w:bookmarkStart w:id="4" w:name="_Toc494317172"/>
      <w:r w:rsidRPr="00B6550D">
        <w:rPr>
          <w:rFonts w:ascii="Arial" w:hAnsi="Arial" w:cs="Arial"/>
          <w:color w:val="244061" w:themeColor="accent1" w:themeShade="80"/>
          <w:lang w:val="es-ES"/>
        </w:rPr>
        <w:t>Subestación Los Troncos</w:t>
      </w:r>
      <w:bookmarkEnd w:id="4"/>
    </w:p>
    <w:p w14:paraId="7A11B282" w14:textId="77777777" w:rsidR="00636FEA" w:rsidRDefault="00636FEA" w:rsidP="00636FEA">
      <w:pPr>
        <w:jc w:val="both"/>
        <w:rPr>
          <w:rFonts w:ascii="Arial" w:hAnsi="Arial" w:cs="Arial"/>
          <w:szCs w:val="20"/>
          <w:lang w:val="es-419"/>
        </w:rPr>
      </w:pPr>
    </w:p>
    <w:p w14:paraId="13FA2894" w14:textId="77777777" w:rsidR="00636FEA" w:rsidRPr="00B6550D" w:rsidRDefault="00636FEA" w:rsidP="00636FEA">
      <w:pPr>
        <w:jc w:val="both"/>
        <w:rPr>
          <w:rFonts w:ascii="Arial" w:hAnsi="Arial" w:cs="Arial"/>
          <w:szCs w:val="20"/>
          <w:lang w:val="es-419"/>
        </w:rPr>
      </w:pPr>
      <w:r w:rsidRPr="00B6550D">
        <w:rPr>
          <w:rFonts w:ascii="Arial" w:hAnsi="Arial" w:cs="Arial"/>
          <w:szCs w:val="20"/>
          <w:lang w:val="es-419"/>
        </w:rPr>
        <w:t xml:space="preserve">La </w:t>
      </w:r>
      <w:r>
        <w:rPr>
          <w:rFonts w:ascii="Arial" w:hAnsi="Arial" w:cs="Arial"/>
          <w:szCs w:val="20"/>
          <w:lang w:val="es-419"/>
        </w:rPr>
        <w:t>SE</w:t>
      </w:r>
      <w:r w:rsidRPr="00B6550D">
        <w:rPr>
          <w:rFonts w:ascii="Arial" w:hAnsi="Arial" w:cs="Arial"/>
          <w:szCs w:val="20"/>
          <w:lang w:val="es-419"/>
        </w:rPr>
        <w:t xml:space="preserve"> Los Troncos está conformada por dos patios de distintos niveles de tensión, 230 kV y 115 kV. El proyecto contempla la ampliación de esta </w:t>
      </w:r>
      <w:r>
        <w:rPr>
          <w:rFonts w:ascii="Arial" w:hAnsi="Arial" w:cs="Arial"/>
          <w:szCs w:val="20"/>
          <w:lang w:val="es-419"/>
        </w:rPr>
        <w:t>SE</w:t>
      </w:r>
      <w:r w:rsidRPr="00B6550D">
        <w:rPr>
          <w:rFonts w:ascii="Arial" w:hAnsi="Arial" w:cs="Arial"/>
          <w:szCs w:val="20"/>
          <w:lang w:val="es-419"/>
        </w:rPr>
        <w:t xml:space="preserve"> con </w:t>
      </w:r>
      <w:r>
        <w:rPr>
          <w:rFonts w:ascii="Arial" w:hAnsi="Arial" w:cs="Arial"/>
          <w:szCs w:val="20"/>
          <w:lang w:val="es-419"/>
        </w:rPr>
        <w:t>la i</w:t>
      </w:r>
      <w:r w:rsidRPr="00B6550D">
        <w:rPr>
          <w:rFonts w:ascii="Arial" w:hAnsi="Arial" w:cs="Arial"/>
          <w:szCs w:val="20"/>
          <w:lang w:val="es-419"/>
        </w:rPr>
        <w:t xml:space="preserve">nstalación de una bahía de línea en 230 kV, para la conexión del Tramo de Línea Los Troncos – San Ignacio de Velasco, en configuración </w:t>
      </w:r>
      <w:r>
        <w:rPr>
          <w:rFonts w:ascii="Arial" w:hAnsi="Arial" w:cs="Arial"/>
          <w:szCs w:val="20"/>
          <w:lang w:val="es-419"/>
        </w:rPr>
        <w:t>d</w:t>
      </w:r>
      <w:r w:rsidRPr="00B6550D">
        <w:rPr>
          <w:rFonts w:ascii="Arial" w:hAnsi="Arial" w:cs="Arial"/>
          <w:szCs w:val="20"/>
          <w:lang w:val="es-419"/>
        </w:rPr>
        <w:t xml:space="preserve">oble </w:t>
      </w:r>
      <w:r>
        <w:rPr>
          <w:rFonts w:ascii="Arial" w:hAnsi="Arial" w:cs="Arial"/>
          <w:szCs w:val="20"/>
          <w:lang w:val="es-419"/>
        </w:rPr>
        <w:t>b</w:t>
      </w:r>
      <w:r w:rsidRPr="00B6550D">
        <w:rPr>
          <w:rFonts w:ascii="Arial" w:hAnsi="Arial" w:cs="Arial"/>
          <w:szCs w:val="20"/>
          <w:lang w:val="es-419"/>
        </w:rPr>
        <w:t xml:space="preserve">arra con </w:t>
      </w:r>
      <w:r>
        <w:rPr>
          <w:rFonts w:ascii="Arial" w:hAnsi="Arial" w:cs="Arial"/>
          <w:szCs w:val="20"/>
          <w:lang w:val="es-419"/>
        </w:rPr>
        <w:t>s</w:t>
      </w:r>
      <w:r w:rsidRPr="00B6550D">
        <w:rPr>
          <w:rFonts w:ascii="Arial" w:hAnsi="Arial" w:cs="Arial"/>
          <w:szCs w:val="20"/>
          <w:lang w:val="es-419"/>
        </w:rPr>
        <w:t xml:space="preserve">eccionador de </w:t>
      </w:r>
      <w:r>
        <w:rPr>
          <w:rFonts w:ascii="Arial" w:hAnsi="Arial" w:cs="Arial"/>
          <w:szCs w:val="20"/>
          <w:lang w:val="es-419"/>
        </w:rPr>
        <w:t>t</w:t>
      </w:r>
      <w:r w:rsidRPr="00B6550D">
        <w:rPr>
          <w:rFonts w:ascii="Arial" w:hAnsi="Arial" w:cs="Arial"/>
          <w:szCs w:val="20"/>
          <w:lang w:val="es-419"/>
        </w:rPr>
        <w:t>ransferencia.</w:t>
      </w:r>
    </w:p>
    <w:p w14:paraId="7EF37946" w14:textId="77777777" w:rsidR="00636FEA" w:rsidRPr="00B6550D" w:rsidRDefault="00636FEA" w:rsidP="00636FEA">
      <w:pPr>
        <w:pStyle w:val="Heading1"/>
        <w:numPr>
          <w:ilvl w:val="1"/>
          <w:numId w:val="1"/>
        </w:numPr>
        <w:rPr>
          <w:rFonts w:ascii="Arial" w:hAnsi="Arial" w:cs="Arial"/>
          <w:color w:val="244061" w:themeColor="accent1" w:themeShade="80"/>
          <w:lang w:val="es-ES"/>
        </w:rPr>
      </w:pPr>
      <w:bookmarkStart w:id="5" w:name="_Toc494317173"/>
      <w:r w:rsidRPr="00B6550D">
        <w:rPr>
          <w:rFonts w:ascii="Arial" w:hAnsi="Arial" w:cs="Arial"/>
          <w:color w:val="244061" w:themeColor="accent1" w:themeShade="80"/>
          <w:lang w:val="es-ES"/>
        </w:rPr>
        <w:t>Subestación San Ignacio de Velasco</w:t>
      </w:r>
      <w:bookmarkEnd w:id="5"/>
    </w:p>
    <w:p w14:paraId="5D806585" w14:textId="77777777" w:rsidR="00636FEA" w:rsidRDefault="00636FEA" w:rsidP="00636FEA">
      <w:pPr>
        <w:jc w:val="both"/>
        <w:rPr>
          <w:rFonts w:ascii="Tahoma" w:hAnsi="Tahoma" w:cs="Tahoma"/>
          <w:sz w:val="20"/>
          <w:szCs w:val="20"/>
          <w:lang w:val="es-MX"/>
        </w:rPr>
      </w:pPr>
    </w:p>
    <w:p w14:paraId="21C37928" w14:textId="77777777" w:rsidR="00636FEA" w:rsidRPr="00B6550D" w:rsidRDefault="00636FEA" w:rsidP="00636FEA">
      <w:pPr>
        <w:jc w:val="both"/>
        <w:rPr>
          <w:rFonts w:ascii="Arial" w:hAnsi="Arial" w:cs="Arial"/>
          <w:szCs w:val="20"/>
          <w:lang w:val="es-MX"/>
        </w:rPr>
      </w:pPr>
      <w:r w:rsidRPr="00B6550D">
        <w:rPr>
          <w:rFonts w:ascii="Arial" w:hAnsi="Arial" w:cs="Arial"/>
          <w:szCs w:val="20"/>
          <w:lang w:val="es-MX"/>
        </w:rPr>
        <w:t xml:space="preserve">Se construirá una nueva </w:t>
      </w:r>
      <w:r>
        <w:rPr>
          <w:rFonts w:ascii="Arial" w:hAnsi="Arial" w:cs="Arial"/>
          <w:szCs w:val="20"/>
          <w:lang w:val="es-MX"/>
        </w:rPr>
        <w:t>SE</w:t>
      </w:r>
      <w:r w:rsidRPr="00B6550D">
        <w:rPr>
          <w:rFonts w:ascii="Arial" w:hAnsi="Arial" w:cs="Arial"/>
          <w:szCs w:val="20"/>
          <w:lang w:val="es-MX"/>
        </w:rPr>
        <w:t xml:space="preserve">, próxima a la población de San Ignacio de Velasco, que se encargará de regular y estabilizar los parámetros eléctricos de transporte de la línea y de atender la demanda del </w:t>
      </w:r>
      <w:r>
        <w:rPr>
          <w:rFonts w:ascii="Arial" w:hAnsi="Arial" w:cs="Arial"/>
          <w:szCs w:val="20"/>
          <w:lang w:val="es-MX"/>
        </w:rPr>
        <w:t>s</w:t>
      </w:r>
      <w:r w:rsidRPr="00B6550D">
        <w:rPr>
          <w:rFonts w:ascii="Arial" w:hAnsi="Arial" w:cs="Arial"/>
          <w:szCs w:val="20"/>
          <w:lang w:val="es-MX"/>
        </w:rPr>
        <w:t>istema de Velasco.</w:t>
      </w:r>
    </w:p>
    <w:p w14:paraId="630BC534" w14:textId="77777777" w:rsidR="00636FEA" w:rsidRPr="00B6550D" w:rsidRDefault="00636FEA" w:rsidP="00636FEA">
      <w:pPr>
        <w:jc w:val="both"/>
        <w:rPr>
          <w:rFonts w:ascii="Arial" w:hAnsi="Arial" w:cs="Arial"/>
          <w:szCs w:val="20"/>
          <w:lang w:val="es-MX"/>
        </w:rPr>
      </w:pPr>
      <w:r w:rsidRPr="00B6550D">
        <w:rPr>
          <w:rFonts w:ascii="Arial" w:hAnsi="Arial" w:cs="Arial"/>
          <w:szCs w:val="20"/>
          <w:lang w:val="es-MX"/>
        </w:rPr>
        <w:t xml:space="preserve">Esta </w:t>
      </w:r>
      <w:r>
        <w:rPr>
          <w:rFonts w:ascii="Arial" w:hAnsi="Arial" w:cs="Arial"/>
          <w:szCs w:val="20"/>
          <w:lang w:val="es-MX"/>
        </w:rPr>
        <w:t>SE</w:t>
      </w:r>
      <w:r w:rsidRPr="00B6550D">
        <w:rPr>
          <w:rFonts w:ascii="Arial" w:hAnsi="Arial" w:cs="Arial"/>
          <w:szCs w:val="20"/>
          <w:lang w:val="es-MX"/>
        </w:rPr>
        <w:t xml:space="preserve"> tendrá un nivel de tensión de 230 kV y una configuración barras de </w:t>
      </w:r>
      <w:r>
        <w:rPr>
          <w:rFonts w:ascii="Arial" w:hAnsi="Arial" w:cs="Arial"/>
          <w:szCs w:val="20"/>
          <w:lang w:val="es-MX"/>
        </w:rPr>
        <w:t>d</w:t>
      </w:r>
      <w:r w:rsidRPr="00B6550D">
        <w:rPr>
          <w:rFonts w:ascii="Arial" w:hAnsi="Arial" w:cs="Arial"/>
          <w:szCs w:val="20"/>
          <w:lang w:val="es-MX"/>
        </w:rPr>
        <w:t xml:space="preserve">oble </w:t>
      </w:r>
      <w:r>
        <w:rPr>
          <w:rFonts w:ascii="Arial" w:hAnsi="Arial" w:cs="Arial"/>
          <w:szCs w:val="20"/>
          <w:lang w:val="es-MX"/>
        </w:rPr>
        <w:t>b</w:t>
      </w:r>
      <w:r w:rsidRPr="00B6550D">
        <w:rPr>
          <w:rFonts w:ascii="Arial" w:hAnsi="Arial" w:cs="Arial"/>
          <w:szCs w:val="20"/>
          <w:lang w:val="es-MX"/>
        </w:rPr>
        <w:t xml:space="preserve">arra con </w:t>
      </w:r>
      <w:r>
        <w:rPr>
          <w:rFonts w:ascii="Arial" w:hAnsi="Arial" w:cs="Arial"/>
          <w:szCs w:val="20"/>
          <w:lang w:val="es-MX"/>
        </w:rPr>
        <w:t>s</w:t>
      </w:r>
      <w:r w:rsidRPr="00B6550D">
        <w:rPr>
          <w:rFonts w:ascii="Arial" w:hAnsi="Arial" w:cs="Arial"/>
          <w:szCs w:val="20"/>
          <w:lang w:val="es-MX"/>
        </w:rPr>
        <w:t xml:space="preserve">eccionador de </w:t>
      </w:r>
      <w:r>
        <w:rPr>
          <w:rFonts w:ascii="Arial" w:hAnsi="Arial" w:cs="Arial"/>
          <w:szCs w:val="20"/>
          <w:lang w:val="es-MX"/>
        </w:rPr>
        <w:t>t</w:t>
      </w:r>
      <w:r w:rsidRPr="00B6550D">
        <w:rPr>
          <w:rFonts w:ascii="Arial" w:hAnsi="Arial" w:cs="Arial"/>
          <w:szCs w:val="20"/>
          <w:lang w:val="es-MX"/>
        </w:rPr>
        <w:t xml:space="preserve">ransferencia. El proyecto contempla la construcción de </w:t>
      </w:r>
      <w:r>
        <w:rPr>
          <w:rFonts w:ascii="Arial" w:hAnsi="Arial" w:cs="Arial"/>
          <w:szCs w:val="20"/>
          <w:lang w:val="es-MX"/>
        </w:rPr>
        <w:t>l</w:t>
      </w:r>
      <w:r w:rsidRPr="00B6550D">
        <w:rPr>
          <w:rFonts w:ascii="Arial" w:hAnsi="Arial" w:cs="Arial"/>
          <w:szCs w:val="20"/>
          <w:lang w:val="es-MX"/>
        </w:rPr>
        <w:t xml:space="preserve">a </w:t>
      </w:r>
      <w:r>
        <w:rPr>
          <w:rFonts w:ascii="Arial" w:hAnsi="Arial" w:cs="Arial"/>
          <w:szCs w:val="20"/>
          <w:lang w:val="es-MX"/>
        </w:rPr>
        <w:t>SE</w:t>
      </w:r>
      <w:r w:rsidRPr="00B6550D">
        <w:rPr>
          <w:rFonts w:ascii="Arial" w:hAnsi="Arial" w:cs="Arial"/>
          <w:szCs w:val="20"/>
          <w:lang w:val="es-MX"/>
        </w:rPr>
        <w:t xml:space="preserve"> con las siguientes </w:t>
      </w:r>
      <w:r>
        <w:rPr>
          <w:rFonts w:ascii="Arial" w:hAnsi="Arial" w:cs="Arial"/>
          <w:szCs w:val="20"/>
          <w:lang w:val="es-MX"/>
        </w:rPr>
        <w:t>características</w:t>
      </w:r>
      <w:r w:rsidRPr="00B6550D">
        <w:rPr>
          <w:rFonts w:ascii="Arial" w:hAnsi="Arial" w:cs="Arial"/>
          <w:szCs w:val="20"/>
          <w:lang w:val="es-MX"/>
        </w:rPr>
        <w:t>.</w:t>
      </w:r>
    </w:p>
    <w:p w14:paraId="55993547" w14:textId="77777777" w:rsidR="00636FEA" w:rsidRPr="00B6550D" w:rsidRDefault="00636FEA" w:rsidP="00636FEA">
      <w:pPr>
        <w:pStyle w:val="ListParagraph"/>
        <w:numPr>
          <w:ilvl w:val="0"/>
          <w:numId w:val="28"/>
        </w:numPr>
        <w:spacing w:after="0"/>
        <w:jc w:val="both"/>
        <w:rPr>
          <w:rFonts w:ascii="Arial" w:hAnsi="Arial" w:cs="Arial"/>
          <w:szCs w:val="20"/>
          <w:lang w:val="es-MX"/>
        </w:rPr>
      </w:pPr>
      <w:r w:rsidRPr="00B6550D">
        <w:rPr>
          <w:rFonts w:ascii="Arial" w:hAnsi="Arial" w:cs="Arial"/>
          <w:szCs w:val="20"/>
          <w:lang w:val="es-MX"/>
        </w:rPr>
        <w:t xml:space="preserve">Instalación del sistema de barras de subestación para 230 kV, en configuración </w:t>
      </w:r>
      <w:r>
        <w:rPr>
          <w:rFonts w:ascii="Arial" w:hAnsi="Arial" w:cs="Arial"/>
          <w:szCs w:val="20"/>
          <w:lang w:val="es-MX"/>
        </w:rPr>
        <w:t>d</w:t>
      </w:r>
      <w:r w:rsidRPr="00B6550D">
        <w:rPr>
          <w:rFonts w:ascii="Arial" w:hAnsi="Arial" w:cs="Arial"/>
          <w:szCs w:val="20"/>
          <w:lang w:val="es-MX"/>
        </w:rPr>
        <w:t xml:space="preserve">oble </w:t>
      </w:r>
      <w:r>
        <w:rPr>
          <w:rFonts w:ascii="Arial" w:hAnsi="Arial" w:cs="Arial"/>
          <w:szCs w:val="20"/>
          <w:lang w:val="es-MX"/>
        </w:rPr>
        <w:t>b</w:t>
      </w:r>
      <w:r w:rsidRPr="00B6550D">
        <w:rPr>
          <w:rFonts w:ascii="Arial" w:hAnsi="Arial" w:cs="Arial"/>
          <w:szCs w:val="20"/>
          <w:lang w:val="es-MX"/>
        </w:rPr>
        <w:t xml:space="preserve">arra con </w:t>
      </w:r>
      <w:r>
        <w:rPr>
          <w:rFonts w:ascii="Arial" w:hAnsi="Arial" w:cs="Arial"/>
          <w:szCs w:val="20"/>
          <w:lang w:val="es-MX"/>
        </w:rPr>
        <w:t>s</w:t>
      </w:r>
      <w:r w:rsidRPr="00B6550D">
        <w:rPr>
          <w:rFonts w:ascii="Arial" w:hAnsi="Arial" w:cs="Arial"/>
          <w:szCs w:val="20"/>
          <w:lang w:val="es-MX"/>
        </w:rPr>
        <w:t xml:space="preserve">eccionador de </w:t>
      </w:r>
      <w:r>
        <w:rPr>
          <w:rFonts w:ascii="Arial" w:hAnsi="Arial" w:cs="Arial"/>
          <w:szCs w:val="20"/>
          <w:lang w:val="es-MX"/>
        </w:rPr>
        <w:t>t</w:t>
      </w:r>
      <w:r w:rsidRPr="00B6550D">
        <w:rPr>
          <w:rFonts w:ascii="Arial" w:hAnsi="Arial" w:cs="Arial"/>
          <w:szCs w:val="20"/>
          <w:lang w:val="es-MX"/>
        </w:rPr>
        <w:t xml:space="preserve">ransferencia que permita la conexión de 4 bahías o circuitos. </w:t>
      </w:r>
    </w:p>
    <w:p w14:paraId="719DD961" w14:textId="77777777" w:rsidR="00636FEA" w:rsidRPr="00B6550D" w:rsidRDefault="00636FEA" w:rsidP="00636FEA">
      <w:pPr>
        <w:pStyle w:val="ListParagraph"/>
        <w:numPr>
          <w:ilvl w:val="0"/>
          <w:numId w:val="28"/>
        </w:numPr>
        <w:spacing w:after="0"/>
        <w:jc w:val="both"/>
        <w:rPr>
          <w:rFonts w:ascii="Arial" w:hAnsi="Arial" w:cs="Arial"/>
          <w:szCs w:val="20"/>
          <w:lang w:val="es-MX"/>
        </w:rPr>
      </w:pPr>
      <w:r w:rsidRPr="00B6550D">
        <w:rPr>
          <w:rFonts w:ascii="Arial" w:hAnsi="Arial" w:cs="Arial"/>
          <w:szCs w:val="20"/>
          <w:lang w:val="es-MX"/>
        </w:rPr>
        <w:t xml:space="preserve">Instalación de una bahía de línea en 230 kV, para la conexión del </w:t>
      </w:r>
      <w:r>
        <w:rPr>
          <w:rFonts w:ascii="Arial" w:hAnsi="Arial" w:cs="Arial"/>
          <w:szCs w:val="20"/>
          <w:lang w:val="es-MX"/>
        </w:rPr>
        <w:t>t</w:t>
      </w:r>
      <w:r w:rsidRPr="00B6550D">
        <w:rPr>
          <w:rFonts w:ascii="Arial" w:hAnsi="Arial" w:cs="Arial"/>
          <w:szCs w:val="20"/>
          <w:lang w:val="es-MX"/>
        </w:rPr>
        <w:t xml:space="preserve">ramo de </w:t>
      </w:r>
      <w:r>
        <w:rPr>
          <w:rFonts w:ascii="Arial" w:hAnsi="Arial" w:cs="Arial"/>
          <w:szCs w:val="20"/>
          <w:lang w:val="es-MX"/>
        </w:rPr>
        <w:t>l</w:t>
      </w:r>
      <w:r w:rsidRPr="00B6550D">
        <w:rPr>
          <w:rFonts w:ascii="Arial" w:hAnsi="Arial" w:cs="Arial"/>
          <w:szCs w:val="20"/>
          <w:lang w:val="es-MX"/>
        </w:rPr>
        <w:t xml:space="preserve">ínea Los Troncos – San Ignacio de Velasco, en configuración </w:t>
      </w:r>
      <w:r>
        <w:rPr>
          <w:rFonts w:ascii="Arial" w:hAnsi="Arial" w:cs="Arial"/>
          <w:szCs w:val="20"/>
          <w:lang w:val="es-MX"/>
        </w:rPr>
        <w:t>d</w:t>
      </w:r>
      <w:r w:rsidRPr="00B6550D">
        <w:rPr>
          <w:rFonts w:ascii="Arial" w:hAnsi="Arial" w:cs="Arial"/>
          <w:szCs w:val="20"/>
          <w:lang w:val="es-MX"/>
        </w:rPr>
        <w:t xml:space="preserve">oble </w:t>
      </w:r>
      <w:r>
        <w:rPr>
          <w:rFonts w:ascii="Arial" w:hAnsi="Arial" w:cs="Arial"/>
          <w:szCs w:val="20"/>
          <w:lang w:val="es-MX"/>
        </w:rPr>
        <w:t>b</w:t>
      </w:r>
      <w:r w:rsidRPr="00B6550D">
        <w:rPr>
          <w:rFonts w:ascii="Arial" w:hAnsi="Arial" w:cs="Arial"/>
          <w:szCs w:val="20"/>
          <w:lang w:val="es-MX"/>
        </w:rPr>
        <w:t xml:space="preserve">arra con </w:t>
      </w:r>
      <w:r>
        <w:rPr>
          <w:rFonts w:ascii="Arial" w:hAnsi="Arial" w:cs="Arial"/>
          <w:szCs w:val="20"/>
          <w:lang w:val="es-MX"/>
        </w:rPr>
        <w:t>s</w:t>
      </w:r>
      <w:r w:rsidRPr="00B6550D">
        <w:rPr>
          <w:rFonts w:ascii="Arial" w:hAnsi="Arial" w:cs="Arial"/>
          <w:szCs w:val="20"/>
          <w:lang w:val="es-MX"/>
        </w:rPr>
        <w:t xml:space="preserve">eccionador de </w:t>
      </w:r>
      <w:r>
        <w:rPr>
          <w:rFonts w:ascii="Arial" w:hAnsi="Arial" w:cs="Arial"/>
          <w:szCs w:val="20"/>
          <w:lang w:val="es-MX"/>
        </w:rPr>
        <w:t>t</w:t>
      </w:r>
      <w:r w:rsidRPr="00B6550D">
        <w:rPr>
          <w:rFonts w:ascii="Arial" w:hAnsi="Arial" w:cs="Arial"/>
          <w:szCs w:val="20"/>
          <w:lang w:val="es-MX"/>
        </w:rPr>
        <w:t>ransferencia. Esta bahía de línea deberá incluir una Bahía de Reactores con su correspondiente banco de reactores.</w:t>
      </w:r>
    </w:p>
    <w:p w14:paraId="4FA9505A" w14:textId="77777777" w:rsidR="00636FEA" w:rsidRPr="00B6550D" w:rsidRDefault="00636FEA" w:rsidP="00636FEA">
      <w:pPr>
        <w:pStyle w:val="ListParagraph"/>
        <w:numPr>
          <w:ilvl w:val="0"/>
          <w:numId w:val="28"/>
        </w:numPr>
        <w:spacing w:after="0"/>
        <w:jc w:val="both"/>
        <w:rPr>
          <w:rFonts w:ascii="Arial" w:hAnsi="Arial" w:cs="Arial"/>
          <w:szCs w:val="20"/>
          <w:lang w:val="es-MX"/>
        </w:rPr>
      </w:pPr>
      <w:r w:rsidRPr="00B6550D">
        <w:rPr>
          <w:rFonts w:ascii="Arial" w:hAnsi="Arial" w:cs="Arial"/>
          <w:szCs w:val="20"/>
          <w:lang w:val="es-MX"/>
        </w:rPr>
        <w:t xml:space="preserve">Instalación de una bahía de línea en 230 kV, para la conexión del </w:t>
      </w:r>
      <w:r>
        <w:rPr>
          <w:rFonts w:ascii="Arial" w:hAnsi="Arial" w:cs="Arial"/>
          <w:szCs w:val="20"/>
          <w:lang w:val="es-MX"/>
        </w:rPr>
        <w:t>t</w:t>
      </w:r>
      <w:r w:rsidRPr="00B6550D">
        <w:rPr>
          <w:rFonts w:ascii="Arial" w:hAnsi="Arial" w:cs="Arial"/>
          <w:szCs w:val="20"/>
          <w:lang w:val="es-MX"/>
        </w:rPr>
        <w:t xml:space="preserve">ramo de </w:t>
      </w:r>
      <w:r>
        <w:rPr>
          <w:rFonts w:ascii="Arial" w:hAnsi="Arial" w:cs="Arial"/>
          <w:szCs w:val="20"/>
          <w:lang w:val="es-MX"/>
        </w:rPr>
        <w:t>l</w:t>
      </w:r>
      <w:r w:rsidRPr="00B6550D">
        <w:rPr>
          <w:rFonts w:ascii="Arial" w:hAnsi="Arial" w:cs="Arial"/>
          <w:szCs w:val="20"/>
          <w:lang w:val="es-MX"/>
        </w:rPr>
        <w:t xml:space="preserve">ínea San Ignacio de Velasco – San Matías, en configuración </w:t>
      </w:r>
      <w:r>
        <w:rPr>
          <w:rFonts w:ascii="Arial" w:hAnsi="Arial" w:cs="Arial"/>
          <w:szCs w:val="20"/>
          <w:lang w:val="es-MX"/>
        </w:rPr>
        <w:t>d</w:t>
      </w:r>
      <w:r w:rsidRPr="00B6550D">
        <w:rPr>
          <w:rFonts w:ascii="Arial" w:hAnsi="Arial" w:cs="Arial"/>
          <w:szCs w:val="20"/>
          <w:lang w:val="es-MX"/>
        </w:rPr>
        <w:t xml:space="preserve">oble </w:t>
      </w:r>
      <w:r>
        <w:rPr>
          <w:rFonts w:ascii="Arial" w:hAnsi="Arial" w:cs="Arial"/>
          <w:szCs w:val="20"/>
          <w:lang w:val="es-MX"/>
        </w:rPr>
        <w:t>b</w:t>
      </w:r>
      <w:r w:rsidRPr="00B6550D">
        <w:rPr>
          <w:rFonts w:ascii="Arial" w:hAnsi="Arial" w:cs="Arial"/>
          <w:szCs w:val="20"/>
          <w:lang w:val="es-MX"/>
        </w:rPr>
        <w:t xml:space="preserve">arra con </w:t>
      </w:r>
      <w:r>
        <w:rPr>
          <w:rFonts w:ascii="Arial" w:hAnsi="Arial" w:cs="Arial"/>
          <w:szCs w:val="20"/>
          <w:lang w:val="es-MX"/>
        </w:rPr>
        <w:t>s</w:t>
      </w:r>
      <w:r w:rsidRPr="00B6550D">
        <w:rPr>
          <w:rFonts w:ascii="Arial" w:hAnsi="Arial" w:cs="Arial"/>
          <w:szCs w:val="20"/>
          <w:lang w:val="es-MX"/>
        </w:rPr>
        <w:t xml:space="preserve">eccionador de </w:t>
      </w:r>
      <w:r>
        <w:rPr>
          <w:rFonts w:ascii="Arial" w:hAnsi="Arial" w:cs="Arial"/>
          <w:szCs w:val="20"/>
          <w:lang w:val="es-MX"/>
        </w:rPr>
        <w:t>t</w:t>
      </w:r>
      <w:r w:rsidRPr="00B6550D">
        <w:rPr>
          <w:rFonts w:ascii="Arial" w:hAnsi="Arial" w:cs="Arial"/>
          <w:szCs w:val="20"/>
          <w:lang w:val="es-MX"/>
        </w:rPr>
        <w:t xml:space="preserve">ransferencia. Esta bahía de línea deberá incluir una </w:t>
      </w:r>
      <w:r>
        <w:rPr>
          <w:rFonts w:ascii="Arial" w:hAnsi="Arial" w:cs="Arial"/>
          <w:szCs w:val="20"/>
          <w:lang w:val="es-MX"/>
        </w:rPr>
        <w:t>b</w:t>
      </w:r>
      <w:r w:rsidRPr="00B6550D">
        <w:rPr>
          <w:rFonts w:ascii="Arial" w:hAnsi="Arial" w:cs="Arial"/>
          <w:szCs w:val="20"/>
          <w:lang w:val="es-MX"/>
        </w:rPr>
        <w:t xml:space="preserve">ahía de </w:t>
      </w:r>
      <w:r>
        <w:rPr>
          <w:rFonts w:ascii="Arial" w:hAnsi="Arial" w:cs="Arial"/>
          <w:szCs w:val="20"/>
          <w:lang w:val="es-MX"/>
        </w:rPr>
        <w:t>r</w:t>
      </w:r>
      <w:r w:rsidRPr="00B6550D">
        <w:rPr>
          <w:rFonts w:ascii="Arial" w:hAnsi="Arial" w:cs="Arial"/>
          <w:szCs w:val="20"/>
          <w:lang w:val="es-MX"/>
        </w:rPr>
        <w:t>eactores con su correspondiente banco de reactores.</w:t>
      </w:r>
    </w:p>
    <w:p w14:paraId="2D7C7F1D" w14:textId="77777777" w:rsidR="00636FEA" w:rsidRPr="00B6550D" w:rsidRDefault="00636FEA" w:rsidP="00636FEA">
      <w:pPr>
        <w:pStyle w:val="ListParagraph"/>
        <w:numPr>
          <w:ilvl w:val="0"/>
          <w:numId w:val="28"/>
        </w:numPr>
        <w:spacing w:after="0"/>
        <w:jc w:val="both"/>
        <w:rPr>
          <w:rFonts w:ascii="Arial" w:hAnsi="Arial" w:cs="Arial"/>
          <w:szCs w:val="20"/>
          <w:lang w:val="es-MX"/>
        </w:rPr>
      </w:pPr>
      <w:r w:rsidRPr="00B6550D">
        <w:rPr>
          <w:rFonts w:ascii="Arial" w:hAnsi="Arial" w:cs="Arial"/>
          <w:szCs w:val="20"/>
          <w:lang w:val="es-MX"/>
        </w:rPr>
        <w:t xml:space="preserve">Instalación de una bahía de transformación, para un </w:t>
      </w:r>
      <w:r>
        <w:rPr>
          <w:rFonts w:ascii="Arial" w:hAnsi="Arial" w:cs="Arial"/>
          <w:szCs w:val="20"/>
          <w:lang w:val="es-MX"/>
        </w:rPr>
        <w:t>t</w:t>
      </w:r>
      <w:r w:rsidRPr="00B6550D">
        <w:rPr>
          <w:rFonts w:ascii="Arial" w:hAnsi="Arial" w:cs="Arial"/>
          <w:szCs w:val="20"/>
          <w:lang w:val="es-MX"/>
        </w:rPr>
        <w:t xml:space="preserve">ransformador de </w:t>
      </w:r>
      <w:r>
        <w:rPr>
          <w:rFonts w:ascii="Arial" w:hAnsi="Arial" w:cs="Arial"/>
          <w:szCs w:val="20"/>
          <w:lang w:val="es-MX"/>
        </w:rPr>
        <w:t>p</w:t>
      </w:r>
      <w:r w:rsidRPr="00B6550D">
        <w:rPr>
          <w:rFonts w:ascii="Arial" w:hAnsi="Arial" w:cs="Arial"/>
          <w:szCs w:val="20"/>
          <w:lang w:val="es-MX"/>
        </w:rPr>
        <w:t xml:space="preserve">otencia </w:t>
      </w:r>
      <w:r>
        <w:rPr>
          <w:rFonts w:ascii="Arial" w:hAnsi="Arial" w:cs="Arial"/>
          <w:szCs w:val="20"/>
          <w:lang w:val="es-MX"/>
        </w:rPr>
        <w:t>t</w:t>
      </w:r>
      <w:r w:rsidRPr="00B6550D">
        <w:rPr>
          <w:rFonts w:ascii="Arial" w:hAnsi="Arial" w:cs="Arial"/>
          <w:szCs w:val="20"/>
          <w:lang w:val="es-MX"/>
        </w:rPr>
        <w:t>rifásico con una relación de transformación de 230/34,5 kV y una Potencia Nominal de 25 MVA.</w:t>
      </w:r>
    </w:p>
    <w:p w14:paraId="1C253D06" w14:textId="77777777" w:rsidR="00636FEA" w:rsidRPr="00B6550D" w:rsidRDefault="00636FEA" w:rsidP="00636FEA">
      <w:pPr>
        <w:pStyle w:val="ListParagraph"/>
        <w:numPr>
          <w:ilvl w:val="0"/>
          <w:numId w:val="28"/>
        </w:numPr>
        <w:spacing w:after="0"/>
        <w:jc w:val="both"/>
        <w:rPr>
          <w:rFonts w:ascii="Arial" w:hAnsi="Arial" w:cs="Arial"/>
          <w:szCs w:val="20"/>
          <w:lang w:val="es-MX"/>
        </w:rPr>
      </w:pPr>
      <w:r w:rsidRPr="00B6550D">
        <w:rPr>
          <w:rFonts w:ascii="Arial" w:hAnsi="Arial" w:cs="Arial"/>
          <w:szCs w:val="20"/>
          <w:lang w:val="es-MX"/>
        </w:rPr>
        <w:t xml:space="preserve">Instalación de una </w:t>
      </w:r>
      <w:r>
        <w:rPr>
          <w:rFonts w:ascii="Arial" w:hAnsi="Arial" w:cs="Arial"/>
          <w:szCs w:val="20"/>
          <w:lang w:val="es-MX"/>
        </w:rPr>
        <w:t>b</w:t>
      </w:r>
      <w:r w:rsidRPr="00B6550D">
        <w:rPr>
          <w:rFonts w:ascii="Arial" w:hAnsi="Arial" w:cs="Arial"/>
          <w:szCs w:val="20"/>
          <w:lang w:val="es-MX"/>
        </w:rPr>
        <w:t xml:space="preserve">ahía de </w:t>
      </w:r>
      <w:r>
        <w:rPr>
          <w:rFonts w:ascii="Arial" w:hAnsi="Arial" w:cs="Arial"/>
          <w:szCs w:val="20"/>
          <w:lang w:val="es-MX"/>
        </w:rPr>
        <w:t>a</w:t>
      </w:r>
      <w:r w:rsidRPr="00B6550D">
        <w:rPr>
          <w:rFonts w:ascii="Arial" w:hAnsi="Arial" w:cs="Arial"/>
          <w:szCs w:val="20"/>
          <w:lang w:val="es-MX"/>
        </w:rPr>
        <w:t>cople en 230 kV</w:t>
      </w:r>
    </w:p>
    <w:p w14:paraId="5BA2DF94" w14:textId="77777777" w:rsidR="00636FEA" w:rsidRPr="00B6550D" w:rsidRDefault="00636FEA" w:rsidP="00636FEA">
      <w:pPr>
        <w:jc w:val="both"/>
        <w:rPr>
          <w:rFonts w:ascii="Arial" w:hAnsi="Arial" w:cs="Arial"/>
          <w:szCs w:val="20"/>
          <w:lang w:val="es-MX"/>
        </w:rPr>
      </w:pPr>
    </w:p>
    <w:p w14:paraId="126806C9" w14:textId="77777777" w:rsidR="00636FEA" w:rsidRPr="00B6550D" w:rsidRDefault="00636FEA" w:rsidP="00636FEA">
      <w:pPr>
        <w:jc w:val="both"/>
        <w:rPr>
          <w:rFonts w:ascii="Arial" w:hAnsi="Arial" w:cs="Arial"/>
          <w:szCs w:val="20"/>
          <w:lang w:val="es-MX"/>
        </w:rPr>
      </w:pPr>
      <w:r w:rsidRPr="00B6550D">
        <w:rPr>
          <w:rFonts w:ascii="Arial" w:hAnsi="Arial" w:cs="Arial"/>
          <w:szCs w:val="20"/>
          <w:lang w:val="es-MX"/>
        </w:rPr>
        <w:t xml:space="preserve">En esta </w:t>
      </w:r>
      <w:r>
        <w:rPr>
          <w:rFonts w:ascii="Arial" w:hAnsi="Arial" w:cs="Arial"/>
          <w:szCs w:val="20"/>
          <w:lang w:val="es-MX"/>
        </w:rPr>
        <w:t>SE</w:t>
      </w:r>
      <w:r w:rsidRPr="00B6550D">
        <w:rPr>
          <w:rFonts w:ascii="Arial" w:hAnsi="Arial" w:cs="Arial"/>
          <w:szCs w:val="20"/>
          <w:lang w:val="es-MX"/>
        </w:rPr>
        <w:t xml:space="preserve"> </w:t>
      </w:r>
      <w:r>
        <w:rPr>
          <w:rFonts w:ascii="Arial" w:hAnsi="Arial" w:cs="Arial"/>
          <w:szCs w:val="20"/>
          <w:lang w:val="es-MX"/>
        </w:rPr>
        <w:t>está</w:t>
      </w:r>
      <w:r w:rsidRPr="00B6550D">
        <w:rPr>
          <w:rFonts w:ascii="Arial" w:hAnsi="Arial" w:cs="Arial"/>
          <w:szCs w:val="20"/>
          <w:lang w:val="es-MX"/>
        </w:rPr>
        <w:t xml:space="preserve"> prevista una </w:t>
      </w:r>
      <w:r>
        <w:rPr>
          <w:rFonts w:ascii="Arial" w:hAnsi="Arial" w:cs="Arial"/>
          <w:szCs w:val="20"/>
          <w:lang w:val="es-MX"/>
        </w:rPr>
        <w:t>s</w:t>
      </w:r>
      <w:r w:rsidRPr="00B6550D">
        <w:rPr>
          <w:rFonts w:ascii="Arial" w:hAnsi="Arial" w:cs="Arial"/>
          <w:szCs w:val="20"/>
          <w:lang w:val="es-MX"/>
        </w:rPr>
        <w:t xml:space="preserve">ala de </w:t>
      </w:r>
      <w:r>
        <w:rPr>
          <w:rFonts w:ascii="Arial" w:hAnsi="Arial" w:cs="Arial"/>
          <w:szCs w:val="20"/>
          <w:lang w:val="es-MX"/>
        </w:rPr>
        <w:t>c</w:t>
      </w:r>
      <w:r w:rsidRPr="00B6550D">
        <w:rPr>
          <w:rFonts w:ascii="Arial" w:hAnsi="Arial" w:cs="Arial"/>
          <w:szCs w:val="20"/>
          <w:lang w:val="es-MX"/>
        </w:rPr>
        <w:t xml:space="preserve">ontrol y </w:t>
      </w:r>
      <w:r>
        <w:rPr>
          <w:rFonts w:ascii="Arial" w:hAnsi="Arial" w:cs="Arial"/>
          <w:szCs w:val="20"/>
          <w:lang w:val="es-MX"/>
        </w:rPr>
        <w:t>s</w:t>
      </w:r>
      <w:r w:rsidRPr="00B6550D">
        <w:rPr>
          <w:rFonts w:ascii="Arial" w:hAnsi="Arial" w:cs="Arial"/>
          <w:szCs w:val="20"/>
          <w:lang w:val="es-MX"/>
        </w:rPr>
        <w:t xml:space="preserve">ala de </w:t>
      </w:r>
      <w:r>
        <w:rPr>
          <w:rFonts w:ascii="Arial" w:hAnsi="Arial" w:cs="Arial"/>
          <w:szCs w:val="20"/>
          <w:lang w:val="es-MX"/>
        </w:rPr>
        <w:t>c</w:t>
      </w:r>
      <w:r w:rsidRPr="00B6550D">
        <w:rPr>
          <w:rFonts w:ascii="Arial" w:hAnsi="Arial" w:cs="Arial"/>
          <w:szCs w:val="20"/>
          <w:lang w:val="es-MX"/>
        </w:rPr>
        <w:t xml:space="preserve">eldas de </w:t>
      </w:r>
      <w:r>
        <w:rPr>
          <w:rFonts w:ascii="Arial" w:hAnsi="Arial" w:cs="Arial"/>
          <w:szCs w:val="20"/>
          <w:lang w:val="es-MX"/>
        </w:rPr>
        <w:t>m</w:t>
      </w:r>
      <w:r w:rsidRPr="00B6550D">
        <w:rPr>
          <w:rFonts w:ascii="Arial" w:hAnsi="Arial" w:cs="Arial"/>
          <w:szCs w:val="20"/>
          <w:lang w:val="es-MX"/>
        </w:rPr>
        <w:t xml:space="preserve">edia tensión, siendo que a partir de esta última se realizará el correspondiente retiro para atender las demandas </w:t>
      </w:r>
      <w:r>
        <w:rPr>
          <w:rFonts w:ascii="Arial" w:hAnsi="Arial" w:cs="Arial"/>
          <w:szCs w:val="20"/>
          <w:lang w:val="es-MX"/>
        </w:rPr>
        <w:t>de la</w:t>
      </w:r>
      <w:r w:rsidRPr="00B6550D">
        <w:rPr>
          <w:rFonts w:ascii="Arial" w:hAnsi="Arial" w:cs="Arial"/>
          <w:szCs w:val="20"/>
          <w:lang w:val="es-MX"/>
        </w:rPr>
        <w:t xml:space="preserve"> región.</w:t>
      </w:r>
    </w:p>
    <w:p w14:paraId="3BD91494" w14:textId="77777777" w:rsidR="00636FEA" w:rsidRPr="000B5CA5" w:rsidRDefault="00636FEA" w:rsidP="00636FEA">
      <w:pPr>
        <w:pStyle w:val="Heading1"/>
        <w:rPr>
          <w:rFonts w:ascii="Arial" w:hAnsi="Arial" w:cs="Arial"/>
          <w:color w:val="244061" w:themeColor="accent1" w:themeShade="80"/>
          <w:lang w:val="es-ES"/>
        </w:rPr>
      </w:pPr>
      <w:bookmarkStart w:id="6" w:name="_Toc494317174"/>
      <w:r>
        <w:rPr>
          <w:rFonts w:ascii="Arial" w:hAnsi="Arial" w:cs="Arial"/>
          <w:color w:val="244061" w:themeColor="accent1" w:themeShade="80"/>
          <w:lang w:val="es-ES"/>
        </w:rPr>
        <w:t>M</w:t>
      </w:r>
      <w:r w:rsidRPr="000B5CA5">
        <w:rPr>
          <w:rFonts w:ascii="Arial" w:hAnsi="Arial" w:cs="Arial"/>
          <w:color w:val="244061" w:themeColor="accent1" w:themeShade="80"/>
          <w:lang w:val="es-ES"/>
        </w:rPr>
        <w:t>ETODOLOGÍA</w:t>
      </w:r>
      <w:bookmarkEnd w:id="6"/>
    </w:p>
    <w:p w14:paraId="11F73727" w14:textId="77777777" w:rsidR="00636FEA" w:rsidRPr="00BD6214" w:rsidRDefault="00636FEA" w:rsidP="00636FEA">
      <w:pPr>
        <w:pStyle w:val="Heading1"/>
        <w:numPr>
          <w:ilvl w:val="1"/>
          <w:numId w:val="1"/>
        </w:numPr>
        <w:rPr>
          <w:rFonts w:ascii="Arial" w:hAnsi="Arial" w:cs="Arial"/>
          <w:color w:val="244061" w:themeColor="accent1" w:themeShade="80"/>
          <w:lang w:val="es-ES"/>
        </w:rPr>
      </w:pPr>
      <w:bookmarkStart w:id="7" w:name="_Toc494317175"/>
      <w:r w:rsidRPr="00BD6214">
        <w:rPr>
          <w:rFonts w:ascii="Arial" w:hAnsi="Arial" w:cs="Arial"/>
          <w:color w:val="244061" w:themeColor="accent1" w:themeShade="80"/>
          <w:lang w:val="es-ES"/>
        </w:rPr>
        <w:t>Escenarios “sin” y “con” proyecto</w:t>
      </w:r>
      <w:bookmarkEnd w:id="7"/>
    </w:p>
    <w:p w14:paraId="540B8E49" w14:textId="77777777" w:rsidR="00636FEA" w:rsidRPr="00BD6214" w:rsidRDefault="00636FEA" w:rsidP="00636FEA">
      <w:pPr>
        <w:spacing w:after="0" w:line="240" w:lineRule="auto"/>
        <w:rPr>
          <w:rFonts w:ascii="Arial" w:hAnsi="Arial" w:cs="Arial"/>
          <w:lang w:val="es-MX"/>
        </w:rPr>
      </w:pPr>
    </w:p>
    <w:p w14:paraId="5A5E6C6C" w14:textId="77777777" w:rsidR="00636FEA" w:rsidRPr="00BD6214" w:rsidRDefault="00636FEA" w:rsidP="00636FEA">
      <w:pPr>
        <w:spacing w:after="0" w:line="240" w:lineRule="auto"/>
        <w:jc w:val="both"/>
        <w:rPr>
          <w:rFonts w:ascii="Arial" w:hAnsi="Arial" w:cs="Arial"/>
          <w:lang w:val="es-MX"/>
        </w:rPr>
      </w:pPr>
      <w:r w:rsidRPr="00BD6214">
        <w:rPr>
          <w:rFonts w:ascii="Arial" w:hAnsi="Arial" w:cs="Arial"/>
          <w:lang w:val="es-MX"/>
        </w:rPr>
        <w:t>La situa</w:t>
      </w:r>
      <w:r>
        <w:rPr>
          <w:rFonts w:ascii="Arial" w:hAnsi="Arial" w:cs="Arial"/>
          <w:lang w:val="es-MX"/>
        </w:rPr>
        <w:t>ción “sin proyecto” considera que</w:t>
      </w:r>
      <w:r w:rsidRPr="00BD6214">
        <w:rPr>
          <w:rFonts w:ascii="Arial" w:hAnsi="Arial" w:cs="Arial"/>
          <w:lang w:val="es-MX"/>
        </w:rPr>
        <w:t xml:space="preserve"> el sistema aislado </w:t>
      </w:r>
      <w:r>
        <w:rPr>
          <w:rFonts w:ascii="Arial" w:hAnsi="Arial" w:cs="Arial"/>
          <w:lang w:val="es-MX"/>
        </w:rPr>
        <w:t>Velasco</w:t>
      </w:r>
      <w:r w:rsidRPr="00BD6214">
        <w:rPr>
          <w:rFonts w:ascii="Arial" w:hAnsi="Arial" w:cs="Arial"/>
          <w:lang w:val="es-MX"/>
        </w:rPr>
        <w:t xml:space="preserve"> </w:t>
      </w:r>
      <w:r>
        <w:rPr>
          <w:rFonts w:ascii="Arial" w:hAnsi="Arial" w:cs="Arial"/>
          <w:lang w:val="es-MX"/>
        </w:rPr>
        <w:t>conti</w:t>
      </w:r>
      <w:r w:rsidRPr="00BD6214">
        <w:rPr>
          <w:rFonts w:ascii="Arial" w:hAnsi="Arial" w:cs="Arial"/>
          <w:lang w:val="es-MX"/>
        </w:rPr>
        <w:t>nú</w:t>
      </w:r>
      <w:r>
        <w:rPr>
          <w:rFonts w:ascii="Arial" w:hAnsi="Arial" w:cs="Arial"/>
          <w:lang w:val="es-MX"/>
        </w:rPr>
        <w:t>a</w:t>
      </w:r>
      <w:r w:rsidRPr="00BD6214">
        <w:rPr>
          <w:rFonts w:ascii="Arial" w:hAnsi="Arial" w:cs="Arial"/>
          <w:lang w:val="es-MX"/>
        </w:rPr>
        <w:t xml:space="preserve"> generando electricidad en base a </w:t>
      </w:r>
      <w:r>
        <w:rPr>
          <w:rFonts w:ascii="Arial" w:hAnsi="Arial" w:cs="Arial"/>
          <w:lang w:val="es-MX"/>
        </w:rPr>
        <w:t>diésel y</w:t>
      </w:r>
      <w:r w:rsidRPr="00BD6214">
        <w:rPr>
          <w:rFonts w:ascii="Arial" w:hAnsi="Arial" w:cs="Arial"/>
          <w:lang w:val="es-MX"/>
        </w:rPr>
        <w:t xml:space="preserve"> que la calidad de la energía suministrada es mala, con varias horas interrupción del servicio al año.</w:t>
      </w:r>
    </w:p>
    <w:p w14:paraId="73724645" w14:textId="77777777" w:rsidR="00636FEA" w:rsidRPr="00BD6214" w:rsidRDefault="00636FEA" w:rsidP="00636FEA">
      <w:pPr>
        <w:spacing w:after="0" w:line="240" w:lineRule="auto"/>
        <w:rPr>
          <w:rFonts w:ascii="Arial" w:hAnsi="Arial" w:cs="Arial"/>
          <w:lang w:val="es-MX"/>
        </w:rPr>
      </w:pPr>
    </w:p>
    <w:p w14:paraId="01FEB982" w14:textId="48D7F58E" w:rsidR="00636FEA" w:rsidRDefault="00636FEA" w:rsidP="00636FEA">
      <w:pPr>
        <w:spacing w:after="0" w:line="240" w:lineRule="auto"/>
        <w:jc w:val="both"/>
        <w:rPr>
          <w:rFonts w:ascii="Arial" w:hAnsi="Arial" w:cs="Arial"/>
          <w:lang w:val="es-MX"/>
        </w:rPr>
      </w:pPr>
      <w:r w:rsidRPr="00BD6214">
        <w:rPr>
          <w:rFonts w:ascii="Arial" w:hAnsi="Arial" w:cs="Arial"/>
          <w:lang w:val="es-MX"/>
        </w:rPr>
        <w:t xml:space="preserve">La situación </w:t>
      </w:r>
      <w:r>
        <w:rPr>
          <w:rFonts w:ascii="Arial" w:hAnsi="Arial" w:cs="Arial"/>
          <w:lang w:val="es-MX"/>
        </w:rPr>
        <w:t>“</w:t>
      </w:r>
      <w:r w:rsidRPr="00BD6214">
        <w:rPr>
          <w:rFonts w:ascii="Arial" w:hAnsi="Arial" w:cs="Arial"/>
          <w:lang w:val="es-MX"/>
        </w:rPr>
        <w:t>con proyecto</w:t>
      </w:r>
      <w:r>
        <w:rPr>
          <w:rFonts w:ascii="Arial" w:hAnsi="Arial" w:cs="Arial"/>
          <w:lang w:val="es-MX"/>
        </w:rPr>
        <w:t>”</w:t>
      </w:r>
      <w:r w:rsidRPr="00BD6214">
        <w:rPr>
          <w:rFonts w:ascii="Arial" w:hAnsi="Arial" w:cs="Arial"/>
          <w:lang w:val="es-MX"/>
        </w:rPr>
        <w:t xml:space="preserve"> considera que por efecto de la construcción de la </w:t>
      </w:r>
      <w:r>
        <w:rPr>
          <w:rFonts w:ascii="Arial" w:hAnsi="Arial" w:cs="Arial"/>
          <w:lang w:val="es-MX"/>
        </w:rPr>
        <w:t>LT Los Troncos – San Ignacio</w:t>
      </w:r>
      <w:r w:rsidRPr="00BD6214">
        <w:rPr>
          <w:rFonts w:ascii="Arial" w:hAnsi="Arial" w:cs="Arial"/>
          <w:lang w:val="es-MX"/>
        </w:rPr>
        <w:t xml:space="preserve">, los generadores </w:t>
      </w:r>
      <w:r>
        <w:rPr>
          <w:rFonts w:ascii="Arial" w:hAnsi="Arial" w:cs="Arial"/>
          <w:lang w:val="es-MX"/>
        </w:rPr>
        <w:t>a diésel</w:t>
      </w:r>
      <w:r w:rsidRPr="00BD6214">
        <w:rPr>
          <w:rFonts w:ascii="Arial" w:hAnsi="Arial" w:cs="Arial"/>
          <w:lang w:val="es-MX"/>
        </w:rPr>
        <w:t xml:space="preserve"> dejan de funcionar, </w:t>
      </w:r>
      <w:r>
        <w:rPr>
          <w:rFonts w:ascii="Arial" w:hAnsi="Arial" w:cs="Arial"/>
          <w:lang w:val="es-MX"/>
        </w:rPr>
        <w:t>dejando de usar este combustible</w:t>
      </w:r>
      <w:r w:rsidRPr="00BD6214">
        <w:rPr>
          <w:rFonts w:ascii="Arial" w:hAnsi="Arial" w:cs="Arial"/>
          <w:lang w:val="es-MX"/>
        </w:rPr>
        <w:t xml:space="preserve">, además, la calidad de la energía suministrada mejora a niveles </w:t>
      </w:r>
      <w:r>
        <w:rPr>
          <w:rFonts w:ascii="Arial" w:hAnsi="Arial" w:cs="Arial"/>
          <w:lang w:val="es-MX"/>
        </w:rPr>
        <w:t>similares</w:t>
      </w:r>
      <w:r w:rsidRPr="00BD6214">
        <w:rPr>
          <w:rFonts w:ascii="Arial" w:hAnsi="Arial" w:cs="Arial"/>
          <w:lang w:val="es-MX"/>
        </w:rPr>
        <w:t xml:space="preserve"> a la capital del departamento, previéndose que la totalidad de la demanda será atendida por la </w:t>
      </w:r>
      <w:r>
        <w:rPr>
          <w:rFonts w:ascii="Arial" w:hAnsi="Arial" w:cs="Arial"/>
          <w:lang w:val="es-MX"/>
        </w:rPr>
        <w:t>LT</w:t>
      </w:r>
      <w:r w:rsidRPr="00BD6214">
        <w:rPr>
          <w:rFonts w:ascii="Arial" w:hAnsi="Arial" w:cs="Arial"/>
          <w:lang w:val="es-MX"/>
        </w:rPr>
        <w:t xml:space="preserve"> en el periodo de análisis del proyecto</w:t>
      </w:r>
      <w:r>
        <w:rPr>
          <w:rFonts w:ascii="Arial" w:hAnsi="Arial" w:cs="Arial"/>
          <w:lang w:val="es-MX"/>
        </w:rPr>
        <w:t xml:space="preserve"> (ver </w:t>
      </w:r>
      <w:hyperlink r:id="rId19" w:history="1">
        <w:r w:rsidRPr="0031148A">
          <w:rPr>
            <w:rStyle w:val="Hyperlink"/>
            <w:rFonts w:ascii="Arial" w:hAnsi="Arial" w:cs="Arial"/>
            <w:lang w:val="es-MX"/>
          </w:rPr>
          <w:t>modelo de cálculo</w:t>
        </w:r>
      </w:hyperlink>
      <w:r>
        <w:rPr>
          <w:rFonts w:ascii="Arial" w:hAnsi="Arial" w:cs="Arial"/>
          <w:lang w:val="es-MX"/>
        </w:rPr>
        <w:t>)</w:t>
      </w:r>
      <w:r w:rsidRPr="00BD6214">
        <w:rPr>
          <w:rFonts w:ascii="Arial" w:hAnsi="Arial" w:cs="Arial"/>
          <w:lang w:val="es-MX"/>
        </w:rPr>
        <w:t>.</w:t>
      </w:r>
    </w:p>
    <w:p w14:paraId="241F6E32" w14:textId="77777777" w:rsidR="00636FEA" w:rsidRPr="00F024C4" w:rsidRDefault="00636FEA" w:rsidP="00636FEA">
      <w:pPr>
        <w:pStyle w:val="Heading1"/>
        <w:numPr>
          <w:ilvl w:val="1"/>
          <w:numId w:val="1"/>
        </w:numPr>
        <w:rPr>
          <w:rFonts w:ascii="Arial" w:hAnsi="Arial" w:cs="Arial"/>
          <w:color w:val="244061" w:themeColor="accent1" w:themeShade="80"/>
          <w:lang w:val="es-ES"/>
        </w:rPr>
      </w:pPr>
      <w:bookmarkStart w:id="8" w:name="_Toc494317176"/>
      <w:r w:rsidRPr="00F024C4">
        <w:rPr>
          <w:rFonts w:ascii="Arial" w:hAnsi="Arial" w:cs="Arial"/>
          <w:color w:val="244061" w:themeColor="accent1" w:themeShade="80"/>
          <w:lang w:val="es-ES"/>
        </w:rPr>
        <w:t>Análisis Financiero o Privado del Proyecto</w:t>
      </w:r>
      <w:bookmarkEnd w:id="8"/>
    </w:p>
    <w:p w14:paraId="64D32FF5" w14:textId="77777777" w:rsidR="00636FEA" w:rsidRPr="00BD6214" w:rsidRDefault="00636FEA" w:rsidP="00636FEA">
      <w:pPr>
        <w:spacing w:after="0" w:line="240" w:lineRule="auto"/>
        <w:rPr>
          <w:rFonts w:ascii="Arial" w:hAnsi="Arial" w:cs="Arial"/>
          <w:lang w:val="es-MX"/>
        </w:rPr>
      </w:pPr>
    </w:p>
    <w:p w14:paraId="14E3B8E7" w14:textId="77777777" w:rsidR="00636FEA" w:rsidRPr="00BD6214" w:rsidRDefault="00636FEA" w:rsidP="00636FEA">
      <w:pPr>
        <w:spacing w:after="0" w:line="240" w:lineRule="auto"/>
        <w:jc w:val="both"/>
        <w:rPr>
          <w:rFonts w:ascii="Arial" w:hAnsi="Arial" w:cs="Arial"/>
          <w:lang w:val="es-MX"/>
        </w:rPr>
      </w:pPr>
      <w:r w:rsidRPr="00BD6214">
        <w:rPr>
          <w:rFonts w:ascii="Arial" w:hAnsi="Arial" w:cs="Arial"/>
          <w:lang w:val="es-MX"/>
        </w:rPr>
        <w:t xml:space="preserve">El análisis privado del proyecto compara los ingresos provenientes de la operación de la </w:t>
      </w:r>
      <w:r>
        <w:rPr>
          <w:rFonts w:ascii="Arial" w:hAnsi="Arial" w:cs="Arial"/>
          <w:lang w:val="es-MX"/>
        </w:rPr>
        <w:t>LT</w:t>
      </w:r>
      <w:r w:rsidRPr="00BD6214">
        <w:rPr>
          <w:rFonts w:ascii="Arial" w:hAnsi="Arial" w:cs="Arial"/>
          <w:lang w:val="es-MX"/>
        </w:rPr>
        <w:t>, con los costos en los que el operador debe incurrir para obtenerlos (se consideran: inversión, operación y mantenimiento). Posteriormente, se realiz</w:t>
      </w:r>
      <w:r>
        <w:rPr>
          <w:rFonts w:ascii="Arial" w:hAnsi="Arial" w:cs="Arial"/>
          <w:lang w:val="es-MX"/>
        </w:rPr>
        <w:t>a</w:t>
      </w:r>
      <w:r w:rsidRPr="00BD6214">
        <w:rPr>
          <w:rFonts w:ascii="Arial" w:hAnsi="Arial" w:cs="Arial"/>
          <w:lang w:val="es-MX"/>
        </w:rPr>
        <w:t xml:space="preserve"> el balance cuantificando el Valor Actual Neto Privado (VANP) del </w:t>
      </w:r>
      <w:r>
        <w:rPr>
          <w:rFonts w:ascii="Arial" w:hAnsi="Arial" w:cs="Arial"/>
          <w:lang w:val="es-MX"/>
        </w:rPr>
        <w:t>p</w:t>
      </w:r>
      <w:r w:rsidRPr="00BD6214">
        <w:rPr>
          <w:rFonts w:ascii="Arial" w:hAnsi="Arial" w:cs="Arial"/>
          <w:lang w:val="es-MX"/>
        </w:rPr>
        <w:t xml:space="preserve">royecto. </w:t>
      </w:r>
    </w:p>
    <w:p w14:paraId="7F3922CC" w14:textId="77777777" w:rsidR="00636FEA" w:rsidRPr="00BD6214" w:rsidRDefault="00636FEA" w:rsidP="00636FEA">
      <w:pPr>
        <w:spacing w:after="0" w:line="240" w:lineRule="auto"/>
        <w:rPr>
          <w:rFonts w:ascii="Arial" w:hAnsi="Arial" w:cs="Arial"/>
          <w:lang w:val="es-MX"/>
        </w:rPr>
      </w:pPr>
    </w:p>
    <w:p w14:paraId="4DF8E4BE" w14:textId="77777777" w:rsidR="00636FEA" w:rsidRPr="00BD6214" w:rsidRDefault="00636FEA" w:rsidP="00636FEA">
      <w:pPr>
        <w:spacing w:after="0" w:line="240" w:lineRule="auto"/>
        <w:jc w:val="both"/>
        <w:rPr>
          <w:rFonts w:ascii="Arial" w:hAnsi="Arial" w:cs="Arial"/>
          <w:lang w:val="es-MX"/>
        </w:rPr>
      </w:pPr>
      <w:r w:rsidRPr="00BD6214">
        <w:rPr>
          <w:rFonts w:ascii="Arial" w:hAnsi="Arial" w:cs="Arial"/>
          <w:lang w:val="es-MX"/>
        </w:rPr>
        <w:t>Un valor de VANP negativo indica que desde el punto de vista del operador, el proyecto no es interesante, y por tanto se requiere de la intervención del Estado. Para descontar el flujo de la evaluación privada se utiliz</w:t>
      </w:r>
      <w:r>
        <w:rPr>
          <w:rFonts w:ascii="Arial" w:hAnsi="Arial" w:cs="Arial"/>
          <w:lang w:val="es-MX"/>
        </w:rPr>
        <w:t>a</w:t>
      </w:r>
      <w:r w:rsidRPr="00BD6214">
        <w:rPr>
          <w:rFonts w:ascii="Arial" w:hAnsi="Arial" w:cs="Arial"/>
          <w:lang w:val="es-MX"/>
        </w:rPr>
        <w:t xml:space="preserve"> la </w:t>
      </w:r>
      <w:r>
        <w:rPr>
          <w:rFonts w:ascii="Arial" w:hAnsi="Arial" w:cs="Arial"/>
          <w:lang w:val="es-MX"/>
        </w:rPr>
        <w:t>tasa de descuento de mercado (12</w:t>
      </w:r>
      <w:r w:rsidRPr="00BD6214">
        <w:rPr>
          <w:rFonts w:ascii="Arial" w:hAnsi="Arial" w:cs="Arial"/>
          <w:lang w:val="es-MX"/>
        </w:rPr>
        <w:t>%).</w:t>
      </w:r>
    </w:p>
    <w:p w14:paraId="606C37F2" w14:textId="77777777" w:rsidR="00636FEA" w:rsidRPr="00E87511" w:rsidRDefault="00636FEA" w:rsidP="00636FEA">
      <w:pPr>
        <w:pStyle w:val="Heading1"/>
        <w:numPr>
          <w:ilvl w:val="1"/>
          <w:numId w:val="1"/>
        </w:numPr>
        <w:rPr>
          <w:rFonts w:ascii="Arial" w:hAnsi="Arial" w:cs="Arial"/>
          <w:color w:val="244061" w:themeColor="accent1" w:themeShade="80"/>
          <w:lang w:val="es-ES"/>
        </w:rPr>
      </w:pPr>
      <w:bookmarkStart w:id="9" w:name="_Toc494317177"/>
      <w:r w:rsidRPr="00E87511">
        <w:rPr>
          <w:rFonts w:ascii="Arial" w:hAnsi="Arial" w:cs="Arial"/>
          <w:color w:val="244061" w:themeColor="accent1" w:themeShade="80"/>
          <w:lang w:val="es-ES"/>
        </w:rPr>
        <w:t>Análisis Socioeconómico del Proyecto</w:t>
      </w:r>
      <w:bookmarkEnd w:id="9"/>
    </w:p>
    <w:p w14:paraId="32AB2079" w14:textId="77777777" w:rsidR="00636FEA" w:rsidRDefault="00636FEA" w:rsidP="00636FEA">
      <w:pPr>
        <w:spacing w:after="0" w:line="240" w:lineRule="auto"/>
        <w:jc w:val="both"/>
        <w:rPr>
          <w:rFonts w:ascii="Times New Roman" w:hAnsi="Times New Roman" w:cs="Times New Roman"/>
          <w:sz w:val="24"/>
          <w:szCs w:val="24"/>
          <w:lang w:val="es-MX"/>
        </w:rPr>
      </w:pPr>
    </w:p>
    <w:p w14:paraId="6A098876" w14:textId="77777777" w:rsidR="00636FEA" w:rsidRPr="003E0617" w:rsidRDefault="00636FEA" w:rsidP="00636FEA">
      <w:pPr>
        <w:spacing w:after="0" w:line="240" w:lineRule="auto"/>
        <w:rPr>
          <w:rFonts w:ascii="Arial" w:hAnsi="Arial" w:cs="Arial"/>
          <w:lang w:val="es-MX"/>
        </w:rPr>
      </w:pPr>
      <w:r w:rsidRPr="003E0617">
        <w:rPr>
          <w:rFonts w:ascii="Arial" w:hAnsi="Arial" w:cs="Arial"/>
          <w:lang w:val="es-MX"/>
        </w:rPr>
        <w:t>Los criterios utilizados para la valoración de la intervención en la LT Los Troncos – San Ignacio, desde el punto de vista socioeconómico se basa</w:t>
      </w:r>
      <w:r>
        <w:rPr>
          <w:rFonts w:ascii="Arial" w:hAnsi="Arial" w:cs="Arial"/>
          <w:lang w:val="es-MX"/>
        </w:rPr>
        <w:t>n</w:t>
      </w:r>
      <w:r w:rsidRPr="003E0617">
        <w:rPr>
          <w:rFonts w:ascii="Arial" w:hAnsi="Arial" w:cs="Arial"/>
          <w:lang w:val="es-MX"/>
        </w:rPr>
        <w:t xml:space="preserve"> en los indicadores:</w:t>
      </w:r>
    </w:p>
    <w:p w14:paraId="0AC51427" w14:textId="77777777" w:rsidR="00636FEA" w:rsidRPr="003E0617" w:rsidRDefault="00636FEA" w:rsidP="00636FEA">
      <w:pPr>
        <w:spacing w:after="0" w:line="240" w:lineRule="auto"/>
        <w:rPr>
          <w:rFonts w:ascii="Arial" w:hAnsi="Arial" w:cs="Arial"/>
          <w:lang w:val="es-MX"/>
        </w:rPr>
      </w:pPr>
    </w:p>
    <w:p w14:paraId="45A2C441" w14:textId="77777777" w:rsidR="00636FEA" w:rsidRPr="003E0617" w:rsidRDefault="00636FEA" w:rsidP="00636FEA">
      <w:pPr>
        <w:pStyle w:val="ListParagraph"/>
        <w:numPr>
          <w:ilvl w:val="0"/>
          <w:numId w:val="23"/>
        </w:numPr>
        <w:spacing w:after="0" w:line="240" w:lineRule="auto"/>
        <w:rPr>
          <w:rFonts w:ascii="Arial" w:hAnsi="Arial" w:cs="Arial"/>
          <w:lang w:val="es-MX"/>
        </w:rPr>
      </w:pPr>
      <w:r w:rsidRPr="003E0617">
        <w:rPr>
          <w:rFonts w:ascii="Arial" w:hAnsi="Arial" w:cs="Arial"/>
          <w:lang w:val="es-MX"/>
        </w:rPr>
        <w:t xml:space="preserve">VANS mayor que cero, que significa que la intervención es rentable desde el punto de vista del país en su conjunto y se debe ejecutar. </w:t>
      </w:r>
    </w:p>
    <w:p w14:paraId="104FD246" w14:textId="77777777" w:rsidR="00636FEA" w:rsidRPr="003E0617" w:rsidRDefault="00636FEA" w:rsidP="00636FEA">
      <w:pPr>
        <w:spacing w:after="0" w:line="240" w:lineRule="auto"/>
        <w:rPr>
          <w:rFonts w:ascii="Arial" w:hAnsi="Arial" w:cs="Arial"/>
          <w:lang w:val="es-MX"/>
        </w:rPr>
      </w:pPr>
    </w:p>
    <w:p w14:paraId="6142870B" w14:textId="77777777" w:rsidR="00636FEA" w:rsidRPr="003E0617" w:rsidRDefault="00636FEA" w:rsidP="00636FEA">
      <w:pPr>
        <w:pStyle w:val="ListParagraph"/>
        <w:numPr>
          <w:ilvl w:val="0"/>
          <w:numId w:val="23"/>
        </w:numPr>
        <w:spacing w:after="0" w:line="240" w:lineRule="auto"/>
        <w:rPr>
          <w:rFonts w:ascii="Arial" w:hAnsi="Arial" w:cs="Arial"/>
          <w:lang w:val="es-MX"/>
        </w:rPr>
      </w:pPr>
      <w:r w:rsidRPr="003E0617">
        <w:rPr>
          <w:rFonts w:ascii="Arial" w:hAnsi="Arial" w:cs="Arial"/>
          <w:lang w:val="es-MX"/>
        </w:rPr>
        <w:t>Por otro lado, una TIRS mayor a 12% indica que desde el punto de vista del país, la intervención se debe realizar.</w:t>
      </w:r>
    </w:p>
    <w:p w14:paraId="50439300" w14:textId="77777777" w:rsidR="00636FEA" w:rsidRPr="003E0617" w:rsidRDefault="00636FEA" w:rsidP="00636FEA">
      <w:pPr>
        <w:spacing w:after="0" w:line="240" w:lineRule="auto"/>
        <w:rPr>
          <w:rFonts w:ascii="Arial" w:hAnsi="Arial" w:cs="Arial"/>
          <w:lang w:val="es-MX"/>
        </w:rPr>
      </w:pPr>
    </w:p>
    <w:p w14:paraId="4B6B5751" w14:textId="77777777" w:rsidR="00636FEA" w:rsidRPr="003E0617" w:rsidRDefault="00636FEA" w:rsidP="00636FEA">
      <w:pPr>
        <w:spacing w:after="0" w:line="240" w:lineRule="auto"/>
        <w:jc w:val="both"/>
        <w:rPr>
          <w:rFonts w:ascii="Arial" w:hAnsi="Arial" w:cs="Arial"/>
          <w:lang w:val="es-MX"/>
        </w:rPr>
      </w:pPr>
      <w:r w:rsidRPr="003E0617">
        <w:rPr>
          <w:rFonts w:ascii="Arial" w:hAnsi="Arial" w:cs="Arial"/>
          <w:lang w:val="es-MX"/>
        </w:rPr>
        <w:t xml:space="preserve">El análisis se basa en los beneficios que la construcción de la LT Los Troncos – San Ignacio  trae al sistema eléctrico de Santa Cruz, que son: i) la eliminación del consumo de diésel subsidiado, ii) evitar el racionamiento o la Energía No Suministrada (ENS) por efecto de fallas </w:t>
      </w:r>
      <w:r>
        <w:rPr>
          <w:rFonts w:ascii="Arial" w:hAnsi="Arial" w:cs="Arial"/>
          <w:lang w:val="es-MX"/>
        </w:rPr>
        <w:t>en</w:t>
      </w:r>
      <w:r w:rsidRPr="003E0617">
        <w:rPr>
          <w:rFonts w:ascii="Arial" w:hAnsi="Arial" w:cs="Arial"/>
          <w:lang w:val="es-MX"/>
        </w:rPr>
        <w:t xml:space="preserve"> lo</w:t>
      </w:r>
      <w:r>
        <w:rPr>
          <w:rFonts w:ascii="Arial" w:hAnsi="Arial" w:cs="Arial"/>
          <w:lang w:val="es-MX"/>
        </w:rPr>
        <w:t>s</w:t>
      </w:r>
      <w:r w:rsidRPr="003E0617">
        <w:rPr>
          <w:rFonts w:ascii="Arial" w:hAnsi="Arial" w:cs="Arial"/>
          <w:lang w:val="es-MX"/>
        </w:rPr>
        <w:t xml:space="preserve"> generadores diésel o de provisión oportuna del combustible.</w:t>
      </w:r>
    </w:p>
    <w:p w14:paraId="7001A2FA" w14:textId="77777777" w:rsidR="00636FEA" w:rsidRPr="003E0617" w:rsidRDefault="00636FEA" w:rsidP="00636FEA">
      <w:pPr>
        <w:spacing w:after="0" w:line="240" w:lineRule="auto"/>
        <w:rPr>
          <w:rFonts w:ascii="Arial" w:hAnsi="Arial" w:cs="Arial"/>
          <w:lang w:val="es-MX"/>
        </w:rPr>
      </w:pPr>
    </w:p>
    <w:p w14:paraId="09D647E3" w14:textId="77777777" w:rsidR="00636FEA" w:rsidRPr="003E0617" w:rsidRDefault="00636FEA" w:rsidP="00636FEA">
      <w:pPr>
        <w:spacing w:after="0" w:line="240" w:lineRule="auto"/>
        <w:jc w:val="both"/>
        <w:rPr>
          <w:rFonts w:ascii="Arial" w:hAnsi="Arial" w:cs="Arial"/>
          <w:lang w:val="es-MX"/>
        </w:rPr>
      </w:pPr>
      <w:r w:rsidRPr="003E0617">
        <w:rPr>
          <w:rFonts w:ascii="Arial" w:hAnsi="Arial" w:cs="Arial"/>
          <w:lang w:val="es-MX"/>
        </w:rPr>
        <w:t xml:space="preserve">Los costos considerados son básicamente los de inversión, distribuidos en su ejecución de la siguiente manera: </w:t>
      </w:r>
      <w:r>
        <w:rPr>
          <w:rFonts w:ascii="Arial" w:hAnsi="Arial" w:cs="Arial"/>
          <w:lang w:val="es-MX"/>
        </w:rPr>
        <w:t>50% el primer año y 50</w:t>
      </w:r>
      <w:r w:rsidRPr="003E0617">
        <w:rPr>
          <w:rFonts w:ascii="Arial" w:hAnsi="Arial" w:cs="Arial"/>
          <w:lang w:val="es-MX"/>
        </w:rPr>
        <w:t>% el segundo año, corregidos por la razón de precio de cuenta de la divisa.</w:t>
      </w:r>
    </w:p>
    <w:p w14:paraId="7C9074B3" w14:textId="77777777" w:rsidR="00636FEA" w:rsidRPr="00E87511" w:rsidRDefault="00636FEA" w:rsidP="00636FEA">
      <w:pPr>
        <w:pStyle w:val="Heading1"/>
        <w:rPr>
          <w:rFonts w:ascii="Arial" w:hAnsi="Arial" w:cs="Arial"/>
          <w:color w:val="244061" w:themeColor="accent1" w:themeShade="80"/>
          <w:lang w:val="es-ES"/>
        </w:rPr>
      </w:pPr>
      <w:bookmarkStart w:id="10" w:name="_Toc494317178"/>
      <w:r w:rsidRPr="00E87511">
        <w:rPr>
          <w:rFonts w:ascii="Arial" w:hAnsi="Arial" w:cs="Arial"/>
          <w:color w:val="244061" w:themeColor="accent1" w:themeShade="80"/>
          <w:lang w:val="es-ES"/>
        </w:rPr>
        <w:t>SUPUESTOS</w:t>
      </w:r>
      <w:bookmarkEnd w:id="10"/>
    </w:p>
    <w:p w14:paraId="4CDA01CB" w14:textId="77777777" w:rsidR="00636FEA" w:rsidRDefault="00636FEA" w:rsidP="00636FEA">
      <w:pPr>
        <w:spacing w:after="0" w:line="240" w:lineRule="auto"/>
        <w:jc w:val="both"/>
        <w:rPr>
          <w:rFonts w:ascii="Times New Roman" w:hAnsi="Times New Roman" w:cs="Times New Roman"/>
          <w:sz w:val="24"/>
          <w:szCs w:val="24"/>
          <w:lang w:val="es-ES_tradnl"/>
        </w:rPr>
      </w:pPr>
    </w:p>
    <w:p w14:paraId="6283B1DE" w14:textId="77777777" w:rsidR="00636FEA" w:rsidRPr="00906223" w:rsidRDefault="00636FEA" w:rsidP="00636FEA">
      <w:pPr>
        <w:spacing w:after="0" w:line="240" w:lineRule="auto"/>
        <w:jc w:val="both"/>
        <w:rPr>
          <w:rFonts w:ascii="Arial" w:hAnsi="Arial" w:cs="Arial"/>
          <w:lang w:val="es-ES_tradnl"/>
        </w:rPr>
      </w:pPr>
      <w:r w:rsidRPr="00906223">
        <w:rPr>
          <w:rFonts w:ascii="Arial" w:hAnsi="Arial" w:cs="Arial"/>
          <w:lang w:val="es-ES_tradnl"/>
        </w:rPr>
        <w:t>Los supuestos utilizados para el análisis económico son:</w:t>
      </w:r>
    </w:p>
    <w:p w14:paraId="714B8BC7" w14:textId="77777777" w:rsidR="00636FEA" w:rsidRPr="00906223" w:rsidRDefault="00636FEA" w:rsidP="00636FEA">
      <w:pPr>
        <w:spacing w:after="0" w:line="240" w:lineRule="auto"/>
        <w:jc w:val="both"/>
        <w:rPr>
          <w:rFonts w:ascii="Arial" w:hAnsi="Arial" w:cs="Arial"/>
          <w:lang w:val="es-ES_tradnl"/>
        </w:rPr>
      </w:pPr>
    </w:p>
    <w:p w14:paraId="7A3E5457" w14:textId="77777777" w:rsidR="00636FEA" w:rsidRDefault="00636FEA" w:rsidP="00636FEA">
      <w:pPr>
        <w:spacing w:after="0" w:line="240" w:lineRule="auto"/>
        <w:jc w:val="both"/>
        <w:rPr>
          <w:rFonts w:ascii="Arial" w:hAnsi="Arial" w:cs="Arial"/>
          <w:lang w:val="es-ES_tradnl"/>
        </w:rPr>
      </w:pPr>
      <w:r w:rsidRPr="00906223">
        <w:rPr>
          <w:rFonts w:ascii="Arial" w:hAnsi="Arial" w:cs="Arial"/>
          <w:u w:val="single"/>
          <w:lang w:val="es-ES_tradnl"/>
        </w:rPr>
        <w:t>Sistema Aislado Beneficiado</w:t>
      </w:r>
      <w:r w:rsidRPr="00906223">
        <w:rPr>
          <w:rFonts w:ascii="Arial" w:hAnsi="Arial" w:cs="Arial"/>
          <w:lang w:val="es-ES_tradnl"/>
        </w:rPr>
        <w:t xml:space="preserve">, </w:t>
      </w:r>
      <w:r>
        <w:rPr>
          <w:rFonts w:ascii="Arial" w:hAnsi="Arial" w:cs="Arial"/>
          <w:lang w:val="es-ES_tradnl"/>
        </w:rPr>
        <w:t>Si bien el proyecto que se viene elaborando tiene un alcance mayor al de esta evaluación, el presente análisis solamente comprende el sistema Velasco.</w:t>
      </w:r>
      <w:r w:rsidRPr="00D87FDE">
        <w:rPr>
          <w:rFonts w:ascii="Arial" w:hAnsi="Arial" w:cs="Arial"/>
          <w:lang w:val="es-ES_tradnl"/>
        </w:rPr>
        <w:t xml:space="preserve"> El trazo de la línea proyectado tiene una longitud aproximada de </w:t>
      </w:r>
      <w:r>
        <w:rPr>
          <w:rFonts w:ascii="Arial" w:hAnsi="Arial" w:cs="Arial"/>
          <w:lang w:val="es-ES_tradnl"/>
        </w:rPr>
        <w:t>500</w:t>
      </w:r>
      <w:r w:rsidRPr="00D87FDE">
        <w:rPr>
          <w:rFonts w:ascii="Arial" w:hAnsi="Arial" w:cs="Arial"/>
          <w:lang w:val="es-ES_tradnl"/>
        </w:rPr>
        <w:t xml:space="preserve"> km, inicia en la subestación Troncos</w:t>
      </w:r>
      <w:r>
        <w:rPr>
          <w:rFonts w:ascii="Arial" w:hAnsi="Arial" w:cs="Arial"/>
          <w:lang w:val="es-ES_tradnl"/>
        </w:rPr>
        <w:t xml:space="preserve"> y</w:t>
      </w:r>
      <w:r w:rsidRPr="00D87FDE">
        <w:rPr>
          <w:rFonts w:ascii="Arial" w:hAnsi="Arial" w:cs="Arial"/>
          <w:lang w:val="es-ES_tradnl"/>
        </w:rPr>
        <w:t xml:space="preserve"> continúa hasta la subestación San Ignacio de Velasco. La subestación Los Troncos que actualmente se encuentra en construcción se encuentra a 100 km al Nor-este de la Ciudad de Santa Cruz de la Sierra, la subestación San Ignacio de Velasco se encuentra a 5 km al Sud-este de la población del mismo nombre. </w:t>
      </w:r>
    </w:p>
    <w:p w14:paraId="443681F8" w14:textId="77777777" w:rsidR="00636FEA" w:rsidRDefault="00636FEA" w:rsidP="00636FEA">
      <w:pPr>
        <w:spacing w:after="0" w:line="240" w:lineRule="auto"/>
        <w:jc w:val="both"/>
        <w:rPr>
          <w:rFonts w:ascii="Arial" w:hAnsi="Arial" w:cs="Arial"/>
          <w:lang w:val="es-ES_tradnl"/>
        </w:rPr>
      </w:pPr>
    </w:p>
    <w:p w14:paraId="7A24E460" w14:textId="77777777" w:rsidR="00636FEA" w:rsidRPr="00D87FDE" w:rsidRDefault="00636FEA" w:rsidP="00636FEA">
      <w:pPr>
        <w:spacing w:after="0" w:line="240" w:lineRule="auto"/>
        <w:jc w:val="center"/>
        <w:rPr>
          <w:rFonts w:ascii="Arial" w:hAnsi="Arial" w:cs="Arial"/>
          <w:lang w:val="es-ES_tradnl"/>
        </w:rPr>
      </w:pPr>
      <w:r>
        <w:rPr>
          <w:noProof/>
          <w:lang w:val="es-419" w:eastAsia="es-419"/>
        </w:rPr>
        <mc:AlternateContent>
          <mc:Choice Requires="wps">
            <w:drawing>
              <wp:anchor distT="0" distB="0" distL="114300" distR="114300" simplePos="0" relativeHeight="251666432" behindDoc="0" locked="0" layoutInCell="1" allowOverlap="1" wp14:anchorId="3B89D57E" wp14:editId="31D01605">
                <wp:simplePos x="0" y="0"/>
                <wp:positionH relativeFrom="column">
                  <wp:posOffset>234950</wp:posOffset>
                </wp:positionH>
                <wp:positionV relativeFrom="paragraph">
                  <wp:posOffset>279400</wp:posOffset>
                </wp:positionV>
                <wp:extent cx="2857500" cy="1717675"/>
                <wp:effectExtent l="0" t="0" r="19050" b="15875"/>
                <wp:wrapNone/>
                <wp:docPr id="6" name="Rectángulo 6"/>
                <wp:cNvGraphicFramePr/>
                <a:graphic xmlns:a="http://schemas.openxmlformats.org/drawingml/2006/main">
                  <a:graphicData uri="http://schemas.microsoft.com/office/word/2010/wordprocessingShape">
                    <wps:wsp>
                      <wps:cNvSpPr/>
                      <wps:spPr>
                        <a:xfrm>
                          <a:off x="0" y="0"/>
                          <a:ext cx="2857500" cy="1717675"/>
                        </a:xfrm>
                        <a:prstGeom prst="rect">
                          <a:avLst/>
                        </a:prstGeom>
                        <a:solidFill>
                          <a:srgbClr val="F2DCDB">
                            <a:alpha val="3098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6A358C" id="Rectángulo 6" o:spid="_x0000_s1026" style="position:absolute;margin-left:18.5pt;margin-top:22pt;width:225pt;height:135.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" fillcolor="#f2dcdb" strokecolor="red" strokeweight="2pt">
                <v:fill opacity="20303f"/>
              </v:rect>
            </w:pict>
          </mc:Fallback>
        </mc:AlternateContent>
      </w:r>
      <w:r>
        <w:rPr>
          <w:noProof/>
          <w:lang w:val="es-419" w:eastAsia="es-419"/>
        </w:rPr>
        <w:drawing>
          <wp:inline distT="0" distB="0" distL="0" distR="0" wp14:anchorId="16E99017" wp14:editId="194986C5">
            <wp:extent cx="5612130" cy="2047240"/>
            <wp:effectExtent l="19050" t="19050" r="26670" b="1016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12130" cy="2047240"/>
                    </a:xfrm>
                    <a:prstGeom prst="rect">
                      <a:avLst/>
                    </a:prstGeom>
                    <a:ln w="3175">
                      <a:solidFill>
                        <a:schemeClr val="tx1"/>
                      </a:solidFill>
                    </a:ln>
                  </pic:spPr>
                </pic:pic>
              </a:graphicData>
            </a:graphic>
          </wp:inline>
        </w:drawing>
      </w:r>
    </w:p>
    <w:p w14:paraId="745A3C8B" w14:textId="77777777" w:rsidR="00636FEA" w:rsidRPr="00906223" w:rsidRDefault="00636FEA" w:rsidP="00636FEA">
      <w:pPr>
        <w:spacing w:after="0" w:line="240" w:lineRule="auto"/>
        <w:jc w:val="center"/>
        <w:rPr>
          <w:rFonts w:ascii="Arial" w:hAnsi="Arial" w:cs="Arial"/>
          <w:b/>
          <w:lang w:val="es-ES_tradnl"/>
        </w:rPr>
      </w:pPr>
    </w:p>
    <w:p w14:paraId="44D1A27F" w14:textId="77777777" w:rsidR="00636FEA" w:rsidRPr="00906223" w:rsidRDefault="00636FEA" w:rsidP="00636FEA">
      <w:pPr>
        <w:spacing w:after="0" w:line="240" w:lineRule="auto"/>
        <w:jc w:val="center"/>
        <w:rPr>
          <w:rFonts w:ascii="Arial" w:hAnsi="Arial" w:cs="Arial"/>
          <w:lang w:val="es-ES"/>
        </w:rPr>
      </w:pPr>
      <w:r w:rsidRPr="00906223">
        <w:rPr>
          <w:rFonts w:ascii="Arial" w:hAnsi="Arial" w:cs="Arial"/>
          <w:b/>
          <w:lang w:val="es-ES"/>
        </w:rPr>
        <w:t xml:space="preserve">Fig. </w:t>
      </w:r>
      <w:r>
        <w:rPr>
          <w:rFonts w:ascii="Arial" w:hAnsi="Arial" w:cs="Arial"/>
          <w:b/>
          <w:lang w:val="es-ES"/>
        </w:rPr>
        <w:t>3</w:t>
      </w:r>
      <w:r w:rsidRPr="00906223">
        <w:rPr>
          <w:rFonts w:ascii="Arial" w:hAnsi="Arial" w:cs="Arial"/>
          <w:b/>
          <w:lang w:val="es-ES"/>
        </w:rPr>
        <w:t>:</w:t>
      </w:r>
      <w:r w:rsidRPr="00906223">
        <w:rPr>
          <w:rFonts w:ascii="Arial" w:hAnsi="Arial" w:cs="Arial"/>
          <w:lang w:val="es-ES"/>
        </w:rPr>
        <w:t xml:space="preserve"> Sistema</w:t>
      </w:r>
      <w:r>
        <w:rPr>
          <w:rFonts w:ascii="Arial" w:hAnsi="Arial" w:cs="Arial"/>
          <w:lang w:val="es-ES"/>
        </w:rPr>
        <w:t xml:space="preserve"> que forma parte de la evaluación</w:t>
      </w:r>
      <w:r w:rsidRPr="00906223">
        <w:rPr>
          <w:rFonts w:ascii="Arial" w:hAnsi="Arial" w:cs="Arial"/>
          <w:lang w:val="es-ES"/>
        </w:rPr>
        <w:t xml:space="preserve"> </w:t>
      </w:r>
    </w:p>
    <w:p w14:paraId="3953C1AC" w14:textId="77777777" w:rsidR="00636FEA" w:rsidRPr="00906223" w:rsidRDefault="00636FEA" w:rsidP="00636FEA">
      <w:pPr>
        <w:spacing w:after="0" w:line="240" w:lineRule="auto"/>
        <w:jc w:val="both"/>
        <w:rPr>
          <w:rFonts w:ascii="Arial" w:hAnsi="Arial" w:cs="Arial"/>
          <w:lang w:val="es-ES"/>
        </w:rPr>
      </w:pPr>
    </w:p>
    <w:p w14:paraId="5D39ADA9" w14:textId="77777777" w:rsidR="00636FEA" w:rsidRPr="00906223" w:rsidRDefault="00636FEA" w:rsidP="00636FEA">
      <w:pPr>
        <w:spacing w:after="0" w:line="240" w:lineRule="auto"/>
        <w:jc w:val="both"/>
        <w:rPr>
          <w:rFonts w:ascii="Arial" w:hAnsi="Arial" w:cs="Arial"/>
          <w:lang w:val="es-MX"/>
        </w:rPr>
      </w:pPr>
      <w:r w:rsidRPr="00906223">
        <w:rPr>
          <w:rFonts w:ascii="Arial" w:hAnsi="Arial" w:cs="Arial"/>
          <w:u w:val="single"/>
          <w:lang w:val="es-MX"/>
        </w:rPr>
        <w:t>Duración del proyecto</w:t>
      </w:r>
      <w:r>
        <w:rPr>
          <w:rFonts w:ascii="Arial" w:hAnsi="Arial" w:cs="Arial"/>
          <w:lang w:val="es-MX"/>
        </w:rPr>
        <w:t>:</w:t>
      </w:r>
      <w:r w:rsidRPr="00906223">
        <w:rPr>
          <w:rFonts w:ascii="Arial" w:hAnsi="Arial" w:cs="Arial"/>
          <w:lang w:val="es-MX"/>
        </w:rPr>
        <w:t xml:space="preserve"> 20 años.</w:t>
      </w:r>
    </w:p>
    <w:p w14:paraId="08C825DB" w14:textId="77777777" w:rsidR="00636FEA" w:rsidRPr="00906223" w:rsidRDefault="00636FEA" w:rsidP="00636FEA">
      <w:pPr>
        <w:spacing w:after="0" w:line="240" w:lineRule="auto"/>
        <w:jc w:val="both"/>
        <w:rPr>
          <w:rFonts w:ascii="Arial" w:hAnsi="Arial" w:cs="Arial"/>
          <w:lang w:val="es-MX"/>
        </w:rPr>
      </w:pPr>
    </w:p>
    <w:p w14:paraId="02524BD9" w14:textId="48C9EE17" w:rsidR="00636FEA" w:rsidRDefault="00636FEA" w:rsidP="00636FEA">
      <w:pPr>
        <w:spacing w:after="0" w:line="240" w:lineRule="auto"/>
        <w:jc w:val="both"/>
        <w:rPr>
          <w:rFonts w:ascii="Arial" w:hAnsi="Arial" w:cs="Arial"/>
          <w:lang w:val="es-MX"/>
        </w:rPr>
      </w:pPr>
      <w:r w:rsidRPr="00906223">
        <w:rPr>
          <w:rFonts w:ascii="Arial" w:hAnsi="Arial" w:cs="Arial"/>
          <w:u w:val="single"/>
          <w:lang w:val="es-MX"/>
        </w:rPr>
        <w:t>Precio del diésel para generación eléctrica aislada</w:t>
      </w:r>
      <w:r>
        <w:rPr>
          <w:rFonts w:ascii="Arial" w:hAnsi="Arial" w:cs="Arial"/>
          <w:u w:val="single"/>
          <w:lang w:val="es-MX"/>
        </w:rPr>
        <w:t>:</w:t>
      </w:r>
      <w:r w:rsidR="00D82D65">
        <w:rPr>
          <w:rFonts w:ascii="Arial" w:hAnsi="Arial" w:cs="Arial"/>
          <w:lang w:val="es-MX"/>
        </w:rPr>
        <w:t xml:space="preserve"> </w:t>
      </w:r>
      <w:r w:rsidR="00D82D65" w:rsidRPr="00D82D65">
        <w:rPr>
          <w:rFonts w:ascii="Arial" w:hAnsi="Arial" w:cs="Arial"/>
          <w:lang w:val="es-MX"/>
        </w:rPr>
        <w:t>Se emplea 1,1 Bs/litro como el precio final del diésel para la generación eléctrica en los SA, cual es un precio fijo de acuerdo al Decreto Supremo Nº 29814 de 26 de noviembre de 2008. En Bolivia, el precio de importación del diésel en 2016 fue de 8.8 BS/Lt. Este precio se mantuvo constante en 2015 (8.88 BS/Lt.) y en 2014 se promedió en 9.16 BS/Lt. La diferencia ene l precio es subvencionada.</w:t>
      </w:r>
    </w:p>
    <w:p w14:paraId="05BFB9CE" w14:textId="77777777" w:rsidR="00D82D65" w:rsidRPr="00906223" w:rsidRDefault="00D82D65" w:rsidP="00636FEA">
      <w:pPr>
        <w:spacing w:after="0" w:line="240" w:lineRule="auto"/>
        <w:jc w:val="both"/>
        <w:rPr>
          <w:rFonts w:ascii="Arial" w:hAnsi="Arial" w:cs="Arial"/>
          <w:lang w:val="es-MX"/>
        </w:rPr>
      </w:pPr>
    </w:p>
    <w:p w14:paraId="2A347058" w14:textId="77777777" w:rsidR="00636FEA" w:rsidRPr="00906223" w:rsidRDefault="00636FEA" w:rsidP="00636FEA">
      <w:pPr>
        <w:spacing w:after="0" w:line="240" w:lineRule="auto"/>
        <w:jc w:val="both"/>
        <w:rPr>
          <w:rFonts w:ascii="Arial" w:hAnsi="Arial" w:cs="Arial"/>
          <w:lang w:val="es-MX"/>
        </w:rPr>
      </w:pPr>
      <w:r w:rsidRPr="00906223">
        <w:rPr>
          <w:rFonts w:ascii="Arial" w:hAnsi="Arial" w:cs="Arial"/>
          <w:lang w:val="es-MX"/>
        </w:rPr>
        <w:t>I</w:t>
      </w:r>
      <w:r w:rsidRPr="00906223">
        <w:rPr>
          <w:rFonts w:ascii="Arial" w:hAnsi="Arial" w:cs="Arial"/>
          <w:u w:val="single"/>
          <w:lang w:val="es-MX"/>
        </w:rPr>
        <w:t xml:space="preserve">ngresos por operación de la línea: </w:t>
      </w:r>
      <w:r w:rsidRPr="00906223">
        <w:rPr>
          <w:rFonts w:ascii="Arial" w:hAnsi="Arial" w:cs="Arial"/>
          <w:lang w:val="es-ES_tradnl"/>
        </w:rPr>
        <w:t>De acuerdo a la normativa boliviana</w:t>
      </w:r>
      <w:r>
        <w:rPr>
          <w:rStyle w:val="FootnoteReference"/>
          <w:rFonts w:ascii="Arial" w:hAnsi="Arial" w:cs="Arial"/>
          <w:lang w:val="es-ES_tradnl"/>
        </w:rPr>
        <w:footnoteReference w:id="3"/>
      </w:r>
      <w:r w:rsidRPr="00906223">
        <w:rPr>
          <w:rFonts w:ascii="Arial" w:hAnsi="Arial" w:cs="Arial"/>
          <w:lang w:val="es-ES_tradnl"/>
        </w:rPr>
        <w:t>, los ingresos por operación de la línea de transmisión consideran el 3% de la inversión por año y por concepto de peaje se considera el 10% de la inversión.</w:t>
      </w:r>
    </w:p>
    <w:p w14:paraId="38C69AE6" w14:textId="77777777" w:rsidR="00636FEA" w:rsidRPr="00906223" w:rsidRDefault="00636FEA" w:rsidP="00636FEA">
      <w:pPr>
        <w:spacing w:after="0" w:line="240" w:lineRule="auto"/>
        <w:jc w:val="both"/>
        <w:rPr>
          <w:rFonts w:ascii="Arial" w:hAnsi="Arial" w:cs="Arial"/>
          <w:lang w:val="es-MX"/>
        </w:rPr>
      </w:pPr>
    </w:p>
    <w:p w14:paraId="36313A37" w14:textId="00998CB3" w:rsidR="00636FEA" w:rsidRPr="00906223" w:rsidRDefault="00636FEA" w:rsidP="00636FEA">
      <w:pPr>
        <w:spacing w:after="0" w:line="240" w:lineRule="auto"/>
        <w:jc w:val="both"/>
        <w:rPr>
          <w:rFonts w:ascii="Arial" w:hAnsi="Arial" w:cs="Arial"/>
          <w:lang w:val="es-MX"/>
        </w:rPr>
      </w:pPr>
      <w:r w:rsidRPr="00906223">
        <w:rPr>
          <w:rFonts w:ascii="Arial" w:hAnsi="Arial" w:cs="Arial"/>
          <w:u w:val="single"/>
          <w:lang w:val="es-MX"/>
        </w:rPr>
        <w:t>Tasa de crecimiento de la energía consumida</w:t>
      </w:r>
      <w:r w:rsidRPr="00906223">
        <w:rPr>
          <w:rFonts w:ascii="Arial" w:hAnsi="Arial" w:cs="Arial"/>
          <w:lang w:val="es-MX"/>
        </w:rPr>
        <w:t xml:space="preserve">, </w:t>
      </w:r>
      <w:r w:rsidR="00D82D65" w:rsidRPr="00D82D65">
        <w:rPr>
          <w:rFonts w:ascii="Arial" w:hAnsi="Arial" w:cs="Arial"/>
          <w:lang w:val="es-MX"/>
        </w:rPr>
        <w:t>Se empleó un</w:t>
      </w:r>
      <w:r w:rsidR="00D82D65">
        <w:rPr>
          <w:rFonts w:ascii="Arial" w:hAnsi="Arial" w:cs="Arial"/>
          <w:lang w:val="es-MX"/>
        </w:rPr>
        <w:t>a</w:t>
      </w:r>
      <w:r w:rsidR="00D82D65" w:rsidRPr="00D82D65">
        <w:rPr>
          <w:rFonts w:ascii="Arial" w:hAnsi="Arial" w:cs="Arial"/>
          <w:lang w:val="es-MX"/>
        </w:rPr>
        <w:t xml:space="preserve"> tasa de crecimiento</w:t>
      </w:r>
      <w:r w:rsidR="00D82D65">
        <w:rPr>
          <w:rFonts w:ascii="Arial" w:hAnsi="Arial" w:cs="Arial"/>
          <w:lang w:val="es-MX"/>
        </w:rPr>
        <w:t xml:space="preserve"> </w:t>
      </w:r>
      <w:r w:rsidR="00D82D65" w:rsidRPr="00D82D65">
        <w:rPr>
          <w:rFonts w:ascii="Arial" w:hAnsi="Arial" w:cs="Arial"/>
          <w:lang w:val="es-MX"/>
        </w:rPr>
        <w:t>interanual que oscila entre 3% y 8% de acuerdo a las proyecciones de la ENDE contenidas del Análisis técnico del Componente. La demanda de electricidad del SA de San Ignacio de Velazco creció a una tasa promedio de 6,4% en los últimos 5 años</w:t>
      </w:r>
      <w:r w:rsidR="00D82D65">
        <w:rPr>
          <w:rStyle w:val="FootnoteReference"/>
          <w:rFonts w:ascii="Arial" w:hAnsi="Arial" w:cs="Arial"/>
          <w:lang w:val="es-MX"/>
        </w:rPr>
        <w:footnoteReference w:id="4"/>
      </w:r>
      <w:r w:rsidR="00D82D65" w:rsidRPr="00D82D65">
        <w:rPr>
          <w:rFonts w:ascii="Arial" w:hAnsi="Arial" w:cs="Arial"/>
          <w:lang w:val="es-MX"/>
        </w:rPr>
        <w:t>.  Para el análisis de sensibilidad se consideraron casos con variaciones constantes en la tasa de crecimie</w:t>
      </w:r>
      <w:bookmarkStart w:id="11" w:name="_GoBack"/>
      <w:bookmarkEnd w:id="11"/>
      <w:r w:rsidR="00D82D65" w:rsidRPr="00D82D65">
        <w:rPr>
          <w:rFonts w:ascii="Arial" w:hAnsi="Arial" w:cs="Arial"/>
          <w:lang w:val="es-MX"/>
        </w:rPr>
        <w:t>nto de la demanda de 3% y 8%.</w:t>
      </w:r>
    </w:p>
    <w:p w14:paraId="19932B3F" w14:textId="77777777" w:rsidR="00636FEA" w:rsidRPr="00906223" w:rsidRDefault="00636FEA" w:rsidP="00636FEA">
      <w:pPr>
        <w:spacing w:after="0" w:line="240" w:lineRule="auto"/>
        <w:jc w:val="both"/>
        <w:rPr>
          <w:rFonts w:ascii="Arial" w:hAnsi="Arial" w:cs="Arial"/>
          <w:lang w:val="es-MX"/>
        </w:rPr>
      </w:pPr>
    </w:p>
    <w:p w14:paraId="3DEECC81" w14:textId="77777777" w:rsidR="00636FEA" w:rsidRDefault="00636FEA" w:rsidP="00636FEA">
      <w:pPr>
        <w:spacing w:after="0" w:line="240" w:lineRule="auto"/>
        <w:jc w:val="both"/>
        <w:rPr>
          <w:rFonts w:ascii="Arial" w:hAnsi="Arial" w:cs="Arial"/>
          <w:lang w:val="es-419"/>
        </w:rPr>
      </w:pPr>
      <w:r w:rsidRPr="00BA4A16">
        <w:rPr>
          <w:rFonts w:ascii="Arial" w:hAnsi="Arial" w:cs="Arial"/>
          <w:u w:val="single"/>
          <w:lang w:val="es-419"/>
        </w:rPr>
        <w:t>Consumo anual de diésel (sistema Velasco)</w:t>
      </w:r>
      <w:r w:rsidRPr="00BA4A16">
        <w:rPr>
          <w:rFonts w:ascii="Arial" w:hAnsi="Arial" w:cs="Arial"/>
          <w:lang w:val="es-419"/>
        </w:rPr>
        <w:t xml:space="preserve">, como se muestra en la tabla </w:t>
      </w:r>
      <w:r>
        <w:rPr>
          <w:rFonts w:ascii="Arial" w:hAnsi="Arial" w:cs="Arial"/>
          <w:lang w:val="es-419"/>
        </w:rPr>
        <w:t>3.</w:t>
      </w:r>
    </w:p>
    <w:p w14:paraId="0D2848AF" w14:textId="77777777" w:rsidR="00636FEA" w:rsidRPr="00BA4A16" w:rsidRDefault="00636FEA" w:rsidP="00636FEA">
      <w:pPr>
        <w:spacing w:after="0" w:line="240" w:lineRule="auto"/>
        <w:jc w:val="both"/>
        <w:rPr>
          <w:rFonts w:ascii="Arial" w:hAnsi="Arial" w:cs="Arial"/>
          <w:lang w:val="es-419"/>
        </w:rPr>
      </w:pPr>
    </w:p>
    <w:p w14:paraId="5D79108E" w14:textId="77777777" w:rsidR="00636FEA" w:rsidRPr="00906223" w:rsidRDefault="00636FEA" w:rsidP="00636FEA">
      <w:pPr>
        <w:spacing w:after="0" w:line="240" w:lineRule="auto"/>
        <w:jc w:val="both"/>
        <w:rPr>
          <w:rFonts w:ascii="Arial" w:hAnsi="Arial" w:cs="Arial"/>
          <w:lang w:val="es-MX"/>
        </w:rPr>
      </w:pPr>
      <w:r w:rsidRPr="00906223">
        <w:rPr>
          <w:rFonts w:ascii="Arial" w:hAnsi="Arial" w:cs="Arial"/>
          <w:u w:val="single"/>
          <w:lang w:val="es-MX"/>
        </w:rPr>
        <w:t>Capacidad de generación térmica efectiva actual</w:t>
      </w:r>
      <w:r w:rsidRPr="00906223">
        <w:rPr>
          <w:rFonts w:ascii="Arial" w:hAnsi="Arial" w:cs="Arial"/>
          <w:lang w:val="es-MX"/>
        </w:rPr>
        <w:t>, Para satisfacer la demanda de energía eléctrica en las comunidades englobadas en el Sistema Velasco, la CRE tiene operando una Planta de Generación a base de Diésel, con 8 unidades de distintas características. Dicha planta tiene una potencia disponible para suministrar al sistema de aproximadamente 8.770 kW. En la siguiente figura se muestra el diagrama unifilar actual de la planta generadora.</w:t>
      </w:r>
    </w:p>
    <w:p w14:paraId="087CED28" w14:textId="77777777" w:rsidR="00636FEA" w:rsidRPr="00906223" w:rsidRDefault="00636FEA" w:rsidP="00636FEA">
      <w:pPr>
        <w:spacing w:after="0" w:line="240" w:lineRule="auto"/>
        <w:jc w:val="both"/>
        <w:rPr>
          <w:rFonts w:ascii="Arial" w:hAnsi="Arial" w:cs="Arial"/>
          <w:lang w:val="es-MX"/>
        </w:rPr>
      </w:pPr>
      <w:r w:rsidRPr="00906223">
        <w:rPr>
          <w:rFonts w:ascii="Arial" w:hAnsi="Arial" w:cs="Arial"/>
          <w:lang w:val="es-MX"/>
        </w:rPr>
        <w:t xml:space="preserve"> </w:t>
      </w:r>
    </w:p>
    <w:p w14:paraId="3BA2DBA4" w14:textId="77777777" w:rsidR="00636FEA" w:rsidRPr="00906223" w:rsidRDefault="00636FEA" w:rsidP="00636FEA">
      <w:pPr>
        <w:spacing w:after="0" w:line="240" w:lineRule="auto"/>
        <w:jc w:val="center"/>
        <w:rPr>
          <w:rFonts w:ascii="Arial" w:hAnsi="Arial" w:cs="Arial"/>
          <w:lang w:val="es-MX"/>
        </w:rPr>
      </w:pPr>
      <w:r w:rsidRPr="00906223">
        <w:rPr>
          <w:rFonts w:ascii="Arial" w:hAnsi="Arial" w:cs="Arial"/>
          <w:noProof/>
          <w:lang w:val="es-419" w:eastAsia="es-419"/>
        </w:rPr>
        <w:drawing>
          <wp:inline distT="0" distB="0" distL="0" distR="0" wp14:anchorId="34C3E0D3" wp14:editId="5994CD67">
            <wp:extent cx="4680000" cy="3081600"/>
            <wp:effectExtent l="19050" t="19050" r="25400" b="24130"/>
            <wp:docPr id="51" name="Imagen 51" descr="E:\ENDE\PC-NUEVA\Proyectos\LT San Ignacia - San Matias\RESUMEN EJECUTIVO\UNIFILAR SAN IGNACIO VELA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NDE\PC-NUEVA\Proyectos\LT San Ignacia - San Matias\RESUMEN EJECUTIVO\UNIFILAR SAN IGNACIO VELASCO.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80000" cy="3081600"/>
                    </a:xfrm>
                    <a:prstGeom prst="rect">
                      <a:avLst/>
                    </a:prstGeom>
                    <a:solidFill>
                      <a:sysClr val="windowText" lastClr="000000"/>
                    </a:solidFill>
                    <a:ln w="12700">
                      <a:solidFill>
                        <a:schemeClr val="tx1"/>
                      </a:solidFill>
                    </a:ln>
                  </pic:spPr>
                </pic:pic>
              </a:graphicData>
            </a:graphic>
          </wp:inline>
        </w:drawing>
      </w:r>
    </w:p>
    <w:p w14:paraId="71D100AF" w14:textId="77777777" w:rsidR="00636FEA" w:rsidRDefault="00636FEA" w:rsidP="00636FEA">
      <w:pPr>
        <w:spacing w:after="0" w:line="240" w:lineRule="auto"/>
        <w:jc w:val="center"/>
        <w:rPr>
          <w:rFonts w:ascii="Arial" w:hAnsi="Arial" w:cs="Arial"/>
          <w:b/>
          <w:sz w:val="20"/>
          <w:lang w:val="es-MX"/>
        </w:rPr>
      </w:pPr>
    </w:p>
    <w:p w14:paraId="7A143F2B" w14:textId="77777777" w:rsidR="00636FEA" w:rsidRPr="00BA4A16" w:rsidRDefault="00636FEA" w:rsidP="00636FEA">
      <w:pPr>
        <w:spacing w:after="0" w:line="240" w:lineRule="auto"/>
        <w:jc w:val="center"/>
        <w:rPr>
          <w:rFonts w:ascii="Arial" w:hAnsi="Arial" w:cs="Arial"/>
          <w:sz w:val="20"/>
          <w:lang w:val="es-MX"/>
        </w:rPr>
      </w:pPr>
      <w:r w:rsidRPr="00BA4A16">
        <w:rPr>
          <w:rFonts w:ascii="Arial" w:hAnsi="Arial" w:cs="Arial"/>
          <w:b/>
          <w:sz w:val="20"/>
          <w:lang w:val="es-MX"/>
        </w:rPr>
        <w:t>Fig. 4.</w:t>
      </w:r>
      <w:r w:rsidRPr="00BA4A16">
        <w:rPr>
          <w:rFonts w:ascii="Arial" w:hAnsi="Arial" w:cs="Arial"/>
          <w:sz w:val="20"/>
          <w:lang w:val="es-MX"/>
        </w:rPr>
        <w:t xml:space="preserve"> Diagrama unifilar – Planta de Generación Sistema Velasco</w:t>
      </w:r>
    </w:p>
    <w:p w14:paraId="75C84FBA" w14:textId="77777777" w:rsidR="00636FEA" w:rsidRPr="00906223" w:rsidRDefault="00636FEA" w:rsidP="00636FEA">
      <w:pPr>
        <w:spacing w:after="0" w:line="240" w:lineRule="auto"/>
        <w:jc w:val="both"/>
        <w:rPr>
          <w:rFonts w:ascii="Times New Roman" w:hAnsi="Times New Roman" w:cs="Times New Roman"/>
          <w:sz w:val="24"/>
          <w:szCs w:val="24"/>
          <w:lang w:val="es-MX"/>
        </w:rPr>
      </w:pPr>
    </w:p>
    <w:p w14:paraId="20A77D32" w14:textId="77777777" w:rsidR="00636FEA" w:rsidRPr="00BA4A16" w:rsidRDefault="00636FEA" w:rsidP="00636FEA">
      <w:pPr>
        <w:spacing w:after="0" w:line="240" w:lineRule="auto"/>
        <w:jc w:val="both"/>
        <w:rPr>
          <w:rFonts w:ascii="Arial" w:hAnsi="Arial" w:cs="Arial"/>
          <w:lang w:val="es-MX"/>
        </w:rPr>
      </w:pPr>
      <w:r>
        <w:rPr>
          <w:rFonts w:ascii="Arial" w:hAnsi="Arial" w:cs="Arial"/>
          <w:lang w:val="es-MX"/>
        </w:rPr>
        <w:t>Actualmente, l</w:t>
      </w:r>
      <w:r w:rsidRPr="00BA4A16">
        <w:rPr>
          <w:rFonts w:ascii="Arial" w:hAnsi="Arial" w:cs="Arial"/>
          <w:lang w:val="es-MX"/>
        </w:rPr>
        <w:t xml:space="preserve">a </w:t>
      </w:r>
      <w:r>
        <w:rPr>
          <w:rFonts w:ascii="Arial" w:hAnsi="Arial" w:cs="Arial"/>
          <w:lang w:val="es-MX"/>
        </w:rPr>
        <w:t>p</w:t>
      </w:r>
      <w:r w:rsidRPr="00BA4A16">
        <w:rPr>
          <w:rFonts w:ascii="Arial" w:hAnsi="Arial" w:cs="Arial"/>
          <w:lang w:val="es-MX"/>
        </w:rPr>
        <w:t xml:space="preserve">lanta de </w:t>
      </w:r>
      <w:r>
        <w:rPr>
          <w:rFonts w:ascii="Arial" w:hAnsi="Arial" w:cs="Arial"/>
          <w:lang w:val="es-MX"/>
        </w:rPr>
        <w:t>g</w:t>
      </w:r>
      <w:r w:rsidRPr="00BA4A16">
        <w:rPr>
          <w:rFonts w:ascii="Arial" w:hAnsi="Arial" w:cs="Arial"/>
          <w:lang w:val="es-MX"/>
        </w:rPr>
        <w:t xml:space="preserve">eneración cuenta con ocho maquinas a diésel, que alimentan a distintos circuitos de distribución, </w:t>
      </w:r>
      <w:r>
        <w:rPr>
          <w:rFonts w:ascii="Arial" w:hAnsi="Arial" w:cs="Arial"/>
          <w:lang w:val="es-MX"/>
        </w:rPr>
        <w:t xml:space="preserve">en los </w:t>
      </w:r>
      <w:r w:rsidRPr="00BA4A16">
        <w:rPr>
          <w:rFonts w:ascii="Arial" w:hAnsi="Arial" w:cs="Arial"/>
          <w:lang w:val="es-MX"/>
        </w:rPr>
        <w:t>niveles tensión: 10 kV, 24,9 kV y 34,5 kV.</w:t>
      </w:r>
    </w:p>
    <w:p w14:paraId="547AACEC" w14:textId="77777777" w:rsidR="00636FEA" w:rsidRDefault="00636FEA" w:rsidP="00636FEA">
      <w:pPr>
        <w:spacing w:after="0" w:line="240" w:lineRule="auto"/>
        <w:jc w:val="center"/>
        <w:rPr>
          <w:rFonts w:ascii="Times New Roman" w:hAnsi="Times New Roman" w:cs="Times New Roman"/>
          <w:sz w:val="24"/>
          <w:szCs w:val="24"/>
          <w:lang w:val="es-ES"/>
        </w:rPr>
      </w:pPr>
    </w:p>
    <w:p w14:paraId="0148B7B3" w14:textId="77777777" w:rsidR="00636FEA" w:rsidRPr="00BA4A16" w:rsidRDefault="00636FEA" w:rsidP="00636FEA">
      <w:pPr>
        <w:pStyle w:val="Heading1"/>
        <w:rPr>
          <w:rFonts w:ascii="Arial" w:hAnsi="Arial" w:cs="Arial"/>
          <w:color w:val="244061" w:themeColor="accent1" w:themeShade="80"/>
          <w:lang w:val="es-ES"/>
        </w:rPr>
      </w:pPr>
      <w:bookmarkStart w:id="12" w:name="_Toc494317179"/>
      <w:r w:rsidRPr="00BA4A16">
        <w:rPr>
          <w:rFonts w:ascii="Arial" w:hAnsi="Arial" w:cs="Arial"/>
          <w:color w:val="244061" w:themeColor="accent1" w:themeShade="80"/>
          <w:lang w:val="es-ES"/>
        </w:rPr>
        <w:t>BENEFICIOS ECONÓMICOS</w:t>
      </w:r>
      <w:bookmarkEnd w:id="12"/>
      <w:r w:rsidRPr="00BA4A16">
        <w:rPr>
          <w:rFonts w:ascii="Arial" w:hAnsi="Arial" w:cs="Arial"/>
          <w:color w:val="244061" w:themeColor="accent1" w:themeShade="80"/>
          <w:lang w:val="es-ES"/>
        </w:rPr>
        <w:t xml:space="preserve"> </w:t>
      </w:r>
    </w:p>
    <w:p w14:paraId="5DBBF8F6" w14:textId="77777777" w:rsidR="00636FEA" w:rsidRDefault="00636FEA" w:rsidP="00636FEA">
      <w:pPr>
        <w:spacing w:after="0" w:line="240" w:lineRule="auto"/>
        <w:jc w:val="both"/>
        <w:rPr>
          <w:rFonts w:ascii="Times New Roman" w:hAnsi="Times New Roman" w:cs="Times New Roman"/>
          <w:sz w:val="24"/>
          <w:szCs w:val="24"/>
          <w:lang w:val="es-ES"/>
        </w:rPr>
      </w:pPr>
    </w:p>
    <w:p w14:paraId="0F4AD248" w14:textId="77777777" w:rsidR="00636FEA" w:rsidRPr="00256213" w:rsidRDefault="00636FEA" w:rsidP="00636FEA">
      <w:pPr>
        <w:spacing w:after="0" w:line="240" w:lineRule="auto"/>
        <w:jc w:val="both"/>
        <w:rPr>
          <w:rFonts w:ascii="Arial" w:hAnsi="Arial" w:cs="Arial"/>
          <w:szCs w:val="24"/>
          <w:lang w:val="es-ES"/>
        </w:rPr>
      </w:pPr>
      <w:r>
        <w:rPr>
          <w:rFonts w:ascii="Arial" w:hAnsi="Arial" w:cs="Arial"/>
          <w:szCs w:val="24"/>
          <w:lang w:val="es-ES"/>
        </w:rPr>
        <w:t xml:space="preserve">El proyecto de LT Los Troncos – San Ignacio de Velasco presenta </w:t>
      </w:r>
      <w:r w:rsidRPr="00256213">
        <w:rPr>
          <w:rFonts w:ascii="Arial" w:hAnsi="Arial" w:cs="Arial"/>
          <w:szCs w:val="24"/>
          <w:lang w:val="es-ES"/>
        </w:rPr>
        <w:t>los siguientes beneficios</w:t>
      </w:r>
      <w:r>
        <w:rPr>
          <w:rFonts w:ascii="Arial" w:hAnsi="Arial" w:cs="Arial"/>
          <w:szCs w:val="24"/>
          <w:lang w:val="es-ES"/>
        </w:rPr>
        <w:t xml:space="preserve"> económicos</w:t>
      </w:r>
      <w:r w:rsidRPr="00256213">
        <w:rPr>
          <w:rFonts w:ascii="Arial" w:hAnsi="Arial" w:cs="Arial"/>
          <w:szCs w:val="24"/>
          <w:lang w:val="es-ES"/>
        </w:rPr>
        <w:t>:</w:t>
      </w:r>
    </w:p>
    <w:p w14:paraId="4471DC16" w14:textId="77777777" w:rsidR="00636FEA" w:rsidRPr="00256213" w:rsidRDefault="00636FEA" w:rsidP="00636FEA">
      <w:pPr>
        <w:spacing w:after="0" w:line="240" w:lineRule="auto"/>
        <w:jc w:val="both"/>
        <w:rPr>
          <w:rFonts w:ascii="Arial" w:hAnsi="Arial" w:cs="Arial"/>
          <w:szCs w:val="24"/>
          <w:lang w:val="es-ES"/>
        </w:rPr>
      </w:pPr>
    </w:p>
    <w:p w14:paraId="5F152037" w14:textId="77777777" w:rsidR="00636FEA" w:rsidRDefault="00636FEA" w:rsidP="00636FEA">
      <w:pPr>
        <w:pStyle w:val="ListParagraph"/>
        <w:numPr>
          <w:ilvl w:val="0"/>
          <w:numId w:val="17"/>
        </w:numPr>
        <w:spacing w:after="0"/>
        <w:jc w:val="both"/>
        <w:rPr>
          <w:rFonts w:ascii="Arial" w:hAnsi="Arial" w:cs="Arial"/>
          <w:szCs w:val="24"/>
          <w:lang w:val="es-ES"/>
        </w:rPr>
      </w:pPr>
      <w:r w:rsidRPr="00256213">
        <w:rPr>
          <w:rFonts w:ascii="Arial" w:hAnsi="Arial" w:cs="Arial"/>
          <w:szCs w:val="24"/>
          <w:u w:val="single"/>
          <w:lang w:val="es-ES"/>
        </w:rPr>
        <w:t xml:space="preserve">Beneficio debido a la reducción del consumo de </w:t>
      </w:r>
      <w:r>
        <w:rPr>
          <w:rFonts w:ascii="Arial" w:hAnsi="Arial" w:cs="Arial"/>
          <w:szCs w:val="24"/>
          <w:u w:val="single"/>
          <w:lang w:val="es-ES"/>
        </w:rPr>
        <w:t>diésel</w:t>
      </w:r>
      <w:r w:rsidRPr="00256213">
        <w:rPr>
          <w:rFonts w:ascii="Arial" w:hAnsi="Arial" w:cs="Arial"/>
          <w:szCs w:val="24"/>
          <w:lang w:val="es-ES"/>
        </w:rPr>
        <w:t xml:space="preserve">, en la situación con proyecto, </w:t>
      </w:r>
      <w:r>
        <w:rPr>
          <w:rFonts w:ascii="Arial" w:hAnsi="Arial" w:cs="Arial"/>
          <w:szCs w:val="24"/>
          <w:lang w:val="es-ES"/>
        </w:rPr>
        <w:t>el</w:t>
      </w:r>
      <w:r w:rsidRPr="00256213">
        <w:rPr>
          <w:rFonts w:ascii="Arial" w:hAnsi="Arial" w:cs="Arial"/>
          <w:szCs w:val="24"/>
          <w:lang w:val="es-ES"/>
        </w:rPr>
        <w:t xml:space="preserve"> sistema aislado</w:t>
      </w:r>
      <w:r>
        <w:rPr>
          <w:rFonts w:ascii="Arial" w:hAnsi="Arial" w:cs="Arial"/>
          <w:szCs w:val="24"/>
          <w:lang w:val="es-ES"/>
        </w:rPr>
        <w:t xml:space="preserve"> Velasco d</w:t>
      </w:r>
      <w:r w:rsidRPr="00256213">
        <w:rPr>
          <w:rFonts w:ascii="Arial" w:hAnsi="Arial" w:cs="Arial"/>
          <w:szCs w:val="24"/>
          <w:lang w:val="es-ES"/>
        </w:rPr>
        <w:t xml:space="preserve">ejará de generar y por tanto dejará de consumir </w:t>
      </w:r>
      <w:r>
        <w:rPr>
          <w:rFonts w:ascii="Arial" w:hAnsi="Arial" w:cs="Arial"/>
          <w:szCs w:val="24"/>
          <w:lang w:val="es-ES"/>
        </w:rPr>
        <w:t>diésel</w:t>
      </w:r>
      <w:r w:rsidRPr="00256213">
        <w:rPr>
          <w:rFonts w:ascii="Arial" w:hAnsi="Arial" w:cs="Arial"/>
          <w:szCs w:val="24"/>
          <w:lang w:val="es-ES"/>
        </w:rPr>
        <w:t xml:space="preserve">, </w:t>
      </w:r>
      <w:r>
        <w:rPr>
          <w:rFonts w:ascii="Arial" w:hAnsi="Arial" w:cs="Arial"/>
          <w:szCs w:val="24"/>
          <w:lang w:val="es-ES"/>
        </w:rPr>
        <w:t xml:space="preserve">dando lugar a un </w:t>
      </w:r>
      <w:r w:rsidRPr="00256213">
        <w:rPr>
          <w:rFonts w:ascii="Arial" w:hAnsi="Arial" w:cs="Arial"/>
          <w:szCs w:val="24"/>
          <w:lang w:val="es-ES"/>
        </w:rPr>
        <w:t xml:space="preserve">volumen que </w:t>
      </w:r>
      <w:r>
        <w:rPr>
          <w:rFonts w:ascii="Arial" w:hAnsi="Arial" w:cs="Arial"/>
          <w:szCs w:val="24"/>
          <w:lang w:val="es-ES"/>
        </w:rPr>
        <w:t>dejará de ser im</w:t>
      </w:r>
      <w:r w:rsidRPr="00256213">
        <w:rPr>
          <w:rFonts w:ascii="Arial" w:hAnsi="Arial" w:cs="Arial"/>
          <w:szCs w:val="24"/>
          <w:lang w:val="es-ES"/>
        </w:rPr>
        <w:t xml:space="preserve">portado. El volumen </w:t>
      </w:r>
      <w:r>
        <w:rPr>
          <w:rFonts w:ascii="Arial" w:hAnsi="Arial" w:cs="Arial"/>
          <w:szCs w:val="24"/>
          <w:lang w:val="es-ES"/>
        </w:rPr>
        <w:t>medio</w:t>
      </w:r>
      <w:r w:rsidRPr="00256213">
        <w:rPr>
          <w:rFonts w:ascii="Arial" w:hAnsi="Arial" w:cs="Arial"/>
          <w:szCs w:val="24"/>
          <w:lang w:val="es-ES"/>
        </w:rPr>
        <w:t xml:space="preserve"> </w:t>
      </w:r>
      <w:r>
        <w:rPr>
          <w:rFonts w:ascii="Arial" w:hAnsi="Arial" w:cs="Arial"/>
          <w:szCs w:val="24"/>
          <w:lang w:val="es-ES"/>
        </w:rPr>
        <w:t xml:space="preserve">anual </w:t>
      </w:r>
      <w:r w:rsidRPr="00256213">
        <w:rPr>
          <w:rFonts w:ascii="Arial" w:hAnsi="Arial" w:cs="Arial"/>
          <w:szCs w:val="24"/>
          <w:lang w:val="es-ES"/>
        </w:rPr>
        <w:t xml:space="preserve">estimado </w:t>
      </w:r>
      <w:r>
        <w:rPr>
          <w:rFonts w:ascii="Arial" w:hAnsi="Arial" w:cs="Arial"/>
          <w:szCs w:val="24"/>
          <w:lang w:val="es-ES"/>
        </w:rPr>
        <w:t xml:space="preserve">para un periodo de 20 años es de </w:t>
      </w:r>
      <w:r w:rsidRPr="001105DF">
        <w:rPr>
          <w:rFonts w:ascii="Arial" w:hAnsi="Arial" w:cs="Arial"/>
          <w:szCs w:val="24"/>
          <w:lang w:val="es-ES"/>
        </w:rPr>
        <w:t>16,285,964</w:t>
      </w:r>
      <w:r>
        <w:rPr>
          <w:rFonts w:ascii="Arial" w:hAnsi="Arial" w:cs="Arial"/>
          <w:szCs w:val="24"/>
          <w:lang w:val="es-ES"/>
        </w:rPr>
        <w:t xml:space="preserve"> litros</w:t>
      </w:r>
      <w:r w:rsidRPr="00256213">
        <w:rPr>
          <w:rFonts w:ascii="Arial" w:hAnsi="Arial" w:cs="Arial"/>
          <w:szCs w:val="24"/>
          <w:lang w:val="es-ES"/>
        </w:rPr>
        <w:t xml:space="preserve">, a considerando </w:t>
      </w:r>
      <w:r>
        <w:rPr>
          <w:rFonts w:ascii="Arial" w:hAnsi="Arial" w:cs="Arial"/>
          <w:szCs w:val="24"/>
          <w:lang w:val="es-ES"/>
        </w:rPr>
        <w:t>el</w:t>
      </w:r>
      <w:r w:rsidRPr="00256213">
        <w:rPr>
          <w:rFonts w:ascii="Arial" w:hAnsi="Arial" w:cs="Arial"/>
          <w:szCs w:val="24"/>
          <w:lang w:val="es-ES"/>
        </w:rPr>
        <w:t xml:space="preserve"> precio del </w:t>
      </w:r>
      <w:r>
        <w:rPr>
          <w:rFonts w:ascii="Arial" w:hAnsi="Arial" w:cs="Arial"/>
          <w:szCs w:val="24"/>
          <w:lang w:val="es-ES"/>
        </w:rPr>
        <w:t>diésel im</w:t>
      </w:r>
      <w:r w:rsidRPr="00256213">
        <w:rPr>
          <w:rFonts w:ascii="Arial" w:hAnsi="Arial" w:cs="Arial"/>
          <w:szCs w:val="24"/>
          <w:lang w:val="es-ES"/>
        </w:rPr>
        <w:t>porta</w:t>
      </w:r>
      <w:r>
        <w:rPr>
          <w:rFonts w:ascii="Arial" w:hAnsi="Arial" w:cs="Arial"/>
          <w:szCs w:val="24"/>
          <w:lang w:val="es-ES"/>
        </w:rPr>
        <w:t xml:space="preserve">do 1.264 </w:t>
      </w:r>
      <w:r w:rsidRPr="00256213">
        <w:rPr>
          <w:rFonts w:ascii="Arial" w:hAnsi="Arial" w:cs="Arial"/>
          <w:szCs w:val="24"/>
          <w:lang w:val="es-ES"/>
        </w:rPr>
        <w:t>US$/</w:t>
      </w:r>
      <w:r>
        <w:rPr>
          <w:rFonts w:ascii="Arial" w:hAnsi="Arial" w:cs="Arial"/>
          <w:szCs w:val="24"/>
          <w:lang w:val="es-ES"/>
        </w:rPr>
        <w:t>litro</w:t>
      </w:r>
      <w:r>
        <w:rPr>
          <w:rStyle w:val="FootnoteReference"/>
          <w:rFonts w:ascii="Arial" w:hAnsi="Arial" w:cs="Arial"/>
          <w:szCs w:val="24"/>
          <w:lang w:val="es-ES"/>
        </w:rPr>
        <w:footnoteReference w:id="5"/>
      </w:r>
      <w:r w:rsidRPr="00256213">
        <w:rPr>
          <w:rFonts w:ascii="Arial" w:hAnsi="Arial" w:cs="Arial"/>
          <w:szCs w:val="24"/>
          <w:lang w:val="es-ES"/>
        </w:rPr>
        <w:t xml:space="preserve">. </w:t>
      </w:r>
    </w:p>
    <w:p w14:paraId="4881D138" w14:textId="77777777" w:rsidR="00636FEA" w:rsidRDefault="00636FEA" w:rsidP="00636FEA">
      <w:pPr>
        <w:pStyle w:val="ListParagraph"/>
        <w:spacing w:after="0"/>
        <w:jc w:val="both"/>
        <w:rPr>
          <w:rFonts w:ascii="Arial" w:hAnsi="Arial" w:cs="Arial"/>
          <w:szCs w:val="24"/>
          <w:lang w:val="es-ES"/>
        </w:rPr>
      </w:pPr>
    </w:p>
    <w:p w14:paraId="3744391F" w14:textId="77777777" w:rsidR="00636FEA" w:rsidRDefault="00636FEA" w:rsidP="00636FEA">
      <w:pPr>
        <w:pStyle w:val="ListParagraph"/>
        <w:numPr>
          <w:ilvl w:val="0"/>
          <w:numId w:val="17"/>
        </w:numPr>
        <w:spacing w:after="0"/>
        <w:jc w:val="both"/>
        <w:rPr>
          <w:rFonts w:ascii="Arial" w:hAnsi="Arial" w:cs="Arial"/>
          <w:szCs w:val="24"/>
          <w:lang w:val="es-ES"/>
        </w:rPr>
      </w:pPr>
      <w:r>
        <w:rPr>
          <w:rFonts w:ascii="Arial" w:hAnsi="Arial" w:cs="Arial"/>
          <w:szCs w:val="24"/>
          <w:u w:val="single"/>
          <w:lang w:val="es-ES"/>
        </w:rPr>
        <w:t xml:space="preserve">Energía no suministrada, </w:t>
      </w:r>
      <w:r w:rsidRPr="00DA59AD">
        <w:rPr>
          <w:rFonts w:ascii="Arial" w:hAnsi="Arial" w:cs="Arial"/>
          <w:szCs w:val="24"/>
          <w:lang w:val="es-ES"/>
        </w:rPr>
        <w:t xml:space="preserve">para ello se ha considerado </w:t>
      </w:r>
      <w:r>
        <w:rPr>
          <w:rFonts w:ascii="Arial" w:hAnsi="Arial" w:cs="Arial"/>
          <w:szCs w:val="24"/>
          <w:lang w:val="es-ES"/>
        </w:rPr>
        <w:t>la resolución</w:t>
      </w:r>
      <w:r w:rsidRPr="00DA59AD">
        <w:rPr>
          <w:rFonts w:ascii="Arial" w:hAnsi="Arial" w:cs="Arial"/>
          <w:szCs w:val="24"/>
          <w:lang w:val="es-ES"/>
        </w:rPr>
        <w:t xml:space="preserve"> AE</w:t>
      </w:r>
      <w:r>
        <w:rPr>
          <w:rFonts w:ascii="Arial" w:hAnsi="Arial" w:cs="Arial"/>
          <w:szCs w:val="24"/>
          <w:lang w:val="es-ES"/>
        </w:rPr>
        <w:t xml:space="preserve"> Nro 033/2016</w:t>
      </w:r>
      <w:r w:rsidRPr="00DA59AD">
        <w:rPr>
          <w:rFonts w:ascii="Arial" w:hAnsi="Arial" w:cs="Arial"/>
          <w:szCs w:val="24"/>
          <w:lang w:val="es-ES"/>
        </w:rPr>
        <w:t xml:space="preserve"> para </w:t>
      </w:r>
      <w:r>
        <w:rPr>
          <w:rFonts w:ascii="Arial" w:hAnsi="Arial" w:cs="Arial"/>
          <w:szCs w:val="24"/>
          <w:lang w:val="es-ES"/>
        </w:rPr>
        <w:t>el periodo mayo a octubre 2014, 6 meses</w:t>
      </w:r>
      <w:r w:rsidRPr="00DA59AD">
        <w:rPr>
          <w:rFonts w:ascii="Arial" w:hAnsi="Arial" w:cs="Arial"/>
          <w:szCs w:val="24"/>
          <w:lang w:val="es-ES"/>
        </w:rPr>
        <w:t xml:space="preserve">, el sistema aislado Velasco presentó un tiempo de interrupción de 7.93 horas, totalizando en el año 15.86 horas y su equivalente en energía, </w:t>
      </w:r>
      <w:r>
        <w:rPr>
          <w:rFonts w:ascii="Arial" w:hAnsi="Arial" w:cs="Arial"/>
          <w:szCs w:val="24"/>
          <w:lang w:val="es-ES"/>
        </w:rPr>
        <w:t>que</w:t>
      </w:r>
      <w:r w:rsidRPr="00DA59AD">
        <w:rPr>
          <w:rFonts w:ascii="Arial" w:hAnsi="Arial" w:cs="Arial"/>
          <w:szCs w:val="24"/>
          <w:lang w:val="es-ES"/>
        </w:rPr>
        <w:t xml:space="preserve"> han sido valoradas a razón de 1500 USD/MWh.</w:t>
      </w:r>
    </w:p>
    <w:p w14:paraId="4F5023B1" w14:textId="77777777" w:rsidR="00636FEA" w:rsidRPr="00947EF4" w:rsidRDefault="00636FEA" w:rsidP="00636FEA">
      <w:pPr>
        <w:pStyle w:val="ListParagraph"/>
        <w:rPr>
          <w:rFonts w:ascii="Arial" w:hAnsi="Arial" w:cs="Arial"/>
          <w:szCs w:val="24"/>
          <w:lang w:val="es-ES"/>
        </w:rPr>
      </w:pPr>
    </w:p>
    <w:p w14:paraId="50761770" w14:textId="77777777" w:rsidR="00636FEA" w:rsidRPr="00DA59AD" w:rsidRDefault="00636FEA" w:rsidP="00636FEA">
      <w:pPr>
        <w:pStyle w:val="ListParagraph"/>
        <w:numPr>
          <w:ilvl w:val="0"/>
          <w:numId w:val="17"/>
        </w:numPr>
        <w:spacing w:after="0"/>
        <w:jc w:val="both"/>
        <w:rPr>
          <w:rFonts w:ascii="Arial" w:hAnsi="Arial" w:cs="Arial"/>
          <w:szCs w:val="24"/>
          <w:lang w:val="es-ES"/>
        </w:rPr>
      </w:pPr>
      <w:r w:rsidRPr="00947EF4">
        <w:rPr>
          <w:rFonts w:ascii="Arial" w:hAnsi="Arial" w:cs="Arial"/>
          <w:szCs w:val="24"/>
          <w:u w:val="single"/>
          <w:lang w:val="es-ES"/>
        </w:rPr>
        <w:t>Ahorro de emisiones de CO2</w:t>
      </w:r>
      <w:r>
        <w:rPr>
          <w:rFonts w:ascii="Arial" w:hAnsi="Arial" w:cs="Arial"/>
          <w:szCs w:val="24"/>
          <w:lang w:val="es-ES"/>
        </w:rPr>
        <w:t>, considerando que por efecto del proyecto San Ignacio de Velasco dejara de consumir diésel en generación de electricidad (953 gr CO2/kWh) y pasara a consumir energías del SIN (414 gr CO2/kWh)</w:t>
      </w:r>
      <w:r>
        <w:rPr>
          <w:rStyle w:val="FootnoteReference"/>
          <w:rFonts w:ascii="Arial" w:hAnsi="Arial" w:cs="Arial"/>
          <w:szCs w:val="24"/>
          <w:lang w:val="es-ES"/>
        </w:rPr>
        <w:footnoteReference w:id="6"/>
      </w:r>
      <w:r>
        <w:rPr>
          <w:rFonts w:ascii="Arial" w:hAnsi="Arial" w:cs="Arial"/>
          <w:szCs w:val="24"/>
          <w:lang w:val="es-ES"/>
        </w:rPr>
        <w:t xml:space="preserve">, ahorro </w:t>
      </w:r>
      <w:r>
        <w:rPr>
          <w:rFonts w:ascii="Arial" w:hAnsi="Arial" w:cs="Arial"/>
          <w:lang w:val="es-ES"/>
        </w:rPr>
        <w:t>que fueron valorado</w:t>
      </w:r>
      <w:r w:rsidRPr="00840A21">
        <w:rPr>
          <w:rFonts w:ascii="Arial" w:hAnsi="Arial" w:cs="Arial"/>
          <w:lang w:val="es-ES"/>
        </w:rPr>
        <w:t xml:space="preserve"> a razón de 30 USD/TON</w:t>
      </w:r>
      <w:r>
        <w:rPr>
          <w:rFonts w:ascii="Arial" w:hAnsi="Arial" w:cs="Arial"/>
          <w:lang w:val="es-ES"/>
        </w:rPr>
        <w:t>.</w:t>
      </w:r>
    </w:p>
    <w:p w14:paraId="5D6E113B" w14:textId="77777777" w:rsidR="00636FEA" w:rsidRPr="00BA237E" w:rsidRDefault="00636FEA" w:rsidP="00636FEA">
      <w:pPr>
        <w:pStyle w:val="ListParagraph"/>
        <w:ind w:left="1080"/>
        <w:rPr>
          <w:rFonts w:ascii="Arial" w:hAnsi="Arial" w:cs="Arial"/>
          <w:color w:val="808080" w:themeColor="background1" w:themeShade="80"/>
          <w:szCs w:val="24"/>
          <w:lang w:val="es-MX"/>
        </w:rPr>
      </w:pPr>
    </w:p>
    <w:p w14:paraId="6297F3B3" w14:textId="77777777" w:rsidR="00636FEA" w:rsidRDefault="00636FEA" w:rsidP="00636FEA">
      <w:pPr>
        <w:spacing w:after="0"/>
        <w:jc w:val="both"/>
        <w:rPr>
          <w:rFonts w:ascii="Arial" w:hAnsi="Arial" w:cs="Arial"/>
          <w:szCs w:val="24"/>
          <w:lang w:val="es-ES"/>
        </w:rPr>
      </w:pPr>
      <w:r w:rsidRPr="00256213">
        <w:rPr>
          <w:rFonts w:ascii="Arial" w:hAnsi="Arial" w:cs="Arial"/>
          <w:szCs w:val="24"/>
          <w:lang w:val="es-ES"/>
        </w:rPr>
        <w:t>En el análisis no se han considerado otr</w:t>
      </w:r>
      <w:r>
        <w:rPr>
          <w:rFonts w:ascii="Arial" w:hAnsi="Arial" w:cs="Arial"/>
          <w:szCs w:val="24"/>
          <w:lang w:val="es-ES"/>
        </w:rPr>
        <w:t>os beneficios económicos como</w:t>
      </w:r>
      <w:r w:rsidRPr="00256213">
        <w:rPr>
          <w:rFonts w:ascii="Arial" w:hAnsi="Arial" w:cs="Arial"/>
          <w:szCs w:val="24"/>
          <w:lang w:val="es-ES"/>
        </w:rPr>
        <w:t xml:space="preserve"> la reducción de gastos de </w:t>
      </w:r>
      <w:r>
        <w:rPr>
          <w:rFonts w:ascii="Arial" w:hAnsi="Arial" w:cs="Arial"/>
          <w:szCs w:val="24"/>
          <w:lang w:val="es-ES"/>
        </w:rPr>
        <w:t>la</w:t>
      </w:r>
      <w:r w:rsidRPr="00256213">
        <w:rPr>
          <w:rFonts w:ascii="Arial" w:hAnsi="Arial" w:cs="Arial"/>
          <w:szCs w:val="24"/>
          <w:lang w:val="es-ES"/>
        </w:rPr>
        <w:t xml:space="preserve"> CRE debido a que por efecto de la implementación de la línea, </w:t>
      </w:r>
      <w:r>
        <w:rPr>
          <w:rFonts w:ascii="Arial" w:hAnsi="Arial" w:cs="Arial"/>
          <w:szCs w:val="24"/>
          <w:lang w:val="es-ES"/>
        </w:rPr>
        <w:t>el</w:t>
      </w:r>
      <w:r w:rsidRPr="00256213">
        <w:rPr>
          <w:rFonts w:ascii="Arial" w:hAnsi="Arial" w:cs="Arial"/>
          <w:szCs w:val="24"/>
          <w:lang w:val="es-ES"/>
        </w:rPr>
        <w:t xml:space="preserve"> operador dejará de gastar en operación y mantenimiento de</w:t>
      </w:r>
      <w:r>
        <w:rPr>
          <w:rFonts w:ascii="Arial" w:hAnsi="Arial" w:cs="Arial"/>
          <w:szCs w:val="24"/>
          <w:lang w:val="es-ES"/>
        </w:rPr>
        <w:t xml:space="preserve">l </w:t>
      </w:r>
      <w:r w:rsidRPr="00256213">
        <w:rPr>
          <w:rFonts w:ascii="Arial" w:hAnsi="Arial" w:cs="Arial"/>
          <w:szCs w:val="24"/>
          <w:lang w:val="es-ES"/>
        </w:rPr>
        <w:t>sistema de generación actual.</w:t>
      </w:r>
    </w:p>
    <w:p w14:paraId="7A6D101C" w14:textId="77777777" w:rsidR="00636FEA" w:rsidRPr="00256213" w:rsidRDefault="00636FEA" w:rsidP="00636FEA">
      <w:pPr>
        <w:spacing w:after="0" w:line="240" w:lineRule="auto"/>
        <w:jc w:val="both"/>
        <w:rPr>
          <w:rFonts w:ascii="Arial" w:hAnsi="Arial" w:cs="Arial"/>
          <w:szCs w:val="24"/>
          <w:lang w:val="es-ES"/>
        </w:rPr>
      </w:pPr>
      <w:r w:rsidRPr="00256213">
        <w:rPr>
          <w:rFonts w:ascii="Arial" w:hAnsi="Arial" w:cs="Arial"/>
          <w:szCs w:val="24"/>
          <w:lang w:val="es-ES"/>
        </w:rPr>
        <w:t xml:space="preserve"> </w:t>
      </w:r>
    </w:p>
    <w:p w14:paraId="45100C90" w14:textId="77777777" w:rsidR="00636FEA" w:rsidRPr="00256213" w:rsidRDefault="00636FEA" w:rsidP="00636FEA">
      <w:pPr>
        <w:pStyle w:val="Heading1"/>
        <w:spacing w:before="0"/>
        <w:ind w:left="714" w:hanging="357"/>
        <w:rPr>
          <w:rFonts w:ascii="Arial" w:hAnsi="Arial" w:cs="Arial"/>
          <w:color w:val="244061" w:themeColor="accent1" w:themeShade="80"/>
          <w:lang w:val="es-ES"/>
        </w:rPr>
      </w:pPr>
      <w:r w:rsidRPr="00256213">
        <w:rPr>
          <w:rFonts w:ascii="Arial" w:hAnsi="Arial" w:cs="Arial"/>
          <w:color w:val="244061" w:themeColor="accent1" w:themeShade="80"/>
          <w:lang w:val="es-ES"/>
        </w:rPr>
        <w:t xml:space="preserve"> </w:t>
      </w:r>
      <w:bookmarkStart w:id="13" w:name="_Toc494317180"/>
      <w:r w:rsidRPr="00256213">
        <w:rPr>
          <w:rFonts w:ascii="Arial" w:hAnsi="Arial" w:cs="Arial"/>
          <w:color w:val="244061" w:themeColor="accent1" w:themeShade="80"/>
          <w:lang w:val="es-ES"/>
        </w:rPr>
        <w:t>COSTOS ECONÓMICOS</w:t>
      </w:r>
      <w:bookmarkEnd w:id="13"/>
      <w:r w:rsidRPr="00256213">
        <w:rPr>
          <w:rFonts w:ascii="Arial" w:hAnsi="Arial" w:cs="Arial"/>
          <w:color w:val="244061" w:themeColor="accent1" w:themeShade="80"/>
          <w:lang w:val="es-ES"/>
        </w:rPr>
        <w:t xml:space="preserve"> </w:t>
      </w:r>
    </w:p>
    <w:p w14:paraId="13BEDD09" w14:textId="77777777" w:rsidR="00636FEA" w:rsidRDefault="00636FEA" w:rsidP="00636FEA">
      <w:pPr>
        <w:spacing w:after="0" w:line="240" w:lineRule="auto"/>
        <w:jc w:val="both"/>
        <w:rPr>
          <w:rFonts w:ascii="Arial" w:hAnsi="Arial" w:cs="Arial"/>
          <w:lang w:val="es-ES_tradnl"/>
        </w:rPr>
      </w:pPr>
    </w:p>
    <w:p w14:paraId="1C326B41" w14:textId="77777777" w:rsidR="00636FEA" w:rsidRPr="00256213" w:rsidRDefault="00636FEA" w:rsidP="00636FEA">
      <w:pPr>
        <w:spacing w:after="0" w:line="240" w:lineRule="auto"/>
        <w:jc w:val="both"/>
        <w:rPr>
          <w:rFonts w:ascii="Arial" w:hAnsi="Arial" w:cs="Arial"/>
          <w:lang w:val="es-ES_tradnl"/>
        </w:rPr>
      </w:pPr>
      <w:r w:rsidRPr="00256213">
        <w:rPr>
          <w:rFonts w:ascii="Arial" w:hAnsi="Arial" w:cs="Arial"/>
          <w:lang w:val="es-ES_tradnl"/>
        </w:rPr>
        <w:t>Los costos considerados para e</w:t>
      </w:r>
      <w:r>
        <w:rPr>
          <w:rFonts w:ascii="Arial" w:hAnsi="Arial" w:cs="Arial"/>
          <w:lang w:val="es-ES_tradnl"/>
        </w:rPr>
        <w:t>l</w:t>
      </w:r>
      <w:r w:rsidRPr="00256213">
        <w:rPr>
          <w:rFonts w:ascii="Arial" w:hAnsi="Arial" w:cs="Arial"/>
          <w:lang w:val="es-ES_tradnl"/>
        </w:rPr>
        <w:t xml:space="preserve"> </w:t>
      </w:r>
      <w:r>
        <w:rPr>
          <w:rFonts w:ascii="Arial" w:hAnsi="Arial" w:cs="Arial"/>
          <w:lang w:val="es-ES_tradnl"/>
        </w:rPr>
        <w:t>proyecto</w:t>
      </w:r>
      <w:r w:rsidRPr="00256213">
        <w:rPr>
          <w:rFonts w:ascii="Arial" w:hAnsi="Arial" w:cs="Arial"/>
          <w:lang w:val="es-ES_tradnl"/>
        </w:rPr>
        <w:t xml:space="preserve"> son:</w:t>
      </w:r>
    </w:p>
    <w:p w14:paraId="55494CF1" w14:textId="77777777" w:rsidR="00636FEA" w:rsidRPr="00256213" w:rsidRDefault="00636FEA" w:rsidP="00636FEA">
      <w:pPr>
        <w:spacing w:after="0" w:line="240" w:lineRule="auto"/>
        <w:jc w:val="both"/>
        <w:rPr>
          <w:rFonts w:ascii="Arial" w:hAnsi="Arial" w:cs="Arial"/>
          <w:lang w:val="es-ES_tradnl"/>
        </w:rPr>
      </w:pPr>
    </w:p>
    <w:p w14:paraId="78199975" w14:textId="77777777" w:rsidR="00636FEA" w:rsidRPr="00256213" w:rsidRDefault="00636FEA" w:rsidP="00636FEA">
      <w:pPr>
        <w:pStyle w:val="ListParagraph"/>
        <w:numPr>
          <w:ilvl w:val="0"/>
          <w:numId w:val="32"/>
        </w:numPr>
        <w:spacing w:after="0" w:line="240" w:lineRule="auto"/>
        <w:jc w:val="both"/>
        <w:rPr>
          <w:rFonts w:ascii="Arial" w:hAnsi="Arial" w:cs="Arial"/>
          <w:lang w:val="es-419" w:eastAsia="es-BO"/>
        </w:rPr>
      </w:pPr>
      <w:r w:rsidRPr="00256213">
        <w:rPr>
          <w:rFonts w:ascii="Arial" w:hAnsi="Arial" w:cs="Arial"/>
          <w:u w:val="single"/>
          <w:lang w:val="es-ES"/>
        </w:rPr>
        <w:t>Costo de inversión</w:t>
      </w:r>
      <w:r w:rsidRPr="00256213">
        <w:rPr>
          <w:rFonts w:ascii="Arial" w:hAnsi="Arial" w:cs="Arial"/>
          <w:lang w:val="es-ES"/>
        </w:rPr>
        <w:t xml:space="preserve"> </w:t>
      </w:r>
      <w:r w:rsidRPr="00256213">
        <w:rPr>
          <w:rFonts w:ascii="Arial" w:hAnsi="Arial" w:cs="Arial"/>
          <w:lang w:val="es-419" w:eastAsia="es-BO"/>
        </w:rPr>
        <w:t xml:space="preserve">ha sido calculado de acuerdo a los diseños de la </w:t>
      </w:r>
      <w:r>
        <w:rPr>
          <w:rFonts w:ascii="Arial" w:hAnsi="Arial" w:cs="Arial"/>
          <w:lang w:val="es-419" w:eastAsia="es-BO"/>
        </w:rPr>
        <w:t>LT</w:t>
      </w:r>
      <w:r w:rsidRPr="00256213">
        <w:rPr>
          <w:rFonts w:ascii="Arial" w:hAnsi="Arial" w:cs="Arial"/>
          <w:lang w:val="es-419" w:eastAsia="es-BO"/>
        </w:rPr>
        <w:t xml:space="preserve"> y </w:t>
      </w:r>
      <w:r>
        <w:rPr>
          <w:rFonts w:ascii="Arial" w:hAnsi="Arial" w:cs="Arial"/>
          <w:lang w:val="es-419" w:eastAsia="es-BO"/>
        </w:rPr>
        <w:t>SE</w:t>
      </w:r>
      <w:r w:rsidRPr="00256213">
        <w:rPr>
          <w:rFonts w:ascii="Arial" w:hAnsi="Arial" w:cs="Arial"/>
          <w:lang w:val="es-419" w:eastAsia="es-BO"/>
        </w:rPr>
        <w:t xml:space="preserve"> asociadas.</w:t>
      </w:r>
      <w:r>
        <w:rPr>
          <w:rFonts w:ascii="Arial" w:hAnsi="Arial" w:cs="Arial"/>
          <w:lang w:val="es-419" w:eastAsia="es-BO"/>
        </w:rPr>
        <w:t xml:space="preserve"> De acuerdo al perfil elaborado por ENDE, t</w:t>
      </w:r>
      <w:r w:rsidRPr="00256213">
        <w:rPr>
          <w:rFonts w:ascii="Arial" w:hAnsi="Arial" w:cs="Arial"/>
          <w:lang w:val="es-419" w:eastAsia="es-BO"/>
        </w:rPr>
        <w:t>odos los costos incluyen impuestos y son servicios llave en mano.</w:t>
      </w:r>
    </w:p>
    <w:p w14:paraId="09210A87" w14:textId="77777777" w:rsidR="00636FEA" w:rsidRDefault="00636FEA" w:rsidP="00636FEA">
      <w:pPr>
        <w:pStyle w:val="ListParagraph"/>
        <w:ind w:left="0"/>
        <w:jc w:val="both"/>
        <w:rPr>
          <w:rFonts w:ascii="Arial" w:hAnsi="Arial" w:cs="Arial"/>
          <w:lang w:val="es-419" w:eastAsia="es-BO"/>
        </w:rPr>
      </w:pPr>
    </w:p>
    <w:p w14:paraId="539D9B9B" w14:textId="77777777" w:rsidR="00636FEA" w:rsidRPr="00256213" w:rsidRDefault="00636FEA" w:rsidP="00636FEA">
      <w:pPr>
        <w:pStyle w:val="ListParagraph"/>
        <w:ind w:left="284"/>
        <w:jc w:val="center"/>
        <w:rPr>
          <w:rFonts w:ascii="Arial" w:hAnsi="Arial" w:cs="Arial"/>
          <w:b/>
          <w:lang w:val="es-419"/>
        </w:rPr>
      </w:pPr>
      <w:r w:rsidRPr="00256213">
        <w:rPr>
          <w:rFonts w:ascii="Arial" w:hAnsi="Arial" w:cs="Arial"/>
          <w:b/>
          <w:bCs/>
          <w:lang w:val="es-419"/>
        </w:rPr>
        <w:t xml:space="preserve">Tabla </w:t>
      </w:r>
      <w:r>
        <w:rPr>
          <w:rFonts w:ascii="Arial" w:hAnsi="Arial" w:cs="Arial"/>
          <w:b/>
          <w:bCs/>
          <w:lang w:val="es-419"/>
        </w:rPr>
        <w:t>4</w:t>
      </w:r>
      <w:r w:rsidRPr="00256213">
        <w:rPr>
          <w:rFonts w:ascii="Arial" w:hAnsi="Arial" w:cs="Arial"/>
          <w:b/>
          <w:bCs/>
          <w:lang w:val="es-419"/>
        </w:rPr>
        <w:t xml:space="preserve">. </w:t>
      </w:r>
      <w:r w:rsidRPr="00FA41A9">
        <w:rPr>
          <w:rFonts w:ascii="Arial" w:hAnsi="Arial" w:cs="Arial"/>
          <w:lang w:val="es-419"/>
        </w:rPr>
        <w:t>Presupuesto Desglosado</w:t>
      </w:r>
      <w:r w:rsidRPr="00256213">
        <w:rPr>
          <w:rFonts w:ascii="Arial" w:hAnsi="Arial" w:cs="Arial"/>
          <w:b/>
          <w:lang w:val="es-419"/>
        </w:rPr>
        <w:t xml:space="preserve"> </w:t>
      </w:r>
    </w:p>
    <w:tbl>
      <w:tblPr>
        <w:tblStyle w:val="Tablaconcuadrcula1"/>
        <w:tblpPr w:leftFromText="141" w:rightFromText="141" w:vertAnchor="text" w:tblpY="140"/>
        <w:tblW w:w="5000" w:type="pct"/>
        <w:tblLayout w:type="fixed"/>
        <w:tblLook w:val="04A0" w:firstRow="1" w:lastRow="0" w:firstColumn="1" w:lastColumn="0" w:noHBand="0" w:noVBand="1"/>
      </w:tblPr>
      <w:tblGrid>
        <w:gridCol w:w="2096"/>
        <w:gridCol w:w="2553"/>
        <w:gridCol w:w="1500"/>
        <w:gridCol w:w="1053"/>
        <w:gridCol w:w="1348"/>
        <w:gridCol w:w="800"/>
      </w:tblGrid>
      <w:tr w:rsidR="00636FEA" w:rsidRPr="00256213" w14:paraId="4A060BEF" w14:textId="77777777" w:rsidTr="00D82D65">
        <w:trPr>
          <w:trHeight w:val="300"/>
        </w:trPr>
        <w:tc>
          <w:tcPr>
            <w:tcW w:w="1121" w:type="pct"/>
            <w:noWrap/>
            <w:vAlign w:val="center"/>
            <w:hideMark/>
          </w:tcPr>
          <w:p w14:paraId="60677CD9" w14:textId="77777777" w:rsidR="00636FEA" w:rsidRPr="00256213" w:rsidRDefault="00636FEA" w:rsidP="00D82D65">
            <w:pPr>
              <w:ind w:firstLine="221"/>
              <w:jc w:val="center"/>
              <w:rPr>
                <w:rFonts w:ascii="Arial" w:hAnsi="Arial" w:cs="Arial"/>
                <w:b/>
                <w:sz w:val="18"/>
              </w:rPr>
            </w:pPr>
          </w:p>
        </w:tc>
        <w:tc>
          <w:tcPr>
            <w:tcW w:w="1365" w:type="pct"/>
            <w:noWrap/>
            <w:vAlign w:val="center"/>
            <w:hideMark/>
          </w:tcPr>
          <w:p w14:paraId="7D2D6E1D" w14:textId="77777777" w:rsidR="00636FEA" w:rsidRPr="00256213" w:rsidRDefault="00636FEA" w:rsidP="00D82D65">
            <w:pPr>
              <w:jc w:val="center"/>
              <w:rPr>
                <w:rFonts w:ascii="Arial" w:hAnsi="Arial" w:cs="Arial"/>
                <w:b/>
                <w:sz w:val="18"/>
              </w:rPr>
            </w:pPr>
          </w:p>
        </w:tc>
        <w:tc>
          <w:tcPr>
            <w:tcW w:w="802" w:type="pct"/>
            <w:noWrap/>
            <w:vAlign w:val="center"/>
            <w:hideMark/>
          </w:tcPr>
          <w:p w14:paraId="52E65435" w14:textId="77777777" w:rsidR="00636FEA" w:rsidRPr="00256213" w:rsidRDefault="00636FEA" w:rsidP="00D82D65">
            <w:pPr>
              <w:jc w:val="center"/>
              <w:rPr>
                <w:rFonts w:ascii="Arial" w:hAnsi="Arial" w:cs="Arial"/>
                <w:b/>
                <w:color w:val="000000"/>
                <w:sz w:val="18"/>
              </w:rPr>
            </w:pPr>
            <w:r w:rsidRPr="00256213">
              <w:rPr>
                <w:rFonts w:ascii="Arial" w:hAnsi="Arial" w:cs="Arial"/>
                <w:b/>
                <w:color w:val="000000"/>
                <w:sz w:val="18"/>
              </w:rPr>
              <w:t>COSTO UNIT</w:t>
            </w:r>
          </w:p>
        </w:tc>
        <w:tc>
          <w:tcPr>
            <w:tcW w:w="563" w:type="pct"/>
            <w:noWrap/>
            <w:vAlign w:val="center"/>
            <w:hideMark/>
          </w:tcPr>
          <w:p w14:paraId="693950E4" w14:textId="77777777" w:rsidR="00636FEA" w:rsidRPr="00256213" w:rsidRDefault="00636FEA" w:rsidP="00D82D65">
            <w:pPr>
              <w:jc w:val="center"/>
              <w:rPr>
                <w:rFonts w:ascii="Arial" w:hAnsi="Arial" w:cs="Arial"/>
                <w:b/>
                <w:color w:val="000000"/>
                <w:sz w:val="18"/>
              </w:rPr>
            </w:pPr>
            <w:r w:rsidRPr="00256213">
              <w:rPr>
                <w:rFonts w:ascii="Arial" w:hAnsi="Arial" w:cs="Arial"/>
                <w:b/>
                <w:color w:val="000000"/>
                <w:sz w:val="18"/>
              </w:rPr>
              <w:t>(UNI)</w:t>
            </w:r>
          </w:p>
        </w:tc>
        <w:tc>
          <w:tcPr>
            <w:tcW w:w="721" w:type="pct"/>
            <w:noWrap/>
            <w:vAlign w:val="center"/>
            <w:hideMark/>
          </w:tcPr>
          <w:p w14:paraId="56E11A49" w14:textId="77777777" w:rsidR="00636FEA" w:rsidRPr="00256213" w:rsidRDefault="00636FEA" w:rsidP="00D82D65">
            <w:pPr>
              <w:jc w:val="center"/>
              <w:rPr>
                <w:rFonts w:ascii="Arial" w:hAnsi="Arial" w:cs="Arial"/>
                <w:b/>
                <w:color w:val="000000"/>
                <w:sz w:val="18"/>
              </w:rPr>
            </w:pPr>
            <w:r w:rsidRPr="00256213">
              <w:rPr>
                <w:rFonts w:ascii="Arial" w:hAnsi="Arial" w:cs="Arial"/>
                <w:b/>
                <w:color w:val="000000"/>
                <w:sz w:val="18"/>
              </w:rPr>
              <w:t>CANTIDAD</w:t>
            </w:r>
          </w:p>
        </w:tc>
        <w:tc>
          <w:tcPr>
            <w:tcW w:w="428" w:type="pct"/>
            <w:noWrap/>
            <w:vAlign w:val="center"/>
            <w:hideMark/>
          </w:tcPr>
          <w:p w14:paraId="14BA4C19" w14:textId="77777777" w:rsidR="00636FEA" w:rsidRPr="00256213" w:rsidRDefault="00636FEA" w:rsidP="00D82D65">
            <w:pPr>
              <w:jc w:val="center"/>
              <w:rPr>
                <w:rFonts w:ascii="Arial" w:hAnsi="Arial" w:cs="Arial"/>
                <w:b/>
                <w:color w:val="000000"/>
                <w:sz w:val="18"/>
              </w:rPr>
            </w:pPr>
            <w:r w:rsidRPr="00256213">
              <w:rPr>
                <w:rFonts w:ascii="Arial" w:hAnsi="Arial" w:cs="Arial"/>
                <w:b/>
                <w:color w:val="000000"/>
                <w:sz w:val="18"/>
              </w:rPr>
              <w:t>(UNI)</w:t>
            </w:r>
          </w:p>
        </w:tc>
      </w:tr>
      <w:tr w:rsidR="00636FEA" w:rsidRPr="00256213" w14:paraId="1E5E251A" w14:textId="77777777" w:rsidTr="00D82D65">
        <w:trPr>
          <w:trHeight w:val="300"/>
        </w:trPr>
        <w:tc>
          <w:tcPr>
            <w:tcW w:w="1121" w:type="pct"/>
            <w:noWrap/>
            <w:vAlign w:val="center"/>
            <w:hideMark/>
          </w:tcPr>
          <w:p w14:paraId="6504BA25" w14:textId="77777777" w:rsidR="00636FEA" w:rsidRPr="00256213" w:rsidRDefault="00636FEA" w:rsidP="00D82D65">
            <w:pPr>
              <w:jc w:val="left"/>
              <w:rPr>
                <w:rFonts w:ascii="Arial" w:hAnsi="Arial" w:cs="Arial"/>
                <w:b/>
                <w:color w:val="000000"/>
                <w:sz w:val="18"/>
              </w:rPr>
            </w:pPr>
            <w:r w:rsidRPr="00256213">
              <w:rPr>
                <w:rFonts w:ascii="Arial" w:hAnsi="Arial" w:cs="Arial"/>
                <w:b/>
                <w:color w:val="000000"/>
                <w:sz w:val="18"/>
              </w:rPr>
              <w:t>LINEA DE TRANSMISION</w:t>
            </w:r>
          </w:p>
        </w:tc>
        <w:tc>
          <w:tcPr>
            <w:tcW w:w="1365" w:type="pct"/>
            <w:noWrap/>
            <w:vAlign w:val="center"/>
            <w:hideMark/>
          </w:tcPr>
          <w:p w14:paraId="016613FB"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LINEA DE TRANSMISION</w:t>
            </w:r>
          </w:p>
        </w:tc>
        <w:tc>
          <w:tcPr>
            <w:tcW w:w="802" w:type="pct"/>
            <w:noWrap/>
            <w:vAlign w:val="center"/>
            <w:hideMark/>
          </w:tcPr>
          <w:p w14:paraId="4419454C"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160.000,00</w:t>
            </w:r>
          </w:p>
        </w:tc>
        <w:tc>
          <w:tcPr>
            <w:tcW w:w="563" w:type="pct"/>
            <w:noWrap/>
            <w:vAlign w:val="center"/>
            <w:hideMark/>
          </w:tcPr>
          <w:p w14:paraId="18844888"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USD/KM</w:t>
            </w:r>
          </w:p>
        </w:tc>
        <w:tc>
          <w:tcPr>
            <w:tcW w:w="721" w:type="pct"/>
            <w:noWrap/>
            <w:vAlign w:val="center"/>
            <w:hideMark/>
          </w:tcPr>
          <w:p w14:paraId="25DF5922"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238</w:t>
            </w:r>
          </w:p>
        </w:tc>
        <w:tc>
          <w:tcPr>
            <w:tcW w:w="428" w:type="pct"/>
            <w:noWrap/>
            <w:vAlign w:val="center"/>
            <w:hideMark/>
          </w:tcPr>
          <w:p w14:paraId="046B2B06"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KM</w:t>
            </w:r>
          </w:p>
        </w:tc>
      </w:tr>
      <w:tr w:rsidR="00636FEA" w:rsidRPr="00256213" w14:paraId="5D311B51" w14:textId="77777777" w:rsidTr="00D82D65">
        <w:trPr>
          <w:trHeight w:val="101"/>
        </w:trPr>
        <w:tc>
          <w:tcPr>
            <w:tcW w:w="5000" w:type="pct"/>
            <w:gridSpan w:val="6"/>
            <w:vAlign w:val="center"/>
            <w:hideMark/>
          </w:tcPr>
          <w:p w14:paraId="1CC21876" w14:textId="77777777" w:rsidR="00636FEA" w:rsidRPr="00256213" w:rsidRDefault="00636FEA" w:rsidP="00D82D65">
            <w:pPr>
              <w:jc w:val="left"/>
              <w:rPr>
                <w:rFonts w:ascii="Arial" w:hAnsi="Arial" w:cs="Arial"/>
                <w:b/>
                <w:color w:val="000000"/>
                <w:sz w:val="18"/>
              </w:rPr>
            </w:pPr>
          </w:p>
        </w:tc>
      </w:tr>
      <w:tr w:rsidR="00636FEA" w:rsidRPr="00256213" w14:paraId="39E446A0" w14:textId="77777777" w:rsidTr="00D82D65">
        <w:trPr>
          <w:trHeight w:val="300"/>
        </w:trPr>
        <w:tc>
          <w:tcPr>
            <w:tcW w:w="1121" w:type="pct"/>
            <w:vMerge w:val="restart"/>
            <w:vAlign w:val="center"/>
            <w:hideMark/>
          </w:tcPr>
          <w:p w14:paraId="3FF1D1F6" w14:textId="77777777" w:rsidR="00636FEA" w:rsidRPr="00256213" w:rsidRDefault="00636FEA" w:rsidP="00D82D65">
            <w:pPr>
              <w:jc w:val="left"/>
              <w:rPr>
                <w:rFonts w:ascii="Arial" w:hAnsi="Arial" w:cs="Arial"/>
                <w:b/>
                <w:color w:val="000000"/>
                <w:sz w:val="18"/>
              </w:rPr>
            </w:pPr>
            <w:r w:rsidRPr="00256213">
              <w:rPr>
                <w:rFonts w:ascii="Arial" w:hAnsi="Arial" w:cs="Arial"/>
                <w:b/>
                <w:color w:val="000000"/>
                <w:sz w:val="18"/>
              </w:rPr>
              <w:t>AMPLIACION LOS TRONCOS</w:t>
            </w:r>
          </w:p>
        </w:tc>
        <w:tc>
          <w:tcPr>
            <w:tcW w:w="1365" w:type="pct"/>
            <w:noWrap/>
            <w:vAlign w:val="center"/>
            <w:hideMark/>
          </w:tcPr>
          <w:p w14:paraId="3B10948C"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BAHIA DE LINEA</w:t>
            </w:r>
          </w:p>
        </w:tc>
        <w:tc>
          <w:tcPr>
            <w:tcW w:w="802" w:type="pct"/>
            <w:noWrap/>
            <w:vAlign w:val="center"/>
            <w:hideMark/>
          </w:tcPr>
          <w:p w14:paraId="061F91F5"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1.300.000,00</w:t>
            </w:r>
          </w:p>
        </w:tc>
        <w:tc>
          <w:tcPr>
            <w:tcW w:w="563" w:type="pct"/>
            <w:noWrap/>
            <w:vAlign w:val="center"/>
            <w:hideMark/>
          </w:tcPr>
          <w:p w14:paraId="042F2858"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202B5E42"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3ACBDCD9"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GBL</w:t>
            </w:r>
          </w:p>
        </w:tc>
      </w:tr>
      <w:tr w:rsidR="00636FEA" w:rsidRPr="00256213" w14:paraId="1966E7AC" w14:textId="77777777" w:rsidTr="00D82D65">
        <w:trPr>
          <w:trHeight w:val="300"/>
        </w:trPr>
        <w:tc>
          <w:tcPr>
            <w:tcW w:w="1121" w:type="pct"/>
            <w:vMerge/>
            <w:vAlign w:val="center"/>
            <w:hideMark/>
          </w:tcPr>
          <w:p w14:paraId="05764125" w14:textId="77777777" w:rsidR="00636FEA" w:rsidRPr="00256213" w:rsidRDefault="00636FEA" w:rsidP="00D82D65">
            <w:pPr>
              <w:jc w:val="left"/>
              <w:rPr>
                <w:rFonts w:ascii="Arial" w:hAnsi="Arial" w:cs="Arial"/>
                <w:b/>
                <w:color w:val="000000"/>
                <w:sz w:val="18"/>
              </w:rPr>
            </w:pPr>
          </w:p>
        </w:tc>
        <w:tc>
          <w:tcPr>
            <w:tcW w:w="1365" w:type="pct"/>
            <w:noWrap/>
            <w:vAlign w:val="center"/>
            <w:hideMark/>
          </w:tcPr>
          <w:p w14:paraId="24ADD3D4"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BAHIA DE REACTOR</w:t>
            </w:r>
          </w:p>
        </w:tc>
        <w:tc>
          <w:tcPr>
            <w:tcW w:w="802" w:type="pct"/>
            <w:noWrap/>
            <w:vAlign w:val="center"/>
            <w:hideMark/>
          </w:tcPr>
          <w:p w14:paraId="3BA42603"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1.100.000,00</w:t>
            </w:r>
          </w:p>
        </w:tc>
        <w:tc>
          <w:tcPr>
            <w:tcW w:w="563" w:type="pct"/>
            <w:noWrap/>
            <w:vAlign w:val="center"/>
            <w:hideMark/>
          </w:tcPr>
          <w:p w14:paraId="23530B32"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43E1494B"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34C58AB4"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GBL</w:t>
            </w:r>
          </w:p>
        </w:tc>
      </w:tr>
      <w:tr w:rsidR="00636FEA" w:rsidRPr="00256213" w14:paraId="36C68D71" w14:textId="77777777" w:rsidTr="00D82D65">
        <w:trPr>
          <w:trHeight w:val="300"/>
        </w:trPr>
        <w:tc>
          <w:tcPr>
            <w:tcW w:w="1121" w:type="pct"/>
            <w:vMerge/>
            <w:vAlign w:val="center"/>
            <w:hideMark/>
          </w:tcPr>
          <w:p w14:paraId="1BD26184" w14:textId="77777777" w:rsidR="00636FEA" w:rsidRPr="00256213" w:rsidRDefault="00636FEA" w:rsidP="00D82D65">
            <w:pPr>
              <w:jc w:val="left"/>
              <w:rPr>
                <w:rFonts w:ascii="Arial" w:hAnsi="Arial" w:cs="Arial"/>
                <w:b/>
                <w:color w:val="000000"/>
                <w:sz w:val="18"/>
              </w:rPr>
            </w:pPr>
          </w:p>
        </w:tc>
        <w:tc>
          <w:tcPr>
            <w:tcW w:w="1365" w:type="pct"/>
            <w:noWrap/>
            <w:vAlign w:val="center"/>
            <w:hideMark/>
          </w:tcPr>
          <w:p w14:paraId="70F3C8FC"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BANCO DE REACTORES</w:t>
            </w:r>
          </w:p>
        </w:tc>
        <w:tc>
          <w:tcPr>
            <w:tcW w:w="802" w:type="pct"/>
            <w:noWrap/>
            <w:vAlign w:val="center"/>
            <w:hideMark/>
          </w:tcPr>
          <w:p w14:paraId="5372690D"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1.800.000,00</w:t>
            </w:r>
          </w:p>
        </w:tc>
        <w:tc>
          <w:tcPr>
            <w:tcW w:w="563" w:type="pct"/>
            <w:noWrap/>
            <w:vAlign w:val="center"/>
            <w:hideMark/>
          </w:tcPr>
          <w:p w14:paraId="6734FB27"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7693E26D"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226278F1"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2C0D353C" w14:textId="77777777" w:rsidTr="00D82D65">
        <w:trPr>
          <w:trHeight w:val="89"/>
        </w:trPr>
        <w:tc>
          <w:tcPr>
            <w:tcW w:w="5000" w:type="pct"/>
            <w:gridSpan w:val="6"/>
            <w:vAlign w:val="center"/>
            <w:hideMark/>
          </w:tcPr>
          <w:p w14:paraId="7A2D045C" w14:textId="77777777" w:rsidR="00636FEA" w:rsidRPr="00256213" w:rsidRDefault="00636FEA" w:rsidP="00D82D65">
            <w:pPr>
              <w:jc w:val="left"/>
              <w:rPr>
                <w:rFonts w:ascii="Arial" w:hAnsi="Arial" w:cs="Arial"/>
                <w:b/>
                <w:color w:val="000000"/>
                <w:sz w:val="18"/>
              </w:rPr>
            </w:pPr>
          </w:p>
        </w:tc>
      </w:tr>
      <w:tr w:rsidR="00636FEA" w:rsidRPr="00256213" w14:paraId="2143B44D" w14:textId="77777777" w:rsidTr="00D82D65">
        <w:trPr>
          <w:trHeight w:val="300"/>
        </w:trPr>
        <w:tc>
          <w:tcPr>
            <w:tcW w:w="1121" w:type="pct"/>
            <w:vMerge w:val="restart"/>
            <w:vAlign w:val="center"/>
            <w:hideMark/>
          </w:tcPr>
          <w:p w14:paraId="11C0035C" w14:textId="77777777" w:rsidR="00636FEA" w:rsidRPr="00256213" w:rsidRDefault="00636FEA" w:rsidP="00D82D65">
            <w:pPr>
              <w:jc w:val="left"/>
              <w:rPr>
                <w:rFonts w:ascii="Arial" w:hAnsi="Arial" w:cs="Arial"/>
                <w:b/>
                <w:color w:val="000000"/>
                <w:sz w:val="18"/>
              </w:rPr>
            </w:pPr>
            <w:r w:rsidRPr="00256213">
              <w:rPr>
                <w:rFonts w:ascii="Arial" w:hAnsi="Arial" w:cs="Arial"/>
                <w:b/>
                <w:color w:val="000000"/>
                <w:sz w:val="18"/>
              </w:rPr>
              <w:t>S.E. SAN IGNACIO DE VELASCO</w:t>
            </w:r>
          </w:p>
        </w:tc>
        <w:tc>
          <w:tcPr>
            <w:tcW w:w="1365" w:type="pct"/>
            <w:noWrap/>
            <w:vAlign w:val="center"/>
            <w:hideMark/>
          </w:tcPr>
          <w:p w14:paraId="0E4D9B9E"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BAHIA DE LINEA</w:t>
            </w:r>
          </w:p>
        </w:tc>
        <w:tc>
          <w:tcPr>
            <w:tcW w:w="802" w:type="pct"/>
            <w:noWrap/>
            <w:vAlign w:val="center"/>
            <w:hideMark/>
          </w:tcPr>
          <w:p w14:paraId="5257C2E8"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1.300.000,00</w:t>
            </w:r>
          </w:p>
        </w:tc>
        <w:tc>
          <w:tcPr>
            <w:tcW w:w="563" w:type="pct"/>
            <w:noWrap/>
            <w:vAlign w:val="center"/>
            <w:hideMark/>
          </w:tcPr>
          <w:p w14:paraId="0BDD1534"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3B8313FA"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2EA23E7B"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0FAC179C" w14:textId="77777777" w:rsidTr="00D82D65">
        <w:trPr>
          <w:trHeight w:val="300"/>
        </w:trPr>
        <w:tc>
          <w:tcPr>
            <w:tcW w:w="1121" w:type="pct"/>
            <w:vMerge/>
            <w:vAlign w:val="center"/>
            <w:hideMark/>
          </w:tcPr>
          <w:p w14:paraId="3D68A99E" w14:textId="77777777" w:rsidR="00636FEA" w:rsidRPr="00256213" w:rsidRDefault="00636FEA" w:rsidP="00D82D65">
            <w:pPr>
              <w:jc w:val="center"/>
              <w:rPr>
                <w:rFonts w:ascii="Arial" w:hAnsi="Arial" w:cs="Arial"/>
                <w:color w:val="000000"/>
                <w:sz w:val="18"/>
              </w:rPr>
            </w:pPr>
          </w:p>
        </w:tc>
        <w:tc>
          <w:tcPr>
            <w:tcW w:w="1365" w:type="pct"/>
            <w:noWrap/>
            <w:vAlign w:val="center"/>
            <w:hideMark/>
          </w:tcPr>
          <w:p w14:paraId="733FDC5A"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BAHIA DE REACTOR</w:t>
            </w:r>
          </w:p>
        </w:tc>
        <w:tc>
          <w:tcPr>
            <w:tcW w:w="802" w:type="pct"/>
            <w:noWrap/>
            <w:vAlign w:val="center"/>
            <w:hideMark/>
          </w:tcPr>
          <w:p w14:paraId="73F54D3F"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1.100.000,00</w:t>
            </w:r>
          </w:p>
        </w:tc>
        <w:tc>
          <w:tcPr>
            <w:tcW w:w="563" w:type="pct"/>
            <w:noWrap/>
            <w:vAlign w:val="center"/>
            <w:hideMark/>
          </w:tcPr>
          <w:p w14:paraId="24A1611A"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5E16D59F"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2D0E10ED"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3B4420E6" w14:textId="77777777" w:rsidTr="00D82D65">
        <w:trPr>
          <w:trHeight w:val="300"/>
        </w:trPr>
        <w:tc>
          <w:tcPr>
            <w:tcW w:w="1121" w:type="pct"/>
            <w:vMerge/>
            <w:vAlign w:val="center"/>
            <w:hideMark/>
          </w:tcPr>
          <w:p w14:paraId="58128866" w14:textId="77777777" w:rsidR="00636FEA" w:rsidRPr="00256213" w:rsidRDefault="00636FEA" w:rsidP="00D82D65">
            <w:pPr>
              <w:jc w:val="center"/>
              <w:rPr>
                <w:rFonts w:ascii="Arial" w:hAnsi="Arial" w:cs="Arial"/>
                <w:color w:val="000000"/>
                <w:sz w:val="18"/>
              </w:rPr>
            </w:pPr>
          </w:p>
        </w:tc>
        <w:tc>
          <w:tcPr>
            <w:tcW w:w="1365" w:type="pct"/>
            <w:noWrap/>
            <w:vAlign w:val="center"/>
            <w:hideMark/>
          </w:tcPr>
          <w:p w14:paraId="5A078AE4"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BANCO DE REACTORES</w:t>
            </w:r>
          </w:p>
        </w:tc>
        <w:tc>
          <w:tcPr>
            <w:tcW w:w="802" w:type="pct"/>
            <w:noWrap/>
            <w:vAlign w:val="center"/>
            <w:hideMark/>
          </w:tcPr>
          <w:p w14:paraId="6E6844DC"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1.800.000,00</w:t>
            </w:r>
          </w:p>
        </w:tc>
        <w:tc>
          <w:tcPr>
            <w:tcW w:w="563" w:type="pct"/>
            <w:noWrap/>
            <w:vAlign w:val="center"/>
            <w:hideMark/>
          </w:tcPr>
          <w:p w14:paraId="3126ABAD"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3394DA26"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7081B686"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019EBAB5" w14:textId="77777777" w:rsidTr="00D82D65">
        <w:trPr>
          <w:trHeight w:val="300"/>
        </w:trPr>
        <w:tc>
          <w:tcPr>
            <w:tcW w:w="1121" w:type="pct"/>
            <w:vMerge/>
            <w:vAlign w:val="center"/>
            <w:hideMark/>
          </w:tcPr>
          <w:p w14:paraId="3FAEF8E3" w14:textId="77777777" w:rsidR="00636FEA" w:rsidRPr="00256213" w:rsidRDefault="00636FEA" w:rsidP="00D82D65">
            <w:pPr>
              <w:jc w:val="center"/>
              <w:rPr>
                <w:rFonts w:ascii="Arial" w:hAnsi="Arial" w:cs="Arial"/>
                <w:color w:val="000000"/>
                <w:sz w:val="18"/>
              </w:rPr>
            </w:pPr>
          </w:p>
        </w:tc>
        <w:tc>
          <w:tcPr>
            <w:tcW w:w="1365" w:type="pct"/>
            <w:noWrap/>
            <w:vAlign w:val="center"/>
            <w:hideMark/>
          </w:tcPr>
          <w:p w14:paraId="368EF46E"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BAHIA DE ACOPLE</w:t>
            </w:r>
          </w:p>
        </w:tc>
        <w:tc>
          <w:tcPr>
            <w:tcW w:w="802" w:type="pct"/>
            <w:noWrap/>
            <w:vAlign w:val="center"/>
            <w:hideMark/>
          </w:tcPr>
          <w:p w14:paraId="2544033E"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900.000,00</w:t>
            </w:r>
          </w:p>
        </w:tc>
        <w:tc>
          <w:tcPr>
            <w:tcW w:w="563" w:type="pct"/>
            <w:noWrap/>
            <w:vAlign w:val="center"/>
            <w:hideMark/>
          </w:tcPr>
          <w:p w14:paraId="3D3D2EDA"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6F3B260D"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4B2FBE27"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4E15CC21" w14:textId="77777777" w:rsidTr="00D82D65">
        <w:trPr>
          <w:trHeight w:val="300"/>
        </w:trPr>
        <w:tc>
          <w:tcPr>
            <w:tcW w:w="1121" w:type="pct"/>
            <w:vMerge/>
            <w:vAlign w:val="center"/>
            <w:hideMark/>
          </w:tcPr>
          <w:p w14:paraId="416D71BE" w14:textId="77777777" w:rsidR="00636FEA" w:rsidRPr="00256213" w:rsidRDefault="00636FEA" w:rsidP="00D82D65">
            <w:pPr>
              <w:jc w:val="center"/>
              <w:rPr>
                <w:rFonts w:ascii="Arial" w:hAnsi="Arial" w:cs="Arial"/>
                <w:color w:val="000000"/>
                <w:sz w:val="18"/>
              </w:rPr>
            </w:pPr>
          </w:p>
        </w:tc>
        <w:tc>
          <w:tcPr>
            <w:tcW w:w="1365" w:type="pct"/>
            <w:noWrap/>
            <w:vAlign w:val="center"/>
            <w:hideMark/>
          </w:tcPr>
          <w:p w14:paraId="1EB16483"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BAHIA DE TRANSFORMACION</w:t>
            </w:r>
          </w:p>
        </w:tc>
        <w:tc>
          <w:tcPr>
            <w:tcW w:w="802" w:type="pct"/>
            <w:noWrap/>
            <w:vAlign w:val="center"/>
            <w:hideMark/>
          </w:tcPr>
          <w:p w14:paraId="1669B668"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1.100.000,00</w:t>
            </w:r>
          </w:p>
        </w:tc>
        <w:tc>
          <w:tcPr>
            <w:tcW w:w="563" w:type="pct"/>
            <w:noWrap/>
            <w:vAlign w:val="center"/>
            <w:hideMark/>
          </w:tcPr>
          <w:p w14:paraId="70876BD3"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164078C3"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4265951A"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77F96614" w14:textId="77777777" w:rsidTr="00D82D65">
        <w:trPr>
          <w:trHeight w:val="300"/>
        </w:trPr>
        <w:tc>
          <w:tcPr>
            <w:tcW w:w="1121" w:type="pct"/>
            <w:vMerge/>
            <w:vAlign w:val="center"/>
            <w:hideMark/>
          </w:tcPr>
          <w:p w14:paraId="3544E4FB" w14:textId="77777777" w:rsidR="00636FEA" w:rsidRPr="00256213" w:rsidRDefault="00636FEA" w:rsidP="00D82D65">
            <w:pPr>
              <w:jc w:val="center"/>
              <w:rPr>
                <w:rFonts w:ascii="Arial" w:hAnsi="Arial" w:cs="Arial"/>
                <w:color w:val="000000"/>
                <w:sz w:val="18"/>
              </w:rPr>
            </w:pPr>
          </w:p>
        </w:tc>
        <w:tc>
          <w:tcPr>
            <w:tcW w:w="1365" w:type="pct"/>
            <w:noWrap/>
            <w:vAlign w:val="center"/>
            <w:hideMark/>
          </w:tcPr>
          <w:p w14:paraId="2F11469A"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TRANSFORMADOR DE REBAJE</w:t>
            </w:r>
          </w:p>
        </w:tc>
        <w:tc>
          <w:tcPr>
            <w:tcW w:w="802" w:type="pct"/>
            <w:noWrap/>
            <w:vAlign w:val="center"/>
            <w:hideMark/>
          </w:tcPr>
          <w:p w14:paraId="44CE5E7B"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1.500.000,00</w:t>
            </w:r>
          </w:p>
        </w:tc>
        <w:tc>
          <w:tcPr>
            <w:tcW w:w="563" w:type="pct"/>
            <w:noWrap/>
            <w:vAlign w:val="center"/>
            <w:hideMark/>
          </w:tcPr>
          <w:p w14:paraId="3C0B7B09"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1F7BE6C2"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6F5055D3"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r w:rsidR="00636FEA" w:rsidRPr="00256213" w14:paraId="16C6E4F6" w14:textId="77777777" w:rsidTr="00D82D65">
        <w:trPr>
          <w:trHeight w:val="300"/>
        </w:trPr>
        <w:tc>
          <w:tcPr>
            <w:tcW w:w="1121" w:type="pct"/>
            <w:vMerge/>
            <w:vAlign w:val="center"/>
            <w:hideMark/>
          </w:tcPr>
          <w:p w14:paraId="35CDF2CB" w14:textId="77777777" w:rsidR="00636FEA" w:rsidRPr="00256213" w:rsidRDefault="00636FEA" w:rsidP="00D82D65">
            <w:pPr>
              <w:jc w:val="center"/>
              <w:rPr>
                <w:rFonts w:ascii="Arial" w:hAnsi="Arial" w:cs="Arial"/>
                <w:color w:val="000000"/>
                <w:sz w:val="18"/>
              </w:rPr>
            </w:pPr>
          </w:p>
        </w:tc>
        <w:tc>
          <w:tcPr>
            <w:tcW w:w="1365" w:type="pct"/>
            <w:noWrap/>
            <w:vAlign w:val="center"/>
            <w:hideMark/>
          </w:tcPr>
          <w:p w14:paraId="38E83462" w14:textId="77777777" w:rsidR="00636FEA" w:rsidRPr="00256213" w:rsidRDefault="00636FEA" w:rsidP="00D82D65">
            <w:pPr>
              <w:jc w:val="left"/>
              <w:rPr>
                <w:rFonts w:ascii="Arial" w:hAnsi="Arial" w:cs="Arial"/>
                <w:color w:val="000000"/>
                <w:sz w:val="18"/>
              </w:rPr>
            </w:pPr>
            <w:r w:rsidRPr="00256213">
              <w:rPr>
                <w:rFonts w:ascii="Arial" w:hAnsi="Arial" w:cs="Arial"/>
                <w:color w:val="000000"/>
                <w:sz w:val="18"/>
              </w:rPr>
              <w:t>OBRAS EN GENERAL</w:t>
            </w:r>
          </w:p>
        </w:tc>
        <w:tc>
          <w:tcPr>
            <w:tcW w:w="802" w:type="pct"/>
            <w:noWrap/>
            <w:vAlign w:val="center"/>
            <w:hideMark/>
          </w:tcPr>
          <w:p w14:paraId="3F2E56E3"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500.000,00</w:t>
            </w:r>
          </w:p>
        </w:tc>
        <w:tc>
          <w:tcPr>
            <w:tcW w:w="563" w:type="pct"/>
            <w:noWrap/>
            <w:vAlign w:val="center"/>
            <w:hideMark/>
          </w:tcPr>
          <w:p w14:paraId="6FC820A6"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c>
          <w:tcPr>
            <w:tcW w:w="721" w:type="pct"/>
            <w:noWrap/>
            <w:vAlign w:val="center"/>
            <w:hideMark/>
          </w:tcPr>
          <w:p w14:paraId="6B996681"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1</w:t>
            </w:r>
          </w:p>
        </w:tc>
        <w:tc>
          <w:tcPr>
            <w:tcW w:w="428" w:type="pct"/>
            <w:noWrap/>
            <w:vAlign w:val="center"/>
            <w:hideMark/>
          </w:tcPr>
          <w:p w14:paraId="76FE59C5" w14:textId="77777777" w:rsidR="00636FEA" w:rsidRPr="00256213" w:rsidRDefault="00636FEA" w:rsidP="00D82D65">
            <w:pPr>
              <w:jc w:val="center"/>
              <w:rPr>
                <w:rFonts w:ascii="Arial" w:hAnsi="Arial" w:cs="Arial"/>
                <w:color w:val="000000"/>
                <w:sz w:val="18"/>
              </w:rPr>
            </w:pPr>
            <w:r w:rsidRPr="00256213">
              <w:rPr>
                <w:rFonts w:ascii="Arial" w:hAnsi="Arial" w:cs="Arial"/>
                <w:color w:val="000000"/>
                <w:sz w:val="18"/>
              </w:rPr>
              <w:t>GLB</w:t>
            </w:r>
          </w:p>
        </w:tc>
      </w:tr>
    </w:tbl>
    <w:p w14:paraId="674A77B9" w14:textId="77777777" w:rsidR="00636FEA" w:rsidRPr="00FA41A9" w:rsidRDefault="00636FEA" w:rsidP="00636FEA">
      <w:pPr>
        <w:rPr>
          <w:rFonts w:ascii="Arial" w:hAnsi="Arial" w:cs="Arial"/>
          <w:sz w:val="18"/>
          <w:lang w:val="es-419"/>
        </w:rPr>
      </w:pPr>
      <w:r w:rsidRPr="00FA41A9">
        <w:rPr>
          <w:rFonts w:ascii="Arial" w:hAnsi="Arial" w:cs="Arial"/>
          <w:b/>
          <w:sz w:val="18"/>
          <w:lang w:val="es-419"/>
        </w:rPr>
        <w:t xml:space="preserve">Fuente: </w:t>
      </w:r>
      <w:r w:rsidRPr="00FA41A9">
        <w:rPr>
          <w:rFonts w:ascii="Arial" w:hAnsi="Arial" w:cs="Arial"/>
          <w:sz w:val="18"/>
          <w:lang w:val="es-419"/>
        </w:rPr>
        <w:t>ENDE</w:t>
      </w:r>
    </w:p>
    <w:p w14:paraId="2EDFE38D" w14:textId="77777777" w:rsidR="00636FEA" w:rsidRDefault="00636FEA" w:rsidP="00636FEA">
      <w:pPr>
        <w:rPr>
          <w:rFonts w:ascii="Arial" w:hAnsi="Arial" w:cs="Arial"/>
          <w:b/>
          <w:lang w:val="es-BO"/>
        </w:rPr>
      </w:pPr>
    </w:p>
    <w:p w14:paraId="5E296EEA" w14:textId="77777777" w:rsidR="00636FEA" w:rsidRPr="00256213" w:rsidRDefault="00636FEA" w:rsidP="00636FEA">
      <w:pPr>
        <w:rPr>
          <w:rFonts w:ascii="Arial" w:hAnsi="Arial" w:cs="Arial"/>
          <w:b/>
          <w:lang w:val="es-BO"/>
        </w:rPr>
      </w:pPr>
    </w:p>
    <w:p w14:paraId="7690E6EA" w14:textId="77777777" w:rsidR="00636FEA" w:rsidRPr="00256213" w:rsidRDefault="00636FEA" w:rsidP="00636FEA">
      <w:pPr>
        <w:pStyle w:val="ListParagraph"/>
        <w:ind w:left="454"/>
        <w:jc w:val="center"/>
        <w:rPr>
          <w:rFonts w:ascii="Arial" w:hAnsi="Arial" w:cs="Arial"/>
          <w:b/>
          <w:lang w:val="es-419"/>
        </w:rPr>
      </w:pPr>
      <w:r w:rsidRPr="00256213">
        <w:rPr>
          <w:rFonts w:ascii="Arial" w:hAnsi="Arial" w:cs="Arial"/>
          <w:b/>
          <w:bCs/>
          <w:lang w:val="es-419"/>
        </w:rPr>
        <w:t xml:space="preserve">Tabla </w:t>
      </w:r>
      <w:r>
        <w:rPr>
          <w:rFonts w:ascii="Arial" w:hAnsi="Arial" w:cs="Arial"/>
          <w:b/>
          <w:bCs/>
          <w:lang w:val="es-419"/>
        </w:rPr>
        <w:t>5</w:t>
      </w:r>
      <w:r w:rsidRPr="00256213">
        <w:rPr>
          <w:rFonts w:ascii="Arial" w:hAnsi="Arial" w:cs="Arial"/>
          <w:b/>
          <w:bCs/>
          <w:lang w:val="es-419"/>
        </w:rPr>
        <w:t xml:space="preserve">. </w:t>
      </w:r>
      <w:r w:rsidRPr="00FA41A9">
        <w:rPr>
          <w:rFonts w:ascii="Arial" w:hAnsi="Arial" w:cs="Arial"/>
          <w:lang w:val="es-419"/>
        </w:rPr>
        <w:t>Costo agregado Tramo I</w:t>
      </w:r>
    </w:p>
    <w:tbl>
      <w:tblPr>
        <w:tblStyle w:val="Tablaconcuadrcula1"/>
        <w:tblW w:w="7225" w:type="dxa"/>
        <w:jc w:val="center"/>
        <w:tblLook w:val="04A0" w:firstRow="1" w:lastRow="0" w:firstColumn="1" w:lastColumn="0" w:noHBand="0" w:noVBand="1"/>
      </w:tblPr>
      <w:tblGrid>
        <w:gridCol w:w="4640"/>
        <w:gridCol w:w="2585"/>
      </w:tblGrid>
      <w:tr w:rsidR="00636FEA" w:rsidRPr="00FA41A9" w14:paraId="60AE6822" w14:textId="77777777" w:rsidTr="00D82D65">
        <w:trPr>
          <w:trHeight w:val="300"/>
          <w:jc w:val="center"/>
        </w:trPr>
        <w:tc>
          <w:tcPr>
            <w:tcW w:w="4640" w:type="dxa"/>
            <w:noWrap/>
            <w:vAlign w:val="center"/>
            <w:hideMark/>
          </w:tcPr>
          <w:p w14:paraId="2FF78C08" w14:textId="77777777" w:rsidR="00636FEA" w:rsidRPr="00FA41A9" w:rsidRDefault="00636FEA" w:rsidP="00D82D65">
            <w:pPr>
              <w:jc w:val="center"/>
              <w:rPr>
                <w:rFonts w:ascii="Arial" w:hAnsi="Arial" w:cs="Arial"/>
                <w:b/>
                <w:bCs/>
                <w:color w:val="000000"/>
                <w:szCs w:val="22"/>
              </w:rPr>
            </w:pPr>
            <w:r w:rsidRPr="00FA41A9">
              <w:rPr>
                <w:rFonts w:ascii="Arial" w:hAnsi="Arial" w:cs="Arial"/>
                <w:b/>
                <w:bCs/>
                <w:color w:val="000000"/>
                <w:szCs w:val="22"/>
              </w:rPr>
              <w:t>ITEM</w:t>
            </w:r>
          </w:p>
        </w:tc>
        <w:tc>
          <w:tcPr>
            <w:tcW w:w="2585" w:type="dxa"/>
            <w:noWrap/>
            <w:vAlign w:val="center"/>
            <w:hideMark/>
          </w:tcPr>
          <w:p w14:paraId="46C3CD79" w14:textId="77777777" w:rsidR="00636FEA" w:rsidRPr="00FA41A9" w:rsidRDefault="00636FEA" w:rsidP="00D82D65">
            <w:pPr>
              <w:jc w:val="center"/>
              <w:rPr>
                <w:rFonts w:ascii="Arial" w:hAnsi="Arial" w:cs="Arial"/>
                <w:b/>
                <w:bCs/>
                <w:color w:val="000000"/>
                <w:szCs w:val="22"/>
              </w:rPr>
            </w:pPr>
            <w:r w:rsidRPr="00FA41A9">
              <w:rPr>
                <w:rFonts w:ascii="Arial" w:hAnsi="Arial" w:cs="Arial"/>
                <w:b/>
                <w:bCs/>
                <w:color w:val="000000"/>
                <w:szCs w:val="22"/>
              </w:rPr>
              <w:t>COSTO (US</w:t>
            </w:r>
            <w:r>
              <w:rPr>
                <w:rFonts w:ascii="Arial" w:hAnsi="Arial" w:cs="Arial"/>
                <w:b/>
                <w:bCs/>
                <w:color w:val="000000"/>
                <w:szCs w:val="22"/>
              </w:rPr>
              <w:t>$</w:t>
            </w:r>
            <w:r w:rsidRPr="00FA41A9">
              <w:rPr>
                <w:rFonts w:ascii="Arial" w:hAnsi="Arial" w:cs="Arial"/>
                <w:b/>
                <w:bCs/>
                <w:color w:val="000000"/>
                <w:szCs w:val="22"/>
              </w:rPr>
              <w:t>)</w:t>
            </w:r>
          </w:p>
        </w:tc>
      </w:tr>
      <w:tr w:rsidR="00636FEA" w:rsidRPr="00FA41A9" w14:paraId="2B97F152" w14:textId="77777777" w:rsidTr="00D82D65">
        <w:trPr>
          <w:trHeight w:val="300"/>
          <w:jc w:val="center"/>
        </w:trPr>
        <w:tc>
          <w:tcPr>
            <w:tcW w:w="4640" w:type="dxa"/>
            <w:noWrap/>
            <w:vAlign w:val="center"/>
            <w:hideMark/>
          </w:tcPr>
          <w:p w14:paraId="1DDDBDA4" w14:textId="77777777" w:rsidR="00636FEA" w:rsidRPr="00FA41A9" w:rsidRDefault="00636FEA" w:rsidP="00D82D65">
            <w:pPr>
              <w:jc w:val="left"/>
              <w:rPr>
                <w:rFonts w:ascii="Arial" w:hAnsi="Arial" w:cs="Arial"/>
                <w:color w:val="000000"/>
                <w:szCs w:val="22"/>
              </w:rPr>
            </w:pPr>
            <w:r w:rsidRPr="00FA41A9">
              <w:rPr>
                <w:rFonts w:ascii="Arial" w:hAnsi="Arial" w:cs="Arial"/>
                <w:color w:val="000000"/>
                <w:szCs w:val="22"/>
              </w:rPr>
              <w:t>LINEA DE TRANSMISION</w:t>
            </w:r>
          </w:p>
        </w:tc>
        <w:tc>
          <w:tcPr>
            <w:tcW w:w="2585" w:type="dxa"/>
            <w:noWrap/>
            <w:vAlign w:val="center"/>
            <w:hideMark/>
          </w:tcPr>
          <w:p w14:paraId="5EC0F586" w14:textId="77777777" w:rsidR="00636FEA" w:rsidRPr="00FA41A9" w:rsidRDefault="00636FEA" w:rsidP="00D82D65">
            <w:pPr>
              <w:jc w:val="center"/>
              <w:rPr>
                <w:rFonts w:ascii="Arial" w:hAnsi="Arial" w:cs="Arial"/>
                <w:color w:val="000000"/>
                <w:szCs w:val="22"/>
              </w:rPr>
            </w:pPr>
            <w:r w:rsidRPr="00FA41A9">
              <w:rPr>
                <w:rFonts w:ascii="Arial" w:hAnsi="Arial" w:cs="Arial"/>
                <w:color w:val="000000"/>
                <w:szCs w:val="22"/>
              </w:rPr>
              <w:t>38.080.000,00</w:t>
            </w:r>
          </w:p>
        </w:tc>
      </w:tr>
      <w:tr w:rsidR="00636FEA" w:rsidRPr="00FA41A9" w14:paraId="590B5623" w14:textId="77777777" w:rsidTr="00D82D65">
        <w:trPr>
          <w:trHeight w:val="300"/>
          <w:jc w:val="center"/>
        </w:trPr>
        <w:tc>
          <w:tcPr>
            <w:tcW w:w="4640" w:type="dxa"/>
            <w:noWrap/>
            <w:vAlign w:val="center"/>
            <w:hideMark/>
          </w:tcPr>
          <w:p w14:paraId="7F118FE2" w14:textId="77777777" w:rsidR="00636FEA" w:rsidRPr="00FA41A9" w:rsidRDefault="00636FEA" w:rsidP="00D82D65">
            <w:pPr>
              <w:jc w:val="left"/>
              <w:rPr>
                <w:rFonts w:ascii="Arial" w:hAnsi="Arial" w:cs="Arial"/>
                <w:color w:val="000000"/>
                <w:szCs w:val="22"/>
              </w:rPr>
            </w:pPr>
            <w:r w:rsidRPr="00FA41A9">
              <w:rPr>
                <w:rFonts w:ascii="Arial" w:hAnsi="Arial" w:cs="Arial"/>
                <w:color w:val="000000"/>
                <w:szCs w:val="22"/>
              </w:rPr>
              <w:t>SUBESTACION ELECTRICA</w:t>
            </w:r>
          </w:p>
        </w:tc>
        <w:tc>
          <w:tcPr>
            <w:tcW w:w="2585" w:type="dxa"/>
            <w:noWrap/>
            <w:vAlign w:val="center"/>
            <w:hideMark/>
          </w:tcPr>
          <w:p w14:paraId="5FC9BAAD" w14:textId="77777777" w:rsidR="00636FEA" w:rsidRPr="00FA41A9" w:rsidRDefault="00636FEA" w:rsidP="00D82D65">
            <w:pPr>
              <w:jc w:val="center"/>
              <w:rPr>
                <w:rFonts w:ascii="Arial" w:hAnsi="Arial" w:cs="Arial"/>
                <w:color w:val="000000"/>
                <w:szCs w:val="22"/>
              </w:rPr>
            </w:pPr>
            <w:r w:rsidRPr="00FA41A9">
              <w:rPr>
                <w:rFonts w:ascii="Arial" w:hAnsi="Arial" w:cs="Arial"/>
                <w:color w:val="000000"/>
                <w:szCs w:val="22"/>
              </w:rPr>
              <w:t>12.400.000,00</w:t>
            </w:r>
          </w:p>
        </w:tc>
      </w:tr>
      <w:tr w:rsidR="00636FEA" w:rsidRPr="00FA41A9" w14:paraId="599CD024" w14:textId="77777777" w:rsidTr="00D82D65">
        <w:trPr>
          <w:trHeight w:val="300"/>
          <w:jc w:val="center"/>
        </w:trPr>
        <w:tc>
          <w:tcPr>
            <w:tcW w:w="4640" w:type="dxa"/>
            <w:noWrap/>
            <w:vAlign w:val="center"/>
            <w:hideMark/>
          </w:tcPr>
          <w:p w14:paraId="22F46E02" w14:textId="77777777" w:rsidR="00636FEA" w:rsidRPr="00FA41A9" w:rsidRDefault="00636FEA" w:rsidP="00D82D65">
            <w:pPr>
              <w:jc w:val="left"/>
              <w:rPr>
                <w:rFonts w:ascii="Arial" w:hAnsi="Arial" w:cs="Arial"/>
                <w:i/>
                <w:color w:val="000000"/>
                <w:szCs w:val="22"/>
              </w:rPr>
            </w:pPr>
            <w:r w:rsidRPr="00FA41A9">
              <w:rPr>
                <w:rFonts w:ascii="Arial" w:hAnsi="Arial" w:cs="Arial"/>
                <w:i/>
                <w:color w:val="000000"/>
                <w:szCs w:val="22"/>
              </w:rPr>
              <w:t>- AMPLIACION S.E. LOS TRONCOS</w:t>
            </w:r>
          </w:p>
        </w:tc>
        <w:tc>
          <w:tcPr>
            <w:tcW w:w="2585" w:type="dxa"/>
            <w:noWrap/>
            <w:vAlign w:val="center"/>
            <w:hideMark/>
          </w:tcPr>
          <w:p w14:paraId="162D0EC8" w14:textId="77777777" w:rsidR="00636FEA" w:rsidRPr="00FA41A9" w:rsidRDefault="00636FEA" w:rsidP="00D82D65">
            <w:pPr>
              <w:jc w:val="center"/>
              <w:rPr>
                <w:rFonts w:ascii="Arial" w:hAnsi="Arial" w:cs="Arial"/>
                <w:color w:val="000000"/>
                <w:szCs w:val="22"/>
              </w:rPr>
            </w:pPr>
            <w:r w:rsidRPr="00FA41A9">
              <w:rPr>
                <w:rFonts w:ascii="Arial" w:hAnsi="Arial" w:cs="Arial"/>
                <w:color w:val="000000"/>
                <w:szCs w:val="22"/>
              </w:rPr>
              <w:t>4.200.000,00</w:t>
            </w:r>
          </w:p>
        </w:tc>
      </w:tr>
      <w:tr w:rsidR="00636FEA" w:rsidRPr="00FA41A9" w14:paraId="10AC2C2F" w14:textId="77777777" w:rsidTr="00D82D65">
        <w:trPr>
          <w:trHeight w:val="300"/>
          <w:jc w:val="center"/>
        </w:trPr>
        <w:tc>
          <w:tcPr>
            <w:tcW w:w="4640" w:type="dxa"/>
            <w:noWrap/>
            <w:vAlign w:val="center"/>
            <w:hideMark/>
          </w:tcPr>
          <w:p w14:paraId="6FE9EBD6" w14:textId="77777777" w:rsidR="00636FEA" w:rsidRPr="00FA41A9" w:rsidRDefault="00636FEA" w:rsidP="00D82D65">
            <w:pPr>
              <w:jc w:val="left"/>
              <w:rPr>
                <w:rFonts w:ascii="Arial" w:hAnsi="Arial" w:cs="Arial"/>
                <w:i/>
                <w:color w:val="000000"/>
                <w:szCs w:val="22"/>
              </w:rPr>
            </w:pPr>
            <w:r w:rsidRPr="00FA41A9">
              <w:rPr>
                <w:rFonts w:ascii="Arial" w:hAnsi="Arial" w:cs="Arial"/>
                <w:i/>
                <w:color w:val="000000"/>
                <w:szCs w:val="22"/>
              </w:rPr>
              <w:t>- NUEVA S.E. SAN IGNACIO DE VELASCO</w:t>
            </w:r>
          </w:p>
        </w:tc>
        <w:tc>
          <w:tcPr>
            <w:tcW w:w="2585" w:type="dxa"/>
            <w:noWrap/>
            <w:vAlign w:val="center"/>
            <w:hideMark/>
          </w:tcPr>
          <w:p w14:paraId="7C096D1F" w14:textId="77777777" w:rsidR="00636FEA" w:rsidRPr="00FA41A9" w:rsidRDefault="00636FEA" w:rsidP="00D82D65">
            <w:pPr>
              <w:jc w:val="center"/>
              <w:rPr>
                <w:rFonts w:ascii="Arial" w:hAnsi="Arial" w:cs="Arial"/>
                <w:color w:val="000000"/>
                <w:szCs w:val="22"/>
              </w:rPr>
            </w:pPr>
            <w:r w:rsidRPr="00FA41A9">
              <w:rPr>
                <w:rFonts w:ascii="Arial" w:hAnsi="Arial" w:cs="Arial"/>
                <w:color w:val="000000"/>
                <w:szCs w:val="22"/>
              </w:rPr>
              <w:t>8.200.000,00</w:t>
            </w:r>
          </w:p>
        </w:tc>
      </w:tr>
      <w:tr w:rsidR="00636FEA" w:rsidRPr="00FA41A9" w14:paraId="13F66458" w14:textId="77777777" w:rsidTr="00D82D65">
        <w:trPr>
          <w:trHeight w:val="300"/>
          <w:jc w:val="center"/>
        </w:trPr>
        <w:tc>
          <w:tcPr>
            <w:tcW w:w="4640" w:type="dxa"/>
            <w:noWrap/>
            <w:vAlign w:val="center"/>
            <w:hideMark/>
          </w:tcPr>
          <w:p w14:paraId="3827CC89" w14:textId="77777777" w:rsidR="00636FEA" w:rsidRPr="00FA41A9" w:rsidRDefault="00636FEA" w:rsidP="00D82D65">
            <w:pPr>
              <w:jc w:val="left"/>
              <w:rPr>
                <w:rFonts w:ascii="Arial" w:hAnsi="Arial" w:cs="Arial"/>
                <w:b/>
                <w:bCs/>
                <w:color w:val="000000"/>
                <w:szCs w:val="22"/>
              </w:rPr>
            </w:pPr>
            <w:r w:rsidRPr="00FA41A9">
              <w:rPr>
                <w:rFonts w:ascii="Arial" w:hAnsi="Arial" w:cs="Arial"/>
                <w:b/>
                <w:bCs/>
                <w:color w:val="000000"/>
                <w:szCs w:val="22"/>
              </w:rPr>
              <w:t xml:space="preserve">TOTAL INVERSION </w:t>
            </w:r>
          </w:p>
        </w:tc>
        <w:tc>
          <w:tcPr>
            <w:tcW w:w="2585" w:type="dxa"/>
            <w:noWrap/>
            <w:vAlign w:val="center"/>
            <w:hideMark/>
          </w:tcPr>
          <w:p w14:paraId="69DE65DB" w14:textId="77777777" w:rsidR="00636FEA" w:rsidRPr="00FA41A9" w:rsidRDefault="00636FEA" w:rsidP="00D82D65">
            <w:pPr>
              <w:jc w:val="center"/>
              <w:rPr>
                <w:rFonts w:ascii="Arial" w:hAnsi="Arial" w:cs="Arial"/>
                <w:b/>
                <w:bCs/>
                <w:color w:val="000000"/>
                <w:szCs w:val="22"/>
              </w:rPr>
            </w:pPr>
            <w:r w:rsidRPr="00FA41A9">
              <w:rPr>
                <w:rFonts w:ascii="Arial" w:hAnsi="Arial" w:cs="Arial"/>
                <w:b/>
                <w:bCs/>
                <w:color w:val="000000"/>
                <w:szCs w:val="22"/>
              </w:rPr>
              <w:t>50.480.000,00</w:t>
            </w:r>
          </w:p>
        </w:tc>
      </w:tr>
    </w:tbl>
    <w:p w14:paraId="6E743904" w14:textId="77777777" w:rsidR="00636FEA" w:rsidRPr="001105DF" w:rsidRDefault="00636FEA" w:rsidP="00636FEA">
      <w:pPr>
        <w:ind w:left="-284"/>
        <w:rPr>
          <w:rFonts w:ascii="Arial" w:hAnsi="Arial" w:cs="Arial"/>
          <w:sz w:val="18"/>
        </w:rPr>
      </w:pPr>
      <w:r>
        <w:rPr>
          <w:rFonts w:ascii="Arial" w:hAnsi="Arial" w:cs="Arial"/>
          <w:b/>
          <w:sz w:val="18"/>
        </w:rPr>
        <w:t xml:space="preserve">                           </w:t>
      </w:r>
      <w:r w:rsidRPr="001105DF">
        <w:rPr>
          <w:rFonts w:ascii="Arial" w:hAnsi="Arial" w:cs="Arial"/>
          <w:b/>
          <w:sz w:val="18"/>
        </w:rPr>
        <w:t>Fuente</w:t>
      </w:r>
      <w:r w:rsidRPr="001105DF">
        <w:rPr>
          <w:rFonts w:ascii="Arial" w:hAnsi="Arial" w:cs="Arial"/>
          <w:sz w:val="18"/>
        </w:rPr>
        <w:t>: ENDE</w:t>
      </w:r>
    </w:p>
    <w:p w14:paraId="7BBC3F5E" w14:textId="77777777" w:rsidR="00636FEA" w:rsidRDefault="00636FEA" w:rsidP="00636FEA">
      <w:pPr>
        <w:pStyle w:val="ListParagraph"/>
        <w:numPr>
          <w:ilvl w:val="0"/>
          <w:numId w:val="18"/>
        </w:numPr>
        <w:spacing w:after="0" w:line="240" w:lineRule="auto"/>
        <w:ind w:left="720"/>
        <w:jc w:val="both"/>
        <w:rPr>
          <w:rFonts w:ascii="Arial" w:hAnsi="Arial" w:cs="Arial"/>
          <w:lang w:val="es-ES"/>
        </w:rPr>
      </w:pPr>
      <w:r w:rsidRPr="00256213">
        <w:rPr>
          <w:rFonts w:ascii="Arial" w:hAnsi="Arial" w:cs="Arial"/>
          <w:u w:val="single"/>
          <w:lang w:val="es-ES"/>
        </w:rPr>
        <w:t>Costo de operación y mantenimiento</w:t>
      </w:r>
      <w:r w:rsidRPr="00256213">
        <w:rPr>
          <w:rFonts w:ascii="Arial" w:hAnsi="Arial" w:cs="Arial"/>
          <w:lang w:val="es-ES"/>
        </w:rPr>
        <w:t>, igual al 3% por año de la inversión realizada, de acuerdo a la normativa boliviana, este costo es reconocido a través de un pago mensual al operador de la línea.</w:t>
      </w:r>
    </w:p>
    <w:p w14:paraId="7FD7EF28" w14:textId="77777777" w:rsidR="00636FEA" w:rsidRDefault="00636FEA" w:rsidP="00636FEA">
      <w:pPr>
        <w:spacing w:after="0" w:line="240" w:lineRule="auto"/>
        <w:jc w:val="both"/>
        <w:rPr>
          <w:rFonts w:ascii="Arial" w:hAnsi="Arial" w:cs="Arial"/>
          <w:lang w:val="es-ES"/>
        </w:rPr>
      </w:pPr>
    </w:p>
    <w:p w14:paraId="19FED508" w14:textId="77777777" w:rsidR="00636FEA" w:rsidRDefault="00636FEA" w:rsidP="00636FEA">
      <w:pPr>
        <w:ind w:left="360"/>
        <w:jc w:val="both"/>
        <w:rPr>
          <w:rFonts w:ascii="Arial" w:hAnsi="Arial" w:cs="Arial"/>
          <w:lang w:val="es-ES"/>
        </w:rPr>
      </w:pPr>
      <w:r>
        <w:rPr>
          <w:rFonts w:ascii="Arial" w:hAnsi="Arial" w:cs="Arial"/>
          <w:lang w:val="es-ES"/>
        </w:rPr>
        <w:t>En todos los costos anteriores se utilizaron las razones de precio cuenta de eficiencia mostrada en la siguiente tabla:</w:t>
      </w:r>
    </w:p>
    <w:tbl>
      <w:tblPr>
        <w:tblStyle w:val="Tablaconcuadrcula1"/>
        <w:tblW w:w="5529" w:type="dxa"/>
        <w:jc w:val="center"/>
        <w:tblLook w:val="04A0" w:firstRow="1" w:lastRow="0" w:firstColumn="1" w:lastColumn="0" w:noHBand="0" w:noVBand="1"/>
      </w:tblPr>
      <w:tblGrid>
        <w:gridCol w:w="3970"/>
        <w:gridCol w:w="1559"/>
      </w:tblGrid>
      <w:tr w:rsidR="00636FEA" w:rsidRPr="00D42463" w14:paraId="195A6716" w14:textId="77777777" w:rsidTr="00D82D65">
        <w:trPr>
          <w:trHeight w:val="290"/>
          <w:jc w:val="center"/>
        </w:trPr>
        <w:tc>
          <w:tcPr>
            <w:tcW w:w="3970" w:type="dxa"/>
            <w:noWrap/>
            <w:hideMark/>
          </w:tcPr>
          <w:p w14:paraId="603F655A"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Divisa</w:t>
            </w:r>
          </w:p>
        </w:tc>
        <w:tc>
          <w:tcPr>
            <w:tcW w:w="1559" w:type="dxa"/>
            <w:noWrap/>
            <w:hideMark/>
          </w:tcPr>
          <w:p w14:paraId="7B20188A"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1.24</w:t>
            </w:r>
          </w:p>
        </w:tc>
      </w:tr>
      <w:tr w:rsidR="00636FEA" w:rsidRPr="00D42463" w14:paraId="6507F732" w14:textId="77777777" w:rsidTr="00D82D65">
        <w:trPr>
          <w:trHeight w:val="290"/>
          <w:jc w:val="center"/>
        </w:trPr>
        <w:tc>
          <w:tcPr>
            <w:tcW w:w="3970" w:type="dxa"/>
            <w:noWrap/>
            <w:hideMark/>
          </w:tcPr>
          <w:p w14:paraId="3C3181B2"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Mano de obra calificada</w:t>
            </w:r>
          </w:p>
        </w:tc>
        <w:tc>
          <w:tcPr>
            <w:tcW w:w="1559" w:type="dxa"/>
            <w:noWrap/>
            <w:hideMark/>
          </w:tcPr>
          <w:p w14:paraId="5249672C"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1.00</w:t>
            </w:r>
          </w:p>
        </w:tc>
      </w:tr>
      <w:tr w:rsidR="00636FEA" w:rsidRPr="00D42463" w14:paraId="62B0AB2B" w14:textId="77777777" w:rsidTr="00D82D65">
        <w:trPr>
          <w:trHeight w:val="290"/>
          <w:jc w:val="center"/>
        </w:trPr>
        <w:tc>
          <w:tcPr>
            <w:tcW w:w="3970" w:type="dxa"/>
            <w:noWrap/>
            <w:hideMark/>
          </w:tcPr>
          <w:p w14:paraId="7DA32ECC"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Mano de obra semicalificada</w:t>
            </w:r>
          </w:p>
        </w:tc>
        <w:tc>
          <w:tcPr>
            <w:tcW w:w="1559" w:type="dxa"/>
            <w:noWrap/>
            <w:hideMark/>
          </w:tcPr>
          <w:p w14:paraId="78474F0D"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0.43</w:t>
            </w:r>
          </w:p>
        </w:tc>
      </w:tr>
      <w:tr w:rsidR="00636FEA" w:rsidRPr="00D42463" w14:paraId="78BCF94F" w14:textId="77777777" w:rsidTr="00D82D65">
        <w:trPr>
          <w:trHeight w:val="290"/>
          <w:jc w:val="center"/>
        </w:trPr>
        <w:tc>
          <w:tcPr>
            <w:tcW w:w="3970" w:type="dxa"/>
            <w:noWrap/>
            <w:hideMark/>
          </w:tcPr>
          <w:p w14:paraId="2EA37DCB"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Mano de obra no calificada urbana</w:t>
            </w:r>
          </w:p>
        </w:tc>
        <w:tc>
          <w:tcPr>
            <w:tcW w:w="1559" w:type="dxa"/>
            <w:noWrap/>
            <w:hideMark/>
          </w:tcPr>
          <w:p w14:paraId="511DA12C"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0.23</w:t>
            </w:r>
          </w:p>
        </w:tc>
      </w:tr>
      <w:tr w:rsidR="00636FEA" w:rsidRPr="00D42463" w14:paraId="561D59D9" w14:textId="77777777" w:rsidTr="00D82D65">
        <w:trPr>
          <w:trHeight w:val="290"/>
          <w:jc w:val="center"/>
        </w:trPr>
        <w:tc>
          <w:tcPr>
            <w:tcW w:w="3970" w:type="dxa"/>
            <w:noWrap/>
            <w:hideMark/>
          </w:tcPr>
          <w:p w14:paraId="04B55439"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Mano de obra no calificada rural</w:t>
            </w:r>
          </w:p>
        </w:tc>
        <w:tc>
          <w:tcPr>
            <w:tcW w:w="1559" w:type="dxa"/>
            <w:noWrap/>
            <w:hideMark/>
          </w:tcPr>
          <w:p w14:paraId="3B6CC063"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0.47</w:t>
            </w:r>
          </w:p>
        </w:tc>
      </w:tr>
      <w:tr w:rsidR="00636FEA" w:rsidRPr="00D42463" w14:paraId="0C8B8F37" w14:textId="77777777" w:rsidTr="00D82D65">
        <w:trPr>
          <w:trHeight w:val="290"/>
          <w:jc w:val="center"/>
        </w:trPr>
        <w:tc>
          <w:tcPr>
            <w:tcW w:w="3970" w:type="dxa"/>
            <w:noWrap/>
            <w:hideMark/>
          </w:tcPr>
          <w:p w14:paraId="3F0CC967"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Gastos Generales</w:t>
            </w:r>
          </w:p>
        </w:tc>
        <w:tc>
          <w:tcPr>
            <w:tcW w:w="1559" w:type="dxa"/>
            <w:noWrap/>
            <w:hideMark/>
          </w:tcPr>
          <w:p w14:paraId="689739A6"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1.00</w:t>
            </w:r>
          </w:p>
        </w:tc>
      </w:tr>
      <w:tr w:rsidR="00636FEA" w:rsidRPr="00D42463" w14:paraId="5ED0661B" w14:textId="77777777" w:rsidTr="00D82D65">
        <w:trPr>
          <w:trHeight w:val="290"/>
          <w:jc w:val="center"/>
        </w:trPr>
        <w:tc>
          <w:tcPr>
            <w:tcW w:w="3970" w:type="dxa"/>
            <w:noWrap/>
            <w:hideMark/>
          </w:tcPr>
          <w:p w14:paraId="6101F8C3" w14:textId="77777777" w:rsidR="00636FEA" w:rsidRPr="00D42463" w:rsidRDefault="00636FEA" w:rsidP="00D82D65">
            <w:pPr>
              <w:rPr>
                <w:rFonts w:ascii="Arial" w:hAnsi="Arial" w:cs="Arial"/>
                <w:color w:val="000000"/>
                <w:lang w:val="es-419" w:eastAsia="es-419"/>
              </w:rPr>
            </w:pPr>
            <w:r w:rsidRPr="00D42463">
              <w:rPr>
                <w:rFonts w:ascii="Arial" w:hAnsi="Arial" w:cs="Arial"/>
                <w:color w:val="000000"/>
                <w:lang w:val="es-419" w:eastAsia="es-419"/>
              </w:rPr>
              <w:t>RPC Impuestos y Transferencia</w:t>
            </w:r>
          </w:p>
        </w:tc>
        <w:tc>
          <w:tcPr>
            <w:tcW w:w="1559" w:type="dxa"/>
            <w:noWrap/>
            <w:hideMark/>
          </w:tcPr>
          <w:p w14:paraId="23B12B21" w14:textId="77777777" w:rsidR="00636FEA" w:rsidRPr="00D42463" w:rsidRDefault="00636FEA" w:rsidP="00D82D65">
            <w:pPr>
              <w:jc w:val="center"/>
              <w:rPr>
                <w:rFonts w:ascii="Arial" w:hAnsi="Arial" w:cs="Arial"/>
                <w:color w:val="000000"/>
                <w:lang w:val="es-419" w:eastAsia="es-419"/>
              </w:rPr>
            </w:pPr>
            <w:r w:rsidRPr="00D42463">
              <w:rPr>
                <w:rFonts w:ascii="Arial" w:hAnsi="Arial" w:cs="Arial"/>
                <w:color w:val="000000"/>
                <w:lang w:val="es-419" w:eastAsia="es-419"/>
              </w:rPr>
              <w:t>0.00</w:t>
            </w:r>
          </w:p>
        </w:tc>
      </w:tr>
    </w:tbl>
    <w:p w14:paraId="7BEA00D5" w14:textId="77777777" w:rsidR="00636FEA" w:rsidRDefault="00636FEA" w:rsidP="00636FEA">
      <w:pPr>
        <w:spacing w:after="0" w:line="240" w:lineRule="auto"/>
        <w:jc w:val="both"/>
        <w:rPr>
          <w:rFonts w:ascii="Times New Roman" w:hAnsi="Times New Roman" w:cs="Times New Roman"/>
          <w:szCs w:val="24"/>
          <w:lang w:val="es-ES"/>
        </w:rPr>
      </w:pPr>
    </w:p>
    <w:p w14:paraId="5B2EE237" w14:textId="77777777" w:rsidR="00636FEA" w:rsidRDefault="00636FEA" w:rsidP="00636FEA">
      <w:pPr>
        <w:rPr>
          <w:rFonts w:ascii="Arial" w:eastAsiaTheme="majorEastAsia" w:hAnsi="Arial" w:cs="Arial"/>
          <w:b/>
          <w:bCs/>
          <w:color w:val="244061" w:themeColor="accent1" w:themeShade="80"/>
          <w:sz w:val="26"/>
          <w:szCs w:val="26"/>
          <w:lang w:val="es-ES"/>
        </w:rPr>
      </w:pPr>
    </w:p>
    <w:p w14:paraId="30A9351E" w14:textId="77777777" w:rsidR="00636FEA" w:rsidRPr="00DA59AD" w:rsidRDefault="00636FEA" w:rsidP="00636FEA">
      <w:pPr>
        <w:pStyle w:val="Heading1"/>
        <w:spacing w:before="0"/>
        <w:ind w:left="714" w:hanging="357"/>
        <w:rPr>
          <w:rFonts w:ascii="Arial" w:hAnsi="Arial" w:cs="Arial"/>
          <w:color w:val="244061" w:themeColor="accent1" w:themeShade="80"/>
          <w:lang w:val="es-ES"/>
        </w:rPr>
      </w:pPr>
      <w:r w:rsidRPr="00DA59AD">
        <w:rPr>
          <w:rFonts w:ascii="Arial" w:hAnsi="Arial" w:cs="Arial"/>
          <w:color w:val="244061" w:themeColor="accent1" w:themeShade="80"/>
          <w:lang w:val="es-ES"/>
        </w:rPr>
        <w:t xml:space="preserve">INDICADORES DE LA EVALUACIÓN </w:t>
      </w:r>
      <w:r>
        <w:rPr>
          <w:rFonts w:ascii="Arial" w:hAnsi="Arial" w:cs="Arial"/>
          <w:color w:val="244061" w:themeColor="accent1" w:themeShade="80"/>
          <w:lang w:val="es-ES"/>
        </w:rPr>
        <w:t>FINANCIERA</w:t>
      </w:r>
    </w:p>
    <w:p w14:paraId="66679145" w14:textId="77777777" w:rsidR="00636FEA" w:rsidRDefault="00636FEA" w:rsidP="00636FEA">
      <w:pPr>
        <w:spacing w:after="0" w:line="240" w:lineRule="auto"/>
        <w:jc w:val="both"/>
        <w:rPr>
          <w:rFonts w:ascii="Times New Roman" w:hAnsi="Times New Roman" w:cs="Times New Roman"/>
          <w:szCs w:val="24"/>
          <w:lang w:val="es-ES"/>
        </w:rPr>
      </w:pPr>
    </w:p>
    <w:p w14:paraId="2E3CE7F2" w14:textId="77777777" w:rsidR="00636FEA" w:rsidRPr="00840A21" w:rsidRDefault="00636FEA" w:rsidP="00636FEA">
      <w:pPr>
        <w:spacing w:after="0"/>
        <w:jc w:val="both"/>
        <w:rPr>
          <w:rFonts w:ascii="Arial" w:hAnsi="Arial" w:cs="Arial"/>
          <w:szCs w:val="24"/>
          <w:lang w:val="es-ES"/>
        </w:rPr>
      </w:pPr>
      <w:r>
        <w:rPr>
          <w:rFonts w:ascii="Arial" w:hAnsi="Arial" w:cs="Arial"/>
          <w:szCs w:val="24"/>
          <w:lang w:val="es-ES"/>
        </w:rPr>
        <w:t xml:space="preserve">Los </w:t>
      </w:r>
      <w:r w:rsidRPr="00840A21">
        <w:rPr>
          <w:rFonts w:ascii="Arial" w:hAnsi="Arial" w:cs="Arial"/>
          <w:szCs w:val="24"/>
          <w:lang w:val="es-ES"/>
        </w:rPr>
        <w:t>indicador</w:t>
      </w:r>
      <w:r>
        <w:rPr>
          <w:rFonts w:ascii="Arial" w:hAnsi="Arial" w:cs="Arial"/>
          <w:szCs w:val="24"/>
          <w:lang w:val="es-ES"/>
        </w:rPr>
        <w:t>es</w:t>
      </w:r>
      <w:r w:rsidRPr="00840A21">
        <w:rPr>
          <w:rFonts w:ascii="Arial" w:hAnsi="Arial" w:cs="Arial"/>
          <w:szCs w:val="24"/>
          <w:lang w:val="es-ES"/>
        </w:rPr>
        <w:t xml:space="preserve"> de la evaluación financiera </w:t>
      </w:r>
      <w:r>
        <w:rPr>
          <w:rFonts w:ascii="Arial" w:hAnsi="Arial" w:cs="Arial"/>
          <w:szCs w:val="24"/>
          <w:lang w:val="es-ES"/>
        </w:rPr>
        <w:t>se muestran en la tabla 6.</w:t>
      </w:r>
    </w:p>
    <w:p w14:paraId="719B0D9F" w14:textId="77777777" w:rsidR="00636FEA" w:rsidRDefault="00636FEA" w:rsidP="00636FEA">
      <w:pPr>
        <w:pStyle w:val="ListParagraph"/>
        <w:spacing w:after="120"/>
        <w:ind w:left="454"/>
        <w:jc w:val="center"/>
        <w:rPr>
          <w:rFonts w:ascii="Arial" w:hAnsi="Arial" w:cs="Arial"/>
          <w:b/>
          <w:bCs/>
          <w:sz w:val="20"/>
          <w:lang w:val="es-419"/>
        </w:rPr>
      </w:pPr>
    </w:p>
    <w:p w14:paraId="64667D61" w14:textId="77777777" w:rsidR="00636FEA" w:rsidRPr="00A614F0" w:rsidRDefault="00636FEA" w:rsidP="00636FEA">
      <w:pPr>
        <w:pStyle w:val="ListParagraph"/>
        <w:spacing w:after="120"/>
        <w:ind w:left="454"/>
        <w:jc w:val="center"/>
        <w:rPr>
          <w:rFonts w:ascii="Arial" w:hAnsi="Arial" w:cs="Arial"/>
          <w:b/>
          <w:bCs/>
          <w:sz w:val="20"/>
          <w:lang w:val="es-419"/>
        </w:rPr>
      </w:pPr>
      <w:r w:rsidRPr="00A614F0">
        <w:rPr>
          <w:rFonts w:ascii="Arial" w:hAnsi="Arial" w:cs="Arial"/>
          <w:b/>
          <w:bCs/>
          <w:sz w:val="20"/>
          <w:lang w:val="es-419"/>
        </w:rPr>
        <w:t xml:space="preserve">Tabla 6: </w:t>
      </w:r>
      <w:r w:rsidRPr="00A614F0">
        <w:rPr>
          <w:rFonts w:ascii="Arial" w:hAnsi="Arial" w:cs="Arial"/>
          <w:bCs/>
          <w:sz w:val="20"/>
          <w:lang w:val="es-419"/>
        </w:rPr>
        <w:t xml:space="preserve">Resultados </w:t>
      </w:r>
      <w:r>
        <w:rPr>
          <w:rFonts w:ascii="Arial" w:hAnsi="Arial" w:cs="Arial"/>
          <w:bCs/>
          <w:sz w:val="20"/>
          <w:lang w:val="es-419"/>
        </w:rPr>
        <w:t>Financieros</w:t>
      </w:r>
    </w:p>
    <w:tbl>
      <w:tblPr>
        <w:tblStyle w:val="TableGrid"/>
        <w:tblW w:w="0" w:type="auto"/>
        <w:jc w:val="center"/>
        <w:tblLook w:val="04A0" w:firstRow="1" w:lastRow="0" w:firstColumn="1" w:lastColumn="0" w:noHBand="0" w:noVBand="1"/>
      </w:tblPr>
      <w:tblGrid>
        <w:gridCol w:w="2359"/>
        <w:gridCol w:w="2340"/>
      </w:tblGrid>
      <w:tr w:rsidR="00636FEA" w:rsidRPr="00FA41A9" w14:paraId="6E293423" w14:textId="77777777" w:rsidTr="00D82D65">
        <w:trPr>
          <w:trHeight w:val="272"/>
          <w:jc w:val="center"/>
        </w:trPr>
        <w:tc>
          <w:tcPr>
            <w:tcW w:w="2359" w:type="dxa"/>
          </w:tcPr>
          <w:p w14:paraId="4AE4CC60" w14:textId="77777777" w:rsidR="00636FEA" w:rsidRPr="00FA41A9" w:rsidRDefault="00636FEA" w:rsidP="00D82D65">
            <w:pPr>
              <w:rPr>
                <w:rFonts w:ascii="Arial" w:hAnsi="Arial" w:cs="Arial"/>
                <w:sz w:val="20"/>
                <w:szCs w:val="20"/>
                <w:lang w:eastAsia="es-BO"/>
              </w:rPr>
            </w:pPr>
            <w:r>
              <w:rPr>
                <w:rFonts w:ascii="Arial" w:hAnsi="Arial" w:cs="Arial"/>
                <w:sz w:val="20"/>
                <w:szCs w:val="20"/>
                <w:lang w:eastAsia="es-BO"/>
              </w:rPr>
              <w:t>VANP</w:t>
            </w:r>
            <w:r w:rsidRPr="00FA41A9">
              <w:rPr>
                <w:rFonts w:ascii="Arial" w:hAnsi="Arial" w:cs="Arial"/>
                <w:sz w:val="20"/>
                <w:szCs w:val="20"/>
                <w:lang w:eastAsia="es-BO"/>
              </w:rPr>
              <w:t xml:space="preserve"> (US$)</w:t>
            </w:r>
            <w:r w:rsidRPr="00FA41A9">
              <w:rPr>
                <w:rFonts w:ascii="Arial" w:hAnsi="Arial" w:cs="Arial"/>
                <w:sz w:val="20"/>
                <w:szCs w:val="20"/>
                <w:lang w:eastAsia="es-BO"/>
              </w:rPr>
              <w:tab/>
            </w:r>
          </w:p>
        </w:tc>
        <w:tc>
          <w:tcPr>
            <w:tcW w:w="2340" w:type="dxa"/>
          </w:tcPr>
          <w:p w14:paraId="46816C6C" w14:textId="77777777" w:rsidR="00636FEA" w:rsidRDefault="00636FEA" w:rsidP="00D82D65">
            <w:pPr>
              <w:jc w:val="center"/>
              <w:rPr>
                <w:rFonts w:ascii="Arial" w:hAnsi="Arial" w:cs="Arial"/>
                <w:sz w:val="20"/>
                <w:szCs w:val="20"/>
                <w:lang w:eastAsia="es-BO"/>
              </w:rPr>
            </w:pPr>
            <w:r>
              <w:rPr>
                <w:rFonts w:ascii="Arial" w:hAnsi="Arial" w:cs="Arial"/>
                <w:sz w:val="20"/>
                <w:szCs w:val="20"/>
                <w:lang w:eastAsia="es-BO"/>
              </w:rPr>
              <w:t>-15,100,415.56</w:t>
            </w:r>
          </w:p>
        </w:tc>
      </w:tr>
      <w:tr w:rsidR="00636FEA" w:rsidRPr="00FA41A9" w14:paraId="243C9F26" w14:textId="77777777" w:rsidTr="00D82D65">
        <w:trPr>
          <w:trHeight w:val="272"/>
          <w:jc w:val="center"/>
        </w:trPr>
        <w:tc>
          <w:tcPr>
            <w:tcW w:w="2359" w:type="dxa"/>
          </w:tcPr>
          <w:p w14:paraId="3DC218CD" w14:textId="77777777" w:rsidR="00636FEA" w:rsidRPr="00FA41A9" w:rsidRDefault="00636FEA" w:rsidP="00D82D65">
            <w:pPr>
              <w:rPr>
                <w:rFonts w:ascii="Arial" w:hAnsi="Arial" w:cs="Arial"/>
                <w:sz w:val="20"/>
                <w:szCs w:val="20"/>
                <w:lang w:val="es-ES_tradnl" w:eastAsia="es-BO"/>
              </w:rPr>
            </w:pPr>
            <w:r>
              <w:rPr>
                <w:rFonts w:ascii="Arial" w:hAnsi="Arial" w:cs="Arial"/>
                <w:sz w:val="20"/>
                <w:szCs w:val="20"/>
                <w:lang w:val="es-ES_tradnl" w:eastAsia="es-BO"/>
              </w:rPr>
              <w:t>TIRP</w:t>
            </w:r>
          </w:p>
        </w:tc>
        <w:tc>
          <w:tcPr>
            <w:tcW w:w="2340" w:type="dxa"/>
          </w:tcPr>
          <w:p w14:paraId="5A3E5480" w14:textId="77777777" w:rsidR="00636FEA" w:rsidRDefault="00636FEA" w:rsidP="00D82D65">
            <w:pPr>
              <w:jc w:val="center"/>
              <w:rPr>
                <w:rFonts w:ascii="Arial" w:hAnsi="Arial" w:cs="Arial"/>
                <w:sz w:val="20"/>
                <w:szCs w:val="20"/>
                <w:lang w:eastAsia="es-BO"/>
              </w:rPr>
            </w:pPr>
            <w:r>
              <w:rPr>
                <w:rFonts w:ascii="Arial" w:hAnsi="Arial" w:cs="Arial"/>
                <w:sz w:val="20"/>
                <w:szCs w:val="20"/>
                <w:lang w:eastAsia="es-BO"/>
              </w:rPr>
              <w:t>7%</w:t>
            </w:r>
          </w:p>
        </w:tc>
      </w:tr>
    </w:tbl>
    <w:p w14:paraId="44B236D1" w14:textId="77777777" w:rsidR="00636FEA" w:rsidRDefault="00636FEA" w:rsidP="00636FEA">
      <w:pPr>
        <w:tabs>
          <w:tab w:val="left" w:pos="6705"/>
        </w:tabs>
        <w:spacing w:after="0" w:line="240" w:lineRule="auto"/>
        <w:jc w:val="both"/>
        <w:rPr>
          <w:rFonts w:ascii="Times New Roman" w:hAnsi="Times New Roman" w:cs="Times New Roman"/>
          <w:sz w:val="24"/>
          <w:szCs w:val="24"/>
          <w:lang w:val="es-MX"/>
        </w:rPr>
      </w:pPr>
    </w:p>
    <w:p w14:paraId="03EDCABE" w14:textId="77777777" w:rsidR="00636FEA" w:rsidRPr="0034227F" w:rsidRDefault="00636FEA" w:rsidP="00636FEA">
      <w:pPr>
        <w:spacing w:after="0"/>
        <w:jc w:val="both"/>
        <w:rPr>
          <w:rFonts w:ascii="Arial" w:hAnsi="Arial" w:cs="Arial"/>
          <w:szCs w:val="24"/>
          <w:lang w:val="es-ES"/>
        </w:rPr>
      </w:pPr>
      <w:r w:rsidRPr="0034227F">
        <w:rPr>
          <w:rFonts w:ascii="Arial" w:hAnsi="Arial" w:cs="Arial"/>
          <w:szCs w:val="24"/>
          <w:lang w:val="es-ES"/>
        </w:rPr>
        <w:t xml:space="preserve">Se observa </w:t>
      </w:r>
      <w:r>
        <w:rPr>
          <w:rFonts w:ascii="Arial" w:hAnsi="Arial" w:cs="Arial"/>
          <w:szCs w:val="24"/>
          <w:lang w:val="es-ES"/>
        </w:rPr>
        <w:t>que el proyecto no es atractivo para la inversión privada</w:t>
      </w:r>
      <w:r w:rsidRPr="0034227F">
        <w:rPr>
          <w:rFonts w:ascii="Arial" w:hAnsi="Arial" w:cs="Arial"/>
          <w:szCs w:val="24"/>
          <w:lang w:val="es-ES"/>
        </w:rPr>
        <w:t>.</w:t>
      </w:r>
    </w:p>
    <w:p w14:paraId="54879431" w14:textId="77777777" w:rsidR="00636FEA" w:rsidRDefault="00636FEA" w:rsidP="00636FEA">
      <w:pPr>
        <w:spacing w:after="0" w:line="240" w:lineRule="auto"/>
        <w:jc w:val="both"/>
        <w:rPr>
          <w:rFonts w:ascii="Arial" w:hAnsi="Arial" w:cs="Arial"/>
          <w:lang w:val="es-ES"/>
        </w:rPr>
      </w:pPr>
    </w:p>
    <w:p w14:paraId="704D0C57" w14:textId="77777777" w:rsidR="00636FEA" w:rsidRDefault="00636FEA" w:rsidP="00636FEA">
      <w:pPr>
        <w:spacing w:after="0" w:line="240" w:lineRule="auto"/>
        <w:jc w:val="both"/>
        <w:rPr>
          <w:rFonts w:ascii="Arial" w:hAnsi="Arial" w:cs="Arial"/>
          <w:lang w:val="es-ES"/>
        </w:rPr>
      </w:pPr>
    </w:p>
    <w:p w14:paraId="56DF5F10" w14:textId="77777777" w:rsidR="00636FEA" w:rsidRDefault="00636FEA" w:rsidP="00636FEA">
      <w:pPr>
        <w:spacing w:after="0" w:line="240" w:lineRule="auto"/>
        <w:jc w:val="both"/>
        <w:rPr>
          <w:rFonts w:ascii="Arial" w:hAnsi="Arial" w:cs="Arial"/>
          <w:lang w:val="es-ES"/>
        </w:rPr>
      </w:pPr>
    </w:p>
    <w:p w14:paraId="524ED396" w14:textId="77777777" w:rsidR="00636FEA" w:rsidRPr="00DA59AD" w:rsidRDefault="00636FEA" w:rsidP="00636FEA">
      <w:pPr>
        <w:spacing w:after="0" w:line="240" w:lineRule="auto"/>
        <w:jc w:val="both"/>
        <w:rPr>
          <w:rFonts w:ascii="Arial" w:hAnsi="Arial" w:cs="Arial"/>
          <w:lang w:val="es-ES"/>
        </w:rPr>
      </w:pPr>
    </w:p>
    <w:p w14:paraId="3517F51D" w14:textId="77777777" w:rsidR="00636FEA" w:rsidRDefault="00636FEA" w:rsidP="00636FEA">
      <w:pPr>
        <w:spacing w:after="0" w:line="240" w:lineRule="auto"/>
        <w:jc w:val="both"/>
        <w:rPr>
          <w:rFonts w:ascii="Times New Roman" w:hAnsi="Times New Roman" w:cs="Times New Roman"/>
          <w:sz w:val="24"/>
          <w:szCs w:val="24"/>
          <w:lang w:val="es-ES"/>
        </w:rPr>
      </w:pPr>
    </w:p>
    <w:p w14:paraId="73232848" w14:textId="77777777" w:rsidR="00636FEA" w:rsidRPr="00FA41A9" w:rsidRDefault="00636FEA" w:rsidP="00636FEA">
      <w:pPr>
        <w:pStyle w:val="Heading1"/>
        <w:spacing w:before="0"/>
        <w:ind w:left="714" w:hanging="357"/>
        <w:rPr>
          <w:rFonts w:ascii="Arial" w:hAnsi="Arial" w:cs="Arial"/>
          <w:color w:val="244061" w:themeColor="accent1" w:themeShade="80"/>
          <w:lang w:val="es-ES"/>
        </w:rPr>
      </w:pPr>
      <w:bookmarkStart w:id="14" w:name="_Toc494317181"/>
      <w:r w:rsidRPr="00FA41A9">
        <w:rPr>
          <w:rFonts w:ascii="Arial" w:hAnsi="Arial" w:cs="Arial"/>
          <w:color w:val="244061" w:themeColor="accent1" w:themeShade="80"/>
          <w:lang w:val="es-ES"/>
        </w:rPr>
        <w:t>INDICADORES DE LA EVALUACIÓN ECONÓMICA</w:t>
      </w:r>
      <w:bookmarkEnd w:id="14"/>
    </w:p>
    <w:p w14:paraId="26CD4EB0" w14:textId="77777777" w:rsidR="00636FEA" w:rsidRDefault="00636FEA" w:rsidP="00636FEA">
      <w:pPr>
        <w:spacing w:after="0" w:line="240" w:lineRule="auto"/>
        <w:rPr>
          <w:rFonts w:ascii="Times New Roman" w:hAnsi="Times New Roman" w:cs="Times New Roman"/>
          <w:sz w:val="24"/>
          <w:szCs w:val="24"/>
          <w:lang w:val="es-ES"/>
        </w:rPr>
      </w:pPr>
    </w:p>
    <w:p w14:paraId="2D508B95" w14:textId="77777777" w:rsidR="00636FEA" w:rsidRPr="00FA41A9" w:rsidRDefault="00636FEA" w:rsidP="00636FEA">
      <w:pPr>
        <w:spacing w:after="0"/>
        <w:jc w:val="both"/>
        <w:rPr>
          <w:rFonts w:ascii="Arial" w:hAnsi="Arial" w:cs="Arial"/>
          <w:szCs w:val="24"/>
          <w:lang w:val="es-ES"/>
        </w:rPr>
      </w:pPr>
      <w:r w:rsidRPr="00FA41A9">
        <w:rPr>
          <w:rFonts w:ascii="Arial" w:hAnsi="Arial" w:cs="Arial"/>
          <w:szCs w:val="24"/>
          <w:lang w:val="es-ES"/>
        </w:rPr>
        <w:t xml:space="preserve">La línea de transmisión evaluada Los Troncos – San Ignacio, presenta una evaluación socioeconómica positiva, ya que el VANS es mayor a cero y la TIRS es superior a 12%, siendo el proyecto de beneficio para el país como se muestra en la tabla </w:t>
      </w:r>
      <w:r>
        <w:rPr>
          <w:rFonts w:ascii="Arial" w:hAnsi="Arial" w:cs="Arial"/>
          <w:szCs w:val="24"/>
          <w:lang w:val="es-ES"/>
        </w:rPr>
        <w:t>7</w:t>
      </w:r>
      <w:r w:rsidRPr="00FA41A9">
        <w:rPr>
          <w:rFonts w:ascii="Arial" w:hAnsi="Arial" w:cs="Arial"/>
          <w:szCs w:val="24"/>
          <w:lang w:val="es-ES"/>
        </w:rPr>
        <w:t>:</w:t>
      </w:r>
    </w:p>
    <w:p w14:paraId="06079E36" w14:textId="77777777" w:rsidR="00636FEA" w:rsidRPr="00311DBB" w:rsidRDefault="00636FEA" w:rsidP="00636FEA">
      <w:pPr>
        <w:spacing w:after="0" w:line="240" w:lineRule="auto"/>
        <w:rPr>
          <w:rFonts w:ascii="Times New Roman" w:hAnsi="Times New Roman" w:cs="Times New Roman"/>
          <w:sz w:val="24"/>
          <w:szCs w:val="24"/>
          <w:lang w:val="es-ES_tradnl"/>
        </w:rPr>
      </w:pPr>
    </w:p>
    <w:p w14:paraId="6D4D313E" w14:textId="77777777" w:rsidR="00636FEA" w:rsidRPr="00FA41A9" w:rsidRDefault="00636FEA" w:rsidP="00636FEA">
      <w:pPr>
        <w:pStyle w:val="ListParagraph"/>
        <w:ind w:left="454"/>
        <w:jc w:val="center"/>
        <w:rPr>
          <w:rFonts w:ascii="Arial" w:hAnsi="Arial" w:cs="Arial"/>
          <w:b/>
          <w:bCs/>
          <w:lang w:val="es-419"/>
        </w:rPr>
      </w:pPr>
      <w:r w:rsidRPr="00FA41A9">
        <w:rPr>
          <w:rFonts w:ascii="Arial" w:hAnsi="Arial" w:cs="Arial"/>
          <w:b/>
          <w:bCs/>
          <w:lang w:val="es-419"/>
        </w:rPr>
        <w:t xml:space="preserve">Tabla </w:t>
      </w:r>
      <w:r>
        <w:rPr>
          <w:rFonts w:ascii="Arial" w:hAnsi="Arial" w:cs="Arial"/>
          <w:b/>
          <w:bCs/>
          <w:lang w:val="es-419"/>
        </w:rPr>
        <w:t>7</w:t>
      </w:r>
      <w:r w:rsidRPr="00FA41A9">
        <w:rPr>
          <w:rFonts w:ascii="Arial" w:hAnsi="Arial" w:cs="Arial"/>
          <w:b/>
          <w:bCs/>
          <w:lang w:val="es-419"/>
        </w:rPr>
        <w:t xml:space="preserve">: </w:t>
      </w:r>
      <w:r>
        <w:rPr>
          <w:rFonts w:ascii="Arial" w:hAnsi="Arial" w:cs="Arial"/>
          <w:bCs/>
          <w:lang w:val="es-419"/>
        </w:rPr>
        <w:t>Resultados Económicos</w:t>
      </w:r>
    </w:p>
    <w:tbl>
      <w:tblPr>
        <w:tblStyle w:val="TableGrid"/>
        <w:tblW w:w="0" w:type="auto"/>
        <w:jc w:val="center"/>
        <w:tblLook w:val="04A0" w:firstRow="1" w:lastRow="0" w:firstColumn="1" w:lastColumn="0" w:noHBand="0" w:noVBand="1"/>
      </w:tblPr>
      <w:tblGrid>
        <w:gridCol w:w="2212"/>
        <w:gridCol w:w="2340"/>
      </w:tblGrid>
      <w:tr w:rsidR="00636FEA" w:rsidRPr="00FA41A9" w14:paraId="646A9179" w14:textId="77777777" w:rsidTr="00D82D65">
        <w:trPr>
          <w:trHeight w:val="272"/>
          <w:jc w:val="center"/>
        </w:trPr>
        <w:tc>
          <w:tcPr>
            <w:tcW w:w="2212" w:type="dxa"/>
          </w:tcPr>
          <w:p w14:paraId="4566F722" w14:textId="77777777" w:rsidR="00636FEA" w:rsidRPr="00FA41A9" w:rsidRDefault="00636FEA" w:rsidP="00D82D65">
            <w:pPr>
              <w:rPr>
                <w:rFonts w:ascii="Arial" w:hAnsi="Arial" w:cs="Arial"/>
                <w:sz w:val="20"/>
                <w:szCs w:val="20"/>
                <w:lang w:eastAsia="es-BO"/>
              </w:rPr>
            </w:pPr>
            <w:r w:rsidRPr="00FA41A9">
              <w:rPr>
                <w:rFonts w:ascii="Arial" w:hAnsi="Arial" w:cs="Arial"/>
                <w:sz w:val="20"/>
                <w:szCs w:val="20"/>
                <w:lang w:eastAsia="es-BO"/>
              </w:rPr>
              <w:t>VANS (US$)</w:t>
            </w:r>
            <w:r w:rsidRPr="00FA41A9">
              <w:rPr>
                <w:rFonts w:ascii="Arial" w:hAnsi="Arial" w:cs="Arial"/>
                <w:sz w:val="20"/>
                <w:szCs w:val="20"/>
                <w:lang w:eastAsia="es-BO"/>
              </w:rPr>
              <w:tab/>
            </w:r>
          </w:p>
        </w:tc>
        <w:tc>
          <w:tcPr>
            <w:tcW w:w="2340" w:type="dxa"/>
            <w:vAlign w:val="bottom"/>
          </w:tcPr>
          <w:p w14:paraId="1A23A480" w14:textId="77777777" w:rsidR="00636FEA" w:rsidRPr="00DA59AD" w:rsidRDefault="00636FEA" w:rsidP="00D82D65">
            <w:pPr>
              <w:jc w:val="center"/>
              <w:rPr>
                <w:rFonts w:ascii="Arial" w:hAnsi="Arial" w:cs="Arial"/>
                <w:color w:val="000000"/>
                <w:sz w:val="22"/>
                <w:szCs w:val="22"/>
              </w:rPr>
            </w:pPr>
            <w:r w:rsidRPr="00DA59AD">
              <w:rPr>
                <w:rFonts w:ascii="Arial" w:hAnsi="Arial" w:cs="Arial"/>
                <w:color w:val="000000"/>
                <w:sz w:val="22"/>
                <w:szCs w:val="22"/>
              </w:rPr>
              <w:t>45,808,614</w:t>
            </w:r>
          </w:p>
        </w:tc>
      </w:tr>
      <w:tr w:rsidR="00636FEA" w:rsidRPr="00FA41A9" w14:paraId="27E1D3E6" w14:textId="77777777" w:rsidTr="00D82D65">
        <w:trPr>
          <w:trHeight w:val="225"/>
          <w:jc w:val="center"/>
        </w:trPr>
        <w:tc>
          <w:tcPr>
            <w:tcW w:w="2212" w:type="dxa"/>
          </w:tcPr>
          <w:p w14:paraId="675BBA07" w14:textId="77777777" w:rsidR="00636FEA" w:rsidRPr="00FA41A9" w:rsidRDefault="00636FEA" w:rsidP="00D82D65">
            <w:pPr>
              <w:rPr>
                <w:rFonts w:ascii="Arial" w:hAnsi="Arial" w:cs="Arial"/>
                <w:sz w:val="20"/>
                <w:szCs w:val="20"/>
                <w:lang w:val="es-ES_tradnl" w:eastAsia="es-BO"/>
              </w:rPr>
            </w:pPr>
            <w:r w:rsidRPr="00FA41A9">
              <w:rPr>
                <w:rFonts w:ascii="Arial" w:hAnsi="Arial" w:cs="Arial"/>
                <w:sz w:val="20"/>
                <w:szCs w:val="20"/>
                <w:lang w:val="es-ES_tradnl" w:eastAsia="es-BO"/>
              </w:rPr>
              <w:t>TIRS</w:t>
            </w:r>
          </w:p>
        </w:tc>
        <w:tc>
          <w:tcPr>
            <w:tcW w:w="2340" w:type="dxa"/>
            <w:vAlign w:val="bottom"/>
          </w:tcPr>
          <w:p w14:paraId="44FC8E09" w14:textId="77777777" w:rsidR="00636FEA" w:rsidRPr="00DA59AD" w:rsidRDefault="00636FEA" w:rsidP="00D82D65">
            <w:pPr>
              <w:jc w:val="center"/>
              <w:rPr>
                <w:rFonts w:ascii="Arial" w:hAnsi="Arial" w:cs="Arial"/>
                <w:color w:val="000000"/>
                <w:sz w:val="22"/>
                <w:szCs w:val="22"/>
              </w:rPr>
            </w:pPr>
            <w:r w:rsidRPr="00DA59AD">
              <w:rPr>
                <w:rFonts w:ascii="Arial" w:hAnsi="Arial" w:cs="Arial"/>
                <w:color w:val="000000"/>
                <w:sz w:val="22"/>
                <w:szCs w:val="22"/>
              </w:rPr>
              <w:t>21.60%</w:t>
            </w:r>
          </w:p>
        </w:tc>
      </w:tr>
    </w:tbl>
    <w:p w14:paraId="1D8AF639" w14:textId="77777777" w:rsidR="00636FEA" w:rsidRDefault="00636FEA" w:rsidP="00636FEA">
      <w:pPr>
        <w:tabs>
          <w:tab w:val="left" w:pos="6705"/>
        </w:tabs>
        <w:spacing w:after="0" w:line="240" w:lineRule="auto"/>
        <w:ind w:left="360"/>
        <w:jc w:val="both"/>
        <w:rPr>
          <w:rFonts w:ascii="Times New Roman" w:hAnsi="Times New Roman" w:cs="Times New Roman"/>
          <w:sz w:val="24"/>
          <w:szCs w:val="24"/>
          <w:lang w:val="es-MX"/>
        </w:rPr>
      </w:pPr>
    </w:p>
    <w:p w14:paraId="7714B01C" w14:textId="77777777" w:rsidR="00636FEA" w:rsidRDefault="00636FEA" w:rsidP="00636FEA">
      <w:pPr>
        <w:tabs>
          <w:tab w:val="left" w:pos="6705"/>
        </w:tabs>
        <w:spacing w:after="0" w:line="240" w:lineRule="auto"/>
        <w:ind w:left="360"/>
        <w:jc w:val="both"/>
        <w:rPr>
          <w:rFonts w:ascii="Times New Roman" w:hAnsi="Times New Roman" w:cs="Times New Roman"/>
          <w:sz w:val="24"/>
          <w:szCs w:val="24"/>
          <w:lang w:val="es-MX"/>
        </w:rPr>
      </w:pPr>
    </w:p>
    <w:p w14:paraId="6FB52658" w14:textId="77777777" w:rsidR="00636FEA" w:rsidRPr="00FA41A9" w:rsidRDefault="00636FEA" w:rsidP="00636FEA">
      <w:pPr>
        <w:pStyle w:val="Heading1"/>
        <w:spacing w:before="0"/>
        <w:ind w:left="714" w:hanging="357"/>
        <w:rPr>
          <w:rFonts w:ascii="Arial" w:hAnsi="Arial" w:cs="Arial"/>
          <w:color w:val="244061" w:themeColor="accent1" w:themeShade="80"/>
          <w:lang w:val="es-ES"/>
        </w:rPr>
      </w:pPr>
      <w:bookmarkStart w:id="15" w:name="_Toc494317182"/>
      <w:r w:rsidRPr="00FA41A9">
        <w:rPr>
          <w:rFonts w:ascii="Arial" w:hAnsi="Arial" w:cs="Arial"/>
          <w:color w:val="244061" w:themeColor="accent1" w:themeShade="80"/>
          <w:lang w:val="es-ES"/>
        </w:rPr>
        <w:t>ANÁLISIS DE SENSIBILIDAD</w:t>
      </w:r>
      <w:bookmarkEnd w:id="15"/>
    </w:p>
    <w:p w14:paraId="138CE7B2" w14:textId="77777777" w:rsidR="00636FEA" w:rsidRPr="002A23A6" w:rsidRDefault="00636FEA" w:rsidP="00636FEA">
      <w:pPr>
        <w:pStyle w:val="ListParagraph"/>
        <w:spacing w:after="0" w:line="240" w:lineRule="auto"/>
        <w:ind w:left="0"/>
        <w:jc w:val="both"/>
        <w:rPr>
          <w:rFonts w:ascii="Times New Roman" w:hAnsi="Times New Roman" w:cs="Times New Roman"/>
          <w:sz w:val="24"/>
          <w:szCs w:val="24"/>
          <w:lang w:val="es-ES"/>
        </w:rPr>
      </w:pPr>
    </w:p>
    <w:p w14:paraId="1FA15688" w14:textId="77777777" w:rsidR="00636FEA" w:rsidRPr="00FA41A9" w:rsidRDefault="00636FEA" w:rsidP="00636FEA">
      <w:pPr>
        <w:spacing w:after="0"/>
        <w:jc w:val="both"/>
        <w:rPr>
          <w:rFonts w:ascii="Arial" w:hAnsi="Arial" w:cs="Arial"/>
          <w:szCs w:val="24"/>
          <w:lang w:val="es-ES"/>
        </w:rPr>
      </w:pPr>
      <w:r w:rsidRPr="00FA41A9">
        <w:rPr>
          <w:rFonts w:ascii="Arial" w:hAnsi="Arial" w:cs="Arial"/>
          <w:szCs w:val="24"/>
          <w:lang w:val="es-ES"/>
        </w:rPr>
        <w:t>Los escenarios considerados en el análisis de sensibilidad de la evaluación socioeconómica son los siguientes:</w:t>
      </w:r>
    </w:p>
    <w:p w14:paraId="0B816219" w14:textId="77777777" w:rsidR="00636FEA" w:rsidRPr="00B42ECF" w:rsidRDefault="00636FEA" w:rsidP="00636FEA">
      <w:pPr>
        <w:spacing w:after="0" w:line="240" w:lineRule="auto"/>
        <w:ind w:firstLine="709"/>
        <w:rPr>
          <w:rFonts w:ascii="Times New Roman" w:hAnsi="Times New Roman" w:cs="Times New Roman"/>
          <w:sz w:val="24"/>
          <w:lang w:val="es-ES_tradnl"/>
        </w:rPr>
      </w:pPr>
    </w:p>
    <w:p w14:paraId="7D9CFF84" w14:textId="77777777" w:rsidR="00636FEA" w:rsidRPr="00FA41A9" w:rsidRDefault="00636FEA" w:rsidP="00636FEA">
      <w:pPr>
        <w:pStyle w:val="ListParagraph"/>
        <w:numPr>
          <w:ilvl w:val="0"/>
          <w:numId w:val="19"/>
        </w:numPr>
        <w:spacing w:after="0" w:line="240" w:lineRule="auto"/>
        <w:ind w:left="720"/>
        <w:rPr>
          <w:rFonts w:ascii="Arial" w:hAnsi="Arial" w:cs="Arial"/>
          <w:lang w:val="es-ES_tradnl"/>
        </w:rPr>
      </w:pPr>
      <w:r w:rsidRPr="00FA41A9">
        <w:rPr>
          <w:rFonts w:ascii="Arial" w:hAnsi="Arial" w:cs="Arial"/>
          <w:lang w:val="es-ES_tradnl"/>
        </w:rPr>
        <w:t xml:space="preserve">Incremento del costo de inversión </w:t>
      </w:r>
    </w:p>
    <w:p w14:paraId="0B037221" w14:textId="77777777" w:rsidR="00636FEA" w:rsidRPr="00FA41A9" w:rsidRDefault="00636FEA" w:rsidP="00636FEA">
      <w:pPr>
        <w:pStyle w:val="ListParagraph"/>
        <w:spacing w:after="0" w:line="240" w:lineRule="auto"/>
        <w:rPr>
          <w:rFonts w:ascii="Arial" w:hAnsi="Arial" w:cs="Arial"/>
          <w:lang w:val="es-ES_tradnl"/>
        </w:rPr>
      </w:pPr>
    </w:p>
    <w:p w14:paraId="1E3E032E" w14:textId="77777777" w:rsidR="00636FEA" w:rsidRDefault="00636FEA" w:rsidP="00636FEA">
      <w:pPr>
        <w:pStyle w:val="ListParagraph"/>
        <w:numPr>
          <w:ilvl w:val="0"/>
          <w:numId w:val="19"/>
        </w:numPr>
        <w:spacing w:after="0" w:line="240" w:lineRule="auto"/>
        <w:ind w:left="720"/>
        <w:rPr>
          <w:rFonts w:ascii="Arial" w:hAnsi="Arial" w:cs="Arial"/>
          <w:lang w:val="es-ES_tradnl"/>
        </w:rPr>
      </w:pPr>
      <w:r w:rsidRPr="00FA41A9">
        <w:rPr>
          <w:rFonts w:ascii="Arial" w:hAnsi="Arial" w:cs="Arial"/>
          <w:lang w:val="es-ES_tradnl"/>
        </w:rPr>
        <w:t xml:space="preserve">Reducción del precio del diésel importado </w:t>
      </w:r>
    </w:p>
    <w:p w14:paraId="4C0CAF1D" w14:textId="77777777" w:rsidR="00636FEA" w:rsidRPr="00ED7893" w:rsidRDefault="00636FEA" w:rsidP="00636FEA">
      <w:pPr>
        <w:pStyle w:val="ListParagraph"/>
        <w:rPr>
          <w:rFonts w:ascii="Arial" w:hAnsi="Arial" w:cs="Arial"/>
          <w:lang w:val="es-ES_tradnl"/>
        </w:rPr>
      </w:pPr>
    </w:p>
    <w:p w14:paraId="1DA6B63E" w14:textId="77777777" w:rsidR="00636FEA" w:rsidRPr="00FA41A9" w:rsidRDefault="00636FEA" w:rsidP="00636FEA">
      <w:pPr>
        <w:pStyle w:val="ListParagraph"/>
        <w:numPr>
          <w:ilvl w:val="0"/>
          <w:numId w:val="19"/>
        </w:numPr>
        <w:spacing w:after="0" w:line="240" w:lineRule="auto"/>
        <w:ind w:left="720"/>
        <w:rPr>
          <w:rFonts w:ascii="Arial" w:hAnsi="Arial" w:cs="Arial"/>
          <w:lang w:val="es-ES_tradnl"/>
        </w:rPr>
      </w:pPr>
      <w:r>
        <w:rPr>
          <w:rFonts w:ascii="Arial" w:hAnsi="Arial" w:cs="Arial"/>
          <w:lang w:val="es-ES_tradnl"/>
        </w:rPr>
        <w:t>Va</w:t>
      </w:r>
      <w:r w:rsidRPr="001E0BA3">
        <w:rPr>
          <w:rFonts w:ascii="Arial" w:hAnsi="Arial" w:cs="Arial"/>
          <w:lang w:val="es-ES_tradnl"/>
        </w:rPr>
        <w:t>riación de la tasa de crecimiento del consumo de energía</w:t>
      </w:r>
    </w:p>
    <w:p w14:paraId="1FAA1FAC" w14:textId="77777777" w:rsidR="00636FEA" w:rsidRPr="00FA41A9" w:rsidRDefault="00636FEA" w:rsidP="00636FEA">
      <w:pPr>
        <w:spacing w:after="0" w:line="240" w:lineRule="auto"/>
        <w:rPr>
          <w:rFonts w:ascii="Arial" w:hAnsi="Arial" w:cs="Arial"/>
          <w:b/>
          <w:lang w:val="es-ES_tradnl"/>
        </w:rPr>
      </w:pPr>
    </w:p>
    <w:p w14:paraId="5C8DD755" w14:textId="77777777" w:rsidR="00636FEA" w:rsidRDefault="00636FEA" w:rsidP="00636FEA">
      <w:pPr>
        <w:spacing w:after="0" w:line="240" w:lineRule="auto"/>
        <w:jc w:val="both"/>
        <w:rPr>
          <w:rFonts w:ascii="Arial" w:hAnsi="Arial" w:cs="Arial"/>
          <w:lang w:val="es-ES_tradnl"/>
        </w:rPr>
      </w:pPr>
      <w:r w:rsidRPr="00FA41A9">
        <w:rPr>
          <w:rFonts w:ascii="Arial" w:hAnsi="Arial" w:cs="Arial"/>
          <w:lang w:val="es-ES_tradnl"/>
        </w:rPr>
        <w:t xml:space="preserve">Los resultados de los </w:t>
      </w:r>
      <w:r>
        <w:rPr>
          <w:rFonts w:ascii="Arial" w:hAnsi="Arial" w:cs="Arial"/>
          <w:lang w:val="es-ES_tradnl"/>
        </w:rPr>
        <w:t>3</w:t>
      </w:r>
      <w:r w:rsidRPr="00FA41A9">
        <w:rPr>
          <w:rFonts w:ascii="Arial" w:hAnsi="Arial" w:cs="Arial"/>
          <w:lang w:val="es-ES_tradnl"/>
        </w:rPr>
        <w:t xml:space="preserve"> escenarios antes planteados se presentan se presentan en la Fig. 5.</w:t>
      </w:r>
    </w:p>
    <w:p w14:paraId="488ACD84" w14:textId="77777777" w:rsidR="00636FEA" w:rsidRPr="00FA41A9" w:rsidRDefault="00636FEA" w:rsidP="00636FEA">
      <w:pPr>
        <w:spacing w:after="0" w:line="240" w:lineRule="auto"/>
        <w:jc w:val="both"/>
        <w:rPr>
          <w:rFonts w:ascii="Arial" w:hAnsi="Arial" w:cs="Arial"/>
          <w:lang w:val="es-ES_tradnl"/>
        </w:rPr>
      </w:pPr>
    </w:p>
    <w:p w14:paraId="0FFB218A" w14:textId="77777777" w:rsidR="00636FEA" w:rsidRPr="00FA41A9" w:rsidRDefault="00636FEA" w:rsidP="00636FEA">
      <w:pPr>
        <w:spacing w:after="0" w:line="240" w:lineRule="auto"/>
        <w:rPr>
          <w:rFonts w:ascii="Arial" w:hAnsi="Arial" w:cs="Arial"/>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8990"/>
      </w:tblGrid>
      <w:tr w:rsidR="00636FEA" w14:paraId="7DFAAF6B" w14:textId="77777777" w:rsidTr="00D82D65">
        <w:tc>
          <w:tcPr>
            <w:tcW w:w="8990" w:type="dxa"/>
          </w:tcPr>
          <w:p w14:paraId="304263C8" w14:textId="77777777" w:rsidR="00636FEA" w:rsidRDefault="00636FEA" w:rsidP="00D82D65">
            <w:pPr>
              <w:jc w:val="center"/>
              <w:rPr>
                <w:b/>
                <w:bCs/>
                <w:sz w:val="20"/>
                <w:lang w:val="es-ES_tradnl"/>
              </w:rPr>
            </w:pPr>
            <w:r>
              <w:rPr>
                <w:noProof/>
                <w:lang w:val="es-419" w:eastAsia="es-419"/>
              </w:rPr>
              <w:drawing>
                <wp:inline distT="0" distB="0" distL="0" distR="0" wp14:anchorId="3C98BE96" wp14:editId="4AD455FC">
                  <wp:extent cx="5607050" cy="3867150"/>
                  <wp:effectExtent l="0" t="0" r="1270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636FEA" w:rsidRPr="00D82D65" w14:paraId="4F8892CA" w14:textId="77777777" w:rsidTr="00D82D65">
        <w:tc>
          <w:tcPr>
            <w:tcW w:w="8990" w:type="dxa"/>
          </w:tcPr>
          <w:p w14:paraId="15288BD1" w14:textId="77777777" w:rsidR="00636FEA" w:rsidRPr="00D3397F" w:rsidRDefault="00636FEA" w:rsidP="00636FEA">
            <w:pPr>
              <w:pStyle w:val="ListParagraph"/>
              <w:numPr>
                <w:ilvl w:val="0"/>
                <w:numId w:val="42"/>
              </w:numPr>
              <w:jc w:val="center"/>
              <w:rPr>
                <w:b/>
                <w:bCs/>
                <w:noProof/>
                <w:sz w:val="18"/>
                <w:lang w:val="es-419" w:eastAsia="es-419"/>
              </w:rPr>
            </w:pPr>
            <w:r w:rsidRPr="00D3397F">
              <w:rPr>
                <w:rFonts w:ascii="Arial" w:hAnsi="Arial" w:cs="Arial"/>
                <w:bCs/>
                <w:sz w:val="18"/>
                <w:szCs w:val="18"/>
                <w:lang w:val="es-ES_tradnl"/>
              </w:rPr>
              <w:t>Respecto de: Incremento del costo de inversión</w:t>
            </w:r>
          </w:p>
        </w:tc>
      </w:tr>
      <w:tr w:rsidR="00636FEA" w14:paraId="126CF7C1" w14:textId="77777777" w:rsidTr="00D82D65">
        <w:tc>
          <w:tcPr>
            <w:tcW w:w="8990" w:type="dxa"/>
          </w:tcPr>
          <w:p w14:paraId="45741C42" w14:textId="77777777" w:rsidR="00636FEA" w:rsidRDefault="00636FEA" w:rsidP="00D82D65">
            <w:pPr>
              <w:jc w:val="both"/>
              <w:rPr>
                <w:b/>
                <w:bCs/>
                <w:noProof/>
                <w:sz w:val="20"/>
                <w:lang w:val="es-419" w:eastAsia="es-419"/>
              </w:rPr>
            </w:pPr>
            <w:r>
              <w:rPr>
                <w:noProof/>
                <w:lang w:val="es-419" w:eastAsia="es-419"/>
              </w:rPr>
              <w:drawing>
                <wp:inline distT="0" distB="0" distL="0" distR="0" wp14:anchorId="4EF3880D" wp14:editId="6FB73CF3">
                  <wp:extent cx="5562600" cy="335280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636FEA" w:rsidRPr="00D82D65" w14:paraId="5D0F5EA2" w14:textId="77777777" w:rsidTr="00D82D65">
        <w:tc>
          <w:tcPr>
            <w:tcW w:w="8990" w:type="dxa"/>
          </w:tcPr>
          <w:p w14:paraId="7969708A" w14:textId="77777777" w:rsidR="00636FEA" w:rsidRPr="00D3397F" w:rsidRDefault="00636FEA" w:rsidP="00636FEA">
            <w:pPr>
              <w:pStyle w:val="ListParagraph"/>
              <w:numPr>
                <w:ilvl w:val="0"/>
                <w:numId w:val="42"/>
              </w:numPr>
              <w:jc w:val="center"/>
              <w:rPr>
                <w:rFonts w:ascii="Arial" w:hAnsi="Arial" w:cs="Arial"/>
                <w:noProof/>
                <w:sz w:val="16"/>
                <w:szCs w:val="18"/>
                <w:lang w:val="es-419" w:eastAsia="es-419"/>
              </w:rPr>
            </w:pPr>
            <w:r w:rsidRPr="00D3397F">
              <w:rPr>
                <w:rFonts w:ascii="Arial" w:hAnsi="Arial" w:cs="Arial"/>
                <w:noProof/>
                <w:sz w:val="18"/>
                <w:szCs w:val="18"/>
                <w:lang w:val="es-419" w:eastAsia="es-419"/>
              </w:rPr>
              <w:t>Respecto de: reducción del precio del diesel importado</w:t>
            </w:r>
          </w:p>
        </w:tc>
      </w:tr>
    </w:tbl>
    <w:p w14:paraId="31AE5A79" w14:textId="77777777" w:rsidR="00636FEA" w:rsidRDefault="00636FEA" w:rsidP="00636FEA">
      <w:pPr>
        <w:spacing w:after="0" w:line="240" w:lineRule="auto"/>
        <w:jc w:val="both"/>
        <w:rPr>
          <w:rFonts w:ascii="Times New Roman" w:hAnsi="Times New Roman" w:cs="Times New Roman"/>
          <w:b/>
          <w:bCs/>
          <w:sz w:val="20"/>
          <w:szCs w:val="24"/>
          <w:lang w:val="es-ES_tradnl"/>
        </w:rPr>
      </w:pPr>
    </w:p>
    <w:p w14:paraId="08D1A3D6" w14:textId="77777777" w:rsidR="00636FEA" w:rsidRDefault="00636FEA" w:rsidP="00636FEA">
      <w:pPr>
        <w:spacing w:after="0" w:line="240" w:lineRule="auto"/>
        <w:jc w:val="both"/>
        <w:rPr>
          <w:rFonts w:ascii="Times New Roman" w:hAnsi="Times New Roman" w:cs="Times New Roman"/>
          <w:b/>
          <w:bCs/>
          <w:sz w:val="20"/>
          <w:szCs w:val="24"/>
          <w:lang w:val="es-ES_tradnl"/>
        </w:rPr>
      </w:pPr>
      <w:r>
        <w:rPr>
          <w:noProof/>
          <w:lang w:val="es-419" w:eastAsia="es-419"/>
        </w:rPr>
        <w:drawing>
          <wp:inline distT="0" distB="0" distL="0" distR="0" wp14:anchorId="63AA3B7F" wp14:editId="14B975D8">
            <wp:extent cx="5645150" cy="3409950"/>
            <wp:effectExtent l="0" t="0" r="1270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D86EDFB" w14:textId="77777777" w:rsidR="00636FEA" w:rsidRPr="00B2107D" w:rsidRDefault="00636FEA" w:rsidP="00636FEA">
      <w:pPr>
        <w:spacing w:after="0" w:line="240" w:lineRule="auto"/>
        <w:jc w:val="center"/>
        <w:rPr>
          <w:rFonts w:ascii="Times New Roman" w:hAnsi="Times New Roman" w:cs="Times New Roman"/>
          <w:bCs/>
          <w:sz w:val="20"/>
          <w:szCs w:val="24"/>
          <w:lang w:val="es-ES_tradnl"/>
        </w:rPr>
      </w:pPr>
      <w:r>
        <w:rPr>
          <w:rFonts w:ascii="Times New Roman" w:hAnsi="Times New Roman" w:cs="Times New Roman"/>
          <w:bCs/>
          <w:sz w:val="20"/>
          <w:szCs w:val="24"/>
          <w:lang w:val="es-ES_tradnl"/>
        </w:rPr>
        <w:t xml:space="preserve">( c) </w:t>
      </w:r>
      <w:r w:rsidRPr="0004224C">
        <w:rPr>
          <w:rFonts w:ascii="Arial" w:eastAsia="Times New Roman" w:hAnsi="Arial" w:cs="Arial"/>
          <w:noProof/>
          <w:sz w:val="18"/>
          <w:szCs w:val="18"/>
          <w:lang w:val="es-419" w:eastAsia="es-419"/>
        </w:rPr>
        <w:t xml:space="preserve">Respecto </w:t>
      </w:r>
      <w:r>
        <w:rPr>
          <w:rFonts w:ascii="Arial" w:eastAsia="Times New Roman" w:hAnsi="Arial" w:cs="Arial"/>
          <w:noProof/>
          <w:sz w:val="18"/>
          <w:szCs w:val="18"/>
          <w:lang w:val="es-419" w:eastAsia="es-419"/>
        </w:rPr>
        <w:t xml:space="preserve">de: </w:t>
      </w:r>
      <w:r w:rsidRPr="0004224C">
        <w:rPr>
          <w:rFonts w:ascii="Arial" w:eastAsia="Times New Roman" w:hAnsi="Arial" w:cs="Arial"/>
          <w:noProof/>
          <w:sz w:val="18"/>
          <w:szCs w:val="18"/>
          <w:lang w:val="es-419" w:eastAsia="es-419"/>
        </w:rPr>
        <w:t>variación de la tasa de crecimiento del consumo de energía</w:t>
      </w:r>
    </w:p>
    <w:p w14:paraId="6C649A96" w14:textId="77777777" w:rsidR="00636FEA" w:rsidRDefault="00636FEA" w:rsidP="00636FEA">
      <w:pPr>
        <w:spacing w:after="0" w:line="240" w:lineRule="auto"/>
        <w:jc w:val="both"/>
        <w:rPr>
          <w:rFonts w:ascii="Times New Roman" w:hAnsi="Times New Roman" w:cs="Times New Roman"/>
          <w:b/>
          <w:bCs/>
          <w:sz w:val="20"/>
          <w:szCs w:val="24"/>
          <w:lang w:val="es-ES_tradnl"/>
        </w:rPr>
      </w:pPr>
    </w:p>
    <w:p w14:paraId="6A8B559D" w14:textId="77777777" w:rsidR="00636FEA" w:rsidRPr="00FA41A9" w:rsidRDefault="00636FEA" w:rsidP="00636FEA">
      <w:pPr>
        <w:spacing w:after="0" w:line="240" w:lineRule="auto"/>
        <w:jc w:val="center"/>
        <w:rPr>
          <w:rFonts w:ascii="Arial" w:hAnsi="Arial" w:cs="Arial"/>
          <w:b/>
          <w:bCs/>
          <w:sz w:val="20"/>
          <w:szCs w:val="24"/>
          <w:lang w:val="es-ES_tradnl"/>
        </w:rPr>
      </w:pPr>
      <w:r w:rsidRPr="00FA41A9">
        <w:rPr>
          <w:rFonts w:ascii="Arial" w:hAnsi="Arial" w:cs="Arial"/>
          <w:b/>
          <w:bCs/>
          <w:sz w:val="20"/>
          <w:szCs w:val="24"/>
          <w:lang w:val="es-ES_tradnl"/>
        </w:rPr>
        <w:t xml:space="preserve">Fig. 5: </w:t>
      </w:r>
      <w:r w:rsidRPr="00FA41A9">
        <w:rPr>
          <w:rFonts w:ascii="Arial" w:hAnsi="Arial" w:cs="Arial"/>
          <w:bCs/>
          <w:sz w:val="20"/>
          <w:szCs w:val="24"/>
          <w:lang w:val="es-ES_tradnl"/>
        </w:rPr>
        <w:t xml:space="preserve">Análisis de sensibilidad de la LT Los Troncos – San Ignacio de Velasco  </w:t>
      </w:r>
    </w:p>
    <w:p w14:paraId="7E60623D" w14:textId="77777777" w:rsidR="00636FEA" w:rsidRPr="00FA41A9" w:rsidRDefault="00636FEA" w:rsidP="00636FEA">
      <w:pPr>
        <w:spacing w:after="0" w:line="240" w:lineRule="auto"/>
        <w:jc w:val="both"/>
        <w:rPr>
          <w:rFonts w:ascii="Arial" w:hAnsi="Arial" w:cs="Arial"/>
          <w:b/>
          <w:bCs/>
          <w:sz w:val="20"/>
          <w:szCs w:val="24"/>
          <w:lang w:val="es-ES_tradnl"/>
        </w:rPr>
      </w:pPr>
    </w:p>
    <w:p w14:paraId="52A5C82D" w14:textId="77777777" w:rsidR="00636FEA" w:rsidRDefault="00636FEA" w:rsidP="00636FEA">
      <w:pPr>
        <w:spacing w:after="0"/>
        <w:jc w:val="both"/>
        <w:rPr>
          <w:rFonts w:ascii="Arial" w:hAnsi="Arial" w:cs="Arial"/>
          <w:szCs w:val="24"/>
          <w:lang w:val="es-ES_tradnl"/>
        </w:rPr>
      </w:pPr>
    </w:p>
    <w:p w14:paraId="3CFD56AA" w14:textId="77777777" w:rsidR="00636FEA" w:rsidRDefault="00636FEA" w:rsidP="00636FEA">
      <w:pPr>
        <w:spacing w:after="0"/>
        <w:jc w:val="both"/>
        <w:rPr>
          <w:rFonts w:ascii="Arial" w:hAnsi="Arial" w:cs="Arial"/>
          <w:szCs w:val="24"/>
          <w:lang w:val="es-ES_tradnl"/>
        </w:rPr>
      </w:pPr>
      <w:r w:rsidRPr="00FA41A9">
        <w:rPr>
          <w:rFonts w:ascii="Arial" w:hAnsi="Arial" w:cs="Arial"/>
          <w:szCs w:val="24"/>
          <w:lang w:val="es-ES_tradnl"/>
        </w:rPr>
        <w:t xml:space="preserve">Los </w:t>
      </w:r>
      <w:r>
        <w:rPr>
          <w:rFonts w:ascii="Arial" w:hAnsi="Arial" w:cs="Arial"/>
          <w:szCs w:val="24"/>
          <w:lang w:val="es-ES_tradnl"/>
        </w:rPr>
        <w:t>tres</w:t>
      </w:r>
      <w:r w:rsidRPr="00FA41A9">
        <w:rPr>
          <w:rFonts w:ascii="Arial" w:hAnsi="Arial" w:cs="Arial"/>
          <w:szCs w:val="24"/>
          <w:lang w:val="es-ES_tradnl"/>
        </w:rPr>
        <w:t xml:space="preserve"> escenarios planteados para la sensibilidad de la evaluación socioeconómica dan lugar a una reducción de los indicadores, sin embargo, estos </w:t>
      </w:r>
      <w:r>
        <w:rPr>
          <w:rFonts w:ascii="Arial" w:hAnsi="Arial" w:cs="Arial"/>
          <w:szCs w:val="24"/>
          <w:lang w:val="es-ES_tradnl"/>
        </w:rPr>
        <w:t>tres</w:t>
      </w:r>
      <w:r w:rsidRPr="00FA41A9">
        <w:rPr>
          <w:rFonts w:ascii="Arial" w:hAnsi="Arial" w:cs="Arial"/>
          <w:szCs w:val="24"/>
          <w:lang w:val="es-ES_tradnl"/>
        </w:rPr>
        <w:t xml:space="preserve"> escenarios no afectan significativamente a la evaluación económica, ya que tanto el VANS y la TIRS, incluso con un incremento del costo de inversión del </w:t>
      </w:r>
      <w:r>
        <w:rPr>
          <w:rFonts w:ascii="Arial" w:hAnsi="Arial" w:cs="Arial"/>
          <w:szCs w:val="24"/>
          <w:lang w:val="es-ES_tradnl"/>
        </w:rPr>
        <w:t>50</w:t>
      </w:r>
      <w:r w:rsidRPr="00FA41A9">
        <w:rPr>
          <w:rFonts w:ascii="Arial" w:hAnsi="Arial" w:cs="Arial"/>
          <w:szCs w:val="24"/>
          <w:lang w:val="es-ES_tradnl"/>
        </w:rPr>
        <w:t xml:space="preserve">% y una reducción del precio del </w:t>
      </w:r>
      <w:r>
        <w:rPr>
          <w:rFonts w:ascii="Arial" w:hAnsi="Arial" w:cs="Arial"/>
          <w:szCs w:val="24"/>
          <w:lang w:val="es-ES_tradnl"/>
        </w:rPr>
        <w:t>diésel</w:t>
      </w:r>
      <w:r w:rsidRPr="00FA41A9">
        <w:rPr>
          <w:rFonts w:ascii="Arial" w:hAnsi="Arial" w:cs="Arial"/>
          <w:szCs w:val="24"/>
          <w:lang w:val="es-ES_tradnl"/>
        </w:rPr>
        <w:t xml:space="preserve"> </w:t>
      </w:r>
      <w:r>
        <w:rPr>
          <w:rFonts w:ascii="Arial" w:hAnsi="Arial" w:cs="Arial"/>
          <w:szCs w:val="24"/>
          <w:lang w:val="es-ES_tradnl"/>
        </w:rPr>
        <w:t>im</w:t>
      </w:r>
      <w:r w:rsidRPr="00FA41A9">
        <w:rPr>
          <w:rFonts w:ascii="Arial" w:hAnsi="Arial" w:cs="Arial"/>
          <w:szCs w:val="24"/>
          <w:lang w:val="es-ES_tradnl"/>
        </w:rPr>
        <w:t xml:space="preserve">portado el </w:t>
      </w:r>
      <w:r>
        <w:rPr>
          <w:rFonts w:ascii="Arial" w:hAnsi="Arial" w:cs="Arial"/>
          <w:szCs w:val="24"/>
          <w:lang w:val="es-ES_tradnl"/>
        </w:rPr>
        <w:t>30</w:t>
      </w:r>
      <w:r w:rsidRPr="00FA41A9">
        <w:rPr>
          <w:rFonts w:ascii="Arial" w:hAnsi="Arial" w:cs="Arial"/>
          <w:szCs w:val="24"/>
          <w:lang w:val="es-ES_tradnl"/>
        </w:rPr>
        <w:t>%, permanecen en los márgenes aceptables de rentabilidad económica, es decir, VANS mayor a cero y TIRS mayor a 12%.</w:t>
      </w:r>
    </w:p>
    <w:p w14:paraId="5DF29C4F" w14:textId="77777777" w:rsidR="00636FEA" w:rsidRPr="00FA41A9" w:rsidRDefault="00636FEA" w:rsidP="00636FEA">
      <w:pPr>
        <w:spacing w:after="0"/>
        <w:jc w:val="both"/>
        <w:rPr>
          <w:rFonts w:ascii="Arial" w:hAnsi="Arial" w:cs="Arial"/>
          <w:szCs w:val="24"/>
          <w:lang w:val="es-ES_tradnl"/>
        </w:rPr>
      </w:pPr>
    </w:p>
    <w:p w14:paraId="3F6379C3" w14:textId="77777777" w:rsidR="00636FEA" w:rsidRDefault="00636FEA" w:rsidP="00636FEA">
      <w:pPr>
        <w:spacing w:after="0" w:line="240" w:lineRule="auto"/>
        <w:jc w:val="both"/>
        <w:rPr>
          <w:rFonts w:ascii="Times New Roman" w:hAnsi="Times New Roman" w:cs="Times New Roman"/>
          <w:sz w:val="24"/>
          <w:szCs w:val="24"/>
          <w:lang w:val="es-ES_tradnl"/>
        </w:rPr>
      </w:pPr>
    </w:p>
    <w:p w14:paraId="6642F95E" w14:textId="77777777" w:rsidR="00636FEA" w:rsidRPr="00FA41A9" w:rsidRDefault="00636FEA" w:rsidP="00636FEA">
      <w:pPr>
        <w:pStyle w:val="Heading1"/>
        <w:spacing w:before="0"/>
        <w:ind w:left="714" w:hanging="357"/>
        <w:rPr>
          <w:rFonts w:ascii="Arial" w:hAnsi="Arial" w:cs="Arial"/>
          <w:color w:val="244061" w:themeColor="accent1" w:themeShade="80"/>
          <w:lang w:val="es-ES"/>
        </w:rPr>
      </w:pPr>
      <w:bookmarkStart w:id="16" w:name="_Toc494317183"/>
      <w:r w:rsidRPr="00FA41A9">
        <w:rPr>
          <w:rFonts w:ascii="Arial" w:hAnsi="Arial" w:cs="Arial"/>
          <w:color w:val="244061" w:themeColor="accent1" w:themeShade="80"/>
          <w:lang w:val="es-ES"/>
        </w:rPr>
        <w:t>CONCLUSIONES</w:t>
      </w:r>
      <w:bookmarkEnd w:id="16"/>
    </w:p>
    <w:p w14:paraId="32656896" w14:textId="77777777" w:rsidR="00636FEA" w:rsidRDefault="00636FEA" w:rsidP="00636FEA">
      <w:pPr>
        <w:spacing w:after="0" w:line="240" w:lineRule="auto"/>
        <w:jc w:val="both"/>
        <w:rPr>
          <w:rFonts w:ascii="Century" w:hAnsi="Century" w:cs="Arial"/>
        </w:rPr>
      </w:pPr>
    </w:p>
    <w:p w14:paraId="776A095F" w14:textId="77777777" w:rsidR="00636FEA" w:rsidRPr="00FA41A9" w:rsidRDefault="00636FEA" w:rsidP="00636FEA">
      <w:pPr>
        <w:spacing w:after="0"/>
        <w:jc w:val="both"/>
        <w:rPr>
          <w:rFonts w:ascii="Arial" w:hAnsi="Arial" w:cs="Arial"/>
          <w:lang w:val="es-419"/>
        </w:rPr>
      </w:pPr>
      <w:r w:rsidRPr="00FA41A9">
        <w:rPr>
          <w:rFonts w:ascii="Arial" w:hAnsi="Arial" w:cs="Arial"/>
          <w:lang w:val="es-419"/>
        </w:rPr>
        <w:t xml:space="preserve">El proyecto LT </w:t>
      </w:r>
      <w:r>
        <w:rPr>
          <w:rFonts w:ascii="Arial" w:hAnsi="Arial" w:cs="Arial"/>
          <w:lang w:val="es-419"/>
        </w:rPr>
        <w:t>Los Troncos – San Ignacio de Velasco</w:t>
      </w:r>
      <w:r w:rsidRPr="00FA41A9">
        <w:rPr>
          <w:rFonts w:ascii="Arial" w:hAnsi="Arial" w:cs="Arial"/>
          <w:lang w:val="es-419"/>
        </w:rPr>
        <w:t xml:space="preserve"> ha sido suficientemente justificado y su implementación en una necesidad imperiosa para </w:t>
      </w:r>
      <w:r>
        <w:rPr>
          <w:rFonts w:ascii="Arial" w:hAnsi="Arial" w:cs="Arial"/>
          <w:lang w:val="es-419"/>
        </w:rPr>
        <w:t>reducir el consumo de diésel importado y subsidiado del país, además de mejorar la confiabilidad del suministro en la región.</w:t>
      </w:r>
    </w:p>
    <w:p w14:paraId="39F67B45" w14:textId="77777777" w:rsidR="00636FEA" w:rsidRPr="00FA41A9" w:rsidRDefault="00636FEA" w:rsidP="00636FEA">
      <w:pPr>
        <w:spacing w:after="0"/>
        <w:jc w:val="both"/>
        <w:rPr>
          <w:rFonts w:ascii="Arial" w:hAnsi="Arial" w:cs="Arial"/>
          <w:lang w:val="es-419"/>
        </w:rPr>
      </w:pPr>
    </w:p>
    <w:p w14:paraId="3FE3E659" w14:textId="77777777" w:rsidR="00636FEA" w:rsidRPr="00FA41A9" w:rsidRDefault="00636FEA" w:rsidP="00636FEA">
      <w:pPr>
        <w:spacing w:after="0"/>
        <w:jc w:val="both"/>
        <w:rPr>
          <w:rFonts w:ascii="Arial" w:hAnsi="Arial" w:cs="Arial"/>
          <w:lang w:val="es-419"/>
        </w:rPr>
      </w:pPr>
      <w:r w:rsidRPr="00FA41A9">
        <w:rPr>
          <w:rFonts w:ascii="Arial" w:hAnsi="Arial" w:cs="Arial"/>
          <w:lang w:val="es-419"/>
        </w:rPr>
        <w:t xml:space="preserve">Con los datos y supuestos antes presentados, la evaluación socioeconómica del proyecto “Línea de Transmisión </w:t>
      </w:r>
      <w:r>
        <w:rPr>
          <w:rFonts w:ascii="Arial" w:hAnsi="Arial" w:cs="Arial"/>
          <w:lang w:val="es-419"/>
        </w:rPr>
        <w:t>Los Troncos – San Ignacio de Velasco</w:t>
      </w:r>
      <w:r w:rsidRPr="00FA41A9">
        <w:rPr>
          <w:rFonts w:ascii="Arial" w:hAnsi="Arial" w:cs="Arial"/>
          <w:lang w:val="es-419"/>
        </w:rPr>
        <w:t>” indica que el proyecto es atractivo para el país, ya que el mismo genera beneficios suficientes.</w:t>
      </w:r>
    </w:p>
    <w:p w14:paraId="2508CDD5" w14:textId="77777777" w:rsidR="00636FEA" w:rsidRPr="00FA41A9" w:rsidRDefault="00636FEA" w:rsidP="00636FEA">
      <w:pPr>
        <w:spacing w:after="0"/>
        <w:jc w:val="both"/>
        <w:rPr>
          <w:rFonts w:ascii="Arial" w:hAnsi="Arial" w:cs="Arial"/>
          <w:lang w:val="es-419"/>
        </w:rPr>
      </w:pPr>
    </w:p>
    <w:p w14:paraId="5DCD34A0" w14:textId="77777777" w:rsidR="00636FEA" w:rsidRPr="00FA41A9" w:rsidRDefault="00636FEA" w:rsidP="00636FEA">
      <w:pPr>
        <w:spacing w:after="0"/>
        <w:jc w:val="both"/>
        <w:rPr>
          <w:rFonts w:ascii="Arial" w:hAnsi="Arial" w:cs="Arial"/>
          <w:lang w:val="es-419"/>
        </w:rPr>
      </w:pPr>
      <w:r w:rsidRPr="00FA41A9">
        <w:rPr>
          <w:rFonts w:ascii="Arial" w:hAnsi="Arial" w:cs="Arial"/>
          <w:lang w:val="es-419"/>
        </w:rPr>
        <w:t>Con el objeto de garantizar un retorno apropiado se deberían realizar las gestiones ante la AE para actualizar los precios de referencia utilizados en el cálculo del STEA.</w:t>
      </w:r>
    </w:p>
    <w:p w14:paraId="2468CC92" w14:textId="77777777" w:rsidR="00636FEA" w:rsidRPr="00FA41A9" w:rsidRDefault="00636FEA" w:rsidP="00636FEA">
      <w:pPr>
        <w:spacing w:after="0"/>
        <w:jc w:val="both"/>
        <w:rPr>
          <w:rFonts w:ascii="Arial" w:hAnsi="Arial" w:cs="Arial"/>
          <w:lang w:val="es-419"/>
        </w:rPr>
      </w:pPr>
    </w:p>
    <w:p w14:paraId="637CCCD6" w14:textId="77777777" w:rsidR="00636FEA" w:rsidRDefault="00636FEA" w:rsidP="00636FEA">
      <w:pPr>
        <w:spacing w:after="0"/>
        <w:jc w:val="both"/>
        <w:rPr>
          <w:rFonts w:ascii="Arial" w:hAnsi="Arial" w:cs="Arial"/>
          <w:lang w:val="es-419"/>
        </w:rPr>
      </w:pPr>
      <w:r w:rsidRPr="00FA41A9">
        <w:rPr>
          <w:rFonts w:ascii="Arial" w:hAnsi="Arial" w:cs="Arial"/>
          <w:lang w:val="es-419"/>
        </w:rPr>
        <w:t>Finalmente, por el análisis realizado y su importancia para el país, el proyecto debería ser considerado para su financiamiento por parte del BID.</w:t>
      </w:r>
    </w:p>
    <w:p w14:paraId="45CB18BD" w14:textId="77777777" w:rsidR="00636FEA" w:rsidRPr="00C43FA3" w:rsidRDefault="00636FEA" w:rsidP="00636FEA">
      <w:pPr>
        <w:spacing w:after="0"/>
        <w:jc w:val="both"/>
        <w:rPr>
          <w:rFonts w:ascii="Century" w:hAnsi="Century" w:cs="Arial"/>
          <w:lang w:val="es-419"/>
        </w:rPr>
      </w:pPr>
    </w:p>
    <w:p w14:paraId="1B80F330" w14:textId="77777777" w:rsidR="00636FEA" w:rsidRDefault="00636FEA" w:rsidP="00636FEA">
      <w:pPr>
        <w:tabs>
          <w:tab w:val="left" w:pos="2496"/>
        </w:tabs>
        <w:spacing w:after="0"/>
        <w:jc w:val="both"/>
        <w:rPr>
          <w:rFonts w:ascii="Arial" w:hAnsi="Arial" w:cs="Arial"/>
          <w:lang w:val="es-419"/>
        </w:rPr>
      </w:pPr>
    </w:p>
    <w:p w14:paraId="3CFE3AD3" w14:textId="77777777" w:rsidR="00636FEA" w:rsidRPr="00D3397F" w:rsidRDefault="00636FEA" w:rsidP="00636FEA">
      <w:pPr>
        <w:pStyle w:val="Heading1"/>
        <w:spacing w:before="0"/>
        <w:ind w:left="714" w:hanging="357"/>
        <w:rPr>
          <w:rFonts w:ascii="Arial" w:hAnsi="Arial" w:cs="Arial"/>
          <w:color w:val="244061" w:themeColor="accent1" w:themeShade="80"/>
          <w:lang w:val="es-ES"/>
        </w:rPr>
      </w:pPr>
      <w:r>
        <w:rPr>
          <w:rFonts w:ascii="Arial" w:hAnsi="Arial" w:cs="Arial"/>
          <w:color w:val="244061" w:themeColor="accent1" w:themeShade="80"/>
          <w:lang w:val="es-ES"/>
        </w:rPr>
        <w:t>REFERENCIA</w:t>
      </w:r>
      <w:r w:rsidRPr="00D3397F">
        <w:rPr>
          <w:rFonts w:ascii="Arial" w:hAnsi="Arial" w:cs="Arial"/>
          <w:color w:val="244061" w:themeColor="accent1" w:themeShade="80"/>
          <w:lang w:val="es-ES"/>
        </w:rPr>
        <w:t>S</w:t>
      </w:r>
    </w:p>
    <w:p w14:paraId="002387F3" w14:textId="77777777" w:rsidR="00636FEA" w:rsidRDefault="00636FEA" w:rsidP="00636FEA">
      <w:pPr>
        <w:tabs>
          <w:tab w:val="left" w:pos="2496"/>
        </w:tabs>
        <w:spacing w:after="0"/>
        <w:jc w:val="both"/>
        <w:rPr>
          <w:rFonts w:ascii="Arial" w:hAnsi="Arial" w:cs="Arial"/>
          <w:lang w:val="es-419"/>
        </w:rPr>
      </w:pPr>
    </w:p>
    <w:p w14:paraId="6E2319D7" w14:textId="77777777" w:rsidR="00636FEA" w:rsidRDefault="00636FEA" w:rsidP="00636FEA">
      <w:pPr>
        <w:tabs>
          <w:tab w:val="left" w:pos="2496"/>
        </w:tabs>
        <w:spacing w:after="0"/>
        <w:jc w:val="both"/>
        <w:rPr>
          <w:rFonts w:ascii="Arial" w:hAnsi="Arial" w:cs="Arial"/>
          <w:lang w:val="es-419"/>
        </w:rPr>
      </w:pPr>
      <w:r>
        <w:rPr>
          <w:rFonts w:ascii="Arial" w:hAnsi="Arial" w:cs="Arial"/>
          <w:lang w:val="es-419"/>
        </w:rPr>
        <w:t xml:space="preserve">ENDE (2017). </w:t>
      </w:r>
      <w:r w:rsidRPr="00D3397F">
        <w:rPr>
          <w:rFonts w:ascii="Arial" w:hAnsi="Arial" w:cs="Arial"/>
          <w:i/>
          <w:lang w:val="es-419"/>
        </w:rPr>
        <w:t>Proyecto: Interconexión San Ignacio de Velasco y San Matías al SIN (Resumen Técnico)</w:t>
      </w:r>
      <w:r>
        <w:rPr>
          <w:rFonts w:ascii="Arial" w:hAnsi="Arial" w:cs="Arial"/>
          <w:lang w:val="es-419"/>
        </w:rPr>
        <w:t>. Cochabamba.</w:t>
      </w:r>
    </w:p>
    <w:p w14:paraId="53A33F86" w14:textId="77777777" w:rsidR="00636FEA" w:rsidRDefault="00636FEA" w:rsidP="00636FEA">
      <w:pPr>
        <w:tabs>
          <w:tab w:val="left" w:pos="2496"/>
        </w:tabs>
        <w:spacing w:after="0"/>
        <w:jc w:val="both"/>
        <w:rPr>
          <w:rFonts w:ascii="Arial" w:hAnsi="Arial" w:cs="Arial"/>
          <w:lang w:val="es-419"/>
        </w:rPr>
      </w:pPr>
    </w:p>
    <w:p w14:paraId="38C8C7A1" w14:textId="77777777" w:rsidR="00636FEA" w:rsidRPr="00D3397F" w:rsidRDefault="00636FEA" w:rsidP="00636FEA">
      <w:pPr>
        <w:tabs>
          <w:tab w:val="left" w:pos="2496"/>
        </w:tabs>
        <w:spacing w:after="0"/>
        <w:jc w:val="both"/>
        <w:rPr>
          <w:rFonts w:ascii="Arial" w:hAnsi="Arial" w:cs="Arial"/>
          <w:lang w:val="es-419"/>
        </w:rPr>
      </w:pPr>
      <w:r>
        <w:rPr>
          <w:rFonts w:ascii="Arial" w:hAnsi="Arial" w:cs="Arial"/>
          <w:lang w:val="es-419"/>
        </w:rPr>
        <w:t xml:space="preserve">Gobierno de Bolivia (2001). </w:t>
      </w:r>
      <w:r w:rsidRPr="00BE58A5">
        <w:rPr>
          <w:rFonts w:ascii="Arial" w:hAnsi="Arial" w:cs="Arial"/>
          <w:i/>
          <w:lang w:val="es-419"/>
        </w:rPr>
        <w:t>Reglamento de Precios y Tarifas</w:t>
      </w:r>
      <w:r>
        <w:rPr>
          <w:rFonts w:ascii="Arial" w:hAnsi="Arial" w:cs="Arial"/>
          <w:lang w:val="es-419"/>
        </w:rPr>
        <w:t>. Decreto S</w:t>
      </w:r>
      <w:r w:rsidRPr="00BE58A5">
        <w:rPr>
          <w:rFonts w:ascii="Arial" w:hAnsi="Arial" w:cs="Arial"/>
          <w:lang w:val="es-419"/>
        </w:rPr>
        <w:t>upremo n° 26094 de 2 de marzo de 2001</w:t>
      </w:r>
      <w:r>
        <w:rPr>
          <w:rFonts w:ascii="Arial" w:hAnsi="Arial" w:cs="Arial"/>
          <w:lang w:val="es-419"/>
        </w:rPr>
        <w:t>. La Paz</w:t>
      </w:r>
    </w:p>
    <w:p w14:paraId="1D8FE5C9" w14:textId="77777777" w:rsidR="003676B1" w:rsidRPr="00636FEA" w:rsidRDefault="003676B1" w:rsidP="00636FEA"/>
    <w:sectPr w:rsidR="003676B1" w:rsidRPr="00636FEA" w:rsidSect="00C43FA3">
      <w:footerReference w:type="default" r:id="rId25"/>
      <w:headerReference w:type="first" r:id="rId2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6F22B" w14:textId="77777777" w:rsidR="00D82D65" w:rsidRDefault="00D82D65" w:rsidP="00404E6E">
      <w:pPr>
        <w:spacing w:after="0" w:line="240" w:lineRule="auto"/>
      </w:pPr>
      <w:r>
        <w:separator/>
      </w:r>
    </w:p>
  </w:endnote>
  <w:endnote w:type="continuationSeparator" w:id="0">
    <w:p w14:paraId="7F3FA36B" w14:textId="77777777" w:rsidR="00D82D65" w:rsidRDefault="00D82D65" w:rsidP="0040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9750333"/>
      <w:docPartObj>
        <w:docPartGallery w:val="Page Numbers (Bottom of Page)"/>
        <w:docPartUnique/>
      </w:docPartObj>
    </w:sdtPr>
    <w:sdtEndPr>
      <w:rPr>
        <w:noProof/>
      </w:rPr>
    </w:sdtEndPr>
    <w:sdtContent>
      <w:p w14:paraId="197A5CA8" w14:textId="77777777" w:rsidR="00D82D65" w:rsidRDefault="00D82D65" w:rsidP="003016EF">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06414E16" w14:textId="77777777" w:rsidR="00D82D65" w:rsidRDefault="00D82D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244969"/>
      <w:docPartObj>
        <w:docPartGallery w:val="Page Numbers (Bottom of Page)"/>
        <w:docPartUnique/>
      </w:docPartObj>
    </w:sdtPr>
    <w:sdtContent>
      <w:p w14:paraId="1D8FE5EA" w14:textId="77777777" w:rsidR="00D82D65" w:rsidRDefault="00D82D65">
        <w:pPr>
          <w:pStyle w:val="Footer"/>
        </w:pPr>
        <w:r>
          <w:rPr>
            <w:rFonts w:asciiTheme="majorHAnsi" w:eastAsiaTheme="majorEastAsia" w:hAnsiTheme="majorHAnsi" w:cstheme="majorBidi"/>
            <w:noProof/>
            <w:sz w:val="28"/>
            <w:szCs w:val="28"/>
            <w:lang w:val="es-419" w:eastAsia="es-419"/>
          </w:rPr>
          <mc:AlternateContent>
            <mc:Choice Requires="wps">
              <w:drawing>
                <wp:anchor distT="0" distB="0" distL="114300" distR="114300" simplePos="0" relativeHeight="251659264" behindDoc="0" locked="0" layoutInCell="1" allowOverlap="1" wp14:anchorId="1D8FE5EC" wp14:editId="1D8FE5ED">
                  <wp:simplePos x="0" y="0"/>
                  <wp:positionH relativeFrom="rightMargin">
                    <wp:align>center</wp:align>
                  </wp:positionH>
                  <wp:positionV relativeFrom="bottomMargin">
                    <wp:align>center</wp:align>
                  </wp:positionV>
                  <wp:extent cx="512445" cy="441325"/>
                  <wp:effectExtent l="0" t="0" r="1905" b="0"/>
                  <wp:wrapNone/>
                  <wp:docPr id="14" name="Proceso alternativ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1D8FE600" w14:textId="3E6270E8" w:rsidR="00D82D65" w:rsidRDefault="00D82D65" w:rsidP="00C43FA3">
                              <w:pPr>
                                <w:pStyle w:val="Footer"/>
                                <w:pBdr>
                                  <w:top w:val="single" w:sz="12" w:space="1" w:color="17365D" w:themeColor="text2" w:themeShade="BF"/>
                                  <w:bottom w:val="single" w:sz="24" w:space="1" w:color="17365D" w:themeColor="text2" w:themeShade="BF"/>
                                </w:pBdr>
                                <w:jc w:val="center"/>
                                <w:rPr>
                                  <w:sz w:val="28"/>
                                  <w:szCs w:val="28"/>
                                </w:rPr>
                              </w:pPr>
                              <w:r>
                                <w:fldChar w:fldCharType="begin"/>
                              </w:r>
                              <w:r>
                                <w:instrText>PAGE    \* MERGEFORMAT</w:instrText>
                              </w:r>
                              <w:r>
                                <w:fldChar w:fldCharType="separate"/>
                              </w:r>
                              <w:r w:rsidR="00A27C2A" w:rsidRPr="00A27C2A">
                                <w:rPr>
                                  <w:noProof/>
                                  <w:sz w:val="28"/>
                                  <w:szCs w:val="28"/>
                                  <w:lang w:val="es-ES"/>
                                </w:rPr>
                                <w:t>9</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FE5E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14" o:spid="_x0000_s1030"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" filled="f" fillcolor="#5c83b4" stroked="f" strokecolor="#737373">
                  <v:textbox>
                    <w:txbxContent>
                      <w:p w14:paraId="1D8FE600" w14:textId="3E6270E8" w:rsidR="00D82D65" w:rsidRDefault="00D82D65" w:rsidP="00C43FA3">
                        <w:pPr>
                          <w:pStyle w:val="Footer"/>
                          <w:pBdr>
                            <w:top w:val="single" w:sz="12" w:space="1" w:color="17365D" w:themeColor="text2" w:themeShade="BF"/>
                            <w:bottom w:val="single" w:sz="24" w:space="1" w:color="17365D" w:themeColor="text2" w:themeShade="BF"/>
                          </w:pBdr>
                          <w:jc w:val="center"/>
                          <w:rPr>
                            <w:sz w:val="28"/>
                            <w:szCs w:val="28"/>
                          </w:rPr>
                        </w:pPr>
                        <w:r>
                          <w:fldChar w:fldCharType="begin"/>
                        </w:r>
                        <w:r>
                          <w:instrText>PAGE    \* MERGEFORMAT</w:instrText>
                        </w:r>
                        <w:r>
                          <w:fldChar w:fldCharType="separate"/>
                        </w:r>
                        <w:r w:rsidR="00A27C2A" w:rsidRPr="00A27C2A">
                          <w:rPr>
                            <w:noProof/>
                            <w:sz w:val="28"/>
                            <w:szCs w:val="28"/>
                            <w:lang w:val="es-ES"/>
                          </w:rPr>
                          <w:t>9</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7B4CC" w14:textId="77777777" w:rsidR="00D82D65" w:rsidRDefault="00D82D65" w:rsidP="00404E6E">
      <w:pPr>
        <w:spacing w:after="0" w:line="240" w:lineRule="auto"/>
      </w:pPr>
      <w:r>
        <w:separator/>
      </w:r>
    </w:p>
  </w:footnote>
  <w:footnote w:type="continuationSeparator" w:id="0">
    <w:p w14:paraId="1304E408" w14:textId="77777777" w:rsidR="00D82D65" w:rsidRDefault="00D82D65" w:rsidP="00404E6E">
      <w:pPr>
        <w:spacing w:after="0" w:line="240" w:lineRule="auto"/>
      </w:pPr>
      <w:r>
        <w:continuationSeparator/>
      </w:r>
    </w:p>
  </w:footnote>
  <w:footnote w:id="1">
    <w:p w14:paraId="29EA98DE" w14:textId="77777777" w:rsidR="00D82D65" w:rsidRPr="00A77899" w:rsidRDefault="00D82D65" w:rsidP="00636FEA">
      <w:pPr>
        <w:pStyle w:val="FootnoteText"/>
        <w:rPr>
          <w:rFonts w:ascii="Arial" w:hAnsi="Arial" w:cs="Arial"/>
          <w:i/>
          <w:sz w:val="20"/>
          <w:lang w:val="es-419"/>
        </w:rPr>
      </w:pPr>
      <w:r w:rsidRPr="00A77899">
        <w:rPr>
          <w:rStyle w:val="FootnoteReference"/>
          <w:rFonts w:ascii="Arial" w:hAnsi="Arial" w:cs="Arial"/>
          <w:i/>
          <w:sz w:val="20"/>
        </w:rPr>
        <w:footnoteRef/>
      </w:r>
      <w:r w:rsidRPr="00A77899">
        <w:rPr>
          <w:rFonts w:ascii="Arial" w:hAnsi="Arial" w:cs="Arial"/>
          <w:i/>
          <w:sz w:val="20"/>
        </w:rPr>
        <w:t xml:space="preserve"> </w:t>
      </w:r>
      <w:r w:rsidRPr="00A77899">
        <w:rPr>
          <w:rFonts w:ascii="Arial" w:hAnsi="Arial" w:cs="Arial"/>
          <w:i/>
          <w:sz w:val="20"/>
          <w:lang w:val="es-419"/>
        </w:rPr>
        <w:t>Incluye Charagua</w:t>
      </w:r>
    </w:p>
  </w:footnote>
  <w:footnote w:id="2">
    <w:p w14:paraId="27F7355F" w14:textId="77777777" w:rsidR="00D82D65" w:rsidRPr="00A77899" w:rsidRDefault="00D82D65" w:rsidP="00636FEA">
      <w:pPr>
        <w:pStyle w:val="FootnoteText"/>
        <w:rPr>
          <w:rFonts w:ascii="Arial" w:hAnsi="Arial" w:cs="Arial"/>
          <w:i/>
          <w:sz w:val="20"/>
        </w:rPr>
      </w:pPr>
      <w:r w:rsidRPr="00A77899">
        <w:rPr>
          <w:rStyle w:val="FootnoteReference"/>
          <w:rFonts w:ascii="Arial" w:hAnsi="Arial" w:cs="Arial"/>
          <w:i/>
          <w:sz w:val="20"/>
        </w:rPr>
        <w:footnoteRef/>
      </w:r>
      <w:r>
        <w:rPr>
          <w:rFonts w:ascii="Arial" w:hAnsi="Arial" w:cs="Arial"/>
          <w:i/>
          <w:sz w:val="20"/>
        </w:rPr>
        <w:t xml:space="preserve"> </w:t>
      </w:r>
      <w:r w:rsidRPr="00A77899">
        <w:rPr>
          <w:rFonts w:ascii="Arial" w:hAnsi="Arial" w:cs="Arial"/>
          <w:i/>
          <w:sz w:val="20"/>
        </w:rPr>
        <w:t>Operado por la empresa Guaracachi (EGSA)</w:t>
      </w:r>
    </w:p>
  </w:footnote>
  <w:footnote w:id="3">
    <w:p w14:paraId="51C7443E" w14:textId="77777777" w:rsidR="00D82D65" w:rsidRPr="00F132A4" w:rsidRDefault="00D82D65" w:rsidP="00636FEA">
      <w:pPr>
        <w:pStyle w:val="FootnoteText"/>
        <w:rPr>
          <w:lang w:val="es-419"/>
        </w:rPr>
      </w:pPr>
      <w:r>
        <w:rPr>
          <w:rStyle w:val="FootnoteReference"/>
        </w:rPr>
        <w:footnoteRef/>
      </w:r>
      <w:r>
        <w:t xml:space="preserve"> Artículo 33 del </w:t>
      </w:r>
      <w:r w:rsidRPr="00F132A4">
        <w:t>Reglamento de Precios y Tarifas. Decreto Supremo n° 260</w:t>
      </w:r>
      <w:r>
        <w:t xml:space="preserve">94 de 2 de marzo </w:t>
      </w:r>
    </w:p>
  </w:footnote>
  <w:footnote w:id="4">
    <w:p w14:paraId="5A14CE90" w14:textId="1C0A1EF6" w:rsidR="00D82D65" w:rsidRPr="00D82D65" w:rsidRDefault="00D82D65">
      <w:pPr>
        <w:pStyle w:val="FootnoteText"/>
      </w:pPr>
      <w:r>
        <w:rPr>
          <w:rStyle w:val="FootnoteReference"/>
        </w:rPr>
        <w:footnoteRef/>
      </w:r>
      <w:r>
        <w:t xml:space="preserve"> Anuario Estadístico de la AE, 2016.</w:t>
      </w:r>
    </w:p>
  </w:footnote>
  <w:footnote w:id="5">
    <w:p w14:paraId="6491EA58" w14:textId="77777777" w:rsidR="00D82D65" w:rsidRPr="00DA59AD" w:rsidRDefault="00D82D65" w:rsidP="00636FEA">
      <w:pPr>
        <w:pStyle w:val="FootnoteText"/>
        <w:rPr>
          <w:lang w:val="es-419"/>
        </w:rPr>
      </w:pPr>
      <w:r>
        <w:rPr>
          <w:rStyle w:val="FootnoteReference"/>
        </w:rPr>
        <w:footnoteRef/>
      </w:r>
      <w:r>
        <w:t xml:space="preserve"> Ministerio de Energías, en base a información de </w:t>
      </w:r>
      <w:r w:rsidRPr="00DA59AD">
        <w:t xml:space="preserve"> Agencia Nacional de Hidrocarburos, 2016, precio del diésel para vehículos extranjeros, 8.8 Bs/litro</w:t>
      </w:r>
    </w:p>
  </w:footnote>
  <w:footnote w:id="6">
    <w:p w14:paraId="4CD81A6B" w14:textId="77777777" w:rsidR="00D82D65" w:rsidRPr="00947EF4" w:rsidRDefault="00D82D65" w:rsidP="00636FEA">
      <w:pPr>
        <w:pStyle w:val="FootnoteText"/>
        <w:rPr>
          <w:lang w:val="es-419"/>
        </w:rPr>
      </w:pPr>
      <w:r>
        <w:rPr>
          <w:rStyle w:val="FootnoteReference"/>
        </w:rPr>
        <w:footnoteRef/>
      </w:r>
      <w:r>
        <w:t xml:space="preserve"> </w:t>
      </w:r>
      <w:r w:rsidRPr="00947EF4">
        <w:t>Fuente: Emisiones de CO2 de combustibles (para Bolivia), Agencia Internacional de Energía,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FE5EB" w14:textId="77777777" w:rsidR="00D82D65" w:rsidRPr="00FE60BE" w:rsidRDefault="00D82D65" w:rsidP="00FE6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2B7A"/>
    <w:multiLevelType w:val="multilevel"/>
    <w:tmpl w:val="A392A4D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99C5A64"/>
    <w:multiLevelType w:val="hybridMultilevel"/>
    <w:tmpl w:val="0F8A9D78"/>
    <w:lvl w:ilvl="0" w:tplc="580A0001">
      <w:start w:val="1"/>
      <w:numFmt w:val="bullet"/>
      <w:lvlText w:val=""/>
      <w:lvlJc w:val="left"/>
      <w:pPr>
        <w:ind w:left="360" w:hanging="360"/>
      </w:pPr>
      <w:rPr>
        <w:rFonts w:ascii="Symbol" w:hAnsi="Symbol" w:hint="default"/>
      </w:rPr>
    </w:lvl>
    <w:lvl w:ilvl="1" w:tplc="580A0003" w:tentative="1">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2" w15:restartNumberingAfterBreak="0">
    <w:nsid w:val="0B8655B2"/>
    <w:multiLevelType w:val="hybridMultilevel"/>
    <w:tmpl w:val="58400FEA"/>
    <w:lvl w:ilvl="0" w:tplc="E1762E3A">
      <w:start w:val="1"/>
      <w:numFmt w:val="decimal"/>
      <w:pStyle w:val="Heading4"/>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B7FC9"/>
    <w:multiLevelType w:val="multilevel"/>
    <w:tmpl w:val="DCCABCE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146"/>
        </w:tabs>
        <w:ind w:left="1146"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0DAC432F"/>
    <w:multiLevelType w:val="hybridMultilevel"/>
    <w:tmpl w:val="C75CC202"/>
    <w:lvl w:ilvl="0" w:tplc="5AE46B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F04D5"/>
    <w:multiLevelType w:val="hybridMultilevel"/>
    <w:tmpl w:val="021C5B3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20452266"/>
    <w:multiLevelType w:val="hybridMultilevel"/>
    <w:tmpl w:val="C2AA909C"/>
    <w:lvl w:ilvl="0" w:tplc="BD307004">
      <w:start w:val="1"/>
      <w:numFmt w:val="lowerLetter"/>
      <w:lvlText w:val="(%1)"/>
      <w:lvlJc w:val="left"/>
      <w:pPr>
        <w:ind w:left="720" w:hanging="360"/>
      </w:pPr>
      <w:rPr>
        <w:rFonts w:ascii="Arial" w:hAnsi="Arial" w:cs="Arial" w:hint="default"/>
        <w:b w:val="0"/>
        <w:sz w:val="16"/>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2D0C584F"/>
    <w:multiLevelType w:val="hybridMultilevel"/>
    <w:tmpl w:val="0FA2F9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34946175"/>
    <w:multiLevelType w:val="hybridMultilevel"/>
    <w:tmpl w:val="26FAB8E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38FA0048"/>
    <w:multiLevelType w:val="hybridMultilevel"/>
    <w:tmpl w:val="02BE9420"/>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3A8F375A"/>
    <w:multiLevelType w:val="multilevel"/>
    <w:tmpl w:val="E9CE4112"/>
    <w:lvl w:ilvl="0">
      <w:start w:val="1"/>
      <w:numFmt w:val="upperRoman"/>
      <w:pStyle w:val="Heading1"/>
      <w:lvlText w:val="%1."/>
      <w:lvlJc w:val="right"/>
      <w:pPr>
        <w:ind w:left="720" w:hanging="360"/>
      </w:pPr>
      <w:rPr>
        <w:lang w:val="es-MX"/>
      </w:rPr>
    </w:lvl>
    <w:lvl w:ilvl="1">
      <w:start w:val="1"/>
      <w:numFmt w:val="decimal"/>
      <w:isLgl/>
      <w:lvlText w:val="%1.%2"/>
      <w:lvlJc w:val="left"/>
      <w:pPr>
        <w:ind w:left="862"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1" w15:restartNumberingAfterBreak="0">
    <w:nsid w:val="3F362D2F"/>
    <w:multiLevelType w:val="hybridMultilevel"/>
    <w:tmpl w:val="1A6A93A8"/>
    <w:lvl w:ilvl="0" w:tplc="38047FF0">
      <w:start w:val="1"/>
      <w:numFmt w:val="lowerLetter"/>
      <w:pStyle w:val="Heading2"/>
      <w:lvlText w:val="%1."/>
      <w:lvlJc w:val="left"/>
      <w:pPr>
        <w:ind w:left="1440" w:hanging="360"/>
      </w:pPr>
    </w:lvl>
    <w:lvl w:ilvl="1" w:tplc="381CF4EA">
      <w:numFmt w:val="bullet"/>
      <w:lvlText w:val="-"/>
      <w:lvlJc w:val="left"/>
      <w:pPr>
        <w:ind w:left="2520" w:hanging="720"/>
      </w:pPr>
      <w:rPr>
        <w:rFonts w:ascii="Arial" w:eastAsiaTheme="minorHAnsi"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40DD0F1D"/>
    <w:multiLevelType w:val="hybridMultilevel"/>
    <w:tmpl w:val="2690E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7A535E"/>
    <w:multiLevelType w:val="hybridMultilevel"/>
    <w:tmpl w:val="F1E6CBAE"/>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50F92E57"/>
    <w:multiLevelType w:val="hybridMultilevel"/>
    <w:tmpl w:val="1540ADD6"/>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51060731"/>
    <w:multiLevelType w:val="hybridMultilevel"/>
    <w:tmpl w:val="33164328"/>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54B57919"/>
    <w:multiLevelType w:val="hybridMultilevel"/>
    <w:tmpl w:val="0EB22CFA"/>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55847E65"/>
    <w:multiLevelType w:val="hybridMultilevel"/>
    <w:tmpl w:val="56849E6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9" w15:restartNumberingAfterBreak="0">
    <w:nsid w:val="572152F9"/>
    <w:multiLevelType w:val="hybridMultilevel"/>
    <w:tmpl w:val="4000D02E"/>
    <w:lvl w:ilvl="0" w:tplc="13480DFE">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5D2B781C"/>
    <w:multiLevelType w:val="hybridMultilevel"/>
    <w:tmpl w:val="3A1E08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C21886"/>
    <w:multiLevelType w:val="hybridMultilevel"/>
    <w:tmpl w:val="0E10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F95EEA"/>
    <w:multiLevelType w:val="hybridMultilevel"/>
    <w:tmpl w:val="104820FC"/>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734B48AE"/>
    <w:multiLevelType w:val="hybridMultilevel"/>
    <w:tmpl w:val="89D8B32C"/>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75CD0CB8"/>
    <w:multiLevelType w:val="hybridMultilevel"/>
    <w:tmpl w:val="1D161D26"/>
    <w:lvl w:ilvl="0" w:tplc="B4EEA6C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2"/>
  </w:num>
  <w:num w:numId="4">
    <w:abstractNumId w:val="0"/>
  </w:num>
  <w:num w:numId="5">
    <w:abstractNumId w:val="24"/>
  </w:num>
  <w:num w:numId="6">
    <w:abstractNumId w:val="15"/>
  </w:num>
  <w:num w:numId="7">
    <w:abstractNumId w:val="16"/>
  </w:num>
  <w:num w:numId="8">
    <w:abstractNumId w:val="23"/>
  </w:num>
  <w:num w:numId="9">
    <w:abstractNumId w:val="9"/>
  </w:num>
  <w:num w:numId="10">
    <w:abstractNumId w:val="17"/>
  </w:num>
  <w:num w:numId="11">
    <w:abstractNumId w:val="14"/>
  </w:num>
  <w:num w:numId="12">
    <w:abstractNumId w:val="22"/>
  </w:num>
  <w:num w:numId="13">
    <w:abstractNumId w:val="10"/>
  </w:num>
  <w:num w:numId="14">
    <w:abstractNumId w:val="12"/>
  </w:num>
  <w:num w:numId="15">
    <w:abstractNumId w:val="3"/>
  </w:num>
  <w:num w:numId="16">
    <w:abstractNumId w:val="21"/>
  </w:num>
  <w:num w:numId="17">
    <w:abstractNumId w:val="13"/>
  </w:num>
  <w:num w:numId="18">
    <w:abstractNumId w:val="20"/>
  </w:num>
  <w:num w:numId="19">
    <w:abstractNumId w:val="18"/>
  </w:num>
  <w:num w:numId="20">
    <w:abstractNumId w:val="4"/>
  </w:num>
  <w:num w:numId="21">
    <w:abstractNumId w:val="10"/>
  </w:num>
  <w:num w:numId="22">
    <w:abstractNumId w:val="10"/>
  </w:num>
  <w:num w:numId="23">
    <w:abstractNumId w:val="8"/>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num>
  <w:num w:numId="28">
    <w:abstractNumId w:val="7"/>
  </w:num>
  <w:num w:numId="29">
    <w:abstractNumId w:val="5"/>
  </w:num>
  <w:num w:numId="30">
    <w:abstractNumId w:val="10"/>
  </w:num>
  <w:num w:numId="31">
    <w:abstractNumId w:val="10"/>
  </w:num>
  <w:num w:numId="32">
    <w:abstractNumId w:val="1"/>
  </w:num>
  <w:num w:numId="33">
    <w:abstractNumId w:val="10"/>
  </w:num>
  <w:num w:numId="34">
    <w:abstractNumId w:val="10"/>
  </w:num>
  <w:num w:numId="35">
    <w:abstractNumId w:val="10"/>
  </w:num>
  <w:num w:numId="36">
    <w:abstractNumId w:val="10"/>
  </w:num>
  <w:num w:numId="37">
    <w:abstractNumId w:val="10"/>
  </w:num>
  <w:num w:numId="38">
    <w:abstractNumId w:val="19"/>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02"/>
    <w:rsid w:val="000006E4"/>
    <w:rsid w:val="000076E0"/>
    <w:rsid w:val="0001039C"/>
    <w:rsid w:val="00015A76"/>
    <w:rsid w:val="00017DC1"/>
    <w:rsid w:val="0002006E"/>
    <w:rsid w:val="0003299A"/>
    <w:rsid w:val="0003730E"/>
    <w:rsid w:val="0004081A"/>
    <w:rsid w:val="00041AAC"/>
    <w:rsid w:val="00041BEA"/>
    <w:rsid w:val="00051981"/>
    <w:rsid w:val="0007157F"/>
    <w:rsid w:val="00072B2C"/>
    <w:rsid w:val="00080568"/>
    <w:rsid w:val="00082449"/>
    <w:rsid w:val="000A4F99"/>
    <w:rsid w:val="000B08BF"/>
    <w:rsid w:val="000B21D4"/>
    <w:rsid w:val="000B3A5C"/>
    <w:rsid w:val="000B5131"/>
    <w:rsid w:val="000B5CA5"/>
    <w:rsid w:val="000C30DF"/>
    <w:rsid w:val="000C3A26"/>
    <w:rsid w:val="000D7E07"/>
    <w:rsid w:val="000E10EF"/>
    <w:rsid w:val="000E5497"/>
    <w:rsid w:val="000E5C39"/>
    <w:rsid w:val="000E64CA"/>
    <w:rsid w:val="000F075B"/>
    <w:rsid w:val="00107B6B"/>
    <w:rsid w:val="00107D53"/>
    <w:rsid w:val="001105DF"/>
    <w:rsid w:val="00111B8E"/>
    <w:rsid w:val="00113EB5"/>
    <w:rsid w:val="00116AF1"/>
    <w:rsid w:val="0012061D"/>
    <w:rsid w:val="00121DCE"/>
    <w:rsid w:val="001220EB"/>
    <w:rsid w:val="00122631"/>
    <w:rsid w:val="00135A3B"/>
    <w:rsid w:val="00141848"/>
    <w:rsid w:val="00150CAF"/>
    <w:rsid w:val="00154A9F"/>
    <w:rsid w:val="00156069"/>
    <w:rsid w:val="00162D8D"/>
    <w:rsid w:val="00165817"/>
    <w:rsid w:val="00171DFA"/>
    <w:rsid w:val="00186633"/>
    <w:rsid w:val="001908B6"/>
    <w:rsid w:val="00190E7D"/>
    <w:rsid w:val="0019172E"/>
    <w:rsid w:val="001946E8"/>
    <w:rsid w:val="001A15BF"/>
    <w:rsid w:val="001A316B"/>
    <w:rsid w:val="001A6E8B"/>
    <w:rsid w:val="001B2715"/>
    <w:rsid w:val="001B3DF4"/>
    <w:rsid w:val="001B5C31"/>
    <w:rsid w:val="001C0B01"/>
    <w:rsid w:val="001C2205"/>
    <w:rsid w:val="00207255"/>
    <w:rsid w:val="00212849"/>
    <w:rsid w:val="0021420E"/>
    <w:rsid w:val="00216BB9"/>
    <w:rsid w:val="00221BF9"/>
    <w:rsid w:val="00223F49"/>
    <w:rsid w:val="00231EC2"/>
    <w:rsid w:val="00232312"/>
    <w:rsid w:val="00234A01"/>
    <w:rsid w:val="00243E0E"/>
    <w:rsid w:val="00245FD7"/>
    <w:rsid w:val="00246C46"/>
    <w:rsid w:val="002530B9"/>
    <w:rsid w:val="00256213"/>
    <w:rsid w:val="0026073C"/>
    <w:rsid w:val="00264744"/>
    <w:rsid w:val="002705A5"/>
    <w:rsid w:val="00270F09"/>
    <w:rsid w:val="00277D58"/>
    <w:rsid w:val="00284C48"/>
    <w:rsid w:val="00287ADA"/>
    <w:rsid w:val="00290699"/>
    <w:rsid w:val="00290E52"/>
    <w:rsid w:val="0029308A"/>
    <w:rsid w:val="00294FE7"/>
    <w:rsid w:val="00297701"/>
    <w:rsid w:val="002A2132"/>
    <w:rsid w:val="002A545F"/>
    <w:rsid w:val="002B57E1"/>
    <w:rsid w:val="002B65F0"/>
    <w:rsid w:val="002D3D1D"/>
    <w:rsid w:val="002D42D0"/>
    <w:rsid w:val="002E6503"/>
    <w:rsid w:val="002F1842"/>
    <w:rsid w:val="003016EF"/>
    <w:rsid w:val="0031148A"/>
    <w:rsid w:val="00312461"/>
    <w:rsid w:val="00312FDC"/>
    <w:rsid w:val="00315363"/>
    <w:rsid w:val="0032051C"/>
    <w:rsid w:val="00326A92"/>
    <w:rsid w:val="00326B67"/>
    <w:rsid w:val="0032722F"/>
    <w:rsid w:val="00336C07"/>
    <w:rsid w:val="003370BF"/>
    <w:rsid w:val="003400E3"/>
    <w:rsid w:val="003411AD"/>
    <w:rsid w:val="00347BB8"/>
    <w:rsid w:val="00347C55"/>
    <w:rsid w:val="00351278"/>
    <w:rsid w:val="00364AB0"/>
    <w:rsid w:val="003676B1"/>
    <w:rsid w:val="003677F1"/>
    <w:rsid w:val="003829BD"/>
    <w:rsid w:val="00383C20"/>
    <w:rsid w:val="003937D1"/>
    <w:rsid w:val="00394517"/>
    <w:rsid w:val="003A735A"/>
    <w:rsid w:val="003B3268"/>
    <w:rsid w:val="003D5444"/>
    <w:rsid w:val="003D5D11"/>
    <w:rsid w:val="003E0617"/>
    <w:rsid w:val="003E3194"/>
    <w:rsid w:val="003F1E3A"/>
    <w:rsid w:val="00403136"/>
    <w:rsid w:val="00404E6E"/>
    <w:rsid w:val="00405931"/>
    <w:rsid w:val="004069E1"/>
    <w:rsid w:val="00406C54"/>
    <w:rsid w:val="00407D34"/>
    <w:rsid w:val="004149CC"/>
    <w:rsid w:val="004217DB"/>
    <w:rsid w:val="00436FFF"/>
    <w:rsid w:val="00450888"/>
    <w:rsid w:val="004541BC"/>
    <w:rsid w:val="00454B13"/>
    <w:rsid w:val="00471B7D"/>
    <w:rsid w:val="00483107"/>
    <w:rsid w:val="00483E8A"/>
    <w:rsid w:val="0049149C"/>
    <w:rsid w:val="004943A8"/>
    <w:rsid w:val="004B71C0"/>
    <w:rsid w:val="004B75CF"/>
    <w:rsid w:val="004C004F"/>
    <w:rsid w:val="004C23D7"/>
    <w:rsid w:val="004D4A04"/>
    <w:rsid w:val="004E4FC6"/>
    <w:rsid w:val="004F59B0"/>
    <w:rsid w:val="0050765C"/>
    <w:rsid w:val="00512853"/>
    <w:rsid w:val="00517E8B"/>
    <w:rsid w:val="005274B7"/>
    <w:rsid w:val="00527793"/>
    <w:rsid w:val="005320EE"/>
    <w:rsid w:val="0053497E"/>
    <w:rsid w:val="00537A6B"/>
    <w:rsid w:val="005518B6"/>
    <w:rsid w:val="00551B85"/>
    <w:rsid w:val="005638BA"/>
    <w:rsid w:val="00565D8D"/>
    <w:rsid w:val="00566B65"/>
    <w:rsid w:val="005923D9"/>
    <w:rsid w:val="00596B30"/>
    <w:rsid w:val="005A2E53"/>
    <w:rsid w:val="005A4AB9"/>
    <w:rsid w:val="005A59A9"/>
    <w:rsid w:val="005C1CCA"/>
    <w:rsid w:val="005C5E99"/>
    <w:rsid w:val="005D0EAA"/>
    <w:rsid w:val="005E0FD6"/>
    <w:rsid w:val="005E27D7"/>
    <w:rsid w:val="005E6007"/>
    <w:rsid w:val="005E7DAE"/>
    <w:rsid w:val="005F0937"/>
    <w:rsid w:val="005F15AB"/>
    <w:rsid w:val="005F3493"/>
    <w:rsid w:val="005F42BE"/>
    <w:rsid w:val="005F64CB"/>
    <w:rsid w:val="006043FE"/>
    <w:rsid w:val="00610294"/>
    <w:rsid w:val="00611E16"/>
    <w:rsid w:val="006228EC"/>
    <w:rsid w:val="00626C6B"/>
    <w:rsid w:val="006274D8"/>
    <w:rsid w:val="00627678"/>
    <w:rsid w:val="00636FEA"/>
    <w:rsid w:val="00640F1D"/>
    <w:rsid w:val="006419A5"/>
    <w:rsid w:val="006430CA"/>
    <w:rsid w:val="00651523"/>
    <w:rsid w:val="006619E0"/>
    <w:rsid w:val="00675331"/>
    <w:rsid w:val="006762B7"/>
    <w:rsid w:val="00681788"/>
    <w:rsid w:val="006848B2"/>
    <w:rsid w:val="006874F6"/>
    <w:rsid w:val="00690735"/>
    <w:rsid w:val="006979FE"/>
    <w:rsid w:val="006A1733"/>
    <w:rsid w:val="006A2492"/>
    <w:rsid w:val="006C513A"/>
    <w:rsid w:val="006C5447"/>
    <w:rsid w:val="006C7E4D"/>
    <w:rsid w:val="006D0BFA"/>
    <w:rsid w:val="006D30EE"/>
    <w:rsid w:val="006D534D"/>
    <w:rsid w:val="006E4E84"/>
    <w:rsid w:val="006F1B75"/>
    <w:rsid w:val="00702734"/>
    <w:rsid w:val="00706E32"/>
    <w:rsid w:val="007173D9"/>
    <w:rsid w:val="0072043F"/>
    <w:rsid w:val="007212F4"/>
    <w:rsid w:val="007271F8"/>
    <w:rsid w:val="00731255"/>
    <w:rsid w:val="00732A2D"/>
    <w:rsid w:val="00733621"/>
    <w:rsid w:val="007337E6"/>
    <w:rsid w:val="00740E33"/>
    <w:rsid w:val="007515A2"/>
    <w:rsid w:val="0076245A"/>
    <w:rsid w:val="00764A83"/>
    <w:rsid w:val="00767136"/>
    <w:rsid w:val="00771B6D"/>
    <w:rsid w:val="00782E14"/>
    <w:rsid w:val="007941F2"/>
    <w:rsid w:val="007952DB"/>
    <w:rsid w:val="007970F0"/>
    <w:rsid w:val="007D6EAB"/>
    <w:rsid w:val="007E2349"/>
    <w:rsid w:val="007E2E4C"/>
    <w:rsid w:val="007E314B"/>
    <w:rsid w:val="007E42AE"/>
    <w:rsid w:val="007F25F8"/>
    <w:rsid w:val="008071BA"/>
    <w:rsid w:val="00817B07"/>
    <w:rsid w:val="008202B3"/>
    <w:rsid w:val="00823908"/>
    <w:rsid w:val="00835505"/>
    <w:rsid w:val="00837A3E"/>
    <w:rsid w:val="00840B8C"/>
    <w:rsid w:val="008444C6"/>
    <w:rsid w:val="0087459E"/>
    <w:rsid w:val="00874921"/>
    <w:rsid w:val="00875FEA"/>
    <w:rsid w:val="00882EFD"/>
    <w:rsid w:val="00887935"/>
    <w:rsid w:val="00892FCC"/>
    <w:rsid w:val="00893603"/>
    <w:rsid w:val="00896841"/>
    <w:rsid w:val="00896C6A"/>
    <w:rsid w:val="00897238"/>
    <w:rsid w:val="008A2A10"/>
    <w:rsid w:val="008A6D69"/>
    <w:rsid w:val="008B2667"/>
    <w:rsid w:val="008B3467"/>
    <w:rsid w:val="008B52A1"/>
    <w:rsid w:val="008B5B39"/>
    <w:rsid w:val="008C27CF"/>
    <w:rsid w:val="008C6054"/>
    <w:rsid w:val="008D52B5"/>
    <w:rsid w:val="008F2029"/>
    <w:rsid w:val="008F28FD"/>
    <w:rsid w:val="008F5849"/>
    <w:rsid w:val="008F6335"/>
    <w:rsid w:val="0090079C"/>
    <w:rsid w:val="00906223"/>
    <w:rsid w:val="009073B7"/>
    <w:rsid w:val="00916214"/>
    <w:rsid w:val="009220CF"/>
    <w:rsid w:val="00924982"/>
    <w:rsid w:val="00925207"/>
    <w:rsid w:val="00925806"/>
    <w:rsid w:val="00927831"/>
    <w:rsid w:val="00930A10"/>
    <w:rsid w:val="0094614A"/>
    <w:rsid w:val="00946506"/>
    <w:rsid w:val="00947EF4"/>
    <w:rsid w:val="00951A7A"/>
    <w:rsid w:val="00953C69"/>
    <w:rsid w:val="00953DF5"/>
    <w:rsid w:val="009605D4"/>
    <w:rsid w:val="009626D9"/>
    <w:rsid w:val="00965B5A"/>
    <w:rsid w:val="00967258"/>
    <w:rsid w:val="009720AA"/>
    <w:rsid w:val="00992FD4"/>
    <w:rsid w:val="00993DF9"/>
    <w:rsid w:val="009A2557"/>
    <w:rsid w:val="009A31D4"/>
    <w:rsid w:val="009A4C65"/>
    <w:rsid w:val="009A5950"/>
    <w:rsid w:val="009B4447"/>
    <w:rsid w:val="009B7A61"/>
    <w:rsid w:val="009B7AB4"/>
    <w:rsid w:val="009C3F30"/>
    <w:rsid w:val="009C4AD7"/>
    <w:rsid w:val="009D0F23"/>
    <w:rsid w:val="009D1ACA"/>
    <w:rsid w:val="009D45ED"/>
    <w:rsid w:val="009F63DC"/>
    <w:rsid w:val="00A00A06"/>
    <w:rsid w:val="00A00E02"/>
    <w:rsid w:val="00A01D33"/>
    <w:rsid w:val="00A24AE1"/>
    <w:rsid w:val="00A27C2A"/>
    <w:rsid w:val="00A30924"/>
    <w:rsid w:val="00A35210"/>
    <w:rsid w:val="00A44BA7"/>
    <w:rsid w:val="00A53F91"/>
    <w:rsid w:val="00A54002"/>
    <w:rsid w:val="00A61F23"/>
    <w:rsid w:val="00A64D7C"/>
    <w:rsid w:val="00A670CC"/>
    <w:rsid w:val="00A77899"/>
    <w:rsid w:val="00A81C94"/>
    <w:rsid w:val="00A822B7"/>
    <w:rsid w:val="00A82C93"/>
    <w:rsid w:val="00A978DD"/>
    <w:rsid w:val="00AC2EA4"/>
    <w:rsid w:val="00AC36DC"/>
    <w:rsid w:val="00AC3A97"/>
    <w:rsid w:val="00AD3E1F"/>
    <w:rsid w:val="00AD67B4"/>
    <w:rsid w:val="00AE056D"/>
    <w:rsid w:val="00AE5D8E"/>
    <w:rsid w:val="00AF2438"/>
    <w:rsid w:val="00B05E76"/>
    <w:rsid w:val="00B0651D"/>
    <w:rsid w:val="00B166F4"/>
    <w:rsid w:val="00B21DFA"/>
    <w:rsid w:val="00B226C6"/>
    <w:rsid w:val="00B242A3"/>
    <w:rsid w:val="00B263C8"/>
    <w:rsid w:val="00B3206E"/>
    <w:rsid w:val="00B43284"/>
    <w:rsid w:val="00B5783C"/>
    <w:rsid w:val="00B604DA"/>
    <w:rsid w:val="00B64595"/>
    <w:rsid w:val="00B6550D"/>
    <w:rsid w:val="00B72604"/>
    <w:rsid w:val="00B74F0C"/>
    <w:rsid w:val="00B77A62"/>
    <w:rsid w:val="00B82F3E"/>
    <w:rsid w:val="00B91D3A"/>
    <w:rsid w:val="00B933B9"/>
    <w:rsid w:val="00BA14CF"/>
    <w:rsid w:val="00BA237E"/>
    <w:rsid w:val="00BA312A"/>
    <w:rsid w:val="00BA4A16"/>
    <w:rsid w:val="00BC6989"/>
    <w:rsid w:val="00BC7313"/>
    <w:rsid w:val="00BD4D33"/>
    <w:rsid w:val="00BD6214"/>
    <w:rsid w:val="00BE4163"/>
    <w:rsid w:val="00BF2AD9"/>
    <w:rsid w:val="00BF2E1A"/>
    <w:rsid w:val="00BF71FD"/>
    <w:rsid w:val="00BF7D20"/>
    <w:rsid w:val="00C00FFB"/>
    <w:rsid w:val="00C01C21"/>
    <w:rsid w:val="00C039AF"/>
    <w:rsid w:val="00C03AB9"/>
    <w:rsid w:val="00C1553B"/>
    <w:rsid w:val="00C2007D"/>
    <w:rsid w:val="00C20216"/>
    <w:rsid w:val="00C32330"/>
    <w:rsid w:val="00C347B1"/>
    <w:rsid w:val="00C35DAB"/>
    <w:rsid w:val="00C36A7E"/>
    <w:rsid w:val="00C43FA3"/>
    <w:rsid w:val="00C44234"/>
    <w:rsid w:val="00C50A4E"/>
    <w:rsid w:val="00C50B4D"/>
    <w:rsid w:val="00C51FFA"/>
    <w:rsid w:val="00C641C0"/>
    <w:rsid w:val="00C64902"/>
    <w:rsid w:val="00C6568D"/>
    <w:rsid w:val="00C76A1C"/>
    <w:rsid w:val="00C91324"/>
    <w:rsid w:val="00C93847"/>
    <w:rsid w:val="00C93873"/>
    <w:rsid w:val="00C979D6"/>
    <w:rsid w:val="00CA4924"/>
    <w:rsid w:val="00CA7ED6"/>
    <w:rsid w:val="00CB1713"/>
    <w:rsid w:val="00CB2E03"/>
    <w:rsid w:val="00CB4FD4"/>
    <w:rsid w:val="00CB52A4"/>
    <w:rsid w:val="00CB55F9"/>
    <w:rsid w:val="00CD0977"/>
    <w:rsid w:val="00CD353C"/>
    <w:rsid w:val="00CD368E"/>
    <w:rsid w:val="00CD399C"/>
    <w:rsid w:val="00CD443D"/>
    <w:rsid w:val="00CE715D"/>
    <w:rsid w:val="00CF796F"/>
    <w:rsid w:val="00D05318"/>
    <w:rsid w:val="00D100A1"/>
    <w:rsid w:val="00D125B5"/>
    <w:rsid w:val="00D1566E"/>
    <w:rsid w:val="00D35311"/>
    <w:rsid w:val="00D364B6"/>
    <w:rsid w:val="00D3689A"/>
    <w:rsid w:val="00D41459"/>
    <w:rsid w:val="00D46A0A"/>
    <w:rsid w:val="00D51566"/>
    <w:rsid w:val="00D54EFD"/>
    <w:rsid w:val="00D61252"/>
    <w:rsid w:val="00D621AA"/>
    <w:rsid w:val="00D629BF"/>
    <w:rsid w:val="00D7578B"/>
    <w:rsid w:val="00D82D65"/>
    <w:rsid w:val="00D83113"/>
    <w:rsid w:val="00D87FDE"/>
    <w:rsid w:val="00DA59AD"/>
    <w:rsid w:val="00DB0101"/>
    <w:rsid w:val="00DB3CAE"/>
    <w:rsid w:val="00DB5F62"/>
    <w:rsid w:val="00DD24AE"/>
    <w:rsid w:val="00DE556E"/>
    <w:rsid w:val="00E035BE"/>
    <w:rsid w:val="00E04768"/>
    <w:rsid w:val="00E170D4"/>
    <w:rsid w:val="00E2126A"/>
    <w:rsid w:val="00E21995"/>
    <w:rsid w:val="00E21E63"/>
    <w:rsid w:val="00E3038E"/>
    <w:rsid w:val="00E32F09"/>
    <w:rsid w:val="00E42AF6"/>
    <w:rsid w:val="00E43247"/>
    <w:rsid w:val="00E44C06"/>
    <w:rsid w:val="00E50E0B"/>
    <w:rsid w:val="00E55E68"/>
    <w:rsid w:val="00E56DE1"/>
    <w:rsid w:val="00E60EF6"/>
    <w:rsid w:val="00E63064"/>
    <w:rsid w:val="00E6506C"/>
    <w:rsid w:val="00E66C4C"/>
    <w:rsid w:val="00E70657"/>
    <w:rsid w:val="00E83C2B"/>
    <w:rsid w:val="00E87511"/>
    <w:rsid w:val="00EA04B2"/>
    <w:rsid w:val="00EA39EB"/>
    <w:rsid w:val="00EA45DA"/>
    <w:rsid w:val="00EA6A8C"/>
    <w:rsid w:val="00EA6D20"/>
    <w:rsid w:val="00EC5A29"/>
    <w:rsid w:val="00ED1231"/>
    <w:rsid w:val="00EE234F"/>
    <w:rsid w:val="00EE3D82"/>
    <w:rsid w:val="00EE6AB6"/>
    <w:rsid w:val="00EF6ADF"/>
    <w:rsid w:val="00F024C4"/>
    <w:rsid w:val="00F05C14"/>
    <w:rsid w:val="00F26931"/>
    <w:rsid w:val="00F26CC0"/>
    <w:rsid w:val="00F26EEA"/>
    <w:rsid w:val="00F26F5E"/>
    <w:rsid w:val="00F27F96"/>
    <w:rsid w:val="00F31FC6"/>
    <w:rsid w:val="00F32FFB"/>
    <w:rsid w:val="00F33DDE"/>
    <w:rsid w:val="00F6285A"/>
    <w:rsid w:val="00F65E28"/>
    <w:rsid w:val="00F81259"/>
    <w:rsid w:val="00F858E7"/>
    <w:rsid w:val="00F87383"/>
    <w:rsid w:val="00FA1FA5"/>
    <w:rsid w:val="00FA41A9"/>
    <w:rsid w:val="00FB0F13"/>
    <w:rsid w:val="00FB310F"/>
    <w:rsid w:val="00FB37C6"/>
    <w:rsid w:val="00FB3868"/>
    <w:rsid w:val="00FB5592"/>
    <w:rsid w:val="00FC6BA8"/>
    <w:rsid w:val="00FC7476"/>
    <w:rsid w:val="00FC7551"/>
    <w:rsid w:val="00FD0EAF"/>
    <w:rsid w:val="00FD34A4"/>
    <w:rsid w:val="00FD6942"/>
    <w:rsid w:val="00FE1A1D"/>
    <w:rsid w:val="00FE255A"/>
    <w:rsid w:val="00FE2B44"/>
    <w:rsid w:val="00FE6036"/>
    <w:rsid w:val="00FE60BE"/>
    <w:rsid w:val="00FF0417"/>
    <w:rsid w:val="00FF2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D8FE3BE"/>
  <w15:docId w15:val="{51A4B86B-5EA8-41BD-85BD-31FE040C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6335"/>
    <w:pPr>
      <w:keepNext/>
      <w:keepLines/>
      <w:numPr>
        <w:numId w:val="1"/>
      </w:numPr>
      <w:spacing w:before="480" w:after="0"/>
      <w:outlineLvl w:val="0"/>
    </w:pPr>
    <w:rPr>
      <w:rFonts w:ascii="Arial Black" w:eastAsiaTheme="majorEastAsia" w:hAnsi="Arial Black" w:cstheme="majorBidi"/>
      <w:b/>
      <w:bCs/>
      <w:color w:val="5F7D96"/>
      <w:sz w:val="26"/>
      <w:szCs w:val="26"/>
    </w:rPr>
  </w:style>
  <w:style w:type="paragraph" w:styleId="Heading2">
    <w:name w:val="heading 2"/>
    <w:basedOn w:val="Normal"/>
    <w:next w:val="Normal"/>
    <w:link w:val="Heading2Char"/>
    <w:uiPriority w:val="9"/>
    <w:unhideWhenUsed/>
    <w:qFormat/>
    <w:rsid w:val="008F6335"/>
    <w:pPr>
      <w:keepNext/>
      <w:keepLines/>
      <w:numPr>
        <w:numId w:val="2"/>
      </w:numPr>
      <w:spacing w:before="200" w:after="0"/>
      <w:outlineLvl w:val="1"/>
    </w:pPr>
    <w:rPr>
      <w:rFonts w:ascii="Arial" w:eastAsiaTheme="majorEastAsia" w:hAnsi="Arial" w:cs="Arial"/>
      <w:b/>
      <w:bCs/>
      <w:sz w:val="26"/>
      <w:szCs w:val="26"/>
      <w:lang w:val="es-MX"/>
    </w:rPr>
  </w:style>
  <w:style w:type="paragraph" w:styleId="Heading3">
    <w:name w:val="heading 3"/>
    <w:basedOn w:val="Normal"/>
    <w:next w:val="Normal"/>
    <w:link w:val="Heading3Char"/>
    <w:uiPriority w:val="9"/>
    <w:unhideWhenUsed/>
    <w:qFormat/>
    <w:rsid w:val="008F6335"/>
    <w:pPr>
      <w:keepNext/>
      <w:keepLines/>
      <w:spacing w:before="200" w:after="0"/>
      <w:outlineLvl w:val="2"/>
    </w:pPr>
    <w:rPr>
      <w:rFonts w:ascii="Arial" w:eastAsiaTheme="majorEastAsia" w:hAnsi="Arial" w:cs="Arial"/>
      <w:bCs/>
      <w:sz w:val="18"/>
      <w:szCs w:val="18"/>
    </w:rPr>
  </w:style>
  <w:style w:type="paragraph" w:styleId="Heading4">
    <w:name w:val="heading 4"/>
    <w:basedOn w:val="Normal"/>
    <w:next w:val="Normal"/>
    <w:link w:val="Heading4Char"/>
    <w:uiPriority w:val="9"/>
    <w:unhideWhenUsed/>
    <w:qFormat/>
    <w:rsid w:val="008F6335"/>
    <w:pPr>
      <w:keepNext/>
      <w:keepLines/>
      <w:numPr>
        <w:numId w:val="3"/>
      </w:numPr>
      <w:spacing w:before="200" w:after="0"/>
      <w:ind w:left="1800" w:hanging="720"/>
      <w:outlineLvl w:val="3"/>
    </w:pPr>
    <w:rPr>
      <w:rFonts w:ascii="Arial" w:eastAsiaTheme="majorEastAsia" w:hAnsi="Arial" w:cs="Arial"/>
      <w:b/>
      <w:bCs/>
      <w:iCs/>
      <w:sz w:val="26"/>
      <w:szCs w:val="26"/>
    </w:rPr>
  </w:style>
  <w:style w:type="paragraph" w:styleId="Heading6">
    <w:name w:val="heading 6"/>
    <w:basedOn w:val="Normal"/>
    <w:next w:val="Normal"/>
    <w:link w:val="Heading6Char"/>
    <w:uiPriority w:val="9"/>
    <w:semiHidden/>
    <w:unhideWhenUsed/>
    <w:qFormat/>
    <w:rsid w:val="00C2007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C64902"/>
    <w:pPr>
      <w:ind w:left="720"/>
      <w:contextualSpacing/>
    </w:pPr>
  </w:style>
  <w:style w:type="paragraph" w:styleId="Title">
    <w:name w:val="Title"/>
    <w:basedOn w:val="Normal"/>
    <w:next w:val="Normal"/>
    <w:link w:val="TitleChar"/>
    <w:uiPriority w:val="10"/>
    <w:qFormat/>
    <w:rsid w:val="009A4C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4C6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F6335"/>
    <w:rPr>
      <w:rFonts w:ascii="Arial Black" w:eastAsiaTheme="majorEastAsia" w:hAnsi="Arial Black" w:cstheme="majorBidi"/>
      <w:b/>
      <w:bCs/>
      <w:color w:val="5F7D96"/>
      <w:sz w:val="26"/>
      <w:szCs w:val="26"/>
    </w:rPr>
  </w:style>
  <w:style w:type="character" w:customStyle="1" w:styleId="Heading2Char">
    <w:name w:val="Heading 2 Char"/>
    <w:basedOn w:val="DefaultParagraphFont"/>
    <w:link w:val="Heading2"/>
    <w:uiPriority w:val="9"/>
    <w:rsid w:val="008F6335"/>
    <w:rPr>
      <w:rFonts w:ascii="Arial" w:eastAsiaTheme="majorEastAsia" w:hAnsi="Arial" w:cs="Arial"/>
      <w:b/>
      <w:bCs/>
      <w:sz w:val="26"/>
      <w:szCs w:val="26"/>
      <w:lang w:val="es-MX"/>
    </w:rPr>
  </w:style>
  <w:style w:type="character" w:customStyle="1" w:styleId="Heading3Char">
    <w:name w:val="Heading 3 Char"/>
    <w:basedOn w:val="DefaultParagraphFont"/>
    <w:link w:val="Heading3"/>
    <w:uiPriority w:val="9"/>
    <w:rsid w:val="008F6335"/>
    <w:rPr>
      <w:rFonts w:ascii="Arial" w:eastAsiaTheme="majorEastAsia" w:hAnsi="Arial" w:cs="Arial"/>
      <w:bCs/>
      <w:sz w:val="18"/>
      <w:szCs w:val="18"/>
    </w:rPr>
  </w:style>
  <w:style w:type="paragraph" w:styleId="TOCHeading">
    <w:name w:val="TOC Heading"/>
    <w:basedOn w:val="Heading1"/>
    <w:next w:val="Normal"/>
    <w:uiPriority w:val="39"/>
    <w:unhideWhenUsed/>
    <w:qFormat/>
    <w:rsid w:val="00FB5592"/>
    <w:pPr>
      <w:numPr>
        <w:numId w:val="0"/>
      </w:numPr>
      <w:outlineLvl w:val="9"/>
    </w:pPr>
    <w:rPr>
      <w:lang w:eastAsia="ja-JP"/>
    </w:rPr>
  </w:style>
  <w:style w:type="paragraph" w:styleId="TOC1">
    <w:name w:val="toc 1"/>
    <w:basedOn w:val="Normal"/>
    <w:next w:val="Normal"/>
    <w:autoRedefine/>
    <w:uiPriority w:val="39"/>
    <w:unhideWhenUsed/>
    <w:rsid w:val="00FE60BE"/>
    <w:pPr>
      <w:tabs>
        <w:tab w:val="left" w:pos="660"/>
        <w:tab w:val="right" w:leader="dot" w:pos="9350"/>
      </w:tabs>
      <w:spacing w:after="100"/>
    </w:pPr>
    <w:rPr>
      <w:rFonts w:ascii="Arial" w:hAnsi="Arial" w:cs="Arial"/>
      <w:i/>
      <w:noProof/>
      <w:lang w:val="es-ES"/>
    </w:rPr>
  </w:style>
  <w:style w:type="paragraph" w:styleId="TOC2">
    <w:name w:val="toc 2"/>
    <w:basedOn w:val="Normal"/>
    <w:next w:val="Normal"/>
    <w:autoRedefine/>
    <w:uiPriority w:val="39"/>
    <w:unhideWhenUsed/>
    <w:rsid w:val="00FB5592"/>
    <w:pPr>
      <w:spacing w:after="100"/>
      <w:ind w:left="220"/>
    </w:pPr>
  </w:style>
  <w:style w:type="paragraph" w:styleId="TOC3">
    <w:name w:val="toc 3"/>
    <w:basedOn w:val="Normal"/>
    <w:next w:val="Normal"/>
    <w:autoRedefine/>
    <w:uiPriority w:val="39"/>
    <w:unhideWhenUsed/>
    <w:rsid w:val="00FB5592"/>
    <w:pPr>
      <w:spacing w:after="100"/>
      <w:ind w:left="440"/>
    </w:pPr>
  </w:style>
  <w:style w:type="character" w:styleId="Hyperlink">
    <w:name w:val="Hyperlink"/>
    <w:basedOn w:val="DefaultParagraphFont"/>
    <w:uiPriority w:val="99"/>
    <w:unhideWhenUsed/>
    <w:rsid w:val="00FB5592"/>
    <w:rPr>
      <w:color w:val="0000FF" w:themeColor="hyperlink"/>
      <w:u w:val="single"/>
    </w:rPr>
  </w:style>
  <w:style w:type="paragraph" w:styleId="BalloonText">
    <w:name w:val="Balloon Text"/>
    <w:basedOn w:val="Normal"/>
    <w:link w:val="BalloonTextChar"/>
    <w:uiPriority w:val="99"/>
    <w:semiHidden/>
    <w:unhideWhenUsed/>
    <w:rsid w:val="00FB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592"/>
    <w:rPr>
      <w:rFonts w:ascii="Tahoma" w:hAnsi="Tahoma" w:cs="Tahoma"/>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rsid w:val="00404E6E"/>
    <w:pPr>
      <w:spacing w:after="0" w:line="240" w:lineRule="auto"/>
    </w:pPr>
    <w:rPr>
      <w:rFonts w:ascii="Times New Roman" w:eastAsia="Times New Roman" w:hAnsi="Times New Roman" w:cs="Times New Roman"/>
      <w:sz w:val="24"/>
      <w:szCs w:val="24"/>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04E6E"/>
    <w:rPr>
      <w:rFonts w:ascii="Times New Roman" w:eastAsia="Times New Roman" w:hAnsi="Times New Roman" w:cs="Times New Roman"/>
      <w:sz w:val="24"/>
      <w:szCs w:val="24"/>
      <w:lang w:val="es-ES"/>
    </w:rPr>
  </w:style>
  <w:style w:type="character" w:styleId="FootnoteReference">
    <w:name w:val="footnote reference"/>
    <w:aliases w:val="titulo 2,Style 24,pie pddes,referencia nota al pie,Fußnotenzeichen DISS,16 Point,Superscript 6 Point,ftref,FC,Footnote Referencefra,Footnote Referencef,Footnote Referencefr,F1,de nota al pie,(Ref. de nota al pie),Ref. de nota al pi"/>
    <w:uiPriority w:val="99"/>
    <w:rsid w:val="00404E6E"/>
    <w:rPr>
      <w:vertAlign w:val="superscript"/>
    </w:rPr>
  </w:style>
  <w:style w:type="table" w:styleId="TableGrid">
    <w:name w:val="Table Grid"/>
    <w:basedOn w:val="TableNormal"/>
    <w:uiPriority w:val="39"/>
    <w:rsid w:val="009D45E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KH Heading 2"/>
    <w:basedOn w:val="Normal"/>
    <w:link w:val="HeaderChar"/>
    <w:uiPriority w:val="99"/>
    <w:unhideWhenUsed/>
    <w:rsid w:val="008B52A1"/>
    <w:pPr>
      <w:tabs>
        <w:tab w:val="center" w:pos="4680"/>
        <w:tab w:val="right" w:pos="9360"/>
      </w:tabs>
      <w:spacing w:after="0" w:line="240" w:lineRule="auto"/>
    </w:pPr>
  </w:style>
  <w:style w:type="character" w:customStyle="1" w:styleId="HeaderChar">
    <w:name w:val="Header Char"/>
    <w:aliases w:val="KH Heading 2 Char"/>
    <w:basedOn w:val="DefaultParagraphFont"/>
    <w:link w:val="Header"/>
    <w:uiPriority w:val="99"/>
    <w:rsid w:val="008B52A1"/>
  </w:style>
  <w:style w:type="paragraph" w:styleId="Footer">
    <w:name w:val="footer"/>
    <w:basedOn w:val="Normal"/>
    <w:link w:val="FooterChar"/>
    <w:uiPriority w:val="99"/>
    <w:unhideWhenUsed/>
    <w:rsid w:val="008B5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2A1"/>
  </w:style>
  <w:style w:type="paragraph" w:styleId="DocumentMap">
    <w:name w:val="Document Map"/>
    <w:basedOn w:val="Normal"/>
    <w:link w:val="DocumentMapChar"/>
    <w:uiPriority w:val="99"/>
    <w:semiHidden/>
    <w:unhideWhenUsed/>
    <w:rsid w:val="00107D53"/>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07D53"/>
    <w:rPr>
      <w:rFonts w:ascii="Lucida Grande" w:hAnsi="Lucida Grande" w:cs="Lucida Grande"/>
      <w:sz w:val="24"/>
      <w:szCs w:val="24"/>
    </w:rPr>
  </w:style>
  <w:style w:type="character" w:styleId="SubtleEmphasis">
    <w:name w:val="Subtle Emphasis"/>
    <w:basedOn w:val="DefaultParagraphFont"/>
    <w:uiPriority w:val="19"/>
    <w:qFormat/>
    <w:rsid w:val="00C50B4D"/>
    <w:rPr>
      <w:i/>
      <w:iCs/>
      <w:color w:val="808080" w:themeColor="text1" w:themeTint="7F"/>
    </w:rPr>
  </w:style>
  <w:style w:type="paragraph" w:customStyle="1" w:styleId="Default">
    <w:name w:val="Default"/>
    <w:rsid w:val="00925806"/>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Heading4Char">
    <w:name w:val="Heading 4 Char"/>
    <w:basedOn w:val="DefaultParagraphFont"/>
    <w:link w:val="Heading4"/>
    <w:uiPriority w:val="9"/>
    <w:rsid w:val="008F6335"/>
    <w:rPr>
      <w:rFonts w:ascii="Arial" w:eastAsiaTheme="majorEastAsia" w:hAnsi="Arial" w:cs="Arial"/>
      <w:b/>
      <w:bCs/>
      <w:iCs/>
      <w:sz w:val="26"/>
      <w:szCs w:val="26"/>
    </w:rPr>
  </w:style>
  <w:style w:type="character" w:customStyle="1" w:styleId="ListParagraphChar">
    <w:name w:val="List Paragraph Char"/>
    <w:aliases w:val="titulo 5 Char"/>
    <w:link w:val="ListParagraph"/>
    <w:uiPriority w:val="34"/>
    <w:locked/>
    <w:rsid w:val="005A59A9"/>
  </w:style>
  <w:style w:type="paragraph" w:styleId="CommentText">
    <w:name w:val="annotation text"/>
    <w:basedOn w:val="Normal"/>
    <w:link w:val="CommentTextChar"/>
    <w:uiPriority w:val="99"/>
    <w:unhideWhenUsed/>
    <w:rsid w:val="00EE6AB6"/>
    <w:pPr>
      <w:spacing w:line="240" w:lineRule="auto"/>
    </w:pPr>
    <w:rPr>
      <w:sz w:val="20"/>
      <w:szCs w:val="20"/>
    </w:rPr>
  </w:style>
  <w:style w:type="character" w:customStyle="1" w:styleId="CommentTextChar">
    <w:name w:val="Comment Text Char"/>
    <w:basedOn w:val="DefaultParagraphFont"/>
    <w:link w:val="CommentText"/>
    <w:uiPriority w:val="99"/>
    <w:rsid w:val="00EE6AB6"/>
    <w:rPr>
      <w:sz w:val="20"/>
      <w:szCs w:val="20"/>
    </w:rPr>
  </w:style>
  <w:style w:type="paragraph" w:styleId="Revision">
    <w:name w:val="Revision"/>
    <w:hidden/>
    <w:uiPriority w:val="99"/>
    <w:semiHidden/>
    <w:rsid w:val="00326A92"/>
    <w:pPr>
      <w:spacing w:after="0" w:line="240" w:lineRule="auto"/>
    </w:pPr>
  </w:style>
  <w:style w:type="character" w:customStyle="1" w:styleId="Mention1">
    <w:name w:val="Mention1"/>
    <w:basedOn w:val="DefaultParagraphFont"/>
    <w:uiPriority w:val="99"/>
    <w:semiHidden/>
    <w:unhideWhenUsed/>
    <w:rsid w:val="006430CA"/>
    <w:rPr>
      <w:color w:val="2B579A"/>
      <w:shd w:val="clear" w:color="auto" w:fill="E6E6E6"/>
    </w:rPr>
  </w:style>
  <w:style w:type="character" w:styleId="CommentReference">
    <w:name w:val="annotation reference"/>
    <w:basedOn w:val="DefaultParagraphFont"/>
    <w:uiPriority w:val="99"/>
    <w:semiHidden/>
    <w:unhideWhenUsed/>
    <w:rsid w:val="00FB37C6"/>
    <w:rPr>
      <w:sz w:val="16"/>
      <w:szCs w:val="16"/>
    </w:rPr>
  </w:style>
  <w:style w:type="paragraph" w:styleId="CommentSubject">
    <w:name w:val="annotation subject"/>
    <w:basedOn w:val="CommentText"/>
    <w:next w:val="CommentText"/>
    <w:link w:val="CommentSubjectChar"/>
    <w:uiPriority w:val="99"/>
    <w:semiHidden/>
    <w:unhideWhenUsed/>
    <w:rsid w:val="00FB37C6"/>
    <w:rPr>
      <w:b/>
      <w:bCs/>
    </w:rPr>
  </w:style>
  <w:style w:type="character" w:customStyle="1" w:styleId="CommentSubjectChar">
    <w:name w:val="Comment Subject Char"/>
    <w:basedOn w:val="CommentTextChar"/>
    <w:link w:val="CommentSubject"/>
    <w:uiPriority w:val="99"/>
    <w:semiHidden/>
    <w:rsid w:val="00FB37C6"/>
    <w:rPr>
      <w:b/>
      <w:bCs/>
      <w:sz w:val="20"/>
      <w:szCs w:val="20"/>
    </w:rPr>
  </w:style>
  <w:style w:type="paragraph" w:styleId="HTMLPreformatted">
    <w:name w:val="HTML Preformatted"/>
    <w:basedOn w:val="Normal"/>
    <w:link w:val="HTMLPreformattedChar"/>
    <w:uiPriority w:val="99"/>
    <w:semiHidden/>
    <w:unhideWhenUsed/>
    <w:rsid w:val="00B5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5783C"/>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406C54"/>
    <w:rPr>
      <w:color w:val="800080" w:themeColor="followedHyperlink"/>
      <w:u w:val="single"/>
    </w:rPr>
  </w:style>
  <w:style w:type="table" w:styleId="LightList-Accent1">
    <w:name w:val="Light List Accent 1"/>
    <w:basedOn w:val="TableNormal"/>
    <w:uiPriority w:val="61"/>
    <w:rsid w:val="00C43FA3"/>
    <w:pPr>
      <w:spacing w:after="0" w:line="240" w:lineRule="auto"/>
    </w:pPr>
    <w:rPr>
      <w:lang w:val="es-BO"/>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C43FA3"/>
    <w:pPr>
      <w:spacing w:after="0" w:line="240" w:lineRule="auto"/>
    </w:pPr>
    <w:rPr>
      <w:lang w:val="es-BO"/>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dTable4-Accent1">
    <w:name w:val="Grid Table 4 Accent 1"/>
    <w:basedOn w:val="TableNormal"/>
    <w:uiPriority w:val="49"/>
    <w:rsid w:val="00C43FA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C43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3-Accent1">
    <w:name w:val="List Table 3 Accent 1"/>
    <w:basedOn w:val="TableNormal"/>
    <w:uiPriority w:val="48"/>
    <w:rsid w:val="00C43FA3"/>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6Char">
    <w:name w:val="Heading 6 Char"/>
    <w:basedOn w:val="DefaultParagraphFont"/>
    <w:link w:val="Heading6"/>
    <w:uiPriority w:val="9"/>
    <w:semiHidden/>
    <w:rsid w:val="00C2007D"/>
    <w:rPr>
      <w:rFonts w:asciiTheme="majorHAnsi" w:eastAsiaTheme="majorEastAsia" w:hAnsiTheme="majorHAnsi" w:cstheme="majorBidi"/>
      <w:color w:val="243F60" w:themeColor="accent1" w:themeShade="7F"/>
    </w:rPr>
  </w:style>
  <w:style w:type="paragraph" w:customStyle="1" w:styleId="Chapter">
    <w:name w:val="Chapter"/>
    <w:basedOn w:val="Normal"/>
    <w:next w:val="Normal"/>
    <w:autoRedefine/>
    <w:rsid w:val="00347C55"/>
    <w:pPr>
      <w:numPr>
        <w:numId w:val="15"/>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link w:val="ParagraphChar"/>
    <w:rsid w:val="00347C55"/>
    <w:pPr>
      <w:numPr>
        <w:ilvl w:val="1"/>
        <w:numId w:val="15"/>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347C55"/>
    <w:pPr>
      <w:numPr>
        <w:ilvl w:val="2"/>
        <w:numId w:val="15"/>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347C55"/>
    <w:pPr>
      <w:numPr>
        <w:ilvl w:val="3"/>
      </w:numPr>
      <w:tabs>
        <w:tab w:val="clear" w:pos="1584"/>
        <w:tab w:val="left" w:pos="0"/>
        <w:tab w:val="num" w:pos="360"/>
      </w:tabs>
      <w:ind w:left="2880" w:hanging="360"/>
    </w:pPr>
  </w:style>
  <w:style w:type="character" w:customStyle="1" w:styleId="ParagraphChar">
    <w:name w:val="Paragraph Char"/>
    <w:basedOn w:val="DefaultParagraphFont"/>
    <w:link w:val="Paragraph"/>
    <w:locked/>
    <w:rsid w:val="00347C5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347C55"/>
    <w:pPr>
      <w:spacing w:after="120"/>
      <w:ind w:left="283"/>
    </w:pPr>
  </w:style>
  <w:style w:type="character" w:customStyle="1" w:styleId="BodyTextIndentChar">
    <w:name w:val="Body Text Indent Char"/>
    <w:basedOn w:val="DefaultParagraphFont"/>
    <w:link w:val="BodyTextIndent"/>
    <w:uiPriority w:val="99"/>
    <w:semiHidden/>
    <w:rsid w:val="00347C55"/>
  </w:style>
  <w:style w:type="paragraph" w:styleId="BodyTextIndent3">
    <w:name w:val="Body Text Indent 3"/>
    <w:basedOn w:val="Normal"/>
    <w:link w:val="BodyTextIndent3Char"/>
    <w:uiPriority w:val="99"/>
    <w:semiHidden/>
    <w:unhideWhenUsed/>
    <w:rsid w:val="00347C5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47C55"/>
    <w:rPr>
      <w:sz w:val="16"/>
      <w:szCs w:val="16"/>
    </w:rPr>
  </w:style>
  <w:style w:type="paragraph" w:styleId="Caption">
    <w:name w:val="caption"/>
    <w:basedOn w:val="Normal"/>
    <w:next w:val="Normal"/>
    <w:link w:val="CaptionChar"/>
    <w:uiPriority w:val="99"/>
    <w:unhideWhenUsed/>
    <w:qFormat/>
    <w:rsid w:val="00EA04B2"/>
    <w:pPr>
      <w:spacing w:after="0" w:line="240" w:lineRule="auto"/>
      <w:jc w:val="center"/>
    </w:pPr>
    <w:rPr>
      <w:rFonts w:ascii="Tahoma" w:eastAsia="Times New Roman" w:hAnsi="Tahoma" w:cs="Times New Roman"/>
      <w:b/>
      <w:bCs/>
      <w:sz w:val="20"/>
      <w:szCs w:val="18"/>
      <w:lang w:val="es-ES" w:eastAsia="es-ES"/>
    </w:rPr>
  </w:style>
  <w:style w:type="character" w:customStyle="1" w:styleId="CaptionChar">
    <w:name w:val="Caption Char"/>
    <w:basedOn w:val="DefaultParagraphFont"/>
    <w:link w:val="Caption"/>
    <w:uiPriority w:val="99"/>
    <w:rsid w:val="00EA04B2"/>
    <w:rPr>
      <w:rFonts w:ascii="Tahoma" w:eastAsia="Times New Roman" w:hAnsi="Tahoma" w:cs="Times New Roman"/>
      <w:b/>
      <w:bCs/>
      <w:sz w:val="20"/>
      <w:szCs w:val="18"/>
      <w:lang w:val="es-ES" w:eastAsia="es-ES"/>
    </w:rPr>
  </w:style>
  <w:style w:type="table" w:customStyle="1" w:styleId="Tablaconcuadrcula1">
    <w:name w:val="Tabla con cuadrícula1"/>
    <w:basedOn w:val="TableNormal"/>
    <w:next w:val="TableGrid"/>
    <w:uiPriority w:val="59"/>
    <w:rsid w:val="00256213"/>
    <w:pPr>
      <w:spacing w:after="0" w:line="240" w:lineRule="auto"/>
      <w:jc w:val="both"/>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1148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11549">
      <w:bodyDiv w:val="1"/>
      <w:marLeft w:val="0"/>
      <w:marRight w:val="0"/>
      <w:marTop w:val="0"/>
      <w:marBottom w:val="0"/>
      <w:divBdr>
        <w:top w:val="none" w:sz="0" w:space="0" w:color="auto"/>
        <w:left w:val="none" w:sz="0" w:space="0" w:color="auto"/>
        <w:bottom w:val="none" w:sz="0" w:space="0" w:color="auto"/>
        <w:right w:val="none" w:sz="0" w:space="0" w:color="auto"/>
      </w:divBdr>
    </w:div>
    <w:div w:id="88889838">
      <w:bodyDiv w:val="1"/>
      <w:marLeft w:val="0"/>
      <w:marRight w:val="0"/>
      <w:marTop w:val="0"/>
      <w:marBottom w:val="0"/>
      <w:divBdr>
        <w:top w:val="none" w:sz="0" w:space="0" w:color="auto"/>
        <w:left w:val="none" w:sz="0" w:space="0" w:color="auto"/>
        <w:bottom w:val="none" w:sz="0" w:space="0" w:color="auto"/>
        <w:right w:val="none" w:sz="0" w:space="0" w:color="auto"/>
      </w:divBdr>
    </w:div>
    <w:div w:id="167138806">
      <w:bodyDiv w:val="1"/>
      <w:marLeft w:val="0"/>
      <w:marRight w:val="0"/>
      <w:marTop w:val="0"/>
      <w:marBottom w:val="0"/>
      <w:divBdr>
        <w:top w:val="none" w:sz="0" w:space="0" w:color="auto"/>
        <w:left w:val="none" w:sz="0" w:space="0" w:color="auto"/>
        <w:bottom w:val="none" w:sz="0" w:space="0" w:color="auto"/>
        <w:right w:val="none" w:sz="0" w:space="0" w:color="auto"/>
      </w:divBdr>
      <w:divsChild>
        <w:div w:id="1710378807">
          <w:marLeft w:val="547"/>
          <w:marRight w:val="0"/>
          <w:marTop w:val="0"/>
          <w:marBottom w:val="0"/>
          <w:divBdr>
            <w:top w:val="none" w:sz="0" w:space="0" w:color="auto"/>
            <w:left w:val="none" w:sz="0" w:space="0" w:color="auto"/>
            <w:bottom w:val="none" w:sz="0" w:space="0" w:color="auto"/>
            <w:right w:val="none" w:sz="0" w:space="0" w:color="auto"/>
          </w:divBdr>
        </w:div>
      </w:divsChild>
    </w:div>
    <w:div w:id="172108590">
      <w:bodyDiv w:val="1"/>
      <w:marLeft w:val="0"/>
      <w:marRight w:val="0"/>
      <w:marTop w:val="0"/>
      <w:marBottom w:val="0"/>
      <w:divBdr>
        <w:top w:val="none" w:sz="0" w:space="0" w:color="auto"/>
        <w:left w:val="none" w:sz="0" w:space="0" w:color="auto"/>
        <w:bottom w:val="none" w:sz="0" w:space="0" w:color="auto"/>
        <w:right w:val="none" w:sz="0" w:space="0" w:color="auto"/>
      </w:divBdr>
      <w:divsChild>
        <w:div w:id="1382904560">
          <w:marLeft w:val="0"/>
          <w:marRight w:val="0"/>
          <w:marTop w:val="0"/>
          <w:marBottom w:val="0"/>
          <w:divBdr>
            <w:top w:val="none" w:sz="0" w:space="0" w:color="auto"/>
            <w:left w:val="none" w:sz="0" w:space="0" w:color="auto"/>
            <w:bottom w:val="none" w:sz="0" w:space="0" w:color="auto"/>
            <w:right w:val="none" w:sz="0" w:space="0" w:color="auto"/>
          </w:divBdr>
          <w:divsChild>
            <w:div w:id="1907568132">
              <w:marLeft w:val="0"/>
              <w:marRight w:val="0"/>
              <w:marTop w:val="0"/>
              <w:marBottom w:val="0"/>
              <w:divBdr>
                <w:top w:val="none" w:sz="0" w:space="0" w:color="auto"/>
                <w:left w:val="none" w:sz="0" w:space="0" w:color="auto"/>
                <w:bottom w:val="none" w:sz="0" w:space="0" w:color="auto"/>
                <w:right w:val="none" w:sz="0" w:space="0" w:color="auto"/>
              </w:divBdr>
              <w:divsChild>
                <w:div w:id="1262370553">
                  <w:marLeft w:val="0"/>
                  <w:marRight w:val="0"/>
                  <w:marTop w:val="0"/>
                  <w:marBottom w:val="0"/>
                  <w:divBdr>
                    <w:top w:val="none" w:sz="0" w:space="0" w:color="auto"/>
                    <w:left w:val="none" w:sz="0" w:space="0" w:color="auto"/>
                    <w:bottom w:val="none" w:sz="0" w:space="0" w:color="auto"/>
                    <w:right w:val="none" w:sz="0" w:space="0" w:color="auto"/>
                  </w:divBdr>
                  <w:divsChild>
                    <w:div w:id="282272582">
                      <w:marLeft w:val="0"/>
                      <w:marRight w:val="0"/>
                      <w:marTop w:val="0"/>
                      <w:marBottom w:val="0"/>
                      <w:divBdr>
                        <w:top w:val="none" w:sz="0" w:space="0" w:color="auto"/>
                        <w:left w:val="none" w:sz="0" w:space="0" w:color="auto"/>
                        <w:bottom w:val="none" w:sz="0" w:space="0" w:color="auto"/>
                        <w:right w:val="none" w:sz="0" w:space="0" w:color="auto"/>
                      </w:divBdr>
                      <w:divsChild>
                        <w:div w:id="1728802541">
                          <w:marLeft w:val="0"/>
                          <w:marRight w:val="0"/>
                          <w:marTop w:val="0"/>
                          <w:marBottom w:val="0"/>
                          <w:divBdr>
                            <w:top w:val="none" w:sz="0" w:space="0" w:color="auto"/>
                            <w:left w:val="none" w:sz="0" w:space="0" w:color="auto"/>
                            <w:bottom w:val="none" w:sz="0" w:space="0" w:color="auto"/>
                            <w:right w:val="none" w:sz="0" w:space="0" w:color="auto"/>
                          </w:divBdr>
                          <w:divsChild>
                            <w:div w:id="1118262601">
                              <w:marLeft w:val="0"/>
                              <w:marRight w:val="0"/>
                              <w:marTop w:val="0"/>
                              <w:marBottom w:val="0"/>
                              <w:divBdr>
                                <w:top w:val="none" w:sz="0" w:space="0" w:color="auto"/>
                                <w:left w:val="none" w:sz="0" w:space="0" w:color="auto"/>
                                <w:bottom w:val="none" w:sz="0" w:space="0" w:color="auto"/>
                                <w:right w:val="none" w:sz="0" w:space="0" w:color="auto"/>
                              </w:divBdr>
                              <w:divsChild>
                                <w:div w:id="1896818899">
                                  <w:marLeft w:val="0"/>
                                  <w:marRight w:val="0"/>
                                  <w:marTop w:val="0"/>
                                  <w:marBottom w:val="0"/>
                                  <w:divBdr>
                                    <w:top w:val="none" w:sz="0" w:space="0" w:color="auto"/>
                                    <w:left w:val="none" w:sz="0" w:space="0" w:color="auto"/>
                                    <w:bottom w:val="none" w:sz="0" w:space="0" w:color="auto"/>
                                    <w:right w:val="none" w:sz="0" w:space="0" w:color="auto"/>
                                  </w:divBdr>
                                  <w:divsChild>
                                    <w:div w:id="1457484090">
                                      <w:marLeft w:val="60"/>
                                      <w:marRight w:val="0"/>
                                      <w:marTop w:val="0"/>
                                      <w:marBottom w:val="0"/>
                                      <w:divBdr>
                                        <w:top w:val="none" w:sz="0" w:space="0" w:color="auto"/>
                                        <w:left w:val="none" w:sz="0" w:space="0" w:color="auto"/>
                                        <w:bottom w:val="none" w:sz="0" w:space="0" w:color="auto"/>
                                        <w:right w:val="none" w:sz="0" w:space="0" w:color="auto"/>
                                      </w:divBdr>
                                      <w:divsChild>
                                        <w:div w:id="19086933">
                                          <w:marLeft w:val="0"/>
                                          <w:marRight w:val="0"/>
                                          <w:marTop w:val="0"/>
                                          <w:marBottom w:val="0"/>
                                          <w:divBdr>
                                            <w:top w:val="none" w:sz="0" w:space="0" w:color="auto"/>
                                            <w:left w:val="none" w:sz="0" w:space="0" w:color="auto"/>
                                            <w:bottom w:val="none" w:sz="0" w:space="0" w:color="auto"/>
                                            <w:right w:val="none" w:sz="0" w:space="0" w:color="auto"/>
                                          </w:divBdr>
                                          <w:divsChild>
                                            <w:div w:id="366419286">
                                              <w:marLeft w:val="0"/>
                                              <w:marRight w:val="0"/>
                                              <w:marTop w:val="0"/>
                                              <w:marBottom w:val="120"/>
                                              <w:divBdr>
                                                <w:top w:val="single" w:sz="6" w:space="0" w:color="F5F5F5"/>
                                                <w:left w:val="single" w:sz="6" w:space="0" w:color="F5F5F5"/>
                                                <w:bottom w:val="single" w:sz="6" w:space="0" w:color="F5F5F5"/>
                                                <w:right w:val="single" w:sz="6" w:space="0" w:color="F5F5F5"/>
                                              </w:divBdr>
                                              <w:divsChild>
                                                <w:div w:id="1650331142">
                                                  <w:marLeft w:val="0"/>
                                                  <w:marRight w:val="0"/>
                                                  <w:marTop w:val="0"/>
                                                  <w:marBottom w:val="0"/>
                                                  <w:divBdr>
                                                    <w:top w:val="none" w:sz="0" w:space="0" w:color="auto"/>
                                                    <w:left w:val="none" w:sz="0" w:space="0" w:color="auto"/>
                                                    <w:bottom w:val="none" w:sz="0" w:space="0" w:color="auto"/>
                                                    <w:right w:val="none" w:sz="0" w:space="0" w:color="auto"/>
                                                  </w:divBdr>
                                                  <w:divsChild>
                                                    <w:div w:id="940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hart" Target="charts/chart3.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chart" Target="charts/chart2.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idbg.sharepoint.com/teams/EZ-BO-LON/BO-L1190/15%20LifeCycle%20Milestones/Comp%201.%20%20Evaluacion%20Economica%20LT%20LT-SI%20V3.docx?d=weea3ad0849f24a218db5a18eade1088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hart" Target="charts/chart1.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Consultorias\PECBID2017\Proy%20Los%20Troncos\Planilla%20Evaluaci&#243;n%20LT%20LT-SI%20V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Consultorias\PECBID2017\Proy%20Los%20Troncos\Planilla%20Evaluaci&#243;n%20LT%20LT-SI%20V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Consultorias\PECBID2017\Proy%20Los%20Troncos\Planilla%20Evaluaci&#243;n%20LT%20LT-SI%20V4.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Análisis</a:t>
            </a:r>
            <a:r>
              <a:rPr lang="es-419" baseline="0"/>
              <a:t> de Sensibilidad</a:t>
            </a:r>
          </a:p>
          <a:p>
            <a:pPr>
              <a:defRPr/>
            </a:pPr>
            <a:r>
              <a:rPr lang="es-419" sz="1100" baseline="0"/>
              <a:t>(incremento de la inversión)</a:t>
            </a:r>
            <a:endParaRPr lang="es-419"/>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Sensibilidad!$B$5</c:f>
              <c:strCache>
                <c:ptCount val="1"/>
                <c:pt idx="0">
                  <c:v>VANs</c:v>
                </c:pt>
              </c:strCache>
            </c:strRef>
          </c:tx>
          <c:spPr>
            <a:solidFill>
              <a:schemeClr val="accent6"/>
            </a:solidFill>
            <a:ln>
              <a:noFill/>
            </a:ln>
            <a:effectLst/>
          </c:spPr>
          <c:invertIfNegative val="0"/>
          <c:cat>
            <c:numRef>
              <c:f>Sensibilidad!$A$6:$A$10</c:f>
              <c:numCache>
                <c:formatCode>0%</c:formatCode>
                <c:ptCount val="5"/>
                <c:pt idx="0">
                  <c:v>0</c:v>
                </c:pt>
                <c:pt idx="1">
                  <c:v>0.1</c:v>
                </c:pt>
                <c:pt idx="2">
                  <c:v>0.2</c:v>
                </c:pt>
                <c:pt idx="3">
                  <c:v>0.3</c:v>
                </c:pt>
                <c:pt idx="4">
                  <c:v>0.5</c:v>
                </c:pt>
              </c:numCache>
            </c:numRef>
          </c:cat>
          <c:val>
            <c:numRef>
              <c:f>Sensibilidad!$B$6:$B$10</c:f>
              <c:numCache>
                <c:formatCode>General</c:formatCode>
                <c:ptCount val="5"/>
                <c:pt idx="0">
                  <c:v>45808614.108318903</c:v>
                </c:pt>
                <c:pt idx="1">
                  <c:v>40300877.605421573</c:v>
                </c:pt>
                <c:pt idx="2">
                  <c:v>34793141.102524295</c:v>
                </c:pt>
                <c:pt idx="3">
                  <c:v>29285404.599626984</c:v>
                </c:pt>
                <c:pt idx="4">
                  <c:v>18269931.5938324</c:v>
                </c:pt>
              </c:numCache>
            </c:numRef>
          </c:val>
          <c:extLst>
            <c:ext xmlns:c16="http://schemas.microsoft.com/office/drawing/2014/chart" uri="{C3380CC4-5D6E-409C-BE32-E72D297353CC}">
              <c16:uniqueId val="{00000000-20EB-4115-B56F-466757D46C96}"/>
            </c:ext>
          </c:extLst>
        </c:ser>
        <c:dLbls>
          <c:showLegendKey val="0"/>
          <c:showVal val="0"/>
          <c:showCatName val="0"/>
          <c:showSerName val="0"/>
          <c:showPercent val="0"/>
          <c:showBubbleSize val="0"/>
        </c:dLbls>
        <c:gapWidth val="232"/>
        <c:overlap val="-27"/>
        <c:axId val="456684192"/>
        <c:axId val="456678704"/>
      </c:barChart>
      <c:lineChart>
        <c:grouping val="standard"/>
        <c:varyColors val="0"/>
        <c:ser>
          <c:idx val="1"/>
          <c:order val="1"/>
          <c:tx>
            <c:strRef>
              <c:f>Sensibilidad!$C$5</c:f>
              <c:strCache>
                <c:ptCount val="1"/>
                <c:pt idx="0">
                  <c:v>TIRs</c:v>
                </c:pt>
              </c:strCache>
            </c:strRef>
          </c:tx>
          <c:spPr>
            <a:ln w="28575" cap="rnd">
              <a:solidFill>
                <a:schemeClr val="accent2"/>
              </a:solidFill>
              <a:round/>
            </a:ln>
            <a:effectLst/>
          </c:spPr>
          <c:marker>
            <c:symbol val="none"/>
          </c:marker>
          <c:cat>
            <c:numRef>
              <c:f>Sensibilidad!$A$6:$A$10</c:f>
              <c:numCache>
                <c:formatCode>0%</c:formatCode>
                <c:ptCount val="5"/>
                <c:pt idx="0">
                  <c:v>0</c:v>
                </c:pt>
                <c:pt idx="1">
                  <c:v>0.1</c:v>
                </c:pt>
                <c:pt idx="2">
                  <c:v>0.2</c:v>
                </c:pt>
                <c:pt idx="3">
                  <c:v>0.3</c:v>
                </c:pt>
                <c:pt idx="4">
                  <c:v>0.5</c:v>
                </c:pt>
              </c:numCache>
            </c:numRef>
          </c:cat>
          <c:val>
            <c:numRef>
              <c:f>Sensibilidad!$C$6:$C$10</c:f>
              <c:numCache>
                <c:formatCode>0.0%</c:formatCode>
                <c:ptCount val="5"/>
                <c:pt idx="0">
                  <c:v>0.21602278050856172</c:v>
                </c:pt>
                <c:pt idx="1">
                  <c:v>0.19904136910728476</c:v>
                </c:pt>
                <c:pt idx="2">
                  <c:v>0.18421383290034088</c:v>
                </c:pt>
                <c:pt idx="3">
                  <c:v>0.17110562038380084</c:v>
                </c:pt>
                <c:pt idx="4">
                  <c:v>0.14884118412671721</c:v>
                </c:pt>
              </c:numCache>
            </c:numRef>
          </c:val>
          <c:smooth val="0"/>
          <c:extLst>
            <c:ext xmlns:c16="http://schemas.microsoft.com/office/drawing/2014/chart" uri="{C3380CC4-5D6E-409C-BE32-E72D297353CC}">
              <c16:uniqueId val="{00000001-20EB-4115-B56F-466757D46C96}"/>
            </c:ext>
          </c:extLst>
        </c:ser>
        <c:dLbls>
          <c:showLegendKey val="0"/>
          <c:showVal val="0"/>
          <c:showCatName val="0"/>
          <c:showSerName val="0"/>
          <c:showPercent val="0"/>
          <c:showBubbleSize val="0"/>
        </c:dLbls>
        <c:marker val="1"/>
        <c:smooth val="0"/>
        <c:axId val="456685760"/>
        <c:axId val="456684976"/>
      </c:lineChart>
      <c:catAx>
        <c:axId val="456684192"/>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78704"/>
        <c:crosses val="autoZero"/>
        <c:auto val="1"/>
        <c:lblAlgn val="ctr"/>
        <c:lblOffset val="100"/>
        <c:noMultiLvlLbl val="0"/>
      </c:catAx>
      <c:valAx>
        <c:axId val="4566787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4192"/>
        <c:crosses val="autoZero"/>
        <c:crossBetween val="between"/>
      </c:valAx>
      <c:valAx>
        <c:axId val="456684976"/>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5760"/>
        <c:crosses val="max"/>
        <c:crossBetween val="between"/>
      </c:valAx>
      <c:catAx>
        <c:axId val="456685760"/>
        <c:scaling>
          <c:orientation val="minMax"/>
        </c:scaling>
        <c:delete val="1"/>
        <c:axPos val="b"/>
        <c:numFmt formatCode="0%" sourceLinked="1"/>
        <c:majorTickMark val="none"/>
        <c:minorTickMark val="none"/>
        <c:tickLblPos val="nextTo"/>
        <c:crossAx val="45668497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Análisis</a:t>
            </a:r>
            <a:r>
              <a:rPr lang="es-419" baseline="0"/>
              <a:t> de Sensibilidad</a:t>
            </a:r>
          </a:p>
          <a:p>
            <a:pPr>
              <a:defRPr/>
            </a:pPr>
            <a:r>
              <a:rPr lang="es-419" sz="1100" baseline="0"/>
              <a:t>(reducción precio diesel importado)</a:t>
            </a:r>
            <a:endParaRPr lang="es-419"/>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Sensibilidad!$B$11</c:f>
              <c:strCache>
                <c:ptCount val="1"/>
                <c:pt idx="0">
                  <c:v>VANs</c:v>
                </c:pt>
              </c:strCache>
            </c:strRef>
          </c:tx>
          <c:spPr>
            <a:solidFill>
              <a:srgbClr val="92D050"/>
            </a:solidFill>
            <a:ln>
              <a:noFill/>
            </a:ln>
            <a:effectLst/>
          </c:spPr>
          <c:invertIfNegative val="0"/>
          <c:cat>
            <c:numRef>
              <c:f>Sensibilidad!$A$12:$A$16</c:f>
              <c:numCache>
                <c:formatCode>0%</c:formatCode>
                <c:ptCount val="5"/>
                <c:pt idx="0" formatCode="General">
                  <c:v>0</c:v>
                </c:pt>
                <c:pt idx="1">
                  <c:v>-0.1</c:v>
                </c:pt>
                <c:pt idx="2">
                  <c:v>-0.2</c:v>
                </c:pt>
                <c:pt idx="3">
                  <c:v>-0.3</c:v>
                </c:pt>
                <c:pt idx="4">
                  <c:v>-0.4</c:v>
                </c:pt>
              </c:numCache>
            </c:numRef>
          </c:cat>
          <c:val>
            <c:numRef>
              <c:f>Sensibilidad!$B$12:$B$16</c:f>
              <c:numCache>
                <c:formatCode>General</c:formatCode>
                <c:ptCount val="5"/>
                <c:pt idx="0">
                  <c:v>45808614.108318903</c:v>
                </c:pt>
                <c:pt idx="1">
                  <c:v>34949873.290410504</c:v>
                </c:pt>
                <c:pt idx="2">
                  <c:v>24091132.472502127</c:v>
                </c:pt>
                <c:pt idx="3">
                  <c:v>13232391.654593732</c:v>
                </c:pt>
                <c:pt idx="4">
                  <c:v>2373650.8366853558</c:v>
                </c:pt>
              </c:numCache>
            </c:numRef>
          </c:val>
          <c:extLst>
            <c:ext xmlns:c16="http://schemas.microsoft.com/office/drawing/2014/chart" uri="{C3380CC4-5D6E-409C-BE32-E72D297353CC}">
              <c16:uniqueId val="{00000000-6B70-4402-B612-162C5EA0EE59}"/>
            </c:ext>
          </c:extLst>
        </c:ser>
        <c:dLbls>
          <c:showLegendKey val="0"/>
          <c:showVal val="0"/>
          <c:showCatName val="0"/>
          <c:showSerName val="0"/>
          <c:showPercent val="0"/>
          <c:showBubbleSize val="0"/>
        </c:dLbls>
        <c:gapWidth val="232"/>
        <c:overlap val="-27"/>
        <c:axId val="473489200"/>
        <c:axId val="473488416"/>
      </c:barChart>
      <c:lineChart>
        <c:grouping val="standard"/>
        <c:varyColors val="0"/>
        <c:ser>
          <c:idx val="1"/>
          <c:order val="1"/>
          <c:tx>
            <c:strRef>
              <c:f>Sensibilidad!$C$11</c:f>
              <c:strCache>
                <c:ptCount val="1"/>
                <c:pt idx="0">
                  <c:v>TIRs</c:v>
                </c:pt>
              </c:strCache>
            </c:strRef>
          </c:tx>
          <c:spPr>
            <a:ln w="28575" cap="rnd">
              <a:solidFill>
                <a:schemeClr val="accent2"/>
              </a:solidFill>
              <a:round/>
            </a:ln>
            <a:effectLst/>
          </c:spPr>
          <c:marker>
            <c:symbol val="none"/>
          </c:marker>
          <c:cat>
            <c:numRef>
              <c:f>Sensibilidad!$A$12:$A$16</c:f>
              <c:numCache>
                <c:formatCode>0%</c:formatCode>
                <c:ptCount val="5"/>
                <c:pt idx="0" formatCode="General">
                  <c:v>0</c:v>
                </c:pt>
                <c:pt idx="1">
                  <c:v>-0.1</c:v>
                </c:pt>
                <c:pt idx="2">
                  <c:v>-0.2</c:v>
                </c:pt>
                <c:pt idx="3">
                  <c:v>-0.3</c:v>
                </c:pt>
                <c:pt idx="4">
                  <c:v>-0.4</c:v>
                </c:pt>
              </c:numCache>
            </c:numRef>
          </c:cat>
          <c:val>
            <c:numRef>
              <c:f>Sensibilidad!$C$12:$C$16</c:f>
              <c:numCache>
                <c:formatCode>0.0%</c:formatCode>
                <c:ptCount val="5"/>
                <c:pt idx="0">
                  <c:v>0.21602278050856172</c:v>
                </c:pt>
                <c:pt idx="1">
                  <c:v>0.19582460191903728</c:v>
                </c:pt>
                <c:pt idx="2">
                  <c:v>0.17432715869243287</c:v>
                </c:pt>
                <c:pt idx="3">
                  <c:v>0.15118825955543369</c:v>
                </c:pt>
                <c:pt idx="4">
                  <c:v>0.12589074513914222</c:v>
                </c:pt>
              </c:numCache>
            </c:numRef>
          </c:val>
          <c:smooth val="0"/>
          <c:extLst>
            <c:ext xmlns:c16="http://schemas.microsoft.com/office/drawing/2014/chart" uri="{C3380CC4-5D6E-409C-BE32-E72D297353CC}">
              <c16:uniqueId val="{00000001-6B70-4402-B612-162C5EA0EE59}"/>
            </c:ext>
          </c:extLst>
        </c:ser>
        <c:dLbls>
          <c:showLegendKey val="0"/>
          <c:showVal val="0"/>
          <c:showCatName val="0"/>
          <c:showSerName val="0"/>
          <c:showPercent val="0"/>
          <c:showBubbleSize val="0"/>
        </c:dLbls>
        <c:marker val="1"/>
        <c:smooth val="0"/>
        <c:axId val="473490376"/>
        <c:axId val="473489984"/>
      </c:lineChart>
      <c:catAx>
        <c:axId val="473489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488416"/>
        <c:crosses val="autoZero"/>
        <c:auto val="1"/>
        <c:lblAlgn val="ctr"/>
        <c:lblOffset val="100"/>
        <c:noMultiLvlLbl val="0"/>
      </c:catAx>
      <c:valAx>
        <c:axId val="473488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489200"/>
        <c:crosses val="autoZero"/>
        <c:crossBetween val="between"/>
      </c:valAx>
      <c:valAx>
        <c:axId val="473489984"/>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490376"/>
        <c:crosses val="max"/>
        <c:crossBetween val="between"/>
      </c:valAx>
      <c:catAx>
        <c:axId val="473490376"/>
        <c:scaling>
          <c:orientation val="minMax"/>
        </c:scaling>
        <c:delete val="1"/>
        <c:axPos val="b"/>
        <c:numFmt formatCode="General" sourceLinked="1"/>
        <c:majorTickMark val="none"/>
        <c:minorTickMark val="none"/>
        <c:tickLblPos val="nextTo"/>
        <c:crossAx val="47348998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419"/>
              <a:t>Análisis</a:t>
            </a:r>
            <a:r>
              <a:rPr lang="es-419" baseline="0"/>
              <a:t> de Sensibilidad</a:t>
            </a:r>
          </a:p>
          <a:p>
            <a:pPr>
              <a:defRPr/>
            </a:pPr>
            <a:r>
              <a:rPr lang="es-419" sz="1100" baseline="0"/>
              <a:t>(variación de la tasa de crecimiento del consumo de energía)</a:t>
            </a:r>
            <a:endParaRPr lang="es-419"/>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Sensibilidad!$H$19</c:f>
              <c:strCache>
                <c:ptCount val="1"/>
                <c:pt idx="0">
                  <c:v>VANs</c:v>
                </c:pt>
              </c:strCache>
            </c:strRef>
          </c:tx>
          <c:spPr>
            <a:solidFill>
              <a:srgbClr val="00B0F0"/>
            </a:solidFill>
            <a:ln>
              <a:solidFill>
                <a:schemeClr val="accent1"/>
              </a:solidFill>
            </a:ln>
            <a:effectLst/>
          </c:spPr>
          <c:invertIfNegative val="0"/>
          <c:cat>
            <c:strRef>
              <c:f>Sensibilidad!$G$20:$G$22</c:f>
              <c:strCache>
                <c:ptCount val="3"/>
                <c:pt idx="0">
                  <c:v>A (3%)</c:v>
                </c:pt>
                <c:pt idx="1">
                  <c:v>B (ENDE)</c:v>
                </c:pt>
                <c:pt idx="2">
                  <c:v>C (8%)</c:v>
                </c:pt>
              </c:strCache>
            </c:strRef>
          </c:cat>
          <c:val>
            <c:numRef>
              <c:f>Sensibilidad!$H$20:$H$22</c:f>
              <c:numCache>
                <c:formatCode>General</c:formatCode>
                <c:ptCount val="3"/>
                <c:pt idx="0">
                  <c:v>38662005</c:v>
                </c:pt>
                <c:pt idx="1">
                  <c:v>45808614</c:v>
                </c:pt>
                <c:pt idx="2">
                  <c:v>73012500</c:v>
                </c:pt>
              </c:numCache>
            </c:numRef>
          </c:val>
          <c:extLst>
            <c:ext xmlns:c16="http://schemas.microsoft.com/office/drawing/2014/chart" uri="{C3380CC4-5D6E-409C-BE32-E72D297353CC}">
              <c16:uniqueId val="{00000000-8C12-4B11-BD3A-9FE6E8D31451}"/>
            </c:ext>
          </c:extLst>
        </c:ser>
        <c:dLbls>
          <c:showLegendKey val="0"/>
          <c:showVal val="0"/>
          <c:showCatName val="0"/>
          <c:showSerName val="0"/>
          <c:showPercent val="0"/>
          <c:showBubbleSize val="0"/>
        </c:dLbls>
        <c:gapWidth val="232"/>
        <c:overlap val="-27"/>
        <c:axId val="452370600"/>
        <c:axId val="452370992"/>
      </c:barChart>
      <c:lineChart>
        <c:grouping val="standard"/>
        <c:varyColors val="0"/>
        <c:ser>
          <c:idx val="1"/>
          <c:order val="1"/>
          <c:tx>
            <c:strRef>
              <c:f>Sensibilidad!$I$19</c:f>
              <c:strCache>
                <c:ptCount val="1"/>
                <c:pt idx="0">
                  <c:v>TIRs</c:v>
                </c:pt>
              </c:strCache>
            </c:strRef>
          </c:tx>
          <c:spPr>
            <a:ln w="28575" cap="rnd">
              <a:solidFill>
                <a:schemeClr val="accent2"/>
              </a:solidFill>
              <a:round/>
            </a:ln>
            <a:effectLst/>
          </c:spPr>
          <c:marker>
            <c:symbol val="none"/>
          </c:marker>
          <c:cat>
            <c:strRef>
              <c:f>Sensibilidad!$G$20:$G$22</c:f>
              <c:strCache>
                <c:ptCount val="3"/>
                <c:pt idx="0">
                  <c:v>A (3%)</c:v>
                </c:pt>
                <c:pt idx="1">
                  <c:v>B (ENDE)</c:v>
                </c:pt>
                <c:pt idx="2">
                  <c:v>C (8%)</c:v>
                </c:pt>
              </c:strCache>
            </c:strRef>
          </c:cat>
          <c:val>
            <c:numRef>
              <c:f>Sensibilidad!$I$20:$I$22</c:f>
              <c:numCache>
                <c:formatCode>0.0%</c:formatCode>
                <c:ptCount val="3"/>
                <c:pt idx="0">
                  <c:v>0.20569999999999999</c:v>
                </c:pt>
                <c:pt idx="1">
                  <c:v>0.21602278050856172</c:v>
                </c:pt>
                <c:pt idx="2">
                  <c:v>0.24640000000000001</c:v>
                </c:pt>
              </c:numCache>
            </c:numRef>
          </c:val>
          <c:smooth val="0"/>
          <c:extLst>
            <c:ext xmlns:c16="http://schemas.microsoft.com/office/drawing/2014/chart" uri="{C3380CC4-5D6E-409C-BE32-E72D297353CC}">
              <c16:uniqueId val="{00000001-8C12-4B11-BD3A-9FE6E8D31451}"/>
            </c:ext>
          </c:extLst>
        </c:ser>
        <c:dLbls>
          <c:showLegendKey val="0"/>
          <c:showVal val="0"/>
          <c:showCatName val="0"/>
          <c:showSerName val="0"/>
          <c:showPercent val="0"/>
          <c:showBubbleSize val="0"/>
        </c:dLbls>
        <c:marker val="1"/>
        <c:smooth val="0"/>
        <c:axId val="472676280"/>
        <c:axId val="472677456"/>
      </c:lineChart>
      <c:catAx>
        <c:axId val="4523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2370992"/>
        <c:crosses val="autoZero"/>
        <c:auto val="1"/>
        <c:lblAlgn val="ctr"/>
        <c:lblOffset val="100"/>
        <c:noMultiLvlLbl val="0"/>
      </c:catAx>
      <c:valAx>
        <c:axId val="4523709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2370600"/>
        <c:crosses val="autoZero"/>
        <c:crossBetween val="between"/>
      </c:valAx>
      <c:valAx>
        <c:axId val="472677456"/>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2676280"/>
        <c:crosses val="max"/>
        <c:crossBetween val="between"/>
      </c:valAx>
      <c:catAx>
        <c:axId val="472676280"/>
        <c:scaling>
          <c:orientation val="minMax"/>
        </c:scaling>
        <c:delete val="1"/>
        <c:axPos val="b"/>
        <c:numFmt formatCode="General" sourceLinked="1"/>
        <c:majorTickMark val="none"/>
        <c:minorTickMark val="none"/>
        <c:tickLblPos val="nextTo"/>
        <c:crossAx val="4726774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Ballon Lopez, Sergio Enrique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124</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R0002183030</Record_x0020_Number>
    <_dlc_DocId xmlns="cdc7663a-08f0-4737-9e8c-148ce897a09c">EZSHARE-1809111286-32</_dlc_DocId>
    <_dlc_DocIdUrl xmlns="cdc7663a-08f0-4737-9e8c-148ce897a09c">
      <Url>https://idbg.sharepoint.com/teams/EZ-BO-LON/BO-L1190/_layouts/15/DocIdRedir.aspx?ID=EZSHARE-1809111286-32</Url>
      <Description>EZSHARE-1809111286-32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4F83082C435E9449407429F65BB6C11" ma:contentTypeVersion="677" ma:contentTypeDescription="A content type to manage public (operations) IDB documents" ma:contentTypeScope="" ma:versionID="ee75ffdaca383b3b85f2ed10fdd50680">
  <xsd:schema xmlns:xsd="http://www.w3.org/2001/XMLSchema" xmlns:xs="http://www.w3.org/2001/XMLSchema" xmlns:p="http://schemas.microsoft.com/office/2006/metadata/properties" xmlns:ns2="cdc7663a-08f0-4737-9e8c-148ce897a09c" targetNamespace="http://schemas.microsoft.com/office/2006/metadata/properties" ma:root="true" ma:fieldsID="9136a1f2b8cd69faa536c704db41a87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2B526-CC72-46B6-B9E5-D417D519F05F}"/>
</file>

<file path=customXml/itemProps2.xml><?xml version="1.0" encoding="utf-8"?>
<ds:datastoreItem xmlns:ds="http://schemas.openxmlformats.org/officeDocument/2006/customXml" ds:itemID="{2B05E88A-CC0B-4A1F-B1E4-65B997EA73DE}">
  <ds:schemaRef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 ds:uri="http://purl.org/dc/dcmitype/"/>
    <ds:schemaRef ds:uri="http://schemas.microsoft.com/office/infopath/2007/PartnerControls"/>
    <ds:schemaRef ds:uri="cdc7663a-08f0-4737-9e8c-148ce897a09c"/>
    <ds:schemaRef ds:uri="http://purl.org/dc/terms/"/>
  </ds:schemaRefs>
</ds:datastoreItem>
</file>

<file path=customXml/itemProps3.xml><?xml version="1.0" encoding="utf-8"?>
<ds:datastoreItem xmlns:ds="http://schemas.openxmlformats.org/officeDocument/2006/customXml" ds:itemID="{99658C08-B110-4CAA-93A4-C80644A34A10}"/>
</file>

<file path=customXml/itemProps4.xml><?xml version="1.0" encoding="utf-8"?>
<ds:datastoreItem xmlns:ds="http://schemas.openxmlformats.org/officeDocument/2006/customXml" ds:itemID="{38E0E3C7-A641-443E-A770-66C7B8E51930}"/>
</file>

<file path=customXml/itemProps5.xml><?xml version="1.0" encoding="utf-8"?>
<ds:datastoreItem xmlns:ds="http://schemas.openxmlformats.org/officeDocument/2006/customXml" ds:itemID="{532AF13D-C7DE-4079-BC2F-44F6BDC81DAE}">
  <ds:schemaRefs>
    <ds:schemaRef ds:uri="http://schemas.microsoft.com/sharepoint/v3/contenttype/forms"/>
  </ds:schemaRefs>
</ds:datastoreItem>
</file>

<file path=customXml/itemProps6.xml><?xml version="1.0" encoding="utf-8"?>
<ds:datastoreItem xmlns:ds="http://schemas.openxmlformats.org/officeDocument/2006/customXml" ds:itemID="{EF8F43D6-43E4-4814-AD26-FEB02DCFC41C}">
  <ds:schemaRefs>
    <ds:schemaRef ds:uri="http://schemas.microsoft.com/sharepoint/events"/>
  </ds:schemaRefs>
</ds:datastoreItem>
</file>

<file path=customXml/itemProps7.xml><?xml version="1.0" encoding="utf-8"?>
<ds:datastoreItem xmlns:ds="http://schemas.openxmlformats.org/officeDocument/2006/customXml" ds:itemID="{F3F8FFC1-BF7B-44E4-ADAB-E85F8FA29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16</Pages>
  <Words>3359</Words>
  <Characters>19147</Characters>
  <Application>Microsoft Office Word</Application>
  <DocSecurity>0</DocSecurity>
  <Lines>159</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Vanegas Rico, Wilkferg</cp:lastModifiedBy>
  <cp:revision>36</cp:revision>
  <cp:lastPrinted>2013-11-15T23:32:00Z</cp:lastPrinted>
  <dcterms:created xsi:type="dcterms:W3CDTF">2018-03-19T02:01:00Z</dcterms:created>
  <dcterms:modified xsi:type="dcterms:W3CDTF">2018-05-14T15:09:00Z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124;#ENERGY EFFICIENCY AND RENEWABLE ENERGY IN END USE|ab88142a-aa14-42df-80f4-969425d6f976</vt:lpwstr>
  </property>
  <property fmtid="{D5CDD505-2E9C-101B-9397-08002B2CF9AE}" pid="8" name="Fund IDB">
    <vt:lpwstr>29;#BLD|60acb4c1-0ef3-40ba-9d70-f741cd9e6c23</vt:lpwstr>
  </property>
  <property fmtid="{D5CDD505-2E9C-101B-9397-08002B2CF9AE}" pid="9" name="Country">
    <vt:lpwstr>26;#Bolivia|6445a937-aea4-4907-9f24-bff96a7c61c8</vt:lpwstr>
  </property>
  <property fmtid="{D5CDD505-2E9C-101B-9397-08002B2CF9AE}" pid="10" name="Sector IDB">
    <vt:lpwstr>35;#ENERGY|4fed196a-cd0b-4970-87de-42da17f9b203</vt:lpwstr>
  </property>
  <property fmtid="{D5CDD505-2E9C-101B-9397-08002B2CF9AE}" pid="11" name="_dlc_DocIdItemGuid">
    <vt:lpwstr>eea3ad08-49f2-4a21-8db5-a18eade1088f</vt:lpwstr>
  </property>
  <property fmtid="{D5CDD505-2E9C-101B-9397-08002B2CF9AE}" pid="13" name="RecordStorageActiveId">
    <vt:lpwstr>7c4228d3-cd13-4dad-a5bc-d96be736975b</vt:lpwstr>
  </property>
  <property fmtid="{D5CDD505-2E9C-101B-9397-08002B2CF9AE}" pid="14" name="Disclosure Activity">
    <vt:lpwstr>Loan Proposal</vt:lpwstr>
  </property>
  <property fmtid="{D5CDD505-2E9C-101B-9397-08002B2CF9AE}" pid="15" name="ContentTypeId">
    <vt:lpwstr>0x0101001A458A224826124E8B45B1D613300CFC0014F83082C435E9449407429F65BB6C11</vt:lpwstr>
  </property>
</Properties>
</file>