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7E7B" w:rsidRPr="00EA6A8C" w:rsidRDefault="00E67E7B" w:rsidP="00E67E7B">
      <w:pPr>
        <w:jc w:val="both"/>
        <w:rPr>
          <w:rFonts w:ascii="Arial" w:hAnsi="Arial" w:cs="Arial"/>
          <w:b/>
          <w:smallCaps/>
          <w:sz w:val="28"/>
          <w:szCs w:val="28"/>
        </w:rPr>
      </w:pPr>
      <w:bookmarkStart w:id="0" w:name="_Toc496735278"/>
      <w:r w:rsidRPr="00EA6A8C">
        <w:rPr>
          <w:rFonts w:ascii="Arial" w:hAnsi="Arial" w:cs="Arial"/>
          <w:noProof/>
          <w:lang w:val="es-419" w:eastAsia="es-419"/>
        </w:rPr>
        <w:drawing>
          <wp:anchor distT="0" distB="0" distL="114300" distR="114300" simplePos="0" relativeHeight="251660288" behindDoc="1" locked="0" layoutInCell="1" allowOverlap="1" wp14:anchorId="30668BA4" wp14:editId="6907D6FC">
            <wp:simplePos x="0" y="0"/>
            <wp:positionH relativeFrom="margin">
              <wp:posOffset>-39039</wp:posOffset>
            </wp:positionH>
            <wp:positionV relativeFrom="paragraph">
              <wp:posOffset>-149473</wp:posOffset>
            </wp:positionV>
            <wp:extent cx="6011545" cy="8406295"/>
            <wp:effectExtent l="0" t="0" r="8255" b="0"/>
            <wp:wrapNone/>
            <wp:docPr id="8" name="Picture 8" descr="C:\Users\SHAKIRAHC\AppData\Local\Microsoft\Windows\Temporary Internet Files\Content.Word\fondo_vertical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KIRAHC\AppData\Local\Microsoft\Windows\Temporary Internet Files\Content.Word\fondo_vertical5-0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29087" cy="843082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419" w:eastAsia="es-419"/>
        </w:rPr>
        <w:drawing>
          <wp:anchor distT="0" distB="0" distL="114300" distR="114300" simplePos="0" relativeHeight="251661312" behindDoc="0" locked="0" layoutInCell="1" allowOverlap="1" wp14:anchorId="6CCF7B87" wp14:editId="6EC2DF27">
            <wp:simplePos x="0" y="0"/>
            <wp:positionH relativeFrom="column">
              <wp:posOffset>-95250</wp:posOffset>
            </wp:positionH>
            <wp:positionV relativeFrom="paragraph">
              <wp:posOffset>0</wp:posOffset>
            </wp:positionV>
            <wp:extent cx="1762125" cy="1246104"/>
            <wp:effectExtent l="0" t="0" r="0" b="0"/>
            <wp:wrapNone/>
            <wp:docPr id="15" name="Picture 15" descr="https://spexternal.iadb.org/sites/identity/en/Documents/Logo%20IDB/Spanish/White/BID_Spanish_Without%20descriptor_White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pexternal.iadb.org/sites/identity/en/Documents/Logo%20IDB/Spanish/White/BID_Spanish_Without%20descriptor_White_PN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65944" cy="1248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6A8C">
        <w:rPr>
          <w:rFonts w:ascii="Arial" w:hAnsi="Arial" w:cs="Arial"/>
          <w:noProof/>
          <w:lang w:val="es-419" w:eastAsia="es-419"/>
        </w:rPr>
        <w:drawing>
          <wp:anchor distT="0" distB="0" distL="114300" distR="114300" simplePos="0" relativeHeight="251659264" behindDoc="1" locked="0" layoutInCell="1" allowOverlap="1" wp14:anchorId="44F7D7C6" wp14:editId="731DA377">
            <wp:simplePos x="0" y="0"/>
            <wp:positionH relativeFrom="column">
              <wp:posOffset>-122555</wp:posOffset>
            </wp:positionH>
            <wp:positionV relativeFrom="paragraph">
              <wp:posOffset>-84455</wp:posOffset>
            </wp:positionV>
            <wp:extent cx="2171700" cy="1534795"/>
            <wp:effectExtent l="0" t="0" r="0" b="0"/>
            <wp:wrapNone/>
            <wp:docPr id="4" name="Picture 4" descr="D:\DATA.IDB\Documents\CARLOS_AG\01-SPD\00-IDB-identity\logos\BID_LOGOS_BLANCO\BID_LOGOS_BLANCO\BID_LOGOS_BLANCO\BID_english\bid_english\bid_english-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CARLOS_AG\01-SPD\00-IDB-identity\logos\BID_LOGOS_BLANCO\BID_LOGOS_BLANCO\BID_LOGOS_BLANCO\BID_english\bid_english\bid_english-0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mallCaps/>
          <w:sz w:val="28"/>
          <w:szCs w:val="28"/>
        </w:rPr>
        <w:t xml:space="preserve"> </w:t>
      </w:r>
    </w:p>
    <w:p w:rsidR="00E67E7B" w:rsidRDefault="00E67E7B" w:rsidP="00E67E7B">
      <w:pPr>
        <w:spacing w:after="160" w:line="259" w:lineRule="auto"/>
        <w:rPr>
          <w:rFonts w:ascii="Arial" w:hAnsi="Arial" w:cs="Arial"/>
          <w:color w:val="1F4E79" w:themeColor="accent1" w:themeShade="80"/>
          <w:lang w:val="es-ES"/>
        </w:rPr>
      </w:pPr>
      <w:r w:rsidRPr="00EA6A8C">
        <w:rPr>
          <w:rFonts w:ascii="Arial" w:hAnsi="Arial" w:cs="Arial"/>
          <w:b/>
          <w:smallCaps/>
          <w:noProof/>
          <w:sz w:val="28"/>
          <w:szCs w:val="28"/>
          <w:lang w:val="es-419" w:eastAsia="es-419"/>
        </w:rPr>
        <mc:AlternateContent>
          <mc:Choice Requires="wps">
            <w:drawing>
              <wp:anchor distT="0" distB="0" distL="114300" distR="114300" simplePos="0" relativeHeight="251662336" behindDoc="0" locked="0" layoutInCell="1" allowOverlap="1" wp14:anchorId="5314F295" wp14:editId="65AB1CC3">
                <wp:simplePos x="0" y="0"/>
                <wp:positionH relativeFrom="margin">
                  <wp:align>left</wp:align>
                </wp:positionH>
                <wp:positionV relativeFrom="paragraph">
                  <wp:posOffset>1569675</wp:posOffset>
                </wp:positionV>
                <wp:extent cx="5676348" cy="6379335"/>
                <wp:effectExtent l="0" t="0" r="0" b="254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348" cy="6379335"/>
                        </a:xfrm>
                        <a:prstGeom prst="rect">
                          <a:avLst/>
                        </a:prstGeom>
                        <a:noFill/>
                        <a:ln w="9525">
                          <a:noFill/>
                          <a:miter lim="800000"/>
                          <a:headEnd/>
                          <a:tailEnd/>
                        </a:ln>
                      </wps:spPr>
                      <wps:txbx>
                        <w:txbxContent>
                          <w:p w:rsidR="008F0E47" w:rsidRDefault="008F0E47" w:rsidP="00E67E7B">
                            <w:pPr>
                              <w:rPr>
                                <w:rFonts w:ascii="Arial Black" w:hAnsi="Arial Black"/>
                                <w:color w:val="FFFFFF" w:themeColor="background1"/>
                                <w:sz w:val="36"/>
                                <w:lang w:val="es-ES_tradnl"/>
                              </w:rPr>
                            </w:pPr>
                            <w:r>
                              <w:rPr>
                                <w:rFonts w:ascii="Arial Black" w:hAnsi="Arial Black"/>
                                <w:color w:val="FFFFFF" w:themeColor="background1"/>
                                <w:sz w:val="36"/>
                                <w:lang w:val="es-ES_tradnl"/>
                              </w:rPr>
                              <w:t>Proyecto:</w:t>
                            </w:r>
                          </w:p>
                          <w:p w:rsidR="008F0E47" w:rsidRDefault="008F0E47" w:rsidP="00E67E7B">
                            <w:pPr>
                              <w:rPr>
                                <w:rFonts w:ascii="Arial Black" w:hAnsi="Arial Black"/>
                                <w:color w:val="FFFFFF" w:themeColor="background1"/>
                                <w:sz w:val="36"/>
                                <w:lang w:val="es-ES_tradnl"/>
                              </w:rPr>
                            </w:pPr>
                            <w:r>
                              <w:rPr>
                                <w:rFonts w:ascii="Arial Black" w:hAnsi="Arial Black"/>
                                <w:color w:val="FFFFFF" w:themeColor="background1"/>
                                <w:sz w:val="36"/>
                                <w:lang w:val="es-ES_tradnl"/>
                              </w:rPr>
                              <w:t xml:space="preserve">EFICIENCIA ENERGETICA EN ILUMINACIÓN PÚBLICA MUNICIPAL </w:t>
                            </w:r>
                          </w:p>
                          <w:p w:rsidR="008F0E47" w:rsidRDefault="008F0E47" w:rsidP="00E67E7B">
                            <w:pPr>
                              <w:rPr>
                                <w:rFonts w:ascii="Arial Black" w:hAnsi="Arial Black"/>
                                <w:color w:val="FFFFFF" w:themeColor="background1"/>
                                <w:sz w:val="36"/>
                                <w:lang w:val="es-ES_tradnl"/>
                              </w:rPr>
                            </w:pPr>
                            <w:r>
                              <w:rPr>
                                <w:rFonts w:ascii="Arial Black" w:hAnsi="Arial Black"/>
                                <w:color w:val="FFFFFF" w:themeColor="background1"/>
                                <w:sz w:val="36"/>
                                <w:lang w:val="es-ES_tradnl"/>
                              </w:rPr>
                              <w:t>Muestra de proyectos: ORURO Y POTOSÍ</w:t>
                            </w:r>
                          </w:p>
                          <w:p w:rsidR="008F0E47" w:rsidRPr="003016EF" w:rsidRDefault="008F0E47" w:rsidP="00E67E7B">
                            <w:pPr>
                              <w:spacing w:before="240" w:after="240"/>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 xml:space="preserve"> </w:t>
                            </w:r>
                          </w:p>
                          <w:p w:rsidR="008F0E47" w:rsidRDefault="008F0E47" w:rsidP="00E67E7B">
                            <w:pPr>
                              <w:jc w:val="right"/>
                              <w:rPr>
                                <w:rFonts w:ascii="Arial Black" w:hAnsi="Arial Black"/>
                                <w:color w:val="FFFFFF" w:themeColor="background1"/>
                                <w:sz w:val="36"/>
                                <w:lang w:val="es-ES_tradnl"/>
                              </w:rPr>
                            </w:pPr>
                            <w:r>
                              <w:rPr>
                                <w:rFonts w:ascii="Arial Black" w:hAnsi="Arial Black"/>
                                <w:color w:val="FFFFFF" w:themeColor="background1"/>
                                <w:sz w:val="36"/>
                                <w:lang w:val="es-ES_tradnl"/>
                              </w:rPr>
                              <w:t>Evaluación Económica</w:t>
                            </w:r>
                          </w:p>
                          <w:p w:rsidR="008F0E47" w:rsidRDefault="008F0E47" w:rsidP="00E67E7B">
                            <w:pPr>
                              <w:jc w:val="right"/>
                              <w:rPr>
                                <w:rFonts w:ascii="Arial Black" w:hAnsi="Arial Black"/>
                                <w:color w:val="FFFFFF" w:themeColor="background1"/>
                                <w:sz w:val="36"/>
                                <w:lang w:val="es-ES_tradnl"/>
                              </w:rPr>
                            </w:pPr>
                          </w:p>
                          <w:p w:rsidR="008F0E47" w:rsidRDefault="008F0E47" w:rsidP="00E67E7B">
                            <w:pPr>
                              <w:jc w:val="right"/>
                              <w:rPr>
                                <w:rFonts w:ascii="Arial Black" w:hAnsi="Arial Black"/>
                                <w:color w:val="FFFFFF" w:themeColor="background1"/>
                                <w:sz w:val="36"/>
                                <w:lang w:val="es-ES_tradnl"/>
                              </w:rPr>
                            </w:pPr>
                          </w:p>
                          <w:p w:rsidR="008F0E47" w:rsidRDefault="008F0E47" w:rsidP="00E67E7B">
                            <w:pPr>
                              <w:jc w:val="right"/>
                              <w:rPr>
                                <w:rFonts w:ascii="Arial Black" w:hAnsi="Arial Black"/>
                                <w:color w:val="FFFFFF" w:themeColor="background1"/>
                                <w:sz w:val="36"/>
                                <w:lang w:val="es-ES_tradnl"/>
                              </w:rPr>
                            </w:pPr>
                          </w:p>
                          <w:p w:rsidR="008F0E47" w:rsidRDefault="008F0E47" w:rsidP="00E67E7B">
                            <w:pPr>
                              <w:jc w:val="right"/>
                              <w:rPr>
                                <w:rFonts w:ascii="Arial Black" w:hAnsi="Arial Black"/>
                                <w:color w:val="FFFFFF" w:themeColor="background1"/>
                                <w:sz w:val="36"/>
                                <w:lang w:val="es-ES_tradnl"/>
                              </w:rPr>
                            </w:pPr>
                          </w:p>
                          <w:p w:rsidR="008F0E47" w:rsidRDefault="008F0E47" w:rsidP="00E67E7B">
                            <w:pPr>
                              <w:jc w:val="right"/>
                              <w:rPr>
                                <w:rFonts w:ascii="Arial Black" w:hAnsi="Arial Black"/>
                                <w:color w:val="FFFFFF" w:themeColor="background1"/>
                                <w:sz w:val="36"/>
                                <w:lang w:val="es-ES_tradnl"/>
                              </w:rPr>
                            </w:pPr>
                          </w:p>
                          <w:p w:rsidR="008F0E47" w:rsidRDefault="008F0E47" w:rsidP="00E67E7B">
                            <w:pPr>
                              <w:jc w:val="right"/>
                              <w:rPr>
                                <w:rFonts w:ascii="Arial Black" w:hAnsi="Arial Black"/>
                                <w:color w:val="FFFFFF" w:themeColor="background1"/>
                                <w:sz w:val="36"/>
                                <w:lang w:val="es-ES_tradnl"/>
                              </w:rPr>
                            </w:pPr>
                          </w:p>
                          <w:p w:rsidR="008F0E47" w:rsidRPr="00AF1601" w:rsidRDefault="008F0E47" w:rsidP="00E67E7B">
                            <w:pPr>
                              <w:jc w:val="right"/>
                              <w:rPr>
                                <w:rFonts w:ascii="Arial Black" w:hAnsi="Arial Black"/>
                                <w:color w:val="FFFFFF" w:themeColor="background1"/>
                                <w:sz w:val="20"/>
                                <w:lang w:val="es-ES_tradnl"/>
                              </w:rPr>
                            </w:pPr>
                            <w:r w:rsidRPr="00AF1601">
                              <w:rPr>
                                <w:rFonts w:ascii="Arial Black" w:hAnsi="Arial Black"/>
                                <w:color w:val="FFFFFF" w:themeColor="background1"/>
                                <w:sz w:val="20"/>
                                <w:lang w:val="es-ES_tradnl"/>
                              </w:rPr>
                              <w:t>Consultor: Renán Orellana Lafuente</w:t>
                            </w:r>
                          </w:p>
                          <w:p w:rsidR="008F0E47" w:rsidRPr="003016EF" w:rsidRDefault="008F0E47" w:rsidP="00E67E7B">
                            <w:pPr>
                              <w:rPr>
                                <w:rFonts w:ascii="Arial Black" w:hAnsi="Arial Black"/>
                                <w:color w:val="FFFFFF" w:themeColor="background1"/>
                                <w:sz w:val="36"/>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4F295" id="_x0000_t202" coordsize="21600,21600" o:spt="202" path="m,l,21600r21600,l21600,xe">
                <v:stroke joinstyle="miter"/>
                <v:path gradientshapeok="t" o:connecttype="rect"/>
              </v:shapetype>
              <v:shape id="Text Box 2" o:spid="_x0000_s1026" type="#_x0000_t202" style="position:absolute;margin-left:0;margin-top:123.6pt;width:446.95pt;height:502.3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" filled="f" stroked="f">
                <v:textbox>
                  <w:txbxContent>
                    <w:p w:rsidR="008F0E47" w:rsidRDefault="008F0E47" w:rsidP="00E67E7B">
                      <w:pPr>
                        <w:rPr>
                          <w:rFonts w:ascii="Arial Black" w:hAnsi="Arial Black"/>
                          <w:color w:val="FFFFFF" w:themeColor="background1"/>
                          <w:sz w:val="36"/>
                          <w:lang w:val="es-ES_tradnl"/>
                        </w:rPr>
                      </w:pPr>
                      <w:r>
                        <w:rPr>
                          <w:rFonts w:ascii="Arial Black" w:hAnsi="Arial Black"/>
                          <w:color w:val="FFFFFF" w:themeColor="background1"/>
                          <w:sz w:val="36"/>
                          <w:lang w:val="es-ES_tradnl"/>
                        </w:rPr>
                        <w:t>Proyecto:</w:t>
                      </w:r>
                    </w:p>
                    <w:p w:rsidR="008F0E47" w:rsidRDefault="008F0E47" w:rsidP="00E67E7B">
                      <w:pPr>
                        <w:rPr>
                          <w:rFonts w:ascii="Arial Black" w:hAnsi="Arial Black"/>
                          <w:color w:val="FFFFFF" w:themeColor="background1"/>
                          <w:sz w:val="36"/>
                          <w:lang w:val="es-ES_tradnl"/>
                        </w:rPr>
                      </w:pPr>
                      <w:r>
                        <w:rPr>
                          <w:rFonts w:ascii="Arial Black" w:hAnsi="Arial Black"/>
                          <w:color w:val="FFFFFF" w:themeColor="background1"/>
                          <w:sz w:val="36"/>
                          <w:lang w:val="es-ES_tradnl"/>
                        </w:rPr>
                        <w:t xml:space="preserve">EFICIENCIA ENERGETICA EN ILUMINACIÓN PÚBLICA MUNICIPAL </w:t>
                      </w:r>
                    </w:p>
                    <w:p w:rsidR="008F0E47" w:rsidRDefault="008F0E47" w:rsidP="00E67E7B">
                      <w:pPr>
                        <w:rPr>
                          <w:rFonts w:ascii="Arial Black" w:hAnsi="Arial Black"/>
                          <w:color w:val="FFFFFF" w:themeColor="background1"/>
                          <w:sz w:val="36"/>
                          <w:lang w:val="es-ES_tradnl"/>
                        </w:rPr>
                      </w:pPr>
                      <w:r>
                        <w:rPr>
                          <w:rFonts w:ascii="Arial Black" w:hAnsi="Arial Black"/>
                          <w:color w:val="FFFFFF" w:themeColor="background1"/>
                          <w:sz w:val="36"/>
                          <w:lang w:val="es-ES_tradnl"/>
                        </w:rPr>
                        <w:t>Muestra de proyectos: ORURO Y POTOSÍ</w:t>
                      </w:r>
                    </w:p>
                    <w:p w:rsidR="008F0E47" w:rsidRPr="003016EF" w:rsidRDefault="008F0E47" w:rsidP="00E67E7B">
                      <w:pPr>
                        <w:spacing w:before="240" w:after="240"/>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 xml:space="preserve"> </w:t>
                      </w:r>
                    </w:p>
                    <w:p w:rsidR="008F0E47" w:rsidRDefault="008F0E47" w:rsidP="00E67E7B">
                      <w:pPr>
                        <w:jc w:val="right"/>
                        <w:rPr>
                          <w:rFonts w:ascii="Arial Black" w:hAnsi="Arial Black"/>
                          <w:color w:val="FFFFFF" w:themeColor="background1"/>
                          <w:sz w:val="36"/>
                          <w:lang w:val="es-ES_tradnl"/>
                        </w:rPr>
                      </w:pPr>
                      <w:r>
                        <w:rPr>
                          <w:rFonts w:ascii="Arial Black" w:hAnsi="Arial Black"/>
                          <w:color w:val="FFFFFF" w:themeColor="background1"/>
                          <w:sz w:val="36"/>
                          <w:lang w:val="es-ES_tradnl"/>
                        </w:rPr>
                        <w:t>Evaluación Económica</w:t>
                      </w:r>
                    </w:p>
                    <w:p w:rsidR="008F0E47" w:rsidRDefault="008F0E47" w:rsidP="00E67E7B">
                      <w:pPr>
                        <w:jc w:val="right"/>
                        <w:rPr>
                          <w:rFonts w:ascii="Arial Black" w:hAnsi="Arial Black"/>
                          <w:color w:val="FFFFFF" w:themeColor="background1"/>
                          <w:sz w:val="36"/>
                          <w:lang w:val="es-ES_tradnl"/>
                        </w:rPr>
                      </w:pPr>
                    </w:p>
                    <w:p w:rsidR="008F0E47" w:rsidRDefault="008F0E47" w:rsidP="00E67E7B">
                      <w:pPr>
                        <w:jc w:val="right"/>
                        <w:rPr>
                          <w:rFonts w:ascii="Arial Black" w:hAnsi="Arial Black"/>
                          <w:color w:val="FFFFFF" w:themeColor="background1"/>
                          <w:sz w:val="36"/>
                          <w:lang w:val="es-ES_tradnl"/>
                        </w:rPr>
                      </w:pPr>
                    </w:p>
                    <w:p w:rsidR="008F0E47" w:rsidRDefault="008F0E47" w:rsidP="00E67E7B">
                      <w:pPr>
                        <w:jc w:val="right"/>
                        <w:rPr>
                          <w:rFonts w:ascii="Arial Black" w:hAnsi="Arial Black"/>
                          <w:color w:val="FFFFFF" w:themeColor="background1"/>
                          <w:sz w:val="36"/>
                          <w:lang w:val="es-ES_tradnl"/>
                        </w:rPr>
                      </w:pPr>
                    </w:p>
                    <w:p w:rsidR="008F0E47" w:rsidRDefault="008F0E47" w:rsidP="00E67E7B">
                      <w:pPr>
                        <w:jc w:val="right"/>
                        <w:rPr>
                          <w:rFonts w:ascii="Arial Black" w:hAnsi="Arial Black"/>
                          <w:color w:val="FFFFFF" w:themeColor="background1"/>
                          <w:sz w:val="36"/>
                          <w:lang w:val="es-ES_tradnl"/>
                        </w:rPr>
                      </w:pPr>
                    </w:p>
                    <w:p w:rsidR="008F0E47" w:rsidRDefault="008F0E47" w:rsidP="00E67E7B">
                      <w:pPr>
                        <w:jc w:val="right"/>
                        <w:rPr>
                          <w:rFonts w:ascii="Arial Black" w:hAnsi="Arial Black"/>
                          <w:color w:val="FFFFFF" w:themeColor="background1"/>
                          <w:sz w:val="36"/>
                          <w:lang w:val="es-ES_tradnl"/>
                        </w:rPr>
                      </w:pPr>
                    </w:p>
                    <w:p w:rsidR="008F0E47" w:rsidRDefault="008F0E47" w:rsidP="00E67E7B">
                      <w:pPr>
                        <w:jc w:val="right"/>
                        <w:rPr>
                          <w:rFonts w:ascii="Arial Black" w:hAnsi="Arial Black"/>
                          <w:color w:val="FFFFFF" w:themeColor="background1"/>
                          <w:sz w:val="36"/>
                          <w:lang w:val="es-ES_tradnl"/>
                        </w:rPr>
                      </w:pPr>
                    </w:p>
                    <w:p w:rsidR="008F0E47" w:rsidRPr="00AF1601" w:rsidRDefault="008F0E47" w:rsidP="00E67E7B">
                      <w:pPr>
                        <w:jc w:val="right"/>
                        <w:rPr>
                          <w:rFonts w:ascii="Arial Black" w:hAnsi="Arial Black"/>
                          <w:color w:val="FFFFFF" w:themeColor="background1"/>
                          <w:sz w:val="20"/>
                          <w:lang w:val="es-ES_tradnl"/>
                        </w:rPr>
                      </w:pPr>
                      <w:r w:rsidRPr="00AF1601">
                        <w:rPr>
                          <w:rFonts w:ascii="Arial Black" w:hAnsi="Arial Black"/>
                          <w:color w:val="FFFFFF" w:themeColor="background1"/>
                          <w:sz w:val="20"/>
                          <w:lang w:val="es-ES_tradnl"/>
                        </w:rPr>
                        <w:t>Consultor: Renán Orellana Lafuente</w:t>
                      </w:r>
                    </w:p>
                    <w:p w:rsidR="008F0E47" w:rsidRPr="003016EF" w:rsidRDefault="008F0E47" w:rsidP="00E67E7B">
                      <w:pPr>
                        <w:rPr>
                          <w:rFonts w:ascii="Arial Black" w:hAnsi="Arial Black"/>
                          <w:color w:val="FFFFFF" w:themeColor="background1"/>
                          <w:sz w:val="36"/>
                          <w:lang w:val="es-ES_tradnl"/>
                        </w:rPr>
                      </w:pPr>
                    </w:p>
                  </w:txbxContent>
                </v:textbox>
                <w10:wrap anchorx="margin"/>
              </v:shape>
            </w:pict>
          </mc:Fallback>
        </mc:AlternateContent>
      </w:r>
      <w:r>
        <w:rPr>
          <w:rFonts w:ascii="Arial" w:hAnsi="Arial" w:cs="Arial"/>
          <w:color w:val="1F4E79" w:themeColor="accent1" w:themeShade="80"/>
          <w:lang w:val="es-ES"/>
        </w:rPr>
        <w:br w:type="page"/>
      </w:r>
    </w:p>
    <w:sdt>
      <w:sdtPr>
        <w:rPr>
          <w:rFonts w:asciiTheme="minorHAnsi" w:eastAsiaTheme="minorHAnsi" w:hAnsiTheme="minorHAnsi" w:cstheme="minorBidi"/>
          <w:color w:val="auto"/>
          <w:sz w:val="22"/>
          <w:szCs w:val="22"/>
          <w:lang w:val="es-ES" w:eastAsia="en-US"/>
        </w:rPr>
        <w:id w:val="-1645725454"/>
        <w:docPartObj>
          <w:docPartGallery w:val="Table of Contents"/>
          <w:docPartUnique/>
        </w:docPartObj>
      </w:sdtPr>
      <w:sdtEndPr>
        <w:rPr>
          <w:b/>
          <w:bCs/>
        </w:rPr>
      </w:sdtEndPr>
      <w:sdtContent>
        <w:p w:rsidR="00E67E7B" w:rsidRPr="0035664B" w:rsidRDefault="00E67E7B" w:rsidP="00E67E7B">
          <w:pPr>
            <w:pStyle w:val="TOCHeading"/>
            <w:rPr>
              <w:rFonts w:ascii="Arial" w:hAnsi="Arial" w:cs="Arial"/>
              <w:b/>
              <w:color w:val="1F4E79" w:themeColor="accent1" w:themeShade="80"/>
              <w:sz w:val="28"/>
              <w:lang w:val="es-ES"/>
            </w:rPr>
          </w:pPr>
          <w:r w:rsidRPr="0035664B">
            <w:rPr>
              <w:rFonts w:ascii="Arial" w:hAnsi="Arial" w:cs="Arial"/>
              <w:b/>
              <w:color w:val="1F4E79" w:themeColor="accent1" w:themeShade="80"/>
              <w:sz w:val="28"/>
              <w:lang w:val="es-ES"/>
            </w:rPr>
            <w:t>CONTENIDO</w:t>
          </w:r>
        </w:p>
        <w:p w:rsidR="00E67E7B" w:rsidRPr="0035664B" w:rsidRDefault="00E67E7B" w:rsidP="00E67E7B">
          <w:pPr>
            <w:rPr>
              <w:lang w:val="es-ES" w:eastAsia="es-419"/>
            </w:rPr>
          </w:pPr>
        </w:p>
        <w:p w:rsidR="000D0593" w:rsidRDefault="00E67E7B">
          <w:pPr>
            <w:pStyle w:val="TOC1"/>
            <w:tabs>
              <w:tab w:val="left" w:pos="440"/>
              <w:tab w:val="right" w:leader="dot" w:pos="9394"/>
            </w:tabs>
            <w:rPr>
              <w:rFonts w:eastAsiaTheme="minorEastAsia"/>
              <w:noProof/>
            </w:rPr>
          </w:pPr>
          <w:r>
            <w:fldChar w:fldCharType="begin"/>
          </w:r>
          <w:r>
            <w:instrText xml:space="preserve"> TOC \o "1-3" \h \z \u </w:instrText>
          </w:r>
          <w:r>
            <w:fldChar w:fldCharType="separate"/>
          </w:r>
          <w:hyperlink w:anchor="_Toc520820880" w:history="1">
            <w:r w:rsidR="000D0593" w:rsidRPr="005858A5">
              <w:rPr>
                <w:rStyle w:val="Hyperlink"/>
                <w:rFonts w:ascii="Arial" w:hAnsi="Arial" w:cs="Arial"/>
                <w:noProof/>
                <w:lang w:val="es-MX"/>
              </w:rPr>
              <w:t>I.</w:t>
            </w:r>
            <w:r w:rsidR="000D0593">
              <w:rPr>
                <w:rFonts w:eastAsiaTheme="minorEastAsia"/>
                <w:noProof/>
              </w:rPr>
              <w:tab/>
            </w:r>
            <w:r w:rsidR="000D0593" w:rsidRPr="005858A5">
              <w:rPr>
                <w:rStyle w:val="Hyperlink"/>
                <w:rFonts w:ascii="Arial" w:hAnsi="Arial" w:cs="Arial"/>
                <w:noProof/>
                <w:lang w:val="es-ES"/>
              </w:rPr>
              <w:t>INTRODUCCIÓN</w:t>
            </w:r>
            <w:r w:rsidR="000D0593">
              <w:rPr>
                <w:noProof/>
                <w:webHidden/>
              </w:rPr>
              <w:tab/>
            </w:r>
            <w:r w:rsidR="000D0593">
              <w:rPr>
                <w:noProof/>
                <w:webHidden/>
              </w:rPr>
              <w:fldChar w:fldCharType="begin"/>
            </w:r>
            <w:r w:rsidR="000D0593">
              <w:rPr>
                <w:noProof/>
                <w:webHidden/>
              </w:rPr>
              <w:instrText xml:space="preserve"> PAGEREF _Toc520820880 \h </w:instrText>
            </w:r>
            <w:r w:rsidR="000D0593">
              <w:rPr>
                <w:noProof/>
                <w:webHidden/>
              </w:rPr>
            </w:r>
            <w:r w:rsidR="000D0593">
              <w:rPr>
                <w:noProof/>
                <w:webHidden/>
              </w:rPr>
              <w:fldChar w:fldCharType="separate"/>
            </w:r>
            <w:r w:rsidR="000D0593">
              <w:rPr>
                <w:noProof/>
                <w:webHidden/>
              </w:rPr>
              <w:t>3</w:t>
            </w:r>
            <w:r w:rsidR="000D0593">
              <w:rPr>
                <w:noProof/>
                <w:webHidden/>
              </w:rPr>
              <w:fldChar w:fldCharType="end"/>
            </w:r>
          </w:hyperlink>
        </w:p>
        <w:p w:rsidR="000D0593" w:rsidRDefault="00523A9B">
          <w:pPr>
            <w:pStyle w:val="TOC1"/>
            <w:tabs>
              <w:tab w:val="left" w:pos="440"/>
              <w:tab w:val="right" w:leader="dot" w:pos="9394"/>
            </w:tabs>
            <w:rPr>
              <w:rFonts w:eastAsiaTheme="minorEastAsia"/>
              <w:noProof/>
            </w:rPr>
          </w:pPr>
          <w:hyperlink w:anchor="_Toc520820881" w:history="1">
            <w:r w:rsidR="000D0593" w:rsidRPr="005858A5">
              <w:rPr>
                <w:rStyle w:val="Hyperlink"/>
                <w:rFonts w:ascii="Arial" w:hAnsi="Arial" w:cs="Arial"/>
                <w:noProof/>
                <w:lang w:val="es-MX"/>
              </w:rPr>
              <w:t>II.</w:t>
            </w:r>
            <w:r w:rsidR="000D0593">
              <w:rPr>
                <w:rFonts w:eastAsiaTheme="minorEastAsia"/>
                <w:noProof/>
              </w:rPr>
              <w:tab/>
            </w:r>
            <w:r w:rsidR="000D0593" w:rsidRPr="005858A5">
              <w:rPr>
                <w:rStyle w:val="Hyperlink"/>
                <w:rFonts w:ascii="Arial" w:hAnsi="Arial" w:cs="Arial"/>
                <w:noProof/>
                <w:lang w:val="es-ES"/>
              </w:rPr>
              <w:t>ANÁLISIS DE LOS MUNICIPIOS DE LA MEUSTRA</w:t>
            </w:r>
            <w:r w:rsidR="000D0593">
              <w:rPr>
                <w:noProof/>
                <w:webHidden/>
              </w:rPr>
              <w:tab/>
            </w:r>
            <w:r w:rsidR="000D0593">
              <w:rPr>
                <w:noProof/>
                <w:webHidden/>
              </w:rPr>
              <w:fldChar w:fldCharType="begin"/>
            </w:r>
            <w:r w:rsidR="000D0593">
              <w:rPr>
                <w:noProof/>
                <w:webHidden/>
              </w:rPr>
              <w:instrText xml:space="preserve"> PAGEREF _Toc520820881 \h </w:instrText>
            </w:r>
            <w:r w:rsidR="000D0593">
              <w:rPr>
                <w:noProof/>
                <w:webHidden/>
              </w:rPr>
            </w:r>
            <w:r w:rsidR="000D0593">
              <w:rPr>
                <w:noProof/>
                <w:webHidden/>
              </w:rPr>
              <w:fldChar w:fldCharType="separate"/>
            </w:r>
            <w:r w:rsidR="000D0593">
              <w:rPr>
                <w:noProof/>
                <w:webHidden/>
              </w:rPr>
              <w:t>4</w:t>
            </w:r>
            <w:r w:rsidR="000D0593">
              <w:rPr>
                <w:noProof/>
                <w:webHidden/>
              </w:rPr>
              <w:fldChar w:fldCharType="end"/>
            </w:r>
          </w:hyperlink>
        </w:p>
        <w:p w:rsidR="000D0593" w:rsidRDefault="00523A9B">
          <w:pPr>
            <w:pStyle w:val="TOC2"/>
            <w:tabs>
              <w:tab w:val="right" w:leader="dot" w:pos="9394"/>
            </w:tabs>
            <w:rPr>
              <w:rFonts w:eastAsiaTheme="minorEastAsia"/>
              <w:noProof/>
            </w:rPr>
          </w:pPr>
          <w:hyperlink w:anchor="_Toc520820882" w:history="1">
            <w:r w:rsidR="000D0593" w:rsidRPr="005858A5">
              <w:rPr>
                <w:rStyle w:val="Hyperlink"/>
                <w:rFonts w:ascii="Arial" w:hAnsi="Arial" w:cs="Arial"/>
                <w:noProof/>
                <w:lang w:val="es-ES"/>
              </w:rPr>
              <w:t>2.1. Municipio de Oruro</w:t>
            </w:r>
            <w:r w:rsidR="000D0593">
              <w:rPr>
                <w:noProof/>
                <w:webHidden/>
              </w:rPr>
              <w:tab/>
            </w:r>
            <w:r w:rsidR="000D0593">
              <w:rPr>
                <w:noProof/>
                <w:webHidden/>
              </w:rPr>
              <w:fldChar w:fldCharType="begin"/>
            </w:r>
            <w:r w:rsidR="000D0593">
              <w:rPr>
                <w:noProof/>
                <w:webHidden/>
              </w:rPr>
              <w:instrText xml:space="preserve"> PAGEREF _Toc520820882 \h </w:instrText>
            </w:r>
            <w:r w:rsidR="000D0593">
              <w:rPr>
                <w:noProof/>
                <w:webHidden/>
              </w:rPr>
            </w:r>
            <w:r w:rsidR="000D0593">
              <w:rPr>
                <w:noProof/>
                <w:webHidden/>
              </w:rPr>
              <w:fldChar w:fldCharType="separate"/>
            </w:r>
            <w:r w:rsidR="000D0593">
              <w:rPr>
                <w:noProof/>
                <w:webHidden/>
              </w:rPr>
              <w:t>4</w:t>
            </w:r>
            <w:r w:rsidR="000D0593">
              <w:rPr>
                <w:noProof/>
                <w:webHidden/>
              </w:rPr>
              <w:fldChar w:fldCharType="end"/>
            </w:r>
          </w:hyperlink>
        </w:p>
        <w:p w:rsidR="000D0593" w:rsidRDefault="00523A9B">
          <w:pPr>
            <w:pStyle w:val="TOC3"/>
            <w:tabs>
              <w:tab w:val="right" w:leader="dot" w:pos="9394"/>
            </w:tabs>
            <w:rPr>
              <w:rFonts w:eastAsiaTheme="minorEastAsia"/>
              <w:noProof/>
            </w:rPr>
          </w:pPr>
          <w:hyperlink w:anchor="_Toc520820883" w:history="1">
            <w:r w:rsidR="000D0593" w:rsidRPr="005858A5">
              <w:rPr>
                <w:rStyle w:val="Hyperlink"/>
                <w:rFonts w:ascii="Arial" w:hAnsi="Arial" w:cs="Arial"/>
                <w:noProof/>
                <w:lang w:val="es-ES"/>
              </w:rPr>
              <w:t>2.1.1. Gasto Energético Municipal - Oruro</w:t>
            </w:r>
            <w:r w:rsidR="000D0593">
              <w:rPr>
                <w:noProof/>
                <w:webHidden/>
              </w:rPr>
              <w:tab/>
            </w:r>
            <w:r w:rsidR="000D0593">
              <w:rPr>
                <w:noProof/>
                <w:webHidden/>
              </w:rPr>
              <w:fldChar w:fldCharType="begin"/>
            </w:r>
            <w:r w:rsidR="000D0593">
              <w:rPr>
                <w:noProof/>
                <w:webHidden/>
              </w:rPr>
              <w:instrText xml:space="preserve"> PAGEREF _Toc520820883 \h </w:instrText>
            </w:r>
            <w:r w:rsidR="000D0593">
              <w:rPr>
                <w:noProof/>
                <w:webHidden/>
              </w:rPr>
            </w:r>
            <w:r w:rsidR="000D0593">
              <w:rPr>
                <w:noProof/>
                <w:webHidden/>
              </w:rPr>
              <w:fldChar w:fldCharType="separate"/>
            </w:r>
            <w:r w:rsidR="000D0593">
              <w:rPr>
                <w:noProof/>
                <w:webHidden/>
              </w:rPr>
              <w:t>4</w:t>
            </w:r>
            <w:r w:rsidR="000D0593">
              <w:rPr>
                <w:noProof/>
                <w:webHidden/>
              </w:rPr>
              <w:fldChar w:fldCharType="end"/>
            </w:r>
          </w:hyperlink>
        </w:p>
        <w:p w:rsidR="000D0593" w:rsidRDefault="00523A9B">
          <w:pPr>
            <w:pStyle w:val="TOC3"/>
            <w:tabs>
              <w:tab w:val="right" w:leader="dot" w:pos="9394"/>
            </w:tabs>
            <w:rPr>
              <w:rFonts w:eastAsiaTheme="minorEastAsia"/>
              <w:noProof/>
            </w:rPr>
          </w:pPr>
          <w:hyperlink w:anchor="_Toc520820884" w:history="1">
            <w:r w:rsidR="000D0593" w:rsidRPr="005858A5">
              <w:rPr>
                <w:rStyle w:val="Hyperlink"/>
                <w:rFonts w:ascii="Arial" w:hAnsi="Arial" w:cs="Arial"/>
                <w:noProof/>
                <w:lang w:val="es-ES"/>
              </w:rPr>
              <w:t>2.1.1. Sistema de Alumbrado Público - Oruro</w:t>
            </w:r>
            <w:r w:rsidR="000D0593">
              <w:rPr>
                <w:noProof/>
                <w:webHidden/>
              </w:rPr>
              <w:tab/>
            </w:r>
            <w:r w:rsidR="000D0593">
              <w:rPr>
                <w:noProof/>
                <w:webHidden/>
              </w:rPr>
              <w:fldChar w:fldCharType="begin"/>
            </w:r>
            <w:r w:rsidR="000D0593">
              <w:rPr>
                <w:noProof/>
                <w:webHidden/>
              </w:rPr>
              <w:instrText xml:space="preserve"> PAGEREF _Toc520820884 \h </w:instrText>
            </w:r>
            <w:r w:rsidR="000D0593">
              <w:rPr>
                <w:noProof/>
                <w:webHidden/>
              </w:rPr>
            </w:r>
            <w:r w:rsidR="000D0593">
              <w:rPr>
                <w:noProof/>
                <w:webHidden/>
              </w:rPr>
              <w:fldChar w:fldCharType="separate"/>
            </w:r>
            <w:r w:rsidR="000D0593">
              <w:rPr>
                <w:noProof/>
                <w:webHidden/>
              </w:rPr>
              <w:t>5</w:t>
            </w:r>
            <w:r w:rsidR="000D0593">
              <w:rPr>
                <w:noProof/>
                <w:webHidden/>
              </w:rPr>
              <w:fldChar w:fldCharType="end"/>
            </w:r>
          </w:hyperlink>
        </w:p>
        <w:p w:rsidR="000D0593" w:rsidRDefault="00523A9B">
          <w:pPr>
            <w:pStyle w:val="TOC2"/>
            <w:tabs>
              <w:tab w:val="right" w:leader="dot" w:pos="9394"/>
            </w:tabs>
            <w:rPr>
              <w:rFonts w:eastAsiaTheme="minorEastAsia"/>
              <w:noProof/>
            </w:rPr>
          </w:pPr>
          <w:hyperlink w:anchor="_Toc520820885" w:history="1">
            <w:r w:rsidR="000D0593" w:rsidRPr="005858A5">
              <w:rPr>
                <w:rStyle w:val="Hyperlink"/>
                <w:rFonts w:ascii="Arial" w:hAnsi="Arial" w:cs="Arial"/>
                <w:noProof/>
                <w:lang w:val="es-ES"/>
              </w:rPr>
              <w:t xml:space="preserve">2.2. Municipio de </w:t>
            </w:r>
            <w:r w:rsidR="00B030A9">
              <w:rPr>
                <w:rStyle w:val="Hyperlink"/>
                <w:rFonts w:ascii="Arial" w:hAnsi="Arial" w:cs="Arial"/>
                <w:noProof/>
                <w:lang w:val="es-ES"/>
              </w:rPr>
              <w:t>Potosí</w:t>
            </w:r>
            <w:r w:rsidR="000D0593">
              <w:rPr>
                <w:noProof/>
                <w:webHidden/>
              </w:rPr>
              <w:tab/>
            </w:r>
            <w:r w:rsidR="000D0593">
              <w:rPr>
                <w:noProof/>
                <w:webHidden/>
              </w:rPr>
              <w:fldChar w:fldCharType="begin"/>
            </w:r>
            <w:r w:rsidR="000D0593">
              <w:rPr>
                <w:noProof/>
                <w:webHidden/>
              </w:rPr>
              <w:instrText xml:space="preserve"> PAGEREF _Toc520820885 \h </w:instrText>
            </w:r>
            <w:r w:rsidR="000D0593">
              <w:rPr>
                <w:noProof/>
                <w:webHidden/>
              </w:rPr>
            </w:r>
            <w:r w:rsidR="000D0593">
              <w:rPr>
                <w:noProof/>
                <w:webHidden/>
              </w:rPr>
              <w:fldChar w:fldCharType="separate"/>
            </w:r>
            <w:r w:rsidR="000D0593">
              <w:rPr>
                <w:noProof/>
                <w:webHidden/>
              </w:rPr>
              <w:t>7</w:t>
            </w:r>
            <w:r w:rsidR="000D0593">
              <w:rPr>
                <w:noProof/>
                <w:webHidden/>
              </w:rPr>
              <w:fldChar w:fldCharType="end"/>
            </w:r>
          </w:hyperlink>
        </w:p>
        <w:p w:rsidR="000D0593" w:rsidRDefault="00523A9B">
          <w:pPr>
            <w:pStyle w:val="TOC3"/>
            <w:tabs>
              <w:tab w:val="right" w:leader="dot" w:pos="9394"/>
            </w:tabs>
            <w:rPr>
              <w:rFonts w:eastAsiaTheme="minorEastAsia"/>
              <w:noProof/>
            </w:rPr>
          </w:pPr>
          <w:hyperlink w:anchor="_Toc520820886" w:history="1">
            <w:r w:rsidR="000D0593" w:rsidRPr="005858A5">
              <w:rPr>
                <w:rStyle w:val="Hyperlink"/>
                <w:rFonts w:ascii="Arial" w:hAnsi="Arial" w:cs="Arial"/>
                <w:noProof/>
                <w:lang w:val="es-ES"/>
              </w:rPr>
              <w:t xml:space="preserve">2.2.1. Gasto Energético Municipal - </w:t>
            </w:r>
            <w:r w:rsidR="005E3B54">
              <w:rPr>
                <w:rStyle w:val="Hyperlink"/>
                <w:rFonts w:ascii="Arial" w:hAnsi="Arial" w:cs="Arial"/>
                <w:noProof/>
                <w:lang w:val="es-ES"/>
              </w:rPr>
              <w:t>Potosí</w:t>
            </w:r>
            <w:r w:rsidR="000D0593">
              <w:rPr>
                <w:noProof/>
                <w:webHidden/>
              </w:rPr>
              <w:tab/>
            </w:r>
            <w:r w:rsidR="000D0593">
              <w:rPr>
                <w:noProof/>
                <w:webHidden/>
              </w:rPr>
              <w:fldChar w:fldCharType="begin"/>
            </w:r>
            <w:r w:rsidR="000D0593">
              <w:rPr>
                <w:noProof/>
                <w:webHidden/>
              </w:rPr>
              <w:instrText xml:space="preserve"> PAGEREF _Toc520820886 \h </w:instrText>
            </w:r>
            <w:r w:rsidR="000D0593">
              <w:rPr>
                <w:noProof/>
                <w:webHidden/>
              </w:rPr>
            </w:r>
            <w:r w:rsidR="000D0593">
              <w:rPr>
                <w:noProof/>
                <w:webHidden/>
              </w:rPr>
              <w:fldChar w:fldCharType="separate"/>
            </w:r>
            <w:r w:rsidR="000D0593">
              <w:rPr>
                <w:noProof/>
                <w:webHidden/>
              </w:rPr>
              <w:t>7</w:t>
            </w:r>
            <w:r w:rsidR="000D0593">
              <w:rPr>
                <w:noProof/>
                <w:webHidden/>
              </w:rPr>
              <w:fldChar w:fldCharType="end"/>
            </w:r>
          </w:hyperlink>
        </w:p>
        <w:p w:rsidR="000D0593" w:rsidRDefault="00523A9B">
          <w:pPr>
            <w:pStyle w:val="TOC3"/>
            <w:tabs>
              <w:tab w:val="right" w:leader="dot" w:pos="9394"/>
            </w:tabs>
            <w:rPr>
              <w:rFonts w:eastAsiaTheme="minorEastAsia"/>
              <w:noProof/>
            </w:rPr>
          </w:pPr>
          <w:hyperlink w:anchor="_Toc520820887" w:history="1">
            <w:r w:rsidR="000D0593" w:rsidRPr="005858A5">
              <w:rPr>
                <w:rStyle w:val="Hyperlink"/>
                <w:rFonts w:ascii="Arial" w:hAnsi="Arial" w:cs="Arial"/>
                <w:noProof/>
                <w:lang w:val="es-ES"/>
              </w:rPr>
              <w:t xml:space="preserve">2.2.1. Sistema de Alumbrado Público - </w:t>
            </w:r>
            <w:r w:rsidR="005E3B54">
              <w:rPr>
                <w:rStyle w:val="Hyperlink"/>
                <w:rFonts w:ascii="Arial" w:hAnsi="Arial" w:cs="Arial"/>
                <w:noProof/>
                <w:lang w:val="es-ES"/>
              </w:rPr>
              <w:t>Potosí</w:t>
            </w:r>
            <w:r w:rsidR="000D0593">
              <w:rPr>
                <w:noProof/>
                <w:webHidden/>
              </w:rPr>
              <w:tab/>
            </w:r>
            <w:r w:rsidR="000D0593">
              <w:rPr>
                <w:noProof/>
                <w:webHidden/>
              </w:rPr>
              <w:fldChar w:fldCharType="begin"/>
            </w:r>
            <w:r w:rsidR="000D0593">
              <w:rPr>
                <w:noProof/>
                <w:webHidden/>
              </w:rPr>
              <w:instrText xml:space="preserve"> PAGEREF _Toc520820887 \h </w:instrText>
            </w:r>
            <w:r w:rsidR="000D0593">
              <w:rPr>
                <w:noProof/>
                <w:webHidden/>
              </w:rPr>
            </w:r>
            <w:r w:rsidR="000D0593">
              <w:rPr>
                <w:noProof/>
                <w:webHidden/>
              </w:rPr>
              <w:fldChar w:fldCharType="separate"/>
            </w:r>
            <w:r w:rsidR="000D0593">
              <w:rPr>
                <w:noProof/>
                <w:webHidden/>
              </w:rPr>
              <w:t>7</w:t>
            </w:r>
            <w:r w:rsidR="000D0593">
              <w:rPr>
                <w:noProof/>
                <w:webHidden/>
              </w:rPr>
              <w:fldChar w:fldCharType="end"/>
            </w:r>
          </w:hyperlink>
        </w:p>
        <w:p w:rsidR="000D0593" w:rsidRDefault="00523A9B">
          <w:pPr>
            <w:pStyle w:val="TOC2"/>
            <w:tabs>
              <w:tab w:val="right" w:leader="dot" w:pos="9394"/>
            </w:tabs>
            <w:rPr>
              <w:rFonts w:eastAsiaTheme="minorEastAsia"/>
              <w:noProof/>
            </w:rPr>
          </w:pPr>
          <w:hyperlink w:anchor="_Toc520820888" w:history="1">
            <w:r w:rsidR="000D0593" w:rsidRPr="005858A5">
              <w:rPr>
                <w:rStyle w:val="Hyperlink"/>
                <w:rFonts w:ascii="Arial" w:hAnsi="Arial" w:cs="Arial"/>
                <w:noProof/>
                <w:lang w:val="es-ES"/>
              </w:rPr>
              <w:t>2.3. Opciones de sustitución de lámparas</w:t>
            </w:r>
            <w:r w:rsidR="000D0593">
              <w:rPr>
                <w:noProof/>
                <w:webHidden/>
              </w:rPr>
              <w:tab/>
            </w:r>
            <w:r w:rsidR="000D0593">
              <w:rPr>
                <w:noProof/>
                <w:webHidden/>
              </w:rPr>
              <w:fldChar w:fldCharType="begin"/>
            </w:r>
            <w:r w:rsidR="000D0593">
              <w:rPr>
                <w:noProof/>
                <w:webHidden/>
              </w:rPr>
              <w:instrText xml:space="preserve"> PAGEREF _Toc520820888 \h </w:instrText>
            </w:r>
            <w:r w:rsidR="000D0593">
              <w:rPr>
                <w:noProof/>
                <w:webHidden/>
              </w:rPr>
            </w:r>
            <w:r w:rsidR="000D0593">
              <w:rPr>
                <w:noProof/>
                <w:webHidden/>
              </w:rPr>
              <w:fldChar w:fldCharType="separate"/>
            </w:r>
            <w:r w:rsidR="000D0593">
              <w:rPr>
                <w:noProof/>
                <w:webHidden/>
              </w:rPr>
              <w:t>8</w:t>
            </w:r>
            <w:r w:rsidR="000D0593">
              <w:rPr>
                <w:noProof/>
                <w:webHidden/>
              </w:rPr>
              <w:fldChar w:fldCharType="end"/>
            </w:r>
          </w:hyperlink>
        </w:p>
        <w:p w:rsidR="000D0593" w:rsidRDefault="00523A9B">
          <w:pPr>
            <w:pStyle w:val="TOC1"/>
            <w:tabs>
              <w:tab w:val="left" w:pos="660"/>
              <w:tab w:val="right" w:leader="dot" w:pos="9394"/>
            </w:tabs>
            <w:rPr>
              <w:rFonts w:eastAsiaTheme="minorEastAsia"/>
              <w:noProof/>
            </w:rPr>
          </w:pPr>
          <w:hyperlink w:anchor="_Toc520820889" w:history="1">
            <w:r w:rsidR="000D0593" w:rsidRPr="005858A5">
              <w:rPr>
                <w:rStyle w:val="Hyperlink"/>
                <w:rFonts w:ascii="Arial" w:hAnsi="Arial" w:cs="Arial"/>
                <w:noProof/>
                <w:lang w:val="es-MX"/>
              </w:rPr>
              <w:t>III.</w:t>
            </w:r>
            <w:r w:rsidR="000D0593">
              <w:rPr>
                <w:rFonts w:eastAsiaTheme="minorEastAsia"/>
                <w:noProof/>
              </w:rPr>
              <w:tab/>
            </w:r>
            <w:r w:rsidR="000D0593" w:rsidRPr="005858A5">
              <w:rPr>
                <w:rStyle w:val="Hyperlink"/>
                <w:rFonts w:ascii="Arial" w:hAnsi="Arial" w:cs="Arial"/>
                <w:noProof/>
                <w:lang w:val="es-ES"/>
              </w:rPr>
              <w:t>METODOLOGÍA</w:t>
            </w:r>
            <w:r w:rsidR="000D0593">
              <w:rPr>
                <w:noProof/>
                <w:webHidden/>
              </w:rPr>
              <w:tab/>
            </w:r>
            <w:r w:rsidR="000D0593">
              <w:rPr>
                <w:noProof/>
                <w:webHidden/>
              </w:rPr>
              <w:fldChar w:fldCharType="begin"/>
            </w:r>
            <w:r w:rsidR="000D0593">
              <w:rPr>
                <w:noProof/>
                <w:webHidden/>
              </w:rPr>
              <w:instrText xml:space="preserve"> PAGEREF _Toc520820889 \h </w:instrText>
            </w:r>
            <w:r w:rsidR="000D0593">
              <w:rPr>
                <w:noProof/>
                <w:webHidden/>
              </w:rPr>
            </w:r>
            <w:r w:rsidR="000D0593">
              <w:rPr>
                <w:noProof/>
                <w:webHidden/>
              </w:rPr>
              <w:fldChar w:fldCharType="separate"/>
            </w:r>
            <w:r w:rsidR="000D0593">
              <w:rPr>
                <w:noProof/>
                <w:webHidden/>
              </w:rPr>
              <w:t>10</w:t>
            </w:r>
            <w:r w:rsidR="000D0593">
              <w:rPr>
                <w:noProof/>
                <w:webHidden/>
              </w:rPr>
              <w:fldChar w:fldCharType="end"/>
            </w:r>
          </w:hyperlink>
        </w:p>
        <w:p w:rsidR="000D0593" w:rsidRDefault="00523A9B">
          <w:pPr>
            <w:pStyle w:val="TOC1"/>
            <w:tabs>
              <w:tab w:val="left" w:pos="660"/>
              <w:tab w:val="right" w:leader="dot" w:pos="9394"/>
            </w:tabs>
            <w:rPr>
              <w:rFonts w:eastAsiaTheme="minorEastAsia"/>
              <w:noProof/>
            </w:rPr>
          </w:pPr>
          <w:hyperlink w:anchor="_Toc520820890" w:history="1">
            <w:r w:rsidR="000D0593" w:rsidRPr="005858A5">
              <w:rPr>
                <w:rStyle w:val="Hyperlink"/>
                <w:rFonts w:ascii="Arial" w:hAnsi="Arial" w:cs="Arial"/>
                <w:noProof/>
                <w:lang w:val="es-ES"/>
              </w:rPr>
              <w:t>3.1</w:t>
            </w:r>
            <w:r w:rsidR="000D0593">
              <w:rPr>
                <w:rFonts w:eastAsiaTheme="minorEastAsia"/>
                <w:noProof/>
              </w:rPr>
              <w:tab/>
            </w:r>
            <w:r w:rsidR="000D0593" w:rsidRPr="005858A5">
              <w:rPr>
                <w:rStyle w:val="Hyperlink"/>
                <w:rFonts w:ascii="Arial" w:hAnsi="Arial" w:cs="Arial"/>
                <w:noProof/>
                <w:lang w:val="es-ES"/>
              </w:rPr>
              <w:t>Escenarios “sin” y “con” proyecto</w:t>
            </w:r>
            <w:r w:rsidR="000D0593">
              <w:rPr>
                <w:noProof/>
                <w:webHidden/>
              </w:rPr>
              <w:tab/>
            </w:r>
            <w:r w:rsidR="000D0593">
              <w:rPr>
                <w:noProof/>
                <w:webHidden/>
              </w:rPr>
              <w:fldChar w:fldCharType="begin"/>
            </w:r>
            <w:r w:rsidR="000D0593">
              <w:rPr>
                <w:noProof/>
                <w:webHidden/>
              </w:rPr>
              <w:instrText xml:space="preserve"> PAGEREF _Toc520820890 \h </w:instrText>
            </w:r>
            <w:r w:rsidR="000D0593">
              <w:rPr>
                <w:noProof/>
                <w:webHidden/>
              </w:rPr>
            </w:r>
            <w:r w:rsidR="000D0593">
              <w:rPr>
                <w:noProof/>
                <w:webHidden/>
              </w:rPr>
              <w:fldChar w:fldCharType="separate"/>
            </w:r>
            <w:r w:rsidR="000D0593">
              <w:rPr>
                <w:noProof/>
                <w:webHidden/>
              </w:rPr>
              <w:t>10</w:t>
            </w:r>
            <w:r w:rsidR="000D0593">
              <w:rPr>
                <w:noProof/>
                <w:webHidden/>
              </w:rPr>
              <w:fldChar w:fldCharType="end"/>
            </w:r>
          </w:hyperlink>
        </w:p>
        <w:p w:rsidR="000D0593" w:rsidRDefault="00523A9B">
          <w:pPr>
            <w:pStyle w:val="TOC1"/>
            <w:tabs>
              <w:tab w:val="left" w:pos="660"/>
              <w:tab w:val="right" w:leader="dot" w:pos="9394"/>
            </w:tabs>
            <w:rPr>
              <w:rFonts w:eastAsiaTheme="minorEastAsia"/>
              <w:noProof/>
            </w:rPr>
          </w:pPr>
          <w:hyperlink w:anchor="_Toc520820891" w:history="1">
            <w:r w:rsidR="000D0593" w:rsidRPr="005858A5">
              <w:rPr>
                <w:rStyle w:val="Hyperlink"/>
                <w:rFonts w:ascii="Arial" w:hAnsi="Arial" w:cs="Arial"/>
                <w:noProof/>
                <w:lang w:val="es-ES"/>
              </w:rPr>
              <w:t>3.2</w:t>
            </w:r>
            <w:r w:rsidR="000D0593">
              <w:rPr>
                <w:rFonts w:eastAsiaTheme="minorEastAsia"/>
                <w:noProof/>
              </w:rPr>
              <w:tab/>
            </w:r>
            <w:r w:rsidR="000D0593" w:rsidRPr="005858A5">
              <w:rPr>
                <w:rStyle w:val="Hyperlink"/>
                <w:rFonts w:ascii="Arial" w:hAnsi="Arial" w:cs="Arial"/>
                <w:noProof/>
                <w:lang w:val="es-ES"/>
              </w:rPr>
              <w:t>Análisis Financiero o Privado del Proyecto</w:t>
            </w:r>
            <w:r w:rsidR="000D0593">
              <w:rPr>
                <w:noProof/>
                <w:webHidden/>
              </w:rPr>
              <w:tab/>
            </w:r>
            <w:r w:rsidR="000D0593">
              <w:rPr>
                <w:noProof/>
                <w:webHidden/>
              </w:rPr>
              <w:fldChar w:fldCharType="begin"/>
            </w:r>
            <w:r w:rsidR="000D0593">
              <w:rPr>
                <w:noProof/>
                <w:webHidden/>
              </w:rPr>
              <w:instrText xml:space="preserve"> PAGEREF _Toc520820891 \h </w:instrText>
            </w:r>
            <w:r w:rsidR="000D0593">
              <w:rPr>
                <w:noProof/>
                <w:webHidden/>
              </w:rPr>
            </w:r>
            <w:r w:rsidR="000D0593">
              <w:rPr>
                <w:noProof/>
                <w:webHidden/>
              </w:rPr>
              <w:fldChar w:fldCharType="separate"/>
            </w:r>
            <w:r w:rsidR="000D0593">
              <w:rPr>
                <w:noProof/>
                <w:webHidden/>
              </w:rPr>
              <w:t>10</w:t>
            </w:r>
            <w:r w:rsidR="000D0593">
              <w:rPr>
                <w:noProof/>
                <w:webHidden/>
              </w:rPr>
              <w:fldChar w:fldCharType="end"/>
            </w:r>
          </w:hyperlink>
        </w:p>
        <w:p w:rsidR="000D0593" w:rsidRDefault="00523A9B">
          <w:pPr>
            <w:pStyle w:val="TOC1"/>
            <w:tabs>
              <w:tab w:val="left" w:pos="660"/>
              <w:tab w:val="right" w:leader="dot" w:pos="9394"/>
            </w:tabs>
            <w:rPr>
              <w:rFonts w:eastAsiaTheme="minorEastAsia"/>
              <w:noProof/>
            </w:rPr>
          </w:pPr>
          <w:hyperlink w:anchor="_Toc520820892" w:history="1">
            <w:r w:rsidR="000D0593" w:rsidRPr="005858A5">
              <w:rPr>
                <w:rStyle w:val="Hyperlink"/>
                <w:rFonts w:ascii="Arial" w:hAnsi="Arial" w:cs="Arial"/>
                <w:noProof/>
                <w:lang w:val="es-ES"/>
              </w:rPr>
              <w:t>3.3</w:t>
            </w:r>
            <w:r w:rsidR="000D0593">
              <w:rPr>
                <w:rFonts w:eastAsiaTheme="minorEastAsia"/>
                <w:noProof/>
              </w:rPr>
              <w:tab/>
            </w:r>
            <w:r w:rsidR="000D0593" w:rsidRPr="005858A5">
              <w:rPr>
                <w:rStyle w:val="Hyperlink"/>
                <w:rFonts w:ascii="Arial" w:hAnsi="Arial" w:cs="Arial"/>
                <w:noProof/>
                <w:lang w:val="es-ES"/>
              </w:rPr>
              <w:t>Análisis Socioeconómico del Proyecto</w:t>
            </w:r>
            <w:r w:rsidR="000D0593">
              <w:rPr>
                <w:noProof/>
                <w:webHidden/>
              </w:rPr>
              <w:tab/>
            </w:r>
            <w:r w:rsidR="000D0593">
              <w:rPr>
                <w:noProof/>
                <w:webHidden/>
              </w:rPr>
              <w:fldChar w:fldCharType="begin"/>
            </w:r>
            <w:r w:rsidR="000D0593">
              <w:rPr>
                <w:noProof/>
                <w:webHidden/>
              </w:rPr>
              <w:instrText xml:space="preserve"> PAGEREF _Toc520820892 \h </w:instrText>
            </w:r>
            <w:r w:rsidR="000D0593">
              <w:rPr>
                <w:noProof/>
                <w:webHidden/>
              </w:rPr>
            </w:r>
            <w:r w:rsidR="000D0593">
              <w:rPr>
                <w:noProof/>
                <w:webHidden/>
              </w:rPr>
              <w:fldChar w:fldCharType="separate"/>
            </w:r>
            <w:r w:rsidR="000D0593">
              <w:rPr>
                <w:noProof/>
                <w:webHidden/>
              </w:rPr>
              <w:t>10</w:t>
            </w:r>
            <w:r w:rsidR="000D0593">
              <w:rPr>
                <w:noProof/>
                <w:webHidden/>
              </w:rPr>
              <w:fldChar w:fldCharType="end"/>
            </w:r>
          </w:hyperlink>
        </w:p>
        <w:p w:rsidR="000D0593" w:rsidRDefault="00523A9B">
          <w:pPr>
            <w:pStyle w:val="TOC1"/>
            <w:tabs>
              <w:tab w:val="left" w:pos="660"/>
              <w:tab w:val="right" w:leader="dot" w:pos="9394"/>
            </w:tabs>
            <w:rPr>
              <w:rFonts w:eastAsiaTheme="minorEastAsia"/>
              <w:noProof/>
            </w:rPr>
          </w:pPr>
          <w:hyperlink w:anchor="_Toc520820893" w:history="1">
            <w:r w:rsidR="000D0593" w:rsidRPr="005858A5">
              <w:rPr>
                <w:rStyle w:val="Hyperlink"/>
                <w:rFonts w:ascii="Arial" w:hAnsi="Arial" w:cs="Arial"/>
                <w:noProof/>
                <w:lang w:val="es-MX"/>
              </w:rPr>
              <w:t>IV.</w:t>
            </w:r>
            <w:r w:rsidR="000D0593">
              <w:rPr>
                <w:rFonts w:eastAsiaTheme="minorEastAsia"/>
                <w:noProof/>
              </w:rPr>
              <w:tab/>
            </w:r>
            <w:r w:rsidR="000D0593" w:rsidRPr="005858A5">
              <w:rPr>
                <w:rStyle w:val="Hyperlink"/>
                <w:rFonts w:ascii="Arial" w:hAnsi="Arial" w:cs="Arial"/>
                <w:noProof/>
                <w:lang w:val="es-ES"/>
              </w:rPr>
              <w:t>SUPUESTOS</w:t>
            </w:r>
            <w:r w:rsidR="000D0593">
              <w:rPr>
                <w:noProof/>
                <w:webHidden/>
              </w:rPr>
              <w:tab/>
            </w:r>
            <w:r w:rsidR="000D0593">
              <w:rPr>
                <w:noProof/>
                <w:webHidden/>
              </w:rPr>
              <w:fldChar w:fldCharType="begin"/>
            </w:r>
            <w:r w:rsidR="000D0593">
              <w:rPr>
                <w:noProof/>
                <w:webHidden/>
              </w:rPr>
              <w:instrText xml:space="preserve"> PAGEREF _Toc520820893 \h </w:instrText>
            </w:r>
            <w:r w:rsidR="000D0593">
              <w:rPr>
                <w:noProof/>
                <w:webHidden/>
              </w:rPr>
            </w:r>
            <w:r w:rsidR="000D0593">
              <w:rPr>
                <w:noProof/>
                <w:webHidden/>
              </w:rPr>
              <w:fldChar w:fldCharType="separate"/>
            </w:r>
            <w:r w:rsidR="000D0593">
              <w:rPr>
                <w:noProof/>
                <w:webHidden/>
              </w:rPr>
              <w:t>11</w:t>
            </w:r>
            <w:r w:rsidR="000D0593">
              <w:rPr>
                <w:noProof/>
                <w:webHidden/>
              </w:rPr>
              <w:fldChar w:fldCharType="end"/>
            </w:r>
          </w:hyperlink>
        </w:p>
        <w:p w:rsidR="000D0593" w:rsidRDefault="00523A9B">
          <w:pPr>
            <w:pStyle w:val="TOC1"/>
            <w:tabs>
              <w:tab w:val="left" w:pos="440"/>
              <w:tab w:val="right" w:leader="dot" w:pos="9394"/>
            </w:tabs>
            <w:rPr>
              <w:rFonts w:eastAsiaTheme="minorEastAsia"/>
              <w:noProof/>
            </w:rPr>
          </w:pPr>
          <w:hyperlink w:anchor="_Toc520820894" w:history="1">
            <w:r w:rsidR="000D0593" w:rsidRPr="005858A5">
              <w:rPr>
                <w:rStyle w:val="Hyperlink"/>
                <w:rFonts w:ascii="Arial" w:hAnsi="Arial" w:cs="Arial"/>
                <w:noProof/>
                <w:lang w:val="es-MX"/>
              </w:rPr>
              <w:t>V.</w:t>
            </w:r>
            <w:r w:rsidR="000D0593">
              <w:rPr>
                <w:rFonts w:eastAsiaTheme="minorEastAsia"/>
                <w:noProof/>
              </w:rPr>
              <w:tab/>
            </w:r>
            <w:r w:rsidR="000D0593" w:rsidRPr="005858A5">
              <w:rPr>
                <w:rStyle w:val="Hyperlink"/>
                <w:rFonts w:ascii="Arial" w:hAnsi="Arial" w:cs="Arial"/>
                <w:noProof/>
                <w:lang w:val="es-ES"/>
              </w:rPr>
              <w:t>BENEFICIOS ECONÓMICOS</w:t>
            </w:r>
            <w:r w:rsidR="000D0593">
              <w:rPr>
                <w:noProof/>
                <w:webHidden/>
              </w:rPr>
              <w:tab/>
            </w:r>
            <w:r w:rsidR="000D0593">
              <w:rPr>
                <w:noProof/>
                <w:webHidden/>
              </w:rPr>
              <w:fldChar w:fldCharType="begin"/>
            </w:r>
            <w:r w:rsidR="000D0593">
              <w:rPr>
                <w:noProof/>
                <w:webHidden/>
              </w:rPr>
              <w:instrText xml:space="preserve"> PAGEREF _Toc520820894 \h </w:instrText>
            </w:r>
            <w:r w:rsidR="000D0593">
              <w:rPr>
                <w:noProof/>
                <w:webHidden/>
              </w:rPr>
            </w:r>
            <w:r w:rsidR="000D0593">
              <w:rPr>
                <w:noProof/>
                <w:webHidden/>
              </w:rPr>
              <w:fldChar w:fldCharType="separate"/>
            </w:r>
            <w:r w:rsidR="000D0593">
              <w:rPr>
                <w:noProof/>
                <w:webHidden/>
              </w:rPr>
              <w:t>11</w:t>
            </w:r>
            <w:r w:rsidR="000D0593">
              <w:rPr>
                <w:noProof/>
                <w:webHidden/>
              </w:rPr>
              <w:fldChar w:fldCharType="end"/>
            </w:r>
          </w:hyperlink>
        </w:p>
        <w:p w:rsidR="000D0593" w:rsidRDefault="00523A9B">
          <w:pPr>
            <w:pStyle w:val="TOC2"/>
            <w:tabs>
              <w:tab w:val="right" w:leader="dot" w:pos="9394"/>
            </w:tabs>
            <w:rPr>
              <w:rFonts w:eastAsiaTheme="minorEastAsia"/>
              <w:noProof/>
            </w:rPr>
          </w:pPr>
          <w:hyperlink w:anchor="_Toc520820895" w:history="1">
            <w:r w:rsidR="000D0593" w:rsidRPr="005858A5">
              <w:rPr>
                <w:rStyle w:val="Hyperlink"/>
                <w:rFonts w:ascii="Arial" w:hAnsi="Arial" w:cs="Arial"/>
                <w:noProof/>
                <w:lang w:val="es-ES"/>
              </w:rPr>
              <w:t>5.1. Sistemas de alumbrado de avenidas y calles de Oruro</w:t>
            </w:r>
            <w:r w:rsidR="000D0593">
              <w:rPr>
                <w:noProof/>
                <w:webHidden/>
              </w:rPr>
              <w:tab/>
            </w:r>
            <w:r w:rsidR="000D0593">
              <w:rPr>
                <w:noProof/>
                <w:webHidden/>
              </w:rPr>
              <w:fldChar w:fldCharType="begin"/>
            </w:r>
            <w:r w:rsidR="000D0593">
              <w:rPr>
                <w:noProof/>
                <w:webHidden/>
              </w:rPr>
              <w:instrText xml:space="preserve"> PAGEREF _Toc520820895 \h </w:instrText>
            </w:r>
            <w:r w:rsidR="000D0593">
              <w:rPr>
                <w:noProof/>
                <w:webHidden/>
              </w:rPr>
            </w:r>
            <w:r w:rsidR="000D0593">
              <w:rPr>
                <w:noProof/>
                <w:webHidden/>
              </w:rPr>
              <w:fldChar w:fldCharType="separate"/>
            </w:r>
            <w:r w:rsidR="000D0593">
              <w:rPr>
                <w:noProof/>
                <w:webHidden/>
              </w:rPr>
              <w:t>11</w:t>
            </w:r>
            <w:r w:rsidR="000D0593">
              <w:rPr>
                <w:noProof/>
                <w:webHidden/>
              </w:rPr>
              <w:fldChar w:fldCharType="end"/>
            </w:r>
          </w:hyperlink>
        </w:p>
        <w:p w:rsidR="000D0593" w:rsidRDefault="00523A9B">
          <w:pPr>
            <w:pStyle w:val="TOC2"/>
            <w:tabs>
              <w:tab w:val="right" w:leader="dot" w:pos="9394"/>
            </w:tabs>
            <w:rPr>
              <w:rFonts w:eastAsiaTheme="minorEastAsia"/>
              <w:noProof/>
            </w:rPr>
          </w:pPr>
          <w:hyperlink w:anchor="_Toc520820896" w:history="1">
            <w:r w:rsidR="000D0593" w:rsidRPr="005858A5">
              <w:rPr>
                <w:rStyle w:val="Hyperlink"/>
                <w:rFonts w:ascii="Arial" w:hAnsi="Arial" w:cs="Arial"/>
                <w:noProof/>
                <w:lang w:val="es-ES"/>
              </w:rPr>
              <w:t>5.2. Sistemas de alumbrado de parques y plazas de Oruro</w:t>
            </w:r>
            <w:r w:rsidR="000D0593">
              <w:rPr>
                <w:noProof/>
                <w:webHidden/>
              </w:rPr>
              <w:tab/>
            </w:r>
            <w:r w:rsidR="000D0593">
              <w:rPr>
                <w:noProof/>
                <w:webHidden/>
              </w:rPr>
              <w:fldChar w:fldCharType="begin"/>
            </w:r>
            <w:r w:rsidR="000D0593">
              <w:rPr>
                <w:noProof/>
                <w:webHidden/>
              </w:rPr>
              <w:instrText xml:space="preserve"> PAGEREF _Toc520820896 \h </w:instrText>
            </w:r>
            <w:r w:rsidR="000D0593">
              <w:rPr>
                <w:noProof/>
                <w:webHidden/>
              </w:rPr>
            </w:r>
            <w:r w:rsidR="000D0593">
              <w:rPr>
                <w:noProof/>
                <w:webHidden/>
              </w:rPr>
              <w:fldChar w:fldCharType="separate"/>
            </w:r>
            <w:r w:rsidR="000D0593">
              <w:rPr>
                <w:noProof/>
                <w:webHidden/>
              </w:rPr>
              <w:t>11</w:t>
            </w:r>
            <w:r w:rsidR="000D0593">
              <w:rPr>
                <w:noProof/>
                <w:webHidden/>
              </w:rPr>
              <w:fldChar w:fldCharType="end"/>
            </w:r>
          </w:hyperlink>
        </w:p>
        <w:p w:rsidR="000D0593" w:rsidRDefault="00523A9B">
          <w:pPr>
            <w:pStyle w:val="TOC2"/>
            <w:tabs>
              <w:tab w:val="right" w:leader="dot" w:pos="9394"/>
            </w:tabs>
            <w:rPr>
              <w:rFonts w:eastAsiaTheme="minorEastAsia"/>
              <w:noProof/>
            </w:rPr>
          </w:pPr>
          <w:hyperlink w:anchor="_Toc520820897" w:history="1">
            <w:r w:rsidR="000D0593" w:rsidRPr="005858A5">
              <w:rPr>
                <w:rStyle w:val="Hyperlink"/>
                <w:rFonts w:ascii="Arial" w:hAnsi="Arial" w:cs="Arial"/>
                <w:noProof/>
                <w:lang w:val="es-ES"/>
              </w:rPr>
              <w:t xml:space="preserve">5.3. Sistemas de alumbrado de avenidas y </w:t>
            </w:r>
            <w:r w:rsidR="000D0593" w:rsidRPr="005858A5">
              <w:rPr>
                <w:rStyle w:val="Hyperlink"/>
                <w:rFonts w:ascii="Arial" w:hAnsi="Arial" w:cs="Arial"/>
                <w:noProof/>
                <w:lang w:val="es-ES"/>
              </w:rPr>
              <w:t>c</w:t>
            </w:r>
            <w:r w:rsidR="000D0593" w:rsidRPr="005858A5">
              <w:rPr>
                <w:rStyle w:val="Hyperlink"/>
                <w:rFonts w:ascii="Arial" w:hAnsi="Arial" w:cs="Arial"/>
                <w:noProof/>
                <w:lang w:val="es-ES"/>
              </w:rPr>
              <w:t xml:space="preserve">alles de </w:t>
            </w:r>
            <w:r w:rsidR="00B030A9">
              <w:rPr>
                <w:rStyle w:val="Hyperlink"/>
                <w:rFonts w:ascii="Arial" w:hAnsi="Arial" w:cs="Arial"/>
                <w:noProof/>
                <w:lang w:val="es-ES"/>
              </w:rPr>
              <w:t>Potosí</w:t>
            </w:r>
            <w:r w:rsidR="000D0593">
              <w:rPr>
                <w:noProof/>
                <w:webHidden/>
              </w:rPr>
              <w:tab/>
            </w:r>
            <w:r w:rsidR="000D0593">
              <w:rPr>
                <w:noProof/>
                <w:webHidden/>
              </w:rPr>
              <w:fldChar w:fldCharType="begin"/>
            </w:r>
            <w:r w:rsidR="000D0593">
              <w:rPr>
                <w:noProof/>
                <w:webHidden/>
              </w:rPr>
              <w:instrText xml:space="preserve"> PAGEREF _Toc520820897 \h </w:instrText>
            </w:r>
            <w:r w:rsidR="000D0593">
              <w:rPr>
                <w:noProof/>
                <w:webHidden/>
              </w:rPr>
            </w:r>
            <w:r w:rsidR="000D0593">
              <w:rPr>
                <w:noProof/>
                <w:webHidden/>
              </w:rPr>
              <w:fldChar w:fldCharType="separate"/>
            </w:r>
            <w:r w:rsidR="000D0593">
              <w:rPr>
                <w:noProof/>
                <w:webHidden/>
              </w:rPr>
              <w:t>12</w:t>
            </w:r>
            <w:r w:rsidR="000D0593">
              <w:rPr>
                <w:noProof/>
                <w:webHidden/>
              </w:rPr>
              <w:fldChar w:fldCharType="end"/>
            </w:r>
          </w:hyperlink>
        </w:p>
        <w:bookmarkStart w:id="1" w:name="_GoBack"/>
        <w:bookmarkEnd w:id="1"/>
        <w:p w:rsidR="000D0593" w:rsidRDefault="00523A9B">
          <w:pPr>
            <w:pStyle w:val="TOC1"/>
            <w:tabs>
              <w:tab w:val="left" w:pos="660"/>
              <w:tab w:val="right" w:leader="dot" w:pos="9394"/>
            </w:tabs>
            <w:rPr>
              <w:rFonts w:eastAsiaTheme="minorEastAsia"/>
              <w:noProof/>
            </w:rPr>
          </w:pPr>
          <w:r>
            <w:fldChar w:fldCharType="begin"/>
          </w:r>
          <w:r>
            <w:instrText xml:space="preserve"> HY</w:instrText>
          </w:r>
          <w:r>
            <w:instrText xml:space="preserve">PERLINK \l "_Toc520820899" </w:instrText>
          </w:r>
          <w:r>
            <w:fldChar w:fldCharType="separate"/>
          </w:r>
          <w:r w:rsidR="000D0593" w:rsidRPr="005858A5">
            <w:rPr>
              <w:rStyle w:val="Hyperlink"/>
              <w:rFonts w:ascii="Arial" w:hAnsi="Arial" w:cs="Arial"/>
              <w:noProof/>
              <w:lang w:val="es-MX"/>
            </w:rPr>
            <w:t>VI.</w:t>
          </w:r>
          <w:r w:rsidR="000D0593">
            <w:rPr>
              <w:rFonts w:eastAsiaTheme="minorEastAsia"/>
              <w:noProof/>
            </w:rPr>
            <w:tab/>
          </w:r>
          <w:r w:rsidR="000D0593" w:rsidRPr="005858A5">
            <w:rPr>
              <w:rStyle w:val="Hyperlink"/>
              <w:rFonts w:ascii="Arial" w:hAnsi="Arial" w:cs="Arial"/>
              <w:noProof/>
              <w:lang w:val="es-ES"/>
            </w:rPr>
            <w:t>COSTOS ECONÓMICOS</w:t>
          </w:r>
          <w:r w:rsidR="000D0593">
            <w:rPr>
              <w:noProof/>
              <w:webHidden/>
            </w:rPr>
            <w:tab/>
          </w:r>
          <w:r w:rsidR="000D0593">
            <w:rPr>
              <w:noProof/>
              <w:webHidden/>
            </w:rPr>
            <w:fldChar w:fldCharType="begin"/>
          </w:r>
          <w:r w:rsidR="000D0593">
            <w:rPr>
              <w:noProof/>
              <w:webHidden/>
            </w:rPr>
            <w:instrText xml:space="preserve"> PAGEREF _Toc520820899 \h </w:instrText>
          </w:r>
          <w:r w:rsidR="000D0593">
            <w:rPr>
              <w:noProof/>
              <w:webHidden/>
            </w:rPr>
          </w:r>
          <w:r w:rsidR="000D0593">
            <w:rPr>
              <w:noProof/>
              <w:webHidden/>
            </w:rPr>
            <w:fldChar w:fldCharType="separate"/>
          </w:r>
          <w:r w:rsidR="000D0593">
            <w:rPr>
              <w:noProof/>
              <w:webHidden/>
            </w:rPr>
            <w:t>13</w:t>
          </w:r>
          <w:r w:rsidR="000D0593">
            <w:rPr>
              <w:noProof/>
              <w:webHidden/>
            </w:rPr>
            <w:fldChar w:fldCharType="end"/>
          </w:r>
          <w:r>
            <w:rPr>
              <w:noProof/>
            </w:rPr>
            <w:fldChar w:fldCharType="end"/>
          </w:r>
        </w:p>
        <w:p w:rsidR="000D0593" w:rsidRDefault="00523A9B">
          <w:pPr>
            <w:pStyle w:val="TOC1"/>
            <w:tabs>
              <w:tab w:val="left" w:pos="660"/>
              <w:tab w:val="right" w:leader="dot" w:pos="9394"/>
            </w:tabs>
            <w:rPr>
              <w:rFonts w:eastAsiaTheme="minorEastAsia"/>
              <w:noProof/>
            </w:rPr>
          </w:pPr>
          <w:hyperlink w:anchor="_Toc520820900" w:history="1">
            <w:r w:rsidR="000D0593" w:rsidRPr="005858A5">
              <w:rPr>
                <w:rStyle w:val="Hyperlink"/>
                <w:rFonts w:ascii="Arial" w:hAnsi="Arial" w:cs="Arial"/>
                <w:noProof/>
                <w:lang w:val="es-MX"/>
              </w:rPr>
              <w:t>VII.</w:t>
            </w:r>
            <w:r w:rsidR="000D0593">
              <w:rPr>
                <w:rFonts w:eastAsiaTheme="minorEastAsia"/>
                <w:noProof/>
              </w:rPr>
              <w:tab/>
            </w:r>
            <w:r w:rsidR="000D0593" w:rsidRPr="005858A5">
              <w:rPr>
                <w:rStyle w:val="Hyperlink"/>
                <w:rFonts w:ascii="Arial" w:hAnsi="Arial" w:cs="Arial"/>
                <w:noProof/>
                <w:lang w:val="es-ES"/>
              </w:rPr>
              <w:t>INDICADORES DE LA EVALUACIÓN FINANCIERA</w:t>
            </w:r>
            <w:r w:rsidR="000D0593">
              <w:rPr>
                <w:noProof/>
                <w:webHidden/>
              </w:rPr>
              <w:tab/>
            </w:r>
            <w:r w:rsidR="000D0593">
              <w:rPr>
                <w:noProof/>
                <w:webHidden/>
              </w:rPr>
              <w:fldChar w:fldCharType="begin"/>
            </w:r>
            <w:r w:rsidR="000D0593">
              <w:rPr>
                <w:noProof/>
                <w:webHidden/>
              </w:rPr>
              <w:instrText xml:space="preserve"> PAGEREF _Toc520820900 \h </w:instrText>
            </w:r>
            <w:r w:rsidR="000D0593">
              <w:rPr>
                <w:noProof/>
                <w:webHidden/>
              </w:rPr>
            </w:r>
            <w:r w:rsidR="000D0593">
              <w:rPr>
                <w:noProof/>
                <w:webHidden/>
              </w:rPr>
              <w:fldChar w:fldCharType="separate"/>
            </w:r>
            <w:r w:rsidR="000D0593">
              <w:rPr>
                <w:noProof/>
                <w:webHidden/>
              </w:rPr>
              <w:t>15</w:t>
            </w:r>
            <w:r w:rsidR="000D0593">
              <w:rPr>
                <w:noProof/>
                <w:webHidden/>
              </w:rPr>
              <w:fldChar w:fldCharType="end"/>
            </w:r>
          </w:hyperlink>
        </w:p>
        <w:p w:rsidR="000D0593" w:rsidRDefault="00523A9B">
          <w:pPr>
            <w:pStyle w:val="TOC1"/>
            <w:tabs>
              <w:tab w:val="left" w:pos="660"/>
              <w:tab w:val="right" w:leader="dot" w:pos="9394"/>
            </w:tabs>
            <w:rPr>
              <w:rFonts w:eastAsiaTheme="minorEastAsia"/>
              <w:noProof/>
            </w:rPr>
          </w:pPr>
          <w:hyperlink w:anchor="_Toc520820901" w:history="1">
            <w:r w:rsidR="000D0593" w:rsidRPr="005858A5">
              <w:rPr>
                <w:rStyle w:val="Hyperlink"/>
                <w:rFonts w:ascii="Arial" w:hAnsi="Arial" w:cs="Arial"/>
                <w:noProof/>
                <w:lang w:val="es-MX"/>
              </w:rPr>
              <w:t>VIII.</w:t>
            </w:r>
            <w:r w:rsidR="000D0593">
              <w:rPr>
                <w:rFonts w:eastAsiaTheme="minorEastAsia"/>
                <w:noProof/>
              </w:rPr>
              <w:tab/>
            </w:r>
            <w:r w:rsidR="000D0593" w:rsidRPr="005858A5">
              <w:rPr>
                <w:rStyle w:val="Hyperlink"/>
                <w:rFonts w:ascii="Arial" w:hAnsi="Arial" w:cs="Arial"/>
                <w:noProof/>
                <w:lang w:val="es-ES"/>
              </w:rPr>
              <w:t>INDICADORES DE LA EVALUACIÓN ECONÓMICA</w:t>
            </w:r>
            <w:r w:rsidR="000D0593">
              <w:rPr>
                <w:noProof/>
                <w:webHidden/>
              </w:rPr>
              <w:tab/>
            </w:r>
            <w:r w:rsidR="000D0593">
              <w:rPr>
                <w:noProof/>
                <w:webHidden/>
              </w:rPr>
              <w:fldChar w:fldCharType="begin"/>
            </w:r>
            <w:r w:rsidR="000D0593">
              <w:rPr>
                <w:noProof/>
                <w:webHidden/>
              </w:rPr>
              <w:instrText xml:space="preserve"> PAGEREF _Toc520820901 \h </w:instrText>
            </w:r>
            <w:r w:rsidR="000D0593">
              <w:rPr>
                <w:noProof/>
                <w:webHidden/>
              </w:rPr>
            </w:r>
            <w:r w:rsidR="000D0593">
              <w:rPr>
                <w:noProof/>
                <w:webHidden/>
              </w:rPr>
              <w:fldChar w:fldCharType="separate"/>
            </w:r>
            <w:r w:rsidR="000D0593">
              <w:rPr>
                <w:noProof/>
                <w:webHidden/>
              </w:rPr>
              <w:t>15</w:t>
            </w:r>
            <w:r w:rsidR="000D0593">
              <w:rPr>
                <w:noProof/>
                <w:webHidden/>
              </w:rPr>
              <w:fldChar w:fldCharType="end"/>
            </w:r>
          </w:hyperlink>
        </w:p>
        <w:p w:rsidR="000D0593" w:rsidRDefault="00523A9B">
          <w:pPr>
            <w:pStyle w:val="TOC1"/>
            <w:tabs>
              <w:tab w:val="left" w:pos="660"/>
              <w:tab w:val="right" w:leader="dot" w:pos="9394"/>
            </w:tabs>
            <w:rPr>
              <w:rFonts w:eastAsiaTheme="minorEastAsia"/>
              <w:noProof/>
            </w:rPr>
          </w:pPr>
          <w:hyperlink w:anchor="_Toc520820902" w:history="1">
            <w:r w:rsidR="000D0593" w:rsidRPr="005858A5">
              <w:rPr>
                <w:rStyle w:val="Hyperlink"/>
                <w:rFonts w:ascii="Arial" w:hAnsi="Arial" w:cs="Arial"/>
                <w:noProof/>
                <w:lang w:val="es-MX"/>
              </w:rPr>
              <w:t>IX.</w:t>
            </w:r>
            <w:r w:rsidR="000D0593">
              <w:rPr>
                <w:rFonts w:eastAsiaTheme="minorEastAsia"/>
                <w:noProof/>
              </w:rPr>
              <w:tab/>
            </w:r>
            <w:r w:rsidR="000D0593" w:rsidRPr="005858A5">
              <w:rPr>
                <w:rStyle w:val="Hyperlink"/>
                <w:rFonts w:ascii="Arial" w:hAnsi="Arial" w:cs="Arial"/>
                <w:noProof/>
                <w:lang w:val="es-ES"/>
              </w:rPr>
              <w:t>ANÁLISIS DE SENSIBILIDAD</w:t>
            </w:r>
            <w:r w:rsidR="000D0593">
              <w:rPr>
                <w:noProof/>
                <w:webHidden/>
              </w:rPr>
              <w:tab/>
            </w:r>
            <w:r w:rsidR="000D0593">
              <w:rPr>
                <w:noProof/>
                <w:webHidden/>
              </w:rPr>
              <w:fldChar w:fldCharType="begin"/>
            </w:r>
            <w:r w:rsidR="000D0593">
              <w:rPr>
                <w:noProof/>
                <w:webHidden/>
              </w:rPr>
              <w:instrText xml:space="preserve"> PAGEREF _Toc520820902 \h </w:instrText>
            </w:r>
            <w:r w:rsidR="000D0593">
              <w:rPr>
                <w:noProof/>
                <w:webHidden/>
              </w:rPr>
            </w:r>
            <w:r w:rsidR="000D0593">
              <w:rPr>
                <w:noProof/>
                <w:webHidden/>
              </w:rPr>
              <w:fldChar w:fldCharType="separate"/>
            </w:r>
            <w:r w:rsidR="000D0593">
              <w:rPr>
                <w:noProof/>
                <w:webHidden/>
              </w:rPr>
              <w:t>15</w:t>
            </w:r>
            <w:r w:rsidR="000D0593">
              <w:rPr>
                <w:noProof/>
                <w:webHidden/>
              </w:rPr>
              <w:fldChar w:fldCharType="end"/>
            </w:r>
          </w:hyperlink>
        </w:p>
        <w:p w:rsidR="000D0593" w:rsidRDefault="00523A9B">
          <w:pPr>
            <w:pStyle w:val="TOC1"/>
            <w:tabs>
              <w:tab w:val="left" w:pos="440"/>
              <w:tab w:val="right" w:leader="dot" w:pos="9394"/>
            </w:tabs>
            <w:rPr>
              <w:rFonts w:eastAsiaTheme="minorEastAsia"/>
              <w:noProof/>
            </w:rPr>
          </w:pPr>
          <w:hyperlink w:anchor="_Toc520820903" w:history="1">
            <w:r w:rsidR="000D0593" w:rsidRPr="005858A5">
              <w:rPr>
                <w:rStyle w:val="Hyperlink"/>
                <w:rFonts w:ascii="Arial" w:hAnsi="Arial" w:cs="Arial"/>
                <w:noProof/>
                <w:lang w:val="es-MX"/>
              </w:rPr>
              <w:t>X.</w:t>
            </w:r>
            <w:r w:rsidR="000D0593">
              <w:rPr>
                <w:rFonts w:eastAsiaTheme="minorEastAsia"/>
                <w:noProof/>
              </w:rPr>
              <w:tab/>
            </w:r>
            <w:r w:rsidR="000D0593" w:rsidRPr="005858A5">
              <w:rPr>
                <w:rStyle w:val="Hyperlink"/>
                <w:rFonts w:ascii="Arial" w:hAnsi="Arial" w:cs="Arial"/>
                <w:noProof/>
                <w:lang w:val="es-ES"/>
              </w:rPr>
              <w:t>CONCLUSIONES</w:t>
            </w:r>
            <w:r w:rsidR="000D0593">
              <w:rPr>
                <w:noProof/>
                <w:webHidden/>
              </w:rPr>
              <w:tab/>
            </w:r>
            <w:r w:rsidR="000D0593">
              <w:rPr>
                <w:noProof/>
                <w:webHidden/>
              </w:rPr>
              <w:fldChar w:fldCharType="begin"/>
            </w:r>
            <w:r w:rsidR="000D0593">
              <w:rPr>
                <w:noProof/>
                <w:webHidden/>
              </w:rPr>
              <w:instrText xml:space="preserve"> PAGEREF _Toc520820903 \h </w:instrText>
            </w:r>
            <w:r w:rsidR="000D0593">
              <w:rPr>
                <w:noProof/>
                <w:webHidden/>
              </w:rPr>
            </w:r>
            <w:r w:rsidR="000D0593">
              <w:rPr>
                <w:noProof/>
                <w:webHidden/>
              </w:rPr>
              <w:fldChar w:fldCharType="separate"/>
            </w:r>
            <w:r w:rsidR="000D0593">
              <w:rPr>
                <w:noProof/>
                <w:webHidden/>
              </w:rPr>
              <w:t>18</w:t>
            </w:r>
            <w:r w:rsidR="000D0593">
              <w:rPr>
                <w:noProof/>
                <w:webHidden/>
              </w:rPr>
              <w:fldChar w:fldCharType="end"/>
            </w:r>
          </w:hyperlink>
        </w:p>
        <w:p w:rsidR="000D0593" w:rsidRDefault="00523A9B">
          <w:pPr>
            <w:pStyle w:val="TOC1"/>
            <w:tabs>
              <w:tab w:val="left" w:pos="660"/>
              <w:tab w:val="right" w:leader="dot" w:pos="9394"/>
            </w:tabs>
            <w:rPr>
              <w:rFonts w:eastAsiaTheme="minorEastAsia"/>
              <w:noProof/>
            </w:rPr>
          </w:pPr>
          <w:hyperlink w:anchor="_Toc520820904" w:history="1">
            <w:r w:rsidR="000D0593" w:rsidRPr="005858A5">
              <w:rPr>
                <w:rStyle w:val="Hyperlink"/>
                <w:rFonts w:ascii="Arial" w:hAnsi="Arial" w:cs="Arial"/>
                <w:noProof/>
                <w:lang w:val="es-MX"/>
              </w:rPr>
              <w:t>XI.</w:t>
            </w:r>
            <w:r w:rsidR="000D0593">
              <w:rPr>
                <w:rFonts w:eastAsiaTheme="minorEastAsia"/>
                <w:noProof/>
              </w:rPr>
              <w:tab/>
            </w:r>
            <w:r w:rsidR="000D0593" w:rsidRPr="005858A5">
              <w:rPr>
                <w:rStyle w:val="Hyperlink"/>
                <w:rFonts w:ascii="Arial" w:hAnsi="Arial" w:cs="Arial"/>
                <w:noProof/>
                <w:lang w:val="es-ES"/>
              </w:rPr>
              <w:t>REFERENCIAS</w:t>
            </w:r>
            <w:r w:rsidR="000D0593">
              <w:rPr>
                <w:noProof/>
                <w:webHidden/>
              </w:rPr>
              <w:tab/>
            </w:r>
            <w:r w:rsidR="000D0593">
              <w:rPr>
                <w:noProof/>
                <w:webHidden/>
              </w:rPr>
              <w:fldChar w:fldCharType="begin"/>
            </w:r>
            <w:r w:rsidR="000D0593">
              <w:rPr>
                <w:noProof/>
                <w:webHidden/>
              </w:rPr>
              <w:instrText xml:space="preserve"> PAGEREF _Toc520820904 \h </w:instrText>
            </w:r>
            <w:r w:rsidR="000D0593">
              <w:rPr>
                <w:noProof/>
                <w:webHidden/>
              </w:rPr>
            </w:r>
            <w:r w:rsidR="000D0593">
              <w:rPr>
                <w:noProof/>
                <w:webHidden/>
              </w:rPr>
              <w:fldChar w:fldCharType="separate"/>
            </w:r>
            <w:r w:rsidR="000D0593">
              <w:rPr>
                <w:noProof/>
                <w:webHidden/>
              </w:rPr>
              <w:t>18</w:t>
            </w:r>
            <w:r w:rsidR="000D0593">
              <w:rPr>
                <w:noProof/>
                <w:webHidden/>
              </w:rPr>
              <w:fldChar w:fldCharType="end"/>
            </w:r>
          </w:hyperlink>
        </w:p>
        <w:p w:rsidR="00E67E7B" w:rsidRDefault="00E67E7B" w:rsidP="00E67E7B">
          <w:r>
            <w:rPr>
              <w:b/>
              <w:bCs/>
              <w:lang w:val="es-ES"/>
            </w:rPr>
            <w:fldChar w:fldCharType="end"/>
          </w:r>
        </w:p>
      </w:sdtContent>
    </w:sdt>
    <w:p w:rsidR="00E67E7B" w:rsidRDefault="00E67E7B" w:rsidP="00E67E7B">
      <w:pPr>
        <w:spacing w:after="160" w:line="259" w:lineRule="auto"/>
        <w:rPr>
          <w:rFonts w:ascii="Arial" w:hAnsi="Arial" w:cs="Arial"/>
          <w:color w:val="1F4E79" w:themeColor="accent1" w:themeShade="80"/>
          <w:lang w:val="es-ES"/>
        </w:rPr>
      </w:pPr>
      <w:r>
        <w:rPr>
          <w:rFonts w:ascii="Arial" w:hAnsi="Arial" w:cs="Arial"/>
          <w:color w:val="1F4E79" w:themeColor="accent1" w:themeShade="80"/>
          <w:lang w:val="es-ES"/>
        </w:rPr>
        <w:br w:type="page"/>
      </w:r>
    </w:p>
    <w:p w:rsidR="00E67E7B" w:rsidRPr="001D5B2F" w:rsidRDefault="00E67E7B" w:rsidP="00E67E7B">
      <w:pPr>
        <w:pStyle w:val="Heading1"/>
        <w:ind w:left="426" w:hanging="284"/>
        <w:rPr>
          <w:rFonts w:ascii="Arial" w:hAnsi="Arial" w:cs="Arial"/>
          <w:color w:val="1F4E79" w:themeColor="accent1" w:themeShade="80"/>
          <w:lang w:val="es-ES"/>
        </w:rPr>
      </w:pPr>
      <w:bookmarkStart w:id="2" w:name="_Toc520820880"/>
      <w:r w:rsidRPr="001D5B2F">
        <w:rPr>
          <w:rFonts w:ascii="Arial" w:hAnsi="Arial" w:cs="Arial"/>
          <w:color w:val="1F4E79" w:themeColor="accent1" w:themeShade="80"/>
          <w:lang w:val="es-ES"/>
        </w:rPr>
        <w:lastRenderedPageBreak/>
        <w:t>INTRODUCCIÓN</w:t>
      </w:r>
      <w:bookmarkEnd w:id="0"/>
      <w:bookmarkEnd w:id="2"/>
    </w:p>
    <w:p w:rsidR="00E67E7B" w:rsidRPr="00EA6A8C" w:rsidRDefault="00E67E7B" w:rsidP="00E67E7B">
      <w:pPr>
        <w:tabs>
          <w:tab w:val="left" w:pos="2496"/>
        </w:tabs>
        <w:spacing w:before="60" w:after="60"/>
        <w:jc w:val="both"/>
        <w:rPr>
          <w:rFonts w:ascii="Arial" w:hAnsi="Arial" w:cs="Arial"/>
          <w:lang w:val="es-MX"/>
        </w:rPr>
      </w:pPr>
    </w:p>
    <w:p w:rsidR="00E67E7B" w:rsidRDefault="00E67E7B" w:rsidP="00E67E7B">
      <w:pPr>
        <w:tabs>
          <w:tab w:val="left" w:pos="2496"/>
        </w:tabs>
        <w:spacing w:before="60" w:after="60"/>
        <w:jc w:val="both"/>
        <w:rPr>
          <w:rFonts w:ascii="Arial" w:hAnsi="Arial" w:cs="Arial"/>
          <w:lang w:val="es-MX"/>
        </w:rPr>
      </w:pPr>
      <w:r w:rsidRPr="000B5CA5">
        <w:rPr>
          <w:rFonts w:ascii="Arial" w:hAnsi="Arial" w:cs="Arial"/>
          <w:lang w:val="es-MX"/>
        </w:rPr>
        <w:t>El Ministerio de Energías (ME) creado el 22 de enero de 2017, entidad cabeza de sector que formula políticas y normas, a través del Viceministerio de Electricidad y Energías Alternativas (VMEEA) tiene el propósito de impulsar el acceso al servicio eléctrico en el área rural. Para ello se ha creado el Programa Electricidad para Vivir con Dignidad (PEVD), mediante el Decreto Supremo N° 29635 de 9 de julio de 2008 y con ello se han propuesto diversas actividades orientadas a incentivar las inversiones y promover la participación del sector público y privado en la ampliación y operación de sistemas eléctricos en poblaciones menores y en el área rural.</w:t>
      </w:r>
    </w:p>
    <w:p w:rsidR="00E67E7B" w:rsidRPr="00EA6A8C" w:rsidRDefault="00E67E7B" w:rsidP="00E67E7B">
      <w:pPr>
        <w:tabs>
          <w:tab w:val="left" w:pos="2496"/>
        </w:tabs>
        <w:spacing w:before="60" w:after="60"/>
        <w:jc w:val="both"/>
        <w:rPr>
          <w:rFonts w:ascii="Arial" w:hAnsi="Arial" w:cs="Arial"/>
          <w:lang w:val="es-MX"/>
        </w:rPr>
      </w:pPr>
    </w:p>
    <w:p w:rsidR="00E67E7B" w:rsidRDefault="00E67E7B" w:rsidP="00E67E7B">
      <w:pPr>
        <w:tabs>
          <w:tab w:val="left" w:pos="2496"/>
        </w:tabs>
        <w:spacing w:after="0"/>
        <w:jc w:val="both"/>
        <w:rPr>
          <w:rFonts w:ascii="Arial" w:hAnsi="Arial" w:cs="Arial"/>
          <w:lang w:val="es-MX"/>
        </w:rPr>
      </w:pPr>
      <w:r w:rsidRPr="00EF6ADF">
        <w:rPr>
          <w:rFonts w:ascii="Arial" w:hAnsi="Arial" w:cs="Arial"/>
          <w:lang w:val="es-MX"/>
        </w:rPr>
        <w:t xml:space="preserve">En el marco del Plan Nacional de Desarrollo Económico y Social (PDES 2016-2020) del Gobierno de Bolivia (GdB) se plantea el potenciamiento del sector eléctrico en generación para satisfacer la demanda interna y generar excedentes para la exportación, mediante el desarrollo de cambios en la matriz energética con la diversificación de las fuentes de generación a partir del fortalecimiento de energías alternativas y renovables. El PDES, entre otros resultados, espera a 2020: i) ampliar el sistema de transmisión y mejorar la confiabilidad del suministro de energía, mediante la construcción de 4.043 km de nuevas líneas de transmisión, ii) incrementar la generación mediante energías alternativas en 411 MW, iii) alcanzar una cobertura eléctrica del 97% a nivel nacional (100% urbana y 90% rural); y </w:t>
      </w:r>
      <w:r>
        <w:rPr>
          <w:rFonts w:ascii="Arial" w:hAnsi="Arial" w:cs="Arial"/>
          <w:lang w:val="es-MX"/>
        </w:rPr>
        <w:t xml:space="preserve">iv) </w:t>
      </w:r>
      <w:r w:rsidRPr="00EF6ADF">
        <w:rPr>
          <w:rFonts w:ascii="Arial" w:hAnsi="Arial" w:cs="Arial"/>
          <w:lang w:val="es-MX"/>
        </w:rPr>
        <w:t xml:space="preserve">mejorar la eficiencia energética. En este entendido se encuentra en gestión de financiamiento el Programa BO-L1119 de apoyo al sistema de transmisión y eficiencia energética, que será financiado por el BID a través de un Contrato de Préstamo por un monto de </w:t>
      </w:r>
      <w:r>
        <w:rPr>
          <w:rFonts w:ascii="Arial" w:hAnsi="Arial" w:cs="Arial"/>
          <w:lang w:val="es-MX"/>
        </w:rPr>
        <w:t>US</w:t>
      </w:r>
      <w:r w:rsidRPr="00EF6ADF">
        <w:rPr>
          <w:rFonts w:ascii="Arial" w:hAnsi="Arial" w:cs="Arial"/>
          <w:lang w:val="es-MX"/>
        </w:rPr>
        <w:t>$</w:t>
      </w:r>
      <w:r>
        <w:rPr>
          <w:rFonts w:ascii="Arial" w:hAnsi="Arial" w:cs="Arial"/>
          <w:lang w:val="es-MX"/>
        </w:rPr>
        <w:t xml:space="preserve"> </w:t>
      </w:r>
      <w:r w:rsidRPr="00EF6ADF">
        <w:rPr>
          <w:rFonts w:ascii="Arial" w:hAnsi="Arial" w:cs="Arial"/>
          <w:lang w:val="es-MX"/>
        </w:rPr>
        <w:t>75 millones.</w:t>
      </w:r>
    </w:p>
    <w:p w:rsidR="00E67E7B" w:rsidRDefault="00E67E7B" w:rsidP="00E67E7B">
      <w:pPr>
        <w:tabs>
          <w:tab w:val="left" w:pos="2496"/>
        </w:tabs>
        <w:spacing w:after="0"/>
        <w:jc w:val="both"/>
        <w:rPr>
          <w:rFonts w:ascii="Arial" w:hAnsi="Arial" w:cs="Arial"/>
          <w:lang w:val="es-MX"/>
        </w:rPr>
      </w:pPr>
    </w:p>
    <w:p w:rsidR="00E67E7B" w:rsidRDefault="00E67E7B" w:rsidP="00E67E7B">
      <w:pPr>
        <w:tabs>
          <w:tab w:val="left" w:pos="2496"/>
        </w:tabs>
        <w:spacing w:after="0"/>
        <w:jc w:val="both"/>
        <w:rPr>
          <w:rFonts w:ascii="Arial" w:hAnsi="Arial" w:cs="Arial"/>
          <w:lang w:val="es-MX"/>
        </w:rPr>
      </w:pPr>
      <w:r w:rsidRPr="0009338B">
        <w:rPr>
          <w:rFonts w:ascii="Arial" w:hAnsi="Arial" w:cs="Arial"/>
          <w:lang w:val="es-MX"/>
        </w:rPr>
        <w:t>Asimismo, dentro de los objetivos planteados por el Ministerio de Energía, destaca que se debe “Formular, implementar y promover políticas, planes de Eficiencia Energética, que garanticen una producción y consumo racional y sostenible, en armonía con el medio ambiente”.</w:t>
      </w:r>
    </w:p>
    <w:p w:rsidR="00E67E7B" w:rsidRDefault="00E67E7B" w:rsidP="00E67E7B">
      <w:pPr>
        <w:tabs>
          <w:tab w:val="left" w:pos="2496"/>
        </w:tabs>
        <w:spacing w:after="0"/>
        <w:jc w:val="both"/>
        <w:rPr>
          <w:rFonts w:ascii="Arial" w:hAnsi="Arial" w:cs="Arial"/>
          <w:lang w:val="es-MX"/>
        </w:rPr>
      </w:pPr>
    </w:p>
    <w:p w:rsidR="00E67E7B" w:rsidRDefault="00E67E7B" w:rsidP="00E67E7B">
      <w:pPr>
        <w:tabs>
          <w:tab w:val="left" w:pos="2496"/>
        </w:tabs>
        <w:spacing w:after="0"/>
        <w:jc w:val="both"/>
        <w:rPr>
          <w:rFonts w:ascii="Arial" w:hAnsi="Arial" w:cs="Arial"/>
          <w:lang w:val="es-MX"/>
        </w:rPr>
      </w:pPr>
      <w:r>
        <w:rPr>
          <w:rFonts w:ascii="Arial" w:hAnsi="Arial" w:cs="Arial"/>
          <w:lang w:val="es-MX"/>
        </w:rPr>
        <w:t>Una medida adoptada por el gobierno de Bolivia Pro</w:t>
      </w:r>
      <w:r w:rsidRPr="00DD2422">
        <w:rPr>
          <w:rFonts w:ascii="Arial" w:hAnsi="Arial" w:cs="Arial"/>
          <w:lang w:val="es-MX"/>
        </w:rPr>
        <w:t>grama Nacional de Eficiencia Energética, creado mediante el Decreto Supremo Nº 29466, de fecha 5 de marzo de 2008, con la finalidad de establecer políticas y ejecutar proyectos para optimizar el uso racional, eficiente y eficaz de la energía, siendo el marco para la campaña de focos ahorradores efectuada entre marzo del 2008 a abril del 2009, que sustituyó 8.5</w:t>
      </w:r>
      <w:r>
        <w:rPr>
          <w:rFonts w:ascii="Arial" w:hAnsi="Arial" w:cs="Arial"/>
          <w:lang w:val="es-MX"/>
        </w:rPr>
        <w:t xml:space="preserve"> millones de</w:t>
      </w:r>
      <w:r w:rsidRPr="00DD2422">
        <w:rPr>
          <w:rFonts w:ascii="Arial" w:hAnsi="Arial" w:cs="Arial"/>
          <w:lang w:val="es-MX"/>
        </w:rPr>
        <w:t xml:space="preserve"> focos incandescentes por lámparas fluorescentes compactas, </w:t>
      </w:r>
      <w:r>
        <w:rPr>
          <w:rFonts w:ascii="Arial" w:hAnsi="Arial" w:cs="Arial"/>
          <w:lang w:val="es-MX"/>
        </w:rPr>
        <w:t xml:space="preserve">la medida fue </w:t>
      </w:r>
      <w:r w:rsidRPr="00DD2422">
        <w:rPr>
          <w:rFonts w:ascii="Arial" w:hAnsi="Arial" w:cs="Arial"/>
          <w:lang w:val="es-MX"/>
        </w:rPr>
        <w:t xml:space="preserve">implementada en todos los departamentos del país y </w:t>
      </w:r>
      <w:r>
        <w:rPr>
          <w:rFonts w:ascii="Arial" w:hAnsi="Arial" w:cs="Arial"/>
          <w:lang w:val="es-MX"/>
        </w:rPr>
        <w:t xml:space="preserve">permitió la reducción de alrededor de </w:t>
      </w:r>
      <w:r w:rsidRPr="00DD2422">
        <w:rPr>
          <w:rFonts w:ascii="Arial" w:hAnsi="Arial" w:cs="Arial"/>
          <w:lang w:val="es-MX"/>
        </w:rPr>
        <w:t xml:space="preserve">72 MW la demanda en el SIN. </w:t>
      </w:r>
      <w:r>
        <w:rPr>
          <w:rFonts w:ascii="Arial" w:hAnsi="Arial" w:cs="Arial"/>
          <w:lang w:val="es-MX"/>
        </w:rPr>
        <w:t>Entre los años 2011 y 2012, este Programa tuvo una segunda f</w:t>
      </w:r>
      <w:r w:rsidRPr="00DD2422">
        <w:rPr>
          <w:rFonts w:ascii="Arial" w:hAnsi="Arial" w:cs="Arial"/>
          <w:lang w:val="es-MX"/>
        </w:rPr>
        <w:t xml:space="preserve">ase orientada a dar sostenibilidad a la primera campaña, que permitió </w:t>
      </w:r>
      <w:r>
        <w:rPr>
          <w:rFonts w:ascii="Arial" w:hAnsi="Arial" w:cs="Arial"/>
          <w:lang w:val="es-MX"/>
        </w:rPr>
        <w:t xml:space="preserve">una reducción adicional de </w:t>
      </w:r>
      <w:r w:rsidRPr="00DD2422">
        <w:rPr>
          <w:rFonts w:ascii="Arial" w:hAnsi="Arial" w:cs="Arial"/>
          <w:lang w:val="es-MX"/>
        </w:rPr>
        <w:t>17,8 MW.</w:t>
      </w:r>
    </w:p>
    <w:p w:rsidR="00E67E7B" w:rsidRDefault="00E67E7B" w:rsidP="00E67E7B">
      <w:pPr>
        <w:tabs>
          <w:tab w:val="left" w:pos="2496"/>
        </w:tabs>
        <w:spacing w:after="0"/>
        <w:jc w:val="both"/>
        <w:rPr>
          <w:rFonts w:ascii="Arial" w:hAnsi="Arial" w:cs="Arial"/>
          <w:lang w:val="es-MX"/>
        </w:rPr>
      </w:pPr>
    </w:p>
    <w:p w:rsidR="00E67E7B" w:rsidRDefault="00E67E7B" w:rsidP="00E67E7B">
      <w:pPr>
        <w:tabs>
          <w:tab w:val="left" w:pos="2496"/>
        </w:tabs>
        <w:spacing w:after="0"/>
        <w:jc w:val="both"/>
        <w:rPr>
          <w:rFonts w:ascii="Arial" w:hAnsi="Arial" w:cs="Arial"/>
          <w:lang w:val="es-MX"/>
        </w:rPr>
      </w:pPr>
      <w:r>
        <w:rPr>
          <w:rFonts w:ascii="Arial" w:hAnsi="Arial" w:cs="Arial"/>
          <w:lang w:val="es-MX"/>
        </w:rPr>
        <w:t>Actualmente, el alumbrado público tiene un papel importante, no sólo para el desarrollo de las actividades económicas de las ciudades, sino como un factor importante para la seguridad y bienestar de sus habitantes.</w:t>
      </w:r>
    </w:p>
    <w:p w:rsidR="00E67E7B" w:rsidRDefault="00E67E7B" w:rsidP="00E67E7B">
      <w:pPr>
        <w:tabs>
          <w:tab w:val="left" w:pos="2496"/>
        </w:tabs>
        <w:spacing w:after="0"/>
        <w:jc w:val="both"/>
        <w:rPr>
          <w:rFonts w:ascii="Arial" w:hAnsi="Arial" w:cs="Arial"/>
          <w:lang w:val="es-MX"/>
        </w:rPr>
      </w:pPr>
    </w:p>
    <w:p w:rsidR="00E67E7B" w:rsidRDefault="00E67E7B" w:rsidP="00E67E7B">
      <w:pPr>
        <w:tabs>
          <w:tab w:val="left" w:pos="2496"/>
        </w:tabs>
        <w:spacing w:after="0"/>
        <w:jc w:val="both"/>
        <w:rPr>
          <w:rFonts w:ascii="Arial" w:hAnsi="Arial" w:cs="Arial"/>
          <w:lang w:val="es-MX"/>
        </w:rPr>
      </w:pPr>
      <w:r>
        <w:rPr>
          <w:rFonts w:ascii="Arial" w:hAnsi="Arial" w:cs="Arial"/>
          <w:lang w:val="es-MX"/>
        </w:rPr>
        <w:lastRenderedPageBreak/>
        <w:t>Si bien el alumbrado público representa una parte del consumo de energía de las ciudades, en algunos casos, como el de la ciudad de Oruro, este puede representar una parte significativa del presupuesto municipal.</w:t>
      </w:r>
    </w:p>
    <w:p w:rsidR="00E67E7B" w:rsidRDefault="00E67E7B" w:rsidP="00E67E7B">
      <w:pPr>
        <w:tabs>
          <w:tab w:val="left" w:pos="2496"/>
        </w:tabs>
        <w:spacing w:after="0"/>
        <w:jc w:val="both"/>
        <w:rPr>
          <w:rFonts w:ascii="Arial" w:hAnsi="Arial" w:cs="Arial"/>
          <w:lang w:val="es-MX"/>
        </w:rPr>
      </w:pPr>
    </w:p>
    <w:p w:rsidR="00E67E7B" w:rsidRDefault="00E67E7B" w:rsidP="00E67E7B">
      <w:pPr>
        <w:tabs>
          <w:tab w:val="left" w:pos="2496"/>
        </w:tabs>
        <w:spacing w:after="0"/>
        <w:jc w:val="both"/>
        <w:rPr>
          <w:rFonts w:ascii="Arial" w:hAnsi="Arial" w:cs="Arial"/>
          <w:lang w:val="es-MX"/>
        </w:rPr>
      </w:pPr>
      <w:r>
        <w:rPr>
          <w:rFonts w:ascii="Arial" w:hAnsi="Arial" w:cs="Arial"/>
          <w:lang w:val="es-MX"/>
        </w:rPr>
        <w:t>En términos técnicos del sector eléctrico boliviano, el alumbrado público es una carga que tiene una coincidencia del 100% con la demanda máxima, lo que lleva a pensar en la necesidad de trabajar en este aspecto a objeto de reducir dicha demanda y por tanto desplazar nuevas inversiones en generación.</w:t>
      </w:r>
    </w:p>
    <w:p w:rsidR="00E67E7B" w:rsidRDefault="00E67E7B" w:rsidP="00E67E7B">
      <w:pPr>
        <w:tabs>
          <w:tab w:val="left" w:pos="2496"/>
        </w:tabs>
        <w:spacing w:after="0"/>
        <w:jc w:val="both"/>
        <w:rPr>
          <w:rFonts w:ascii="Arial" w:hAnsi="Arial" w:cs="Arial"/>
          <w:lang w:val="es-MX"/>
        </w:rPr>
      </w:pPr>
    </w:p>
    <w:p w:rsidR="00E67E7B" w:rsidRDefault="00E67E7B" w:rsidP="00E67E7B">
      <w:pPr>
        <w:tabs>
          <w:tab w:val="left" w:pos="2496"/>
        </w:tabs>
        <w:spacing w:after="0"/>
        <w:jc w:val="both"/>
        <w:rPr>
          <w:rFonts w:ascii="Arial" w:hAnsi="Arial" w:cs="Arial"/>
          <w:lang w:val="es-MX"/>
        </w:rPr>
      </w:pPr>
      <w:r>
        <w:rPr>
          <w:rFonts w:ascii="Arial" w:hAnsi="Arial" w:cs="Arial"/>
          <w:lang w:val="es-MX"/>
        </w:rPr>
        <w:t>En los últimos años, con el avance de las nuevas tecnologías de iluminación, principalmente los LEDs, que también han llegado al ámbito del alumbrado público, se vislumbran grandes potenciales de ahorro, por lo cual resulta imperativo plantear programas de ahorro energético dirigidos a reducir los gastos municipales en este rubro.</w:t>
      </w:r>
    </w:p>
    <w:p w:rsidR="00E67E7B" w:rsidRDefault="00E67E7B" w:rsidP="00E67E7B">
      <w:pPr>
        <w:tabs>
          <w:tab w:val="left" w:pos="2496"/>
        </w:tabs>
        <w:spacing w:after="0"/>
        <w:jc w:val="both"/>
        <w:rPr>
          <w:rFonts w:ascii="Arial" w:hAnsi="Arial" w:cs="Arial"/>
          <w:lang w:val="es-MX"/>
        </w:rPr>
      </w:pPr>
    </w:p>
    <w:p w:rsidR="00E67E7B" w:rsidRDefault="00E67E7B" w:rsidP="00E67E7B">
      <w:pPr>
        <w:tabs>
          <w:tab w:val="left" w:pos="2496"/>
        </w:tabs>
        <w:spacing w:after="0"/>
        <w:jc w:val="both"/>
        <w:rPr>
          <w:rFonts w:ascii="Arial" w:hAnsi="Arial" w:cs="Arial"/>
          <w:lang w:val="es-MX"/>
        </w:rPr>
      </w:pPr>
      <w:r>
        <w:rPr>
          <w:rFonts w:ascii="Arial" w:hAnsi="Arial" w:cs="Arial"/>
          <w:lang w:val="es-MX"/>
        </w:rPr>
        <w:t>Por tanto, en el marco de los resultados esperados en Eficiencia Energética</w:t>
      </w:r>
      <w:r w:rsidRPr="0009338B">
        <w:rPr>
          <w:rFonts w:ascii="Arial" w:hAnsi="Arial" w:cs="Arial"/>
          <w:lang w:val="es-MX"/>
        </w:rPr>
        <w:t xml:space="preserve">, </w:t>
      </w:r>
      <w:r>
        <w:rPr>
          <w:rFonts w:ascii="Arial" w:hAnsi="Arial" w:cs="Arial"/>
          <w:lang w:val="es-MX"/>
        </w:rPr>
        <w:t>el Banco pretende</w:t>
      </w:r>
      <w:r w:rsidRPr="0009338B">
        <w:rPr>
          <w:rFonts w:ascii="Arial" w:hAnsi="Arial" w:cs="Arial"/>
          <w:lang w:val="es-MX"/>
        </w:rPr>
        <w:t xml:space="preserve"> implementar un proyecto piloto de Eficiencia Energética </w:t>
      </w:r>
      <w:r>
        <w:rPr>
          <w:rFonts w:ascii="Arial" w:hAnsi="Arial" w:cs="Arial"/>
          <w:lang w:val="es-MX"/>
        </w:rPr>
        <w:t xml:space="preserve">para Alumbrado Público </w:t>
      </w:r>
      <w:r w:rsidR="000D0593">
        <w:rPr>
          <w:rFonts w:ascii="Arial" w:hAnsi="Arial" w:cs="Arial"/>
          <w:lang w:val="es-MX"/>
        </w:rPr>
        <w:t>a nivel municipal y para lo cual se seleccionaron dos municipios como la muestra a ser evaluada (</w:t>
      </w:r>
      <w:r w:rsidRPr="0009338B">
        <w:rPr>
          <w:rFonts w:ascii="Arial" w:hAnsi="Arial" w:cs="Arial"/>
          <w:lang w:val="es-MX"/>
        </w:rPr>
        <w:t>Or</w:t>
      </w:r>
      <w:r w:rsidR="000D0593">
        <w:rPr>
          <w:rFonts w:ascii="Arial" w:hAnsi="Arial" w:cs="Arial"/>
          <w:lang w:val="es-MX"/>
        </w:rPr>
        <w:t xml:space="preserve">uro y </w:t>
      </w:r>
      <w:r w:rsidR="00B2280C">
        <w:rPr>
          <w:rFonts w:ascii="Arial" w:hAnsi="Arial" w:cs="Arial"/>
          <w:lang w:val="es-MX"/>
        </w:rPr>
        <w:t>Potosí</w:t>
      </w:r>
      <w:r w:rsidR="000D0593">
        <w:rPr>
          <w:rFonts w:ascii="Arial" w:hAnsi="Arial" w:cs="Arial"/>
          <w:lang w:val="es-MX"/>
        </w:rPr>
        <w:t>). Para ello</w:t>
      </w:r>
      <w:r w:rsidRPr="0009338B">
        <w:rPr>
          <w:rFonts w:ascii="Arial" w:hAnsi="Arial" w:cs="Arial"/>
          <w:lang w:val="es-MX"/>
        </w:rPr>
        <w:t>, en coordinación con el Ministerio de Energía</w:t>
      </w:r>
      <w:r>
        <w:rPr>
          <w:rFonts w:ascii="Arial" w:hAnsi="Arial" w:cs="Arial"/>
          <w:lang w:val="es-MX"/>
        </w:rPr>
        <w:t>s</w:t>
      </w:r>
      <w:r w:rsidRPr="0009338B">
        <w:rPr>
          <w:rFonts w:ascii="Arial" w:hAnsi="Arial" w:cs="Arial"/>
          <w:lang w:val="es-MX"/>
        </w:rPr>
        <w:t xml:space="preserve"> y </w:t>
      </w:r>
      <w:r>
        <w:rPr>
          <w:rFonts w:ascii="Arial" w:hAnsi="Arial" w:cs="Arial"/>
          <w:lang w:val="es-MX"/>
        </w:rPr>
        <w:t xml:space="preserve">las autoridades de los municipios de Oruro y </w:t>
      </w:r>
      <w:r w:rsidR="00B2280C">
        <w:rPr>
          <w:rFonts w:ascii="Arial" w:hAnsi="Arial" w:cs="Arial"/>
          <w:lang w:val="es-MX"/>
        </w:rPr>
        <w:t>Potosí</w:t>
      </w:r>
      <w:r w:rsidRPr="0009338B">
        <w:rPr>
          <w:rFonts w:ascii="Arial" w:hAnsi="Arial" w:cs="Arial"/>
          <w:lang w:val="es-MX"/>
        </w:rPr>
        <w:t xml:space="preserve"> se apoyó el desarrollo de una consultoría para estimar potenciales de ahorro energético, establecer medidas de eficiencia energética y las inversiones para su implementación</w:t>
      </w:r>
      <w:r>
        <w:rPr>
          <w:rFonts w:ascii="Arial" w:hAnsi="Arial" w:cs="Arial"/>
          <w:lang w:val="es-MX"/>
        </w:rPr>
        <w:t>.</w:t>
      </w:r>
    </w:p>
    <w:p w:rsidR="00E67E7B" w:rsidRDefault="00E67E7B" w:rsidP="00E67E7B">
      <w:pPr>
        <w:tabs>
          <w:tab w:val="left" w:pos="2496"/>
        </w:tabs>
        <w:spacing w:after="0"/>
        <w:jc w:val="both"/>
        <w:rPr>
          <w:rFonts w:ascii="Arial" w:hAnsi="Arial" w:cs="Arial"/>
          <w:lang w:val="es-MX"/>
        </w:rPr>
      </w:pPr>
    </w:p>
    <w:p w:rsidR="00E67E7B" w:rsidRPr="001D5B2F" w:rsidRDefault="000D0593" w:rsidP="00E67E7B">
      <w:pPr>
        <w:pStyle w:val="Heading1"/>
        <w:ind w:left="426" w:hanging="284"/>
        <w:rPr>
          <w:rFonts w:ascii="Arial" w:hAnsi="Arial" w:cs="Arial"/>
          <w:color w:val="1F4E79" w:themeColor="accent1" w:themeShade="80"/>
          <w:lang w:val="es-ES"/>
        </w:rPr>
      </w:pPr>
      <w:bookmarkStart w:id="3" w:name="_Toc496735279"/>
      <w:bookmarkStart w:id="4" w:name="_Toc520820881"/>
      <w:r>
        <w:rPr>
          <w:rFonts w:ascii="Arial" w:hAnsi="Arial" w:cs="Arial"/>
          <w:color w:val="1F4E79" w:themeColor="accent1" w:themeShade="80"/>
          <w:lang w:val="es-ES"/>
        </w:rPr>
        <w:t>ANÁLISIS DE LOS MUNICIPIOS DE LA MEUSTRA</w:t>
      </w:r>
      <w:bookmarkEnd w:id="3"/>
      <w:bookmarkEnd w:id="4"/>
    </w:p>
    <w:p w:rsidR="00E67E7B" w:rsidRPr="00AF1601" w:rsidRDefault="00E67E7B" w:rsidP="00E67E7B">
      <w:pPr>
        <w:rPr>
          <w:lang w:val="es-ES"/>
        </w:rPr>
      </w:pPr>
    </w:p>
    <w:p w:rsidR="00E67E7B" w:rsidRPr="00177AC0" w:rsidRDefault="00E67E7B" w:rsidP="00E67E7B">
      <w:pPr>
        <w:pStyle w:val="Heading2"/>
        <w:ind w:left="360"/>
        <w:rPr>
          <w:rFonts w:ascii="Arial" w:hAnsi="Arial" w:cs="Arial"/>
          <w:b/>
          <w:color w:val="1F4E79" w:themeColor="accent1" w:themeShade="80"/>
          <w:sz w:val="24"/>
          <w:lang w:val="es-ES"/>
        </w:rPr>
      </w:pPr>
      <w:bookmarkStart w:id="5" w:name="_Toc520820882"/>
      <w:r w:rsidRPr="00177AC0">
        <w:rPr>
          <w:rFonts w:ascii="Arial" w:hAnsi="Arial" w:cs="Arial"/>
          <w:b/>
          <w:color w:val="1F4E79" w:themeColor="accent1" w:themeShade="80"/>
          <w:sz w:val="24"/>
          <w:lang w:val="es-ES"/>
        </w:rPr>
        <w:t>2.1. Municipio de Oruro</w:t>
      </w:r>
      <w:bookmarkEnd w:id="5"/>
    </w:p>
    <w:p w:rsidR="00E67E7B" w:rsidRDefault="00E67E7B" w:rsidP="00E67E7B">
      <w:pPr>
        <w:tabs>
          <w:tab w:val="left" w:pos="2496"/>
        </w:tabs>
        <w:spacing w:after="0"/>
        <w:jc w:val="both"/>
        <w:rPr>
          <w:rFonts w:ascii="Arial" w:hAnsi="Arial" w:cs="Arial"/>
          <w:lang w:val="es-MX"/>
        </w:rPr>
      </w:pPr>
    </w:p>
    <w:p w:rsidR="00E67E7B" w:rsidRDefault="00E67E7B" w:rsidP="00E67E7B">
      <w:pPr>
        <w:tabs>
          <w:tab w:val="left" w:pos="2496"/>
        </w:tabs>
        <w:spacing w:after="0"/>
        <w:jc w:val="both"/>
        <w:rPr>
          <w:rFonts w:ascii="Arial" w:hAnsi="Arial" w:cs="Arial"/>
          <w:lang w:val="es-MX"/>
        </w:rPr>
      </w:pPr>
      <w:r w:rsidRPr="00E50A57">
        <w:rPr>
          <w:rFonts w:ascii="Arial" w:hAnsi="Arial" w:cs="Arial"/>
          <w:lang w:val="es-MX"/>
        </w:rPr>
        <w:t xml:space="preserve">Oruro es </w:t>
      </w:r>
      <w:r>
        <w:rPr>
          <w:rFonts w:ascii="Arial" w:hAnsi="Arial" w:cs="Arial"/>
          <w:lang w:val="es-MX"/>
        </w:rPr>
        <w:t>la capital del departamento y de la provincia Cercado, ubicada a una altitud de 3.735 m.s.n.m. S</w:t>
      </w:r>
      <w:r w:rsidRPr="00E50A57">
        <w:rPr>
          <w:rFonts w:ascii="Arial" w:hAnsi="Arial" w:cs="Arial"/>
          <w:lang w:val="es-MX"/>
        </w:rPr>
        <w:t>egún datos del INE</w:t>
      </w:r>
      <w:r>
        <w:rPr>
          <w:rFonts w:ascii="Arial" w:hAnsi="Arial" w:cs="Arial"/>
          <w:lang w:val="es-MX"/>
        </w:rPr>
        <w:t xml:space="preserve"> correspondientes al C</w:t>
      </w:r>
      <w:r w:rsidRPr="00E50A57">
        <w:rPr>
          <w:rFonts w:ascii="Arial" w:hAnsi="Arial" w:cs="Arial"/>
          <w:lang w:val="es-MX"/>
        </w:rPr>
        <w:t xml:space="preserve">enso </w:t>
      </w:r>
      <w:r>
        <w:rPr>
          <w:rFonts w:ascii="Arial" w:hAnsi="Arial" w:cs="Arial"/>
          <w:lang w:val="es-MX"/>
        </w:rPr>
        <w:t xml:space="preserve">Nacional de Población y Vivienda </w:t>
      </w:r>
      <w:r w:rsidRPr="00E50A57">
        <w:rPr>
          <w:rFonts w:ascii="Arial" w:hAnsi="Arial" w:cs="Arial"/>
          <w:lang w:val="es-MX"/>
        </w:rPr>
        <w:t>2012</w:t>
      </w:r>
      <w:r>
        <w:rPr>
          <w:rFonts w:ascii="Arial" w:hAnsi="Arial" w:cs="Arial"/>
          <w:lang w:val="es-MX"/>
        </w:rPr>
        <w:t xml:space="preserve">, Oruro tiene una </w:t>
      </w:r>
      <w:r w:rsidRPr="00E50A57">
        <w:rPr>
          <w:rFonts w:ascii="Arial" w:hAnsi="Arial" w:cs="Arial"/>
          <w:lang w:val="es-MX"/>
        </w:rPr>
        <w:t xml:space="preserve">población </w:t>
      </w:r>
      <w:r>
        <w:rPr>
          <w:rFonts w:ascii="Arial" w:hAnsi="Arial" w:cs="Arial"/>
          <w:lang w:val="es-MX"/>
        </w:rPr>
        <w:t>de 264.943</w:t>
      </w:r>
      <w:r w:rsidRPr="00E50A57">
        <w:rPr>
          <w:rFonts w:ascii="Arial" w:hAnsi="Arial" w:cs="Arial"/>
          <w:lang w:val="es-MX"/>
        </w:rPr>
        <w:t xml:space="preserve"> habitantes.</w:t>
      </w:r>
      <w:r>
        <w:rPr>
          <w:rFonts w:ascii="Arial" w:hAnsi="Arial" w:cs="Arial"/>
          <w:lang w:val="es-MX"/>
        </w:rPr>
        <w:t xml:space="preserve"> </w:t>
      </w:r>
    </w:p>
    <w:p w:rsidR="00E67E7B" w:rsidRDefault="00E67E7B" w:rsidP="00E67E7B">
      <w:pPr>
        <w:tabs>
          <w:tab w:val="left" w:pos="2496"/>
        </w:tabs>
        <w:spacing w:after="0"/>
        <w:jc w:val="both"/>
        <w:rPr>
          <w:rFonts w:ascii="Arial" w:hAnsi="Arial" w:cs="Arial"/>
          <w:lang w:val="es-MX"/>
        </w:rPr>
      </w:pPr>
    </w:p>
    <w:p w:rsidR="00E67E7B" w:rsidRDefault="00E67E7B" w:rsidP="00E67E7B">
      <w:pPr>
        <w:tabs>
          <w:tab w:val="left" w:pos="2496"/>
        </w:tabs>
        <w:spacing w:after="0"/>
        <w:jc w:val="both"/>
        <w:rPr>
          <w:rFonts w:ascii="Arial" w:hAnsi="Arial" w:cs="Arial"/>
          <w:lang w:val="es-MX"/>
        </w:rPr>
      </w:pPr>
      <w:r>
        <w:rPr>
          <w:rFonts w:ascii="Arial" w:hAnsi="Arial" w:cs="Arial"/>
          <w:lang w:val="es-MX"/>
        </w:rPr>
        <w:t xml:space="preserve">De acuerdo a la Ley de Municipalidades </w:t>
      </w:r>
      <w:r w:rsidRPr="00EE2E3A">
        <w:rPr>
          <w:rFonts w:ascii="Arial" w:hAnsi="Arial" w:cs="Arial"/>
          <w:lang w:val="es-MX"/>
        </w:rPr>
        <w:t>Nº 2028</w:t>
      </w:r>
      <w:r>
        <w:rPr>
          <w:rFonts w:ascii="Arial" w:hAnsi="Arial" w:cs="Arial"/>
          <w:lang w:val="es-MX"/>
        </w:rPr>
        <w:t xml:space="preserve"> de</w:t>
      </w:r>
      <w:r w:rsidRPr="00EE2E3A">
        <w:rPr>
          <w:rFonts w:ascii="Arial" w:hAnsi="Arial" w:cs="Arial"/>
          <w:lang w:val="es-MX"/>
        </w:rPr>
        <w:t xml:space="preserve"> 28 </w:t>
      </w:r>
      <w:r>
        <w:rPr>
          <w:rFonts w:ascii="Arial" w:hAnsi="Arial" w:cs="Arial"/>
          <w:lang w:val="es-MX"/>
        </w:rPr>
        <w:t>de</w:t>
      </w:r>
      <w:r w:rsidRPr="00EE2E3A">
        <w:rPr>
          <w:rFonts w:ascii="Arial" w:hAnsi="Arial" w:cs="Arial"/>
          <w:lang w:val="es-MX"/>
        </w:rPr>
        <w:t xml:space="preserve"> </w:t>
      </w:r>
      <w:r>
        <w:rPr>
          <w:rFonts w:ascii="Arial" w:hAnsi="Arial" w:cs="Arial"/>
          <w:lang w:val="es-MX"/>
        </w:rPr>
        <w:t>octubre de</w:t>
      </w:r>
      <w:r w:rsidRPr="00EE2E3A">
        <w:rPr>
          <w:rFonts w:ascii="Arial" w:hAnsi="Arial" w:cs="Arial"/>
          <w:lang w:val="es-MX"/>
        </w:rPr>
        <w:t xml:space="preserve"> 1999</w:t>
      </w:r>
      <w:r>
        <w:rPr>
          <w:rFonts w:ascii="Arial" w:hAnsi="Arial" w:cs="Arial"/>
          <w:lang w:val="es-MX"/>
        </w:rPr>
        <w:t>,</w:t>
      </w:r>
      <w:r w:rsidRPr="00974552">
        <w:rPr>
          <w:rFonts w:ascii="Arial" w:hAnsi="Arial" w:cs="Arial"/>
          <w:lang w:val="es-MX"/>
        </w:rPr>
        <w:t xml:space="preserve"> </w:t>
      </w:r>
      <w:r>
        <w:rPr>
          <w:rFonts w:ascii="Arial" w:hAnsi="Arial" w:cs="Arial"/>
          <w:lang w:val="es-MX"/>
        </w:rPr>
        <w:t>el sistema de alumbrado público de la ciudad es responsabilidad del Gobierno Municipal.</w:t>
      </w:r>
    </w:p>
    <w:p w:rsidR="00E67E7B" w:rsidRDefault="00E67E7B" w:rsidP="00E67E7B">
      <w:pPr>
        <w:tabs>
          <w:tab w:val="left" w:pos="2496"/>
        </w:tabs>
        <w:spacing w:after="0"/>
        <w:jc w:val="both"/>
        <w:rPr>
          <w:rFonts w:ascii="Arial" w:hAnsi="Arial" w:cs="Arial"/>
          <w:lang w:val="es-MX"/>
        </w:rPr>
      </w:pPr>
    </w:p>
    <w:p w:rsidR="00E67E7B" w:rsidRPr="00177AC0" w:rsidRDefault="00E67E7B" w:rsidP="00E67E7B">
      <w:pPr>
        <w:pStyle w:val="Heading3"/>
        <w:ind w:firstLine="708"/>
        <w:jc w:val="both"/>
        <w:rPr>
          <w:rFonts w:ascii="Arial" w:hAnsi="Arial" w:cs="Arial"/>
          <w:b/>
          <w:i/>
          <w:color w:val="1F4E79" w:themeColor="accent1" w:themeShade="80"/>
          <w:sz w:val="22"/>
          <w:lang w:val="es-ES"/>
        </w:rPr>
      </w:pPr>
      <w:bookmarkStart w:id="6" w:name="_Toc520820883"/>
      <w:r w:rsidRPr="00177AC0">
        <w:rPr>
          <w:rFonts w:ascii="Arial" w:hAnsi="Arial" w:cs="Arial"/>
          <w:b/>
          <w:i/>
          <w:color w:val="1F4E79" w:themeColor="accent1" w:themeShade="80"/>
          <w:sz w:val="22"/>
          <w:lang w:val="es-ES"/>
        </w:rPr>
        <w:t>2.1.1. Gasto Energético Municipal - Oruro</w:t>
      </w:r>
      <w:bookmarkEnd w:id="6"/>
    </w:p>
    <w:p w:rsidR="00E67E7B" w:rsidRDefault="00E67E7B" w:rsidP="00E67E7B">
      <w:pPr>
        <w:tabs>
          <w:tab w:val="left" w:pos="2496"/>
        </w:tabs>
        <w:spacing w:after="0"/>
        <w:jc w:val="both"/>
        <w:rPr>
          <w:rFonts w:ascii="Arial" w:hAnsi="Arial" w:cs="Arial"/>
          <w:lang w:val="es-MX"/>
        </w:rPr>
      </w:pPr>
    </w:p>
    <w:p w:rsidR="00E67E7B" w:rsidRDefault="00E67E7B" w:rsidP="00E67E7B">
      <w:pPr>
        <w:jc w:val="both"/>
        <w:rPr>
          <w:rFonts w:ascii="Arial" w:hAnsi="Arial" w:cs="Arial"/>
          <w:lang w:val="es-ES"/>
        </w:rPr>
      </w:pPr>
      <w:r>
        <w:rPr>
          <w:rFonts w:ascii="Arial" w:hAnsi="Arial" w:cs="Arial"/>
          <w:lang w:val="es-ES"/>
        </w:rPr>
        <w:t>Respecto al gasto municipal en energía eléctrica</w:t>
      </w:r>
      <w:r w:rsidRPr="008A0B38">
        <w:rPr>
          <w:rFonts w:ascii="Arial" w:hAnsi="Arial" w:cs="Arial"/>
          <w:lang w:val="es-ES"/>
        </w:rPr>
        <w:t xml:space="preserve"> </w:t>
      </w:r>
      <w:r>
        <w:rPr>
          <w:rFonts w:ascii="Arial" w:hAnsi="Arial" w:cs="Arial"/>
          <w:lang w:val="es-ES"/>
        </w:rPr>
        <w:t xml:space="preserve">de Oruro, este alcanzó los Bs 33.39 millones en el año </w:t>
      </w:r>
      <w:r w:rsidRPr="00497061">
        <w:rPr>
          <w:rFonts w:ascii="Arial" w:hAnsi="Arial" w:cs="Arial"/>
          <w:lang w:val="es-ES"/>
        </w:rPr>
        <w:t>2016.</w:t>
      </w:r>
      <w:r>
        <w:rPr>
          <w:rFonts w:ascii="Arial" w:hAnsi="Arial" w:cs="Arial"/>
          <w:lang w:val="es-ES"/>
        </w:rPr>
        <w:t xml:space="preserve"> El principal componente corresponde al gasto del sistema de alumbrado público que representa el 85% del total, seguido por las estaciones elevadoras de agua potable que corresponden el 5%, y las unidades educativas el 2%. Otras infraestructuras como mercados, semáforos, despachos, secretarias municipales, áreas verdes, parques, entre otras, representan el 5%. La figura 1 muestra la distribución de gastos energéticos de la alcaldía de Oruro.</w:t>
      </w:r>
    </w:p>
    <w:p w:rsidR="00E67E7B" w:rsidRDefault="00E67E7B" w:rsidP="00E67E7B">
      <w:pPr>
        <w:rPr>
          <w:rFonts w:ascii="Arial" w:hAnsi="Arial" w:cs="Arial"/>
          <w:lang w:val="es-ES"/>
        </w:rPr>
      </w:pPr>
    </w:p>
    <w:p w:rsidR="00E67E7B" w:rsidRDefault="00E67E7B" w:rsidP="00E67E7B">
      <w:pPr>
        <w:jc w:val="center"/>
        <w:rPr>
          <w:lang w:val="es-419"/>
        </w:rPr>
      </w:pPr>
      <w:r>
        <w:rPr>
          <w:noProof/>
          <w:lang w:val="es-419" w:eastAsia="es-419"/>
        </w:rPr>
        <w:drawing>
          <wp:inline distT="0" distB="0" distL="0" distR="0" wp14:anchorId="707B4E7C" wp14:editId="457EEF98">
            <wp:extent cx="4584700" cy="2755900"/>
            <wp:effectExtent l="0" t="0" r="635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E67E7B" w:rsidRDefault="00E67E7B" w:rsidP="00E67E7B">
      <w:pPr>
        <w:jc w:val="center"/>
        <w:rPr>
          <w:rFonts w:ascii="Arial" w:hAnsi="Arial" w:cs="Arial"/>
          <w:color w:val="000000" w:themeColor="text1"/>
          <w:sz w:val="20"/>
          <w:lang w:val="es-419"/>
        </w:rPr>
      </w:pPr>
      <w:r>
        <w:rPr>
          <w:rFonts w:ascii="Arial" w:hAnsi="Arial" w:cs="Arial"/>
          <w:b/>
          <w:color w:val="000000" w:themeColor="text1"/>
          <w:sz w:val="20"/>
          <w:lang w:val="es-419"/>
        </w:rPr>
        <w:t>Fig.</w:t>
      </w:r>
      <w:r w:rsidRPr="000A2F04">
        <w:rPr>
          <w:rFonts w:ascii="Arial" w:hAnsi="Arial" w:cs="Arial"/>
          <w:b/>
          <w:color w:val="000000" w:themeColor="text1"/>
          <w:sz w:val="20"/>
          <w:lang w:val="es-419"/>
        </w:rPr>
        <w:t xml:space="preserve"> 1:</w:t>
      </w:r>
      <w:r w:rsidRPr="000A2F04">
        <w:rPr>
          <w:rFonts w:ascii="Arial" w:hAnsi="Arial" w:cs="Arial"/>
          <w:color w:val="000000" w:themeColor="text1"/>
          <w:sz w:val="20"/>
          <w:lang w:val="es-419"/>
        </w:rPr>
        <w:t xml:space="preserve"> </w:t>
      </w:r>
      <w:r>
        <w:rPr>
          <w:rFonts w:ascii="Arial" w:hAnsi="Arial" w:cs="Arial"/>
          <w:color w:val="000000" w:themeColor="text1"/>
          <w:sz w:val="20"/>
          <w:lang w:val="es-419"/>
        </w:rPr>
        <w:t xml:space="preserve">Gastos municipales por consumo de energía eléctrica de </w:t>
      </w:r>
      <w:r w:rsidRPr="00497061">
        <w:rPr>
          <w:rFonts w:ascii="Arial" w:hAnsi="Arial" w:cs="Arial"/>
          <w:color w:val="000000" w:themeColor="text1"/>
          <w:sz w:val="20"/>
          <w:lang w:val="es-419"/>
        </w:rPr>
        <w:t>Oruro (2016)</w:t>
      </w:r>
    </w:p>
    <w:p w:rsidR="00E67E7B" w:rsidRDefault="00E67E7B" w:rsidP="00E67E7B">
      <w:pPr>
        <w:jc w:val="center"/>
        <w:rPr>
          <w:lang w:val="es-419"/>
        </w:rPr>
      </w:pPr>
    </w:p>
    <w:p w:rsidR="00E67E7B" w:rsidRPr="00177AC0" w:rsidRDefault="00E67E7B" w:rsidP="00E67E7B">
      <w:pPr>
        <w:pStyle w:val="Heading3"/>
        <w:ind w:firstLine="708"/>
        <w:rPr>
          <w:rFonts w:ascii="Arial" w:hAnsi="Arial" w:cs="Arial"/>
          <w:b/>
          <w:i/>
          <w:color w:val="1F4E79" w:themeColor="accent1" w:themeShade="80"/>
          <w:sz w:val="22"/>
          <w:lang w:val="es-ES"/>
        </w:rPr>
      </w:pPr>
      <w:bookmarkStart w:id="7" w:name="_Toc520820884"/>
      <w:r w:rsidRPr="00177AC0">
        <w:rPr>
          <w:rFonts w:ascii="Arial" w:hAnsi="Arial" w:cs="Arial"/>
          <w:b/>
          <w:i/>
          <w:color w:val="1F4E79" w:themeColor="accent1" w:themeShade="80"/>
          <w:sz w:val="22"/>
          <w:lang w:val="es-ES"/>
        </w:rPr>
        <w:t>2.1.1. Sistema de Alumbrado Público - Oruro</w:t>
      </w:r>
      <w:bookmarkEnd w:id="7"/>
      <w:r w:rsidRPr="00177AC0">
        <w:rPr>
          <w:rFonts w:ascii="Arial" w:hAnsi="Arial" w:cs="Arial"/>
          <w:b/>
          <w:i/>
          <w:color w:val="1F4E79" w:themeColor="accent1" w:themeShade="80"/>
          <w:sz w:val="22"/>
          <w:lang w:val="es-ES"/>
        </w:rPr>
        <w:t xml:space="preserve"> </w:t>
      </w:r>
    </w:p>
    <w:p w:rsidR="00E67E7B" w:rsidRDefault="00E67E7B" w:rsidP="00E67E7B">
      <w:pPr>
        <w:jc w:val="both"/>
        <w:rPr>
          <w:rFonts w:ascii="Arial" w:hAnsi="Arial" w:cs="Arial"/>
          <w:lang w:val="es-419"/>
        </w:rPr>
      </w:pPr>
    </w:p>
    <w:p w:rsidR="00E67E7B" w:rsidRDefault="00E67E7B" w:rsidP="00E67E7B">
      <w:pPr>
        <w:jc w:val="both"/>
        <w:rPr>
          <w:rFonts w:ascii="Arial" w:hAnsi="Arial" w:cs="Arial"/>
          <w:color w:val="000000" w:themeColor="text1"/>
          <w:lang w:val="es-419"/>
        </w:rPr>
      </w:pPr>
      <w:r w:rsidRPr="00AF1601">
        <w:rPr>
          <w:rFonts w:ascii="Arial" w:hAnsi="Arial" w:cs="Arial"/>
          <w:lang w:val="es-419"/>
        </w:rPr>
        <w:t xml:space="preserve">De acuerdo al censo de </w:t>
      </w:r>
      <w:r>
        <w:rPr>
          <w:rFonts w:ascii="Arial" w:hAnsi="Arial" w:cs="Arial"/>
          <w:lang w:val="es-419"/>
        </w:rPr>
        <w:t>a</w:t>
      </w:r>
      <w:r w:rsidRPr="00AF1601">
        <w:rPr>
          <w:rFonts w:ascii="Arial" w:hAnsi="Arial" w:cs="Arial"/>
          <w:lang w:val="es-419"/>
        </w:rPr>
        <w:t xml:space="preserve">lumbrado </w:t>
      </w:r>
      <w:r>
        <w:rPr>
          <w:rFonts w:ascii="Arial" w:hAnsi="Arial" w:cs="Arial"/>
          <w:lang w:val="es-419"/>
        </w:rPr>
        <w:t>p</w:t>
      </w:r>
      <w:r w:rsidRPr="00AF1601">
        <w:rPr>
          <w:rFonts w:ascii="Arial" w:hAnsi="Arial" w:cs="Arial"/>
          <w:lang w:val="es-419"/>
        </w:rPr>
        <w:t xml:space="preserve">úblico </w:t>
      </w:r>
      <w:r>
        <w:rPr>
          <w:rFonts w:ascii="Arial" w:hAnsi="Arial" w:cs="Arial"/>
          <w:lang w:val="es-419"/>
        </w:rPr>
        <w:t xml:space="preserve">del </w:t>
      </w:r>
      <w:r w:rsidRPr="00AF1601">
        <w:rPr>
          <w:rFonts w:ascii="Arial" w:hAnsi="Arial" w:cs="Arial"/>
          <w:lang w:val="es-419"/>
        </w:rPr>
        <w:t xml:space="preserve">Municipio de Oruro, realizado por la Empresa Nacional de Electricidad (ENDE) y de conformidad con el </w:t>
      </w:r>
      <w:r>
        <w:rPr>
          <w:rFonts w:ascii="Arial" w:hAnsi="Arial" w:cs="Arial"/>
          <w:lang w:val="es-419"/>
        </w:rPr>
        <w:t>Gobierno Municipal</w:t>
      </w:r>
      <w:r w:rsidRPr="00AF1601">
        <w:rPr>
          <w:rFonts w:ascii="Arial" w:hAnsi="Arial" w:cs="Arial"/>
          <w:lang w:val="es-419"/>
        </w:rPr>
        <w:t xml:space="preserve"> de Oruro, al </w:t>
      </w:r>
      <w:r>
        <w:rPr>
          <w:rFonts w:ascii="Arial" w:hAnsi="Arial" w:cs="Arial"/>
          <w:lang w:val="es-419"/>
        </w:rPr>
        <w:t>final de la gestión</w:t>
      </w:r>
      <w:r w:rsidRPr="00AF1601">
        <w:rPr>
          <w:rFonts w:ascii="Arial" w:hAnsi="Arial" w:cs="Arial"/>
          <w:lang w:val="es-419"/>
        </w:rPr>
        <w:t xml:space="preserve"> 2016, se establece que existen un total de </w:t>
      </w:r>
      <w:r w:rsidRPr="00AF1601">
        <w:rPr>
          <w:rFonts w:ascii="Arial" w:hAnsi="Arial" w:cs="Arial"/>
          <w:color w:val="000000" w:themeColor="text1"/>
          <w:lang w:val="es-419"/>
        </w:rPr>
        <w:t xml:space="preserve">30,839 lámparas </w:t>
      </w:r>
      <w:r w:rsidRPr="00AF1601">
        <w:rPr>
          <w:rFonts w:ascii="Arial" w:hAnsi="Arial" w:cs="Arial"/>
          <w:lang w:val="es-419"/>
        </w:rPr>
        <w:t xml:space="preserve">para el </w:t>
      </w:r>
      <w:r>
        <w:rPr>
          <w:rFonts w:ascii="Arial" w:hAnsi="Arial" w:cs="Arial"/>
          <w:lang w:val="es-419"/>
        </w:rPr>
        <w:t>a</w:t>
      </w:r>
      <w:r w:rsidRPr="00AF1601">
        <w:rPr>
          <w:rFonts w:ascii="Arial" w:hAnsi="Arial" w:cs="Arial"/>
          <w:lang w:val="es-419"/>
        </w:rPr>
        <w:t xml:space="preserve">lumbrado </w:t>
      </w:r>
      <w:r>
        <w:rPr>
          <w:rFonts w:ascii="Arial" w:hAnsi="Arial" w:cs="Arial"/>
          <w:lang w:val="es-419"/>
        </w:rPr>
        <w:t>p</w:t>
      </w:r>
      <w:r w:rsidRPr="00AF1601">
        <w:rPr>
          <w:rFonts w:ascii="Arial" w:hAnsi="Arial" w:cs="Arial"/>
          <w:lang w:val="es-419"/>
        </w:rPr>
        <w:t xml:space="preserve">úblico, con una carga total conectada de </w:t>
      </w:r>
      <w:r>
        <w:rPr>
          <w:rFonts w:ascii="Arial" w:hAnsi="Arial" w:cs="Arial"/>
          <w:color w:val="000000" w:themeColor="text1"/>
          <w:lang w:val="es-419"/>
        </w:rPr>
        <w:t>5,670</w:t>
      </w:r>
      <w:r w:rsidRPr="00AF1601">
        <w:rPr>
          <w:rFonts w:ascii="Arial" w:hAnsi="Arial" w:cs="Arial"/>
          <w:color w:val="000000" w:themeColor="text1"/>
          <w:lang w:val="es-419"/>
        </w:rPr>
        <w:t xml:space="preserve"> kW y un consumo de 2,164 KWh/mes, el promedio de horas de operación de las luminarias son de 12 horas al día.</w:t>
      </w:r>
    </w:p>
    <w:p w:rsidR="00E67E7B" w:rsidRDefault="00E67E7B" w:rsidP="00E67E7B">
      <w:pPr>
        <w:jc w:val="center"/>
        <w:rPr>
          <w:rFonts w:ascii="Arial" w:hAnsi="Arial" w:cs="Arial"/>
          <w:color w:val="000000" w:themeColor="text1"/>
          <w:sz w:val="20"/>
          <w:lang w:val="es-419"/>
        </w:rPr>
      </w:pPr>
      <w:r w:rsidRPr="000A2F04">
        <w:rPr>
          <w:rFonts w:ascii="Arial" w:hAnsi="Arial" w:cs="Arial"/>
          <w:b/>
          <w:color w:val="000000" w:themeColor="text1"/>
          <w:sz w:val="20"/>
          <w:lang w:val="es-419"/>
        </w:rPr>
        <w:t>Tabla 1:</w:t>
      </w:r>
      <w:r w:rsidRPr="000A2F04">
        <w:rPr>
          <w:rFonts w:ascii="Arial" w:hAnsi="Arial" w:cs="Arial"/>
          <w:color w:val="000000" w:themeColor="text1"/>
          <w:sz w:val="20"/>
          <w:lang w:val="es-419"/>
        </w:rPr>
        <w:t xml:space="preserve"> Tipos de lámparas y potencia en el sistema de alumbrado público de Oruro</w:t>
      </w:r>
    </w:p>
    <w:tbl>
      <w:tblPr>
        <w:tblW w:w="8020" w:type="dxa"/>
        <w:jc w:val="center"/>
        <w:tblCellMar>
          <w:left w:w="70" w:type="dxa"/>
          <w:right w:w="70" w:type="dxa"/>
        </w:tblCellMar>
        <w:tblLook w:val="04A0" w:firstRow="1" w:lastRow="0" w:firstColumn="1" w:lastColumn="0" w:noHBand="0" w:noVBand="1"/>
      </w:tblPr>
      <w:tblGrid>
        <w:gridCol w:w="1560"/>
        <w:gridCol w:w="1440"/>
        <w:gridCol w:w="940"/>
        <w:gridCol w:w="1400"/>
        <w:gridCol w:w="2680"/>
      </w:tblGrid>
      <w:tr w:rsidR="00E67E7B" w:rsidRPr="00237E6C" w:rsidTr="005E3B54">
        <w:trPr>
          <w:trHeight w:val="407"/>
          <w:jc w:val="center"/>
        </w:trPr>
        <w:tc>
          <w:tcPr>
            <w:tcW w:w="1560" w:type="dxa"/>
            <w:tcBorders>
              <w:top w:val="single" w:sz="8" w:space="0" w:color="auto"/>
              <w:left w:val="single" w:sz="8" w:space="0" w:color="auto"/>
              <w:bottom w:val="single" w:sz="8" w:space="0" w:color="auto"/>
              <w:right w:val="single" w:sz="8" w:space="0" w:color="auto"/>
            </w:tcBorders>
            <w:shd w:val="clear" w:color="auto" w:fill="006699"/>
            <w:noWrap/>
            <w:vAlign w:val="center"/>
            <w:hideMark/>
          </w:tcPr>
          <w:p w:rsidR="00E67E7B" w:rsidRPr="00EF0A67" w:rsidRDefault="00E67E7B" w:rsidP="005E3B54">
            <w:pPr>
              <w:spacing w:after="0" w:line="240" w:lineRule="auto"/>
              <w:ind w:firstLineChars="100" w:firstLine="181"/>
              <w:rPr>
                <w:rFonts w:ascii="Arial" w:eastAsia="Times New Roman" w:hAnsi="Arial" w:cs="Arial"/>
                <w:b/>
                <w:bCs/>
                <w:color w:val="FFFFFF" w:themeColor="background1"/>
                <w:sz w:val="18"/>
                <w:szCs w:val="20"/>
                <w:lang w:val="es-419" w:eastAsia="es-419"/>
              </w:rPr>
            </w:pPr>
            <w:r w:rsidRPr="00EF0A67">
              <w:rPr>
                <w:rFonts w:ascii="Arial" w:eastAsia="Times New Roman" w:hAnsi="Arial" w:cs="Arial"/>
                <w:b/>
                <w:bCs/>
                <w:color w:val="FFFFFF" w:themeColor="background1"/>
                <w:sz w:val="18"/>
                <w:szCs w:val="20"/>
                <w:lang w:val="es-419" w:eastAsia="es-419"/>
              </w:rPr>
              <w:t>Tipo</w:t>
            </w:r>
          </w:p>
        </w:tc>
        <w:tc>
          <w:tcPr>
            <w:tcW w:w="1440" w:type="dxa"/>
            <w:tcBorders>
              <w:top w:val="single" w:sz="8" w:space="0" w:color="auto"/>
              <w:left w:val="nil"/>
              <w:bottom w:val="single" w:sz="8" w:space="0" w:color="auto"/>
              <w:right w:val="single" w:sz="8" w:space="0" w:color="auto"/>
            </w:tcBorders>
            <w:shd w:val="clear" w:color="auto" w:fill="006699"/>
            <w:vAlign w:val="center"/>
            <w:hideMark/>
          </w:tcPr>
          <w:p w:rsidR="00E67E7B" w:rsidRPr="00EF0A67" w:rsidRDefault="00E67E7B" w:rsidP="005E3B54">
            <w:pPr>
              <w:spacing w:after="0" w:line="240" w:lineRule="auto"/>
              <w:jc w:val="center"/>
              <w:rPr>
                <w:rFonts w:ascii="Arial" w:eastAsia="Times New Roman" w:hAnsi="Arial" w:cs="Arial"/>
                <w:b/>
                <w:bCs/>
                <w:color w:val="FFFFFF" w:themeColor="background1"/>
                <w:sz w:val="18"/>
                <w:szCs w:val="20"/>
                <w:lang w:val="es-419" w:eastAsia="es-419"/>
              </w:rPr>
            </w:pPr>
            <w:r w:rsidRPr="00EF0A67">
              <w:rPr>
                <w:rFonts w:ascii="Arial" w:eastAsia="Times New Roman" w:hAnsi="Arial" w:cs="Arial"/>
                <w:b/>
                <w:bCs/>
                <w:color w:val="FFFFFF" w:themeColor="background1"/>
                <w:sz w:val="18"/>
                <w:szCs w:val="20"/>
                <w:lang w:val="es-419" w:eastAsia="es-419"/>
              </w:rPr>
              <w:t>Potencia (W)</w:t>
            </w:r>
          </w:p>
        </w:tc>
        <w:tc>
          <w:tcPr>
            <w:tcW w:w="940" w:type="dxa"/>
            <w:tcBorders>
              <w:top w:val="single" w:sz="8" w:space="0" w:color="auto"/>
              <w:left w:val="nil"/>
              <w:bottom w:val="single" w:sz="8" w:space="0" w:color="auto"/>
              <w:right w:val="single" w:sz="8" w:space="0" w:color="auto"/>
            </w:tcBorders>
            <w:shd w:val="clear" w:color="auto" w:fill="006699"/>
            <w:noWrap/>
            <w:vAlign w:val="center"/>
            <w:hideMark/>
          </w:tcPr>
          <w:p w:rsidR="00E67E7B" w:rsidRPr="00EF0A67" w:rsidRDefault="00E67E7B" w:rsidP="005E3B54">
            <w:pPr>
              <w:spacing w:after="0" w:line="240" w:lineRule="auto"/>
              <w:jc w:val="center"/>
              <w:rPr>
                <w:rFonts w:ascii="Arial" w:eastAsia="Times New Roman" w:hAnsi="Arial" w:cs="Arial"/>
                <w:b/>
                <w:bCs/>
                <w:color w:val="FFFFFF" w:themeColor="background1"/>
                <w:sz w:val="18"/>
                <w:szCs w:val="20"/>
                <w:lang w:val="es-419" w:eastAsia="es-419"/>
              </w:rPr>
            </w:pPr>
            <w:r w:rsidRPr="00EF0A67">
              <w:rPr>
                <w:rFonts w:ascii="Arial" w:eastAsia="Times New Roman" w:hAnsi="Arial" w:cs="Arial"/>
                <w:b/>
                <w:bCs/>
                <w:color w:val="FFFFFF" w:themeColor="background1"/>
                <w:sz w:val="18"/>
                <w:szCs w:val="20"/>
                <w:lang w:val="es-419" w:eastAsia="es-419"/>
              </w:rPr>
              <w:t>Cantidad</w:t>
            </w:r>
          </w:p>
        </w:tc>
        <w:tc>
          <w:tcPr>
            <w:tcW w:w="1400" w:type="dxa"/>
            <w:tcBorders>
              <w:top w:val="single" w:sz="8" w:space="0" w:color="auto"/>
              <w:left w:val="nil"/>
              <w:bottom w:val="single" w:sz="8" w:space="0" w:color="auto"/>
              <w:right w:val="single" w:sz="8" w:space="0" w:color="auto"/>
            </w:tcBorders>
            <w:shd w:val="clear" w:color="auto" w:fill="006699"/>
            <w:noWrap/>
            <w:vAlign w:val="center"/>
            <w:hideMark/>
          </w:tcPr>
          <w:p w:rsidR="00E67E7B" w:rsidRPr="00EF0A67" w:rsidRDefault="00E67E7B" w:rsidP="005E3B54">
            <w:pPr>
              <w:spacing w:after="0" w:line="240" w:lineRule="auto"/>
              <w:jc w:val="center"/>
              <w:rPr>
                <w:rFonts w:ascii="Arial" w:eastAsia="Times New Roman" w:hAnsi="Arial" w:cs="Arial"/>
                <w:b/>
                <w:bCs/>
                <w:color w:val="FFFFFF" w:themeColor="background1"/>
                <w:sz w:val="18"/>
                <w:szCs w:val="20"/>
                <w:lang w:val="es-419" w:eastAsia="es-419"/>
              </w:rPr>
            </w:pPr>
            <w:r w:rsidRPr="00EF0A67">
              <w:rPr>
                <w:rFonts w:ascii="Arial" w:eastAsia="Times New Roman" w:hAnsi="Arial" w:cs="Arial"/>
                <w:b/>
                <w:bCs/>
                <w:color w:val="FFFFFF" w:themeColor="background1"/>
                <w:sz w:val="18"/>
                <w:szCs w:val="20"/>
                <w:lang w:val="es-419" w:eastAsia="es-419"/>
              </w:rPr>
              <w:t>Pot</w:t>
            </w:r>
            <w:r>
              <w:rPr>
                <w:rFonts w:ascii="Arial" w:eastAsia="Times New Roman" w:hAnsi="Arial" w:cs="Arial"/>
                <w:b/>
                <w:bCs/>
                <w:color w:val="FFFFFF" w:themeColor="background1"/>
                <w:sz w:val="18"/>
                <w:szCs w:val="20"/>
                <w:lang w:val="es-419" w:eastAsia="es-419"/>
              </w:rPr>
              <w:t>.</w:t>
            </w:r>
            <w:r w:rsidRPr="00EF0A67">
              <w:rPr>
                <w:rFonts w:ascii="Arial" w:eastAsia="Times New Roman" w:hAnsi="Arial" w:cs="Arial"/>
                <w:b/>
                <w:bCs/>
                <w:color w:val="FFFFFF" w:themeColor="background1"/>
                <w:sz w:val="18"/>
                <w:szCs w:val="20"/>
                <w:lang w:val="es-419" w:eastAsia="es-419"/>
              </w:rPr>
              <w:t xml:space="preserve"> total (kW)</w:t>
            </w:r>
          </w:p>
        </w:tc>
        <w:tc>
          <w:tcPr>
            <w:tcW w:w="2680" w:type="dxa"/>
            <w:tcBorders>
              <w:top w:val="single" w:sz="8" w:space="0" w:color="auto"/>
              <w:left w:val="nil"/>
              <w:bottom w:val="single" w:sz="8" w:space="0" w:color="auto"/>
              <w:right w:val="single" w:sz="8" w:space="0" w:color="auto"/>
            </w:tcBorders>
            <w:shd w:val="clear" w:color="auto" w:fill="006699"/>
            <w:noWrap/>
            <w:vAlign w:val="center"/>
            <w:hideMark/>
          </w:tcPr>
          <w:p w:rsidR="00E67E7B" w:rsidRPr="00EF0A67" w:rsidRDefault="00E67E7B" w:rsidP="005E3B54">
            <w:pPr>
              <w:spacing w:after="0" w:line="240" w:lineRule="auto"/>
              <w:jc w:val="center"/>
              <w:rPr>
                <w:rFonts w:ascii="Arial" w:eastAsia="Times New Roman" w:hAnsi="Arial" w:cs="Arial"/>
                <w:b/>
                <w:bCs/>
                <w:color w:val="FFFFFF" w:themeColor="background1"/>
                <w:sz w:val="18"/>
                <w:szCs w:val="20"/>
                <w:lang w:val="es-419" w:eastAsia="es-419"/>
              </w:rPr>
            </w:pPr>
            <w:r w:rsidRPr="00EF0A67">
              <w:rPr>
                <w:rFonts w:ascii="Arial" w:eastAsia="Times New Roman" w:hAnsi="Arial" w:cs="Arial"/>
                <w:b/>
                <w:bCs/>
                <w:color w:val="FFFFFF" w:themeColor="background1"/>
                <w:sz w:val="18"/>
                <w:szCs w:val="20"/>
                <w:lang w:val="es-419" w:eastAsia="es-419"/>
              </w:rPr>
              <w:t>Aplicación</w:t>
            </w:r>
          </w:p>
        </w:tc>
      </w:tr>
      <w:tr w:rsidR="00E67E7B" w:rsidRPr="00237E6C" w:rsidTr="005E3B54">
        <w:trPr>
          <w:trHeight w:val="300"/>
          <w:jc w:val="center"/>
        </w:trPr>
        <w:tc>
          <w:tcPr>
            <w:tcW w:w="1560" w:type="dxa"/>
            <w:tcBorders>
              <w:top w:val="nil"/>
              <w:left w:val="single" w:sz="8" w:space="0" w:color="auto"/>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ind w:firstLineChars="100" w:firstLine="180"/>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 xml:space="preserve">LEDs </w:t>
            </w: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360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372</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133.92</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Avenidas</w:t>
            </w:r>
          </w:p>
        </w:tc>
      </w:tr>
      <w:tr w:rsidR="00E67E7B" w:rsidRPr="00237E6C" w:rsidTr="005E3B54">
        <w:trPr>
          <w:trHeight w:val="300"/>
          <w:jc w:val="center"/>
        </w:trPr>
        <w:tc>
          <w:tcPr>
            <w:tcW w:w="156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 xml:space="preserve">Vapor de sodio alta presión  </w:t>
            </w: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400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137</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54.8</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Avenidas</w:t>
            </w:r>
          </w:p>
        </w:tc>
      </w:tr>
      <w:tr w:rsidR="00E67E7B" w:rsidRPr="00237E6C" w:rsidTr="005E3B54">
        <w:trPr>
          <w:trHeight w:val="300"/>
          <w:jc w:val="center"/>
        </w:trPr>
        <w:tc>
          <w:tcPr>
            <w:tcW w:w="1560" w:type="dxa"/>
            <w:vMerge/>
            <w:tcBorders>
              <w:top w:val="nil"/>
              <w:left w:val="single" w:sz="8" w:space="0" w:color="auto"/>
              <w:bottom w:val="single" w:sz="8" w:space="0" w:color="000000"/>
              <w:right w:val="single" w:sz="8" w:space="0" w:color="auto"/>
            </w:tcBorders>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250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13,403</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3350.75</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Avenidas</w:t>
            </w:r>
          </w:p>
        </w:tc>
      </w:tr>
      <w:tr w:rsidR="00E67E7B" w:rsidRPr="00EF0A67" w:rsidTr="005E3B54">
        <w:trPr>
          <w:trHeight w:val="300"/>
          <w:jc w:val="center"/>
        </w:trPr>
        <w:tc>
          <w:tcPr>
            <w:tcW w:w="1560" w:type="dxa"/>
            <w:vMerge/>
            <w:tcBorders>
              <w:top w:val="nil"/>
              <w:left w:val="single" w:sz="8" w:space="0" w:color="auto"/>
              <w:bottom w:val="single" w:sz="8" w:space="0" w:color="000000"/>
              <w:right w:val="single" w:sz="8" w:space="0" w:color="auto"/>
            </w:tcBorders>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150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2,753</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412.95</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Avenidas</w:t>
            </w:r>
          </w:p>
        </w:tc>
      </w:tr>
      <w:tr w:rsidR="00E67E7B" w:rsidRPr="00EF0A67" w:rsidTr="005E3B54">
        <w:trPr>
          <w:trHeight w:val="300"/>
          <w:jc w:val="center"/>
        </w:trPr>
        <w:tc>
          <w:tcPr>
            <w:tcW w:w="1560" w:type="dxa"/>
            <w:vMerge/>
            <w:tcBorders>
              <w:top w:val="nil"/>
              <w:left w:val="single" w:sz="8" w:space="0" w:color="auto"/>
              <w:bottom w:val="single" w:sz="8" w:space="0" w:color="000000"/>
              <w:right w:val="single" w:sz="8" w:space="0" w:color="auto"/>
            </w:tcBorders>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70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11,791</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825.37</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Avenidas, parques y plazas</w:t>
            </w:r>
          </w:p>
        </w:tc>
      </w:tr>
      <w:tr w:rsidR="00E67E7B" w:rsidRPr="00EF0A67" w:rsidTr="005E3B54">
        <w:trPr>
          <w:trHeight w:val="300"/>
          <w:jc w:val="center"/>
        </w:trPr>
        <w:tc>
          <w:tcPr>
            <w:tcW w:w="156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Vapor de mercurio</w:t>
            </w: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175</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145</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25.375</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Avenidas</w:t>
            </w:r>
          </w:p>
        </w:tc>
      </w:tr>
      <w:tr w:rsidR="00E67E7B" w:rsidRPr="00EF0A67" w:rsidTr="005E3B54">
        <w:trPr>
          <w:trHeight w:val="300"/>
          <w:jc w:val="center"/>
        </w:trPr>
        <w:tc>
          <w:tcPr>
            <w:tcW w:w="1560" w:type="dxa"/>
            <w:vMerge/>
            <w:tcBorders>
              <w:top w:val="nil"/>
              <w:left w:val="single" w:sz="8" w:space="0" w:color="auto"/>
              <w:bottom w:val="single" w:sz="8" w:space="0" w:color="000000"/>
              <w:right w:val="single" w:sz="8" w:space="0" w:color="auto"/>
            </w:tcBorders>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125</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263</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32.875</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Avenidas</w:t>
            </w:r>
          </w:p>
        </w:tc>
      </w:tr>
      <w:tr w:rsidR="00E67E7B" w:rsidRPr="00EF0A67" w:rsidTr="005E3B54">
        <w:trPr>
          <w:trHeight w:val="300"/>
          <w:jc w:val="center"/>
        </w:trPr>
        <w:tc>
          <w:tcPr>
            <w:tcW w:w="1560" w:type="dxa"/>
            <w:vMerge/>
            <w:tcBorders>
              <w:top w:val="nil"/>
              <w:left w:val="single" w:sz="8" w:space="0" w:color="auto"/>
              <w:bottom w:val="single" w:sz="8" w:space="0" w:color="000000"/>
              <w:right w:val="single" w:sz="8" w:space="0" w:color="auto"/>
            </w:tcBorders>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250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59</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14.75</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Avenidas</w:t>
            </w:r>
          </w:p>
        </w:tc>
      </w:tr>
      <w:tr w:rsidR="00E67E7B" w:rsidRPr="00EF0A67" w:rsidTr="005E3B54">
        <w:trPr>
          <w:trHeight w:val="300"/>
          <w:jc w:val="center"/>
        </w:trPr>
        <w:tc>
          <w:tcPr>
            <w:tcW w:w="156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Vapor de aditivos metálicos</w:t>
            </w: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1000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238</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238</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Parques y plazas</w:t>
            </w:r>
          </w:p>
        </w:tc>
      </w:tr>
      <w:tr w:rsidR="00E67E7B" w:rsidRPr="00EF0A67" w:rsidTr="005E3B54">
        <w:trPr>
          <w:trHeight w:val="300"/>
          <w:jc w:val="center"/>
        </w:trPr>
        <w:tc>
          <w:tcPr>
            <w:tcW w:w="1560" w:type="dxa"/>
            <w:vMerge/>
            <w:tcBorders>
              <w:top w:val="nil"/>
              <w:left w:val="single" w:sz="8" w:space="0" w:color="auto"/>
              <w:bottom w:val="single" w:sz="8" w:space="0" w:color="000000"/>
              <w:right w:val="single" w:sz="8" w:space="0" w:color="auto"/>
            </w:tcBorders>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400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933</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373.2</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Parques y plazas</w:t>
            </w:r>
          </w:p>
        </w:tc>
      </w:tr>
      <w:tr w:rsidR="00E67E7B" w:rsidRPr="00EF0A67" w:rsidTr="005E3B54">
        <w:trPr>
          <w:trHeight w:val="300"/>
          <w:jc w:val="center"/>
        </w:trPr>
        <w:tc>
          <w:tcPr>
            <w:tcW w:w="1560" w:type="dxa"/>
            <w:vMerge/>
            <w:tcBorders>
              <w:top w:val="nil"/>
              <w:left w:val="single" w:sz="8" w:space="0" w:color="auto"/>
              <w:bottom w:val="single" w:sz="8" w:space="0" w:color="000000"/>
              <w:right w:val="single" w:sz="8" w:space="0" w:color="auto"/>
            </w:tcBorders>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250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479</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119.75</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Parques y plazas</w:t>
            </w:r>
          </w:p>
        </w:tc>
      </w:tr>
      <w:tr w:rsidR="00E67E7B" w:rsidRPr="00EF0A67" w:rsidTr="005E3B54">
        <w:trPr>
          <w:trHeight w:val="300"/>
          <w:jc w:val="center"/>
        </w:trPr>
        <w:tc>
          <w:tcPr>
            <w:tcW w:w="1560" w:type="dxa"/>
            <w:vMerge/>
            <w:tcBorders>
              <w:top w:val="nil"/>
              <w:left w:val="single" w:sz="8" w:space="0" w:color="auto"/>
              <w:bottom w:val="single" w:sz="8" w:space="0" w:color="000000"/>
              <w:right w:val="single" w:sz="8" w:space="0" w:color="auto"/>
            </w:tcBorders>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150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162</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24.3</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Parques y plazas</w:t>
            </w:r>
          </w:p>
        </w:tc>
      </w:tr>
      <w:tr w:rsidR="00E67E7B" w:rsidRPr="00EF0A67" w:rsidTr="005E3B54">
        <w:trPr>
          <w:trHeight w:val="300"/>
          <w:jc w:val="center"/>
        </w:trPr>
        <w:tc>
          <w:tcPr>
            <w:tcW w:w="1560" w:type="dxa"/>
            <w:vMerge/>
            <w:tcBorders>
              <w:top w:val="nil"/>
              <w:left w:val="single" w:sz="8" w:space="0" w:color="auto"/>
              <w:bottom w:val="single" w:sz="8" w:space="0" w:color="000000"/>
              <w:right w:val="single" w:sz="8" w:space="0" w:color="auto"/>
            </w:tcBorders>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100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36</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3.6</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Parques y plazas</w:t>
            </w:r>
          </w:p>
        </w:tc>
      </w:tr>
      <w:tr w:rsidR="00E67E7B" w:rsidRPr="00EF0A67" w:rsidTr="005E3B54">
        <w:trPr>
          <w:trHeight w:val="300"/>
          <w:jc w:val="center"/>
        </w:trPr>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E67E7B" w:rsidRPr="00EF0A67" w:rsidRDefault="00E67E7B" w:rsidP="005E3B54">
            <w:pPr>
              <w:spacing w:after="0" w:line="240" w:lineRule="auto"/>
              <w:ind w:firstLineChars="100" w:firstLine="180"/>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Tungsteno</w:t>
            </w: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1000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52</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52</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Campos deportivos</w:t>
            </w:r>
          </w:p>
        </w:tc>
      </w:tr>
      <w:tr w:rsidR="00E67E7B" w:rsidRPr="00EF0A67" w:rsidTr="005E3B54">
        <w:trPr>
          <w:trHeight w:val="300"/>
          <w:jc w:val="center"/>
        </w:trPr>
        <w:tc>
          <w:tcPr>
            <w:tcW w:w="1560" w:type="dxa"/>
            <w:vMerge/>
            <w:tcBorders>
              <w:top w:val="nil"/>
              <w:left w:val="single" w:sz="8" w:space="0" w:color="auto"/>
              <w:bottom w:val="single" w:sz="8" w:space="0" w:color="000000"/>
              <w:right w:val="single" w:sz="8" w:space="0" w:color="auto"/>
            </w:tcBorders>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500</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16</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8</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Arial" w:eastAsia="Times New Roman" w:hAnsi="Arial" w:cs="Arial"/>
                <w:color w:val="000000"/>
                <w:sz w:val="18"/>
                <w:szCs w:val="20"/>
                <w:lang w:val="es-419" w:eastAsia="es-419"/>
              </w:rPr>
            </w:pPr>
            <w:r w:rsidRPr="00EF0A67">
              <w:rPr>
                <w:rFonts w:ascii="Arial" w:eastAsia="Times New Roman" w:hAnsi="Arial" w:cs="Arial"/>
                <w:color w:val="000000"/>
                <w:sz w:val="18"/>
                <w:szCs w:val="20"/>
                <w:lang w:val="es-419" w:eastAsia="es-419"/>
              </w:rPr>
              <w:t>Campos deportivos</w:t>
            </w:r>
          </w:p>
        </w:tc>
      </w:tr>
      <w:tr w:rsidR="00E67E7B" w:rsidRPr="00EF0A67" w:rsidTr="005E3B54">
        <w:trPr>
          <w:trHeight w:val="300"/>
          <w:jc w:val="center"/>
        </w:trPr>
        <w:tc>
          <w:tcPr>
            <w:tcW w:w="1560" w:type="dxa"/>
            <w:tcBorders>
              <w:top w:val="nil"/>
              <w:left w:val="single" w:sz="8" w:space="0" w:color="auto"/>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ind w:firstLineChars="100" w:firstLine="181"/>
              <w:rPr>
                <w:rFonts w:ascii="Arial" w:eastAsia="Times New Roman" w:hAnsi="Arial" w:cs="Arial"/>
                <w:b/>
                <w:bCs/>
                <w:color w:val="000000"/>
                <w:sz w:val="18"/>
                <w:szCs w:val="20"/>
                <w:lang w:val="es-419" w:eastAsia="es-419"/>
              </w:rPr>
            </w:pPr>
            <w:r w:rsidRPr="00EF0A67">
              <w:rPr>
                <w:rFonts w:ascii="Arial" w:eastAsia="Times New Roman" w:hAnsi="Arial" w:cs="Arial"/>
                <w:b/>
                <w:bCs/>
                <w:color w:val="000000"/>
                <w:sz w:val="18"/>
                <w:szCs w:val="20"/>
                <w:lang w:val="es-419" w:eastAsia="es-419"/>
              </w:rPr>
              <w:t>Total</w:t>
            </w:r>
          </w:p>
        </w:tc>
        <w:tc>
          <w:tcPr>
            <w:tcW w:w="1440" w:type="dxa"/>
            <w:tcBorders>
              <w:top w:val="nil"/>
              <w:left w:val="nil"/>
              <w:bottom w:val="single" w:sz="8" w:space="0" w:color="auto"/>
              <w:right w:val="single" w:sz="8" w:space="0" w:color="auto"/>
            </w:tcBorders>
            <w:shd w:val="clear" w:color="000000" w:fill="FFFFFF"/>
            <w:vAlign w:val="center"/>
            <w:hideMark/>
          </w:tcPr>
          <w:p w:rsidR="00E67E7B" w:rsidRPr="00EF0A67" w:rsidRDefault="00E67E7B" w:rsidP="005E3B54">
            <w:pPr>
              <w:spacing w:after="0" w:line="240" w:lineRule="auto"/>
              <w:jc w:val="center"/>
              <w:rPr>
                <w:rFonts w:ascii="Arial" w:eastAsia="Times New Roman" w:hAnsi="Arial" w:cs="Arial"/>
                <w:b/>
                <w:bCs/>
                <w:color w:val="000000"/>
                <w:sz w:val="18"/>
                <w:szCs w:val="20"/>
                <w:lang w:val="es-419" w:eastAsia="es-419"/>
              </w:rPr>
            </w:pPr>
            <w:r w:rsidRPr="00EF0A67">
              <w:rPr>
                <w:rFonts w:ascii="Arial" w:eastAsia="Times New Roman" w:hAnsi="Arial" w:cs="Arial"/>
                <w:b/>
                <w:bCs/>
                <w:color w:val="000000"/>
                <w:sz w:val="18"/>
                <w:szCs w:val="20"/>
                <w:lang w:val="es-419" w:eastAsia="es-419"/>
              </w:rPr>
              <w:t> </w:t>
            </w:r>
          </w:p>
        </w:tc>
        <w:tc>
          <w:tcPr>
            <w:tcW w:w="94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b/>
                <w:bCs/>
                <w:color w:val="000000"/>
                <w:sz w:val="18"/>
                <w:szCs w:val="20"/>
                <w:lang w:val="es-419" w:eastAsia="es-419"/>
              </w:rPr>
            </w:pPr>
            <w:r w:rsidRPr="00EF0A67">
              <w:rPr>
                <w:rFonts w:ascii="Arial" w:eastAsia="Times New Roman" w:hAnsi="Arial" w:cs="Arial"/>
                <w:b/>
                <w:bCs/>
                <w:color w:val="000000"/>
                <w:sz w:val="18"/>
                <w:szCs w:val="20"/>
                <w:lang w:val="es-419" w:eastAsia="es-419"/>
              </w:rPr>
              <w:t>30,839</w:t>
            </w:r>
          </w:p>
        </w:tc>
        <w:tc>
          <w:tcPr>
            <w:tcW w:w="140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jc w:val="center"/>
              <w:rPr>
                <w:rFonts w:ascii="Arial" w:eastAsia="Times New Roman" w:hAnsi="Arial" w:cs="Arial"/>
                <w:b/>
                <w:bCs/>
                <w:color w:val="000000"/>
                <w:sz w:val="18"/>
                <w:szCs w:val="20"/>
                <w:lang w:val="es-419" w:eastAsia="es-419"/>
              </w:rPr>
            </w:pPr>
            <w:r w:rsidRPr="00EF0A67">
              <w:rPr>
                <w:rFonts w:ascii="Arial" w:eastAsia="Times New Roman" w:hAnsi="Arial" w:cs="Arial"/>
                <w:b/>
                <w:bCs/>
                <w:color w:val="000000"/>
                <w:sz w:val="18"/>
                <w:szCs w:val="20"/>
                <w:lang w:val="es-419" w:eastAsia="es-419"/>
              </w:rPr>
              <w:t>5,670</w:t>
            </w:r>
          </w:p>
        </w:tc>
        <w:tc>
          <w:tcPr>
            <w:tcW w:w="2680" w:type="dxa"/>
            <w:tcBorders>
              <w:top w:val="nil"/>
              <w:left w:val="nil"/>
              <w:bottom w:val="single" w:sz="8" w:space="0" w:color="auto"/>
              <w:right w:val="single" w:sz="8" w:space="0" w:color="auto"/>
            </w:tcBorders>
            <w:shd w:val="clear" w:color="000000" w:fill="FFFFFF"/>
            <w:noWrap/>
            <w:vAlign w:val="center"/>
            <w:hideMark/>
          </w:tcPr>
          <w:p w:rsidR="00E67E7B" w:rsidRPr="00EF0A67" w:rsidRDefault="00E67E7B" w:rsidP="005E3B54">
            <w:pPr>
              <w:spacing w:after="0" w:line="240" w:lineRule="auto"/>
              <w:rPr>
                <w:rFonts w:ascii="Calibri" w:eastAsia="Times New Roman" w:hAnsi="Calibri" w:cs="Times New Roman"/>
                <w:color w:val="000000"/>
                <w:sz w:val="18"/>
                <w:szCs w:val="20"/>
                <w:lang w:val="es-419" w:eastAsia="es-419"/>
              </w:rPr>
            </w:pPr>
            <w:r w:rsidRPr="00EF0A67">
              <w:rPr>
                <w:rFonts w:ascii="Calibri" w:eastAsia="Times New Roman" w:hAnsi="Calibri" w:cs="Times New Roman"/>
                <w:color w:val="000000"/>
                <w:sz w:val="18"/>
                <w:szCs w:val="20"/>
                <w:lang w:val="es-419" w:eastAsia="es-419"/>
              </w:rPr>
              <w:t> </w:t>
            </w:r>
          </w:p>
        </w:tc>
      </w:tr>
    </w:tbl>
    <w:p w:rsidR="00E67E7B" w:rsidRDefault="00E67E7B" w:rsidP="00E67E7B">
      <w:pPr>
        <w:ind w:left="709" w:right="899"/>
        <w:jc w:val="both"/>
        <w:rPr>
          <w:rFonts w:ascii="Arial" w:hAnsi="Arial" w:cs="Arial"/>
          <w:i/>
          <w:color w:val="000000" w:themeColor="text1"/>
          <w:sz w:val="18"/>
          <w:lang w:val="es-419"/>
        </w:rPr>
      </w:pPr>
      <w:r w:rsidRPr="000A2F04">
        <w:rPr>
          <w:rFonts w:ascii="Arial" w:hAnsi="Arial" w:cs="Arial"/>
          <w:b/>
          <w:i/>
          <w:color w:val="000000" w:themeColor="text1"/>
          <w:sz w:val="18"/>
          <w:lang w:val="es-419"/>
        </w:rPr>
        <w:t>Fuente:</w:t>
      </w:r>
      <w:r w:rsidRPr="000A2F04">
        <w:rPr>
          <w:rFonts w:ascii="Arial" w:hAnsi="Arial" w:cs="Arial"/>
          <w:i/>
          <w:color w:val="000000" w:themeColor="text1"/>
          <w:sz w:val="18"/>
          <w:lang w:val="es-419"/>
        </w:rPr>
        <w:t xml:space="preserve"> E</w:t>
      </w:r>
      <w:r>
        <w:rPr>
          <w:rFonts w:ascii="Arial" w:hAnsi="Arial" w:cs="Arial"/>
          <w:i/>
          <w:color w:val="000000" w:themeColor="text1"/>
          <w:sz w:val="18"/>
          <w:lang w:val="es-419"/>
        </w:rPr>
        <w:t xml:space="preserve">studio de </w:t>
      </w:r>
      <w:r w:rsidRPr="000A2F04">
        <w:rPr>
          <w:rFonts w:ascii="Arial" w:hAnsi="Arial" w:cs="Arial"/>
          <w:i/>
          <w:color w:val="000000" w:themeColor="text1"/>
          <w:sz w:val="18"/>
          <w:lang w:val="es-419"/>
        </w:rPr>
        <w:t>valuación de potenciales y propuesta de esquema operativo y financiero para la implementación de medidas de eficiencia energética en alumbrado público municipal</w:t>
      </w:r>
      <w:r>
        <w:rPr>
          <w:rFonts w:ascii="Arial" w:hAnsi="Arial" w:cs="Arial"/>
          <w:i/>
          <w:color w:val="000000" w:themeColor="text1"/>
          <w:sz w:val="18"/>
          <w:lang w:val="es-419"/>
        </w:rPr>
        <w:t xml:space="preserve">. </w:t>
      </w:r>
      <w:r w:rsidRPr="0075109C">
        <w:rPr>
          <w:rFonts w:ascii="Arial" w:hAnsi="Arial" w:cs="Arial"/>
          <w:i/>
          <w:color w:val="000000" w:themeColor="text1"/>
          <w:sz w:val="18"/>
          <w:lang w:val="es-419"/>
        </w:rPr>
        <w:t>Javier Ortega Solís</w:t>
      </w:r>
      <w:r>
        <w:rPr>
          <w:rFonts w:ascii="Arial" w:hAnsi="Arial" w:cs="Arial"/>
          <w:i/>
          <w:color w:val="000000" w:themeColor="text1"/>
          <w:sz w:val="18"/>
          <w:lang w:val="es-419"/>
        </w:rPr>
        <w:t>. 2017</w:t>
      </w:r>
    </w:p>
    <w:p w:rsidR="00E67E7B" w:rsidRDefault="00E67E7B" w:rsidP="00E67E7B">
      <w:pPr>
        <w:jc w:val="both"/>
        <w:rPr>
          <w:rFonts w:ascii="Arial" w:hAnsi="Arial" w:cs="Arial"/>
          <w:color w:val="000000" w:themeColor="text1"/>
          <w:lang w:val="es-419"/>
        </w:rPr>
      </w:pPr>
      <w:r>
        <w:rPr>
          <w:rFonts w:ascii="Arial" w:hAnsi="Arial" w:cs="Arial"/>
          <w:color w:val="000000" w:themeColor="text1"/>
          <w:lang w:val="es-419"/>
        </w:rPr>
        <w:t>El principal tipo de lámpara instalado en la ciudad de Oruro</w:t>
      </w:r>
      <w:r w:rsidRPr="004F45DD">
        <w:rPr>
          <w:rFonts w:ascii="Arial" w:hAnsi="Arial" w:cs="Arial"/>
          <w:color w:val="000000" w:themeColor="text1"/>
          <w:lang w:val="es-419"/>
        </w:rPr>
        <w:t xml:space="preserve">, es </w:t>
      </w:r>
      <w:r>
        <w:rPr>
          <w:rFonts w:ascii="Arial" w:hAnsi="Arial" w:cs="Arial"/>
          <w:color w:val="000000" w:themeColor="text1"/>
          <w:lang w:val="es-419"/>
        </w:rPr>
        <w:t>de v</w:t>
      </w:r>
      <w:r w:rsidRPr="004F45DD">
        <w:rPr>
          <w:rFonts w:ascii="Arial" w:hAnsi="Arial" w:cs="Arial"/>
          <w:color w:val="000000" w:themeColor="text1"/>
          <w:lang w:val="es-419"/>
        </w:rPr>
        <w:t xml:space="preserve">apor de </w:t>
      </w:r>
      <w:r>
        <w:rPr>
          <w:rFonts w:ascii="Arial" w:hAnsi="Arial" w:cs="Arial"/>
          <w:color w:val="000000" w:themeColor="text1"/>
          <w:lang w:val="es-419"/>
        </w:rPr>
        <w:t>s</w:t>
      </w:r>
      <w:r w:rsidRPr="004F45DD">
        <w:rPr>
          <w:rFonts w:ascii="Arial" w:hAnsi="Arial" w:cs="Arial"/>
          <w:color w:val="000000" w:themeColor="text1"/>
          <w:lang w:val="es-419"/>
        </w:rPr>
        <w:t xml:space="preserve">odio </w:t>
      </w:r>
      <w:r>
        <w:rPr>
          <w:rFonts w:ascii="Arial" w:hAnsi="Arial" w:cs="Arial"/>
          <w:color w:val="000000" w:themeColor="text1"/>
          <w:lang w:val="es-419"/>
        </w:rPr>
        <w:t>que representa el 81.8</w:t>
      </w:r>
      <w:r w:rsidRPr="004F45DD">
        <w:rPr>
          <w:rFonts w:ascii="Arial" w:hAnsi="Arial" w:cs="Arial"/>
          <w:color w:val="000000" w:themeColor="text1"/>
          <w:lang w:val="es-419"/>
        </w:rPr>
        <w:t xml:space="preserve">%, </w:t>
      </w:r>
      <w:r>
        <w:rPr>
          <w:rFonts w:ascii="Arial" w:hAnsi="Arial" w:cs="Arial"/>
          <w:color w:val="000000" w:themeColor="text1"/>
          <w:lang w:val="es-419"/>
        </w:rPr>
        <w:t>posteriormente el</w:t>
      </w:r>
      <w:r w:rsidRPr="004F45DD">
        <w:rPr>
          <w:rFonts w:ascii="Arial" w:hAnsi="Arial" w:cs="Arial"/>
          <w:color w:val="000000" w:themeColor="text1"/>
          <w:lang w:val="es-419"/>
        </w:rPr>
        <w:t xml:space="preserve"> Haluro Metálico con 13.37%, el Gas de Mercurio con 1.29%, lámpara</w:t>
      </w:r>
      <w:r>
        <w:rPr>
          <w:rFonts w:ascii="Arial" w:hAnsi="Arial" w:cs="Arial"/>
          <w:color w:val="000000" w:themeColor="text1"/>
          <w:lang w:val="es-419"/>
        </w:rPr>
        <w:t>s</w:t>
      </w:r>
      <w:r w:rsidRPr="004F45DD">
        <w:rPr>
          <w:rFonts w:ascii="Arial" w:hAnsi="Arial" w:cs="Arial"/>
          <w:color w:val="000000" w:themeColor="text1"/>
          <w:lang w:val="es-419"/>
        </w:rPr>
        <w:t xml:space="preserve"> de tungsteno con el 1.06%, lámparas fluorescentes con 0.13% y finalmente L</w:t>
      </w:r>
      <w:r>
        <w:rPr>
          <w:rFonts w:ascii="Arial" w:hAnsi="Arial" w:cs="Arial"/>
          <w:color w:val="000000" w:themeColor="text1"/>
          <w:lang w:val="es-419"/>
        </w:rPr>
        <w:t>ED</w:t>
      </w:r>
      <w:r w:rsidRPr="004F45DD">
        <w:rPr>
          <w:rFonts w:ascii="Arial" w:hAnsi="Arial" w:cs="Arial"/>
          <w:color w:val="000000" w:themeColor="text1"/>
          <w:lang w:val="es-419"/>
        </w:rPr>
        <w:t xml:space="preserve"> con 2.36</w:t>
      </w:r>
      <w:r>
        <w:rPr>
          <w:rFonts w:ascii="Arial" w:hAnsi="Arial" w:cs="Arial"/>
          <w:color w:val="000000" w:themeColor="text1"/>
          <w:lang w:val="es-419"/>
        </w:rPr>
        <w:t>%, como se muestra en la figura 2.</w:t>
      </w:r>
    </w:p>
    <w:p w:rsidR="00E67E7B" w:rsidRDefault="00E67E7B" w:rsidP="00E67E7B">
      <w:pPr>
        <w:jc w:val="center"/>
        <w:rPr>
          <w:rFonts w:ascii="Arial" w:hAnsi="Arial" w:cs="Arial"/>
          <w:color w:val="000000" w:themeColor="text1"/>
          <w:lang w:val="es-419"/>
        </w:rPr>
      </w:pPr>
      <w:r>
        <w:rPr>
          <w:rFonts w:ascii="Arial" w:hAnsi="Arial" w:cs="Arial"/>
          <w:noProof/>
          <w:color w:val="000000" w:themeColor="text1"/>
          <w:lang w:val="es-419" w:eastAsia="es-419"/>
        </w:rPr>
        <w:drawing>
          <wp:inline distT="0" distB="0" distL="0" distR="0" wp14:anchorId="31BA807F" wp14:editId="5AE05FA7">
            <wp:extent cx="4584700" cy="2755900"/>
            <wp:effectExtent l="0" t="0" r="635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E67E7B" w:rsidRDefault="00E67E7B" w:rsidP="00E67E7B">
      <w:pPr>
        <w:jc w:val="center"/>
        <w:rPr>
          <w:rFonts w:ascii="Arial" w:hAnsi="Arial" w:cs="Arial"/>
          <w:color w:val="000000" w:themeColor="text1"/>
          <w:sz w:val="20"/>
          <w:lang w:val="es-419"/>
        </w:rPr>
      </w:pPr>
      <w:r>
        <w:rPr>
          <w:rFonts w:ascii="Arial" w:hAnsi="Arial" w:cs="Arial"/>
          <w:b/>
          <w:color w:val="000000" w:themeColor="text1"/>
          <w:sz w:val="20"/>
          <w:lang w:val="es-419"/>
        </w:rPr>
        <w:t>Fig.</w:t>
      </w:r>
      <w:r w:rsidRPr="000A2F04">
        <w:rPr>
          <w:rFonts w:ascii="Arial" w:hAnsi="Arial" w:cs="Arial"/>
          <w:b/>
          <w:color w:val="000000" w:themeColor="text1"/>
          <w:sz w:val="20"/>
          <w:lang w:val="es-419"/>
        </w:rPr>
        <w:t xml:space="preserve"> </w:t>
      </w:r>
      <w:r>
        <w:rPr>
          <w:rFonts w:ascii="Arial" w:hAnsi="Arial" w:cs="Arial"/>
          <w:b/>
          <w:color w:val="000000" w:themeColor="text1"/>
          <w:sz w:val="20"/>
          <w:lang w:val="es-419"/>
        </w:rPr>
        <w:t>2</w:t>
      </w:r>
      <w:r w:rsidRPr="000A2F04">
        <w:rPr>
          <w:rFonts w:ascii="Arial" w:hAnsi="Arial" w:cs="Arial"/>
          <w:b/>
          <w:color w:val="000000" w:themeColor="text1"/>
          <w:sz w:val="20"/>
          <w:lang w:val="es-419"/>
        </w:rPr>
        <w:t>:</w:t>
      </w:r>
      <w:r w:rsidRPr="000A2F04">
        <w:rPr>
          <w:rFonts w:ascii="Arial" w:hAnsi="Arial" w:cs="Arial"/>
          <w:color w:val="000000" w:themeColor="text1"/>
          <w:sz w:val="20"/>
          <w:lang w:val="es-419"/>
        </w:rPr>
        <w:t xml:space="preserve"> </w:t>
      </w:r>
      <w:r>
        <w:rPr>
          <w:rFonts w:ascii="Arial" w:hAnsi="Arial" w:cs="Arial"/>
          <w:color w:val="000000" w:themeColor="text1"/>
          <w:sz w:val="20"/>
          <w:lang w:val="es-419"/>
        </w:rPr>
        <w:t>Tipos de lámparas usadas en alumbrado público de Oruro</w:t>
      </w:r>
    </w:p>
    <w:p w:rsidR="00E67E7B" w:rsidRDefault="00E67E7B" w:rsidP="00E67E7B">
      <w:pPr>
        <w:jc w:val="both"/>
        <w:rPr>
          <w:rFonts w:ascii="Arial" w:hAnsi="Arial" w:cs="Arial"/>
          <w:lang w:val="es-419"/>
        </w:rPr>
      </w:pPr>
      <w:r w:rsidRPr="007B5A65">
        <w:rPr>
          <w:rFonts w:ascii="Arial" w:hAnsi="Arial" w:cs="Arial"/>
          <w:lang w:val="es-ES"/>
        </w:rPr>
        <w:t xml:space="preserve">La factura por concepto de energía eléctrica del sistema de alumbrado público del municipio de Oruro en la gestión 2016 fue de Bs. </w:t>
      </w:r>
      <w:r w:rsidRPr="007B5A65">
        <w:rPr>
          <w:rFonts w:ascii="Arial" w:hAnsi="Arial" w:cs="Arial"/>
          <w:bCs/>
          <w:color w:val="000000"/>
          <w:lang w:val="es-ES" w:eastAsia="es-ES"/>
        </w:rPr>
        <w:t xml:space="preserve">28.380 </w:t>
      </w:r>
      <w:r>
        <w:rPr>
          <w:rFonts w:ascii="Arial" w:hAnsi="Arial" w:cs="Arial"/>
          <w:bCs/>
          <w:color w:val="000000"/>
          <w:lang w:val="es-ES" w:eastAsia="es-ES"/>
        </w:rPr>
        <w:t>m</w:t>
      </w:r>
      <w:r w:rsidRPr="007B5A65">
        <w:rPr>
          <w:rFonts w:ascii="Arial" w:hAnsi="Arial" w:cs="Arial"/>
          <w:bCs/>
          <w:color w:val="000000"/>
          <w:lang w:val="es-ES" w:eastAsia="es-ES"/>
        </w:rPr>
        <w:t>illones</w:t>
      </w:r>
      <w:r>
        <w:rPr>
          <w:rFonts w:ascii="Arial" w:hAnsi="Arial" w:cs="Arial"/>
          <w:bCs/>
          <w:color w:val="000000"/>
          <w:lang w:val="es-ES" w:eastAsia="es-ES"/>
        </w:rPr>
        <w:t xml:space="preserve">, mientras que </w:t>
      </w:r>
      <w:r w:rsidRPr="007B5A65">
        <w:rPr>
          <w:rFonts w:ascii="Arial" w:hAnsi="Arial" w:cs="Arial"/>
          <w:lang w:val="es-ES"/>
        </w:rPr>
        <w:t xml:space="preserve">el monto recaudado </w:t>
      </w:r>
      <w:r>
        <w:rPr>
          <w:rFonts w:ascii="Arial" w:hAnsi="Arial" w:cs="Arial"/>
          <w:lang w:val="es-ES"/>
        </w:rPr>
        <w:t>en</w:t>
      </w:r>
      <w:r w:rsidRPr="007B5A65">
        <w:rPr>
          <w:rFonts w:ascii="Arial" w:hAnsi="Arial" w:cs="Arial"/>
          <w:lang w:val="es-ES"/>
        </w:rPr>
        <w:t xml:space="preserve"> la gestión por concepto de tasa de alumbrado público (12%) fue de Bs. </w:t>
      </w:r>
      <w:r w:rsidRPr="007B5A65">
        <w:rPr>
          <w:rFonts w:ascii="Arial" w:hAnsi="Arial" w:cs="Arial"/>
          <w:bCs/>
          <w:color w:val="000000"/>
          <w:lang w:val="es-ES" w:eastAsia="es-ES"/>
        </w:rPr>
        <w:t xml:space="preserve">11.107 </w:t>
      </w:r>
      <w:r>
        <w:rPr>
          <w:rFonts w:ascii="Arial" w:hAnsi="Arial" w:cs="Arial"/>
          <w:bCs/>
          <w:color w:val="000000"/>
          <w:lang w:val="es-ES" w:eastAsia="es-ES"/>
        </w:rPr>
        <w:t>m</w:t>
      </w:r>
      <w:r w:rsidRPr="007B5A65">
        <w:rPr>
          <w:rFonts w:ascii="Arial" w:hAnsi="Arial" w:cs="Arial"/>
          <w:bCs/>
          <w:color w:val="000000"/>
          <w:lang w:val="es-ES" w:eastAsia="es-ES"/>
        </w:rPr>
        <w:t xml:space="preserve">illones, </w:t>
      </w:r>
      <w:r w:rsidRPr="007B5A65">
        <w:rPr>
          <w:rFonts w:ascii="Arial" w:hAnsi="Arial" w:cs="Arial"/>
          <w:lang w:val="es-ES"/>
        </w:rPr>
        <w:t xml:space="preserve">existiendo un déficit de gestión de Bs. </w:t>
      </w:r>
      <w:r w:rsidRPr="007B5A65">
        <w:rPr>
          <w:rFonts w:ascii="Arial" w:hAnsi="Arial" w:cs="Arial"/>
          <w:bCs/>
          <w:color w:val="000000"/>
          <w:lang w:val="es-ES" w:eastAsia="es-ES"/>
        </w:rPr>
        <w:t xml:space="preserve">17.273 </w:t>
      </w:r>
      <w:r>
        <w:rPr>
          <w:rFonts w:ascii="Arial" w:hAnsi="Arial" w:cs="Arial"/>
          <w:bCs/>
          <w:color w:val="000000"/>
          <w:lang w:val="es-ES" w:eastAsia="es-ES"/>
        </w:rPr>
        <w:t>m</w:t>
      </w:r>
      <w:r w:rsidRPr="007B5A65">
        <w:rPr>
          <w:rFonts w:ascii="Arial" w:hAnsi="Arial" w:cs="Arial"/>
          <w:bCs/>
          <w:color w:val="000000"/>
          <w:lang w:val="es-ES" w:eastAsia="es-ES"/>
        </w:rPr>
        <w:t>illone</w:t>
      </w:r>
      <w:r>
        <w:rPr>
          <w:rFonts w:ascii="Arial" w:hAnsi="Arial" w:cs="Arial"/>
          <w:bCs/>
          <w:color w:val="000000"/>
          <w:lang w:val="es-ES" w:eastAsia="es-ES"/>
        </w:rPr>
        <w:t>s</w:t>
      </w:r>
      <w:r w:rsidRPr="007B5A65">
        <w:rPr>
          <w:rFonts w:ascii="Arial" w:hAnsi="Arial" w:cs="Arial"/>
          <w:bCs/>
          <w:color w:val="000000"/>
          <w:lang w:val="es-ES" w:eastAsia="es-ES"/>
        </w:rPr>
        <w:t xml:space="preserve">, que representa sólo </w:t>
      </w:r>
      <w:r w:rsidRPr="007B5A65">
        <w:rPr>
          <w:rFonts w:ascii="Arial" w:hAnsi="Arial" w:cs="Arial"/>
          <w:lang w:val="es-ES"/>
        </w:rPr>
        <w:t xml:space="preserve">un 61% </w:t>
      </w:r>
      <w:r>
        <w:rPr>
          <w:rFonts w:ascii="Arial" w:hAnsi="Arial" w:cs="Arial"/>
          <w:lang w:val="es-ES"/>
        </w:rPr>
        <w:t>del</w:t>
      </w:r>
      <w:r w:rsidRPr="007B5A65">
        <w:rPr>
          <w:rFonts w:ascii="Arial" w:hAnsi="Arial" w:cs="Arial"/>
          <w:lang w:val="es-ES"/>
        </w:rPr>
        <w:t xml:space="preserve"> total requerido</w:t>
      </w:r>
      <w:r>
        <w:rPr>
          <w:rFonts w:ascii="Arial" w:hAnsi="Arial" w:cs="Arial"/>
          <w:lang w:val="es-ES"/>
        </w:rPr>
        <w:t xml:space="preserve"> </w:t>
      </w:r>
      <w:r w:rsidRPr="007B5A65">
        <w:rPr>
          <w:rFonts w:ascii="Arial" w:hAnsi="Arial" w:cs="Arial"/>
          <w:lang w:val="es-ES"/>
        </w:rPr>
        <w:t xml:space="preserve">para cubrir la factura, </w:t>
      </w:r>
      <w:r>
        <w:rPr>
          <w:rFonts w:ascii="Arial" w:hAnsi="Arial" w:cs="Arial"/>
          <w:lang w:val="es-ES"/>
        </w:rPr>
        <w:t>esto</w:t>
      </w:r>
      <w:r w:rsidRPr="007B5A65">
        <w:rPr>
          <w:rFonts w:ascii="Arial" w:hAnsi="Arial" w:cs="Arial"/>
          <w:lang w:val="es-ES"/>
        </w:rPr>
        <w:t xml:space="preserve"> indica que el alumbrado público de la ciudad de Oruro </w:t>
      </w:r>
      <w:r w:rsidRPr="007B5A65">
        <w:rPr>
          <w:rFonts w:ascii="Arial" w:hAnsi="Arial" w:cs="Arial"/>
          <w:lang w:val="es-419"/>
        </w:rPr>
        <w:t xml:space="preserve">es </w:t>
      </w:r>
      <w:r>
        <w:rPr>
          <w:rFonts w:ascii="Arial" w:hAnsi="Arial" w:cs="Arial"/>
          <w:lang w:val="es-419"/>
        </w:rPr>
        <w:t xml:space="preserve">deficitario y por tanto requiere ser </w:t>
      </w:r>
      <w:r w:rsidRPr="007B5A65">
        <w:rPr>
          <w:rFonts w:ascii="Arial" w:hAnsi="Arial" w:cs="Arial"/>
          <w:lang w:val="es-419"/>
        </w:rPr>
        <w:t>subvencionado</w:t>
      </w:r>
      <w:r>
        <w:rPr>
          <w:rFonts w:ascii="Arial" w:hAnsi="Arial" w:cs="Arial"/>
          <w:lang w:val="es-419"/>
        </w:rPr>
        <w:t xml:space="preserve"> por la Alcaldía de Oruro</w:t>
      </w:r>
      <w:r w:rsidRPr="007B5A65">
        <w:rPr>
          <w:rFonts w:ascii="Arial" w:hAnsi="Arial" w:cs="Arial"/>
          <w:lang w:val="es-419"/>
        </w:rPr>
        <w:t>.</w:t>
      </w:r>
    </w:p>
    <w:p w:rsidR="00E67E7B" w:rsidRDefault="00E67E7B" w:rsidP="00E67E7B">
      <w:pPr>
        <w:jc w:val="both"/>
        <w:rPr>
          <w:rFonts w:ascii="Arial" w:hAnsi="Arial" w:cs="Arial"/>
          <w:lang w:val="es-419"/>
        </w:rPr>
      </w:pPr>
    </w:p>
    <w:p w:rsidR="00E67E7B" w:rsidRDefault="00E67E7B" w:rsidP="00E67E7B">
      <w:pPr>
        <w:jc w:val="both"/>
        <w:rPr>
          <w:rFonts w:ascii="Arial" w:hAnsi="Arial" w:cs="Arial"/>
          <w:lang w:val="es-419"/>
        </w:rPr>
      </w:pPr>
    </w:p>
    <w:p w:rsidR="00E67E7B" w:rsidRDefault="00E67E7B" w:rsidP="00E67E7B">
      <w:pPr>
        <w:jc w:val="both"/>
        <w:rPr>
          <w:rFonts w:ascii="Arial" w:hAnsi="Arial" w:cs="Arial"/>
          <w:lang w:val="es-419"/>
        </w:rPr>
      </w:pPr>
    </w:p>
    <w:p w:rsidR="00E67E7B" w:rsidRPr="007B5A65" w:rsidRDefault="00E67E7B" w:rsidP="00E67E7B">
      <w:pPr>
        <w:jc w:val="both"/>
        <w:rPr>
          <w:rFonts w:ascii="Arial" w:hAnsi="Arial" w:cs="Arial"/>
          <w:lang w:val="es-419"/>
        </w:rPr>
      </w:pPr>
    </w:p>
    <w:p w:rsidR="00E67E7B" w:rsidRPr="00177AC0" w:rsidRDefault="00E67E7B" w:rsidP="00E67E7B">
      <w:pPr>
        <w:pStyle w:val="Heading2"/>
        <w:ind w:left="360"/>
        <w:rPr>
          <w:rFonts w:ascii="Arial" w:hAnsi="Arial" w:cs="Arial"/>
          <w:b/>
          <w:color w:val="1F4E79" w:themeColor="accent1" w:themeShade="80"/>
          <w:sz w:val="24"/>
          <w:lang w:val="es-ES"/>
        </w:rPr>
      </w:pPr>
      <w:bookmarkStart w:id="8" w:name="_Toc520820885"/>
      <w:r w:rsidRPr="00177AC0">
        <w:rPr>
          <w:rFonts w:ascii="Arial" w:hAnsi="Arial" w:cs="Arial"/>
          <w:b/>
          <w:color w:val="1F4E79" w:themeColor="accent1" w:themeShade="80"/>
          <w:sz w:val="24"/>
          <w:lang w:val="es-ES"/>
        </w:rPr>
        <w:lastRenderedPageBreak/>
        <w:t xml:space="preserve">2.2. Municipio de </w:t>
      </w:r>
      <w:bookmarkEnd w:id="8"/>
      <w:r w:rsidR="00B2280C">
        <w:rPr>
          <w:rFonts w:ascii="Arial" w:hAnsi="Arial" w:cs="Arial"/>
          <w:b/>
          <w:color w:val="1F4E79" w:themeColor="accent1" w:themeShade="80"/>
          <w:sz w:val="24"/>
          <w:lang w:val="es-ES"/>
        </w:rPr>
        <w:t>Potosí</w:t>
      </w:r>
    </w:p>
    <w:p w:rsidR="00E67E7B" w:rsidRDefault="00E67E7B" w:rsidP="00E67E7B">
      <w:pPr>
        <w:jc w:val="both"/>
        <w:rPr>
          <w:rFonts w:ascii="Arial" w:hAnsi="Arial" w:cs="Arial"/>
          <w:color w:val="000000" w:themeColor="text1"/>
          <w:lang w:val="es-419"/>
        </w:rPr>
      </w:pPr>
    </w:p>
    <w:p w:rsidR="00E67E7B" w:rsidRPr="00177AC0" w:rsidRDefault="00E67E7B" w:rsidP="00E67E7B">
      <w:pPr>
        <w:pStyle w:val="Heading3"/>
        <w:ind w:firstLine="708"/>
        <w:rPr>
          <w:rFonts w:ascii="Arial" w:hAnsi="Arial" w:cs="Arial"/>
          <w:b/>
          <w:i/>
          <w:color w:val="1F4E79" w:themeColor="accent1" w:themeShade="80"/>
          <w:sz w:val="22"/>
          <w:lang w:val="es-ES"/>
        </w:rPr>
      </w:pPr>
      <w:bookmarkStart w:id="9" w:name="_Toc520820886"/>
      <w:r w:rsidRPr="00177AC0">
        <w:rPr>
          <w:rFonts w:ascii="Arial" w:hAnsi="Arial" w:cs="Arial"/>
          <w:b/>
          <w:i/>
          <w:color w:val="1F4E79" w:themeColor="accent1" w:themeShade="80"/>
          <w:sz w:val="22"/>
          <w:lang w:val="es-ES"/>
        </w:rPr>
        <w:t xml:space="preserve">2.2.1. Gasto Energético Municipal - </w:t>
      </w:r>
      <w:bookmarkEnd w:id="9"/>
      <w:r w:rsidR="00B2280C">
        <w:rPr>
          <w:rFonts w:ascii="Arial" w:hAnsi="Arial" w:cs="Arial"/>
          <w:b/>
          <w:i/>
          <w:color w:val="1F4E79" w:themeColor="accent1" w:themeShade="80"/>
          <w:sz w:val="22"/>
          <w:lang w:val="es-ES"/>
        </w:rPr>
        <w:t>Potosí</w:t>
      </w:r>
    </w:p>
    <w:p w:rsidR="00E67E7B" w:rsidRDefault="00E67E7B" w:rsidP="00E67E7B">
      <w:pPr>
        <w:jc w:val="both"/>
        <w:rPr>
          <w:rFonts w:ascii="Arial" w:hAnsi="Arial" w:cs="Arial"/>
          <w:color w:val="000000" w:themeColor="text1"/>
          <w:lang w:val="es-419"/>
        </w:rPr>
      </w:pPr>
    </w:p>
    <w:p w:rsidR="00E67E7B" w:rsidRPr="002E277B" w:rsidRDefault="00B2280C" w:rsidP="00E67E7B">
      <w:pPr>
        <w:jc w:val="both"/>
        <w:rPr>
          <w:rFonts w:ascii="Arial" w:hAnsi="Arial" w:cs="Arial"/>
          <w:lang w:val="es-ES"/>
        </w:rPr>
      </w:pPr>
      <w:r>
        <w:rPr>
          <w:rFonts w:ascii="Arial" w:hAnsi="Arial" w:cs="Arial"/>
          <w:lang w:val="es-ES"/>
        </w:rPr>
        <w:t>La ciudad de Potosí</w:t>
      </w:r>
      <w:r w:rsidR="00E67E7B" w:rsidRPr="002E277B">
        <w:rPr>
          <w:rFonts w:ascii="Arial" w:hAnsi="Arial" w:cs="Arial"/>
          <w:lang w:val="es-ES"/>
        </w:rPr>
        <w:t xml:space="preserve"> es </w:t>
      </w:r>
      <w:r w:rsidR="00E67E7B">
        <w:rPr>
          <w:rFonts w:ascii="Arial" w:hAnsi="Arial" w:cs="Arial"/>
          <w:lang w:val="es-ES"/>
        </w:rPr>
        <w:t xml:space="preserve">la capital del departamento de </w:t>
      </w:r>
      <w:r>
        <w:rPr>
          <w:rFonts w:ascii="Arial" w:hAnsi="Arial" w:cs="Arial"/>
          <w:lang w:val="es-ES"/>
        </w:rPr>
        <w:t>Potosí</w:t>
      </w:r>
      <w:r w:rsidR="00E67E7B">
        <w:rPr>
          <w:rFonts w:ascii="Arial" w:hAnsi="Arial" w:cs="Arial"/>
          <w:lang w:val="es-ES"/>
        </w:rPr>
        <w:t xml:space="preserve"> y </w:t>
      </w:r>
      <w:r w:rsidR="00E67E7B" w:rsidRPr="002E277B">
        <w:rPr>
          <w:rFonts w:ascii="Arial" w:hAnsi="Arial" w:cs="Arial"/>
          <w:lang w:val="es-ES"/>
        </w:rPr>
        <w:t xml:space="preserve">de la </w:t>
      </w:r>
      <w:hyperlink r:id="rId19" w:tooltip="Provincia de Nicolás Suárez" w:history="1">
        <w:r w:rsidR="00E67E7B">
          <w:rPr>
            <w:rFonts w:ascii="Arial" w:hAnsi="Arial" w:cs="Arial"/>
            <w:lang w:val="es-ES"/>
          </w:rPr>
          <w:t>p</w:t>
        </w:r>
        <w:r w:rsidR="00E67E7B" w:rsidRPr="002E277B">
          <w:rPr>
            <w:rFonts w:ascii="Arial" w:hAnsi="Arial" w:cs="Arial"/>
            <w:lang w:val="es-ES"/>
          </w:rPr>
          <w:t xml:space="preserve">rovincia de </w:t>
        </w:r>
        <w:r w:rsidR="008F0E47">
          <w:rPr>
            <w:rFonts w:ascii="Arial" w:hAnsi="Arial" w:cs="Arial"/>
            <w:lang w:val="es-ES"/>
          </w:rPr>
          <w:t>Tomás Frías</w:t>
        </w:r>
      </w:hyperlink>
      <w:r w:rsidR="00E67E7B">
        <w:rPr>
          <w:rFonts w:ascii="Arial" w:hAnsi="Arial" w:cs="Arial"/>
          <w:lang w:val="es-ES"/>
        </w:rPr>
        <w:t>, según el censo de población y vivienda del año 2012 c</w:t>
      </w:r>
      <w:r w:rsidR="00E67E7B" w:rsidRPr="002E277B">
        <w:rPr>
          <w:rFonts w:ascii="Arial" w:hAnsi="Arial" w:cs="Arial"/>
          <w:lang w:val="es-ES"/>
        </w:rPr>
        <w:t xml:space="preserve">uenta con una población de </w:t>
      </w:r>
      <w:r w:rsidR="008F0E47">
        <w:rPr>
          <w:rFonts w:ascii="Arial" w:hAnsi="Arial" w:cs="Arial"/>
          <w:lang w:val="es-ES"/>
        </w:rPr>
        <w:t>1</w:t>
      </w:r>
      <w:r w:rsidR="00FC4E69">
        <w:rPr>
          <w:rFonts w:ascii="Arial" w:hAnsi="Arial" w:cs="Arial"/>
          <w:lang w:val="es-ES"/>
        </w:rPr>
        <w:t>89</w:t>
      </w:r>
      <w:r w:rsidR="008F0E47">
        <w:rPr>
          <w:rFonts w:ascii="Arial" w:hAnsi="Arial" w:cs="Arial"/>
          <w:lang w:val="es-ES"/>
        </w:rPr>
        <w:t>.</w:t>
      </w:r>
      <w:r w:rsidR="00FC4E69">
        <w:rPr>
          <w:rFonts w:ascii="Arial" w:hAnsi="Arial" w:cs="Arial"/>
          <w:lang w:val="es-ES"/>
        </w:rPr>
        <w:t>652</w:t>
      </w:r>
      <w:r w:rsidR="00E67E7B">
        <w:rPr>
          <w:rFonts w:ascii="Arial" w:hAnsi="Arial" w:cs="Arial"/>
          <w:lang w:val="es-ES"/>
        </w:rPr>
        <w:t xml:space="preserve"> habitantes. La ciudad </w:t>
      </w:r>
      <w:r w:rsidR="00E67E7B" w:rsidRPr="002E277B">
        <w:rPr>
          <w:rFonts w:ascii="Arial" w:hAnsi="Arial" w:cs="Arial"/>
          <w:lang w:val="es-ES"/>
        </w:rPr>
        <w:t xml:space="preserve">está situada a orillas del </w:t>
      </w:r>
      <w:hyperlink r:id="rId20" w:tooltip="Río Acre" w:history="1">
        <w:r w:rsidR="008F0E47">
          <w:rPr>
            <w:rFonts w:ascii="Arial" w:hAnsi="Arial" w:cs="Arial"/>
            <w:lang w:val="es-ES"/>
          </w:rPr>
          <w:t>cerro</w:t>
        </w:r>
      </w:hyperlink>
      <w:r w:rsidR="008F0E47">
        <w:rPr>
          <w:rFonts w:ascii="Arial" w:hAnsi="Arial" w:cs="Arial"/>
          <w:lang w:val="es-ES"/>
        </w:rPr>
        <w:t xml:space="preserve"> rico de Potosí</w:t>
      </w:r>
      <w:r w:rsidR="00E67E7B" w:rsidRPr="002E277B">
        <w:rPr>
          <w:rFonts w:ascii="Arial" w:hAnsi="Arial" w:cs="Arial"/>
          <w:lang w:val="es-ES"/>
        </w:rPr>
        <w:t xml:space="preserve">, </w:t>
      </w:r>
      <w:r w:rsidR="00E67E7B">
        <w:rPr>
          <w:rFonts w:ascii="Arial" w:hAnsi="Arial" w:cs="Arial"/>
          <w:lang w:val="es-ES"/>
        </w:rPr>
        <w:t xml:space="preserve">una altitud </w:t>
      </w:r>
      <w:r w:rsidR="008F0E47">
        <w:rPr>
          <w:rFonts w:ascii="Arial" w:hAnsi="Arial" w:cs="Arial"/>
          <w:lang w:val="es-ES"/>
        </w:rPr>
        <w:t>mayor a los</w:t>
      </w:r>
      <w:r w:rsidR="00E67E7B">
        <w:rPr>
          <w:rFonts w:ascii="Arial" w:hAnsi="Arial" w:cs="Arial"/>
          <w:lang w:val="es-ES"/>
        </w:rPr>
        <w:t xml:space="preserve"> </w:t>
      </w:r>
      <w:r w:rsidR="008F0E47">
        <w:rPr>
          <w:rFonts w:ascii="Arial" w:hAnsi="Arial" w:cs="Arial"/>
          <w:lang w:val="es-ES"/>
        </w:rPr>
        <w:t>4.000</w:t>
      </w:r>
      <w:r w:rsidR="00E67E7B">
        <w:rPr>
          <w:rFonts w:ascii="Arial" w:hAnsi="Arial" w:cs="Arial"/>
          <w:lang w:val="es-ES"/>
        </w:rPr>
        <w:t xml:space="preserve"> m.s.n.m.</w:t>
      </w:r>
    </w:p>
    <w:p w:rsidR="00E67E7B" w:rsidRPr="00AF1601" w:rsidRDefault="00E67E7B" w:rsidP="00E67E7B">
      <w:pPr>
        <w:pStyle w:val="Heading3"/>
        <w:ind w:firstLine="708"/>
        <w:rPr>
          <w:rFonts w:ascii="Arial" w:hAnsi="Arial" w:cs="Arial"/>
          <w:b/>
          <w:i/>
          <w:sz w:val="22"/>
          <w:lang w:val="es-ES"/>
        </w:rPr>
      </w:pPr>
      <w:bookmarkStart w:id="10" w:name="_Toc520820887"/>
      <w:r w:rsidRPr="00177AC0">
        <w:rPr>
          <w:rFonts w:ascii="Arial" w:hAnsi="Arial" w:cs="Arial"/>
          <w:b/>
          <w:i/>
          <w:color w:val="1F4E79" w:themeColor="accent1" w:themeShade="80"/>
          <w:sz w:val="22"/>
          <w:lang w:val="es-ES"/>
        </w:rPr>
        <w:t xml:space="preserve">2.2.1. Sistema de Alumbrado Público - </w:t>
      </w:r>
      <w:bookmarkEnd w:id="10"/>
      <w:r w:rsidR="00D33579">
        <w:rPr>
          <w:rFonts w:ascii="Arial" w:hAnsi="Arial" w:cs="Arial"/>
          <w:b/>
          <w:i/>
          <w:color w:val="1F4E79" w:themeColor="accent1" w:themeShade="80"/>
          <w:sz w:val="22"/>
          <w:lang w:val="es-ES"/>
        </w:rPr>
        <w:t>Potosí</w:t>
      </w:r>
      <w:r w:rsidRPr="00177AC0">
        <w:rPr>
          <w:rFonts w:ascii="Arial" w:hAnsi="Arial" w:cs="Arial"/>
          <w:b/>
          <w:i/>
          <w:color w:val="1F4E79" w:themeColor="accent1" w:themeShade="80"/>
          <w:sz w:val="22"/>
          <w:lang w:val="es-ES"/>
        </w:rPr>
        <w:t xml:space="preserve"> </w:t>
      </w:r>
    </w:p>
    <w:p w:rsidR="00E67E7B" w:rsidRDefault="00E67E7B" w:rsidP="00E67E7B">
      <w:pPr>
        <w:jc w:val="both"/>
        <w:rPr>
          <w:rFonts w:ascii="Arial" w:hAnsi="Arial" w:cs="Arial"/>
          <w:color w:val="000000" w:themeColor="text1"/>
          <w:lang w:val="es-419"/>
        </w:rPr>
      </w:pPr>
    </w:p>
    <w:p w:rsidR="00E67E7B" w:rsidRPr="004F45DD" w:rsidRDefault="00E67E7B" w:rsidP="00E67E7B">
      <w:pPr>
        <w:jc w:val="both"/>
        <w:rPr>
          <w:rFonts w:ascii="Arial" w:hAnsi="Arial" w:cs="Arial"/>
          <w:color w:val="000000" w:themeColor="text1"/>
          <w:lang w:val="es-419"/>
        </w:rPr>
      </w:pPr>
      <w:r>
        <w:rPr>
          <w:rFonts w:ascii="Arial" w:hAnsi="Arial" w:cs="Arial"/>
          <w:lang w:val="es-419"/>
        </w:rPr>
        <w:t>De acuerdo a</w:t>
      </w:r>
      <w:r w:rsidRPr="004F45DD">
        <w:rPr>
          <w:rFonts w:ascii="Arial" w:hAnsi="Arial" w:cs="Arial"/>
          <w:lang w:val="es-419"/>
        </w:rPr>
        <w:t xml:space="preserve">l </w:t>
      </w:r>
      <w:r w:rsidR="00895334">
        <w:rPr>
          <w:rFonts w:ascii="Arial" w:hAnsi="Arial" w:cs="Arial"/>
          <w:lang w:val="es-419"/>
        </w:rPr>
        <w:t xml:space="preserve">informe técnico preparado para el componente 2 del programa, al mes de </w:t>
      </w:r>
      <w:r w:rsidR="00723B53">
        <w:rPr>
          <w:rFonts w:ascii="Arial" w:hAnsi="Arial" w:cs="Arial"/>
          <w:lang w:val="es-419"/>
        </w:rPr>
        <w:t xml:space="preserve">agosto de </w:t>
      </w:r>
      <w:r w:rsidR="00895334">
        <w:rPr>
          <w:rFonts w:ascii="Arial" w:hAnsi="Arial" w:cs="Arial"/>
          <w:lang w:val="es-419"/>
        </w:rPr>
        <w:t>2018</w:t>
      </w:r>
      <w:r w:rsidRPr="004F45DD">
        <w:rPr>
          <w:rFonts w:ascii="Arial" w:hAnsi="Arial" w:cs="Arial"/>
          <w:lang w:val="es-419"/>
        </w:rPr>
        <w:t xml:space="preserve">, existe un total de </w:t>
      </w:r>
      <w:r w:rsidR="003C6930">
        <w:rPr>
          <w:rFonts w:ascii="Arial" w:hAnsi="Arial" w:cs="Arial"/>
          <w:color w:val="000000" w:themeColor="text1"/>
          <w:lang w:val="es-419"/>
        </w:rPr>
        <w:t>12.103</w:t>
      </w:r>
      <w:r w:rsidRPr="004F45DD">
        <w:rPr>
          <w:rFonts w:ascii="Arial" w:hAnsi="Arial" w:cs="Arial"/>
          <w:color w:val="000000" w:themeColor="text1"/>
          <w:lang w:val="es-419"/>
        </w:rPr>
        <w:t xml:space="preserve"> lámparas </w:t>
      </w:r>
      <w:r w:rsidRPr="004F45DD">
        <w:rPr>
          <w:rFonts w:ascii="Arial" w:hAnsi="Arial" w:cs="Arial"/>
          <w:lang w:val="es-419"/>
        </w:rPr>
        <w:t xml:space="preserve">para el </w:t>
      </w:r>
      <w:r>
        <w:rPr>
          <w:rFonts w:ascii="Arial" w:hAnsi="Arial" w:cs="Arial"/>
          <w:lang w:val="es-419"/>
        </w:rPr>
        <w:t>a</w:t>
      </w:r>
      <w:r w:rsidRPr="004F45DD">
        <w:rPr>
          <w:rFonts w:ascii="Arial" w:hAnsi="Arial" w:cs="Arial"/>
          <w:lang w:val="es-419"/>
        </w:rPr>
        <w:t xml:space="preserve">lumbrado </w:t>
      </w:r>
      <w:r>
        <w:rPr>
          <w:rFonts w:ascii="Arial" w:hAnsi="Arial" w:cs="Arial"/>
          <w:lang w:val="es-419"/>
        </w:rPr>
        <w:t>p</w:t>
      </w:r>
      <w:r w:rsidRPr="004F45DD">
        <w:rPr>
          <w:rFonts w:ascii="Arial" w:hAnsi="Arial" w:cs="Arial"/>
          <w:lang w:val="es-419"/>
        </w:rPr>
        <w:t>úblico</w:t>
      </w:r>
      <w:r>
        <w:rPr>
          <w:rFonts w:ascii="Arial" w:hAnsi="Arial" w:cs="Arial"/>
          <w:lang w:val="es-419"/>
        </w:rPr>
        <w:t xml:space="preserve"> de la ciudad</w:t>
      </w:r>
      <w:r w:rsidRPr="004F45DD">
        <w:rPr>
          <w:rFonts w:ascii="Arial" w:hAnsi="Arial" w:cs="Arial"/>
          <w:lang w:val="es-419"/>
        </w:rPr>
        <w:t xml:space="preserve">, con una carga total conectada </w:t>
      </w:r>
      <w:r w:rsidRPr="00895334">
        <w:rPr>
          <w:rFonts w:ascii="Arial" w:hAnsi="Arial" w:cs="Arial"/>
          <w:lang w:val="es-419"/>
        </w:rPr>
        <w:t xml:space="preserve">de </w:t>
      </w:r>
      <w:r w:rsidRPr="00895334">
        <w:rPr>
          <w:rFonts w:ascii="Arial" w:hAnsi="Arial" w:cs="Arial"/>
          <w:color w:val="000000" w:themeColor="text1"/>
          <w:lang w:val="es-419"/>
        </w:rPr>
        <w:t>1,</w:t>
      </w:r>
      <w:r w:rsidR="00723B53">
        <w:rPr>
          <w:rFonts w:ascii="Arial" w:hAnsi="Arial" w:cs="Arial"/>
          <w:color w:val="000000" w:themeColor="text1"/>
          <w:lang w:val="es-419"/>
        </w:rPr>
        <w:t>889</w:t>
      </w:r>
      <w:r w:rsidRPr="00895334">
        <w:rPr>
          <w:rFonts w:ascii="Arial" w:hAnsi="Arial" w:cs="Arial"/>
          <w:color w:val="000000" w:themeColor="text1"/>
          <w:lang w:val="es-419"/>
        </w:rPr>
        <w:t xml:space="preserve"> kW. La tabla 2 muestra los diferentes tipos de lámparas que se encuentran instalados en </w:t>
      </w:r>
      <w:r w:rsidR="00895334" w:rsidRPr="00895334">
        <w:rPr>
          <w:rFonts w:ascii="Arial" w:hAnsi="Arial" w:cs="Arial"/>
          <w:color w:val="000000" w:themeColor="text1"/>
          <w:lang w:val="es-419"/>
        </w:rPr>
        <w:t>Potosí</w:t>
      </w:r>
      <w:r w:rsidRPr="00895334">
        <w:rPr>
          <w:rFonts w:ascii="Arial" w:hAnsi="Arial" w:cs="Arial"/>
          <w:color w:val="000000" w:themeColor="text1"/>
          <w:lang w:val="es-419"/>
        </w:rPr>
        <w:t>.</w:t>
      </w:r>
      <w:r w:rsidRPr="004F45DD">
        <w:rPr>
          <w:rFonts w:ascii="Arial" w:hAnsi="Arial" w:cs="Arial"/>
          <w:color w:val="000000" w:themeColor="text1"/>
          <w:lang w:val="es-419"/>
        </w:rPr>
        <w:t xml:space="preserve"> </w:t>
      </w:r>
    </w:p>
    <w:p w:rsidR="00E67E7B" w:rsidRDefault="00E67E7B" w:rsidP="00E67E7B">
      <w:pPr>
        <w:jc w:val="center"/>
        <w:rPr>
          <w:rFonts w:ascii="Arial" w:hAnsi="Arial" w:cs="Arial"/>
          <w:color w:val="000000" w:themeColor="text1"/>
          <w:sz w:val="20"/>
          <w:lang w:val="es-419"/>
        </w:rPr>
      </w:pPr>
      <w:r w:rsidRPr="000A2F04">
        <w:rPr>
          <w:rFonts w:ascii="Arial" w:hAnsi="Arial" w:cs="Arial"/>
          <w:b/>
          <w:color w:val="000000" w:themeColor="text1"/>
          <w:sz w:val="20"/>
          <w:lang w:val="es-419"/>
        </w:rPr>
        <w:t xml:space="preserve">Tabla </w:t>
      </w:r>
      <w:r>
        <w:rPr>
          <w:rFonts w:ascii="Arial" w:hAnsi="Arial" w:cs="Arial"/>
          <w:b/>
          <w:color w:val="000000" w:themeColor="text1"/>
          <w:sz w:val="20"/>
          <w:lang w:val="es-419"/>
        </w:rPr>
        <w:t>2</w:t>
      </w:r>
      <w:r w:rsidRPr="000A2F04">
        <w:rPr>
          <w:rFonts w:ascii="Arial" w:hAnsi="Arial" w:cs="Arial"/>
          <w:b/>
          <w:color w:val="000000" w:themeColor="text1"/>
          <w:sz w:val="20"/>
          <w:lang w:val="es-419"/>
        </w:rPr>
        <w:t>:</w:t>
      </w:r>
      <w:r w:rsidRPr="000A2F04">
        <w:rPr>
          <w:rFonts w:ascii="Arial" w:hAnsi="Arial" w:cs="Arial"/>
          <w:color w:val="000000" w:themeColor="text1"/>
          <w:sz w:val="20"/>
          <w:lang w:val="es-419"/>
        </w:rPr>
        <w:t xml:space="preserve"> Tipos de lámparas y potencia en el sistema de alumbrado público de </w:t>
      </w:r>
      <w:r w:rsidR="003C6930">
        <w:rPr>
          <w:rFonts w:ascii="Arial" w:hAnsi="Arial" w:cs="Arial"/>
          <w:color w:val="000000" w:themeColor="text1"/>
          <w:sz w:val="20"/>
          <w:lang w:val="es-419"/>
        </w:rPr>
        <w:t>Potosí</w:t>
      </w:r>
    </w:p>
    <w:tbl>
      <w:tblPr>
        <w:tblW w:w="8327" w:type="dxa"/>
        <w:jc w:val="center"/>
        <w:tblCellMar>
          <w:left w:w="70" w:type="dxa"/>
          <w:right w:w="70" w:type="dxa"/>
        </w:tblCellMar>
        <w:tblLook w:val="04A0" w:firstRow="1" w:lastRow="0" w:firstColumn="1" w:lastColumn="0" w:noHBand="0" w:noVBand="1"/>
      </w:tblPr>
      <w:tblGrid>
        <w:gridCol w:w="2032"/>
        <w:gridCol w:w="2530"/>
        <w:gridCol w:w="1529"/>
        <w:gridCol w:w="9"/>
        <w:gridCol w:w="2227"/>
      </w:tblGrid>
      <w:tr w:rsidR="00723B53" w:rsidRPr="00C71E1E" w:rsidTr="00723B53">
        <w:trPr>
          <w:trHeight w:val="833"/>
          <w:jc w:val="center"/>
        </w:trPr>
        <w:tc>
          <w:tcPr>
            <w:tcW w:w="2032" w:type="dxa"/>
            <w:tcBorders>
              <w:top w:val="single" w:sz="4" w:space="0" w:color="auto"/>
              <w:left w:val="single" w:sz="4" w:space="0" w:color="auto"/>
              <w:bottom w:val="single" w:sz="4" w:space="0" w:color="auto"/>
              <w:right w:val="single" w:sz="4" w:space="0" w:color="auto"/>
            </w:tcBorders>
            <w:shd w:val="clear" w:color="000000" w:fill="DDDDDD"/>
            <w:noWrap/>
            <w:vAlign w:val="center"/>
            <w:hideMark/>
          </w:tcPr>
          <w:p w:rsidR="00723B53" w:rsidRPr="00C71E1E" w:rsidRDefault="00723B53" w:rsidP="00895334">
            <w:pPr>
              <w:jc w:val="center"/>
              <w:rPr>
                <w:rFonts w:ascii="Arial" w:hAnsi="Arial" w:cs="Arial"/>
                <w:b/>
                <w:bCs/>
                <w:color w:val="000000"/>
                <w:sz w:val="16"/>
                <w:szCs w:val="18"/>
              </w:rPr>
            </w:pPr>
            <w:r w:rsidRPr="00C71E1E">
              <w:rPr>
                <w:rFonts w:ascii="Arial" w:hAnsi="Arial" w:cs="Arial"/>
                <w:b/>
                <w:bCs/>
                <w:color w:val="000000"/>
                <w:sz w:val="16"/>
                <w:szCs w:val="18"/>
              </w:rPr>
              <w:t>Sistema actual</w:t>
            </w:r>
          </w:p>
        </w:tc>
        <w:tc>
          <w:tcPr>
            <w:tcW w:w="2530" w:type="dxa"/>
            <w:tcBorders>
              <w:top w:val="single" w:sz="4" w:space="0" w:color="auto"/>
              <w:left w:val="single" w:sz="4" w:space="0" w:color="auto"/>
              <w:bottom w:val="single" w:sz="4" w:space="0" w:color="auto"/>
              <w:right w:val="single" w:sz="4" w:space="0" w:color="auto"/>
            </w:tcBorders>
            <w:shd w:val="clear" w:color="000000" w:fill="DDDDDD"/>
            <w:vAlign w:val="center"/>
          </w:tcPr>
          <w:p w:rsidR="00723B53" w:rsidRPr="00C71E1E" w:rsidRDefault="00723B53" w:rsidP="00895334">
            <w:pPr>
              <w:jc w:val="center"/>
              <w:rPr>
                <w:rFonts w:ascii="Arial" w:hAnsi="Arial" w:cs="Arial"/>
                <w:b/>
                <w:bCs/>
                <w:color w:val="000000"/>
                <w:sz w:val="16"/>
                <w:szCs w:val="18"/>
              </w:rPr>
            </w:pPr>
            <w:r w:rsidRPr="00C71E1E">
              <w:rPr>
                <w:rFonts w:ascii="Arial" w:hAnsi="Arial" w:cs="Arial"/>
                <w:b/>
                <w:bCs/>
                <w:color w:val="000000"/>
                <w:sz w:val="16"/>
                <w:szCs w:val="18"/>
              </w:rPr>
              <w:t>Potencia</w:t>
            </w:r>
          </w:p>
        </w:tc>
        <w:tc>
          <w:tcPr>
            <w:tcW w:w="1538" w:type="dxa"/>
            <w:gridSpan w:val="2"/>
            <w:tcBorders>
              <w:top w:val="single" w:sz="4" w:space="0" w:color="auto"/>
              <w:left w:val="single" w:sz="4" w:space="0" w:color="auto"/>
              <w:bottom w:val="single" w:sz="4" w:space="0" w:color="auto"/>
              <w:right w:val="single" w:sz="4" w:space="0" w:color="auto"/>
            </w:tcBorders>
            <w:shd w:val="clear" w:color="000000" w:fill="DDDDDD"/>
            <w:noWrap/>
            <w:vAlign w:val="center"/>
            <w:hideMark/>
          </w:tcPr>
          <w:p w:rsidR="00723B53" w:rsidRPr="00C71E1E" w:rsidRDefault="00723B53" w:rsidP="00895334">
            <w:pPr>
              <w:jc w:val="center"/>
              <w:rPr>
                <w:rFonts w:ascii="Arial" w:hAnsi="Arial" w:cs="Arial"/>
                <w:b/>
                <w:bCs/>
                <w:color w:val="000000"/>
                <w:sz w:val="16"/>
                <w:szCs w:val="18"/>
              </w:rPr>
            </w:pPr>
            <w:r>
              <w:rPr>
                <w:rFonts w:ascii="Arial" w:hAnsi="Arial" w:cs="Arial"/>
                <w:b/>
                <w:bCs/>
                <w:color w:val="000000"/>
                <w:sz w:val="16"/>
                <w:szCs w:val="18"/>
              </w:rPr>
              <w:t>Cantidad</w:t>
            </w:r>
          </w:p>
        </w:tc>
        <w:tc>
          <w:tcPr>
            <w:tcW w:w="2227" w:type="dxa"/>
            <w:tcBorders>
              <w:top w:val="single" w:sz="4" w:space="0" w:color="auto"/>
              <w:left w:val="single" w:sz="4" w:space="0" w:color="auto"/>
              <w:bottom w:val="single" w:sz="4" w:space="0" w:color="auto"/>
              <w:right w:val="single" w:sz="4" w:space="0" w:color="auto"/>
            </w:tcBorders>
            <w:shd w:val="clear" w:color="000000" w:fill="DDDDDD"/>
            <w:vAlign w:val="center"/>
          </w:tcPr>
          <w:p w:rsidR="00723B53" w:rsidRPr="00C71E1E" w:rsidRDefault="00723B53" w:rsidP="00895334">
            <w:pPr>
              <w:jc w:val="center"/>
              <w:rPr>
                <w:rFonts w:ascii="Arial" w:hAnsi="Arial" w:cs="Arial"/>
                <w:b/>
                <w:bCs/>
                <w:color w:val="000000"/>
                <w:sz w:val="16"/>
                <w:szCs w:val="18"/>
              </w:rPr>
            </w:pPr>
            <w:r>
              <w:rPr>
                <w:rFonts w:ascii="Arial" w:hAnsi="Arial" w:cs="Arial"/>
                <w:b/>
                <w:bCs/>
                <w:color w:val="000000"/>
                <w:sz w:val="16"/>
                <w:szCs w:val="18"/>
              </w:rPr>
              <w:t>Aplicación</w:t>
            </w:r>
          </w:p>
        </w:tc>
      </w:tr>
      <w:tr w:rsidR="003C6930" w:rsidRPr="00C71E1E" w:rsidTr="003C6930">
        <w:trPr>
          <w:trHeight w:val="188"/>
          <w:jc w:val="center"/>
        </w:trPr>
        <w:tc>
          <w:tcPr>
            <w:tcW w:w="2032" w:type="dxa"/>
            <w:tcBorders>
              <w:top w:val="nil"/>
              <w:left w:val="single" w:sz="4" w:space="0" w:color="auto"/>
              <w:bottom w:val="single" w:sz="4" w:space="0" w:color="auto"/>
              <w:right w:val="single" w:sz="4" w:space="0" w:color="auto"/>
            </w:tcBorders>
            <w:shd w:val="clear" w:color="000000" w:fill="FFFFFF"/>
            <w:noWrap/>
            <w:vAlign w:val="center"/>
            <w:hideMark/>
          </w:tcPr>
          <w:p w:rsidR="003C6930" w:rsidRPr="00C71E1E" w:rsidRDefault="003C6930" w:rsidP="00895334">
            <w:pPr>
              <w:ind w:left="209"/>
              <w:rPr>
                <w:rFonts w:ascii="Arial" w:hAnsi="Arial" w:cs="Arial"/>
                <w:color w:val="000000"/>
                <w:sz w:val="16"/>
                <w:szCs w:val="18"/>
              </w:rPr>
            </w:pPr>
            <w:r w:rsidRPr="00C71E1E">
              <w:rPr>
                <w:rFonts w:ascii="Arial" w:hAnsi="Arial" w:cs="Arial"/>
                <w:color w:val="000000"/>
                <w:sz w:val="16"/>
                <w:szCs w:val="18"/>
              </w:rPr>
              <w:t xml:space="preserve">LEDs </w:t>
            </w:r>
          </w:p>
        </w:tc>
        <w:tc>
          <w:tcPr>
            <w:tcW w:w="2530" w:type="dxa"/>
            <w:tcBorders>
              <w:top w:val="nil"/>
              <w:left w:val="single" w:sz="4" w:space="0" w:color="auto"/>
              <w:bottom w:val="single" w:sz="4" w:space="0" w:color="auto"/>
              <w:right w:val="single" w:sz="4" w:space="0" w:color="auto"/>
            </w:tcBorders>
            <w:shd w:val="clear" w:color="000000" w:fill="FFFFFF"/>
            <w:vAlign w:val="center"/>
          </w:tcPr>
          <w:p w:rsidR="003C6930" w:rsidRPr="00C71E1E" w:rsidRDefault="003C6930" w:rsidP="00895334">
            <w:pPr>
              <w:jc w:val="center"/>
              <w:rPr>
                <w:rFonts w:ascii="Arial" w:hAnsi="Arial" w:cs="Arial"/>
                <w:color w:val="000000"/>
                <w:sz w:val="16"/>
                <w:szCs w:val="18"/>
              </w:rPr>
            </w:pPr>
            <w:r>
              <w:rPr>
                <w:rFonts w:ascii="Arial" w:hAnsi="Arial" w:cs="Arial"/>
                <w:color w:val="000000"/>
                <w:sz w:val="16"/>
                <w:szCs w:val="18"/>
              </w:rPr>
              <w:t>210</w:t>
            </w:r>
            <w:r w:rsidRPr="00C71E1E">
              <w:rPr>
                <w:rFonts w:ascii="Arial" w:hAnsi="Arial" w:cs="Arial"/>
                <w:color w:val="000000"/>
                <w:sz w:val="16"/>
                <w:szCs w:val="18"/>
              </w:rPr>
              <w:t xml:space="preserve"> W</w:t>
            </w:r>
          </w:p>
        </w:tc>
        <w:tc>
          <w:tcPr>
            <w:tcW w:w="1529" w:type="dxa"/>
            <w:tcBorders>
              <w:top w:val="nil"/>
              <w:left w:val="nil"/>
              <w:bottom w:val="single" w:sz="4" w:space="0" w:color="auto"/>
              <w:right w:val="single" w:sz="4" w:space="0" w:color="auto"/>
            </w:tcBorders>
            <w:shd w:val="clear" w:color="000000" w:fill="FFFFFF"/>
            <w:noWrap/>
            <w:vAlign w:val="center"/>
            <w:hideMark/>
          </w:tcPr>
          <w:p w:rsidR="003C6930" w:rsidRPr="00C71E1E" w:rsidRDefault="003C6930" w:rsidP="00895334">
            <w:pPr>
              <w:jc w:val="center"/>
              <w:rPr>
                <w:rFonts w:ascii="Arial" w:hAnsi="Arial" w:cs="Arial"/>
                <w:color w:val="000000"/>
                <w:sz w:val="16"/>
                <w:szCs w:val="18"/>
              </w:rPr>
            </w:pPr>
            <w:r>
              <w:rPr>
                <w:rFonts w:ascii="Arial" w:hAnsi="Arial" w:cs="Arial"/>
                <w:color w:val="000000"/>
                <w:sz w:val="16"/>
                <w:szCs w:val="18"/>
              </w:rPr>
              <w:t>600</w:t>
            </w:r>
          </w:p>
        </w:tc>
        <w:tc>
          <w:tcPr>
            <w:tcW w:w="2236" w:type="dxa"/>
            <w:gridSpan w:val="2"/>
            <w:tcBorders>
              <w:top w:val="nil"/>
              <w:left w:val="nil"/>
              <w:bottom w:val="single" w:sz="4" w:space="0" w:color="auto"/>
              <w:right w:val="single" w:sz="4" w:space="0" w:color="auto"/>
            </w:tcBorders>
            <w:shd w:val="clear" w:color="000000" w:fill="FFFFFF"/>
            <w:noWrap/>
            <w:vAlign w:val="center"/>
            <w:hideMark/>
          </w:tcPr>
          <w:p w:rsidR="003C6930" w:rsidRPr="00C71E1E" w:rsidRDefault="003C6930" w:rsidP="00895334">
            <w:pPr>
              <w:jc w:val="center"/>
              <w:rPr>
                <w:rFonts w:ascii="Arial" w:hAnsi="Arial" w:cs="Arial"/>
                <w:color w:val="000000"/>
                <w:sz w:val="16"/>
                <w:szCs w:val="18"/>
              </w:rPr>
            </w:pPr>
            <w:r w:rsidRPr="00C71E1E">
              <w:rPr>
                <w:rFonts w:ascii="Arial" w:hAnsi="Arial" w:cs="Arial"/>
                <w:color w:val="000000"/>
                <w:sz w:val="16"/>
                <w:szCs w:val="18"/>
              </w:rPr>
              <w:t xml:space="preserve">Alumbrado de </w:t>
            </w:r>
            <w:r>
              <w:rPr>
                <w:rFonts w:ascii="Arial" w:hAnsi="Arial" w:cs="Arial"/>
                <w:color w:val="000000"/>
                <w:sz w:val="16"/>
                <w:szCs w:val="18"/>
              </w:rPr>
              <w:t>avenidas</w:t>
            </w:r>
          </w:p>
        </w:tc>
      </w:tr>
      <w:tr w:rsidR="003C6930" w:rsidRPr="00C71E1E" w:rsidTr="003C6930">
        <w:trPr>
          <w:trHeight w:val="188"/>
          <w:jc w:val="center"/>
        </w:trPr>
        <w:tc>
          <w:tcPr>
            <w:tcW w:w="2032" w:type="dxa"/>
            <w:tcBorders>
              <w:top w:val="nil"/>
              <w:left w:val="single" w:sz="4" w:space="0" w:color="auto"/>
              <w:bottom w:val="single" w:sz="4" w:space="0" w:color="auto"/>
              <w:right w:val="single" w:sz="4" w:space="0" w:color="auto"/>
            </w:tcBorders>
            <w:shd w:val="clear" w:color="000000" w:fill="FFFFFF"/>
            <w:noWrap/>
            <w:vAlign w:val="center"/>
            <w:hideMark/>
          </w:tcPr>
          <w:p w:rsidR="003C6930" w:rsidRPr="00C71E1E" w:rsidRDefault="003C6930" w:rsidP="00895334">
            <w:pPr>
              <w:ind w:left="209"/>
              <w:rPr>
                <w:rFonts w:ascii="Arial" w:hAnsi="Arial" w:cs="Arial"/>
                <w:color w:val="000000"/>
                <w:sz w:val="16"/>
                <w:szCs w:val="18"/>
              </w:rPr>
            </w:pPr>
            <w:r w:rsidRPr="00C71E1E">
              <w:rPr>
                <w:rFonts w:ascii="Arial" w:hAnsi="Arial" w:cs="Arial"/>
                <w:color w:val="000000"/>
                <w:sz w:val="16"/>
                <w:szCs w:val="18"/>
              </w:rPr>
              <w:t xml:space="preserve">LEDs </w:t>
            </w:r>
          </w:p>
        </w:tc>
        <w:tc>
          <w:tcPr>
            <w:tcW w:w="2530" w:type="dxa"/>
            <w:tcBorders>
              <w:top w:val="nil"/>
              <w:left w:val="single" w:sz="4" w:space="0" w:color="auto"/>
              <w:bottom w:val="single" w:sz="4" w:space="0" w:color="auto"/>
              <w:right w:val="single" w:sz="4" w:space="0" w:color="auto"/>
            </w:tcBorders>
            <w:shd w:val="clear" w:color="000000" w:fill="FFFFFF"/>
            <w:vAlign w:val="center"/>
          </w:tcPr>
          <w:p w:rsidR="003C6930" w:rsidRPr="00C71E1E" w:rsidRDefault="003C6930" w:rsidP="00895334">
            <w:pPr>
              <w:jc w:val="center"/>
              <w:rPr>
                <w:rFonts w:ascii="Arial" w:hAnsi="Arial" w:cs="Arial"/>
                <w:color w:val="000000"/>
                <w:sz w:val="16"/>
                <w:szCs w:val="18"/>
              </w:rPr>
            </w:pPr>
            <w:r>
              <w:rPr>
                <w:rFonts w:ascii="Arial" w:hAnsi="Arial" w:cs="Arial"/>
                <w:color w:val="000000"/>
                <w:sz w:val="16"/>
                <w:szCs w:val="18"/>
              </w:rPr>
              <w:t>270</w:t>
            </w:r>
            <w:r w:rsidRPr="00C71E1E">
              <w:rPr>
                <w:rFonts w:ascii="Arial" w:hAnsi="Arial" w:cs="Arial"/>
                <w:color w:val="000000"/>
                <w:sz w:val="16"/>
                <w:szCs w:val="18"/>
              </w:rPr>
              <w:t xml:space="preserve"> W</w:t>
            </w:r>
          </w:p>
        </w:tc>
        <w:tc>
          <w:tcPr>
            <w:tcW w:w="1529" w:type="dxa"/>
            <w:tcBorders>
              <w:top w:val="nil"/>
              <w:left w:val="nil"/>
              <w:bottom w:val="single" w:sz="4" w:space="0" w:color="auto"/>
              <w:right w:val="single" w:sz="4" w:space="0" w:color="auto"/>
            </w:tcBorders>
            <w:shd w:val="clear" w:color="000000" w:fill="FFFFFF"/>
            <w:noWrap/>
            <w:vAlign w:val="center"/>
            <w:hideMark/>
          </w:tcPr>
          <w:p w:rsidR="003C6930" w:rsidRPr="00C71E1E" w:rsidRDefault="003C6930" w:rsidP="00895334">
            <w:pPr>
              <w:jc w:val="center"/>
              <w:rPr>
                <w:rFonts w:ascii="Arial" w:hAnsi="Arial" w:cs="Arial"/>
                <w:color w:val="000000"/>
                <w:sz w:val="16"/>
                <w:szCs w:val="18"/>
              </w:rPr>
            </w:pPr>
            <w:r>
              <w:rPr>
                <w:rFonts w:ascii="Arial" w:hAnsi="Arial" w:cs="Arial"/>
                <w:color w:val="000000"/>
                <w:sz w:val="16"/>
                <w:szCs w:val="18"/>
              </w:rPr>
              <w:t>114</w:t>
            </w:r>
          </w:p>
        </w:tc>
        <w:tc>
          <w:tcPr>
            <w:tcW w:w="2236" w:type="dxa"/>
            <w:gridSpan w:val="2"/>
            <w:tcBorders>
              <w:top w:val="nil"/>
              <w:left w:val="nil"/>
              <w:bottom w:val="single" w:sz="4" w:space="0" w:color="auto"/>
              <w:right w:val="single" w:sz="4" w:space="0" w:color="auto"/>
            </w:tcBorders>
            <w:shd w:val="clear" w:color="000000" w:fill="FFFFFF"/>
            <w:noWrap/>
            <w:vAlign w:val="center"/>
            <w:hideMark/>
          </w:tcPr>
          <w:p w:rsidR="003C6930" w:rsidRPr="00C71E1E" w:rsidRDefault="003C6930" w:rsidP="00895334">
            <w:pPr>
              <w:jc w:val="center"/>
              <w:rPr>
                <w:rFonts w:ascii="Arial" w:hAnsi="Arial" w:cs="Arial"/>
                <w:color w:val="000000"/>
                <w:sz w:val="16"/>
                <w:szCs w:val="18"/>
              </w:rPr>
            </w:pPr>
            <w:r w:rsidRPr="00C71E1E">
              <w:rPr>
                <w:rFonts w:ascii="Arial" w:hAnsi="Arial" w:cs="Arial"/>
                <w:color w:val="000000"/>
                <w:sz w:val="16"/>
                <w:szCs w:val="18"/>
              </w:rPr>
              <w:t xml:space="preserve">Alumbrado de </w:t>
            </w:r>
            <w:r>
              <w:rPr>
                <w:rFonts w:ascii="Arial" w:hAnsi="Arial" w:cs="Arial"/>
                <w:color w:val="000000"/>
                <w:sz w:val="16"/>
                <w:szCs w:val="18"/>
              </w:rPr>
              <w:t>avenidas</w:t>
            </w:r>
          </w:p>
        </w:tc>
      </w:tr>
      <w:tr w:rsidR="003C6930" w:rsidRPr="00C71E1E" w:rsidTr="003C6930">
        <w:trPr>
          <w:trHeight w:val="188"/>
          <w:jc w:val="center"/>
        </w:trPr>
        <w:tc>
          <w:tcPr>
            <w:tcW w:w="2032" w:type="dxa"/>
            <w:vMerge w:val="restart"/>
            <w:tcBorders>
              <w:top w:val="single" w:sz="4" w:space="0" w:color="auto"/>
              <w:left w:val="single" w:sz="4" w:space="0" w:color="auto"/>
              <w:right w:val="single" w:sz="4" w:space="0" w:color="auto"/>
            </w:tcBorders>
            <w:shd w:val="clear" w:color="000000" w:fill="FFFFFF"/>
            <w:noWrap/>
            <w:vAlign w:val="center"/>
            <w:hideMark/>
          </w:tcPr>
          <w:p w:rsidR="003C6930" w:rsidRPr="003C6930" w:rsidRDefault="003C6930" w:rsidP="00895334">
            <w:pPr>
              <w:ind w:left="209"/>
              <w:rPr>
                <w:rFonts w:ascii="Arial" w:hAnsi="Arial" w:cs="Arial"/>
                <w:color w:val="000000"/>
                <w:sz w:val="16"/>
                <w:szCs w:val="18"/>
                <w:lang w:val="es-ES_tradnl"/>
              </w:rPr>
            </w:pPr>
            <w:r w:rsidRPr="003C6930">
              <w:rPr>
                <w:rFonts w:ascii="Arial" w:hAnsi="Arial" w:cs="Arial"/>
                <w:color w:val="000000"/>
                <w:sz w:val="16"/>
                <w:szCs w:val="18"/>
                <w:lang w:val="es-ES_tradnl"/>
              </w:rPr>
              <w:t xml:space="preserve">Vapor de sodio alta presión  </w:t>
            </w:r>
          </w:p>
        </w:tc>
        <w:tc>
          <w:tcPr>
            <w:tcW w:w="2530" w:type="dxa"/>
            <w:tcBorders>
              <w:top w:val="single" w:sz="4" w:space="0" w:color="auto"/>
              <w:left w:val="single" w:sz="4" w:space="0" w:color="auto"/>
              <w:bottom w:val="single" w:sz="4" w:space="0" w:color="auto"/>
              <w:right w:val="single" w:sz="4" w:space="0" w:color="auto"/>
            </w:tcBorders>
            <w:shd w:val="clear" w:color="000000" w:fill="FFFFFF"/>
            <w:vAlign w:val="center"/>
          </w:tcPr>
          <w:p w:rsidR="003C6930" w:rsidRPr="00C71E1E" w:rsidRDefault="003C6930" w:rsidP="00895334">
            <w:pPr>
              <w:jc w:val="center"/>
              <w:rPr>
                <w:rFonts w:ascii="Arial" w:hAnsi="Arial" w:cs="Arial"/>
                <w:color w:val="000000"/>
                <w:sz w:val="16"/>
                <w:szCs w:val="18"/>
              </w:rPr>
            </w:pPr>
            <w:r w:rsidRPr="00C71E1E">
              <w:rPr>
                <w:rFonts w:ascii="Arial" w:hAnsi="Arial" w:cs="Arial"/>
                <w:color w:val="000000"/>
                <w:sz w:val="16"/>
                <w:szCs w:val="18"/>
              </w:rPr>
              <w:t>400 W</w:t>
            </w:r>
          </w:p>
        </w:tc>
        <w:tc>
          <w:tcPr>
            <w:tcW w:w="1529" w:type="dxa"/>
            <w:tcBorders>
              <w:top w:val="single" w:sz="4" w:space="0" w:color="auto"/>
              <w:left w:val="nil"/>
              <w:bottom w:val="single" w:sz="4" w:space="0" w:color="auto"/>
              <w:right w:val="single" w:sz="4" w:space="0" w:color="auto"/>
            </w:tcBorders>
            <w:shd w:val="clear" w:color="000000" w:fill="FFFFFF"/>
            <w:noWrap/>
            <w:vAlign w:val="center"/>
            <w:hideMark/>
          </w:tcPr>
          <w:p w:rsidR="003C6930" w:rsidRPr="00C71E1E" w:rsidRDefault="003C6930" w:rsidP="00895334">
            <w:pPr>
              <w:jc w:val="center"/>
              <w:rPr>
                <w:rFonts w:ascii="Arial" w:hAnsi="Arial" w:cs="Arial"/>
                <w:color w:val="000000"/>
                <w:sz w:val="16"/>
                <w:szCs w:val="18"/>
              </w:rPr>
            </w:pPr>
            <w:r>
              <w:rPr>
                <w:rFonts w:ascii="Arial" w:hAnsi="Arial" w:cs="Arial"/>
                <w:color w:val="000000"/>
                <w:sz w:val="16"/>
                <w:szCs w:val="18"/>
              </w:rPr>
              <w:t>27</w:t>
            </w:r>
          </w:p>
        </w:tc>
        <w:tc>
          <w:tcPr>
            <w:tcW w:w="22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C6930" w:rsidRPr="00C71E1E" w:rsidRDefault="003C6930" w:rsidP="00895334">
            <w:pPr>
              <w:jc w:val="center"/>
              <w:rPr>
                <w:rFonts w:ascii="Arial" w:hAnsi="Arial" w:cs="Arial"/>
                <w:color w:val="000000"/>
                <w:sz w:val="16"/>
                <w:szCs w:val="18"/>
              </w:rPr>
            </w:pPr>
            <w:r w:rsidRPr="00C71E1E">
              <w:rPr>
                <w:rFonts w:ascii="Arial" w:hAnsi="Arial" w:cs="Arial"/>
                <w:color w:val="000000"/>
                <w:sz w:val="16"/>
                <w:szCs w:val="18"/>
              </w:rPr>
              <w:t xml:space="preserve">Alumbrado de </w:t>
            </w:r>
            <w:r>
              <w:rPr>
                <w:rFonts w:ascii="Arial" w:hAnsi="Arial" w:cs="Arial"/>
                <w:color w:val="000000"/>
                <w:sz w:val="16"/>
                <w:szCs w:val="18"/>
              </w:rPr>
              <w:t>avenidas</w:t>
            </w:r>
          </w:p>
        </w:tc>
      </w:tr>
      <w:tr w:rsidR="003C6930" w:rsidRPr="00C71E1E" w:rsidTr="00723B53">
        <w:trPr>
          <w:trHeight w:val="188"/>
          <w:jc w:val="center"/>
        </w:trPr>
        <w:tc>
          <w:tcPr>
            <w:tcW w:w="2032" w:type="dxa"/>
            <w:vMerge/>
            <w:tcBorders>
              <w:left w:val="single" w:sz="4" w:space="0" w:color="auto"/>
              <w:right w:val="single" w:sz="4" w:space="0" w:color="auto"/>
            </w:tcBorders>
            <w:shd w:val="clear" w:color="000000" w:fill="FFFFFF"/>
            <w:noWrap/>
            <w:vAlign w:val="center"/>
            <w:hideMark/>
          </w:tcPr>
          <w:p w:rsidR="003C6930" w:rsidRPr="00C71E1E" w:rsidRDefault="003C6930" w:rsidP="00895334">
            <w:pPr>
              <w:ind w:left="209"/>
              <w:rPr>
                <w:rFonts w:ascii="Arial" w:hAnsi="Arial" w:cs="Arial"/>
                <w:color w:val="000000"/>
                <w:sz w:val="16"/>
                <w:szCs w:val="18"/>
              </w:rPr>
            </w:pPr>
          </w:p>
        </w:tc>
        <w:tc>
          <w:tcPr>
            <w:tcW w:w="2530" w:type="dxa"/>
            <w:tcBorders>
              <w:top w:val="nil"/>
              <w:left w:val="single" w:sz="4" w:space="0" w:color="auto"/>
              <w:bottom w:val="single" w:sz="4" w:space="0" w:color="auto"/>
              <w:right w:val="single" w:sz="4" w:space="0" w:color="auto"/>
            </w:tcBorders>
            <w:shd w:val="clear" w:color="000000" w:fill="FFFFFF"/>
            <w:vAlign w:val="center"/>
          </w:tcPr>
          <w:p w:rsidR="003C6930" w:rsidRPr="00C71E1E" w:rsidRDefault="003C6930" w:rsidP="00895334">
            <w:pPr>
              <w:jc w:val="center"/>
              <w:rPr>
                <w:rFonts w:ascii="Arial" w:hAnsi="Arial" w:cs="Arial"/>
                <w:color w:val="000000"/>
                <w:sz w:val="16"/>
                <w:szCs w:val="18"/>
              </w:rPr>
            </w:pPr>
            <w:r w:rsidRPr="00C71E1E">
              <w:rPr>
                <w:rFonts w:ascii="Arial" w:hAnsi="Arial" w:cs="Arial"/>
                <w:color w:val="000000"/>
                <w:sz w:val="16"/>
                <w:szCs w:val="18"/>
              </w:rPr>
              <w:t>250 W</w:t>
            </w:r>
          </w:p>
        </w:tc>
        <w:tc>
          <w:tcPr>
            <w:tcW w:w="1529" w:type="dxa"/>
            <w:tcBorders>
              <w:top w:val="nil"/>
              <w:left w:val="nil"/>
              <w:bottom w:val="single" w:sz="4" w:space="0" w:color="auto"/>
              <w:right w:val="single" w:sz="4" w:space="0" w:color="auto"/>
            </w:tcBorders>
            <w:shd w:val="clear" w:color="000000" w:fill="FFFFFF"/>
            <w:noWrap/>
            <w:vAlign w:val="center"/>
            <w:hideMark/>
          </w:tcPr>
          <w:p w:rsidR="003C6930" w:rsidRPr="00C71E1E" w:rsidRDefault="003C6930" w:rsidP="00895334">
            <w:pPr>
              <w:jc w:val="center"/>
              <w:rPr>
                <w:rFonts w:ascii="Arial" w:hAnsi="Arial" w:cs="Arial"/>
                <w:color w:val="000000"/>
                <w:sz w:val="16"/>
                <w:szCs w:val="18"/>
              </w:rPr>
            </w:pPr>
            <w:r>
              <w:rPr>
                <w:rFonts w:ascii="Arial" w:hAnsi="Arial" w:cs="Arial"/>
                <w:color w:val="000000"/>
                <w:sz w:val="16"/>
                <w:szCs w:val="18"/>
              </w:rPr>
              <w:t>1,870</w:t>
            </w:r>
          </w:p>
        </w:tc>
        <w:tc>
          <w:tcPr>
            <w:tcW w:w="2236" w:type="dxa"/>
            <w:gridSpan w:val="2"/>
            <w:tcBorders>
              <w:top w:val="nil"/>
              <w:left w:val="nil"/>
              <w:bottom w:val="single" w:sz="4" w:space="0" w:color="auto"/>
              <w:right w:val="single" w:sz="4" w:space="0" w:color="auto"/>
            </w:tcBorders>
            <w:shd w:val="clear" w:color="000000" w:fill="FFFFFF"/>
            <w:noWrap/>
            <w:vAlign w:val="center"/>
            <w:hideMark/>
          </w:tcPr>
          <w:p w:rsidR="003C6930" w:rsidRPr="00C71E1E" w:rsidRDefault="003C6930" w:rsidP="00895334">
            <w:pPr>
              <w:jc w:val="center"/>
              <w:rPr>
                <w:rFonts w:ascii="Arial" w:hAnsi="Arial" w:cs="Arial"/>
                <w:color w:val="000000"/>
                <w:sz w:val="16"/>
                <w:szCs w:val="18"/>
              </w:rPr>
            </w:pPr>
            <w:r w:rsidRPr="00C71E1E">
              <w:rPr>
                <w:rFonts w:ascii="Arial" w:hAnsi="Arial" w:cs="Arial"/>
                <w:color w:val="000000"/>
                <w:sz w:val="16"/>
                <w:szCs w:val="18"/>
              </w:rPr>
              <w:t xml:space="preserve">Alumbrado de </w:t>
            </w:r>
            <w:r>
              <w:rPr>
                <w:rFonts w:ascii="Arial" w:hAnsi="Arial" w:cs="Arial"/>
                <w:color w:val="000000"/>
                <w:sz w:val="16"/>
                <w:szCs w:val="18"/>
              </w:rPr>
              <w:t>avenidas</w:t>
            </w:r>
          </w:p>
        </w:tc>
      </w:tr>
      <w:tr w:rsidR="00723B53" w:rsidRPr="00C71E1E" w:rsidTr="00723B53">
        <w:trPr>
          <w:trHeight w:val="823"/>
          <w:jc w:val="center"/>
        </w:trPr>
        <w:tc>
          <w:tcPr>
            <w:tcW w:w="2032" w:type="dxa"/>
            <w:vMerge/>
            <w:tcBorders>
              <w:left w:val="single" w:sz="4" w:space="0" w:color="auto"/>
              <w:right w:val="single" w:sz="4" w:space="0" w:color="auto"/>
            </w:tcBorders>
            <w:shd w:val="clear" w:color="000000" w:fill="FFFFFF"/>
            <w:noWrap/>
            <w:vAlign w:val="center"/>
            <w:hideMark/>
          </w:tcPr>
          <w:p w:rsidR="00723B53" w:rsidRPr="00C71E1E" w:rsidRDefault="00723B53" w:rsidP="00895334">
            <w:pPr>
              <w:ind w:left="209"/>
              <w:rPr>
                <w:rFonts w:ascii="Arial" w:hAnsi="Arial" w:cs="Arial"/>
                <w:color w:val="000000"/>
                <w:sz w:val="16"/>
                <w:szCs w:val="18"/>
              </w:rPr>
            </w:pPr>
          </w:p>
        </w:tc>
        <w:tc>
          <w:tcPr>
            <w:tcW w:w="2530" w:type="dxa"/>
            <w:tcBorders>
              <w:top w:val="single" w:sz="4" w:space="0" w:color="auto"/>
              <w:left w:val="single" w:sz="4" w:space="0" w:color="auto"/>
              <w:bottom w:val="single" w:sz="4" w:space="0" w:color="auto"/>
              <w:right w:val="single" w:sz="4" w:space="0" w:color="auto"/>
            </w:tcBorders>
            <w:shd w:val="clear" w:color="000000" w:fill="FFFFFF"/>
            <w:vAlign w:val="center"/>
          </w:tcPr>
          <w:p w:rsidR="00723B53" w:rsidRPr="00C71E1E" w:rsidRDefault="00723B53" w:rsidP="00895334">
            <w:pPr>
              <w:jc w:val="center"/>
              <w:rPr>
                <w:rFonts w:ascii="Arial" w:hAnsi="Arial" w:cs="Arial"/>
                <w:color w:val="000000"/>
                <w:sz w:val="16"/>
                <w:szCs w:val="18"/>
              </w:rPr>
            </w:pPr>
            <w:r w:rsidRPr="00C71E1E">
              <w:rPr>
                <w:rFonts w:ascii="Arial" w:hAnsi="Arial" w:cs="Arial"/>
                <w:color w:val="000000"/>
                <w:sz w:val="16"/>
                <w:szCs w:val="18"/>
              </w:rPr>
              <w:t>150 W</w:t>
            </w:r>
          </w:p>
        </w:tc>
        <w:tc>
          <w:tcPr>
            <w:tcW w:w="1529" w:type="dxa"/>
            <w:tcBorders>
              <w:top w:val="single" w:sz="4" w:space="0" w:color="auto"/>
              <w:left w:val="nil"/>
              <w:bottom w:val="single" w:sz="4" w:space="0" w:color="auto"/>
              <w:right w:val="single" w:sz="4" w:space="0" w:color="auto"/>
            </w:tcBorders>
            <w:shd w:val="clear" w:color="000000" w:fill="FFFFFF"/>
            <w:noWrap/>
            <w:vAlign w:val="center"/>
            <w:hideMark/>
          </w:tcPr>
          <w:p w:rsidR="00723B53" w:rsidRPr="00C71E1E" w:rsidRDefault="00723B53" w:rsidP="00895334">
            <w:pPr>
              <w:jc w:val="center"/>
              <w:rPr>
                <w:rFonts w:ascii="Arial" w:hAnsi="Arial" w:cs="Arial"/>
                <w:color w:val="000000"/>
                <w:sz w:val="16"/>
                <w:szCs w:val="18"/>
              </w:rPr>
            </w:pPr>
            <w:r>
              <w:rPr>
                <w:rFonts w:ascii="Arial" w:hAnsi="Arial" w:cs="Arial"/>
                <w:color w:val="000000"/>
                <w:sz w:val="16"/>
                <w:szCs w:val="18"/>
              </w:rPr>
              <w:t>6,893</w:t>
            </w:r>
          </w:p>
        </w:tc>
        <w:tc>
          <w:tcPr>
            <w:tcW w:w="22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23B53" w:rsidRPr="00C71E1E" w:rsidRDefault="00723B53" w:rsidP="00895334">
            <w:pPr>
              <w:jc w:val="center"/>
              <w:rPr>
                <w:rFonts w:ascii="Arial" w:hAnsi="Arial" w:cs="Arial"/>
                <w:color w:val="000000"/>
                <w:sz w:val="16"/>
                <w:szCs w:val="18"/>
              </w:rPr>
            </w:pPr>
            <w:r w:rsidRPr="00C71E1E">
              <w:rPr>
                <w:rFonts w:ascii="Arial" w:hAnsi="Arial" w:cs="Arial"/>
                <w:color w:val="000000"/>
                <w:sz w:val="16"/>
                <w:szCs w:val="18"/>
              </w:rPr>
              <w:t xml:space="preserve">Alumbrado de </w:t>
            </w:r>
            <w:r>
              <w:rPr>
                <w:rFonts w:ascii="Arial" w:hAnsi="Arial" w:cs="Arial"/>
                <w:color w:val="000000"/>
                <w:sz w:val="16"/>
                <w:szCs w:val="18"/>
              </w:rPr>
              <w:t>avenidas</w:t>
            </w:r>
          </w:p>
        </w:tc>
      </w:tr>
      <w:tr w:rsidR="003C6930" w:rsidRPr="00B030A9" w:rsidTr="00723B53">
        <w:trPr>
          <w:trHeight w:val="188"/>
          <w:jc w:val="center"/>
        </w:trPr>
        <w:tc>
          <w:tcPr>
            <w:tcW w:w="2032" w:type="dxa"/>
            <w:vMerge/>
            <w:tcBorders>
              <w:left w:val="single" w:sz="4" w:space="0" w:color="auto"/>
              <w:bottom w:val="single" w:sz="4" w:space="0" w:color="auto"/>
              <w:right w:val="single" w:sz="4" w:space="0" w:color="auto"/>
            </w:tcBorders>
            <w:shd w:val="clear" w:color="000000" w:fill="FFFFFF"/>
            <w:noWrap/>
            <w:vAlign w:val="center"/>
            <w:hideMark/>
          </w:tcPr>
          <w:p w:rsidR="003C6930" w:rsidRPr="00C71E1E" w:rsidRDefault="003C6930" w:rsidP="00895334">
            <w:pPr>
              <w:ind w:left="209"/>
              <w:rPr>
                <w:rFonts w:ascii="Arial" w:hAnsi="Arial" w:cs="Arial"/>
                <w:color w:val="000000"/>
                <w:sz w:val="16"/>
                <w:szCs w:val="18"/>
              </w:rPr>
            </w:pPr>
          </w:p>
        </w:tc>
        <w:tc>
          <w:tcPr>
            <w:tcW w:w="2530" w:type="dxa"/>
            <w:tcBorders>
              <w:top w:val="single" w:sz="4" w:space="0" w:color="auto"/>
              <w:left w:val="single" w:sz="4" w:space="0" w:color="auto"/>
              <w:bottom w:val="single" w:sz="4" w:space="0" w:color="auto"/>
              <w:right w:val="single" w:sz="4" w:space="0" w:color="auto"/>
            </w:tcBorders>
            <w:shd w:val="clear" w:color="000000" w:fill="FFFFFF"/>
            <w:vAlign w:val="center"/>
          </w:tcPr>
          <w:p w:rsidR="003C6930" w:rsidRPr="00C71E1E" w:rsidRDefault="003C6930" w:rsidP="00895334">
            <w:pPr>
              <w:jc w:val="center"/>
              <w:rPr>
                <w:rFonts w:ascii="Arial" w:hAnsi="Arial" w:cs="Arial"/>
                <w:color w:val="000000"/>
                <w:sz w:val="16"/>
                <w:szCs w:val="18"/>
              </w:rPr>
            </w:pPr>
            <w:r w:rsidRPr="00C71E1E">
              <w:rPr>
                <w:rFonts w:ascii="Arial" w:hAnsi="Arial" w:cs="Arial"/>
                <w:color w:val="000000"/>
                <w:sz w:val="16"/>
                <w:szCs w:val="18"/>
              </w:rPr>
              <w:t>70 W</w:t>
            </w:r>
          </w:p>
        </w:tc>
        <w:tc>
          <w:tcPr>
            <w:tcW w:w="1529" w:type="dxa"/>
            <w:tcBorders>
              <w:top w:val="single" w:sz="4" w:space="0" w:color="auto"/>
              <w:left w:val="nil"/>
              <w:bottom w:val="single" w:sz="4" w:space="0" w:color="auto"/>
              <w:right w:val="single" w:sz="4" w:space="0" w:color="auto"/>
            </w:tcBorders>
            <w:shd w:val="clear" w:color="000000" w:fill="FFFFFF"/>
            <w:noWrap/>
            <w:vAlign w:val="center"/>
            <w:hideMark/>
          </w:tcPr>
          <w:p w:rsidR="003C6930" w:rsidRPr="00C71E1E" w:rsidRDefault="003C6930" w:rsidP="00895334">
            <w:pPr>
              <w:jc w:val="center"/>
              <w:rPr>
                <w:rFonts w:ascii="Arial" w:hAnsi="Arial" w:cs="Arial"/>
                <w:color w:val="000000"/>
                <w:sz w:val="16"/>
                <w:szCs w:val="18"/>
              </w:rPr>
            </w:pPr>
            <w:r>
              <w:rPr>
                <w:rFonts w:ascii="Arial" w:hAnsi="Arial" w:cs="Arial"/>
                <w:color w:val="000000"/>
                <w:sz w:val="16"/>
                <w:szCs w:val="18"/>
              </w:rPr>
              <w:t>1,952</w:t>
            </w:r>
          </w:p>
        </w:tc>
        <w:tc>
          <w:tcPr>
            <w:tcW w:w="22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C6930" w:rsidRPr="003C6930" w:rsidRDefault="003C6930" w:rsidP="00895334">
            <w:pPr>
              <w:jc w:val="center"/>
              <w:rPr>
                <w:rFonts w:ascii="Arial" w:hAnsi="Arial" w:cs="Arial"/>
                <w:color w:val="000000"/>
                <w:sz w:val="16"/>
                <w:szCs w:val="18"/>
                <w:lang w:val="es-ES_tradnl"/>
              </w:rPr>
            </w:pPr>
            <w:r w:rsidRPr="003C6930">
              <w:rPr>
                <w:rFonts w:ascii="Arial" w:hAnsi="Arial" w:cs="Arial"/>
                <w:color w:val="000000"/>
                <w:sz w:val="16"/>
                <w:szCs w:val="18"/>
                <w:lang w:val="es-ES_tradnl"/>
              </w:rPr>
              <w:t>Alumbrado de avenidas Parques y plazas</w:t>
            </w:r>
          </w:p>
        </w:tc>
      </w:tr>
      <w:tr w:rsidR="00723B53" w:rsidRPr="00C71E1E" w:rsidTr="00723B53">
        <w:trPr>
          <w:trHeight w:val="823"/>
          <w:jc w:val="center"/>
        </w:trPr>
        <w:tc>
          <w:tcPr>
            <w:tcW w:w="2032" w:type="dxa"/>
            <w:vMerge w:val="restart"/>
            <w:tcBorders>
              <w:top w:val="nil"/>
              <w:left w:val="single" w:sz="4" w:space="0" w:color="auto"/>
              <w:right w:val="single" w:sz="4" w:space="0" w:color="auto"/>
            </w:tcBorders>
            <w:shd w:val="clear" w:color="000000" w:fill="FFFFFF"/>
            <w:noWrap/>
            <w:vAlign w:val="center"/>
          </w:tcPr>
          <w:p w:rsidR="00723B53" w:rsidRPr="00C71E1E" w:rsidRDefault="00723B53" w:rsidP="00895334">
            <w:pPr>
              <w:ind w:left="209"/>
              <w:rPr>
                <w:rFonts w:ascii="Arial" w:hAnsi="Arial" w:cs="Arial"/>
                <w:color w:val="000000"/>
                <w:sz w:val="16"/>
                <w:szCs w:val="18"/>
              </w:rPr>
            </w:pPr>
            <w:r w:rsidRPr="00C71E1E">
              <w:rPr>
                <w:rFonts w:ascii="Arial" w:hAnsi="Arial" w:cs="Arial"/>
                <w:color w:val="000000"/>
                <w:sz w:val="16"/>
                <w:szCs w:val="18"/>
              </w:rPr>
              <w:t>Vapor de mercurio</w:t>
            </w:r>
          </w:p>
        </w:tc>
        <w:tc>
          <w:tcPr>
            <w:tcW w:w="2530" w:type="dxa"/>
            <w:tcBorders>
              <w:top w:val="single" w:sz="4" w:space="0" w:color="auto"/>
              <w:left w:val="single" w:sz="4" w:space="0" w:color="auto"/>
              <w:bottom w:val="single" w:sz="4" w:space="0" w:color="auto"/>
              <w:right w:val="single" w:sz="4" w:space="0" w:color="auto"/>
            </w:tcBorders>
            <w:shd w:val="clear" w:color="000000" w:fill="FFFFFF"/>
            <w:vAlign w:val="center"/>
          </w:tcPr>
          <w:p w:rsidR="00723B53" w:rsidRPr="00C71E1E" w:rsidRDefault="00723B53" w:rsidP="00895334">
            <w:pPr>
              <w:jc w:val="center"/>
              <w:rPr>
                <w:rFonts w:ascii="Arial" w:hAnsi="Arial" w:cs="Arial"/>
                <w:color w:val="000000"/>
                <w:sz w:val="16"/>
                <w:szCs w:val="18"/>
              </w:rPr>
            </w:pPr>
            <w:r w:rsidRPr="00C71E1E">
              <w:rPr>
                <w:rFonts w:ascii="Arial" w:hAnsi="Arial" w:cs="Arial"/>
                <w:color w:val="000000"/>
                <w:sz w:val="16"/>
                <w:szCs w:val="18"/>
              </w:rPr>
              <w:t>175 W</w:t>
            </w:r>
          </w:p>
        </w:tc>
        <w:tc>
          <w:tcPr>
            <w:tcW w:w="1529" w:type="dxa"/>
            <w:tcBorders>
              <w:top w:val="single" w:sz="4" w:space="0" w:color="auto"/>
              <w:left w:val="nil"/>
              <w:bottom w:val="single" w:sz="4" w:space="0" w:color="auto"/>
              <w:right w:val="single" w:sz="4" w:space="0" w:color="auto"/>
            </w:tcBorders>
            <w:shd w:val="clear" w:color="000000" w:fill="FFFFFF"/>
            <w:noWrap/>
            <w:vAlign w:val="center"/>
          </w:tcPr>
          <w:p w:rsidR="00723B53" w:rsidRPr="00C71E1E" w:rsidRDefault="00723B53" w:rsidP="00895334">
            <w:pPr>
              <w:jc w:val="center"/>
              <w:rPr>
                <w:rFonts w:ascii="Arial" w:hAnsi="Arial" w:cs="Arial"/>
                <w:color w:val="000000"/>
                <w:sz w:val="16"/>
                <w:szCs w:val="18"/>
              </w:rPr>
            </w:pPr>
            <w:r>
              <w:rPr>
                <w:rFonts w:ascii="Arial" w:hAnsi="Arial" w:cs="Arial"/>
                <w:color w:val="000000"/>
                <w:sz w:val="16"/>
                <w:szCs w:val="18"/>
              </w:rPr>
              <w:t>64</w:t>
            </w:r>
          </w:p>
        </w:tc>
        <w:tc>
          <w:tcPr>
            <w:tcW w:w="2236" w:type="dxa"/>
            <w:gridSpan w:val="2"/>
            <w:tcBorders>
              <w:top w:val="single" w:sz="4" w:space="0" w:color="auto"/>
              <w:left w:val="nil"/>
              <w:bottom w:val="single" w:sz="4" w:space="0" w:color="auto"/>
              <w:right w:val="single" w:sz="4" w:space="0" w:color="auto"/>
            </w:tcBorders>
            <w:shd w:val="clear" w:color="000000" w:fill="FFFFFF"/>
            <w:noWrap/>
            <w:vAlign w:val="center"/>
          </w:tcPr>
          <w:p w:rsidR="00723B53" w:rsidRPr="00C71E1E" w:rsidRDefault="00723B53" w:rsidP="00895334">
            <w:pPr>
              <w:jc w:val="center"/>
              <w:rPr>
                <w:rFonts w:ascii="Arial" w:hAnsi="Arial" w:cs="Arial"/>
                <w:color w:val="000000"/>
                <w:sz w:val="16"/>
                <w:szCs w:val="18"/>
              </w:rPr>
            </w:pPr>
            <w:r w:rsidRPr="00C71E1E">
              <w:rPr>
                <w:rFonts w:ascii="Arial" w:hAnsi="Arial" w:cs="Arial"/>
                <w:color w:val="000000"/>
                <w:sz w:val="16"/>
                <w:szCs w:val="18"/>
              </w:rPr>
              <w:t xml:space="preserve">Alumbrado de </w:t>
            </w:r>
            <w:r>
              <w:rPr>
                <w:rFonts w:ascii="Arial" w:hAnsi="Arial" w:cs="Arial"/>
                <w:color w:val="000000"/>
                <w:sz w:val="16"/>
                <w:szCs w:val="18"/>
              </w:rPr>
              <w:t>avenidas</w:t>
            </w:r>
          </w:p>
        </w:tc>
      </w:tr>
      <w:tr w:rsidR="00723B53" w:rsidRPr="00C71E1E" w:rsidTr="00723B53">
        <w:trPr>
          <w:trHeight w:val="823"/>
          <w:jc w:val="center"/>
        </w:trPr>
        <w:tc>
          <w:tcPr>
            <w:tcW w:w="2032" w:type="dxa"/>
            <w:vMerge/>
            <w:tcBorders>
              <w:left w:val="single" w:sz="4" w:space="0" w:color="auto"/>
              <w:right w:val="single" w:sz="4" w:space="0" w:color="auto"/>
            </w:tcBorders>
            <w:shd w:val="clear" w:color="000000" w:fill="FFFFFF"/>
            <w:noWrap/>
            <w:vAlign w:val="center"/>
            <w:hideMark/>
          </w:tcPr>
          <w:p w:rsidR="00723B53" w:rsidRPr="00C71E1E" w:rsidRDefault="00723B53" w:rsidP="00895334">
            <w:pPr>
              <w:ind w:left="209"/>
              <w:rPr>
                <w:rFonts w:ascii="Arial" w:hAnsi="Arial" w:cs="Arial"/>
                <w:color w:val="000000"/>
                <w:sz w:val="16"/>
                <w:szCs w:val="18"/>
              </w:rPr>
            </w:pPr>
          </w:p>
        </w:tc>
        <w:tc>
          <w:tcPr>
            <w:tcW w:w="2530" w:type="dxa"/>
            <w:tcBorders>
              <w:top w:val="single" w:sz="4" w:space="0" w:color="auto"/>
              <w:left w:val="single" w:sz="4" w:space="0" w:color="auto"/>
              <w:right w:val="single" w:sz="4" w:space="0" w:color="auto"/>
            </w:tcBorders>
            <w:shd w:val="clear" w:color="000000" w:fill="FFFFFF"/>
            <w:vAlign w:val="center"/>
          </w:tcPr>
          <w:p w:rsidR="00723B53" w:rsidRPr="00C71E1E" w:rsidRDefault="00723B53" w:rsidP="00895334">
            <w:pPr>
              <w:jc w:val="center"/>
              <w:rPr>
                <w:rFonts w:ascii="Arial" w:hAnsi="Arial" w:cs="Arial"/>
                <w:color w:val="000000"/>
                <w:sz w:val="16"/>
                <w:szCs w:val="18"/>
              </w:rPr>
            </w:pPr>
            <w:r w:rsidRPr="00C71E1E">
              <w:rPr>
                <w:rFonts w:ascii="Arial" w:hAnsi="Arial" w:cs="Arial"/>
                <w:color w:val="000000"/>
                <w:sz w:val="16"/>
                <w:szCs w:val="18"/>
              </w:rPr>
              <w:t>125 W</w:t>
            </w:r>
          </w:p>
        </w:tc>
        <w:tc>
          <w:tcPr>
            <w:tcW w:w="1529" w:type="dxa"/>
            <w:tcBorders>
              <w:top w:val="single" w:sz="4" w:space="0" w:color="auto"/>
              <w:left w:val="nil"/>
              <w:right w:val="single" w:sz="4" w:space="0" w:color="auto"/>
            </w:tcBorders>
            <w:shd w:val="clear" w:color="000000" w:fill="FFFFFF"/>
            <w:noWrap/>
            <w:vAlign w:val="center"/>
          </w:tcPr>
          <w:p w:rsidR="00723B53" w:rsidRPr="00C71E1E" w:rsidRDefault="00723B53" w:rsidP="00895334">
            <w:pPr>
              <w:jc w:val="center"/>
              <w:rPr>
                <w:rFonts w:ascii="Arial" w:hAnsi="Arial" w:cs="Arial"/>
                <w:color w:val="000000"/>
                <w:sz w:val="16"/>
                <w:szCs w:val="18"/>
              </w:rPr>
            </w:pPr>
            <w:r>
              <w:rPr>
                <w:rFonts w:ascii="Arial" w:hAnsi="Arial" w:cs="Arial"/>
                <w:color w:val="000000"/>
                <w:sz w:val="16"/>
                <w:szCs w:val="18"/>
              </w:rPr>
              <w:t>583</w:t>
            </w:r>
          </w:p>
        </w:tc>
        <w:tc>
          <w:tcPr>
            <w:tcW w:w="2236" w:type="dxa"/>
            <w:gridSpan w:val="2"/>
            <w:tcBorders>
              <w:top w:val="single" w:sz="4" w:space="0" w:color="auto"/>
              <w:left w:val="nil"/>
              <w:right w:val="single" w:sz="4" w:space="0" w:color="auto"/>
            </w:tcBorders>
            <w:shd w:val="clear" w:color="000000" w:fill="FFFFFF"/>
            <w:noWrap/>
            <w:vAlign w:val="center"/>
          </w:tcPr>
          <w:p w:rsidR="00723B53" w:rsidRPr="00C71E1E" w:rsidRDefault="00723B53" w:rsidP="00895334">
            <w:pPr>
              <w:jc w:val="center"/>
              <w:rPr>
                <w:rFonts w:ascii="Arial" w:hAnsi="Arial" w:cs="Arial"/>
                <w:color w:val="000000"/>
                <w:sz w:val="16"/>
                <w:szCs w:val="18"/>
              </w:rPr>
            </w:pPr>
            <w:r w:rsidRPr="00C71E1E">
              <w:rPr>
                <w:rFonts w:ascii="Arial" w:hAnsi="Arial" w:cs="Arial"/>
                <w:color w:val="000000"/>
                <w:sz w:val="16"/>
                <w:szCs w:val="18"/>
              </w:rPr>
              <w:t xml:space="preserve">Alumbrado de </w:t>
            </w:r>
            <w:r>
              <w:rPr>
                <w:rFonts w:ascii="Arial" w:hAnsi="Arial" w:cs="Arial"/>
                <w:color w:val="000000"/>
                <w:sz w:val="16"/>
                <w:szCs w:val="18"/>
              </w:rPr>
              <w:t>avenidas</w:t>
            </w:r>
          </w:p>
        </w:tc>
      </w:tr>
      <w:tr w:rsidR="003C6930" w:rsidRPr="00C71E1E" w:rsidTr="003C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jc w:val="center"/>
        </w:trPr>
        <w:tc>
          <w:tcPr>
            <w:tcW w:w="2032" w:type="dxa"/>
            <w:shd w:val="clear" w:color="000000" w:fill="FFFFFF"/>
            <w:noWrap/>
            <w:vAlign w:val="center"/>
            <w:hideMark/>
          </w:tcPr>
          <w:p w:rsidR="003C6930" w:rsidRPr="00C71E1E" w:rsidRDefault="003C6930" w:rsidP="00895334">
            <w:pPr>
              <w:ind w:firstLineChars="100" w:firstLine="161"/>
              <w:rPr>
                <w:rFonts w:ascii="Arial" w:hAnsi="Arial" w:cs="Arial"/>
                <w:b/>
                <w:bCs/>
                <w:color w:val="000000"/>
                <w:sz w:val="16"/>
                <w:szCs w:val="18"/>
              </w:rPr>
            </w:pPr>
            <w:r w:rsidRPr="00C71E1E">
              <w:rPr>
                <w:rFonts w:ascii="Arial" w:hAnsi="Arial" w:cs="Arial"/>
                <w:b/>
                <w:bCs/>
                <w:color w:val="000000"/>
                <w:sz w:val="16"/>
                <w:szCs w:val="18"/>
              </w:rPr>
              <w:t>Total</w:t>
            </w:r>
          </w:p>
        </w:tc>
        <w:tc>
          <w:tcPr>
            <w:tcW w:w="2530" w:type="dxa"/>
            <w:shd w:val="clear" w:color="000000" w:fill="FFFFFF"/>
            <w:vAlign w:val="center"/>
          </w:tcPr>
          <w:p w:rsidR="003C6930" w:rsidRPr="00C71E1E" w:rsidRDefault="003C6930" w:rsidP="00895334">
            <w:pPr>
              <w:jc w:val="center"/>
              <w:rPr>
                <w:rFonts w:ascii="Arial" w:hAnsi="Arial" w:cs="Arial"/>
                <w:b/>
                <w:bCs/>
                <w:color w:val="000000"/>
                <w:sz w:val="16"/>
                <w:szCs w:val="18"/>
              </w:rPr>
            </w:pPr>
          </w:p>
        </w:tc>
        <w:tc>
          <w:tcPr>
            <w:tcW w:w="1538" w:type="dxa"/>
            <w:gridSpan w:val="2"/>
            <w:shd w:val="clear" w:color="000000" w:fill="FFFFFF"/>
            <w:noWrap/>
            <w:vAlign w:val="center"/>
            <w:hideMark/>
          </w:tcPr>
          <w:p w:rsidR="003C6930" w:rsidRPr="00C71E1E" w:rsidRDefault="003C6930" w:rsidP="00895334">
            <w:pPr>
              <w:jc w:val="center"/>
              <w:rPr>
                <w:rFonts w:ascii="Arial" w:hAnsi="Arial" w:cs="Arial"/>
                <w:b/>
                <w:bCs/>
                <w:color w:val="000000"/>
                <w:sz w:val="16"/>
                <w:szCs w:val="18"/>
              </w:rPr>
            </w:pPr>
            <w:r>
              <w:rPr>
                <w:rFonts w:ascii="Arial" w:hAnsi="Arial" w:cs="Arial"/>
                <w:b/>
                <w:bCs/>
                <w:color w:val="000000"/>
                <w:sz w:val="16"/>
                <w:szCs w:val="18"/>
              </w:rPr>
              <w:t>12,103</w:t>
            </w:r>
          </w:p>
        </w:tc>
        <w:tc>
          <w:tcPr>
            <w:tcW w:w="2227" w:type="dxa"/>
            <w:shd w:val="clear" w:color="000000" w:fill="FFFFFF"/>
            <w:noWrap/>
            <w:vAlign w:val="center"/>
            <w:hideMark/>
          </w:tcPr>
          <w:p w:rsidR="003C6930" w:rsidRPr="00C71E1E" w:rsidRDefault="003C6930" w:rsidP="00895334">
            <w:pPr>
              <w:jc w:val="center"/>
              <w:rPr>
                <w:rFonts w:ascii="Arial" w:hAnsi="Arial" w:cs="Arial"/>
                <w:color w:val="000000"/>
                <w:sz w:val="16"/>
                <w:szCs w:val="18"/>
              </w:rPr>
            </w:pPr>
          </w:p>
        </w:tc>
      </w:tr>
    </w:tbl>
    <w:p w:rsidR="00E67E7B" w:rsidRDefault="00E67E7B" w:rsidP="00E67E7B">
      <w:pPr>
        <w:jc w:val="both"/>
        <w:rPr>
          <w:rFonts w:ascii="Arial" w:hAnsi="Arial" w:cs="Arial"/>
          <w:color w:val="000000" w:themeColor="text1"/>
          <w:lang w:val="es-419"/>
        </w:rPr>
      </w:pPr>
    </w:p>
    <w:p w:rsidR="00E67E7B" w:rsidRPr="00862BFA" w:rsidRDefault="00E67E7B" w:rsidP="00E67E7B">
      <w:pPr>
        <w:jc w:val="both"/>
        <w:rPr>
          <w:rFonts w:ascii="Arial" w:hAnsi="Arial" w:cs="Arial"/>
          <w:color w:val="000000" w:themeColor="text1"/>
          <w:lang w:val="es-419"/>
        </w:rPr>
      </w:pPr>
      <w:r>
        <w:rPr>
          <w:rFonts w:ascii="Arial" w:hAnsi="Arial" w:cs="Arial"/>
          <w:color w:val="000000" w:themeColor="text1"/>
          <w:lang w:val="es-419"/>
        </w:rPr>
        <w:t>El principal tipo de lámpara instalado</w:t>
      </w:r>
      <w:r w:rsidRPr="00862BFA">
        <w:rPr>
          <w:rFonts w:ascii="Arial" w:hAnsi="Arial" w:cs="Arial"/>
          <w:color w:val="000000" w:themeColor="text1"/>
          <w:lang w:val="es-419"/>
        </w:rPr>
        <w:t xml:space="preserve"> es </w:t>
      </w:r>
      <w:r>
        <w:rPr>
          <w:rFonts w:ascii="Arial" w:hAnsi="Arial" w:cs="Arial"/>
          <w:color w:val="000000" w:themeColor="text1"/>
          <w:lang w:val="es-419"/>
        </w:rPr>
        <w:t>el</w:t>
      </w:r>
      <w:r w:rsidRPr="00862BFA">
        <w:rPr>
          <w:rFonts w:ascii="Arial" w:hAnsi="Arial" w:cs="Arial"/>
          <w:color w:val="000000" w:themeColor="text1"/>
          <w:lang w:val="es-419"/>
        </w:rPr>
        <w:t xml:space="preserve"> de </w:t>
      </w:r>
      <w:r>
        <w:rPr>
          <w:rFonts w:ascii="Arial" w:hAnsi="Arial" w:cs="Arial"/>
          <w:color w:val="000000" w:themeColor="text1"/>
          <w:lang w:val="es-419"/>
        </w:rPr>
        <w:t>v</w:t>
      </w:r>
      <w:r w:rsidRPr="00862BFA">
        <w:rPr>
          <w:rFonts w:ascii="Arial" w:hAnsi="Arial" w:cs="Arial"/>
          <w:color w:val="000000" w:themeColor="text1"/>
          <w:lang w:val="es-419"/>
        </w:rPr>
        <w:t xml:space="preserve">apor de </w:t>
      </w:r>
      <w:r>
        <w:rPr>
          <w:rFonts w:ascii="Arial" w:hAnsi="Arial" w:cs="Arial"/>
          <w:color w:val="000000" w:themeColor="text1"/>
          <w:lang w:val="es-419"/>
        </w:rPr>
        <w:t>s</w:t>
      </w:r>
      <w:r w:rsidRPr="00862BFA">
        <w:rPr>
          <w:rFonts w:ascii="Arial" w:hAnsi="Arial" w:cs="Arial"/>
          <w:color w:val="000000" w:themeColor="text1"/>
          <w:lang w:val="es-419"/>
        </w:rPr>
        <w:t>odio</w:t>
      </w:r>
      <w:r>
        <w:rPr>
          <w:rFonts w:ascii="Arial" w:hAnsi="Arial" w:cs="Arial"/>
          <w:color w:val="000000" w:themeColor="text1"/>
          <w:lang w:val="es-419"/>
        </w:rPr>
        <w:t xml:space="preserve"> que </w:t>
      </w:r>
      <w:r w:rsidRPr="00862BFA">
        <w:rPr>
          <w:rFonts w:ascii="Arial" w:hAnsi="Arial" w:cs="Arial"/>
          <w:color w:val="000000" w:themeColor="text1"/>
          <w:lang w:val="es-419"/>
        </w:rPr>
        <w:t>repres</w:t>
      </w:r>
      <w:r w:rsidR="00616383">
        <w:rPr>
          <w:rFonts w:ascii="Arial" w:hAnsi="Arial" w:cs="Arial"/>
          <w:color w:val="000000" w:themeColor="text1"/>
          <w:lang w:val="es-419"/>
        </w:rPr>
        <w:t>enta el 88.7</w:t>
      </w:r>
      <w:r w:rsidRPr="00862BFA">
        <w:rPr>
          <w:rFonts w:ascii="Arial" w:hAnsi="Arial" w:cs="Arial"/>
          <w:color w:val="000000" w:themeColor="text1"/>
          <w:lang w:val="es-419"/>
        </w:rPr>
        <w:t>%</w:t>
      </w:r>
      <w:r>
        <w:rPr>
          <w:rFonts w:ascii="Arial" w:hAnsi="Arial" w:cs="Arial"/>
          <w:color w:val="000000" w:themeColor="text1"/>
          <w:lang w:val="es-419"/>
        </w:rPr>
        <w:t xml:space="preserve"> con</w:t>
      </w:r>
      <w:r w:rsidRPr="00862BFA">
        <w:rPr>
          <w:rFonts w:ascii="Arial" w:hAnsi="Arial" w:cs="Arial"/>
          <w:color w:val="000000" w:themeColor="text1"/>
          <w:lang w:val="es-419"/>
        </w:rPr>
        <w:t xml:space="preserve"> potencia</w:t>
      </w:r>
      <w:r>
        <w:rPr>
          <w:rFonts w:ascii="Arial" w:hAnsi="Arial" w:cs="Arial"/>
          <w:color w:val="000000" w:themeColor="text1"/>
          <w:lang w:val="es-419"/>
        </w:rPr>
        <w:t>s de 70</w:t>
      </w:r>
      <w:r w:rsidR="00616383">
        <w:rPr>
          <w:rFonts w:ascii="Arial" w:hAnsi="Arial" w:cs="Arial"/>
          <w:color w:val="000000" w:themeColor="text1"/>
          <w:lang w:val="es-419"/>
        </w:rPr>
        <w:t xml:space="preserve"> y 400 </w:t>
      </w:r>
      <w:r>
        <w:rPr>
          <w:rFonts w:ascii="Arial" w:hAnsi="Arial" w:cs="Arial"/>
          <w:color w:val="000000" w:themeColor="text1"/>
          <w:lang w:val="es-419"/>
        </w:rPr>
        <w:t>W. Só</w:t>
      </w:r>
      <w:r w:rsidRPr="00862BFA">
        <w:rPr>
          <w:rFonts w:ascii="Arial" w:hAnsi="Arial" w:cs="Arial"/>
          <w:color w:val="000000" w:themeColor="text1"/>
          <w:lang w:val="es-419"/>
        </w:rPr>
        <w:t xml:space="preserve">lo se </w:t>
      </w:r>
      <w:r>
        <w:rPr>
          <w:rFonts w:ascii="Arial" w:hAnsi="Arial" w:cs="Arial"/>
          <w:color w:val="000000" w:themeColor="text1"/>
          <w:lang w:val="es-419"/>
        </w:rPr>
        <w:t xml:space="preserve">cuenta con </w:t>
      </w:r>
      <w:r w:rsidR="00616383">
        <w:rPr>
          <w:rFonts w:ascii="Arial" w:hAnsi="Arial" w:cs="Arial"/>
          <w:color w:val="000000" w:themeColor="text1"/>
          <w:lang w:val="es-419"/>
        </w:rPr>
        <w:t>714</w:t>
      </w:r>
      <w:r w:rsidRPr="00862BFA">
        <w:rPr>
          <w:rFonts w:ascii="Arial" w:hAnsi="Arial" w:cs="Arial"/>
          <w:color w:val="000000" w:themeColor="text1"/>
          <w:lang w:val="es-419"/>
        </w:rPr>
        <w:t xml:space="preserve"> luminarias tipo L</w:t>
      </w:r>
      <w:r>
        <w:rPr>
          <w:rFonts w:ascii="Arial" w:hAnsi="Arial" w:cs="Arial"/>
          <w:color w:val="000000" w:themeColor="text1"/>
          <w:lang w:val="es-419"/>
        </w:rPr>
        <w:t>ED</w:t>
      </w:r>
      <w:r w:rsidR="00616383">
        <w:rPr>
          <w:rFonts w:ascii="Arial" w:hAnsi="Arial" w:cs="Arial"/>
          <w:color w:val="000000" w:themeColor="text1"/>
          <w:lang w:val="es-419"/>
        </w:rPr>
        <w:t xml:space="preserve"> de 210 y 270</w:t>
      </w:r>
      <w:r>
        <w:rPr>
          <w:rFonts w:ascii="Arial" w:hAnsi="Arial" w:cs="Arial"/>
          <w:color w:val="000000" w:themeColor="text1"/>
          <w:lang w:val="es-419"/>
        </w:rPr>
        <w:t xml:space="preserve"> </w:t>
      </w:r>
      <w:r w:rsidR="00616383">
        <w:rPr>
          <w:rFonts w:ascii="Arial" w:hAnsi="Arial" w:cs="Arial"/>
          <w:color w:val="000000" w:themeColor="text1"/>
          <w:lang w:val="es-419"/>
        </w:rPr>
        <w:t>W que representan el 5.8</w:t>
      </w:r>
      <w:r w:rsidRPr="00862BFA">
        <w:rPr>
          <w:rFonts w:ascii="Arial" w:hAnsi="Arial" w:cs="Arial"/>
          <w:color w:val="000000" w:themeColor="text1"/>
          <w:lang w:val="es-419"/>
        </w:rPr>
        <w:t>%.</w:t>
      </w:r>
    </w:p>
    <w:p w:rsidR="00E67E7B" w:rsidRDefault="00E67E7B" w:rsidP="00E67E7B">
      <w:pPr>
        <w:jc w:val="both"/>
        <w:rPr>
          <w:rFonts w:ascii="Arial" w:hAnsi="Arial" w:cs="Arial"/>
          <w:lang w:val="es-419"/>
        </w:rPr>
      </w:pPr>
      <w:r w:rsidRPr="00853A08">
        <w:rPr>
          <w:rFonts w:ascii="Arial" w:hAnsi="Arial" w:cs="Arial"/>
          <w:lang w:val="es-419"/>
        </w:rPr>
        <w:lastRenderedPageBreak/>
        <w:t>La facturación del sistema de a</w:t>
      </w:r>
      <w:r>
        <w:rPr>
          <w:rFonts w:ascii="Arial" w:hAnsi="Arial" w:cs="Arial"/>
          <w:lang w:val="es-419"/>
        </w:rPr>
        <w:t>lumbrado p</w:t>
      </w:r>
      <w:r w:rsidRPr="00853A08">
        <w:rPr>
          <w:rFonts w:ascii="Arial" w:hAnsi="Arial" w:cs="Arial"/>
          <w:lang w:val="es-419"/>
        </w:rPr>
        <w:t xml:space="preserve">úblico </w:t>
      </w:r>
      <w:r>
        <w:rPr>
          <w:rFonts w:ascii="Arial" w:hAnsi="Arial" w:cs="Arial"/>
          <w:lang w:val="es-419"/>
        </w:rPr>
        <w:t xml:space="preserve">de </w:t>
      </w:r>
      <w:r w:rsidR="00616383">
        <w:rPr>
          <w:rFonts w:ascii="Arial" w:hAnsi="Arial" w:cs="Arial"/>
          <w:lang w:val="es-419"/>
        </w:rPr>
        <w:t>Potosí</w:t>
      </w:r>
      <w:r>
        <w:rPr>
          <w:rFonts w:ascii="Arial" w:hAnsi="Arial" w:cs="Arial"/>
          <w:lang w:val="es-419"/>
        </w:rPr>
        <w:t xml:space="preserve"> es de Bs. </w:t>
      </w:r>
      <w:r w:rsidR="00A900CE">
        <w:rPr>
          <w:rFonts w:ascii="Arial" w:hAnsi="Arial" w:cs="Arial"/>
          <w:lang w:val="es-419"/>
        </w:rPr>
        <w:t>1</w:t>
      </w:r>
      <w:r w:rsidR="00FC4E69">
        <w:rPr>
          <w:rFonts w:ascii="Arial" w:hAnsi="Arial" w:cs="Arial"/>
          <w:lang w:val="es-419"/>
        </w:rPr>
        <w:t>2</w:t>
      </w:r>
      <w:r w:rsidR="00A900CE">
        <w:rPr>
          <w:rFonts w:ascii="Arial" w:hAnsi="Arial" w:cs="Arial"/>
          <w:lang w:val="es-419"/>
        </w:rPr>
        <w:t>.</w:t>
      </w:r>
      <w:r w:rsidR="00FC4E69">
        <w:rPr>
          <w:rFonts w:ascii="Arial" w:hAnsi="Arial" w:cs="Arial"/>
          <w:lang w:val="es-419"/>
        </w:rPr>
        <w:t>97</w:t>
      </w:r>
      <w:r w:rsidR="00A900CE">
        <w:rPr>
          <w:rFonts w:ascii="Arial" w:hAnsi="Arial" w:cs="Arial"/>
          <w:lang w:val="es-419"/>
        </w:rPr>
        <w:t xml:space="preserve"> </w:t>
      </w:r>
      <w:r w:rsidRPr="00853A08">
        <w:rPr>
          <w:rFonts w:ascii="Arial" w:hAnsi="Arial" w:cs="Arial"/>
          <w:lang w:val="es-419"/>
        </w:rPr>
        <w:t>millones al año</w:t>
      </w:r>
      <w:r>
        <w:rPr>
          <w:rFonts w:ascii="Arial" w:hAnsi="Arial" w:cs="Arial"/>
          <w:lang w:val="es-419"/>
        </w:rPr>
        <w:t>.</w:t>
      </w:r>
    </w:p>
    <w:p w:rsidR="00E67E7B" w:rsidRDefault="00E67E7B" w:rsidP="00E67E7B">
      <w:pPr>
        <w:jc w:val="both"/>
        <w:rPr>
          <w:rFonts w:ascii="Arial" w:hAnsi="Arial" w:cs="Arial"/>
          <w:lang w:val="es-419"/>
        </w:rPr>
      </w:pPr>
    </w:p>
    <w:p w:rsidR="00E67E7B" w:rsidRPr="00013C8A" w:rsidRDefault="00E67E7B" w:rsidP="00E67E7B">
      <w:pPr>
        <w:pStyle w:val="Heading2"/>
        <w:ind w:left="360"/>
        <w:rPr>
          <w:rFonts w:ascii="Arial" w:hAnsi="Arial" w:cs="Arial"/>
          <w:b/>
          <w:color w:val="2F5496" w:themeColor="accent5" w:themeShade="BF"/>
          <w:sz w:val="24"/>
          <w:lang w:val="es-ES"/>
        </w:rPr>
      </w:pPr>
      <w:bookmarkStart w:id="11" w:name="_Toc520820888"/>
      <w:r w:rsidRPr="00177AC0">
        <w:rPr>
          <w:rFonts w:ascii="Arial" w:hAnsi="Arial" w:cs="Arial"/>
          <w:b/>
          <w:color w:val="1F4E79" w:themeColor="accent1" w:themeShade="80"/>
          <w:sz w:val="24"/>
          <w:lang w:val="es-ES"/>
        </w:rPr>
        <w:t>2.3. Opciones de sustitución de lámparas</w:t>
      </w:r>
      <w:bookmarkEnd w:id="11"/>
    </w:p>
    <w:p w:rsidR="00E67E7B" w:rsidRDefault="00E67E7B" w:rsidP="00E67E7B">
      <w:pPr>
        <w:rPr>
          <w:rFonts w:ascii="Arial" w:hAnsi="Arial" w:cs="Arial"/>
          <w:color w:val="000000" w:themeColor="text1"/>
          <w:sz w:val="20"/>
          <w:lang w:val="es-419"/>
        </w:rPr>
      </w:pPr>
    </w:p>
    <w:p w:rsidR="00E67E7B" w:rsidRPr="0082608A" w:rsidRDefault="00E67E7B" w:rsidP="00E67E7B">
      <w:pPr>
        <w:jc w:val="both"/>
        <w:rPr>
          <w:rFonts w:ascii="Arial" w:hAnsi="Arial" w:cs="Arial"/>
          <w:bCs/>
          <w:color w:val="000000"/>
          <w:lang w:val="es-419"/>
        </w:rPr>
      </w:pPr>
      <w:r w:rsidRPr="0082608A">
        <w:rPr>
          <w:rFonts w:ascii="Arial" w:hAnsi="Arial" w:cs="Arial"/>
          <w:color w:val="000000" w:themeColor="text1"/>
          <w:lang w:val="es-419"/>
        </w:rPr>
        <w:t xml:space="preserve">De acuerdo con las simulaciones realizadas en el marco del estudio técnico realizado, la tecnología </w:t>
      </w:r>
      <w:r>
        <w:rPr>
          <w:rFonts w:ascii="Arial" w:hAnsi="Arial" w:cs="Arial"/>
          <w:color w:val="000000" w:themeColor="text1"/>
          <w:lang w:val="es-419"/>
        </w:rPr>
        <w:t xml:space="preserve">que tienen </w:t>
      </w:r>
      <w:r w:rsidRPr="0082608A">
        <w:rPr>
          <w:rFonts w:ascii="Arial" w:hAnsi="Arial" w:cs="Arial"/>
          <w:color w:val="000000" w:themeColor="text1"/>
          <w:lang w:val="es-419"/>
        </w:rPr>
        <w:t xml:space="preserve">mejor desempeño energético son las luminarias tipo LEDs, ya que requieren de una menor potencia instalada por unidad de área y además consumen menos energía. </w:t>
      </w:r>
      <w:r w:rsidRPr="0082608A">
        <w:rPr>
          <w:rFonts w:ascii="Arial" w:hAnsi="Arial" w:cs="Arial"/>
          <w:bCs/>
          <w:color w:val="000000"/>
          <w:lang w:val="es-419"/>
        </w:rPr>
        <w:t xml:space="preserve">En la tabla </w:t>
      </w:r>
      <w:r>
        <w:rPr>
          <w:rFonts w:ascii="Arial" w:hAnsi="Arial" w:cs="Arial"/>
          <w:bCs/>
          <w:color w:val="000000"/>
          <w:lang w:val="es-419"/>
        </w:rPr>
        <w:t xml:space="preserve">3 </w:t>
      </w:r>
      <w:r w:rsidRPr="0082608A">
        <w:rPr>
          <w:rFonts w:ascii="Arial" w:hAnsi="Arial" w:cs="Arial"/>
          <w:bCs/>
          <w:color w:val="000000"/>
          <w:lang w:val="es-419"/>
        </w:rPr>
        <w:t>se muestran las opciones de sustitución recomendadas, considerando la efic</w:t>
      </w:r>
      <w:r>
        <w:rPr>
          <w:rFonts w:ascii="Arial" w:hAnsi="Arial" w:cs="Arial"/>
          <w:bCs/>
          <w:color w:val="000000"/>
          <w:lang w:val="es-419"/>
        </w:rPr>
        <w:t xml:space="preserve">iencia </w:t>
      </w:r>
      <w:r w:rsidRPr="0082608A">
        <w:rPr>
          <w:rFonts w:ascii="Arial" w:hAnsi="Arial" w:cs="Arial"/>
          <w:bCs/>
          <w:color w:val="000000"/>
          <w:lang w:val="es-419"/>
        </w:rPr>
        <w:t>de las fuentes de iluminación, la depreciación de flujo luminoso y el coeficiente de utilización típico de cada una de ellas.</w:t>
      </w:r>
    </w:p>
    <w:p w:rsidR="00E67E7B" w:rsidRPr="00165642" w:rsidRDefault="00E67E7B" w:rsidP="00E67E7B">
      <w:pPr>
        <w:jc w:val="center"/>
        <w:rPr>
          <w:rFonts w:ascii="Arial" w:hAnsi="Arial" w:cs="Arial"/>
          <w:color w:val="000000" w:themeColor="text1"/>
          <w:sz w:val="20"/>
          <w:lang w:val="es-419"/>
        </w:rPr>
      </w:pPr>
      <w:r w:rsidRPr="000A2F04">
        <w:rPr>
          <w:rFonts w:ascii="Arial" w:hAnsi="Arial" w:cs="Arial"/>
          <w:b/>
          <w:color w:val="000000" w:themeColor="text1"/>
          <w:sz w:val="20"/>
          <w:lang w:val="es-419"/>
        </w:rPr>
        <w:t xml:space="preserve">Tabla </w:t>
      </w:r>
      <w:r>
        <w:rPr>
          <w:rFonts w:ascii="Arial" w:hAnsi="Arial" w:cs="Arial"/>
          <w:b/>
          <w:color w:val="000000" w:themeColor="text1"/>
          <w:sz w:val="20"/>
          <w:lang w:val="es-419"/>
        </w:rPr>
        <w:t>3</w:t>
      </w:r>
      <w:r w:rsidRPr="000A2F04">
        <w:rPr>
          <w:rFonts w:ascii="Arial" w:hAnsi="Arial" w:cs="Arial"/>
          <w:b/>
          <w:color w:val="000000" w:themeColor="text1"/>
          <w:sz w:val="20"/>
          <w:lang w:val="es-419"/>
        </w:rPr>
        <w:t>:</w:t>
      </w:r>
      <w:r w:rsidRPr="000A2F04">
        <w:rPr>
          <w:rFonts w:ascii="Arial" w:hAnsi="Arial" w:cs="Arial"/>
          <w:color w:val="000000" w:themeColor="text1"/>
          <w:sz w:val="20"/>
          <w:lang w:val="es-419"/>
        </w:rPr>
        <w:t xml:space="preserve"> </w:t>
      </w:r>
      <w:r w:rsidRPr="00165642">
        <w:rPr>
          <w:rFonts w:ascii="Arial" w:hAnsi="Arial" w:cs="Arial"/>
          <w:color w:val="000000" w:themeColor="text1"/>
          <w:sz w:val="20"/>
          <w:lang w:val="es-419"/>
        </w:rPr>
        <w:t>Potencias recomendadas con base en la eficacia y depreciación del flujo luminoso</w:t>
      </w:r>
      <w:bookmarkStart w:id="12" w:name="_Toc491059309"/>
      <w:bookmarkStart w:id="13" w:name="_Toc495867837"/>
      <w:r w:rsidRPr="00165642">
        <w:rPr>
          <w:rFonts w:ascii="Arial" w:hAnsi="Arial" w:cs="Arial"/>
          <w:sz w:val="20"/>
          <w:szCs w:val="20"/>
          <w:lang w:val="es-419"/>
        </w:rPr>
        <w:tab/>
      </w:r>
      <w:bookmarkEnd w:id="12"/>
      <w:bookmarkEnd w:id="13"/>
    </w:p>
    <w:tbl>
      <w:tblPr>
        <w:tblW w:w="88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348"/>
        <w:gridCol w:w="1104"/>
        <w:gridCol w:w="1139"/>
        <w:gridCol w:w="3266"/>
        <w:gridCol w:w="997"/>
      </w:tblGrid>
      <w:tr w:rsidR="00E67E7B" w:rsidRPr="00013C8A" w:rsidTr="005E3B54">
        <w:trPr>
          <w:trHeight w:val="321"/>
          <w:jc w:val="center"/>
        </w:trPr>
        <w:tc>
          <w:tcPr>
            <w:tcW w:w="4591" w:type="dxa"/>
            <w:gridSpan w:val="3"/>
            <w:shd w:val="clear" w:color="auto" w:fill="006699"/>
            <w:noWrap/>
            <w:vAlign w:val="center"/>
            <w:hideMark/>
          </w:tcPr>
          <w:p w:rsidR="00E67E7B" w:rsidRPr="00165642" w:rsidRDefault="00E67E7B" w:rsidP="005E3B54">
            <w:pPr>
              <w:spacing w:after="0" w:line="240" w:lineRule="auto"/>
              <w:jc w:val="center"/>
              <w:rPr>
                <w:rFonts w:ascii="Arial" w:hAnsi="Arial" w:cs="Arial"/>
                <w:b/>
                <w:bCs/>
                <w:color w:val="FFFFFF" w:themeColor="background1"/>
                <w:sz w:val="18"/>
                <w:szCs w:val="18"/>
                <w:lang w:val="es-419"/>
              </w:rPr>
            </w:pPr>
            <w:r w:rsidRPr="00165642">
              <w:rPr>
                <w:rFonts w:ascii="Arial" w:hAnsi="Arial" w:cs="Arial"/>
                <w:b/>
                <w:bCs/>
                <w:color w:val="FFFFFF" w:themeColor="background1"/>
                <w:sz w:val="18"/>
                <w:szCs w:val="18"/>
                <w:lang w:val="es-419"/>
              </w:rPr>
              <w:t>Caso Base</w:t>
            </w:r>
          </w:p>
        </w:tc>
        <w:tc>
          <w:tcPr>
            <w:tcW w:w="4263" w:type="dxa"/>
            <w:gridSpan w:val="2"/>
            <w:shd w:val="clear" w:color="auto" w:fill="006699"/>
            <w:noWrap/>
            <w:vAlign w:val="center"/>
            <w:hideMark/>
          </w:tcPr>
          <w:p w:rsidR="00E67E7B" w:rsidRPr="00165642" w:rsidRDefault="00E67E7B" w:rsidP="005E3B54">
            <w:pPr>
              <w:spacing w:after="0" w:line="240" w:lineRule="auto"/>
              <w:jc w:val="center"/>
              <w:rPr>
                <w:rFonts w:ascii="Arial" w:hAnsi="Arial" w:cs="Arial"/>
                <w:b/>
                <w:bCs/>
                <w:color w:val="FFFFFF" w:themeColor="background1"/>
                <w:sz w:val="18"/>
                <w:szCs w:val="18"/>
                <w:lang w:val="es-419"/>
              </w:rPr>
            </w:pPr>
            <w:r w:rsidRPr="00165642">
              <w:rPr>
                <w:rFonts w:ascii="Arial" w:hAnsi="Arial" w:cs="Arial"/>
                <w:b/>
                <w:bCs/>
                <w:color w:val="FFFFFF" w:themeColor="background1"/>
                <w:sz w:val="18"/>
                <w:szCs w:val="18"/>
                <w:lang w:val="es-419"/>
              </w:rPr>
              <w:t>Propuestas de Sustitución</w:t>
            </w:r>
          </w:p>
        </w:tc>
      </w:tr>
      <w:tr w:rsidR="00E67E7B" w:rsidRPr="00013C8A" w:rsidTr="005E3B54">
        <w:trPr>
          <w:trHeight w:val="561"/>
          <w:jc w:val="center"/>
        </w:trPr>
        <w:tc>
          <w:tcPr>
            <w:tcW w:w="2348" w:type="dxa"/>
            <w:vMerge w:val="restart"/>
            <w:shd w:val="clear" w:color="auto" w:fill="006699"/>
            <w:vAlign w:val="center"/>
            <w:hideMark/>
          </w:tcPr>
          <w:p w:rsidR="00E67E7B" w:rsidRPr="00165642" w:rsidRDefault="00E67E7B" w:rsidP="005E3B54">
            <w:pPr>
              <w:spacing w:after="0" w:line="240" w:lineRule="auto"/>
              <w:jc w:val="center"/>
              <w:rPr>
                <w:rFonts w:ascii="Arial" w:hAnsi="Arial" w:cs="Arial"/>
                <w:b/>
                <w:bCs/>
                <w:color w:val="FFFFFF" w:themeColor="background1"/>
                <w:sz w:val="18"/>
                <w:szCs w:val="18"/>
                <w:lang w:val="es-419"/>
              </w:rPr>
            </w:pPr>
            <w:r w:rsidRPr="00165642">
              <w:rPr>
                <w:rFonts w:ascii="Arial" w:hAnsi="Arial" w:cs="Arial"/>
                <w:b/>
                <w:bCs/>
                <w:color w:val="FFFFFF" w:themeColor="background1"/>
                <w:sz w:val="18"/>
                <w:szCs w:val="18"/>
                <w:lang w:val="es-419"/>
              </w:rPr>
              <w:t>Tecnología</w:t>
            </w:r>
          </w:p>
        </w:tc>
        <w:tc>
          <w:tcPr>
            <w:tcW w:w="1104" w:type="dxa"/>
            <w:shd w:val="clear" w:color="auto" w:fill="006699"/>
            <w:vAlign w:val="center"/>
            <w:hideMark/>
          </w:tcPr>
          <w:p w:rsidR="00E67E7B" w:rsidRPr="00165642" w:rsidRDefault="00E67E7B" w:rsidP="005E3B54">
            <w:pPr>
              <w:spacing w:after="0" w:line="240" w:lineRule="auto"/>
              <w:jc w:val="center"/>
              <w:rPr>
                <w:rFonts w:ascii="Arial" w:hAnsi="Arial" w:cs="Arial"/>
                <w:b/>
                <w:bCs/>
                <w:color w:val="FFFFFF" w:themeColor="background1"/>
                <w:sz w:val="18"/>
                <w:szCs w:val="18"/>
                <w:lang w:val="es-419"/>
              </w:rPr>
            </w:pPr>
            <w:r w:rsidRPr="00165642">
              <w:rPr>
                <w:rFonts w:ascii="Arial" w:hAnsi="Arial" w:cs="Arial"/>
                <w:b/>
                <w:bCs/>
                <w:color w:val="FFFFFF" w:themeColor="background1"/>
                <w:sz w:val="18"/>
                <w:szCs w:val="18"/>
                <w:lang w:val="es-419"/>
              </w:rPr>
              <w:t>Potencia                       de Línea</w:t>
            </w:r>
          </w:p>
        </w:tc>
        <w:tc>
          <w:tcPr>
            <w:tcW w:w="1139" w:type="dxa"/>
            <w:shd w:val="clear" w:color="auto" w:fill="006699"/>
            <w:vAlign w:val="center"/>
            <w:hideMark/>
          </w:tcPr>
          <w:p w:rsidR="00E67E7B" w:rsidRPr="00165642" w:rsidRDefault="00E67E7B" w:rsidP="005E3B54">
            <w:pPr>
              <w:spacing w:after="0" w:line="240" w:lineRule="auto"/>
              <w:jc w:val="center"/>
              <w:rPr>
                <w:rFonts w:ascii="Arial" w:hAnsi="Arial" w:cs="Arial"/>
                <w:b/>
                <w:bCs/>
                <w:color w:val="FFFFFF" w:themeColor="background1"/>
                <w:sz w:val="18"/>
                <w:szCs w:val="18"/>
                <w:lang w:val="es-419"/>
              </w:rPr>
            </w:pPr>
            <w:r w:rsidRPr="00165642">
              <w:rPr>
                <w:rFonts w:ascii="Arial" w:hAnsi="Arial" w:cs="Arial"/>
                <w:b/>
                <w:bCs/>
                <w:color w:val="FFFFFF" w:themeColor="background1"/>
                <w:sz w:val="18"/>
                <w:szCs w:val="18"/>
                <w:lang w:val="es-419"/>
              </w:rPr>
              <w:t>Aplicación</w:t>
            </w:r>
          </w:p>
        </w:tc>
        <w:tc>
          <w:tcPr>
            <w:tcW w:w="3266" w:type="dxa"/>
            <w:vMerge w:val="restart"/>
            <w:shd w:val="clear" w:color="auto" w:fill="006699"/>
            <w:noWrap/>
            <w:vAlign w:val="center"/>
            <w:hideMark/>
          </w:tcPr>
          <w:p w:rsidR="00E67E7B" w:rsidRPr="00165642" w:rsidRDefault="00E67E7B" w:rsidP="005E3B54">
            <w:pPr>
              <w:spacing w:after="0" w:line="240" w:lineRule="auto"/>
              <w:jc w:val="center"/>
              <w:rPr>
                <w:rFonts w:ascii="Arial" w:hAnsi="Arial" w:cs="Arial"/>
                <w:b/>
                <w:bCs/>
                <w:color w:val="FFFFFF" w:themeColor="background1"/>
                <w:sz w:val="18"/>
                <w:szCs w:val="18"/>
                <w:lang w:val="es-419"/>
              </w:rPr>
            </w:pPr>
            <w:r w:rsidRPr="00165642">
              <w:rPr>
                <w:rFonts w:ascii="Arial" w:hAnsi="Arial" w:cs="Arial"/>
                <w:b/>
                <w:bCs/>
                <w:color w:val="FFFFFF" w:themeColor="background1"/>
                <w:sz w:val="18"/>
                <w:szCs w:val="18"/>
                <w:lang w:val="es-419"/>
              </w:rPr>
              <w:t>Tecnología</w:t>
            </w:r>
          </w:p>
        </w:tc>
        <w:tc>
          <w:tcPr>
            <w:tcW w:w="997" w:type="dxa"/>
            <w:shd w:val="clear" w:color="auto" w:fill="006699"/>
            <w:vAlign w:val="center"/>
            <w:hideMark/>
          </w:tcPr>
          <w:p w:rsidR="00E67E7B" w:rsidRPr="00165642" w:rsidRDefault="00E67E7B" w:rsidP="005E3B54">
            <w:pPr>
              <w:spacing w:after="0" w:line="240" w:lineRule="auto"/>
              <w:jc w:val="center"/>
              <w:rPr>
                <w:rFonts w:ascii="Arial" w:hAnsi="Arial" w:cs="Arial"/>
                <w:b/>
                <w:bCs/>
                <w:color w:val="FFFFFF" w:themeColor="background1"/>
                <w:sz w:val="18"/>
                <w:szCs w:val="18"/>
                <w:lang w:val="es-419"/>
              </w:rPr>
            </w:pPr>
            <w:r w:rsidRPr="00165642">
              <w:rPr>
                <w:rFonts w:ascii="Arial" w:hAnsi="Arial" w:cs="Arial"/>
                <w:b/>
                <w:bCs/>
                <w:color w:val="FFFFFF" w:themeColor="background1"/>
                <w:sz w:val="18"/>
                <w:szCs w:val="18"/>
                <w:lang w:val="es-419"/>
              </w:rPr>
              <w:t>Potencia                     de Línea</w:t>
            </w:r>
          </w:p>
        </w:tc>
      </w:tr>
      <w:tr w:rsidR="00E67E7B" w:rsidRPr="00013C8A" w:rsidTr="005E3B54">
        <w:trPr>
          <w:trHeight w:val="510"/>
          <w:jc w:val="center"/>
        </w:trPr>
        <w:tc>
          <w:tcPr>
            <w:tcW w:w="2348" w:type="dxa"/>
            <w:vMerge/>
            <w:shd w:val="clear" w:color="auto" w:fill="006699"/>
            <w:noWrap/>
            <w:vAlign w:val="center"/>
            <w:hideMark/>
          </w:tcPr>
          <w:p w:rsidR="00E67E7B" w:rsidRPr="00165642" w:rsidRDefault="00E67E7B" w:rsidP="005E3B54">
            <w:pPr>
              <w:spacing w:after="0" w:line="240" w:lineRule="auto"/>
              <w:rPr>
                <w:rFonts w:ascii="Arial" w:hAnsi="Arial" w:cs="Arial"/>
                <w:b/>
                <w:bCs/>
                <w:color w:val="FFFFFF" w:themeColor="background1"/>
                <w:sz w:val="18"/>
                <w:szCs w:val="18"/>
                <w:lang w:val="es-419"/>
              </w:rPr>
            </w:pPr>
          </w:p>
        </w:tc>
        <w:tc>
          <w:tcPr>
            <w:tcW w:w="1104" w:type="dxa"/>
            <w:shd w:val="clear" w:color="auto" w:fill="006699"/>
            <w:noWrap/>
            <w:vAlign w:val="center"/>
            <w:hideMark/>
          </w:tcPr>
          <w:p w:rsidR="00E67E7B" w:rsidRPr="00165642" w:rsidRDefault="00E67E7B" w:rsidP="005E3B54">
            <w:pPr>
              <w:spacing w:after="0" w:line="240" w:lineRule="auto"/>
              <w:jc w:val="center"/>
              <w:rPr>
                <w:rFonts w:ascii="Arial" w:hAnsi="Arial" w:cs="Arial"/>
                <w:b/>
                <w:bCs/>
                <w:color w:val="FFFFFF" w:themeColor="background1"/>
                <w:sz w:val="18"/>
                <w:szCs w:val="18"/>
                <w:lang w:val="es-419"/>
              </w:rPr>
            </w:pPr>
            <w:r w:rsidRPr="00165642">
              <w:rPr>
                <w:rFonts w:ascii="Arial" w:hAnsi="Arial" w:cs="Arial"/>
                <w:b/>
                <w:bCs/>
                <w:color w:val="FFFFFF" w:themeColor="background1"/>
                <w:sz w:val="18"/>
                <w:szCs w:val="18"/>
                <w:lang w:val="es-419"/>
              </w:rPr>
              <w:t>[W]</w:t>
            </w:r>
          </w:p>
        </w:tc>
        <w:tc>
          <w:tcPr>
            <w:tcW w:w="1139" w:type="dxa"/>
            <w:shd w:val="clear" w:color="auto" w:fill="006699"/>
            <w:noWrap/>
            <w:vAlign w:val="center"/>
            <w:hideMark/>
          </w:tcPr>
          <w:p w:rsidR="00E67E7B" w:rsidRPr="00165642" w:rsidRDefault="00E67E7B" w:rsidP="005E3B54">
            <w:pPr>
              <w:spacing w:after="0" w:line="240" w:lineRule="auto"/>
              <w:rPr>
                <w:rFonts w:ascii="Arial" w:hAnsi="Arial" w:cs="Arial"/>
                <w:b/>
                <w:bCs/>
                <w:color w:val="FFFFFF" w:themeColor="background1"/>
                <w:sz w:val="18"/>
                <w:szCs w:val="18"/>
                <w:lang w:val="es-419"/>
              </w:rPr>
            </w:pPr>
            <w:r w:rsidRPr="00165642">
              <w:rPr>
                <w:rFonts w:ascii="Arial" w:hAnsi="Arial" w:cs="Arial"/>
                <w:b/>
                <w:bCs/>
                <w:color w:val="FFFFFF" w:themeColor="background1"/>
                <w:sz w:val="18"/>
                <w:szCs w:val="18"/>
                <w:lang w:val="es-419"/>
              </w:rPr>
              <w:t> </w:t>
            </w:r>
          </w:p>
        </w:tc>
        <w:tc>
          <w:tcPr>
            <w:tcW w:w="3266" w:type="dxa"/>
            <w:vMerge/>
            <w:shd w:val="clear" w:color="auto" w:fill="006699"/>
            <w:noWrap/>
            <w:vAlign w:val="center"/>
            <w:hideMark/>
          </w:tcPr>
          <w:p w:rsidR="00E67E7B" w:rsidRPr="00165642" w:rsidRDefault="00E67E7B" w:rsidP="005E3B54">
            <w:pPr>
              <w:spacing w:after="0" w:line="240" w:lineRule="auto"/>
              <w:rPr>
                <w:rFonts w:ascii="Arial" w:hAnsi="Arial" w:cs="Arial"/>
                <w:b/>
                <w:bCs/>
                <w:color w:val="FFFFFF" w:themeColor="background1"/>
                <w:sz w:val="18"/>
                <w:szCs w:val="18"/>
                <w:lang w:val="es-419"/>
              </w:rPr>
            </w:pPr>
          </w:p>
        </w:tc>
        <w:tc>
          <w:tcPr>
            <w:tcW w:w="997" w:type="dxa"/>
            <w:shd w:val="clear" w:color="auto" w:fill="006699"/>
            <w:noWrap/>
            <w:vAlign w:val="center"/>
            <w:hideMark/>
          </w:tcPr>
          <w:p w:rsidR="00E67E7B" w:rsidRPr="00165642" w:rsidRDefault="00E67E7B" w:rsidP="005E3B54">
            <w:pPr>
              <w:spacing w:after="0" w:line="240" w:lineRule="auto"/>
              <w:jc w:val="center"/>
              <w:rPr>
                <w:rFonts w:ascii="Arial" w:hAnsi="Arial" w:cs="Arial"/>
                <w:b/>
                <w:bCs/>
                <w:color w:val="FFFFFF" w:themeColor="background1"/>
                <w:sz w:val="18"/>
                <w:szCs w:val="18"/>
                <w:lang w:val="es-419"/>
              </w:rPr>
            </w:pPr>
            <w:r w:rsidRPr="00165642">
              <w:rPr>
                <w:rFonts w:ascii="Arial" w:hAnsi="Arial" w:cs="Arial"/>
                <w:b/>
                <w:bCs/>
                <w:color w:val="FFFFFF" w:themeColor="background1"/>
                <w:sz w:val="18"/>
                <w:szCs w:val="18"/>
                <w:lang w:val="es-419"/>
              </w:rPr>
              <w:t>[W]</w:t>
            </w:r>
          </w:p>
        </w:tc>
      </w:tr>
      <w:tr w:rsidR="00E67E7B" w:rsidRPr="00013C8A" w:rsidTr="005E3B54">
        <w:trPr>
          <w:trHeight w:val="283"/>
          <w:jc w:val="center"/>
        </w:trPr>
        <w:tc>
          <w:tcPr>
            <w:tcW w:w="2348"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Vapor de Mercurio 250 W</w:t>
            </w:r>
          </w:p>
        </w:tc>
        <w:tc>
          <w:tcPr>
            <w:tcW w:w="1104"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280 - 295</w:t>
            </w:r>
          </w:p>
        </w:tc>
        <w:tc>
          <w:tcPr>
            <w:tcW w:w="1139"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Alumbrado Público</w:t>
            </w:r>
          </w:p>
        </w:tc>
        <w:tc>
          <w:tcPr>
            <w:tcW w:w="3266" w:type="dxa"/>
            <w:shd w:val="clear" w:color="000000" w:fill="FFFFFF"/>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Vapor de Sodio Optimizado 150 W</w:t>
            </w:r>
          </w:p>
        </w:tc>
        <w:tc>
          <w:tcPr>
            <w:tcW w:w="997"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167</w:t>
            </w:r>
          </w:p>
        </w:tc>
      </w:tr>
      <w:tr w:rsidR="00E67E7B" w:rsidRPr="00013C8A" w:rsidTr="005E3B54">
        <w:trPr>
          <w:trHeight w:val="283"/>
          <w:jc w:val="center"/>
        </w:trPr>
        <w:tc>
          <w:tcPr>
            <w:tcW w:w="2348"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Aditivos Metálicos Cerámicos 140 W</w:t>
            </w:r>
          </w:p>
        </w:tc>
        <w:tc>
          <w:tcPr>
            <w:tcW w:w="997"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154</w:t>
            </w:r>
          </w:p>
        </w:tc>
      </w:tr>
      <w:tr w:rsidR="00E67E7B" w:rsidRPr="00013C8A" w:rsidTr="005E3B54">
        <w:trPr>
          <w:trHeight w:val="283"/>
          <w:jc w:val="center"/>
        </w:trPr>
        <w:tc>
          <w:tcPr>
            <w:tcW w:w="2348"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LEDs 85 - 105 W</w:t>
            </w:r>
          </w:p>
        </w:tc>
        <w:tc>
          <w:tcPr>
            <w:tcW w:w="997"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85 - 105</w:t>
            </w:r>
          </w:p>
        </w:tc>
      </w:tr>
      <w:tr w:rsidR="00E67E7B" w:rsidRPr="00013C8A" w:rsidTr="005E3B54">
        <w:trPr>
          <w:trHeight w:val="283"/>
          <w:jc w:val="center"/>
        </w:trPr>
        <w:tc>
          <w:tcPr>
            <w:tcW w:w="2348"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Vapor de Mercurio 175 W</w:t>
            </w:r>
          </w:p>
        </w:tc>
        <w:tc>
          <w:tcPr>
            <w:tcW w:w="1104"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195 - 205</w:t>
            </w:r>
          </w:p>
        </w:tc>
        <w:tc>
          <w:tcPr>
            <w:tcW w:w="1139"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Alumbrado Público</w:t>
            </w:r>
          </w:p>
        </w:tc>
        <w:tc>
          <w:tcPr>
            <w:tcW w:w="3266" w:type="dxa"/>
            <w:shd w:val="clear" w:color="000000" w:fill="FFFFFF"/>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Vapor de Sodio Optimizado 100 W</w:t>
            </w:r>
          </w:p>
        </w:tc>
        <w:tc>
          <w:tcPr>
            <w:tcW w:w="997"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114</w:t>
            </w:r>
          </w:p>
        </w:tc>
      </w:tr>
      <w:tr w:rsidR="00E67E7B" w:rsidRPr="00013C8A" w:rsidTr="005E3B54">
        <w:trPr>
          <w:trHeight w:val="283"/>
          <w:jc w:val="center"/>
        </w:trPr>
        <w:tc>
          <w:tcPr>
            <w:tcW w:w="2348"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Aditivos Metálicos Cerámicos 90 W</w:t>
            </w:r>
          </w:p>
        </w:tc>
        <w:tc>
          <w:tcPr>
            <w:tcW w:w="997"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99</w:t>
            </w:r>
          </w:p>
        </w:tc>
      </w:tr>
      <w:tr w:rsidR="00E67E7B" w:rsidRPr="00013C8A" w:rsidTr="005E3B54">
        <w:trPr>
          <w:trHeight w:val="283"/>
          <w:jc w:val="center"/>
        </w:trPr>
        <w:tc>
          <w:tcPr>
            <w:tcW w:w="2348"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shd w:val="clear" w:color="000000" w:fill="FFFFFF"/>
            <w:noWrap/>
            <w:vAlign w:val="center"/>
            <w:hideMark/>
          </w:tcPr>
          <w:p w:rsidR="00E67E7B" w:rsidRPr="0001509A" w:rsidRDefault="00E67E7B" w:rsidP="005E3B54">
            <w:pPr>
              <w:spacing w:after="0" w:line="240" w:lineRule="auto"/>
              <w:jc w:val="center"/>
              <w:rPr>
                <w:rFonts w:ascii="Arial" w:hAnsi="Arial" w:cs="Arial"/>
                <w:b/>
                <w:color w:val="000000"/>
                <w:sz w:val="18"/>
                <w:szCs w:val="18"/>
                <w:lang w:val="es-419"/>
              </w:rPr>
            </w:pPr>
            <w:r w:rsidRPr="0001509A">
              <w:rPr>
                <w:rFonts w:ascii="Arial" w:hAnsi="Arial" w:cs="Arial"/>
                <w:b/>
                <w:color w:val="000000"/>
                <w:sz w:val="18"/>
                <w:szCs w:val="18"/>
                <w:lang w:val="es-419"/>
              </w:rPr>
              <w:t>LEDs 55 - 75 W</w:t>
            </w:r>
          </w:p>
        </w:tc>
        <w:tc>
          <w:tcPr>
            <w:tcW w:w="997" w:type="dxa"/>
            <w:shd w:val="clear" w:color="000000" w:fill="FFFFFF"/>
            <w:noWrap/>
            <w:vAlign w:val="center"/>
            <w:hideMark/>
          </w:tcPr>
          <w:p w:rsidR="00E67E7B" w:rsidRPr="0001509A" w:rsidRDefault="00E67E7B" w:rsidP="005E3B54">
            <w:pPr>
              <w:spacing w:after="0" w:line="240" w:lineRule="auto"/>
              <w:jc w:val="center"/>
              <w:rPr>
                <w:rFonts w:ascii="Arial" w:hAnsi="Arial" w:cs="Arial"/>
                <w:b/>
                <w:color w:val="000000"/>
                <w:sz w:val="18"/>
                <w:szCs w:val="18"/>
                <w:lang w:val="es-419"/>
              </w:rPr>
            </w:pPr>
            <w:r w:rsidRPr="0001509A">
              <w:rPr>
                <w:rFonts w:ascii="Arial" w:hAnsi="Arial" w:cs="Arial"/>
                <w:b/>
                <w:color w:val="000000"/>
                <w:sz w:val="18"/>
                <w:szCs w:val="18"/>
                <w:lang w:val="es-419"/>
              </w:rPr>
              <w:t>55 - 75</w:t>
            </w:r>
          </w:p>
        </w:tc>
      </w:tr>
      <w:tr w:rsidR="00E67E7B" w:rsidRPr="00013C8A" w:rsidTr="005E3B54">
        <w:trPr>
          <w:trHeight w:val="283"/>
          <w:jc w:val="center"/>
        </w:trPr>
        <w:tc>
          <w:tcPr>
            <w:tcW w:w="2348"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Vapor de Mercurio 125 W</w:t>
            </w:r>
          </w:p>
        </w:tc>
        <w:tc>
          <w:tcPr>
            <w:tcW w:w="1104"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140 - 150</w:t>
            </w:r>
          </w:p>
        </w:tc>
        <w:tc>
          <w:tcPr>
            <w:tcW w:w="1139"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Alumbrado Público</w:t>
            </w:r>
          </w:p>
        </w:tc>
        <w:tc>
          <w:tcPr>
            <w:tcW w:w="3266" w:type="dxa"/>
            <w:shd w:val="clear" w:color="000000" w:fill="FFFFFF"/>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Vapor de Sodio Optimizado 70 W</w:t>
            </w:r>
          </w:p>
        </w:tc>
        <w:tc>
          <w:tcPr>
            <w:tcW w:w="997" w:type="dxa"/>
            <w:shd w:val="clear" w:color="000000" w:fill="FFFFFF"/>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89</w:t>
            </w:r>
          </w:p>
        </w:tc>
      </w:tr>
      <w:tr w:rsidR="00E67E7B" w:rsidRPr="00013C8A" w:rsidTr="005E3B54">
        <w:trPr>
          <w:trHeight w:val="283"/>
          <w:jc w:val="center"/>
        </w:trPr>
        <w:tc>
          <w:tcPr>
            <w:tcW w:w="2348"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Aditivos Metálicos Cerámicos 60 W</w:t>
            </w:r>
          </w:p>
        </w:tc>
        <w:tc>
          <w:tcPr>
            <w:tcW w:w="997"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66</w:t>
            </w:r>
          </w:p>
        </w:tc>
      </w:tr>
      <w:tr w:rsidR="00E67E7B" w:rsidRPr="00013C8A" w:rsidTr="005E3B54">
        <w:trPr>
          <w:trHeight w:val="283"/>
          <w:jc w:val="center"/>
        </w:trPr>
        <w:tc>
          <w:tcPr>
            <w:tcW w:w="2348"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LEDs 35 - 45 W</w:t>
            </w:r>
          </w:p>
        </w:tc>
        <w:tc>
          <w:tcPr>
            <w:tcW w:w="997"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35 - 45</w:t>
            </w:r>
          </w:p>
        </w:tc>
      </w:tr>
      <w:tr w:rsidR="00E67E7B" w:rsidRPr="00013C8A" w:rsidTr="005E3B54">
        <w:trPr>
          <w:trHeight w:val="579"/>
          <w:jc w:val="center"/>
        </w:trPr>
        <w:tc>
          <w:tcPr>
            <w:tcW w:w="2348"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Aditivos Metálicos 1000 W</w:t>
            </w:r>
          </w:p>
        </w:tc>
        <w:tc>
          <w:tcPr>
            <w:tcW w:w="1104"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1080 - 1120</w:t>
            </w:r>
          </w:p>
        </w:tc>
        <w:tc>
          <w:tcPr>
            <w:tcW w:w="1139"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Parques y Plazas</w:t>
            </w:r>
          </w:p>
        </w:tc>
        <w:tc>
          <w:tcPr>
            <w:tcW w:w="3266"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LEDs 320 - 380 W</w:t>
            </w:r>
          </w:p>
        </w:tc>
        <w:tc>
          <w:tcPr>
            <w:tcW w:w="997"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320 - 380</w:t>
            </w:r>
          </w:p>
        </w:tc>
      </w:tr>
      <w:tr w:rsidR="00E67E7B" w:rsidRPr="00013C8A" w:rsidTr="005E3B54">
        <w:trPr>
          <w:trHeight w:val="283"/>
          <w:jc w:val="center"/>
        </w:trPr>
        <w:tc>
          <w:tcPr>
            <w:tcW w:w="2348"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Aditivos Metálicos 400 W</w:t>
            </w:r>
          </w:p>
        </w:tc>
        <w:tc>
          <w:tcPr>
            <w:tcW w:w="1104"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440 - 460</w:t>
            </w:r>
          </w:p>
        </w:tc>
        <w:tc>
          <w:tcPr>
            <w:tcW w:w="1139"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Parques y Plazas</w:t>
            </w:r>
          </w:p>
        </w:tc>
        <w:tc>
          <w:tcPr>
            <w:tcW w:w="3266" w:type="dxa"/>
            <w:shd w:val="clear" w:color="000000" w:fill="FFFFFF"/>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 xml:space="preserve">Aditivos metálicos cerámicos 140 W </w:t>
            </w:r>
          </w:p>
        </w:tc>
        <w:tc>
          <w:tcPr>
            <w:tcW w:w="997"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154*</w:t>
            </w:r>
          </w:p>
        </w:tc>
      </w:tr>
      <w:tr w:rsidR="00E67E7B" w:rsidRPr="00013C8A" w:rsidTr="005E3B54">
        <w:trPr>
          <w:trHeight w:val="283"/>
          <w:jc w:val="center"/>
        </w:trPr>
        <w:tc>
          <w:tcPr>
            <w:tcW w:w="2348"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LEDs 150 - 180 W</w:t>
            </w:r>
          </w:p>
        </w:tc>
        <w:tc>
          <w:tcPr>
            <w:tcW w:w="997"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150 - 180</w:t>
            </w:r>
          </w:p>
        </w:tc>
      </w:tr>
      <w:tr w:rsidR="00E67E7B" w:rsidRPr="00013C8A" w:rsidTr="005E3B54">
        <w:trPr>
          <w:trHeight w:val="283"/>
          <w:jc w:val="center"/>
        </w:trPr>
        <w:tc>
          <w:tcPr>
            <w:tcW w:w="2348"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Aditivos Metálicos 250 W</w:t>
            </w:r>
          </w:p>
        </w:tc>
        <w:tc>
          <w:tcPr>
            <w:tcW w:w="1104"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285 - 300</w:t>
            </w:r>
          </w:p>
        </w:tc>
        <w:tc>
          <w:tcPr>
            <w:tcW w:w="1139"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Parques y Plazas</w:t>
            </w:r>
          </w:p>
        </w:tc>
        <w:tc>
          <w:tcPr>
            <w:tcW w:w="3266" w:type="dxa"/>
            <w:shd w:val="clear" w:color="000000" w:fill="FFFFFF"/>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 xml:space="preserve">Aditivos metálicos cerámicos 140 W </w:t>
            </w:r>
          </w:p>
        </w:tc>
        <w:tc>
          <w:tcPr>
            <w:tcW w:w="997"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154</w:t>
            </w:r>
          </w:p>
        </w:tc>
      </w:tr>
      <w:tr w:rsidR="00E67E7B" w:rsidRPr="00013C8A" w:rsidTr="005E3B54">
        <w:trPr>
          <w:trHeight w:val="283"/>
          <w:jc w:val="center"/>
        </w:trPr>
        <w:tc>
          <w:tcPr>
            <w:tcW w:w="2348"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LEDs 80 - 105 W</w:t>
            </w:r>
          </w:p>
        </w:tc>
        <w:tc>
          <w:tcPr>
            <w:tcW w:w="997"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80 - 105</w:t>
            </w:r>
          </w:p>
        </w:tc>
      </w:tr>
      <w:tr w:rsidR="00E67E7B" w:rsidRPr="00013C8A" w:rsidTr="005E3B54">
        <w:trPr>
          <w:trHeight w:val="283"/>
          <w:jc w:val="center"/>
        </w:trPr>
        <w:tc>
          <w:tcPr>
            <w:tcW w:w="2348"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Aditivos Metálicos 150 W</w:t>
            </w:r>
          </w:p>
        </w:tc>
        <w:tc>
          <w:tcPr>
            <w:tcW w:w="1104"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175 - 185</w:t>
            </w:r>
          </w:p>
        </w:tc>
        <w:tc>
          <w:tcPr>
            <w:tcW w:w="1139"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Parques y Plazas</w:t>
            </w:r>
          </w:p>
        </w:tc>
        <w:tc>
          <w:tcPr>
            <w:tcW w:w="3266" w:type="dxa"/>
            <w:shd w:val="clear" w:color="000000" w:fill="FFFFFF"/>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 xml:space="preserve">Aditivos metálicos cerámicos 90 W </w:t>
            </w:r>
          </w:p>
        </w:tc>
        <w:tc>
          <w:tcPr>
            <w:tcW w:w="997"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99</w:t>
            </w:r>
          </w:p>
        </w:tc>
      </w:tr>
      <w:tr w:rsidR="00E67E7B" w:rsidRPr="00013C8A" w:rsidTr="005E3B54">
        <w:trPr>
          <w:trHeight w:val="283"/>
          <w:jc w:val="center"/>
        </w:trPr>
        <w:tc>
          <w:tcPr>
            <w:tcW w:w="2348"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LEDs 40 - 60 W</w:t>
            </w:r>
          </w:p>
        </w:tc>
        <w:tc>
          <w:tcPr>
            <w:tcW w:w="997"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40 - 60</w:t>
            </w:r>
          </w:p>
        </w:tc>
      </w:tr>
      <w:tr w:rsidR="00E67E7B" w:rsidRPr="00013C8A" w:rsidTr="005E3B54">
        <w:trPr>
          <w:trHeight w:val="283"/>
          <w:jc w:val="center"/>
        </w:trPr>
        <w:tc>
          <w:tcPr>
            <w:tcW w:w="2348"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Aditivos Metálicos 100 W</w:t>
            </w:r>
          </w:p>
        </w:tc>
        <w:tc>
          <w:tcPr>
            <w:tcW w:w="1104"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110 - 129</w:t>
            </w:r>
          </w:p>
        </w:tc>
        <w:tc>
          <w:tcPr>
            <w:tcW w:w="1139"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Parques y Plazas</w:t>
            </w:r>
          </w:p>
        </w:tc>
        <w:tc>
          <w:tcPr>
            <w:tcW w:w="3266" w:type="dxa"/>
            <w:shd w:val="clear" w:color="000000" w:fill="FFFFFF"/>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 xml:space="preserve">Aditivos metálicos cerámicos 60 W </w:t>
            </w:r>
          </w:p>
        </w:tc>
        <w:tc>
          <w:tcPr>
            <w:tcW w:w="997"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66</w:t>
            </w:r>
          </w:p>
        </w:tc>
      </w:tr>
      <w:tr w:rsidR="00E67E7B" w:rsidRPr="00013C8A" w:rsidTr="005E3B54">
        <w:trPr>
          <w:trHeight w:val="283"/>
          <w:jc w:val="center"/>
        </w:trPr>
        <w:tc>
          <w:tcPr>
            <w:tcW w:w="2348"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shd w:val="clear" w:color="000000" w:fill="FFFFFF"/>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LEDs 25 - 35 W</w:t>
            </w:r>
          </w:p>
        </w:tc>
        <w:tc>
          <w:tcPr>
            <w:tcW w:w="997"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30 - 40</w:t>
            </w:r>
          </w:p>
        </w:tc>
      </w:tr>
      <w:tr w:rsidR="00E67E7B" w:rsidRPr="00013C8A" w:rsidTr="005E3B54">
        <w:trPr>
          <w:trHeight w:val="283"/>
          <w:jc w:val="center"/>
        </w:trPr>
        <w:tc>
          <w:tcPr>
            <w:tcW w:w="2348"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Tungsteno 1000 W</w:t>
            </w:r>
          </w:p>
        </w:tc>
        <w:tc>
          <w:tcPr>
            <w:tcW w:w="1104"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1000</w:t>
            </w:r>
          </w:p>
        </w:tc>
        <w:tc>
          <w:tcPr>
            <w:tcW w:w="1139"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Campos Deportivos</w:t>
            </w:r>
          </w:p>
        </w:tc>
        <w:tc>
          <w:tcPr>
            <w:tcW w:w="3266" w:type="dxa"/>
            <w:shd w:val="clear" w:color="000000" w:fill="FFFFFF"/>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 xml:space="preserve">Aditivos metálicos cerámicos 140 W </w:t>
            </w:r>
          </w:p>
        </w:tc>
        <w:tc>
          <w:tcPr>
            <w:tcW w:w="997"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154</w:t>
            </w:r>
          </w:p>
        </w:tc>
      </w:tr>
      <w:tr w:rsidR="00E67E7B" w:rsidRPr="00013C8A" w:rsidTr="005E3B54">
        <w:trPr>
          <w:trHeight w:val="283"/>
          <w:jc w:val="center"/>
        </w:trPr>
        <w:tc>
          <w:tcPr>
            <w:tcW w:w="2348"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LEDs 80 - 105 W</w:t>
            </w:r>
          </w:p>
        </w:tc>
        <w:tc>
          <w:tcPr>
            <w:tcW w:w="997" w:type="dxa"/>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80 - 105</w:t>
            </w:r>
          </w:p>
        </w:tc>
      </w:tr>
      <w:tr w:rsidR="00E67E7B" w:rsidRPr="00013C8A" w:rsidTr="005E3B54">
        <w:trPr>
          <w:trHeight w:val="283"/>
          <w:jc w:val="center"/>
        </w:trPr>
        <w:tc>
          <w:tcPr>
            <w:tcW w:w="2348"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Tungsteno 500 W</w:t>
            </w:r>
          </w:p>
        </w:tc>
        <w:tc>
          <w:tcPr>
            <w:tcW w:w="1104"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500</w:t>
            </w:r>
          </w:p>
        </w:tc>
        <w:tc>
          <w:tcPr>
            <w:tcW w:w="1139" w:type="dxa"/>
            <w:vMerge w:val="restart"/>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Campos Deportivos</w:t>
            </w:r>
          </w:p>
        </w:tc>
        <w:tc>
          <w:tcPr>
            <w:tcW w:w="3266" w:type="dxa"/>
            <w:shd w:val="clear" w:color="000000" w:fill="FFFFFF"/>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 xml:space="preserve">Aditivos metálicos cerámicos 60 W </w:t>
            </w:r>
          </w:p>
        </w:tc>
        <w:tc>
          <w:tcPr>
            <w:tcW w:w="997" w:type="dxa"/>
            <w:shd w:val="clear" w:color="000000" w:fill="FFFFFF"/>
            <w:noWrap/>
            <w:vAlign w:val="center"/>
            <w:hideMark/>
          </w:tcPr>
          <w:p w:rsidR="00E67E7B" w:rsidRPr="00013C8A" w:rsidRDefault="00E67E7B" w:rsidP="005E3B54">
            <w:pPr>
              <w:spacing w:after="0" w:line="240" w:lineRule="auto"/>
              <w:jc w:val="center"/>
              <w:rPr>
                <w:rFonts w:ascii="Arial" w:hAnsi="Arial" w:cs="Arial"/>
                <w:color w:val="000000"/>
                <w:sz w:val="18"/>
                <w:szCs w:val="18"/>
                <w:lang w:val="es-419"/>
              </w:rPr>
            </w:pPr>
            <w:r w:rsidRPr="00013C8A">
              <w:rPr>
                <w:rFonts w:ascii="Arial" w:hAnsi="Arial" w:cs="Arial"/>
                <w:color w:val="000000"/>
                <w:sz w:val="18"/>
                <w:szCs w:val="18"/>
                <w:lang w:val="es-419"/>
              </w:rPr>
              <w:t>66</w:t>
            </w:r>
          </w:p>
        </w:tc>
      </w:tr>
      <w:tr w:rsidR="00E67E7B" w:rsidRPr="00013C8A" w:rsidTr="005E3B54">
        <w:trPr>
          <w:trHeight w:val="283"/>
          <w:jc w:val="center"/>
        </w:trPr>
        <w:tc>
          <w:tcPr>
            <w:tcW w:w="2348" w:type="dxa"/>
            <w:vMerge/>
            <w:tcBorders>
              <w:bottom w:val="single" w:sz="8" w:space="0" w:color="auto"/>
            </w:tcBorders>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04" w:type="dxa"/>
            <w:vMerge/>
            <w:tcBorders>
              <w:bottom w:val="single" w:sz="8" w:space="0" w:color="auto"/>
            </w:tcBorders>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1139" w:type="dxa"/>
            <w:vMerge/>
            <w:tcBorders>
              <w:bottom w:val="single" w:sz="8" w:space="0" w:color="auto"/>
            </w:tcBorders>
            <w:vAlign w:val="center"/>
            <w:hideMark/>
          </w:tcPr>
          <w:p w:rsidR="00E67E7B" w:rsidRPr="00013C8A" w:rsidRDefault="00E67E7B" w:rsidP="005E3B54">
            <w:pPr>
              <w:spacing w:after="0" w:line="240" w:lineRule="auto"/>
              <w:rPr>
                <w:rFonts w:ascii="Arial" w:hAnsi="Arial" w:cs="Arial"/>
                <w:color w:val="000000"/>
                <w:sz w:val="18"/>
                <w:szCs w:val="18"/>
                <w:lang w:val="es-419"/>
              </w:rPr>
            </w:pPr>
          </w:p>
        </w:tc>
        <w:tc>
          <w:tcPr>
            <w:tcW w:w="3266" w:type="dxa"/>
            <w:tcBorders>
              <w:bottom w:val="single" w:sz="8" w:space="0" w:color="auto"/>
            </w:tcBorders>
            <w:shd w:val="clear" w:color="000000" w:fill="FFFFFF"/>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LEDs 25 - 35 W</w:t>
            </w:r>
          </w:p>
        </w:tc>
        <w:tc>
          <w:tcPr>
            <w:tcW w:w="997" w:type="dxa"/>
            <w:tcBorders>
              <w:bottom w:val="single" w:sz="8" w:space="0" w:color="auto"/>
            </w:tcBorders>
            <w:shd w:val="clear" w:color="000000" w:fill="FFFFFF"/>
            <w:noWrap/>
            <w:vAlign w:val="center"/>
            <w:hideMark/>
          </w:tcPr>
          <w:p w:rsidR="00E67E7B" w:rsidRPr="00165642" w:rsidRDefault="00E67E7B" w:rsidP="005E3B54">
            <w:pPr>
              <w:spacing w:after="0" w:line="240" w:lineRule="auto"/>
              <w:jc w:val="center"/>
              <w:rPr>
                <w:rFonts w:ascii="Arial" w:hAnsi="Arial" w:cs="Arial"/>
                <w:b/>
                <w:color w:val="000000"/>
                <w:sz w:val="18"/>
                <w:szCs w:val="18"/>
                <w:lang w:val="es-419"/>
              </w:rPr>
            </w:pPr>
            <w:r w:rsidRPr="00165642">
              <w:rPr>
                <w:rFonts w:ascii="Arial" w:hAnsi="Arial" w:cs="Arial"/>
                <w:b/>
                <w:color w:val="000000"/>
                <w:sz w:val="18"/>
                <w:szCs w:val="18"/>
                <w:lang w:val="es-419"/>
              </w:rPr>
              <w:t>25 - 35</w:t>
            </w:r>
          </w:p>
        </w:tc>
      </w:tr>
      <w:tr w:rsidR="00E67E7B" w:rsidRPr="00751B9C" w:rsidTr="005E3B54">
        <w:trPr>
          <w:trHeight w:val="183"/>
          <w:jc w:val="center"/>
        </w:trPr>
        <w:tc>
          <w:tcPr>
            <w:tcW w:w="8854" w:type="dxa"/>
            <w:gridSpan w:val="5"/>
            <w:tcBorders>
              <w:left w:val="nil"/>
              <w:bottom w:val="nil"/>
              <w:right w:val="nil"/>
            </w:tcBorders>
            <w:shd w:val="clear" w:color="000000" w:fill="FFFFFF"/>
            <w:noWrap/>
            <w:vAlign w:val="center"/>
            <w:hideMark/>
          </w:tcPr>
          <w:p w:rsidR="00E67E7B" w:rsidRPr="00165642" w:rsidRDefault="00E67E7B" w:rsidP="005E3B54">
            <w:pPr>
              <w:spacing w:after="0" w:line="240" w:lineRule="auto"/>
              <w:jc w:val="both"/>
              <w:rPr>
                <w:rFonts w:ascii="Arial" w:hAnsi="Arial" w:cs="Arial"/>
                <w:color w:val="000000"/>
                <w:sz w:val="16"/>
                <w:szCs w:val="18"/>
                <w:lang w:val="es-419"/>
              </w:rPr>
            </w:pPr>
            <w:r w:rsidRPr="00165642">
              <w:rPr>
                <w:rFonts w:ascii="Arial" w:hAnsi="Arial" w:cs="Arial"/>
                <w:color w:val="000000"/>
                <w:sz w:val="16"/>
                <w:szCs w:val="18"/>
                <w:lang w:val="es-419"/>
              </w:rPr>
              <w:t>* Cada 2 luminarias de Aditivos Metálicos de 400W, se pueden sustituir por 3 de Aditivos Metálicos Cerámicos de 140 W.</w:t>
            </w:r>
          </w:p>
        </w:tc>
      </w:tr>
    </w:tbl>
    <w:p w:rsidR="00E67E7B" w:rsidRDefault="00E67E7B" w:rsidP="00E67E7B">
      <w:pPr>
        <w:jc w:val="both"/>
        <w:rPr>
          <w:rFonts w:ascii="Arial" w:hAnsi="Arial" w:cs="Arial"/>
          <w:bCs/>
          <w:color w:val="000000"/>
          <w:lang w:val="es-419"/>
        </w:rPr>
      </w:pPr>
    </w:p>
    <w:p w:rsidR="00E67E7B" w:rsidRDefault="00E67E7B" w:rsidP="00E67E7B">
      <w:pPr>
        <w:jc w:val="both"/>
        <w:rPr>
          <w:rFonts w:ascii="Arial" w:hAnsi="Arial" w:cs="Arial"/>
          <w:bCs/>
          <w:color w:val="000000"/>
          <w:lang w:val="es-419"/>
        </w:rPr>
      </w:pPr>
    </w:p>
    <w:p w:rsidR="00E67E7B" w:rsidRPr="001D5B2F" w:rsidRDefault="00E67E7B" w:rsidP="00E67E7B">
      <w:pPr>
        <w:pStyle w:val="Heading1"/>
        <w:ind w:left="426" w:hanging="284"/>
        <w:rPr>
          <w:rFonts w:ascii="Arial" w:hAnsi="Arial" w:cs="Arial"/>
          <w:color w:val="1F4E79" w:themeColor="accent1" w:themeShade="80"/>
          <w:lang w:val="es-ES"/>
        </w:rPr>
      </w:pPr>
      <w:bookmarkStart w:id="14" w:name="_Toc496735284"/>
      <w:bookmarkStart w:id="15" w:name="_Toc520820889"/>
      <w:r w:rsidRPr="001D5B2F">
        <w:rPr>
          <w:rFonts w:ascii="Arial" w:hAnsi="Arial" w:cs="Arial"/>
          <w:color w:val="1F4E79" w:themeColor="accent1" w:themeShade="80"/>
          <w:lang w:val="es-ES"/>
        </w:rPr>
        <w:t>METODOLOGÍA</w:t>
      </w:r>
      <w:bookmarkEnd w:id="14"/>
      <w:bookmarkEnd w:id="15"/>
    </w:p>
    <w:p w:rsidR="00E67E7B" w:rsidRPr="00177AC0" w:rsidRDefault="00E67E7B" w:rsidP="00E67E7B">
      <w:pPr>
        <w:pStyle w:val="Heading1"/>
        <w:numPr>
          <w:ilvl w:val="1"/>
          <w:numId w:val="1"/>
        </w:numPr>
        <w:rPr>
          <w:rFonts w:ascii="Arial" w:hAnsi="Arial" w:cs="Arial"/>
          <w:color w:val="1F4E79" w:themeColor="accent1" w:themeShade="80"/>
          <w:lang w:val="es-ES"/>
        </w:rPr>
      </w:pPr>
      <w:bookmarkStart w:id="16" w:name="_Toc496735285"/>
      <w:bookmarkStart w:id="17" w:name="_Toc520820890"/>
      <w:r w:rsidRPr="00177AC0">
        <w:rPr>
          <w:rFonts w:ascii="Arial" w:hAnsi="Arial" w:cs="Arial"/>
          <w:color w:val="1F4E79" w:themeColor="accent1" w:themeShade="80"/>
          <w:lang w:val="es-ES"/>
        </w:rPr>
        <w:t>Escenarios “sin” y “con” proyecto</w:t>
      </w:r>
      <w:bookmarkEnd w:id="16"/>
      <w:bookmarkEnd w:id="17"/>
    </w:p>
    <w:p w:rsidR="00E67E7B" w:rsidRPr="00BD6214" w:rsidRDefault="00E67E7B" w:rsidP="00E67E7B">
      <w:pPr>
        <w:spacing w:after="0" w:line="240" w:lineRule="auto"/>
        <w:rPr>
          <w:rFonts w:ascii="Arial" w:hAnsi="Arial" w:cs="Arial"/>
          <w:lang w:val="es-MX"/>
        </w:rPr>
      </w:pPr>
    </w:p>
    <w:p w:rsidR="00E67E7B" w:rsidRPr="00BD6214" w:rsidRDefault="00E67E7B" w:rsidP="00E67E7B">
      <w:pPr>
        <w:spacing w:after="0" w:line="240" w:lineRule="auto"/>
        <w:jc w:val="both"/>
        <w:rPr>
          <w:rFonts w:ascii="Arial" w:hAnsi="Arial" w:cs="Arial"/>
          <w:lang w:val="es-MX"/>
        </w:rPr>
      </w:pPr>
      <w:r w:rsidRPr="00BD6214">
        <w:rPr>
          <w:rFonts w:ascii="Arial" w:hAnsi="Arial" w:cs="Arial"/>
          <w:lang w:val="es-MX"/>
        </w:rPr>
        <w:t>La situa</w:t>
      </w:r>
      <w:r>
        <w:rPr>
          <w:rFonts w:ascii="Arial" w:hAnsi="Arial" w:cs="Arial"/>
          <w:lang w:val="es-MX"/>
        </w:rPr>
        <w:t>ción “sin proyecto” considera que</w:t>
      </w:r>
      <w:r w:rsidRPr="00BD6214">
        <w:rPr>
          <w:rFonts w:ascii="Arial" w:hAnsi="Arial" w:cs="Arial"/>
          <w:lang w:val="es-MX"/>
        </w:rPr>
        <w:t xml:space="preserve"> </w:t>
      </w:r>
      <w:r>
        <w:rPr>
          <w:rFonts w:ascii="Arial" w:hAnsi="Arial" w:cs="Arial"/>
          <w:lang w:val="es-MX"/>
        </w:rPr>
        <w:t>no se realiza la sustitución de luminarias de alumbrado público en ambas ciudades, permaneciendo la línea base invariable y por tanto, se mantienen los gastos en energía establecidos, además de la sustitución de luminarias de acuerdo a su vida útil.</w:t>
      </w:r>
    </w:p>
    <w:p w:rsidR="00E67E7B" w:rsidRPr="00BD6214" w:rsidRDefault="00E67E7B" w:rsidP="00E67E7B">
      <w:pPr>
        <w:spacing w:after="0" w:line="240" w:lineRule="auto"/>
        <w:rPr>
          <w:rFonts w:ascii="Arial" w:hAnsi="Arial" w:cs="Arial"/>
          <w:lang w:val="es-MX"/>
        </w:rPr>
      </w:pPr>
    </w:p>
    <w:p w:rsidR="00E67E7B" w:rsidRDefault="00E67E7B" w:rsidP="00E67E7B">
      <w:pPr>
        <w:spacing w:after="0" w:line="240" w:lineRule="auto"/>
        <w:jc w:val="both"/>
        <w:rPr>
          <w:rFonts w:ascii="Arial" w:hAnsi="Arial" w:cs="Arial"/>
          <w:lang w:val="es-MX"/>
        </w:rPr>
      </w:pPr>
      <w:r w:rsidRPr="00BD6214">
        <w:rPr>
          <w:rFonts w:ascii="Arial" w:hAnsi="Arial" w:cs="Arial"/>
          <w:lang w:val="es-MX"/>
        </w:rPr>
        <w:t xml:space="preserve">La situación </w:t>
      </w:r>
      <w:r>
        <w:rPr>
          <w:rFonts w:ascii="Arial" w:hAnsi="Arial" w:cs="Arial"/>
          <w:lang w:val="es-MX"/>
        </w:rPr>
        <w:t>“</w:t>
      </w:r>
      <w:r w:rsidRPr="00BD6214">
        <w:rPr>
          <w:rFonts w:ascii="Arial" w:hAnsi="Arial" w:cs="Arial"/>
          <w:lang w:val="es-MX"/>
        </w:rPr>
        <w:t>con proyecto</w:t>
      </w:r>
      <w:r>
        <w:rPr>
          <w:rFonts w:ascii="Arial" w:hAnsi="Arial" w:cs="Arial"/>
          <w:lang w:val="es-MX"/>
        </w:rPr>
        <w:t>”</w:t>
      </w:r>
      <w:r w:rsidRPr="00BD6214">
        <w:rPr>
          <w:rFonts w:ascii="Arial" w:hAnsi="Arial" w:cs="Arial"/>
          <w:lang w:val="es-MX"/>
        </w:rPr>
        <w:t xml:space="preserve"> considera que por efecto de la </w:t>
      </w:r>
      <w:r>
        <w:rPr>
          <w:rFonts w:ascii="Arial" w:hAnsi="Arial" w:cs="Arial"/>
          <w:lang w:val="es-MX"/>
        </w:rPr>
        <w:t>sustitución de las luminarias actuales por luminarias LED se produce un ahorro tanto en energía anual consumida, como en frecuencia de reemplazo de luminarias</w:t>
      </w:r>
      <w:r w:rsidRPr="00BD6214">
        <w:rPr>
          <w:rFonts w:ascii="Arial" w:hAnsi="Arial" w:cs="Arial"/>
          <w:lang w:val="es-MX"/>
        </w:rPr>
        <w:t>.</w:t>
      </w:r>
      <w:r>
        <w:rPr>
          <w:rFonts w:ascii="Arial" w:hAnsi="Arial" w:cs="Arial"/>
          <w:lang w:val="es-MX"/>
        </w:rPr>
        <w:t xml:space="preserve"> La sustitución de luminarias requiere de una inversión inicial (ver modelo económico</w:t>
      </w:r>
      <w:r w:rsidR="009E56F0">
        <w:rPr>
          <w:rFonts w:ascii="Arial" w:hAnsi="Arial" w:cs="Arial"/>
          <w:lang w:val="es-MX"/>
        </w:rPr>
        <w:t xml:space="preserve"> para </w:t>
      </w:r>
      <w:hyperlink r:id="rId21" w:history="1">
        <w:r w:rsidR="00B030A9">
          <w:rPr>
            <w:rStyle w:val="Hyperlink"/>
            <w:rFonts w:ascii="Arial" w:hAnsi="Arial" w:cs="Arial"/>
            <w:lang w:val="es-MX"/>
          </w:rPr>
          <w:t>Potosí</w:t>
        </w:r>
      </w:hyperlink>
      <w:r w:rsidR="009E56F0">
        <w:rPr>
          <w:rFonts w:ascii="Arial" w:hAnsi="Arial" w:cs="Arial"/>
          <w:lang w:val="es-MX"/>
        </w:rPr>
        <w:t xml:space="preserve"> y </w:t>
      </w:r>
      <w:hyperlink r:id="rId22" w:history="1">
        <w:r w:rsidR="00B030A9">
          <w:rPr>
            <w:rStyle w:val="Hyperlink"/>
            <w:rFonts w:ascii="Arial" w:hAnsi="Arial" w:cs="Arial"/>
            <w:highlight w:val="yellow"/>
            <w:lang w:val="es-MX"/>
          </w:rPr>
          <w:t>Oruro</w:t>
        </w:r>
      </w:hyperlink>
      <w:r>
        <w:rPr>
          <w:rFonts w:ascii="Arial" w:hAnsi="Arial" w:cs="Arial"/>
          <w:lang w:val="es-MX"/>
        </w:rPr>
        <w:t>).</w:t>
      </w:r>
    </w:p>
    <w:p w:rsidR="00E67E7B" w:rsidRPr="00177AC0" w:rsidRDefault="00E67E7B" w:rsidP="00E67E7B">
      <w:pPr>
        <w:pStyle w:val="Heading1"/>
        <w:numPr>
          <w:ilvl w:val="1"/>
          <w:numId w:val="1"/>
        </w:numPr>
        <w:rPr>
          <w:rFonts w:ascii="Arial" w:hAnsi="Arial" w:cs="Arial"/>
          <w:color w:val="1F4E79" w:themeColor="accent1" w:themeShade="80"/>
          <w:lang w:val="es-ES"/>
        </w:rPr>
      </w:pPr>
      <w:bookmarkStart w:id="18" w:name="_Toc496735286"/>
      <w:bookmarkStart w:id="19" w:name="_Toc520820891"/>
      <w:r w:rsidRPr="00177AC0">
        <w:rPr>
          <w:rFonts w:ascii="Arial" w:hAnsi="Arial" w:cs="Arial"/>
          <w:color w:val="1F4E79" w:themeColor="accent1" w:themeShade="80"/>
          <w:lang w:val="es-ES"/>
        </w:rPr>
        <w:t>Análisis Financiero o Privado del Proyecto</w:t>
      </w:r>
      <w:bookmarkEnd w:id="18"/>
      <w:bookmarkEnd w:id="19"/>
    </w:p>
    <w:p w:rsidR="00E67E7B" w:rsidRPr="00BD6214" w:rsidRDefault="00E67E7B" w:rsidP="00E67E7B">
      <w:pPr>
        <w:spacing w:after="0" w:line="240" w:lineRule="auto"/>
        <w:rPr>
          <w:rFonts w:ascii="Arial" w:hAnsi="Arial" w:cs="Arial"/>
          <w:lang w:val="es-MX"/>
        </w:rPr>
      </w:pPr>
    </w:p>
    <w:p w:rsidR="00E67E7B" w:rsidRPr="00BD6214" w:rsidRDefault="00E67E7B" w:rsidP="00E67E7B">
      <w:pPr>
        <w:spacing w:after="0" w:line="240" w:lineRule="auto"/>
        <w:jc w:val="both"/>
        <w:rPr>
          <w:rFonts w:ascii="Arial" w:hAnsi="Arial" w:cs="Arial"/>
          <w:lang w:val="es-MX"/>
        </w:rPr>
      </w:pPr>
      <w:r w:rsidRPr="00BD6214">
        <w:rPr>
          <w:rFonts w:ascii="Arial" w:hAnsi="Arial" w:cs="Arial"/>
          <w:lang w:val="es-MX"/>
        </w:rPr>
        <w:t xml:space="preserve">El análisis privado del proyecto compara los </w:t>
      </w:r>
      <w:r>
        <w:rPr>
          <w:rFonts w:ascii="Arial" w:hAnsi="Arial" w:cs="Arial"/>
          <w:lang w:val="es-MX"/>
        </w:rPr>
        <w:t>ahorros</w:t>
      </w:r>
      <w:r w:rsidRPr="00BD6214">
        <w:rPr>
          <w:rFonts w:ascii="Arial" w:hAnsi="Arial" w:cs="Arial"/>
          <w:lang w:val="es-MX"/>
        </w:rPr>
        <w:t xml:space="preserve"> provenientes de la </w:t>
      </w:r>
      <w:r>
        <w:rPr>
          <w:rFonts w:ascii="Arial" w:hAnsi="Arial" w:cs="Arial"/>
          <w:lang w:val="es-MX"/>
        </w:rPr>
        <w:t>sustitución de luminarias</w:t>
      </w:r>
      <w:r w:rsidRPr="00BD6214">
        <w:rPr>
          <w:rFonts w:ascii="Arial" w:hAnsi="Arial" w:cs="Arial"/>
          <w:lang w:val="es-MX"/>
        </w:rPr>
        <w:t xml:space="preserve">, con los costos que el </w:t>
      </w:r>
      <w:r>
        <w:rPr>
          <w:rFonts w:ascii="Arial" w:hAnsi="Arial" w:cs="Arial"/>
          <w:lang w:val="es-MX"/>
        </w:rPr>
        <w:t>municipio</w:t>
      </w:r>
      <w:r w:rsidRPr="00BD6214">
        <w:rPr>
          <w:rFonts w:ascii="Arial" w:hAnsi="Arial" w:cs="Arial"/>
          <w:lang w:val="es-MX"/>
        </w:rPr>
        <w:t xml:space="preserve"> debe incurrir para obtenerlos (se consideran: inversión, operación y mantenimiento). Posteriormente, se realiz</w:t>
      </w:r>
      <w:r>
        <w:rPr>
          <w:rFonts w:ascii="Arial" w:hAnsi="Arial" w:cs="Arial"/>
          <w:lang w:val="es-MX"/>
        </w:rPr>
        <w:t>a</w:t>
      </w:r>
      <w:r w:rsidRPr="00BD6214">
        <w:rPr>
          <w:rFonts w:ascii="Arial" w:hAnsi="Arial" w:cs="Arial"/>
          <w:lang w:val="es-MX"/>
        </w:rPr>
        <w:t xml:space="preserve"> el balance cuantificando el Valor Actual Neto Privado (VANP) del </w:t>
      </w:r>
      <w:r>
        <w:rPr>
          <w:rFonts w:ascii="Arial" w:hAnsi="Arial" w:cs="Arial"/>
          <w:lang w:val="es-MX"/>
        </w:rPr>
        <w:t>p</w:t>
      </w:r>
      <w:r w:rsidRPr="00BD6214">
        <w:rPr>
          <w:rFonts w:ascii="Arial" w:hAnsi="Arial" w:cs="Arial"/>
          <w:lang w:val="es-MX"/>
        </w:rPr>
        <w:t xml:space="preserve">royecto. </w:t>
      </w:r>
    </w:p>
    <w:p w:rsidR="00E67E7B" w:rsidRPr="00BD6214" w:rsidRDefault="00E67E7B" w:rsidP="00E67E7B">
      <w:pPr>
        <w:spacing w:after="0" w:line="240" w:lineRule="auto"/>
        <w:rPr>
          <w:rFonts w:ascii="Arial" w:hAnsi="Arial" w:cs="Arial"/>
          <w:lang w:val="es-MX"/>
        </w:rPr>
      </w:pPr>
    </w:p>
    <w:p w:rsidR="00E67E7B" w:rsidRDefault="00E67E7B" w:rsidP="00E67E7B">
      <w:pPr>
        <w:spacing w:after="0" w:line="240" w:lineRule="auto"/>
        <w:jc w:val="both"/>
        <w:rPr>
          <w:rFonts w:ascii="Arial" w:hAnsi="Arial" w:cs="Arial"/>
          <w:lang w:val="es-MX"/>
        </w:rPr>
      </w:pPr>
      <w:r w:rsidRPr="00BD6214">
        <w:rPr>
          <w:rFonts w:ascii="Arial" w:hAnsi="Arial" w:cs="Arial"/>
          <w:lang w:val="es-MX"/>
        </w:rPr>
        <w:t>Un valor de VANP negativo indica que desde el punto de vista del operador, el proyecto no es interesante, y por tanto se requiere de la intervención del Estado. Para descontar el flujo de la evaluación privada se utiliz</w:t>
      </w:r>
      <w:r>
        <w:rPr>
          <w:rFonts w:ascii="Arial" w:hAnsi="Arial" w:cs="Arial"/>
          <w:lang w:val="es-MX"/>
        </w:rPr>
        <w:t>a</w:t>
      </w:r>
      <w:r w:rsidRPr="00BD6214">
        <w:rPr>
          <w:rFonts w:ascii="Arial" w:hAnsi="Arial" w:cs="Arial"/>
          <w:lang w:val="es-MX"/>
        </w:rPr>
        <w:t xml:space="preserve"> la tasa de descuento de mercado (1</w:t>
      </w:r>
      <w:r>
        <w:rPr>
          <w:rFonts w:ascii="Arial" w:hAnsi="Arial" w:cs="Arial"/>
          <w:lang w:val="es-MX"/>
        </w:rPr>
        <w:t>2</w:t>
      </w:r>
      <w:r w:rsidRPr="00BD6214">
        <w:rPr>
          <w:rFonts w:ascii="Arial" w:hAnsi="Arial" w:cs="Arial"/>
          <w:lang w:val="es-MX"/>
        </w:rPr>
        <w:t>%).</w:t>
      </w:r>
    </w:p>
    <w:p w:rsidR="00E67E7B" w:rsidRDefault="00E67E7B" w:rsidP="00E67E7B">
      <w:pPr>
        <w:spacing w:after="0" w:line="240" w:lineRule="auto"/>
        <w:jc w:val="both"/>
        <w:rPr>
          <w:rFonts w:ascii="Arial" w:hAnsi="Arial" w:cs="Arial"/>
          <w:lang w:val="es-MX"/>
        </w:rPr>
      </w:pPr>
    </w:p>
    <w:p w:rsidR="00E67E7B" w:rsidRPr="00BD6214" w:rsidRDefault="00E67E7B" w:rsidP="00E67E7B">
      <w:pPr>
        <w:spacing w:after="0" w:line="240" w:lineRule="auto"/>
        <w:jc w:val="both"/>
        <w:rPr>
          <w:rFonts w:ascii="Arial" w:hAnsi="Arial" w:cs="Arial"/>
          <w:lang w:val="es-MX"/>
        </w:rPr>
      </w:pPr>
      <w:r>
        <w:rPr>
          <w:rFonts w:ascii="Arial" w:hAnsi="Arial" w:cs="Arial"/>
          <w:lang w:val="es-MX"/>
        </w:rPr>
        <w:t>Adicionalmente se ha considerado como indicador el Pay Back Simple.</w:t>
      </w:r>
    </w:p>
    <w:p w:rsidR="00E67E7B" w:rsidRPr="00177AC0" w:rsidRDefault="00E67E7B" w:rsidP="00E67E7B">
      <w:pPr>
        <w:pStyle w:val="Heading1"/>
        <w:numPr>
          <w:ilvl w:val="1"/>
          <w:numId w:val="1"/>
        </w:numPr>
        <w:rPr>
          <w:rFonts w:ascii="Arial" w:hAnsi="Arial" w:cs="Arial"/>
          <w:color w:val="1F4E79" w:themeColor="accent1" w:themeShade="80"/>
          <w:lang w:val="es-ES"/>
        </w:rPr>
      </w:pPr>
      <w:bookmarkStart w:id="20" w:name="_Toc496735287"/>
      <w:bookmarkStart w:id="21" w:name="_Toc520820892"/>
      <w:r w:rsidRPr="00177AC0">
        <w:rPr>
          <w:rFonts w:ascii="Arial" w:hAnsi="Arial" w:cs="Arial"/>
          <w:color w:val="1F4E79" w:themeColor="accent1" w:themeShade="80"/>
          <w:lang w:val="es-ES"/>
        </w:rPr>
        <w:t>Análisis Socioeconómico del Proyecto</w:t>
      </w:r>
      <w:bookmarkEnd w:id="20"/>
      <w:bookmarkEnd w:id="21"/>
    </w:p>
    <w:p w:rsidR="00E67E7B" w:rsidRDefault="00E67E7B" w:rsidP="00E67E7B">
      <w:pPr>
        <w:spacing w:after="0" w:line="240" w:lineRule="auto"/>
        <w:jc w:val="both"/>
        <w:rPr>
          <w:rFonts w:ascii="Times New Roman" w:hAnsi="Times New Roman" w:cs="Times New Roman"/>
          <w:sz w:val="24"/>
          <w:szCs w:val="24"/>
          <w:lang w:val="es-MX"/>
        </w:rPr>
      </w:pPr>
    </w:p>
    <w:p w:rsidR="00E67E7B" w:rsidRPr="003E0617" w:rsidRDefault="00E67E7B" w:rsidP="00E67E7B">
      <w:pPr>
        <w:spacing w:after="0" w:line="240" w:lineRule="auto"/>
        <w:rPr>
          <w:rFonts w:ascii="Arial" w:hAnsi="Arial" w:cs="Arial"/>
          <w:lang w:val="es-MX"/>
        </w:rPr>
      </w:pPr>
      <w:r w:rsidRPr="003E0617">
        <w:rPr>
          <w:rFonts w:ascii="Arial" w:hAnsi="Arial" w:cs="Arial"/>
          <w:lang w:val="es-MX"/>
        </w:rPr>
        <w:t xml:space="preserve">Los criterios utilizados para la valoración de la </w:t>
      </w:r>
      <w:r>
        <w:rPr>
          <w:rFonts w:ascii="Arial" w:hAnsi="Arial" w:cs="Arial"/>
          <w:lang w:val="es-MX"/>
        </w:rPr>
        <w:t xml:space="preserve">sustitución de las luminarias actuales por luminarias LEDs en los municipios de Oruro y </w:t>
      </w:r>
      <w:r w:rsidR="00616383">
        <w:rPr>
          <w:rFonts w:ascii="Arial" w:hAnsi="Arial" w:cs="Arial"/>
          <w:lang w:val="es-MX"/>
        </w:rPr>
        <w:t>Potosí</w:t>
      </w:r>
      <w:r w:rsidRPr="003E0617">
        <w:rPr>
          <w:rFonts w:ascii="Arial" w:hAnsi="Arial" w:cs="Arial"/>
          <w:lang w:val="es-MX"/>
        </w:rPr>
        <w:t>, desde el punto de vista socioeconómico se basa</w:t>
      </w:r>
      <w:r>
        <w:rPr>
          <w:rFonts w:ascii="Arial" w:hAnsi="Arial" w:cs="Arial"/>
          <w:lang w:val="es-MX"/>
        </w:rPr>
        <w:t>n</w:t>
      </w:r>
      <w:r w:rsidRPr="003E0617">
        <w:rPr>
          <w:rFonts w:ascii="Arial" w:hAnsi="Arial" w:cs="Arial"/>
          <w:lang w:val="es-MX"/>
        </w:rPr>
        <w:t xml:space="preserve"> en los indicadores:</w:t>
      </w:r>
    </w:p>
    <w:p w:rsidR="00E67E7B" w:rsidRPr="003E0617" w:rsidRDefault="00E67E7B" w:rsidP="00E67E7B">
      <w:pPr>
        <w:spacing w:after="0" w:line="240" w:lineRule="auto"/>
        <w:rPr>
          <w:rFonts w:ascii="Arial" w:hAnsi="Arial" w:cs="Arial"/>
          <w:lang w:val="es-MX"/>
        </w:rPr>
      </w:pPr>
    </w:p>
    <w:p w:rsidR="00E67E7B" w:rsidRPr="00645C9E" w:rsidRDefault="00E67E7B" w:rsidP="00E67E7B">
      <w:pPr>
        <w:pStyle w:val="ListParagraph"/>
        <w:numPr>
          <w:ilvl w:val="0"/>
          <w:numId w:val="11"/>
        </w:numPr>
        <w:rPr>
          <w:rFonts w:ascii="Arial" w:hAnsi="Arial" w:cs="Arial"/>
          <w:sz w:val="22"/>
        </w:rPr>
      </w:pPr>
      <w:r w:rsidRPr="00645C9E">
        <w:rPr>
          <w:rFonts w:ascii="Arial" w:hAnsi="Arial" w:cs="Arial"/>
          <w:sz w:val="22"/>
        </w:rPr>
        <w:t xml:space="preserve">VANS mayor que cero, que significa que la intervención es rentable desde el punto de vista del país en su conjunto y se debe ejecutar. </w:t>
      </w:r>
    </w:p>
    <w:p w:rsidR="00E67E7B" w:rsidRPr="00645C9E" w:rsidRDefault="00E67E7B" w:rsidP="00E67E7B">
      <w:pPr>
        <w:spacing w:after="0" w:line="240" w:lineRule="auto"/>
        <w:rPr>
          <w:rFonts w:ascii="Arial" w:hAnsi="Arial" w:cs="Arial"/>
          <w:sz w:val="20"/>
          <w:lang w:val="es-MX"/>
        </w:rPr>
      </w:pPr>
    </w:p>
    <w:p w:rsidR="00E67E7B" w:rsidRPr="00645C9E" w:rsidRDefault="00E67E7B" w:rsidP="00E67E7B">
      <w:pPr>
        <w:pStyle w:val="ListParagraph"/>
        <w:numPr>
          <w:ilvl w:val="0"/>
          <w:numId w:val="11"/>
        </w:numPr>
        <w:rPr>
          <w:rFonts w:ascii="Arial" w:hAnsi="Arial" w:cs="Arial"/>
          <w:sz w:val="22"/>
        </w:rPr>
      </w:pPr>
      <w:r w:rsidRPr="00645C9E">
        <w:rPr>
          <w:rFonts w:ascii="Arial" w:hAnsi="Arial" w:cs="Arial"/>
          <w:sz w:val="22"/>
        </w:rPr>
        <w:t>Por otro lado, una TIRS mayor a 12% indica que desde el punto de vista del país, la intervención se debe realizar.</w:t>
      </w:r>
    </w:p>
    <w:p w:rsidR="00E67E7B" w:rsidRPr="003E0617" w:rsidRDefault="00E67E7B" w:rsidP="00E67E7B">
      <w:pPr>
        <w:spacing w:after="0" w:line="240" w:lineRule="auto"/>
        <w:rPr>
          <w:rFonts w:ascii="Arial" w:hAnsi="Arial" w:cs="Arial"/>
          <w:lang w:val="es-MX"/>
        </w:rPr>
      </w:pPr>
    </w:p>
    <w:p w:rsidR="00E67E7B" w:rsidRPr="003E0617" w:rsidRDefault="00E67E7B" w:rsidP="00E67E7B">
      <w:pPr>
        <w:spacing w:after="0" w:line="240" w:lineRule="auto"/>
        <w:jc w:val="both"/>
        <w:rPr>
          <w:rFonts w:ascii="Arial" w:hAnsi="Arial" w:cs="Arial"/>
          <w:lang w:val="es-MX"/>
        </w:rPr>
      </w:pPr>
      <w:r w:rsidRPr="00121585">
        <w:rPr>
          <w:rFonts w:ascii="Arial" w:hAnsi="Arial" w:cs="Arial"/>
          <w:lang w:val="es-MX"/>
        </w:rPr>
        <w:t>El análisis se basa en los beneficios que la sustitución de luminarias trae al estado (municipio) ya que el ahorro permite a este disponer de recursos (flujo de caja). Aunque su efecto es menor, t</w:t>
      </w:r>
      <w:r>
        <w:rPr>
          <w:rFonts w:ascii="Arial" w:hAnsi="Arial" w:cs="Arial"/>
          <w:lang w:val="es-MX"/>
        </w:rPr>
        <w:t xml:space="preserve">ambién se considera: el </w:t>
      </w:r>
      <w:r w:rsidRPr="00AE60D0">
        <w:rPr>
          <w:rFonts w:ascii="Arial" w:hAnsi="Arial" w:cs="Arial"/>
          <w:lang w:val="es-MX"/>
        </w:rPr>
        <w:t>ahorro de emisiones de CO2</w:t>
      </w:r>
      <w:r w:rsidR="00616383">
        <w:rPr>
          <w:rFonts w:ascii="Arial" w:hAnsi="Arial" w:cs="Arial"/>
          <w:lang w:val="es-MX"/>
        </w:rPr>
        <w:t xml:space="preserve"> y</w:t>
      </w:r>
      <w:r>
        <w:rPr>
          <w:rFonts w:ascii="Arial" w:hAnsi="Arial" w:cs="Arial"/>
          <w:lang w:val="es-MX"/>
        </w:rPr>
        <w:t xml:space="preserve"> el b</w:t>
      </w:r>
      <w:r w:rsidR="00616383">
        <w:rPr>
          <w:rFonts w:ascii="Arial" w:hAnsi="Arial" w:cs="Arial"/>
          <w:lang w:val="es-MX"/>
        </w:rPr>
        <w:t>eneficio por inversión diferida.</w:t>
      </w:r>
    </w:p>
    <w:p w:rsidR="00E67E7B" w:rsidRPr="003E0617" w:rsidRDefault="00E67E7B" w:rsidP="00E67E7B">
      <w:pPr>
        <w:spacing w:after="0" w:line="240" w:lineRule="auto"/>
        <w:rPr>
          <w:rFonts w:ascii="Arial" w:hAnsi="Arial" w:cs="Arial"/>
          <w:lang w:val="es-MX"/>
        </w:rPr>
      </w:pPr>
    </w:p>
    <w:p w:rsidR="00E67E7B" w:rsidRPr="003E0617" w:rsidRDefault="00E67E7B" w:rsidP="00E67E7B">
      <w:pPr>
        <w:spacing w:after="0" w:line="240" w:lineRule="auto"/>
        <w:jc w:val="both"/>
        <w:rPr>
          <w:rFonts w:ascii="Arial" w:hAnsi="Arial" w:cs="Arial"/>
          <w:lang w:val="es-MX"/>
        </w:rPr>
      </w:pPr>
      <w:r w:rsidRPr="003E0617">
        <w:rPr>
          <w:rFonts w:ascii="Arial" w:hAnsi="Arial" w:cs="Arial"/>
          <w:lang w:val="es-MX"/>
        </w:rPr>
        <w:lastRenderedPageBreak/>
        <w:t xml:space="preserve">Los costos considerados son básicamente los de inversión, </w:t>
      </w:r>
      <w:r>
        <w:rPr>
          <w:rFonts w:ascii="Arial" w:hAnsi="Arial" w:cs="Arial"/>
          <w:lang w:val="es-MX"/>
        </w:rPr>
        <w:t>que son ejecutados sólo en el primer año de ejecución del proyecto</w:t>
      </w:r>
      <w:r w:rsidRPr="003E0617">
        <w:rPr>
          <w:rFonts w:ascii="Arial" w:hAnsi="Arial" w:cs="Arial"/>
          <w:lang w:val="es-MX"/>
        </w:rPr>
        <w:t xml:space="preserve">, corregidos por la razón de precio de cuenta </w:t>
      </w:r>
      <w:r>
        <w:rPr>
          <w:rFonts w:ascii="Arial" w:hAnsi="Arial" w:cs="Arial"/>
          <w:lang w:val="es-MX"/>
        </w:rPr>
        <w:t xml:space="preserve">(RPC) </w:t>
      </w:r>
      <w:r w:rsidRPr="003E0617">
        <w:rPr>
          <w:rFonts w:ascii="Arial" w:hAnsi="Arial" w:cs="Arial"/>
          <w:lang w:val="es-MX"/>
        </w:rPr>
        <w:t>de la divisa.</w:t>
      </w:r>
    </w:p>
    <w:p w:rsidR="00E67E7B" w:rsidRPr="001D5B2F" w:rsidRDefault="00E67E7B" w:rsidP="00E67E7B">
      <w:pPr>
        <w:pStyle w:val="Heading1"/>
        <w:ind w:left="426" w:hanging="284"/>
        <w:rPr>
          <w:rFonts w:ascii="Arial" w:hAnsi="Arial" w:cs="Arial"/>
          <w:color w:val="1F4E79" w:themeColor="accent1" w:themeShade="80"/>
          <w:lang w:val="es-ES"/>
        </w:rPr>
      </w:pPr>
      <w:bookmarkStart w:id="22" w:name="_Toc496735288"/>
      <w:bookmarkStart w:id="23" w:name="_Toc520820893"/>
      <w:r w:rsidRPr="001D5B2F">
        <w:rPr>
          <w:rFonts w:ascii="Arial" w:hAnsi="Arial" w:cs="Arial"/>
          <w:color w:val="1F4E79" w:themeColor="accent1" w:themeShade="80"/>
          <w:lang w:val="es-ES"/>
        </w:rPr>
        <w:t>SUPUESTOS</w:t>
      </w:r>
      <w:bookmarkEnd w:id="22"/>
      <w:bookmarkEnd w:id="23"/>
    </w:p>
    <w:p w:rsidR="00E67E7B" w:rsidRDefault="00E67E7B" w:rsidP="00E67E7B">
      <w:pPr>
        <w:spacing w:after="0" w:line="240" w:lineRule="auto"/>
        <w:jc w:val="both"/>
        <w:rPr>
          <w:rFonts w:ascii="Times New Roman" w:hAnsi="Times New Roman" w:cs="Times New Roman"/>
          <w:sz w:val="24"/>
          <w:szCs w:val="24"/>
          <w:lang w:val="es-ES_tradnl"/>
        </w:rPr>
      </w:pPr>
    </w:p>
    <w:p w:rsidR="00E67E7B" w:rsidRDefault="00E67E7B" w:rsidP="00E67E7B">
      <w:pPr>
        <w:spacing w:after="0" w:line="240" w:lineRule="auto"/>
        <w:jc w:val="both"/>
        <w:rPr>
          <w:rFonts w:ascii="Arial" w:hAnsi="Arial" w:cs="Arial"/>
          <w:lang w:val="es-ES_tradnl"/>
        </w:rPr>
      </w:pPr>
      <w:r w:rsidRPr="00906223">
        <w:rPr>
          <w:rFonts w:ascii="Arial" w:hAnsi="Arial" w:cs="Arial"/>
          <w:lang w:val="es-ES_tradnl"/>
        </w:rPr>
        <w:t>Los supuestos utilizados para el análisis económico son:</w:t>
      </w:r>
    </w:p>
    <w:p w:rsidR="00E67E7B" w:rsidRPr="00906223" w:rsidRDefault="00E67E7B" w:rsidP="00E67E7B">
      <w:pPr>
        <w:spacing w:after="0" w:line="240" w:lineRule="auto"/>
        <w:jc w:val="both"/>
        <w:rPr>
          <w:rFonts w:ascii="Arial" w:hAnsi="Arial" w:cs="Arial"/>
          <w:lang w:val="es-ES_tradnl"/>
        </w:rPr>
      </w:pPr>
    </w:p>
    <w:p w:rsidR="00E67E7B" w:rsidRPr="00906223" w:rsidRDefault="00E67E7B" w:rsidP="00E67E7B">
      <w:pPr>
        <w:spacing w:after="0" w:line="240" w:lineRule="auto"/>
        <w:jc w:val="both"/>
        <w:rPr>
          <w:rFonts w:ascii="Arial" w:hAnsi="Arial" w:cs="Arial"/>
          <w:lang w:val="es-MX"/>
        </w:rPr>
      </w:pPr>
      <w:r>
        <w:rPr>
          <w:rFonts w:ascii="Arial" w:hAnsi="Arial" w:cs="Arial"/>
          <w:u w:val="single"/>
          <w:lang w:val="es-MX"/>
        </w:rPr>
        <w:t>Periodo de análisis del proyecto</w:t>
      </w:r>
      <w:r>
        <w:rPr>
          <w:rFonts w:ascii="Arial" w:hAnsi="Arial" w:cs="Arial"/>
          <w:lang w:val="es-MX"/>
        </w:rPr>
        <w:t>:</w:t>
      </w:r>
      <w:r w:rsidRPr="00906223">
        <w:rPr>
          <w:rFonts w:ascii="Arial" w:hAnsi="Arial" w:cs="Arial"/>
          <w:lang w:val="es-MX"/>
        </w:rPr>
        <w:t xml:space="preserve"> </w:t>
      </w:r>
      <w:r>
        <w:rPr>
          <w:rFonts w:ascii="Arial" w:hAnsi="Arial" w:cs="Arial"/>
          <w:lang w:val="es-MX"/>
        </w:rPr>
        <w:t>10</w:t>
      </w:r>
      <w:r w:rsidRPr="00906223">
        <w:rPr>
          <w:rFonts w:ascii="Arial" w:hAnsi="Arial" w:cs="Arial"/>
          <w:lang w:val="es-MX"/>
        </w:rPr>
        <w:t xml:space="preserve"> años</w:t>
      </w:r>
      <w:r>
        <w:rPr>
          <w:rFonts w:ascii="Arial" w:hAnsi="Arial" w:cs="Arial"/>
          <w:lang w:val="es-MX"/>
        </w:rPr>
        <w:t xml:space="preserve"> (vida útil de la lámpara de LED)</w:t>
      </w:r>
      <w:r w:rsidRPr="00906223">
        <w:rPr>
          <w:rFonts w:ascii="Arial" w:hAnsi="Arial" w:cs="Arial"/>
          <w:lang w:val="es-MX"/>
        </w:rPr>
        <w:t>.</w:t>
      </w:r>
    </w:p>
    <w:p w:rsidR="00E67E7B" w:rsidRPr="00906223" w:rsidRDefault="00E67E7B" w:rsidP="00E67E7B">
      <w:pPr>
        <w:spacing w:after="0" w:line="240" w:lineRule="auto"/>
        <w:jc w:val="both"/>
        <w:rPr>
          <w:rFonts w:ascii="Arial" w:hAnsi="Arial" w:cs="Arial"/>
          <w:lang w:val="es-MX"/>
        </w:rPr>
      </w:pPr>
    </w:p>
    <w:p w:rsidR="00E67E7B" w:rsidRDefault="00E67E7B" w:rsidP="00E67E7B">
      <w:pPr>
        <w:spacing w:after="0" w:line="240" w:lineRule="auto"/>
        <w:jc w:val="both"/>
        <w:rPr>
          <w:rFonts w:ascii="Arial" w:hAnsi="Arial" w:cs="Arial"/>
          <w:lang w:val="es-MX"/>
        </w:rPr>
      </w:pPr>
      <w:r w:rsidRPr="00906223">
        <w:rPr>
          <w:rFonts w:ascii="Arial" w:hAnsi="Arial" w:cs="Arial"/>
          <w:u w:val="single"/>
          <w:lang w:val="es-MX"/>
        </w:rPr>
        <w:t>Precio de</w:t>
      </w:r>
      <w:r>
        <w:rPr>
          <w:rFonts w:ascii="Arial" w:hAnsi="Arial" w:cs="Arial"/>
          <w:u w:val="single"/>
          <w:lang w:val="es-MX"/>
        </w:rPr>
        <w:t xml:space="preserve"> </w:t>
      </w:r>
      <w:r w:rsidRPr="00906223">
        <w:rPr>
          <w:rFonts w:ascii="Arial" w:hAnsi="Arial" w:cs="Arial"/>
          <w:u w:val="single"/>
          <w:lang w:val="es-MX"/>
        </w:rPr>
        <w:t>l</w:t>
      </w:r>
      <w:r>
        <w:rPr>
          <w:rFonts w:ascii="Arial" w:hAnsi="Arial" w:cs="Arial"/>
          <w:u w:val="single"/>
          <w:lang w:val="es-MX"/>
        </w:rPr>
        <w:t xml:space="preserve">a energía para alumbrado público en Oruro: </w:t>
      </w:r>
      <w:r>
        <w:rPr>
          <w:rFonts w:ascii="Arial" w:hAnsi="Arial" w:cs="Arial"/>
          <w:lang w:val="es-MX"/>
        </w:rPr>
        <w:t>0.162 USD/kWh</w:t>
      </w:r>
      <w:r>
        <w:rPr>
          <w:rStyle w:val="FootnoteReference"/>
          <w:rFonts w:ascii="Arial" w:hAnsi="Arial" w:cs="Arial"/>
          <w:lang w:val="es-MX"/>
        </w:rPr>
        <w:footnoteReference w:id="1"/>
      </w:r>
      <w:r w:rsidRPr="00906223">
        <w:rPr>
          <w:rFonts w:ascii="Arial" w:hAnsi="Arial" w:cs="Arial"/>
          <w:lang w:val="es-MX"/>
        </w:rPr>
        <w:t>.</w:t>
      </w:r>
    </w:p>
    <w:p w:rsidR="00E67E7B" w:rsidRDefault="00E67E7B" w:rsidP="00E67E7B">
      <w:pPr>
        <w:spacing w:after="0" w:line="240" w:lineRule="auto"/>
        <w:jc w:val="both"/>
        <w:rPr>
          <w:rFonts w:ascii="Arial" w:hAnsi="Arial" w:cs="Arial"/>
          <w:lang w:val="es-MX"/>
        </w:rPr>
      </w:pPr>
    </w:p>
    <w:p w:rsidR="00E67E7B" w:rsidRDefault="00E67E7B" w:rsidP="00E67E7B">
      <w:pPr>
        <w:spacing w:after="0" w:line="240" w:lineRule="auto"/>
        <w:jc w:val="both"/>
        <w:rPr>
          <w:rFonts w:ascii="Arial" w:hAnsi="Arial" w:cs="Arial"/>
          <w:lang w:val="es-MX"/>
        </w:rPr>
      </w:pPr>
      <w:r w:rsidRPr="00906223">
        <w:rPr>
          <w:rFonts w:ascii="Arial" w:hAnsi="Arial" w:cs="Arial"/>
          <w:u w:val="single"/>
          <w:lang w:val="es-MX"/>
        </w:rPr>
        <w:t>Precio de</w:t>
      </w:r>
      <w:r>
        <w:rPr>
          <w:rFonts w:ascii="Arial" w:hAnsi="Arial" w:cs="Arial"/>
          <w:u w:val="single"/>
          <w:lang w:val="es-MX"/>
        </w:rPr>
        <w:t xml:space="preserve"> </w:t>
      </w:r>
      <w:r w:rsidRPr="00906223">
        <w:rPr>
          <w:rFonts w:ascii="Arial" w:hAnsi="Arial" w:cs="Arial"/>
          <w:u w:val="single"/>
          <w:lang w:val="es-MX"/>
        </w:rPr>
        <w:t>l</w:t>
      </w:r>
      <w:r>
        <w:rPr>
          <w:rFonts w:ascii="Arial" w:hAnsi="Arial" w:cs="Arial"/>
          <w:u w:val="single"/>
          <w:lang w:val="es-MX"/>
        </w:rPr>
        <w:t xml:space="preserve">a energía para alumbrado público en </w:t>
      </w:r>
      <w:r w:rsidR="00215907">
        <w:rPr>
          <w:rFonts w:ascii="Arial" w:hAnsi="Arial" w:cs="Arial"/>
          <w:u w:val="single"/>
          <w:lang w:val="es-MX"/>
        </w:rPr>
        <w:t>Potosí</w:t>
      </w:r>
      <w:r>
        <w:rPr>
          <w:rFonts w:ascii="Arial" w:hAnsi="Arial" w:cs="Arial"/>
          <w:u w:val="single"/>
          <w:lang w:val="es-MX"/>
        </w:rPr>
        <w:t xml:space="preserve">: </w:t>
      </w:r>
      <w:r>
        <w:rPr>
          <w:rFonts w:ascii="Arial" w:hAnsi="Arial" w:cs="Arial"/>
          <w:lang w:val="es-MX"/>
        </w:rPr>
        <w:t>0.</w:t>
      </w:r>
      <w:r w:rsidR="00616383">
        <w:rPr>
          <w:rFonts w:ascii="Arial" w:hAnsi="Arial" w:cs="Arial"/>
          <w:lang w:val="es-MX"/>
        </w:rPr>
        <w:t>1</w:t>
      </w:r>
      <w:r w:rsidR="00A36829">
        <w:rPr>
          <w:rFonts w:ascii="Arial" w:hAnsi="Arial" w:cs="Arial"/>
          <w:lang w:val="es-MX"/>
        </w:rPr>
        <w:t>6</w:t>
      </w:r>
      <w:r w:rsidR="00FC4E69">
        <w:rPr>
          <w:rFonts w:ascii="Arial" w:hAnsi="Arial" w:cs="Arial"/>
          <w:lang w:val="es-MX"/>
        </w:rPr>
        <w:t>6</w:t>
      </w:r>
      <w:r>
        <w:rPr>
          <w:rFonts w:ascii="Arial" w:hAnsi="Arial" w:cs="Arial"/>
          <w:lang w:val="es-MX"/>
        </w:rPr>
        <w:t xml:space="preserve"> USD/kWh</w:t>
      </w:r>
      <w:r w:rsidRPr="005D5331">
        <w:rPr>
          <w:rFonts w:ascii="Arial" w:hAnsi="Arial" w:cs="Arial"/>
          <w:vertAlign w:val="superscript"/>
          <w:lang w:val="es-MX"/>
        </w:rPr>
        <w:t>1</w:t>
      </w:r>
      <w:r w:rsidRPr="00906223">
        <w:rPr>
          <w:rFonts w:ascii="Arial" w:hAnsi="Arial" w:cs="Arial"/>
          <w:lang w:val="es-MX"/>
        </w:rPr>
        <w:t>.</w:t>
      </w:r>
    </w:p>
    <w:p w:rsidR="00E67E7B" w:rsidRDefault="00E67E7B" w:rsidP="00E67E7B">
      <w:pPr>
        <w:spacing w:after="0" w:line="240" w:lineRule="auto"/>
        <w:jc w:val="both"/>
        <w:rPr>
          <w:rFonts w:ascii="Arial" w:hAnsi="Arial" w:cs="Arial"/>
          <w:lang w:val="es-MX"/>
        </w:rPr>
      </w:pPr>
    </w:p>
    <w:p w:rsidR="00E67E7B" w:rsidRPr="00906223" w:rsidRDefault="00E67E7B" w:rsidP="00E67E7B">
      <w:pPr>
        <w:spacing w:after="0" w:line="240" w:lineRule="auto"/>
        <w:jc w:val="both"/>
        <w:rPr>
          <w:rFonts w:ascii="Arial" w:hAnsi="Arial" w:cs="Arial"/>
          <w:lang w:val="es-MX"/>
        </w:rPr>
      </w:pPr>
    </w:p>
    <w:p w:rsidR="00E67E7B" w:rsidRPr="001D5B2F" w:rsidRDefault="00E67E7B" w:rsidP="00E67E7B">
      <w:pPr>
        <w:pStyle w:val="Heading1"/>
        <w:ind w:left="426" w:hanging="284"/>
        <w:rPr>
          <w:rFonts w:ascii="Arial" w:hAnsi="Arial" w:cs="Arial"/>
          <w:color w:val="1F4E79" w:themeColor="accent1" w:themeShade="80"/>
          <w:lang w:val="es-ES"/>
        </w:rPr>
      </w:pPr>
      <w:bookmarkStart w:id="24" w:name="_Toc496735289"/>
      <w:bookmarkStart w:id="25" w:name="_Toc520820894"/>
      <w:r w:rsidRPr="001D5B2F">
        <w:rPr>
          <w:rFonts w:ascii="Arial" w:hAnsi="Arial" w:cs="Arial"/>
          <w:color w:val="1F4E79" w:themeColor="accent1" w:themeShade="80"/>
          <w:lang w:val="es-ES"/>
        </w:rPr>
        <w:t>BENEFICIOS ECONÓMICOS</w:t>
      </w:r>
      <w:bookmarkEnd w:id="24"/>
      <w:bookmarkEnd w:id="25"/>
      <w:r w:rsidRPr="001D5B2F">
        <w:rPr>
          <w:rFonts w:ascii="Arial" w:hAnsi="Arial" w:cs="Arial"/>
          <w:color w:val="1F4E79" w:themeColor="accent1" w:themeShade="80"/>
          <w:lang w:val="es-ES"/>
        </w:rPr>
        <w:t xml:space="preserve"> </w:t>
      </w:r>
    </w:p>
    <w:p w:rsidR="00E67E7B" w:rsidRDefault="00E67E7B" w:rsidP="00E67E7B">
      <w:pPr>
        <w:spacing w:after="0" w:line="240" w:lineRule="auto"/>
        <w:jc w:val="both"/>
        <w:rPr>
          <w:rFonts w:ascii="Times New Roman" w:hAnsi="Times New Roman" w:cs="Times New Roman"/>
          <w:sz w:val="24"/>
          <w:szCs w:val="24"/>
          <w:lang w:val="es-ES"/>
        </w:rPr>
      </w:pPr>
    </w:p>
    <w:p w:rsidR="00E67E7B" w:rsidRPr="00177AC0" w:rsidRDefault="00E67E7B" w:rsidP="00E67E7B">
      <w:pPr>
        <w:pStyle w:val="Heading2"/>
        <w:ind w:left="360"/>
        <w:rPr>
          <w:rFonts w:ascii="Arial" w:hAnsi="Arial" w:cs="Arial"/>
          <w:b/>
          <w:color w:val="1F4E79" w:themeColor="accent1" w:themeShade="80"/>
          <w:sz w:val="24"/>
          <w:lang w:val="es-ES"/>
        </w:rPr>
      </w:pPr>
      <w:bookmarkStart w:id="26" w:name="_Toc520820895"/>
      <w:r w:rsidRPr="00177AC0">
        <w:rPr>
          <w:rFonts w:ascii="Arial" w:hAnsi="Arial" w:cs="Arial"/>
          <w:b/>
          <w:color w:val="1F4E79" w:themeColor="accent1" w:themeShade="80"/>
          <w:sz w:val="24"/>
          <w:lang w:val="es-ES"/>
        </w:rPr>
        <w:t>5.1. Sistemas de alumbrado de avenidas y calles de Oruro</w:t>
      </w:r>
      <w:bookmarkEnd w:id="26"/>
    </w:p>
    <w:p w:rsidR="00E67E7B" w:rsidRDefault="00E67E7B" w:rsidP="00E67E7B">
      <w:pPr>
        <w:pStyle w:val="ListParagraph"/>
        <w:ind w:left="0"/>
        <w:jc w:val="both"/>
        <w:rPr>
          <w:rFonts w:ascii="Arial" w:hAnsi="Arial" w:cs="Arial"/>
          <w:lang w:val="es-ES"/>
        </w:rPr>
      </w:pPr>
    </w:p>
    <w:p w:rsidR="00E67E7B" w:rsidRPr="0082608A" w:rsidRDefault="00E67E7B" w:rsidP="00E67E7B">
      <w:pPr>
        <w:jc w:val="both"/>
        <w:rPr>
          <w:rFonts w:ascii="Arial" w:hAnsi="Arial" w:cs="Arial"/>
          <w:lang w:val="es-ES"/>
        </w:rPr>
      </w:pPr>
      <w:r w:rsidRPr="00C81A60">
        <w:rPr>
          <w:rFonts w:ascii="Arial" w:hAnsi="Arial" w:cs="Arial"/>
          <w:lang w:val="es-ES"/>
        </w:rPr>
        <w:t>Considerando como referencia el sistema actual de alumbrado público (línea base), el estudio técnico analizó 3 tipos de sistema de iluminación eficiente (Vapor de sodio optimizado o Súper sodio, Aditivos Metálicos Cerámicos y LEDs)</w:t>
      </w:r>
      <w:r>
        <w:rPr>
          <w:rFonts w:ascii="Arial" w:hAnsi="Arial" w:cs="Arial"/>
          <w:lang w:val="es-ES"/>
        </w:rPr>
        <w:t xml:space="preserve">, </w:t>
      </w:r>
      <w:r w:rsidRPr="0082608A">
        <w:rPr>
          <w:rFonts w:ascii="Arial" w:hAnsi="Arial" w:cs="Arial"/>
          <w:lang w:val="es-ES"/>
        </w:rPr>
        <w:t>para verificar la tecnología de iluminación más recomendada para el proyecto.</w:t>
      </w:r>
    </w:p>
    <w:p w:rsidR="00E67E7B" w:rsidRPr="0082608A" w:rsidRDefault="00E67E7B" w:rsidP="00E67E7B">
      <w:pPr>
        <w:spacing w:after="0" w:line="240" w:lineRule="auto"/>
        <w:jc w:val="both"/>
        <w:rPr>
          <w:rFonts w:ascii="Arial" w:hAnsi="Arial" w:cs="Arial"/>
          <w:lang w:val="es-ES"/>
        </w:rPr>
      </w:pPr>
      <w:r w:rsidRPr="0082608A">
        <w:rPr>
          <w:rFonts w:ascii="Arial" w:hAnsi="Arial" w:cs="Arial"/>
          <w:lang w:val="es-ES"/>
        </w:rPr>
        <w:t>La línea base del sistema de alumbrado público de avenidas y calles corresponde a 28,923 luminarias (no considera las luminarias fluorescentes), que tienen un consumo de energía eléctrica de 22,378 MWh/año y un gasto de Bs 25.198 millones al año.</w:t>
      </w:r>
    </w:p>
    <w:p w:rsidR="00E67E7B" w:rsidRPr="0082608A" w:rsidRDefault="00E67E7B" w:rsidP="00E67E7B">
      <w:pPr>
        <w:spacing w:after="0" w:line="240" w:lineRule="auto"/>
        <w:jc w:val="both"/>
        <w:rPr>
          <w:rFonts w:ascii="Arial" w:hAnsi="Arial" w:cs="Arial"/>
          <w:lang w:val="es-ES"/>
        </w:rPr>
      </w:pPr>
    </w:p>
    <w:p w:rsidR="00E67E7B" w:rsidRDefault="00E67E7B" w:rsidP="00E67E7B">
      <w:pPr>
        <w:spacing w:after="0" w:line="240" w:lineRule="auto"/>
        <w:jc w:val="both"/>
        <w:rPr>
          <w:rFonts w:ascii="Arial" w:hAnsi="Arial" w:cs="Arial"/>
          <w:color w:val="000000" w:themeColor="text1"/>
          <w:lang w:val="es-419"/>
        </w:rPr>
      </w:pPr>
    </w:p>
    <w:p w:rsidR="00E67E7B" w:rsidRDefault="00E67E7B" w:rsidP="00E67E7B">
      <w:pPr>
        <w:spacing w:after="0" w:line="240" w:lineRule="auto"/>
        <w:jc w:val="both"/>
        <w:rPr>
          <w:rFonts w:ascii="Arial" w:hAnsi="Arial" w:cs="Arial"/>
          <w:color w:val="000000" w:themeColor="text1"/>
          <w:lang w:val="es-419"/>
        </w:rPr>
      </w:pPr>
      <w:r>
        <w:rPr>
          <w:rFonts w:ascii="Arial" w:hAnsi="Arial" w:cs="Arial"/>
          <w:color w:val="000000" w:themeColor="text1"/>
          <w:lang w:val="es-419"/>
        </w:rPr>
        <w:t xml:space="preserve">Analizando las 3 opciones, </w:t>
      </w:r>
      <w:r w:rsidRPr="0082608A">
        <w:rPr>
          <w:rFonts w:ascii="Arial" w:hAnsi="Arial" w:cs="Arial"/>
          <w:color w:val="000000" w:themeColor="text1"/>
          <w:lang w:val="es-419"/>
        </w:rPr>
        <w:t>los LED</w:t>
      </w:r>
      <w:r>
        <w:rPr>
          <w:rFonts w:ascii="Arial" w:hAnsi="Arial" w:cs="Arial"/>
          <w:color w:val="000000" w:themeColor="text1"/>
          <w:lang w:val="es-419"/>
        </w:rPr>
        <w:t>s</w:t>
      </w:r>
      <w:r w:rsidRPr="0082608A">
        <w:rPr>
          <w:rFonts w:ascii="Arial" w:hAnsi="Arial" w:cs="Arial"/>
          <w:color w:val="000000" w:themeColor="text1"/>
          <w:lang w:val="es-419"/>
        </w:rPr>
        <w:t xml:space="preserve"> con una eficacia superior a 100 lm/W</w:t>
      </w:r>
      <w:r>
        <w:rPr>
          <w:rFonts w:ascii="Arial" w:hAnsi="Arial" w:cs="Arial"/>
          <w:color w:val="000000" w:themeColor="text1"/>
          <w:lang w:val="es-419"/>
        </w:rPr>
        <w:t>,</w:t>
      </w:r>
      <w:r w:rsidRPr="0082608A">
        <w:rPr>
          <w:rFonts w:ascii="Arial" w:hAnsi="Arial" w:cs="Arial"/>
          <w:color w:val="000000" w:themeColor="text1"/>
          <w:lang w:val="es-419"/>
        </w:rPr>
        <w:t xml:space="preserve"> genera</w:t>
      </w:r>
      <w:r>
        <w:rPr>
          <w:rFonts w:ascii="Arial" w:hAnsi="Arial" w:cs="Arial"/>
          <w:color w:val="000000" w:themeColor="text1"/>
          <w:lang w:val="es-419"/>
        </w:rPr>
        <w:t>n</w:t>
      </w:r>
      <w:r w:rsidRPr="0082608A">
        <w:rPr>
          <w:rFonts w:ascii="Arial" w:hAnsi="Arial" w:cs="Arial"/>
          <w:color w:val="000000" w:themeColor="text1"/>
          <w:lang w:val="es-419"/>
        </w:rPr>
        <w:t xml:space="preserve"> mayores de ahorros energéticos y económicos en </w:t>
      </w:r>
      <w:r>
        <w:rPr>
          <w:rFonts w:ascii="Arial" w:hAnsi="Arial" w:cs="Arial"/>
          <w:color w:val="000000" w:themeColor="text1"/>
          <w:lang w:val="es-419"/>
        </w:rPr>
        <w:t>sistemas d</w:t>
      </w:r>
      <w:r w:rsidRPr="00C72785">
        <w:rPr>
          <w:rFonts w:ascii="Arial" w:hAnsi="Arial" w:cs="Arial"/>
          <w:color w:val="000000" w:themeColor="text1"/>
          <w:lang w:val="es-419"/>
        </w:rPr>
        <w:t>e alumbrado en avenidas y calles</w:t>
      </w:r>
      <w:r>
        <w:rPr>
          <w:rFonts w:ascii="Arial" w:hAnsi="Arial" w:cs="Arial"/>
          <w:color w:val="000000" w:themeColor="text1"/>
          <w:lang w:val="es-419"/>
        </w:rPr>
        <w:t xml:space="preserve">, que permiten </w:t>
      </w:r>
      <w:r w:rsidRPr="0082608A">
        <w:rPr>
          <w:rFonts w:ascii="Arial" w:hAnsi="Arial" w:cs="Arial"/>
          <w:color w:val="000000" w:themeColor="text1"/>
          <w:lang w:val="es-419"/>
        </w:rPr>
        <w:t>un ahorro de energía eléctrica de 12,890 MW</w:t>
      </w:r>
      <w:r>
        <w:rPr>
          <w:rFonts w:ascii="Arial" w:hAnsi="Arial" w:cs="Arial"/>
          <w:color w:val="000000" w:themeColor="text1"/>
          <w:lang w:val="es-419"/>
        </w:rPr>
        <w:t xml:space="preserve">h/año y un ahorro económico de Bs </w:t>
      </w:r>
      <w:r w:rsidRPr="0082608A">
        <w:rPr>
          <w:rFonts w:ascii="Arial" w:hAnsi="Arial" w:cs="Arial"/>
          <w:color w:val="000000" w:themeColor="text1"/>
          <w:lang w:val="es-419"/>
        </w:rPr>
        <w:t xml:space="preserve">14.480 millones al año, equivalente a 57.5%, </w:t>
      </w:r>
      <w:r>
        <w:rPr>
          <w:rFonts w:ascii="Arial" w:hAnsi="Arial" w:cs="Arial"/>
          <w:color w:val="000000" w:themeColor="text1"/>
          <w:lang w:val="es-419"/>
        </w:rPr>
        <w:t xml:space="preserve">respecto a </w:t>
      </w:r>
      <w:r w:rsidRPr="0082608A">
        <w:rPr>
          <w:rFonts w:ascii="Arial" w:hAnsi="Arial" w:cs="Arial"/>
          <w:color w:val="000000" w:themeColor="text1"/>
          <w:lang w:val="es-419"/>
        </w:rPr>
        <w:t>la línea base.</w:t>
      </w:r>
    </w:p>
    <w:p w:rsidR="00E67E7B" w:rsidRDefault="00E67E7B" w:rsidP="00E67E7B">
      <w:pPr>
        <w:spacing w:after="0" w:line="240" w:lineRule="auto"/>
        <w:jc w:val="both"/>
        <w:rPr>
          <w:rFonts w:ascii="Arial" w:hAnsi="Arial" w:cs="Arial"/>
          <w:color w:val="000000" w:themeColor="text1"/>
          <w:lang w:val="es-419"/>
        </w:rPr>
      </w:pPr>
    </w:p>
    <w:p w:rsidR="00E67E7B" w:rsidRDefault="00E67E7B" w:rsidP="00E67E7B">
      <w:pPr>
        <w:spacing w:after="0" w:line="240" w:lineRule="auto"/>
        <w:jc w:val="both"/>
        <w:rPr>
          <w:rFonts w:ascii="Arial" w:hAnsi="Arial" w:cs="Arial"/>
          <w:color w:val="000000" w:themeColor="text1"/>
          <w:lang w:val="es-419"/>
        </w:rPr>
      </w:pPr>
      <w:r>
        <w:rPr>
          <w:rFonts w:ascii="Arial" w:hAnsi="Arial" w:cs="Arial"/>
          <w:color w:val="000000" w:themeColor="text1"/>
          <w:lang w:val="es-419"/>
        </w:rPr>
        <w:t xml:space="preserve">En el análisis no se consideraron </w:t>
      </w:r>
      <w:r w:rsidRPr="0082608A">
        <w:rPr>
          <w:rFonts w:ascii="Arial" w:hAnsi="Arial" w:cs="Arial"/>
          <w:color w:val="000000" w:themeColor="text1"/>
          <w:lang w:val="es-419"/>
        </w:rPr>
        <w:t>las luminarias tipo L</w:t>
      </w:r>
      <w:r>
        <w:rPr>
          <w:rFonts w:ascii="Arial" w:hAnsi="Arial" w:cs="Arial"/>
          <w:color w:val="000000" w:themeColor="text1"/>
          <w:lang w:val="es-419"/>
        </w:rPr>
        <w:t>ED</w:t>
      </w:r>
      <w:r w:rsidRPr="0082608A">
        <w:rPr>
          <w:rFonts w:ascii="Arial" w:hAnsi="Arial" w:cs="Arial"/>
          <w:color w:val="000000" w:themeColor="text1"/>
          <w:lang w:val="es-419"/>
        </w:rPr>
        <w:t xml:space="preserve"> de 380 W, </w:t>
      </w:r>
      <w:r>
        <w:rPr>
          <w:rFonts w:ascii="Arial" w:hAnsi="Arial" w:cs="Arial"/>
          <w:color w:val="000000" w:themeColor="text1"/>
          <w:lang w:val="es-419"/>
        </w:rPr>
        <w:t>debido a que fueron recientemente adquiridas</w:t>
      </w:r>
      <w:r w:rsidRPr="0082608A">
        <w:rPr>
          <w:rFonts w:ascii="Arial" w:hAnsi="Arial" w:cs="Arial"/>
          <w:color w:val="000000" w:themeColor="text1"/>
          <w:lang w:val="es-419"/>
        </w:rPr>
        <w:t>.</w:t>
      </w:r>
    </w:p>
    <w:p w:rsidR="00E67E7B" w:rsidRDefault="00E67E7B" w:rsidP="00E67E7B">
      <w:pPr>
        <w:spacing w:after="0" w:line="240" w:lineRule="auto"/>
        <w:rPr>
          <w:rFonts w:ascii="Arial" w:hAnsi="Arial" w:cs="Arial"/>
          <w:color w:val="000000" w:themeColor="text1"/>
          <w:lang w:val="es-419"/>
        </w:rPr>
      </w:pPr>
    </w:p>
    <w:p w:rsidR="00E67E7B" w:rsidRPr="0082608A" w:rsidRDefault="00E67E7B" w:rsidP="00E67E7B">
      <w:pPr>
        <w:pStyle w:val="Heading2"/>
        <w:ind w:left="360"/>
        <w:rPr>
          <w:rFonts w:ascii="Arial" w:hAnsi="Arial" w:cs="Arial"/>
          <w:b/>
          <w:color w:val="2F5496" w:themeColor="accent5" w:themeShade="BF"/>
          <w:sz w:val="24"/>
          <w:lang w:val="es-ES"/>
        </w:rPr>
      </w:pPr>
      <w:bookmarkStart w:id="27" w:name="_Toc520820896"/>
      <w:r w:rsidRPr="00177AC0">
        <w:rPr>
          <w:rFonts w:ascii="Arial" w:hAnsi="Arial" w:cs="Arial"/>
          <w:b/>
          <w:color w:val="1F4E79" w:themeColor="accent1" w:themeShade="80"/>
          <w:sz w:val="24"/>
          <w:lang w:val="es-ES"/>
        </w:rPr>
        <w:t>5.2. Sistemas de alumbrado de parques y plazas de Oruro</w:t>
      </w:r>
      <w:bookmarkEnd w:id="27"/>
    </w:p>
    <w:p w:rsidR="00E67E7B" w:rsidRDefault="00E67E7B" w:rsidP="00E67E7B">
      <w:pPr>
        <w:spacing w:after="0" w:line="240" w:lineRule="auto"/>
        <w:rPr>
          <w:rFonts w:ascii="Arial" w:hAnsi="Arial" w:cs="Arial"/>
          <w:color w:val="000000" w:themeColor="text1"/>
          <w:lang w:val="es-ES"/>
        </w:rPr>
      </w:pPr>
    </w:p>
    <w:p w:rsidR="00E67E7B" w:rsidRDefault="00E67E7B" w:rsidP="00E67E7B">
      <w:pPr>
        <w:spacing w:after="0" w:line="240" w:lineRule="auto"/>
        <w:jc w:val="both"/>
        <w:rPr>
          <w:rFonts w:ascii="Arial" w:hAnsi="Arial" w:cs="Arial"/>
          <w:color w:val="000000" w:themeColor="text1"/>
          <w:lang w:val="es-419"/>
        </w:rPr>
      </w:pPr>
      <w:r w:rsidRPr="00C72785">
        <w:rPr>
          <w:rFonts w:ascii="Arial" w:hAnsi="Arial" w:cs="Arial"/>
          <w:color w:val="000000" w:themeColor="text1"/>
          <w:lang w:val="es-419"/>
        </w:rPr>
        <w:t xml:space="preserve">La línea base del sistema de </w:t>
      </w:r>
      <w:r>
        <w:rPr>
          <w:rFonts w:ascii="Arial" w:hAnsi="Arial" w:cs="Arial"/>
          <w:color w:val="000000" w:themeColor="text1"/>
          <w:lang w:val="es-419"/>
        </w:rPr>
        <w:t>a</w:t>
      </w:r>
      <w:r w:rsidRPr="00C72785">
        <w:rPr>
          <w:rFonts w:ascii="Arial" w:hAnsi="Arial" w:cs="Arial"/>
          <w:color w:val="000000" w:themeColor="text1"/>
          <w:lang w:val="es-419"/>
        </w:rPr>
        <w:t>lumbrado de parque</w:t>
      </w:r>
      <w:r>
        <w:rPr>
          <w:rFonts w:ascii="Arial" w:hAnsi="Arial" w:cs="Arial"/>
          <w:color w:val="000000" w:themeColor="text1"/>
          <w:lang w:val="es-419"/>
        </w:rPr>
        <w:t>s</w:t>
      </w:r>
      <w:r w:rsidRPr="00C72785">
        <w:rPr>
          <w:rFonts w:ascii="Arial" w:hAnsi="Arial" w:cs="Arial"/>
          <w:color w:val="000000" w:themeColor="text1"/>
          <w:lang w:val="es-419"/>
        </w:rPr>
        <w:t xml:space="preserve"> y plazas </w:t>
      </w:r>
      <w:r>
        <w:rPr>
          <w:rFonts w:ascii="Arial" w:hAnsi="Arial" w:cs="Arial"/>
          <w:color w:val="000000" w:themeColor="text1"/>
          <w:lang w:val="es-419"/>
        </w:rPr>
        <w:t>indica</w:t>
      </w:r>
      <w:r w:rsidRPr="00C72785">
        <w:rPr>
          <w:rFonts w:ascii="Arial" w:hAnsi="Arial" w:cs="Arial"/>
          <w:color w:val="000000" w:themeColor="text1"/>
          <w:lang w:val="es-419"/>
        </w:rPr>
        <w:t xml:space="preserve"> 1,916 luminarias, los cuales tiene un consumo de energía eléctrica al año de 3,954 MWh/año, y un gasto de </w:t>
      </w:r>
      <w:r>
        <w:rPr>
          <w:rFonts w:ascii="Arial" w:hAnsi="Arial" w:cs="Arial"/>
          <w:color w:val="000000" w:themeColor="text1"/>
          <w:lang w:val="es-419"/>
        </w:rPr>
        <w:t xml:space="preserve">Bs </w:t>
      </w:r>
      <w:r w:rsidRPr="00C72785">
        <w:rPr>
          <w:rFonts w:ascii="Arial" w:hAnsi="Arial" w:cs="Arial"/>
          <w:color w:val="000000" w:themeColor="text1"/>
          <w:lang w:val="es-419"/>
        </w:rPr>
        <w:t>4.452 millones al año.</w:t>
      </w:r>
    </w:p>
    <w:p w:rsidR="00E67E7B" w:rsidRDefault="00E67E7B" w:rsidP="00E67E7B">
      <w:pPr>
        <w:spacing w:after="0" w:line="240" w:lineRule="auto"/>
        <w:rPr>
          <w:rFonts w:ascii="Arial" w:hAnsi="Arial" w:cs="Arial"/>
          <w:color w:val="000000" w:themeColor="text1"/>
          <w:lang w:val="es-419"/>
        </w:rPr>
      </w:pPr>
    </w:p>
    <w:p w:rsidR="00E67E7B" w:rsidRDefault="00E67E7B" w:rsidP="00E67E7B">
      <w:pPr>
        <w:spacing w:line="240" w:lineRule="auto"/>
        <w:jc w:val="both"/>
        <w:rPr>
          <w:rFonts w:ascii="Arial" w:hAnsi="Arial" w:cs="Arial"/>
          <w:lang w:val="es-ES"/>
        </w:rPr>
      </w:pPr>
      <w:r>
        <w:rPr>
          <w:rFonts w:ascii="Arial" w:hAnsi="Arial" w:cs="Arial"/>
          <w:lang w:val="es-ES"/>
        </w:rPr>
        <w:lastRenderedPageBreak/>
        <w:t>Al igual que en el caso anterior, l</w:t>
      </w:r>
      <w:r w:rsidRPr="00A23D2F">
        <w:rPr>
          <w:rFonts w:ascii="Arial" w:hAnsi="Arial" w:cs="Arial"/>
          <w:lang w:val="es-ES"/>
        </w:rPr>
        <w:t xml:space="preserve">a mejor opción de </w:t>
      </w:r>
      <w:r>
        <w:rPr>
          <w:rFonts w:ascii="Arial" w:hAnsi="Arial" w:cs="Arial"/>
          <w:lang w:val="es-ES"/>
        </w:rPr>
        <w:t xml:space="preserve">ahorro y de rentabilidad es el </w:t>
      </w:r>
      <w:r w:rsidRPr="00A23D2F">
        <w:rPr>
          <w:rFonts w:ascii="Arial" w:hAnsi="Arial" w:cs="Arial"/>
          <w:lang w:val="es-ES"/>
        </w:rPr>
        <w:t xml:space="preserve">sistema de iluminación con </w:t>
      </w:r>
      <w:r>
        <w:rPr>
          <w:rFonts w:ascii="Arial" w:hAnsi="Arial" w:cs="Arial"/>
          <w:lang w:val="es-ES"/>
        </w:rPr>
        <w:t>LEDs, que</w:t>
      </w:r>
      <w:r w:rsidRPr="00C81A60">
        <w:rPr>
          <w:rFonts w:ascii="Arial" w:hAnsi="Arial" w:cs="Arial"/>
          <w:lang w:val="es-ES"/>
        </w:rPr>
        <w:t xml:space="preserve"> </w:t>
      </w:r>
      <w:r w:rsidRPr="00C72785">
        <w:rPr>
          <w:rFonts w:ascii="Arial" w:hAnsi="Arial" w:cs="Arial"/>
          <w:lang w:val="es-ES"/>
        </w:rPr>
        <w:t>permite</w:t>
      </w:r>
      <w:r>
        <w:rPr>
          <w:rFonts w:ascii="Arial" w:hAnsi="Arial" w:cs="Arial"/>
          <w:lang w:val="es-ES"/>
        </w:rPr>
        <w:t>n</w:t>
      </w:r>
      <w:r w:rsidRPr="00C72785">
        <w:rPr>
          <w:rFonts w:ascii="Arial" w:hAnsi="Arial" w:cs="Arial"/>
          <w:lang w:val="es-ES"/>
        </w:rPr>
        <w:t xml:space="preserve"> un ahorro de energía eléctrica de 1,863 MWh/año y un ahorro económico de Bs. 2.098 millones al año, equivalente al 47.1% respecto a la línea base.</w:t>
      </w:r>
    </w:p>
    <w:p w:rsidR="00E67E7B" w:rsidRDefault="00E67E7B" w:rsidP="00E67E7B">
      <w:pPr>
        <w:spacing w:line="240" w:lineRule="auto"/>
        <w:jc w:val="both"/>
        <w:rPr>
          <w:rFonts w:ascii="Arial" w:hAnsi="Arial" w:cs="Arial"/>
          <w:lang w:val="es-ES"/>
        </w:rPr>
      </w:pPr>
      <w:r>
        <w:rPr>
          <w:rFonts w:ascii="Arial" w:hAnsi="Arial" w:cs="Arial"/>
          <w:lang w:val="es-ES"/>
        </w:rPr>
        <w:t>Para el municipio de Oruro, l</w:t>
      </w:r>
      <w:r w:rsidRPr="00C72785">
        <w:rPr>
          <w:rFonts w:ascii="Arial" w:hAnsi="Arial" w:cs="Arial"/>
          <w:lang w:val="es-ES"/>
        </w:rPr>
        <w:t xml:space="preserve">a mejor opción </w:t>
      </w:r>
      <w:r>
        <w:rPr>
          <w:rFonts w:ascii="Arial" w:hAnsi="Arial" w:cs="Arial"/>
          <w:lang w:val="es-ES"/>
        </w:rPr>
        <w:t>fue</w:t>
      </w:r>
      <w:r w:rsidRPr="00C72785">
        <w:rPr>
          <w:rFonts w:ascii="Arial" w:hAnsi="Arial" w:cs="Arial"/>
          <w:lang w:val="es-ES"/>
        </w:rPr>
        <w:t xml:space="preserve"> la </w:t>
      </w:r>
      <w:r>
        <w:rPr>
          <w:rFonts w:ascii="Arial" w:hAnsi="Arial" w:cs="Arial"/>
          <w:lang w:val="es-ES"/>
        </w:rPr>
        <w:t xml:space="preserve">instalación </w:t>
      </w:r>
      <w:r w:rsidRPr="00C72785">
        <w:rPr>
          <w:rFonts w:ascii="Arial" w:hAnsi="Arial" w:cs="Arial"/>
          <w:lang w:val="es-ES"/>
        </w:rPr>
        <w:t xml:space="preserve">de luminarias tipo </w:t>
      </w:r>
      <w:r>
        <w:rPr>
          <w:rFonts w:ascii="Arial" w:hAnsi="Arial" w:cs="Arial"/>
          <w:lang w:val="es-ES"/>
        </w:rPr>
        <w:t>LED</w:t>
      </w:r>
      <w:r w:rsidRPr="00C72785">
        <w:rPr>
          <w:rFonts w:ascii="Arial" w:hAnsi="Arial" w:cs="Arial"/>
          <w:lang w:val="es-ES"/>
        </w:rPr>
        <w:t xml:space="preserve">, </w:t>
      </w:r>
      <w:r>
        <w:rPr>
          <w:rFonts w:ascii="Arial" w:hAnsi="Arial" w:cs="Arial"/>
          <w:lang w:val="es-ES"/>
        </w:rPr>
        <w:t>que permiten</w:t>
      </w:r>
      <w:r w:rsidRPr="00C72785">
        <w:rPr>
          <w:rFonts w:ascii="Arial" w:hAnsi="Arial" w:cs="Arial"/>
          <w:lang w:val="es-ES"/>
        </w:rPr>
        <w:t xml:space="preserve"> reducir el consumo de energía eléctrica </w:t>
      </w:r>
      <w:r>
        <w:rPr>
          <w:rFonts w:ascii="Arial" w:hAnsi="Arial" w:cs="Arial"/>
          <w:lang w:val="es-ES"/>
        </w:rPr>
        <w:t>en</w:t>
      </w:r>
      <w:r w:rsidRPr="00C72785">
        <w:rPr>
          <w:rFonts w:ascii="Arial" w:hAnsi="Arial" w:cs="Arial"/>
          <w:lang w:val="es-ES"/>
        </w:rPr>
        <w:t xml:space="preserve"> 14,723 MW</w:t>
      </w:r>
      <w:r>
        <w:rPr>
          <w:rFonts w:ascii="Arial" w:hAnsi="Arial" w:cs="Arial"/>
          <w:lang w:val="es-ES"/>
        </w:rPr>
        <w:t xml:space="preserve">h/año y un ahorro económico de Bs. </w:t>
      </w:r>
      <w:r w:rsidRPr="00C72785">
        <w:rPr>
          <w:rFonts w:ascii="Arial" w:hAnsi="Arial" w:cs="Arial"/>
          <w:lang w:val="es-ES"/>
        </w:rPr>
        <w:t>16.58 millones al año, equivalente al 55.9% respecto a la línea base.</w:t>
      </w:r>
    </w:p>
    <w:p w:rsidR="00E67E7B" w:rsidRDefault="00E67E7B" w:rsidP="00E67E7B">
      <w:pPr>
        <w:spacing w:line="240" w:lineRule="auto"/>
        <w:jc w:val="both"/>
        <w:rPr>
          <w:rFonts w:ascii="Arial" w:hAnsi="Arial" w:cs="Arial"/>
          <w:lang w:val="es-ES"/>
        </w:rPr>
      </w:pPr>
      <w:r>
        <w:rPr>
          <w:rFonts w:ascii="Arial" w:hAnsi="Arial" w:cs="Arial"/>
          <w:lang w:val="es-ES"/>
        </w:rPr>
        <w:t>Para la evaluación económica, el beneficio del proyecto consiste en que los ahorros producidos por la sustitución de lámparas, reduce de forma directa el subsidio que el Estado (Gobierno Municipal de Oruro) debe colocar para cubrir el déficit.</w:t>
      </w:r>
    </w:p>
    <w:p w:rsidR="00E67E7B" w:rsidRDefault="00E67E7B" w:rsidP="00E67E7B">
      <w:pPr>
        <w:spacing w:line="240" w:lineRule="auto"/>
        <w:jc w:val="both"/>
        <w:rPr>
          <w:rFonts w:ascii="Arial" w:hAnsi="Arial" w:cs="Arial"/>
          <w:lang w:val="es-ES"/>
        </w:rPr>
      </w:pPr>
      <w:r>
        <w:rPr>
          <w:rFonts w:ascii="Arial" w:hAnsi="Arial" w:cs="Arial"/>
          <w:lang w:val="es-ES"/>
        </w:rPr>
        <w:t>Para la evaluación económica del Proyecto de Oruro, los beneficios identificados para el proyecto fueron los siguientes:</w:t>
      </w:r>
    </w:p>
    <w:p w:rsidR="00E67E7B" w:rsidRDefault="00E67E7B" w:rsidP="00E67E7B">
      <w:pPr>
        <w:pStyle w:val="ListParagraph"/>
        <w:numPr>
          <w:ilvl w:val="0"/>
          <w:numId w:val="16"/>
        </w:numPr>
        <w:jc w:val="both"/>
        <w:rPr>
          <w:rFonts w:ascii="Arial" w:hAnsi="Arial" w:cs="Arial"/>
          <w:sz w:val="22"/>
          <w:lang w:val="es-ES"/>
        </w:rPr>
      </w:pPr>
      <w:r>
        <w:rPr>
          <w:rFonts w:ascii="Arial" w:hAnsi="Arial" w:cs="Arial"/>
          <w:sz w:val="22"/>
          <w:lang w:val="es-ES"/>
        </w:rPr>
        <w:t>L</w:t>
      </w:r>
      <w:r w:rsidRPr="00840A21">
        <w:rPr>
          <w:rFonts w:ascii="Arial" w:hAnsi="Arial" w:cs="Arial"/>
          <w:sz w:val="22"/>
          <w:lang w:val="es-ES"/>
        </w:rPr>
        <w:t>os ahorros producidos por la sustitución de lámparas, reduce de forma directa el subsidio que el estado (Gobierno Municipal de Oruro) debe colocar para cubrir el déficit.</w:t>
      </w:r>
    </w:p>
    <w:p w:rsidR="00E67E7B" w:rsidRPr="00840A21" w:rsidRDefault="00E67E7B" w:rsidP="00E67E7B">
      <w:pPr>
        <w:pStyle w:val="ListParagraph"/>
        <w:jc w:val="both"/>
        <w:rPr>
          <w:rFonts w:ascii="Arial" w:hAnsi="Arial" w:cs="Arial"/>
          <w:sz w:val="22"/>
          <w:lang w:val="es-ES"/>
        </w:rPr>
      </w:pPr>
    </w:p>
    <w:p w:rsidR="00E67E7B" w:rsidRPr="00D42463" w:rsidRDefault="00E67E7B" w:rsidP="00E67E7B">
      <w:pPr>
        <w:pStyle w:val="ListParagraph"/>
        <w:numPr>
          <w:ilvl w:val="0"/>
          <w:numId w:val="16"/>
        </w:numPr>
        <w:jc w:val="both"/>
        <w:rPr>
          <w:rFonts w:ascii="Arial" w:hAnsi="Arial" w:cs="Arial"/>
          <w:sz w:val="22"/>
          <w:lang w:val="es-419"/>
        </w:rPr>
      </w:pPr>
      <w:r w:rsidRPr="00B718CA">
        <w:rPr>
          <w:rFonts w:ascii="Arial" w:hAnsi="Arial" w:cs="Arial"/>
          <w:sz w:val="22"/>
          <w:lang w:val="es-ES"/>
        </w:rPr>
        <w:t xml:space="preserve">El beneficio originado en la sustitución </w:t>
      </w:r>
      <w:r>
        <w:rPr>
          <w:rFonts w:ascii="Arial" w:hAnsi="Arial" w:cs="Arial"/>
          <w:sz w:val="22"/>
          <w:lang w:val="es-ES"/>
        </w:rPr>
        <w:t xml:space="preserve">de lámparas que da lugar al ahorro de emisiones de CO2, las mismas que fueron valoradas a razón de 30 USD/TON, considerando que las emisiones del Sistema Interconectado Nacional de Bolivia de generación diésel alcanzan los 414 </w:t>
      </w:r>
      <w:r w:rsidRPr="00B718CA">
        <w:rPr>
          <w:rFonts w:ascii="Arial" w:hAnsi="Arial" w:cs="Arial"/>
          <w:sz w:val="22"/>
          <w:lang w:val="es-ES"/>
        </w:rPr>
        <w:t>gr CO2/kWh</w:t>
      </w:r>
      <w:r>
        <w:rPr>
          <w:rStyle w:val="FootnoteReference"/>
          <w:rFonts w:ascii="Arial" w:hAnsi="Arial" w:cs="Arial"/>
          <w:sz w:val="22"/>
          <w:lang w:val="es-ES"/>
        </w:rPr>
        <w:footnoteReference w:id="2"/>
      </w:r>
      <w:r>
        <w:rPr>
          <w:rFonts w:ascii="Arial" w:hAnsi="Arial" w:cs="Arial"/>
          <w:sz w:val="22"/>
          <w:lang w:val="es-ES"/>
        </w:rPr>
        <w:t>.</w:t>
      </w:r>
    </w:p>
    <w:p w:rsidR="00E67E7B" w:rsidRPr="00D42463" w:rsidRDefault="00E67E7B" w:rsidP="00E67E7B">
      <w:pPr>
        <w:pStyle w:val="ListParagraph"/>
        <w:rPr>
          <w:rFonts w:ascii="Arial" w:hAnsi="Arial" w:cs="Arial"/>
          <w:sz w:val="22"/>
          <w:lang w:val="es-419"/>
        </w:rPr>
      </w:pPr>
    </w:p>
    <w:p w:rsidR="00E67E7B" w:rsidRDefault="00E67E7B" w:rsidP="00E67E7B">
      <w:pPr>
        <w:pStyle w:val="ListParagraph"/>
        <w:numPr>
          <w:ilvl w:val="0"/>
          <w:numId w:val="16"/>
        </w:numPr>
        <w:jc w:val="both"/>
        <w:rPr>
          <w:rFonts w:ascii="Arial" w:hAnsi="Arial" w:cs="Arial"/>
          <w:sz w:val="22"/>
          <w:lang w:val="es-419"/>
        </w:rPr>
      </w:pPr>
      <w:r w:rsidRPr="00D42463">
        <w:rPr>
          <w:rFonts w:ascii="Arial" w:hAnsi="Arial" w:cs="Arial"/>
          <w:sz w:val="22"/>
          <w:lang w:val="es-419"/>
        </w:rPr>
        <w:t xml:space="preserve">Beneficio por Inversión diferida, debido a la sustitución de lámparas, la potencia instalada de </w:t>
      </w:r>
      <w:r>
        <w:rPr>
          <w:rFonts w:ascii="Arial" w:hAnsi="Arial" w:cs="Arial"/>
          <w:sz w:val="22"/>
          <w:lang w:val="es-419"/>
        </w:rPr>
        <w:t>Oruro</w:t>
      </w:r>
      <w:r w:rsidRPr="00D42463">
        <w:rPr>
          <w:rFonts w:ascii="Arial" w:hAnsi="Arial" w:cs="Arial"/>
          <w:sz w:val="22"/>
          <w:lang w:val="es-419"/>
        </w:rPr>
        <w:t xml:space="preserve"> se reducirá de </w:t>
      </w:r>
      <w:r w:rsidRPr="00840A21">
        <w:rPr>
          <w:rFonts w:ascii="Arial" w:hAnsi="Arial" w:cs="Arial"/>
          <w:sz w:val="22"/>
          <w:lang w:val="es-419"/>
        </w:rPr>
        <w:t>5670</w:t>
      </w:r>
      <w:r>
        <w:rPr>
          <w:rFonts w:ascii="Arial" w:hAnsi="Arial" w:cs="Arial"/>
          <w:sz w:val="22"/>
          <w:lang w:val="es-419"/>
        </w:rPr>
        <w:t xml:space="preserve"> </w:t>
      </w:r>
      <w:r w:rsidRPr="00D42463">
        <w:rPr>
          <w:rFonts w:ascii="Arial" w:hAnsi="Arial" w:cs="Arial"/>
          <w:sz w:val="22"/>
          <w:lang w:val="es-419"/>
        </w:rPr>
        <w:t xml:space="preserve">kW a </w:t>
      </w:r>
      <w:r w:rsidRPr="00840A21">
        <w:rPr>
          <w:rFonts w:ascii="Arial" w:hAnsi="Arial" w:cs="Arial"/>
          <w:sz w:val="22"/>
          <w:lang w:val="es-419"/>
        </w:rPr>
        <w:t>301</w:t>
      </w:r>
      <w:r>
        <w:rPr>
          <w:rFonts w:ascii="Arial" w:hAnsi="Arial" w:cs="Arial"/>
          <w:sz w:val="22"/>
          <w:lang w:val="es-419"/>
        </w:rPr>
        <w:t xml:space="preserve">3 </w:t>
      </w:r>
      <w:r w:rsidRPr="00D42463">
        <w:rPr>
          <w:rFonts w:ascii="Arial" w:hAnsi="Arial" w:cs="Arial"/>
          <w:sz w:val="22"/>
          <w:lang w:val="es-419"/>
        </w:rPr>
        <w:t>kW</w:t>
      </w:r>
      <w:r>
        <w:rPr>
          <w:rFonts w:ascii="Arial" w:hAnsi="Arial" w:cs="Arial"/>
          <w:sz w:val="22"/>
          <w:lang w:val="es-419"/>
        </w:rPr>
        <w:t>, para la valoración del costo de la potencia diferida se utilizó como referencia los costos de la central hidroeléctrica de San José inaugurada en febrero de 2018, USD 2527 por kW.</w:t>
      </w:r>
      <w:r>
        <w:rPr>
          <w:rStyle w:val="FootnoteReference"/>
          <w:rFonts w:ascii="Arial" w:hAnsi="Arial" w:cs="Arial"/>
          <w:sz w:val="22"/>
          <w:lang w:val="es-419"/>
        </w:rPr>
        <w:footnoteReference w:id="3"/>
      </w:r>
    </w:p>
    <w:p w:rsidR="00E67E7B" w:rsidRPr="005D5331" w:rsidRDefault="00E67E7B" w:rsidP="00E67E7B">
      <w:pPr>
        <w:pStyle w:val="ListParagraph"/>
        <w:rPr>
          <w:rFonts w:ascii="Arial" w:hAnsi="Arial" w:cs="Arial"/>
          <w:sz w:val="22"/>
          <w:lang w:val="es-419"/>
        </w:rPr>
      </w:pPr>
    </w:p>
    <w:p w:rsidR="00E67E7B" w:rsidRPr="005D5331" w:rsidRDefault="00E67E7B" w:rsidP="00E67E7B">
      <w:pPr>
        <w:jc w:val="both"/>
        <w:rPr>
          <w:rFonts w:ascii="Arial" w:hAnsi="Arial" w:cs="Arial"/>
          <w:lang w:val="es-419"/>
        </w:rPr>
      </w:pPr>
      <w:r>
        <w:rPr>
          <w:rFonts w:ascii="Arial" w:hAnsi="Arial" w:cs="Arial"/>
          <w:lang w:val="es-419"/>
        </w:rPr>
        <w:t>Si bien se considera como un beneficio la posibilidad de expansión del alumbrado público en Oruro, producto de la implementación del proyecto, dada la dificultad de su cuantificación, no fue incluido.</w:t>
      </w:r>
    </w:p>
    <w:p w:rsidR="00E67E7B" w:rsidRPr="00177AC0" w:rsidRDefault="00E67E7B" w:rsidP="00E67E7B">
      <w:pPr>
        <w:pStyle w:val="Heading2"/>
        <w:ind w:left="360"/>
        <w:rPr>
          <w:rFonts w:ascii="Arial" w:hAnsi="Arial" w:cs="Arial"/>
          <w:b/>
          <w:color w:val="1F4E79" w:themeColor="accent1" w:themeShade="80"/>
          <w:sz w:val="24"/>
          <w:lang w:val="es-ES"/>
        </w:rPr>
      </w:pPr>
      <w:bookmarkStart w:id="28" w:name="_Toc520820897"/>
      <w:r w:rsidRPr="00177AC0">
        <w:rPr>
          <w:rFonts w:ascii="Arial" w:hAnsi="Arial" w:cs="Arial"/>
          <w:b/>
          <w:color w:val="1F4E79" w:themeColor="accent1" w:themeShade="80"/>
          <w:sz w:val="24"/>
          <w:lang w:val="es-ES"/>
        </w:rPr>
        <w:t xml:space="preserve">5.3. Sistemas de alumbrado de avenidas y calles de </w:t>
      </w:r>
      <w:bookmarkEnd w:id="28"/>
      <w:r w:rsidR="00B030A9">
        <w:rPr>
          <w:rFonts w:ascii="Arial" w:hAnsi="Arial" w:cs="Arial"/>
          <w:b/>
          <w:color w:val="1F4E79" w:themeColor="accent1" w:themeShade="80"/>
          <w:sz w:val="24"/>
          <w:lang w:val="es-ES"/>
        </w:rPr>
        <w:t>Potosí</w:t>
      </w:r>
    </w:p>
    <w:p w:rsidR="00E67E7B" w:rsidRDefault="00E67E7B" w:rsidP="00E67E7B">
      <w:pPr>
        <w:spacing w:after="0" w:line="240" w:lineRule="auto"/>
        <w:rPr>
          <w:rFonts w:ascii="Arial" w:hAnsi="Arial" w:cs="Arial"/>
          <w:color w:val="000000" w:themeColor="text1"/>
          <w:lang w:val="es-ES"/>
        </w:rPr>
      </w:pPr>
    </w:p>
    <w:p w:rsidR="00E67E7B" w:rsidRDefault="00E67E7B" w:rsidP="00E67E7B">
      <w:pPr>
        <w:pStyle w:val="ListParagraph"/>
        <w:ind w:left="0"/>
        <w:jc w:val="both"/>
        <w:rPr>
          <w:rFonts w:ascii="Arial" w:hAnsi="Arial" w:cs="Arial"/>
          <w:sz w:val="22"/>
          <w:szCs w:val="22"/>
          <w:lang w:val="es-ES"/>
        </w:rPr>
      </w:pPr>
      <w:r>
        <w:rPr>
          <w:rFonts w:ascii="Arial" w:hAnsi="Arial" w:cs="Arial"/>
          <w:sz w:val="22"/>
          <w:szCs w:val="22"/>
          <w:lang w:val="es-ES"/>
        </w:rPr>
        <w:t xml:space="preserve">Considerando las mismas </w:t>
      </w:r>
      <w:r w:rsidRPr="0082608A">
        <w:rPr>
          <w:rFonts w:ascii="Arial" w:hAnsi="Arial" w:cs="Arial"/>
          <w:sz w:val="22"/>
          <w:szCs w:val="22"/>
          <w:lang w:val="es-ES"/>
        </w:rPr>
        <w:t xml:space="preserve">tecnologías eficientes </w:t>
      </w:r>
      <w:r>
        <w:rPr>
          <w:rFonts w:ascii="Arial" w:hAnsi="Arial" w:cs="Arial"/>
          <w:sz w:val="22"/>
          <w:szCs w:val="22"/>
          <w:lang w:val="es-ES"/>
        </w:rPr>
        <w:t>que en Oruro, l</w:t>
      </w:r>
      <w:r w:rsidRPr="006835CA">
        <w:rPr>
          <w:rFonts w:ascii="Arial" w:hAnsi="Arial" w:cs="Arial"/>
          <w:sz w:val="22"/>
          <w:szCs w:val="22"/>
          <w:lang w:val="es-ES"/>
        </w:rPr>
        <w:t xml:space="preserve">a línea base del sistema de </w:t>
      </w:r>
      <w:r>
        <w:rPr>
          <w:rFonts w:ascii="Arial" w:hAnsi="Arial" w:cs="Arial"/>
          <w:sz w:val="22"/>
          <w:szCs w:val="22"/>
          <w:lang w:val="es-ES"/>
        </w:rPr>
        <w:t>a</w:t>
      </w:r>
      <w:r w:rsidRPr="006835CA">
        <w:rPr>
          <w:rFonts w:ascii="Arial" w:hAnsi="Arial" w:cs="Arial"/>
          <w:sz w:val="22"/>
          <w:szCs w:val="22"/>
          <w:lang w:val="es-ES"/>
        </w:rPr>
        <w:t xml:space="preserve">lumbrado de avenidas y calles </w:t>
      </w:r>
      <w:r>
        <w:rPr>
          <w:rFonts w:ascii="Arial" w:hAnsi="Arial" w:cs="Arial"/>
          <w:sz w:val="22"/>
          <w:szCs w:val="22"/>
          <w:lang w:val="es-ES"/>
        </w:rPr>
        <w:t xml:space="preserve">de </w:t>
      </w:r>
      <w:r w:rsidR="00215907">
        <w:rPr>
          <w:rFonts w:ascii="Arial" w:hAnsi="Arial" w:cs="Arial"/>
          <w:sz w:val="22"/>
          <w:szCs w:val="22"/>
          <w:lang w:val="es-ES"/>
        </w:rPr>
        <w:t>Potosí</w:t>
      </w:r>
      <w:r w:rsidR="00FC4E69">
        <w:rPr>
          <w:rFonts w:ascii="Arial" w:hAnsi="Arial" w:cs="Arial"/>
          <w:sz w:val="22"/>
          <w:szCs w:val="22"/>
          <w:lang w:val="es-ES"/>
        </w:rPr>
        <w:t xml:space="preserve"> para un presupuesto de US$2,48 MM</w:t>
      </w:r>
      <w:r>
        <w:rPr>
          <w:rFonts w:ascii="Arial" w:hAnsi="Arial" w:cs="Arial"/>
          <w:sz w:val="22"/>
          <w:szCs w:val="22"/>
          <w:lang w:val="es-ES"/>
        </w:rPr>
        <w:t xml:space="preserve">, corresponde a </w:t>
      </w:r>
      <w:r w:rsidR="00FC4E69">
        <w:rPr>
          <w:rFonts w:ascii="Arial" w:hAnsi="Arial" w:cs="Arial"/>
          <w:sz w:val="22"/>
          <w:szCs w:val="22"/>
          <w:lang w:val="es-ES"/>
        </w:rPr>
        <w:t>7</w:t>
      </w:r>
      <w:r w:rsidRPr="00FC4E69">
        <w:rPr>
          <w:rFonts w:ascii="Arial" w:hAnsi="Arial" w:cs="Arial"/>
          <w:sz w:val="22"/>
          <w:szCs w:val="22"/>
          <w:lang w:val="es-ES"/>
        </w:rPr>
        <w:t>,</w:t>
      </w:r>
      <w:r w:rsidR="00FC4E69" w:rsidRPr="00FC4E69">
        <w:rPr>
          <w:rFonts w:ascii="Arial" w:hAnsi="Arial" w:cs="Arial"/>
          <w:sz w:val="22"/>
          <w:szCs w:val="22"/>
          <w:lang w:val="es-ES"/>
        </w:rPr>
        <w:t>574</w:t>
      </w:r>
      <w:r w:rsidRPr="006835CA">
        <w:rPr>
          <w:rFonts w:ascii="Arial" w:hAnsi="Arial" w:cs="Arial"/>
          <w:sz w:val="22"/>
          <w:szCs w:val="22"/>
          <w:lang w:val="es-ES"/>
        </w:rPr>
        <w:t xml:space="preserve"> luminarias, los cuales tiene un consumo de energía eléctrica al año de </w:t>
      </w:r>
      <w:r w:rsidR="00FC4E69" w:rsidRPr="00FC4E69">
        <w:rPr>
          <w:rFonts w:ascii="Arial" w:hAnsi="Arial" w:cs="Arial"/>
          <w:sz w:val="22"/>
          <w:szCs w:val="22"/>
          <w:lang w:val="es-ES"/>
        </w:rPr>
        <w:t>5.03</w:t>
      </w:r>
      <w:r w:rsidRPr="00FC4E69">
        <w:rPr>
          <w:rFonts w:ascii="Arial" w:hAnsi="Arial" w:cs="Arial"/>
          <w:sz w:val="22"/>
          <w:szCs w:val="22"/>
          <w:lang w:val="es-ES"/>
        </w:rPr>
        <w:t xml:space="preserve"> GWh/año</w:t>
      </w:r>
      <w:r w:rsidRPr="006835CA">
        <w:rPr>
          <w:rFonts w:ascii="Arial" w:hAnsi="Arial" w:cs="Arial"/>
          <w:sz w:val="22"/>
          <w:szCs w:val="22"/>
          <w:lang w:val="es-ES"/>
        </w:rPr>
        <w:t>, y un gasto</w:t>
      </w:r>
      <w:r>
        <w:rPr>
          <w:rFonts w:ascii="Arial" w:hAnsi="Arial" w:cs="Arial"/>
          <w:sz w:val="22"/>
          <w:szCs w:val="22"/>
          <w:lang w:val="es-ES"/>
        </w:rPr>
        <w:t xml:space="preserve"> de </w:t>
      </w:r>
      <w:r w:rsidRPr="00FC4E69">
        <w:rPr>
          <w:rFonts w:ascii="Arial" w:hAnsi="Arial" w:cs="Arial"/>
          <w:sz w:val="22"/>
          <w:szCs w:val="22"/>
          <w:lang w:val="es-ES"/>
        </w:rPr>
        <w:t xml:space="preserve">Bs. </w:t>
      </w:r>
      <w:r w:rsidR="00FC4E69" w:rsidRPr="00FC4E69">
        <w:rPr>
          <w:rFonts w:ascii="Arial" w:hAnsi="Arial" w:cs="Arial"/>
          <w:sz w:val="22"/>
          <w:szCs w:val="22"/>
          <w:lang w:val="es-ES"/>
        </w:rPr>
        <w:t>5</w:t>
      </w:r>
      <w:r w:rsidRPr="00FC4E69">
        <w:rPr>
          <w:rFonts w:ascii="Arial" w:hAnsi="Arial" w:cs="Arial"/>
          <w:sz w:val="22"/>
          <w:szCs w:val="22"/>
          <w:lang w:val="es-ES"/>
        </w:rPr>
        <w:t>.</w:t>
      </w:r>
      <w:r w:rsidR="00FC4E69" w:rsidRPr="00FC4E69">
        <w:rPr>
          <w:rFonts w:ascii="Arial" w:hAnsi="Arial" w:cs="Arial"/>
          <w:sz w:val="22"/>
          <w:szCs w:val="22"/>
          <w:lang w:val="es-ES"/>
        </w:rPr>
        <w:t>84</w:t>
      </w:r>
      <w:r w:rsidRPr="00FC4E69">
        <w:rPr>
          <w:rFonts w:ascii="Arial" w:hAnsi="Arial" w:cs="Arial"/>
          <w:sz w:val="22"/>
          <w:szCs w:val="22"/>
          <w:lang w:val="es-ES"/>
        </w:rPr>
        <w:t xml:space="preserve"> millones año.</w:t>
      </w:r>
    </w:p>
    <w:p w:rsidR="00E67E7B" w:rsidRDefault="00E67E7B" w:rsidP="00E67E7B">
      <w:pPr>
        <w:pStyle w:val="ListParagraph"/>
        <w:ind w:left="0"/>
        <w:jc w:val="both"/>
        <w:rPr>
          <w:rFonts w:ascii="Arial" w:hAnsi="Arial" w:cs="Arial"/>
          <w:sz w:val="22"/>
          <w:szCs w:val="22"/>
          <w:lang w:val="es-ES"/>
        </w:rPr>
      </w:pPr>
    </w:p>
    <w:p w:rsidR="00E67E7B" w:rsidRPr="00C81A60" w:rsidRDefault="00E67E7B" w:rsidP="00E67E7B">
      <w:pPr>
        <w:jc w:val="both"/>
        <w:rPr>
          <w:rFonts w:ascii="Arial" w:hAnsi="Arial" w:cs="Arial"/>
          <w:lang w:val="es-ES"/>
        </w:rPr>
      </w:pPr>
      <w:r>
        <w:rPr>
          <w:rFonts w:ascii="Arial" w:hAnsi="Arial" w:cs="Arial"/>
          <w:lang w:val="es-ES"/>
        </w:rPr>
        <w:t>La i</w:t>
      </w:r>
      <w:r w:rsidRPr="00C81A60">
        <w:rPr>
          <w:rFonts w:ascii="Arial" w:hAnsi="Arial" w:cs="Arial"/>
          <w:lang w:val="es-ES"/>
        </w:rPr>
        <w:t xml:space="preserve">nstalación de LEDs con una eficacia superior a los 100 lm/W, permite un ahorro de energía eléctrica de </w:t>
      </w:r>
      <w:r w:rsidR="00FC4E69" w:rsidRPr="00FC4E69">
        <w:rPr>
          <w:rFonts w:ascii="Arial" w:hAnsi="Arial" w:cs="Arial"/>
          <w:lang w:val="es-ES"/>
        </w:rPr>
        <w:t>2</w:t>
      </w:r>
      <w:r w:rsidRPr="00FC4E69">
        <w:rPr>
          <w:rFonts w:ascii="Arial" w:hAnsi="Arial" w:cs="Arial"/>
          <w:lang w:val="es-ES"/>
        </w:rPr>
        <w:t>,</w:t>
      </w:r>
      <w:r w:rsidR="00FC4E69" w:rsidRPr="00FC4E69">
        <w:rPr>
          <w:rFonts w:ascii="Arial" w:hAnsi="Arial" w:cs="Arial"/>
          <w:lang w:val="es-ES"/>
        </w:rPr>
        <w:t>58</w:t>
      </w:r>
      <w:r w:rsidRPr="00FC4E69">
        <w:rPr>
          <w:rFonts w:ascii="Arial" w:hAnsi="Arial" w:cs="Arial"/>
          <w:lang w:val="es-ES"/>
        </w:rPr>
        <w:t xml:space="preserve"> MWh/año</w:t>
      </w:r>
      <w:r w:rsidRPr="00C81A60">
        <w:rPr>
          <w:rFonts w:ascii="Arial" w:hAnsi="Arial" w:cs="Arial"/>
          <w:lang w:val="es-ES"/>
        </w:rPr>
        <w:t xml:space="preserve"> y un ahorro económico de </w:t>
      </w:r>
      <w:r w:rsidRPr="00FC4E69">
        <w:rPr>
          <w:rFonts w:ascii="Arial" w:hAnsi="Arial" w:cs="Arial"/>
          <w:lang w:val="es-ES"/>
        </w:rPr>
        <w:t xml:space="preserve">Bs </w:t>
      </w:r>
      <w:r w:rsidR="00FC4E69" w:rsidRPr="00FC4E69">
        <w:rPr>
          <w:rFonts w:ascii="Arial" w:hAnsi="Arial" w:cs="Arial"/>
          <w:lang w:val="es-ES"/>
        </w:rPr>
        <w:t>2.99</w:t>
      </w:r>
      <w:r w:rsidRPr="00FC4E69">
        <w:rPr>
          <w:rFonts w:ascii="Arial" w:hAnsi="Arial" w:cs="Arial"/>
          <w:lang w:val="es-ES"/>
        </w:rPr>
        <w:t xml:space="preserve"> millones al año</w:t>
      </w:r>
      <w:r w:rsidRPr="00C81A60">
        <w:rPr>
          <w:rFonts w:ascii="Arial" w:hAnsi="Arial" w:cs="Arial"/>
          <w:lang w:val="es-ES"/>
        </w:rPr>
        <w:t xml:space="preserve">, equivalente al </w:t>
      </w:r>
      <w:r w:rsidRPr="00FC4E69">
        <w:rPr>
          <w:rFonts w:ascii="Arial" w:hAnsi="Arial" w:cs="Arial"/>
          <w:lang w:val="es-ES"/>
        </w:rPr>
        <w:t>ahorro del 51%,</w:t>
      </w:r>
      <w:r w:rsidRPr="00C81A60">
        <w:rPr>
          <w:rFonts w:ascii="Arial" w:hAnsi="Arial" w:cs="Arial"/>
          <w:lang w:val="es-ES"/>
        </w:rPr>
        <w:t xml:space="preserve"> en comparación con la línea base.</w:t>
      </w:r>
    </w:p>
    <w:p w:rsidR="00E67E7B" w:rsidRPr="006835CA" w:rsidRDefault="00E67E7B" w:rsidP="00E67E7B">
      <w:pPr>
        <w:pStyle w:val="ListParagraph"/>
        <w:ind w:left="0"/>
        <w:jc w:val="both"/>
        <w:rPr>
          <w:rFonts w:ascii="Arial" w:hAnsi="Arial" w:cs="Arial"/>
          <w:sz w:val="22"/>
          <w:lang w:val="es-ES"/>
        </w:rPr>
      </w:pPr>
    </w:p>
    <w:p w:rsidR="00E67E7B" w:rsidRDefault="00E67E7B" w:rsidP="00E67E7B">
      <w:pPr>
        <w:spacing w:after="0" w:line="240" w:lineRule="auto"/>
        <w:rPr>
          <w:rFonts w:ascii="Arial" w:hAnsi="Arial" w:cs="Arial"/>
          <w:color w:val="000000" w:themeColor="text1"/>
          <w:lang w:val="es-ES"/>
        </w:rPr>
      </w:pPr>
    </w:p>
    <w:p w:rsidR="00E67E7B" w:rsidRPr="00C81A60" w:rsidRDefault="00E67E7B" w:rsidP="00E67E7B">
      <w:pPr>
        <w:spacing w:after="0" w:line="240" w:lineRule="auto"/>
        <w:rPr>
          <w:rFonts w:ascii="Arial" w:hAnsi="Arial" w:cs="Arial"/>
          <w:lang w:val="es-ES"/>
        </w:rPr>
      </w:pPr>
    </w:p>
    <w:p w:rsidR="00E67E7B" w:rsidRPr="00840A21" w:rsidRDefault="00E67E7B" w:rsidP="00E67E7B">
      <w:pPr>
        <w:jc w:val="both"/>
        <w:rPr>
          <w:rFonts w:ascii="Arial" w:hAnsi="Arial" w:cs="Arial"/>
          <w:lang w:val="es-ES"/>
        </w:rPr>
      </w:pPr>
      <w:r w:rsidRPr="00840A21">
        <w:rPr>
          <w:rFonts w:ascii="Arial" w:hAnsi="Arial" w:cs="Arial"/>
          <w:lang w:val="es-ES"/>
        </w:rPr>
        <w:lastRenderedPageBreak/>
        <w:t xml:space="preserve">Para la evaluación económica del Proyecto de </w:t>
      </w:r>
      <w:r w:rsidR="00215907">
        <w:rPr>
          <w:rFonts w:ascii="Arial" w:hAnsi="Arial" w:cs="Arial"/>
          <w:lang w:val="es-ES"/>
        </w:rPr>
        <w:t>Potosí</w:t>
      </w:r>
      <w:r w:rsidRPr="00840A21">
        <w:rPr>
          <w:rFonts w:ascii="Arial" w:hAnsi="Arial" w:cs="Arial"/>
          <w:lang w:val="es-ES"/>
        </w:rPr>
        <w:t>, los beneficios identificados para el proyecto fueron los siguientes:</w:t>
      </w:r>
    </w:p>
    <w:p w:rsidR="00215907" w:rsidRPr="00840A21" w:rsidRDefault="00215907" w:rsidP="00215907">
      <w:pPr>
        <w:pStyle w:val="ListParagraph"/>
        <w:jc w:val="both"/>
        <w:rPr>
          <w:rFonts w:ascii="Arial" w:hAnsi="Arial" w:cs="Arial"/>
          <w:sz w:val="22"/>
          <w:lang w:val="es-ES"/>
        </w:rPr>
      </w:pPr>
    </w:p>
    <w:p w:rsidR="00215907" w:rsidRPr="00D42463" w:rsidRDefault="00215907" w:rsidP="00215907">
      <w:pPr>
        <w:pStyle w:val="ListParagraph"/>
        <w:numPr>
          <w:ilvl w:val="0"/>
          <w:numId w:val="23"/>
        </w:numPr>
        <w:jc w:val="both"/>
        <w:rPr>
          <w:rFonts w:ascii="Arial" w:hAnsi="Arial" w:cs="Arial"/>
          <w:sz w:val="22"/>
          <w:lang w:val="es-419"/>
        </w:rPr>
      </w:pPr>
      <w:r w:rsidRPr="00B718CA">
        <w:rPr>
          <w:rFonts w:ascii="Arial" w:hAnsi="Arial" w:cs="Arial"/>
          <w:sz w:val="22"/>
          <w:lang w:val="es-ES"/>
        </w:rPr>
        <w:t xml:space="preserve">El beneficio originado en la sustitución </w:t>
      </w:r>
      <w:r>
        <w:rPr>
          <w:rFonts w:ascii="Arial" w:hAnsi="Arial" w:cs="Arial"/>
          <w:sz w:val="22"/>
          <w:lang w:val="es-ES"/>
        </w:rPr>
        <w:t xml:space="preserve">de lámparas que da lugar al ahorro de emisiones de CO2, las mismas que fueron valoradas a razón de 30 USD/TON, considerando que las emisiones del Sistema Interconectado Nacional de Bolivia de generación diésel alcanzan los 414 </w:t>
      </w:r>
      <w:r w:rsidRPr="00B718CA">
        <w:rPr>
          <w:rFonts w:ascii="Arial" w:hAnsi="Arial" w:cs="Arial"/>
          <w:sz w:val="22"/>
          <w:lang w:val="es-ES"/>
        </w:rPr>
        <w:t>gr CO2/kWh</w:t>
      </w:r>
      <w:r>
        <w:rPr>
          <w:rStyle w:val="FootnoteReference"/>
          <w:rFonts w:ascii="Arial" w:hAnsi="Arial" w:cs="Arial"/>
          <w:sz w:val="22"/>
          <w:lang w:val="es-ES"/>
        </w:rPr>
        <w:footnoteReference w:id="4"/>
      </w:r>
      <w:r>
        <w:rPr>
          <w:rFonts w:ascii="Arial" w:hAnsi="Arial" w:cs="Arial"/>
          <w:sz w:val="22"/>
          <w:lang w:val="es-ES"/>
        </w:rPr>
        <w:t>.</w:t>
      </w:r>
    </w:p>
    <w:p w:rsidR="00215907" w:rsidRPr="00D42463" w:rsidRDefault="00215907" w:rsidP="00215907">
      <w:pPr>
        <w:pStyle w:val="ListParagraph"/>
        <w:rPr>
          <w:rFonts w:ascii="Arial" w:hAnsi="Arial" w:cs="Arial"/>
          <w:sz w:val="22"/>
          <w:lang w:val="es-419"/>
        </w:rPr>
      </w:pPr>
    </w:p>
    <w:p w:rsidR="00215907" w:rsidRDefault="00215907" w:rsidP="00215907">
      <w:pPr>
        <w:pStyle w:val="ListParagraph"/>
        <w:numPr>
          <w:ilvl w:val="0"/>
          <w:numId w:val="23"/>
        </w:numPr>
        <w:jc w:val="both"/>
        <w:rPr>
          <w:rFonts w:ascii="Arial" w:hAnsi="Arial" w:cs="Arial"/>
          <w:sz w:val="22"/>
          <w:lang w:val="es-419"/>
        </w:rPr>
      </w:pPr>
      <w:r w:rsidRPr="00D42463">
        <w:rPr>
          <w:rFonts w:ascii="Arial" w:hAnsi="Arial" w:cs="Arial"/>
          <w:sz w:val="22"/>
          <w:lang w:val="es-419"/>
        </w:rPr>
        <w:t xml:space="preserve">Beneficio por Inversión diferida, debido a la sustitución de lámparas, la potencia instalada de </w:t>
      </w:r>
      <w:r>
        <w:rPr>
          <w:rFonts w:ascii="Arial" w:hAnsi="Arial" w:cs="Arial"/>
          <w:sz w:val="22"/>
          <w:lang w:val="es-419"/>
        </w:rPr>
        <w:t>Potosí</w:t>
      </w:r>
      <w:r w:rsidRPr="00D42463">
        <w:rPr>
          <w:rFonts w:ascii="Arial" w:hAnsi="Arial" w:cs="Arial"/>
          <w:sz w:val="22"/>
          <w:lang w:val="es-419"/>
        </w:rPr>
        <w:t xml:space="preserve"> se reducirá de </w:t>
      </w:r>
      <w:r w:rsidR="00BA2E52">
        <w:rPr>
          <w:rFonts w:ascii="Arial" w:hAnsi="Arial" w:cs="Arial"/>
          <w:sz w:val="22"/>
          <w:lang w:val="es-419"/>
        </w:rPr>
        <w:t>1.889</w:t>
      </w:r>
      <w:r w:rsidRPr="00BA2E52">
        <w:rPr>
          <w:rFonts w:ascii="Arial" w:hAnsi="Arial" w:cs="Arial"/>
          <w:sz w:val="22"/>
          <w:lang w:val="es-419"/>
        </w:rPr>
        <w:t xml:space="preserve"> kW a </w:t>
      </w:r>
      <w:r w:rsidR="00BA2E52">
        <w:rPr>
          <w:rFonts w:ascii="Arial" w:hAnsi="Arial" w:cs="Arial"/>
          <w:sz w:val="22"/>
          <w:lang w:val="es-419"/>
        </w:rPr>
        <w:t>1.300</w:t>
      </w:r>
      <w:r w:rsidRPr="00BA2E52">
        <w:rPr>
          <w:rFonts w:ascii="Arial" w:hAnsi="Arial" w:cs="Arial"/>
          <w:sz w:val="22"/>
          <w:lang w:val="es-419"/>
        </w:rPr>
        <w:t xml:space="preserve"> kW,</w:t>
      </w:r>
      <w:r>
        <w:rPr>
          <w:rFonts w:ascii="Arial" w:hAnsi="Arial" w:cs="Arial"/>
          <w:sz w:val="22"/>
          <w:lang w:val="es-419"/>
        </w:rPr>
        <w:t xml:space="preserve"> para la valoración del costo de la potencia diferida se utilizó como referencia los costos de la central hidroeléctrica de San José inaugurada en febrero de 2018, USD 2</w:t>
      </w:r>
      <w:r w:rsidR="00BA2E52">
        <w:rPr>
          <w:rFonts w:ascii="Arial" w:hAnsi="Arial" w:cs="Arial"/>
          <w:sz w:val="22"/>
          <w:lang w:val="es-419"/>
        </w:rPr>
        <w:t>.</w:t>
      </w:r>
      <w:r>
        <w:rPr>
          <w:rFonts w:ascii="Arial" w:hAnsi="Arial" w:cs="Arial"/>
          <w:sz w:val="22"/>
          <w:lang w:val="es-419"/>
        </w:rPr>
        <w:t>527 por kW.</w:t>
      </w:r>
      <w:r>
        <w:rPr>
          <w:rStyle w:val="FootnoteReference"/>
          <w:rFonts w:ascii="Arial" w:hAnsi="Arial" w:cs="Arial"/>
          <w:sz w:val="22"/>
          <w:lang w:val="es-419"/>
        </w:rPr>
        <w:footnoteReference w:id="5"/>
      </w:r>
    </w:p>
    <w:p w:rsidR="00215907" w:rsidRPr="005D5331" w:rsidRDefault="00215907" w:rsidP="00215907">
      <w:pPr>
        <w:pStyle w:val="ListParagraph"/>
        <w:rPr>
          <w:rFonts w:ascii="Arial" w:hAnsi="Arial" w:cs="Arial"/>
          <w:sz w:val="22"/>
          <w:lang w:val="es-419"/>
        </w:rPr>
      </w:pPr>
    </w:p>
    <w:p w:rsidR="00E67E7B" w:rsidRPr="007130BF" w:rsidRDefault="00E67E7B" w:rsidP="00E67E7B">
      <w:pPr>
        <w:spacing w:after="0" w:line="240" w:lineRule="auto"/>
        <w:rPr>
          <w:rFonts w:ascii="Arial" w:hAnsi="Arial" w:cs="Arial"/>
          <w:lang w:val="es-419"/>
        </w:rPr>
      </w:pPr>
    </w:p>
    <w:p w:rsidR="00E67E7B" w:rsidRPr="00C81A60" w:rsidRDefault="00E67E7B" w:rsidP="00E67E7B">
      <w:pPr>
        <w:spacing w:after="0" w:line="240" w:lineRule="auto"/>
        <w:rPr>
          <w:rFonts w:ascii="Arial" w:hAnsi="Arial" w:cs="Arial"/>
          <w:lang w:val="es-ES"/>
        </w:rPr>
      </w:pPr>
    </w:p>
    <w:p w:rsidR="00E67E7B" w:rsidRPr="00177AC0" w:rsidRDefault="00E67E7B" w:rsidP="00E67E7B">
      <w:pPr>
        <w:pStyle w:val="Heading1"/>
        <w:spacing w:before="0"/>
        <w:ind w:left="714" w:hanging="357"/>
        <w:rPr>
          <w:rFonts w:ascii="Arial" w:hAnsi="Arial" w:cs="Arial"/>
          <w:color w:val="1F4E79" w:themeColor="accent1" w:themeShade="80"/>
          <w:lang w:val="es-ES"/>
        </w:rPr>
      </w:pPr>
      <w:r w:rsidRPr="00177AC0">
        <w:rPr>
          <w:rFonts w:ascii="Arial" w:hAnsi="Arial" w:cs="Arial"/>
          <w:color w:val="1F4E79" w:themeColor="accent1" w:themeShade="80"/>
          <w:lang w:val="es-ES"/>
        </w:rPr>
        <w:t xml:space="preserve"> </w:t>
      </w:r>
      <w:bookmarkStart w:id="29" w:name="_Toc496735290"/>
      <w:bookmarkStart w:id="30" w:name="_Toc520820899"/>
      <w:r w:rsidRPr="00177AC0">
        <w:rPr>
          <w:rFonts w:ascii="Arial" w:hAnsi="Arial" w:cs="Arial"/>
          <w:color w:val="1F4E79" w:themeColor="accent1" w:themeShade="80"/>
          <w:lang w:val="es-ES"/>
        </w:rPr>
        <w:t>COSTOS ECONÓMICOS</w:t>
      </w:r>
      <w:bookmarkEnd w:id="29"/>
      <w:bookmarkEnd w:id="30"/>
      <w:r w:rsidRPr="00177AC0">
        <w:rPr>
          <w:rFonts w:ascii="Arial" w:hAnsi="Arial" w:cs="Arial"/>
          <w:color w:val="1F4E79" w:themeColor="accent1" w:themeShade="80"/>
          <w:lang w:val="es-ES"/>
        </w:rPr>
        <w:t xml:space="preserve"> </w:t>
      </w:r>
    </w:p>
    <w:p w:rsidR="00E67E7B" w:rsidRDefault="00E67E7B" w:rsidP="00E67E7B">
      <w:pPr>
        <w:spacing w:after="0" w:line="240" w:lineRule="auto"/>
        <w:jc w:val="both"/>
        <w:rPr>
          <w:rFonts w:ascii="Arial" w:hAnsi="Arial" w:cs="Arial"/>
          <w:lang w:val="es-ES_tradnl"/>
        </w:rPr>
      </w:pPr>
    </w:p>
    <w:p w:rsidR="00E67E7B" w:rsidRPr="00256213" w:rsidRDefault="00E67E7B" w:rsidP="00E67E7B">
      <w:pPr>
        <w:spacing w:after="0" w:line="240" w:lineRule="auto"/>
        <w:jc w:val="both"/>
        <w:rPr>
          <w:rFonts w:ascii="Arial" w:hAnsi="Arial" w:cs="Arial"/>
          <w:lang w:val="es-ES_tradnl"/>
        </w:rPr>
      </w:pPr>
      <w:r w:rsidRPr="00256213">
        <w:rPr>
          <w:rFonts w:ascii="Arial" w:hAnsi="Arial" w:cs="Arial"/>
          <w:lang w:val="es-ES_tradnl"/>
        </w:rPr>
        <w:t>Los costos considerados para e</w:t>
      </w:r>
      <w:r>
        <w:rPr>
          <w:rFonts w:ascii="Arial" w:hAnsi="Arial" w:cs="Arial"/>
          <w:lang w:val="es-ES_tradnl"/>
        </w:rPr>
        <w:t>l</w:t>
      </w:r>
      <w:r w:rsidRPr="00256213">
        <w:rPr>
          <w:rFonts w:ascii="Arial" w:hAnsi="Arial" w:cs="Arial"/>
          <w:lang w:val="es-ES_tradnl"/>
        </w:rPr>
        <w:t xml:space="preserve"> </w:t>
      </w:r>
      <w:r>
        <w:rPr>
          <w:rFonts w:ascii="Arial" w:hAnsi="Arial" w:cs="Arial"/>
          <w:lang w:val="es-ES_tradnl"/>
        </w:rPr>
        <w:t>proyecto</w:t>
      </w:r>
      <w:r w:rsidRPr="00256213">
        <w:rPr>
          <w:rFonts w:ascii="Arial" w:hAnsi="Arial" w:cs="Arial"/>
          <w:lang w:val="es-ES_tradnl"/>
        </w:rPr>
        <w:t xml:space="preserve"> son:</w:t>
      </w:r>
    </w:p>
    <w:p w:rsidR="00E67E7B" w:rsidRPr="00256213" w:rsidRDefault="00E67E7B" w:rsidP="00E67E7B">
      <w:pPr>
        <w:spacing w:after="0" w:line="240" w:lineRule="auto"/>
        <w:jc w:val="both"/>
        <w:rPr>
          <w:rFonts w:ascii="Arial" w:hAnsi="Arial" w:cs="Arial"/>
          <w:lang w:val="es-ES_tradnl"/>
        </w:rPr>
      </w:pPr>
    </w:p>
    <w:p w:rsidR="00E67E7B" w:rsidRPr="00BC256E" w:rsidRDefault="00E67E7B" w:rsidP="00E67E7B">
      <w:pPr>
        <w:pStyle w:val="ListParagraph"/>
        <w:numPr>
          <w:ilvl w:val="0"/>
          <w:numId w:val="12"/>
        </w:numPr>
        <w:ind w:left="720"/>
        <w:jc w:val="both"/>
        <w:rPr>
          <w:rFonts w:ascii="Arial" w:hAnsi="Arial" w:cs="Arial"/>
          <w:lang w:val="es-419" w:eastAsia="es-BO"/>
        </w:rPr>
      </w:pPr>
      <w:r w:rsidRPr="00BC256E">
        <w:rPr>
          <w:rFonts w:ascii="Arial" w:hAnsi="Arial" w:cs="Arial"/>
          <w:sz w:val="22"/>
          <w:u w:val="single"/>
          <w:lang w:val="es-ES"/>
        </w:rPr>
        <w:t>Costo de inversión Oruro</w:t>
      </w:r>
      <w:r w:rsidRPr="00BC256E">
        <w:rPr>
          <w:rFonts w:ascii="Arial" w:hAnsi="Arial" w:cs="Arial"/>
          <w:sz w:val="22"/>
          <w:lang w:val="es-ES"/>
        </w:rPr>
        <w:t xml:space="preserve"> </w:t>
      </w:r>
      <w:r w:rsidRPr="00BC256E">
        <w:rPr>
          <w:rFonts w:ascii="Arial" w:hAnsi="Arial" w:cs="Arial"/>
          <w:sz w:val="22"/>
          <w:lang w:val="es-419" w:eastAsia="es-BO"/>
        </w:rPr>
        <w:t>la inversión estimada para implementar las medidas e</w:t>
      </w:r>
      <w:r>
        <w:rPr>
          <w:rFonts w:ascii="Arial" w:hAnsi="Arial" w:cs="Arial"/>
          <w:sz w:val="22"/>
          <w:lang w:val="es-419" w:eastAsia="es-BO"/>
        </w:rPr>
        <w:t>ficientes se muestra en la tabla 4.</w:t>
      </w:r>
    </w:p>
    <w:p w:rsidR="00E67E7B" w:rsidRPr="00BC256E" w:rsidRDefault="00E67E7B" w:rsidP="00E67E7B">
      <w:pPr>
        <w:jc w:val="both"/>
        <w:rPr>
          <w:rFonts w:ascii="Arial" w:hAnsi="Arial" w:cs="Arial"/>
          <w:lang w:val="es-419" w:eastAsia="es-BO"/>
        </w:rPr>
      </w:pPr>
    </w:p>
    <w:p w:rsidR="00E67E7B" w:rsidRPr="00550D07" w:rsidRDefault="00E67E7B" w:rsidP="00E67E7B">
      <w:pPr>
        <w:jc w:val="both"/>
        <w:rPr>
          <w:rFonts w:ascii="Arial" w:hAnsi="Arial" w:cs="Arial"/>
          <w:lang w:val="es-419" w:eastAsia="es-BO"/>
        </w:rPr>
      </w:pPr>
    </w:p>
    <w:p w:rsidR="00E67E7B" w:rsidRDefault="00E67E7B" w:rsidP="00E67E7B">
      <w:pPr>
        <w:pStyle w:val="ListParagraph"/>
        <w:jc w:val="both"/>
        <w:rPr>
          <w:rFonts w:ascii="Arial" w:hAnsi="Arial" w:cs="Arial"/>
          <w:sz w:val="22"/>
          <w:lang w:val="es-419" w:eastAsia="es-BO"/>
        </w:rPr>
      </w:pPr>
    </w:p>
    <w:p w:rsidR="00E67E7B" w:rsidRPr="00A614F0" w:rsidRDefault="00E67E7B" w:rsidP="00E67E7B">
      <w:pPr>
        <w:pStyle w:val="ListParagraph"/>
        <w:spacing w:after="120"/>
        <w:ind w:left="357"/>
        <w:jc w:val="center"/>
        <w:rPr>
          <w:rFonts w:ascii="Arial" w:hAnsi="Arial" w:cs="Arial"/>
          <w:b/>
          <w:bCs/>
          <w:sz w:val="20"/>
          <w:lang w:val="es-419"/>
        </w:rPr>
      </w:pPr>
      <w:r w:rsidRPr="00A614F0">
        <w:rPr>
          <w:rFonts w:ascii="Arial" w:hAnsi="Arial" w:cs="Arial"/>
          <w:b/>
          <w:bCs/>
          <w:sz w:val="20"/>
          <w:lang w:val="es-419"/>
        </w:rPr>
        <w:t xml:space="preserve">Tabla 4: </w:t>
      </w:r>
      <w:r w:rsidRPr="00A614F0">
        <w:rPr>
          <w:rFonts w:ascii="Arial" w:hAnsi="Arial" w:cs="Arial"/>
          <w:bCs/>
          <w:sz w:val="20"/>
          <w:lang w:val="es-419"/>
        </w:rPr>
        <w:t>Costos de Inversión Oruro</w:t>
      </w:r>
    </w:p>
    <w:tbl>
      <w:tblPr>
        <w:tblStyle w:val="TableGrid"/>
        <w:tblW w:w="0" w:type="auto"/>
        <w:jc w:val="center"/>
        <w:tblLook w:val="04A0" w:firstRow="1" w:lastRow="0" w:firstColumn="1" w:lastColumn="0" w:noHBand="0" w:noVBand="1"/>
      </w:tblPr>
      <w:tblGrid>
        <w:gridCol w:w="2127"/>
        <w:gridCol w:w="1559"/>
        <w:gridCol w:w="1980"/>
      </w:tblGrid>
      <w:tr w:rsidR="00E67E7B" w:rsidRPr="00020EB7" w:rsidTr="005E3B54">
        <w:trPr>
          <w:jc w:val="center"/>
        </w:trPr>
        <w:tc>
          <w:tcPr>
            <w:tcW w:w="2127" w:type="dxa"/>
            <w:shd w:val="clear" w:color="auto" w:fill="006699"/>
            <w:vAlign w:val="center"/>
          </w:tcPr>
          <w:p w:rsidR="00E67E7B" w:rsidRPr="00020EB7" w:rsidRDefault="00E67E7B" w:rsidP="005E3B54">
            <w:pPr>
              <w:spacing w:after="0" w:line="240" w:lineRule="auto"/>
              <w:jc w:val="center"/>
              <w:rPr>
                <w:rFonts w:ascii="Arial" w:hAnsi="Arial" w:cs="Arial"/>
                <w:b/>
                <w:color w:val="FFFFFF" w:themeColor="background1"/>
                <w:sz w:val="20"/>
                <w:lang w:val="es-419" w:eastAsia="es-BO"/>
              </w:rPr>
            </w:pPr>
            <w:r w:rsidRPr="00020EB7">
              <w:rPr>
                <w:rFonts w:ascii="Arial" w:hAnsi="Arial" w:cs="Arial"/>
                <w:b/>
                <w:color w:val="FFFFFF" w:themeColor="background1"/>
                <w:sz w:val="20"/>
                <w:lang w:val="es-419" w:eastAsia="es-BO"/>
              </w:rPr>
              <w:t>Aplicación</w:t>
            </w:r>
          </w:p>
        </w:tc>
        <w:tc>
          <w:tcPr>
            <w:tcW w:w="1559" w:type="dxa"/>
            <w:shd w:val="clear" w:color="auto" w:fill="006699"/>
            <w:vAlign w:val="center"/>
          </w:tcPr>
          <w:p w:rsidR="00E67E7B" w:rsidRPr="00020EB7" w:rsidRDefault="00E67E7B" w:rsidP="005E3B54">
            <w:pPr>
              <w:spacing w:after="0" w:line="240" w:lineRule="auto"/>
              <w:jc w:val="center"/>
              <w:rPr>
                <w:rFonts w:ascii="Arial" w:hAnsi="Arial" w:cs="Arial"/>
                <w:b/>
                <w:color w:val="FFFFFF" w:themeColor="background1"/>
                <w:sz w:val="20"/>
                <w:lang w:val="es-419" w:eastAsia="es-BO"/>
              </w:rPr>
            </w:pPr>
            <w:r w:rsidRPr="00020EB7">
              <w:rPr>
                <w:rFonts w:ascii="Arial" w:hAnsi="Arial" w:cs="Arial"/>
                <w:b/>
                <w:color w:val="FFFFFF" w:themeColor="background1"/>
                <w:sz w:val="20"/>
                <w:lang w:val="es-419" w:eastAsia="es-BO"/>
              </w:rPr>
              <w:t>Cantidad</w:t>
            </w:r>
          </w:p>
        </w:tc>
        <w:tc>
          <w:tcPr>
            <w:tcW w:w="1980" w:type="dxa"/>
            <w:shd w:val="clear" w:color="auto" w:fill="006699"/>
          </w:tcPr>
          <w:p w:rsidR="00E67E7B" w:rsidRDefault="00E67E7B" w:rsidP="005E3B54">
            <w:pPr>
              <w:spacing w:after="0" w:line="240" w:lineRule="auto"/>
              <w:jc w:val="center"/>
              <w:rPr>
                <w:rFonts w:ascii="Arial" w:hAnsi="Arial" w:cs="Arial"/>
                <w:b/>
                <w:color w:val="FFFFFF" w:themeColor="background1"/>
                <w:sz w:val="20"/>
                <w:lang w:val="es-419" w:eastAsia="es-BO"/>
              </w:rPr>
            </w:pPr>
            <w:r w:rsidRPr="00020EB7">
              <w:rPr>
                <w:rFonts w:ascii="Arial" w:hAnsi="Arial" w:cs="Arial"/>
                <w:b/>
                <w:color w:val="FFFFFF" w:themeColor="background1"/>
                <w:sz w:val="20"/>
                <w:lang w:val="es-419" w:eastAsia="es-BO"/>
              </w:rPr>
              <w:t xml:space="preserve">Inversión </w:t>
            </w:r>
          </w:p>
          <w:p w:rsidR="00E67E7B" w:rsidRPr="00020EB7" w:rsidRDefault="00E67E7B" w:rsidP="005E3B54">
            <w:pPr>
              <w:spacing w:after="0" w:line="240" w:lineRule="auto"/>
              <w:jc w:val="center"/>
              <w:rPr>
                <w:rFonts w:ascii="Arial" w:hAnsi="Arial" w:cs="Arial"/>
                <w:b/>
                <w:color w:val="FFFFFF" w:themeColor="background1"/>
                <w:sz w:val="20"/>
                <w:lang w:val="es-419" w:eastAsia="es-BO"/>
              </w:rPr>
            </w:pPr>
            <w:r w:rsidRPr="00020EB7">
              <w:rPr>
                <w:rFonts w:ascii="Arial" w:hAnsi="Arial" w:cs="Arial"/>
                <w:b/>
                <w:color w:val="FFFFFF" w:themeColor="background1"/>
                <w:sz w:val="20"/>
                <w:lang w:val="es-419" w:eastAsia="es-BO"/>
              </w:rPr>
              <w:t xml:space="preserve">(millones de </w:t>
            </w:r>
            <w:r>
              <w:rPr>
                <w:rFonts w:ascii="Arial" w:hAnsi="Arial" w:cs="Arial"/>
                <w:b/>
                <w:color w:val="FFFFFF" w:themeColor="background1"/>
                <w:sz w:val="20"/>
                <w:lang w:val="es-419" w:eastAsia="es-BO"/>
              </w:rPr>
              <w:t>USD</w:t>
            </w:r>
            <w:r w:rsidRPr="00020EB7">
              <w:rPr>
                <w:rFonts w:ascii="Arial" w:hAnsi="Arial" w:cs="Arial"/>
                <w:b/>
                <w:color w:val="FFFFFF" w:themeColor="background1"/>
                <w:sz w:val="20"/>
                <w:lang w:val="es-419" w:eastAsia="es-BO"/>
              </w:rPr>
              <w:t>)</w:t>
            </w:r>
          </w:p>
        </w:tc>
      </w:tr>
      <w:tr w:rsidR="00E67E7B" w:rsidRPr="00020EB7" w:rsidTr="005E3B54">
        <w:trPr>
          <w:jc w:val="center"/>
        </w:trPr>
        <w:tc>
          <w:tcPr>
            <w:tcW w:w="2127" w:type="dxa"/>
          </w:tcPr>
          <w:p w:rsidR="00E67E7B" w:rsidRPr="00020EB7" w:rsidRDefault="00E67E7B" w:rsidP="005E3B54">
            <w:pPr>
              <w:spacing w:after="0" w:line="240" w:lineRule="auto"/>
              <w:jc w:val="both"/>
              <w:rPr>
                <w:rFonts w:ascii="Arial" w:hAnsi="Arial" w:cs="Arial"/>
                <w:sz w:val="20"/>
                <w:lang w:val="es-419" w:eastAsia="es-BO"/>
              </w:rPr>
            </w:pPr>
            <w:r w:rsidRPr="00020EB7">
              <w:rPr>
                <w:rFonts w:ascii="Arial" w:hAnsi="Arial" w:cs="Arial"/>
                <w:sz w:val="20"/>
                <w:lang w:val="es-419" w:eastAsia="es-BO"/>
              </w:rPr>
              <w:t>Calles y Avenidas</w:t>
            </w:r>
          </w:p>
        </w:tc>
        <w:tc>
          <w:tcPr>
            <w:tcW w:w="1559" w:type="dxa"/>
          </w:tcPr>
          <w:p w:rsidR="00E67E7B" w:rsidRPr="00020EB7" w:rsidRDefault="00E67E7B" w:rsidP="005E3B54">
            <w:pPr>
              <w:spacing w:after="0" w:line="240" w:lineRule="auto"/>
              <w:jc w:val="right"/>
              <w:rPr>
                <w:rFonts w:ascii="Arial" w:hAnsi="Arial" w:cs="Arial"/>
                <w:sz w:val="20"/>
                <w:lang w:val="es-419" w:eastAsia="es-BO"/>
              </w:rPr>
            </w:pPr>
            <w:r w:rsidRPr="00020EB7">
              <w:rPr>
                <w:rFonts w:ascii="Arial" w:hAnsi="Arial" w:cs="Arial"/>
                <w:sz w:val="20"/>
                <w:lang w:val="es-419" w:eastAsia="es-BO"/>
              </w:rPr>
              <w:t>28923</w:t>
            </w:r>
          </w:p>
        </w:tc>
        <w:tc>
          <w:tcPr>
            <w:tcW w:w="1980" w:type="dxa"/>
            <w:vAlign w:val="center"/>
          </w:tcPr>
          <w:p w:rsidR="00E67E7B" w:rsidRPr="00020EB7" w:rsidRDefault="00E67E7B" w:rsidP="005E3B54">
            <w:pPr>
              <w:spacing w:after="0" w:line="240" w:lineRule="auto"/>
              <w:jc w:val="right"/>
              <w:rPr>
                <w:rFonts w:ascii="Arial" w:hAnsi="Arial" w:cs="Arial"/>
                <w:sz w:val="20"/>
                <w:lang w:val="es-419" w:eastAsia="es-BO"/>
              </w:rPr>
            </w:pPr>
            <w:r>
              <w:rPr>
                <w:rFonts w:ascii="Arial" w:hAnsi="Arial" w:cs="Arial"/>
                <w:color w:val="000000"/>
                <w:sz w:val="22"/>
                <w:szCs w:val="22"/>
              </w:rPr>
              <w:t>12.550</w:t>
            </w:r>
          </w:p>
        </w:tc>
      </w:tr>
      <w:tr w:rsidR="00E67E7B" w:rsidRPr="00020EB7" w:rsidTr="005E3B54">
        <w:trPr>
          <w:jc w:val="center"/>
        </w:trPr>
        <w:tc>
          <w:tcPr>
            <w:tcW w:w="2127" w:type="dxa"/>
          </w:tcPr>
          <w:p w:rsidR="00E67E7B" w:rsidRPr="00020EB7" w:rsidRDefault="00E67E7B" w:rsidP="005E3B54">
            <w:pPr>
              <w:spacing w:after="0" w:line="240" w:lineRule="auto"/>
              <w:jc w:val="both"/>
              <w:rPr>
                <w:rFonts w:ascii="Arial" w:hAnsi="Arial" w:cs="Arial"/>
                <w:sz w:val="20"/>
                <w:lang w:val="es-419" w:eastAsia="es-BO"/>
              </w:rPr>
            </w:pPr>
            <w:r w:rsidRPr="00020EB7">
              <w:rPr>
                <w:rFonts w:ascii="Arial" w:hAnsi="Arial" w:cs="Arial"/>
                <w:sz w:val="20"/>
                <w:lang w:val="es-419" w:eastAsia="es-BO"/>
              </w:rPr>
              <w:t>Parques y plazas</w:t>
            </w:r>
          </w:p>
        </w:tc>
        <w:tc>
          <w:tcPr>
            <w:tcW w:w="1559" w:type="dxa"/>
          </w:tcPr>
          <w:p w:rsidR="00E67E7B" w:rsidRPr="00020EB7" w:rsidRDefault="00E67E7B" w:rsidP="005E3B54">
            <w:pPr>
              <w:spacing w:after="0" w:line="240" w:lineRule="auto"/>
              <w:jc w:val="right"/>
              <w:rPr>
                <w:rFonts w:ascii="Arial" w:hAnsi="Arial" w:cs="Arial"/>
                <w:sz w:val="20"/>
                <w:lang w:val="es-419" w:eastAsia="es-BO"/>
              </w:rPr>
            </w:pPr>
            <w:r w:rsidRPr="00020EB7">
              <w:rPr>
                <w:rFonts w:ascii="Arial" w:hAnsi="Arial" w:cs="Arial"/>
                <w:sz w:val="20"/>
                <w:lang w:val="es-419" w:eastAsia="es-BO"/>
              </w:rPr>
              <w:t>1916</w:t>
            </w:r>
          </w:p>
        </w:tc>
        <w:tc>
          <w:tcPr>
            <w:tcW w:w="1980" w:type="dxa"/>
            <w:vAlign w:val="center"/>
          </w:tcPr>
          <w:p w:rsidR="00E67E7B" w:rsidRPr="00020EB7" w:rsidRDefault="00E67E7B" w:rsidP="005E3B54">
            <w:pPr>
              <w:spacing w:after="0" w:line="240" w:lineRule="auto"/>
              <w:jc w:val="right"/>
              <w:rPr>
                <w:rFonts w:ascii="Arial" w:hAnsi="Arial" w:cs="Arial"/>
                <w:sz w:val="20"/>
                <w:lang w:val="es-419" w:eastAsia="es-BO"/>
              </w:rPr>
            </w:pPr>
            <w:r>
              <w:rPr>
                <w:rFonts w:ascii="Arial" w:hAnsi="Arial" w:cs="Arial"/>
                <w:color w:val="000000"/>
                <w:sz w:val="22"/>
                <w:szCs w:val="22"/>
              </w:rPr>
              <w:t>1.250</w:t>
            </w:r>
          </w:p>
        </w:tc>
      </w:tr>
      <w:tr w:rsidR="00E67E7B" w:rsidRPr="00020EB7" w:rsidTr="005E3B54">
        <w:trPr>
          <w:jc w:val="center"/>
        </w:trPr>
        <w:tc>
          <w:tcPr>
            <w:tcW w:w="2127" w:type="dxa"/>
          </w:tcPr>
          <w:p w:rsidR="00E67E7B" w:rsidRPr="00020EB7" w:rsidRDefault="00E67E7B" w:rsidP="005E3B54">
            <w:pPr>
              <w:spacing w:after="0" w:line="240" w:lineRule="auto"/>
              <w:rPr>
                <w:rFonts w:ascii="Arial" w:hAnsi="Arial" w:cs="Arial"/>
                <w:b/>
                <w:sz w:val="20"/>
                <w:lang w:val="es-419" w:eastAsia="es-BO"/>
              </w:rPr>
            </w:pPr>
            <w:r w:rsidRPr="00020EB7">
              <w:rPr>
                <w:rFonts w:ascii="Arial" w:hAnsi="Arial" w:cs="Arial"/>
                <w:b/>
                <w:sz w:val="20"/>
                <w:lang w:val="es-419" w:eastAsia="es-BO"/>
              </w:rPr>
              <w:t>Total</w:t>
            </w:r>
          </w:p>
        </w:tc>
        <w:tc>
          <w:tcPr>
            <w:tcW w:w="1559" w:type="dxa"/>
          </w:tcPr>
          <w:p w:rsidR="00E67E7B" w:rsidRPr="00020EB7" w:rsidRDefault="00E67E7B" w:rsidP="005E3B54">
            <w:pPr>
              <w:spacing w:after="0" w:line="240" w:lineRule="auto"/>
              <w:jc w:val="right"/>
              <w:rPr>
                <w:rFonts w:ascii="Arial" w:hAnsi="Arial" w:cs="Arial"/>
                <w:b/>
                <w:sz w:val="20"/>
                <w:lang w:val="es-419" w:eastAsia="es-BO"/>
              </w:rPr>
            </w:pPr>
            <w:r w:rsidRPr="00020EB7">
              <w:rPr>
                <w:rFonts w:ascii="Arial" w:hAnsi="Arial" w:cs="Arial"/>
                <w:b/>
                <w:sz w:val="20"/>
                <w:lang w:val="es-419" w:eastAsia="es-BO"/>
              </w:rPr>
              <w:t>30839</w:t>
            </w:r>
          </w:p>
        </w:tc>
        <w:tc>
          <w:tcPr>
            <w:tcW w:w="1980" w:type="dxa"/>
            <w:vAlign w:val="center"/>
          </w:tcPr>
          <w:p w:rsidR="00E67E7B" w:rsidRPr="00020EB7" w:rsidRDefault="00E67E7B" w:rsidP="005E3B54">
            <w:pPr>
              <w:spacing w:after="0" w:line="240" w:lineRule="auto"/>
              <w:jc w:val="right"/>
              <w:rPr>
                <w:rFonts w:ascii="Arial" w:hAnsi="Arial" w:cs="Arial"/>
                <w:b/>
                <w:sz w:val="20"/>
                <w:lang w:val="es-419" w:eastAsia="es-BO"/>
              </w:rPr>
            </w:pPr>
            <w:r>
              <w:rPr>
                <w:rFonts w:ascii="Arial" w:hAnsi="Arial" w:cs="Arial"/>
                <w:b/>
                <w:bCs/>
                <w:color w:val="000000"/>
                <w:sz w:val="22"/>
                <w:szCs w:val="22"/>
              </w:rPr>
              <w:t>13.800</w:t>
            </w:r>
          </w:p>
        </w:tc>
      </w:tr>
    </w:tbl>
    <w:p w:rsidR="00E67E7B" w:rsidRPr="006C27FC" w:rsidRDefault="00E67E7B" w:rsidP="00E67E7B">
      <w:pPr>
        <w:jc w:val="both"/>
        <w:rPr>
          <w:rFonts w:ascii="Arial" w:hAnsi="Arial" w:cs="Arial"/>
          <w:lang w:val="es-419" w:eastAsia="es-BO"/>
        </w:rPr>
      </w:pPr>
    </w:p>
    <w:p w:rsidR="00E67E7B" w:rsidRPr="00BC256E" w:rsidRDefault="00E67E7B" w:rsidP="00E67E7B">
      <w:pPr>
        <w:pStyle w:val="ListParagraph"/>
        <w:numPr>
          <w:ilvl w:val="0"/>
          <w:numId w:val="12"/>
        </w:numPr>
        <w:ind w:left="720"/>
        <w:jc w:val="both"/>
        <w:rPr>
          <w:rFonts w:ascii="Arial" w:hAnsi="Arial" w:cs="Arial"/>
          <w:sz w:val="22"/>
          <w:lang w:val="es-419" w:eastAsia="es-BO"/>
        </w:rPr>
      </w:pPr>
      <w:r w:rsidRPr="00C81A60">
        <w:rPr>
          <w:rFonts w:ascii="Arial" w:hAnsi="Arial" w:cs="Arial"/>
          <w:sz w:val="22"/>
          <w:u w:val="single"/>
          <w:lang w:val="es-ES"/>
        </w:rPr>
        <w:t xml:space="preserve">Costo de inversión </w:t>
      </w:r>
      <w:r w:rsidR="00B030A9">
        <w:rPr>
          <w:rFonts w:ascii="Arial" w:hAnsi="Arial" w:cs="Arial"/>
          <w:sz w:val="22"/>
          <w:u w:val="single"/>
          <w:lang w:val="es-ES"/>
        </w:rPr>
        <w:t>Potosí</w:t>
      </w:r>
      <w:r>
        <w:rPr>
          <w:rFonts w:ascii="Arial" w:hAnsi="Arial" w:cs="Arial"/>
          <w:sz w:val="22"/>
          <w:lang w:val="es-ES"/>
        </w:rPr>
        <w:t xml:space="preserve">: </w:t>
      </w:r>
      <w:r>
        <w:rPr>
          <w:rFonts w:ascii="Arial" w:hAnsi="Arial" w:cs="Arial"/>
          <w:sz w:val="22"/>
          <w:lang w:val="es-419" w:eastAsia="es-BO"/>
        </w:rPr>
        <w:t>la</w:t>
      </w:r>
      <w:r w:rsidRPr="00C81A60">
        <w:rPr>
          <w:rFonts w:ascii="Arial" w:hAnsi="Arial" w:cs="Arial"/>
          <w:sz w:val="22"/>
          <w:lang w:val="es-419" w:eastAsia="es-BO"/>
        </w:rPr>
        <w:t xml:space="preserve"> inversión</w:t>
      </w:r>
      <w:r>
        <w:rPr>
          <w:rFonts w:ascii="Arial" w:hAnsi="Arial" w:cs="Arial"/>
          <w:sz w:val="22"/>
          <w:lang w:val="es-419" w:eastAsia="es-BO"/>
        </w:rPr>
        <w:t xml:space="preserve"> estimada para implementar las medidas e</w:t>
      </w:r>
      <w:r w:rsidRPr="00C81A60">
        <w:rPr>
          <w:rFonts w:ascii="Arial" w:hAnsi="Arial" w:cs="Arial"/>
          <w:sz w:val="22"/>
          <w:lang w:val="es-419" w:eastAsia="es-BO"/>
        </w:rPr>
        <w:t xml:space="preserve">ficientes </w:t>
      </w:r>
      <w:r>
        <w:rPr>
          <w:rFonts w:ascii="Arial" w:hAnsi="Arial" w:cs="Arial"/>
          <w:sz w:val="22"/>
          <w:lang w:val="es-419" w:eastAsia="es-BO"/>
        </w:rPr>
        <w:t>se muestra en la tabla 5.</w:t>
      </w:r>
    </w:p>
    <w:p w:rsidR="00E67E7B" w:rsidRDefault="00E67E7B" w:rsidP="00E67E7B">
      <w:pPr>
        <w:pStyle w:val="ListParagraph"/>
        <w:jc w:val="both"/>
        <w:rPr>
          <w:rFonts w:ascii="Arial" w:hAnsi="Arial" w:cs="Arial"/>
          <w:sz w:val="22"/>
          <w:u w:val="single"/>
          <w:lang w:val="es-ES"/>
        </w:rPr>
      </w:pPr>
    </w:p>
    <w:p w:rsidR="00E67E7B" w:rsidRDefault="00E67E7B" w:rsidP="00E67E7B">
      <w:pPr>
        <w:pStyle w:val="ListParagraph"/>
        <w:jc w:val="both"/>
        <w:rPr>
          <w:rFonts w:ascii="Arial" w:hAnsi="Arial" w:cs="Arial"/>
          <w:sz w:val="22"/>
          <w:lang w:val="es-419" w:eastAsia="es-BO"/>
        </w:rPr>
      </w:pPr>
    </w:p>
    <w:p w:rsidR="00E67E7B" w:rsidRDefault="00E67E7B" w:rsidP="00E67E7B">
      <w:pPr>
        <w:pStyle w:val="ListParagraph"/>
        <w:jc w:val="both"/>
        <w:rPr>
          <w:rFonts w:ascii="Arial" w:hAnsi="Arial" w:cs="Arial"/>
          <w:sz w:val="22"/>
          <w:lang w:val="es-419" w:eastAsia="es-BO"/>
        </w:rPr>
      </w:pPr>
    </w:p>
    <w:p w:rsidR="00E67E7B" w:rsidRPr="00A614F0" w:rsidRDefault="00E67E7B" w:rsidP="00E67E7B">
      <w:pPr>
        <w:pStyle w:val="ListParagraph"/>
        <w:spacing w:after="120"/>
        <w:ind w:left="357"/>
        <w:jc w:val="center"/>
        <w:rPr>
          <w:rFonts w:ascii="Arial" w:hAnsi="Arial" w:cs="Arial"/>
          <w:b/>
          <w:bCs/>
          <w:sz w:val="20"/>
          <w:lang w:val="es-419"/>
        </w:rPr>
      </w:pPr>
      <w:r w:rsidRPr="00A614F0">
        <w:rPr>
          <w:rFonts w:ascii="Arial" w:hAnsi="Arial" w:cs="Arial"/>
          <w:b/>
          <w:bCs/>
          <w:sz w:val="20"/>
          <w:lang w:val="es-419"/>
        </w:rPr>
        <w:t xml:space="preserve">Tabla 5: </w:t>
      </w:r>
      <w:r w:rsidRPr="00A614F0">
        <w:rPr>
          <w:rFonts w:ascii="Arial" w:hAnsi="Arial" w:cs="Arial"/>
          <w:bCs/>
          <w:sz w:val="20"/>
          <w:lang w:val="es-419"/>
        </w:rPr>
        <w:t xml:space="preserve">Costos de Inversión </w:t>
      </w:r>
      <w:r w:rsidR="00C94F48">
        <w:rPr>
          <w:rFonts w:ascii="Arial" w:hAnsi="Arial" w:cs="Arial"/>
          <w:bCs/>
          <w:sz w:val="20"/>
          <w:lang w:val="es-419"/>
        </w:rPr>
        <w:t>Potosí</w:t>
      </w:r>
    </w:p>
    <w:tbl>
      <w:tblPr>
        <w:tblStyle w:val="TableGrid"/>
        <w:tblW w:w="0" w:type="auto"/>
        <w:jc w:val="center"/>
        <w:tblLook w:val="04A0" w:firstRow="1" w:lastRow="0" w:firstColumn="1" w:lastColumn="0" w:noHBand="0" w:noVBand="1"/>
      </w:tblPr>
      <w:tblGrid>
        <w:gridCol w:w="2127"/>
        <w:gridCol w:w="1559"/>
        <w:gridCol w:w="1980"/>
      </w:tblGrid>
      <w:tr w:rsidR="00E67E7B" w:rsidRPr="00020EB7" w:rsidTr="005E3B54">
        <w:trPr>
          <w:jc w:val="center"/>
        </w:trPr>
        <w:tc>
          <w:tcPr>
            <w:tcW w:w="2127" w:type="dxa"/>
            <w:shd w:val="clear" w:color="auto" w:fill="006699"/>
            <w:vAlign w:val="center"/>
          </w:tcPr>
          <w:p w:rsidR="00E67E7B" w:rsidRPr="00020EB7" w:rsidRDefault="00E67E7B" w:rsidP="005E3B54">
            <w:pPr>
              <w:spacing w:after="0" w:line="240" w:lineRule="auto"/>
              <w:jc w:val="center"/>
              <w:rPr>
                <w:rFonts w:ascii="Arial" w:hAnsi="Arial" w:cs="Arial"/>
                <w:b/>
                <w:color w:val="FFFFFF" w:themeColor="background1"/>
                <w:sz w:val="20"/>
                <w:lang w:val="es-419" w:eastAsia="es-BO"/>
              </w:rPr>
            </w:pPr>
            <w:r w:rsidRPr="00020EB7">
              <w:rPr>
                <w:rFonts w:ascii="Arial" w:hAnsi="Arial" w:cs="Arial"/>
                <w:b/>
                <w:color w:val="FFFFFF" w:themeColor="background1"/>
                <w:sz w:val="20"/>
                <w:lang w:val="es-419" w:eastAsia="es-BO"/>
              </w:rPr>
              <w:t>Aplicación</w:t>
            </w:r>
          </w:p>
        </w:tc>
        <w:tc>
          <w:tcPr>
            <w:tcW w:w="1559" w:type="dxa"/>
            <w:shd w:val="clear" w:color="auto" w:fill="006699"/>
            <w:vAlign w:val="center"/>
          </w:tcPr>
          <w:p w:rsidR="00E67E7B" w:rsidRPr="00020EB7" w:rsidRDefault="00E67E7B" w:rsidP="005E3B54">
            <w:pPr>
              <w:spacing w:after="0" w:line="240" w:lineRule="auto"/>
              <w:jc w:val="center"/>
              <w:rPr>
                <w:rFonts w:ascii="Arial" w:hAnsi="Arial" w:cs="Arial"/>
                <w:b/>
                <w:color w:val="FFFFFF" w:themeColor="background1"/>
                <w:sz w:val="20"/>
                <w:lang w:val="es-419" w:eastAsia="es-BO"/>
              </w:rPr>
            </w:pPr>
            <w:r w:rsidRPr="00020EB7">
              <w:rPr>
                <w:rFonts w:ascii="Arial" w:hAnsi="Arial" w:cs="Arial"/>
                <w:b/>
                <w:color w:val="FFFFFF" w:themeColor="background1"/>
                <w:sz w:val="20"/>
                <w:lang w:val="es-419" w:eastAsia="es-BO"/>
              </w:rPr>
              <w:t>Cantidad</w:t>
            </w:r>
          </w:p>
        </w:tc>
        <w:tc>
          <w:tcPr>
            <w:tcW w:w="1980" w:type="dxa"/>
            <w:shd w:val="clear" w:color="auto" w:fill="006699"/>
          </w:tcPr>
          <w:p w:rsidR="00E67E7B" w:rsidRDefault="00E67E7B" w:rsidP="005E3B54">
            <w:pPr>
              <w:spacing w:after="0" w:line="240" w:lineRule="auto"/>
              <w:jc w:val="center"/>
              <w:rPr>
                <w:rFonts w:ascii="Arial" w:hAnsi="Arial" w:cs="Arial"/>
                <w:b/>
                <w:color w:val="FFFFFF" w:themeColor="background1"/>
                <w:sz w:val="20"/>
                <w:lang w:val="es-419" w:eastAsia="es-BO"/>
              </w:rPr>
            </w:pPr>
            <w:r w:rsidRPr="00020EB7">
              <w:rPr>
                <w:rFonts w:ascii="Arial" w:hAnsi="Arial" w:cs="Arial"/>
                <w:b/>
                <w:color w:val="FFFFFF" w:themeColor="background1"/>
                <w:sz w:val="20"/>
                <w:lang w:val="es-419" w:eastAsia="es-BO"/>
              </w:rPr>
              <w:t xml:space="preserve">Inversión </w:t>
            </w:r>
          </w:p>
          <w:p w:rsidR="00E67E7B" w:rsidRPr="00020EB7" w:rsidRDefault="00E67E7B" w:rsidP="005E3B54">
            <w:pPr>
              <w:spacing w:after="0" w:line="240" w:lineRule="auto"/>
              <w:jc w:val="center"/>
              <w:rPr>
                <w:rFonts w:ascii="Arial" w:hAnsi="Arial" w:cs="Arial"/>
                <w:b/>
                <w:color w:val="FFFFFF" w:themeColor="background1"/>
                <w:sz w:val="20"/>
                <w:lang w:val="es-419" w:eastAsia="es-BO"/>
              </w:rPr>
            </w:pPr>
            <w:r w:rsidRPr="00020EB7">
              <w:rPr>
                <w:rFonts w:ascii="Arial" w:hAnsi="Arial" w:cs="Arial"/>
                <w:b/>
                <w:color w:val="FFFFFF" w:themeColor="background1"/>
                <w:sz w:val="20"/>
                <w:lang w:val="es-419" w:eastAsia="es-BO"/>
              </w:rPr>
              <w:t xml:space="preserve">(millones de </w:t>
            </w:r>
            <w:r>
              <w:rPr>
                <w:rFonts w:ascii="Arial" w:hAnsi="Arial" w:cs="Arial"/>
                <w:b/>
                <w:color w:val="FFFFFF" w:themeColor="background1"/>
                <w:sz w:val="20"/>
                <w:lang w:val="es-419" w:eastAsia="es-BO"/>
              </w:rPr>
              <w:t>USD</w:t>
            </w:r>
            <w:r w:rsidRPr="00020EB7">
              <w:rPr>
                <w:rFonts w:ascii="Arial" w:hAnsi="Arial" w:cs="Arial"/>
                <w:b/>
                <w:color w:val="FFFFFF" w:themeColor="background1"/>
                <w:sz w:val="20"/>
                <w:lang w:val="es-419" w:eastAsia="es-BO"/>
              </w:rPr>
              <w:t>)</w:t>
            </w:r>
          </w:p>
        </w:tc>
      </w:tr>
      <w:tr w:rsidR="00E67E7B" w:rsidRPr="00C94F48" w:rsidTr="005E3B54">
        <w:trPr>
          <w:jc w:val="center"/>
        </w:trPr>
        <w:tc>
          <w:tcPr>
            <w:tcW w:w="2127" w:type="dxa"/>
          </w:tcPr>
          <w:p w:rsidR="00E67E7B" w:rsidRPr="00020EB7" w:rsidRDefault="00E67E7B" w:rsidP="005E3B54">
            <w:pPr>
              <w:spacing w:after="0" w:line="240" w:lineRule="auto"/>
              <w:jc w:val="both"/>
              <w:rPr>
                <w:rFonts w:ascii="Arial" w:hAnsi="Arial" w:cs="Arial"/>
                <w:sz w:val="20"/>
                <w:lang w:val="es-419" w:eastAsia="es-BO"/>
              </w:rPr>
            </w:pPr>
            <w:r w:rsidRPr="00020EB7">
              <w:rPr>
                <w:rFonts w:ascii="Arial" w:hAnsi="Arial" w:cs="Arial"/>
                <w:sz w:val="20"/>
                <w:lang w:val="es-419" w:eastAsia="es-BO"/>
              </w:rPr>
              <w:t>Calles y Avenidas</w:t>
            </w:r>
          </w:p>
        </w:tc>
        <w:tc>
          <w:tcPr>
            <w:tcW w:w="1559" w:type="dxa"/>
          </w:tcPr>
          <w:p w:rsidR="00E67E7B" w:rsidRPr="00020EB7" w:rsidRDefault="00BA2E52" w:rsidP="005E3B54">
            <w:pPr>
              <w:spacing w:after="0" w:line="240" w:lineRule="auto"/>
              <w:jc w:val="right"/>
              <w:rPr>
                <w:rFonts w:ascii="Arial" w:hAnsi="Arial" w:cs="Arial"/>
                <w:sz w:val="20"/>
                <w:lang w:val="es-419" w:eastAsia="es-BO"/>
              </w:rPr>
            </w:pPr>
            <w:r>
              <w:rPr>
                <w:rFonts w:ascii="Arial" w:hAnsi="Arial" w:cs="Arial"/>
                <w:sz w:val="20"/>
                <w:lang w:val="es-419" w:eastAsia="es-BO"/>
              </w:rPr>
              <w:t>7.574</w:t>
            </w:r>
          </w:p>
        </w:tc>
        <w:tc>
          <w:tcPr>
            <w:tcW w:w="1980" w:type="dxa"/>
          </w:tcPr>
          <w:p w:rsidR="00E67E7B" w:rsidRPr="00C94F48" w:rsidRDefault="00E67E7B" w:rsidP="005E3B54">
            <w:pPr>
              <w:spacing w:after="0" w:line="240" w:lineRule="auto"/>
              <w:jc w:val="right"/>
              <w:rPr>
                <w:rFonts w:ascii="Arial" w:hAnsi="Arial" w:cs="Arial"/>
                <w:sz w:val="20"/>
                <w:highlight w:val="yellow"/>
                <w:lang w:val="es-419" w:eastAsia="es-BO"/>
              </w:rPr>
            </w:pPr>
            <w:r w:rsidRPr="00BA2E52">
              <w:rPr>
                <w:rFonts w:ascii="Arial" w:hAnsi="Arial" w:cs="Arial"/>
                <w:sz w:val="20"/>
                <w:lang w:val="es-419" w:eastAsia="es-BO"/>
              </w:rPr>
              <w:t>2.</w:t>
            </w:r>
            <w:r w:rsidR="00BA2E52" w:rsidRPr="00BA2E52">
              <w:rPr>
                <w:rFonts w:ascii="Arial" w:hAnsi="Arial" w:cs="Arial"/>
                <w:sz w:val="20"/>
                <w:lang w:val="es-419" w:eastAsia="es-BO"/>
              </w:rPr>
              <w:t>480</w:t>
            </w:r>
          </w:p>
        </w:tc>
      </w:tr>
      <w:tr w:rsidR="00E67E7B" w:rsidRPr="00020EB7" w:rsidTr="005E3B54">
        <w:trPr>
          <w:jc w:val="center"/>
        </w:trPr>
        <w:tc>
          <w:tcPr>
            <w:tcW w:w="2127" w:type="dxa"/>
          </w:tcPr>
          <w:p w:rsidR="00E67E7B" w:rsidRPr="00020EB7" w:rsidRDefault="00E67E7B" w:rsidP="005E3B54">
            <w:pPr>
              <w:spacing w:after="0" w:line="240" w:lineRule="auto"/>
              <w:rPr>
                <w:rFonts w:ascii="Arial" w:hAnsi="Arial" w:cs="Arial"/>
                <w:b/>
                <w:sz w:val="20"/>
                <w:lang w:val="es-419" w:eastAsia="es-BO"/>
              </w:rPr>
            </w:pPr>
            <w:r w:rsidRPr="00020EB7">
              <w:rPr>
                <w:rFonts w:ascii="Arial" w:hAnsi="Arial" w:cs="Arial"/>
                <w:b/>
                <w:sz w:val="20"/>
                <w:lang w:val="es-419" w:eastAsia="es-BO"/>
              </w:rPr>
              <w:t>Total</w:t>
            </w:r>
          </w:p>
        </w:tc>
        <w:tc>
          <w:tcPr>
            <w:tcW w:w="1559" w:type="dxa"/>
          </w:tcPr>
          <w:p w:rsidR="00E67E7B" w:rsidRPr="00020EB7" w:rsidRDefault="00BA2E52" w:rsidP="005E3B54">
            <w:pPr>
              <w:spacing w:after="0" w:line="240" w:lineRule="auto"/>
              <w:jc w:val="right"/>
              <w:rPr>
                <w:rFonts w:ascii="Arial" w:hAnsi="Arial" w:cs="Arial"/>
                <w:b/>
                <w:sz w:val="20"/>
                <w:lang w:val="es-419" w:eastAsia="es-BO"/>
              </w:rPr>
            </w:pPr>
            <w:r>
              <w:rPr>
                <w:rFonts w:ascii="Arial" w:hAnsi="Arial" w:cs="Arial"/>
                <w:b/>
                <w:sz w:val="20"/>
                <w:lang w:val="es-419" w:eastAsia="es-BO"/>
              </w:rPr>
              <w:t>7.574</w:t>
            </w:r>
          </w:p>
        </w:tc>
        <w:tc>
          <w:tcPr>
            <w:tcW w:w="1980" w:type="dxa"/>
          </w:tcPr>
          <w:p w:rsidR="00E67E7B" w:rsidRPr="00020EB7" w:rsidRDefault="00E67E7B" w:rsidP="005E3B54">
            <w:pPr>
              <w:spacing w:after="0" w:line="240" w:lineRule="auto"/>
              <w:jc w:val="right"/>
              <w:rPr>
                <w:rFonts w:ascii="Arial" w:hAnsi="Arial" w:cs="Arial"/>
                <w:b/>
                <w:sz w:val="20"/>
                <w:lang w:val="es-419" w:eastAsia="es-BO"/>
              </w:rPr>
            </w:pPr>
            <w:r>
              <w:rPr>
                <w:rFonts w:ascii="Arial" w:hAnsi="Arial" w:cs="Arial"/>
                <w:b/>
                <w:sz w:val="20"/>
                <w:lang w:val="es-419" w:eastAsia="es-BO"/>
              </w:rPr>
              <w:t>2.48</w:t>
            </w:r>
            <w:r w:rsidR="00BA2E52">
              <w:rPr>
                <w:rFonts w:ascii="Arial" w:hAnsi="Arial" w:cs="Arial"/>
                <w:b/>
                <w:sz w:val="20"/>
                <w:lang w:val="es-419" w:eastAsia="es-BO"/>
              </w:rPr>
              <w:t>0</w:t>
            </w:r>
          </w:p>
        </w:tc>
      </w:tr>
    </w:tbl>
    <w:p w:rsidR="00E67E7B" w:rsidRDefault="00E67E7B" w:rsidP="00E67E7B">
      <w:pPr>
        <w:jc w:val="both"/>
        <w:rPr>
          <w:rFonts w:ascii="Arial" w:hAnsi="Arial" w:cs="Arial"/>
          <w:lang w:val="es-419" w:eastAsia="es-BO"/>
        </w:rPr>
      </w:pPr>
    </w:p>
    <w:p w:rsidR="00E67E7B" w:rsidRDefault="00E67E7B" w:rsidP="00E67E7B">
      <w:pPr>
        <w:pStyle w:val="ListParagraph"/>
        <w:numPr>
          <w:ilvl w:val="0"/>
          <w:numId w:val="9"/>
        </w:numPr>
        <w:ind w:left="720"/>
        <w:jc w:val="both"/>
        <w:rPr>
          <w:rFonts w:ascii="Arial" w:hAnsi="Arial" w:cs="Arial"/>
          <w:sz w:val="22"/>
          <w:lang w:val="es-ES"/>
        </w:rPr>
      </w:pPr>
      <w:r w:rsidRPr="00C81A60">
        <w:rPr>
          <w:rFonts w:ascii="Arial" w:hAnsi="Arial" w:cs="Arial"/>
          <w:sz w:val="22"/>
          <w:u w:val="single"/>
          <w:lang w:val="es-ES"/>
        </w:rPr>
        <w:lastRenderedPageBreak/>
        <w:t xml:space="preserve">Costo de </w:t>
      </w:r>
      <w:r>
        <w:rPr>
          <w:rFonts w:ascii="Arial" w:hAnsi="Arial" w:cs="Arial"/>
          <w:sz w:val="22"/>
          <w:u w:val="single"/>
          <w:lang w:val="es-ES"/>
        </w:rPr>
        <w:t>cambio de lámparas de NA y balastos</w:t>
      </w:r>
      <w:r>
        <w:rPr>
          <w:rFonts w:ascii="Arial" w:hAnsi="Arial" w:cs="Arial"/>
          <w:sz w:val="22"/>
          <w:lang w:val="es-ES"/>
        </w:rPr>
        <w:t xml:space="preserve">: costo medio de la sustitución de cada lámpara de NA: 9.6 USD y </w:t>
      </w:r>
      <w:r w:rsidRPr="00C81A60">
        <w:rPr>
          <w:rFonts w:ascii="Arial" w:hAnsi="Arial" w:cs="Arial"/>
          <w:sz w:val="22"/>
          <w:lang w:val="es-ES"/>
        </w:rPr>
        <w:t>costo</w:t>
      </w:r>
      <w:r>
        <w:rPr>
          <w:rFonts w:ascii="Arial" w:hAnsi="Arial" w:cs="Arial"/>
          <w:sz w:val="22"/>
          <w:lang w:val="es-ES"/>
        </w:rPr>
        <w:t xml:space="preserve"> medio de la sustitución de cada balasto de NA: 14.8 USD</w:t>
      </w:r>
      <w:r>
        <w:rPr>
          <w:rStyle w:val="FootnoteReference"/>
          <w:rFonts w:ascii="Arial" w:hAnsi="Arial" w:cs="Arial"/>
          <w:sz w:val="22"/>
          <w:lang w:val="es-ES"/>
        </w:rPr>
        <w:footnoteReference w:id="6"/>
      </w:r>
      <w:r w:rsidRPr="00110801">
        <w:rPr>
          <w:rFonts w:ascii="Arial" w:hAnsi="Arial" w:cs="Arial"/>
          <w:sz w:val="22"/>
          <w:lang w:val="es-ES"/>
        </w:rPr>
        <w:t>.</w:t>
      </w:r>
    </w:p>
    <w:p w:rsidR="00E67E7B" w:rsidRDefault="00E67E7B" w:rsidP="00E67E7B">
      <w:pPr>
        <w:ind w:left="360"/>
        <w:jc w:val="both"/>
        <w:rPr>
          <w:rFonts w:ascii="Arial" w:hAnsi="Arial" w:cs="Arial"/>
          <w:lang w:val="es-ES"/>
        </w:rPr>
      </w:pPr>
    </w:p>
    <w:p w:rsidR="00E67E7B" w:rsidRDefault="00E67E7B" w:rsidP="00E67E7B">
      <w:pPr>
        <w:ind w:left="360"/>
        <w:jc w:val="both"/>
        <w:rPr>
          <w:rFonts w:ascii="Arial" w:hAnsi="Arial" w:cs="Arial"/>
          <w:lang w:val="es-ES"/>
        </w:rPr>
      </w:pPr>
      <w:r>
        <w:rPr>
          <w:rFonts w:ascii="Arial" w:hAnsi="Arial" w:cs="Arial"/>
          <w:lang w:val="es-ES"/>
        </w:rPr>
        <w:t>En todos los costos</w:t>
      </w:r>
      <w:r>
        <w:rPr>
          <w:rStyle w:val="FootnoteReference"/>
          <w:rFonts w:ascii="Arial" w:hAnsi="Arial" w:cs="Arial"/>
          <w:lang w:val="es-ES"/>
        </w:rPr>
        <w:footnoteReference w:id="7"/>
      </w:r>
      <w:r>
        <w:rPr>
          <w:rFonts w:ascii="Arial" w:hAnsi="Arial" w:cs="Arial"/>
          <w:lang w:val="es-ES"/>
        </w:rPr>
        <w:t xml:space="preserve"> anteriores se utilizaron las razones de precio cuenta de eficiencia mostrada en la siguiente tabla:</w:t>
      </w:r>
    </w:p>
    <w:tbl>
      <w:tblPr>
        <w:tblStyle w:val="Tablaconcuadrcula1"/>
        <w:tblW w:w="5529" w:type="dxa"/>
        <w:jc w:val="center"/>
        <w:tblLook w:val="04A0" w:firstRow="1" w:lastRow="0" w:firstColumn="1" w:lastColumn="0" w:noHBand="0" w:noVBand="1"/>
      </w:tblPr>
      <w:tblGrid>
        <w:gridCol w:w="3970"/>
        <w:gridCol w:w="1559"/>
      </w:tblGrid>
      <w:tr w:rsidR="00E67E7B" w:rsidRPr="00D42463" w:rsidTr="005E3B54">
        <w:trPr>
          <w:trHeight w:val="290"/>
          <w:jc w:val="center"/>
        </w:trPr>
        <w:tc>
          <w:tcPr>
            <w:tcW w:w="3970" w:type="dxa"/>
            <w:noWrap/>
            <w:hideMark/>
          </w:tcPr>
          <w:p w:rsidR="00E67E7B" w:rsidRPr="00D42463" w:rsidRDefault="00E67E7B" w:rsidP="005E3B54">
            <w:pPr>
              <w:spacing w:after="0" w:line="240" w:lineRule="auto"/>
              <w:rPr>
                <w:rFonts w:ascii="Arial" w:hAnsi="Arial" w:cs="Arial"/>
                <w:color w:val="000000"/>
                <w:lang w:val="es-419" w:eastAsia="es-419"/>
              </w:rPr>
            </w:pPr>
            <w:r w:rsidRPr="00D42463">
              <w:rPr>
                <w:rFonts w:ascii="Arial" w:hAnsi="Arial" w:cs="Arial"/>
                <w:color w:val="000000"/>
                <w:lang w:val="es-419" w:eastAsia="es-419"/>
              </w:rPr>
              <w:t>RPC Divisa</w:t>
            </w:r>
          </w:p>
        </w:tc>
        <w:tc>
          <w:tcPr>
            <w:tcW w:w="1559" w:type="dxa"/>
            <w:noWrap/>
            <w:hideMark/>
          </w:tcPr>
          <w:p w:rsidR="00E67E7B" w:rsidRPr="00D42463" w:rsidRDefault="00E67E7B" w:rsidP="005E3B54">
            <w:pPr>
              <w:spacing w:after="0" w:line="240" w:lineRule="auto"/>
              <w:jc w:val="center"/>
              <w:rPr>
                <w:rFonts w:ascii="Arial" w:hAnsi="Arial" w:cs="Arial"/>
                <w:color w:val="000000"/>
                <w:lang w:val="es-419" w:eastAsia="es-419"/>
              </w:rPr>
            </w:pPr>
            <w:r w:rsidRPr="00D42463">
              <w:rPr>
                <w:rFonts w:ascii="Arial" w:hAnsi="Arial" w:cs="Arial"/>
                <w:color w:val="000000"/>
                <w:lang w:val="es-419" w:eastAsia="es-419"/>
              </w:rPr>
              <w:t>1.24</w:t>
            </w:r>
          </w:p>
        </w:tc>
      </w:tr>
      <w:tr w:rsidR="00E67E7B" w:rsidRPr="00D42463" w:rsidTr="005E3B54">
        <w:trPr>
          <w:trHeight w:val="290"/>
          <w:jc w:val="center"/>
        </w:trPr>
        <w:tc>
          <w:tcPr>
            <w:tcW w:w="3970" w:type="dxa"/>
            <w:noWrap/>
            <w:hideMark/>
          </w:tcPr>
          <w:p w:rsidR="00E67E7B" w:rsidRPr="00D42463" w:rsidRDefault="00E67E7B" w:rsidP="005E3B54">
            <w:pPr>
              <w:spacing w:after="0" w:line="240" w:lineRule="auto"/>
              <w:rPr>
                <w:rFonts w:ascii="Arial" w:hAnsi="Arial" w:cs="Arial"/>
                <w:color w:val="000000"/>
                <w:lang w:val="es-419" w:eastAsia="es-419"/>
              </w:rPr>
            </w:pPr>
            <w:r w:rsidRPr="00D42463">
              <w:rPr>
                <w:rFonts w:ascii="Arial" w:hAnsi="Arial" w:cs="Arial"/>
                <w:color w:val="000000"/>
                <w:lang w:val="es-419" w:eastAsia="es-419"/>
              </w:rPr>
              <w:t>RPC Mano de obra calificada</w:t>
            </w:r>
          </w:p>
        </w:tc>
        <w:tc>
          <w:tcPr>
            <w:tcW w:w="1559" w:type="dxa"/>
            <w:noWrap/>
            <w:hideMark/>
          </w:tcPr>
          <w:p w:rsidR="00E67E7B" w:rsidRPr="00D42463" w:rsidRDefault="00E67E7B" w:rsidP="005E3B54">
            <w:pPr>
              <w:spacing w:after="0" w:line="240" w:lineRule="auto"/>
              <w:jc w:val="center"/>
              <w:rPr>
                <w:rFonts w:ascii="Arial" w:hAnsi="Arial" w:cs="Arial"/>
                <w:color w:val="000000"/>
                <w:lang w:val="es-419" w:eastAsia="es-419"/>
              </w:rPr>
            </w:pPr>
            <w:r w:rsidRPr="00D42463">
              <w:rPr>
                <w:rFonts w:ascii="Arial" w:hAnsi="Arial" w:cs="Arial"/>
                <w:color w:val="000000"/>
                <w:lang w:val="es-419" w:eastAsia="es-419"/>
              </w:rPr>
              <w:t>1.00</w:t>
            </w:r>
          </w:p>
        </w:tc>
      </w:tr>
      <w:tr w:rsidR="00E67E7B" w:rsidRPr="00D42463" w:rsidTr="005E3B54">
        <w:trPr>
          <w:trHeight w:val="290"/>
          <w:jc w:val="center"/>
        </w:trPr>
        <w:tc>
          <w:tcPr>
            <w:tcW w:w="3970" w:type="dxa"/>
            <w:noWrap/>
            <w:hideMark/>
          </w:tcPr>
          <w:p w:rsidR="00E67E7B" w:rsidRPr="00D42463" w:rsidRDefault="00E67E7B" w:rsidP="005E3B54">
            <w:pPr>
              <w:spacing w:after="0" w:line="240" w:lineRule="auto"/>
              <w:rPr>
                <w:rFonts w:ascii="Arial" w:hAnsi="Arial" w:cs="Arial"/>
                <w:color w:val="000000"/>
                <w:lang w:val="es-419" w:eastAsia="es-419"/>
              </w:rPr>
            </w:pPr>
            <w:r w:rsidRPr="00D42463">
              <w:rPr>
                <w:rFonts w:ascii="Arial" w:hAnsi="Arial" w:cs="Arial"/>
                <w:color w:val="000000"/>
                <w:lang w:val="es-419" w:eastAsia="es-419"/>
              </w:rPr>
              <w:t>RPC Mano de obra semicalificada</w:t>
            </w:r>
          </w:p>
        </w:tc>
        <w:tc>
          <w:tcPr>
            <w:tcW w:w="1559" w:type="dxa"/>
            <w:noWrap/>
            <w:hideMark/>
          </w:tcPr>
          <w:p w:rsidR="00E67E7B" w:rsidRPr="00D42463" w:rsidRDefault="00E67E7B" w:rsidP="005E3B54">
            <w:pPr>
              <w:spacing w:after="0" w:line="240" w:lineRule="auto"/>
              <w:jc w:val="center"/>
              <w:rPr>
                <w:rFonts w:ascii="Arial" w:hAnsi="Arial" w:cs="Arial"/>
                <w:color w:val="000000"/>
                <w:lang w:val="es-419" w:eastAsia="es-419"/>
              </w:rPr>
            </w:pPr>
            <w:r w:rsidRPr="00D42463">
              <w:rPr>
                <w:rFonts w:ascii="Arial" w:hAnsi="Arial" w:cs="Arial"/>
                <w:color w:val="000000"/>
                <w:lang w:val="es-419" w:eastAsia="es-419"/>
              </w:rPr>
              <w:t>0.43</w:t>
            </w:r>
          </w:p>
        </w:tc>
      </w:tr>
      <w:tr w:rsidR="00E67E7B" w:rsidRPr="00D42463" w:rsidTr="005E3B54">
        <w:trPr>
          <w:trHeight w:val="290"/>
          <w:jc w:val="center"/>
        </w:trPr>
        <w:tc>
          <w:tcPr>
            <w:tcW w:w="3970" w:type="dxa"/>
            <w:noWrap/>
            <w:hideMark/>
          </w:tcPr>
          <w:p w:rsidR="00E67E7B" w:rsidRPr="00D42463" w:rsidRDefault="00E67E7B" w:rsidP="005E3B54">
            <w:pPr>
              <w:spacing w:after="0" w:line="240" w:lineRule="auto"/>
              <w:rPr>
                <w:rFonts w:ascii="Arial" w:hAnsi="Arial" w:cs="Arial"/>
                <w:color w:val="000000"/>
                <w:lang w:val="es-419" w:eastAsia="es-419"/>
              </w:rPr>
            </w:pPr>
            <w:r w:rsidRPr="00D42463">
              <w:rPr>
                <w:rFonts w:ascii="Arial" w:hAnsi="Arial" w:cs="Arial"/>
                <w:color w:val="000000"/>
                <w:lang w:val="es-419" w:eastAsia="es-419"/>
              </w:rPr>
              <w:t>RPC Mano de obra no calificada urbana</w:t>
            </w:r>
          </w:p>
        </w:tc>
        <w:tc>
          <w:tcPr>
            <w:tcW w:w="1559" w:type="dxa"/>
            <w:noWrap/>
            <w:hideMark/>
          </w:tcPr>
          <w:p w:rsidR="00E67E7B" w:rsidRPr="00D42463" w:rsidRDefault="00E67E7B" w:rsidP="005E3B54">
            <w:pPr>
              <w:spacing w:after="0" w:line="240" w:lineRule="auto"/>
              <w:jc w:val="center"/>
              <w:rPr>
                <w:rFonts w:ascii="Arial" w:hAnsi="Arial" w:cs="Arial"/>
                <w:color w:val="000000"/>
                <w:lang w:val="es-419" w:eastAsia="es-419"/>
              </w:rPr>
            </w:pPr>
            <w:r w:rsidRPr="00D42463">
              <w:rPr>
                <w:rFonts w:ascii="Arial" w:hAnsi="Arial" w:cs="Arial"/>
                <w:color w:val="000000"/>
                <w:lang w:val="es-419" w:eastAsia="es-419"/>
              </w:rPr>
              <w:t>0.23</w:t>
            </w:r>
          </w:p>
        </w:tc>
      </w:tr>
      <w:tr w:rsidR="00E67E7B" w:rsidRPr="00D42463" w:rsidTr="005E3B54">
        <w:trPr>
          <w:trHeight w:val="290"/>
          <w:jc w:val="center"/>
        </w:trPr>
        <w:tc>
          <w:tcPr>
            <w:tcW w:w="3970" w:type="dxa"/>
            <w:noWrap/>
            <w:hideMark/>
          </w:tcPr>
          <w:p w:rsidR="00E67E7B" w:rsidRPr="00D42463" w:rsidRDefault="00E67E7B" w:rsidP="005E3B54">
            <w:pPr>
              <w:spacing w:after="0" w:line="240" w:lineRule="auto"/>
              <w:rPr>
                <w:rFonts w:ascii="Arial" w:hAnsi="Arial" w:cs="Arial"/>
                <w:color w:val="000000"/>
                <w:lang w:val="es-419" w:eastAsia="es-419"/>
              </w:rPr>
            </w:pPr>
            <w:r w:rsidRPr="00D42463">
              <w:rPr>
                <w:rFonts w:ascii="Arial" w:hAnsi="Arial" w:cs="Arial"/>
                <w:color w:val="000000"/>
                <w:lang w:val="es-419" w:eastAsia="es-419"/>
              </w:rPr>
              <w:t>RPC Mano de obra no calificada rural</w:t>
            </w:r>
          </w:p>
        </w:tc>
        <w:tc>
          <w:tcPr>
            <w:tcW w:w="1559" w:type="dxa"/>
            <w:noWrap/>
            <w:hideMark/>
          </w:tcPr>
          <w:p w:rsidR="00E67E7B" w:rsidRPr="00D42463" w:rsidRDefault="00E67E7B" w:rsidP="005E3B54">
            <w:pPr>
              <w:spacing w:after="0" w:line="240" w:lineRule="auto"/>
              <w:jc w:val="center"/>
              <w:rPr>
                <w:rFonts w:ascii="Arial" w:hAnsi="Arial" w:cs="Arial"/>
                <w:color w:val="000000"/>
                <w:lang w:val="es-419" w:eastAsia="es-419"/>
              </w:rPr>
            </w:pPr>
            <w:r w:rsidRPr="00D42463">
              <w:rPr>
                <w:rFonts w:ascii="Arial" w:hAnsi="Arial" w:cs="Arial"/>
                <w:color w:val="000000"/>
                <w:lang w:val="es-419" w:eastAsia="es-419"/>
              </w:rPr>
              <w:t>0.47</w:t>
            </w:r>
          </w:p>
        </w:tc>
      </w:tr>
      <w:tr w:rsidR="00E67E7B" w:rsidRPr="00D42463" w:rsidTr="005E3B54">
        <w:trPr>
          <w:trHeight w:val="290"/>
          <w:jc w:val="center"/>
        </w:trPr>
        <w:tc>
          <w:tcPr>
            <w:tcW w:w="3970" w:type="dxa"/>
            <w:noWrap/>
            <w:hideMark/>
          </w:tcPr>
          <w:p w:rsidR="00E67E7B" w:rsidRPr="00D42463" w:rsidRDefault="00E67E7B" w:rsidP="005E3B54">
            <w:pPr>
              <w:spacing w:after="0" w:line="240" w:lineRule="auto"/>
              <w:rPr>
                <w:rFonts w:ascii="Arial" w:hAnsi="Arial" w:cs="Arial"/>
                <w:color w:val="000000"/>
                <w:lang w:val="es-419" w:eastAsia="es-419"/>
              </w:rPr>
            </w:pPr>
            <w:r w:rsidRPr="00D42463">
              <w:rPr>
                <w:rFonts w:ascii="Arial" w:hAnsi="Arial" w:cs="Arial"/>
                <w:color w:val="000000"/>
                <w:lang w:val="es-419" w:eastAsia="es-419"/>
              </w:rPr>
              <w:t>RPC Gastos Generales</w:t>
            </w:r>
          </w:p>
        </w:tc>
        <w:tc>
          <w:tcPr>
            <w:tcW w:w="1559" w:type="dxa"/>
            <w:noWrap/>
            <w:hideMark/>
          </w:tcPr>
          <w:p w:rsidR="00E67E7B" w:rsidRPr="00D42463" w:rsidRDefault="00E67E7B" w:rsidP="005E3B54">
            <w:pPr>
              <w:spacing w:after="0" w:line="240" w:lineRule="auto"/>
              <w:jc w:val="center"/>
              <w:rPr>
                <w:rFonts w:ascii="Arial" w:hAnsi="Arial" w:cs="Arial"/>
                <w:color w:val="000000"/>
                <w:lang w:val="es-419" w:eastAsia="es-419"/>
              </w:rPr>
            </w:pPr>
            <w:r w:rsidRPr="00D42463">
              <w:rPr>
                <w:rFonts w:ascii="Arial" w:hAnsi="Arial" w:cs="Arial"/>
                <w:color w:val="000000"/>
                <w:lang w:val="es-419" w:eastAsia="es-419"/>
              </w:rPr>
              <w:t>1.00</w:t>
            </w:r>
          </w:p>
        </w:tc>
      </w:tr>
      <w:tr w:rsidR="00E67E7B" w:rsidRPr="00D42463" w:rsidTr="005E3B54">
        <w:trPr>
          <w:trHeight w:val="290"/>
          <w:jc w:val="center"/>
        </w:trPr>
        <w:tc>
          <w:tcPr>
            <w:tcW w:w="3970" w:type="dxa"/>
            <w:noWrap/>
            <w:hideMark/>
          </w:tcPr>
          <w:p w:rsidR="00E67E7B" w:rsidRPr="00D42463" w:rsidRDefault="00E67E7B" w:rsidP="005E3B54">
            <w:pPr>
              <w:spacing w:after="0" w:line="240" w:lineRule="auto"/>
              <w:rPr>
                <w:rFonts w:ascii="Arial" w:hAnsi="Arial" w:cs="Arial"/>
                <w:color w:val="000000"/>
                <w:lang w:val="es-419" w:eastAsia="es-419"/>
              </w:rPr>
            </w:pPr>
            <w:r w:rsidRPr="00D42463">
              <w:rPr>
                <w:rFonts w:ascii="Arial" w:hAnsi="Arial" w:cs="Arial"/>
                <w:color w:val="000000"/>
                <w:lang w:val="es-419" w:eastAsia="es-419"/>
              </w:rPr>
              <w:t>RPC Impuestos y Transferencia</w:t>
            </w:r>
          </w:p>
        </w:tc>
        <w:tc>
          <w:tcPr>
            <w:tcW w:w="1559" w:type="dxa"/>
            <w:noWrap/>
            <w:hideMark/>
          </w:tcPr>
          <w:p w:rsidR="00E67E7B" w:rsidRPr="00D42463" w:rsidRDefault="00E67E7B" w:rsidP="005E3B54">
            <w:pPr>
              <w:spacing w:after="0" w:line="240" w:lineRule="auto"/>
              <w:jc w:val="center"/>
              <w:rPr>
                <w:rFonts w:ascii="Arial" w:hAnsi="Arial" w:cs="Arial"/>
                <w:color w:val="000000"/>
                <w:lang w:val="es-419" w:eastAsia="es-419"/>
              </w:rPr>
            </w:pPr>
            <w:r w:rsidRPr="00D42463">
              <w:rPr>
                <w:rFonts w:ascii="Arial" w:hAnsi="Arial" w:cs="Arial"/>
                <w:color w:val="000000"/>
                <w:lang w:val="es-419" w:eastAsia="es-419"/>
              </w:rPr>
              <w:t>0.00</w:t>
            </w:r>
          </w:p>
        </w:tc>
      </w:tr>
    </w:tbl>
    <w:p w:rsidR="00E67E7B" w:rsidRDefault="00E67E7B" w:rsidP="00E67E7B">
      <w:pPr>
        <w:spacing w:after="0" w:line="240" w:lineRule="auto"/>
        <w:jc w:val="both"/>
        <w:rPr>
          <w:rFonts w:ascii="Arial" w:hAnsi="Arial" w:cs="Arial"/>
          <w:sz w:val="18"/>
          <w:szCs w:val="24"/>
          <w:lang w:val="es-ES"/>
        </w:rPr>
      </w:pPr>
      <w:r w:rsidRPr="00BE158B">
        <w:rPr>
          <w:rFonts w:ascii="Arial" w:hAnsi="Arial" w:cs="Arial"/>
          <w:sz w:val="18"/>
          <w:szCs w:val="24"/>
          <w:lang w:val="es-ES"/>
        </w:rPr>
        <w:tab/>
      </w:r>
      <w:r w:rsidRPr="00BE158B">
        <w:rPr>
          <w:rFonts w:ascii="Arial" w:hAnsi="Arial" w:cs="Arial"/>
          <w:sz w:val="18"/>
          <w:szCs w:val="24"/>
          <w:lang w:val="es-ES"/>
        </w:rPr>
        <w:tab/>
      </w:r>
      <w:r>
        <w:rPr>
          <w:rFonts w:ascii="Arial" w:hAnsi="Arial" w:cs="Arial"/>
          <w:sz w:val="18"/>
          <w:szCs w:val="24"/>
          <w:lang w:val="es-ES"/>
        </w:rPr>
        <w:t xml:space="preserve">          </w:t>
      </w:r>
      <w:r w:rsidRPr="005D5331">
        <w:rPr>
          <w:rFonts w:ascii="Arial" w:hAnsi="Arial" w:cs="Arial"/>
          <w:b/>
          <w:sz w:val="18"/>
          <w:szCs w:val="24"/>
          <w:lang w:val="es-ES"/>
        </w:rPr>
        <w:t>Fuente</w:t>
      </w:r>
      <w:r w:rsidRPr="005D5331">
        <w:rPr>
          <w:rFonts w:ascii="Arial" w:hAnsi="Arial" w:cs="Arial"/>
          <w:sz w:val="18"/>
          <w:szCs w:val="24"/>
          <w:lang w:val="es-ES"/>
        </w:rPr>
        <w:t>: Viceministerio de Inversión Pública y Financiamiento Externo (VIPFE)</w:t>
      </w:r>
      <w:r w:rsidRPr="00BE158B">
        <w:rPr>
          <w:rFonts w:ascii="Arial" w:hAnsi="Arial" w:cs="Arial"/>
          <w:sz w:val="18"/>
          <w:szCs w:val="24"/>
          <w:lang w:val="es-ES"/>
        </w:rPr>
        <w:t xml:space="preserve"> </w:t>
      </w:r>
    </w:p>
    <w:p w:rsidR="00E67E7B" w:rsidRDefault="00E67E7B" w:rsidP="00E67E7B">
      <w:pPr>
        <w:spacing w:after="0" w:line="240" w:lineRule="auto"/>
        <w:jc w:val="both"/>
        <w:rPr>
          <w:rFonts w:ascii="Arial" w:hAnsi="Arial" w:cs="Arial"/>
          <w:sz w:val="18"/>
          <w:szCs w:val="24"/>
          <w:lang w:val="es-ES"/>
        </w:rPr>
      </w:pPr>
    </w:p>
    <w:p w:rsidR="00E67E7B" w:rsidRDefault="00E67E7B" w:rsidP="00E67E7B">
      <w:pPr>
        <w:spacing w:after="0" w:line="240" w:lineRule="auto"/>
        <w:jc w:val="both"/>
        <w:rPr>
          <w:rFonts w:ascii="Arial" w:hAnsi="Arial" w:cs="Arial"/>
          <w:sz w:val="18"/>
          <w:szCs w:val="24"/>
          <w:lang w:val="es-ES"/>
        </w:rPr>
      </w:pPr>
    </w:p>
    <w:p w:rsidR="00E67E7B" w:rsidRDefault="00E67E7B" w:rsidP="00E67E7B">
      <w:pPr>
        <w:spacing w:after="0" w:line="240" w:lineRule="auto"/>
        <w:jc w:val="both"/>
        <w:rPr>
          <w:rFonts w:ascii="Arial" w:hAnsi="Arial" w:cs="Arial"/>
          <w:sz w:val="18"/>
          <w:szCs w:val="24"/>
          <w:lang w:val="es-ES"/>
        </w:rPr>
      </w:pPr>
    </w:p>
    <w:p w:rsidR="00E67E7B" w:rsidRDefault="00E67E7B" w:rsidP="00E67E7B">
      <w:pPr>
        <w:spacing w:after="0" w:line="240" w:lineRule="auto"/>
        <w:jc w:val="both"/>
        <w:rPr>
          <w:rFonts w:ascii="Arial" w:hAnsi="Arial" w:cs="Arial"/>
          <w:sz w:val="18"/>
          <w:szCs w:val="24"/>
          <w:lang w:val="es-ES"/>
        </w:rPr>
      </w:pPr>
    </w:p>
    <w:p w:rsidR="00E67E7B" w:rsidRPr="00840A21" w:rsidRDefault="00E67E7B" w:rsidP="00E67E7B">
      <w:pPr>
        <w:pStyle w:val="Heading1"/>
        <w:ind w:left="851" w:hanging="425"/>
        <w:rPr>
          <w:rFonts w:ascii="Arial" w:hAnsi="Arial" w:cs="Arial"/>
          <w:color w:val="1F4E79" w:themeColor="accent1" w:themeShade="80"/>
          <w:lang w:val="es-ES"/>
        </w:rPr>
      </w:pPr>
      <w:bookmarkStart w:id="31" w:name="_Toc520820900"/>
      <w:r>
        <w:rPr>
          <w:rFonts w:ascii="Arial" w:hAnsi="Arial" w:cs="Arial"/>
          <w:color w:val="1F4E79" w:themeColor="accent1" w:themeShade="80"/>
          <w:lang w:val="es-ES"/>
        </w:rPr>
        <w:t>INDICADORES</w:t>
      </w:r>
      <w:r w:rsidRPr="00840A21">
        <w:rPr>
          <w:rFonts w:ascii="Arial" w:hAnsi="Arial" w:cs="Arial"/>
          <w:color w:val="1F4E79" w:themeColor="accent1" w:themeShade="80"/>
          <w:lang w:val="es-ES"/>
        </w:rPr>
        <w:t xml:space="preserve"> DE LA EVALUACIÓN </w:t>
      </w:r>
      <w:r>
        <w:rPr>
          <w:rFonts w:ascii="Arial" w:hAnsi="Arial" w:cs="Arial"/>
          <w:color w:val="1F4E79" w:themeColor="accent1" w:themeShade="80"/>
          <w:lang w:val="es-ES"/>
        </w:rPr>
        <w:t>FINANCIERA</w:t>
      </w:r>
      <w:bookmarkEnd w:id="31"/>
    </w:p>
    <w:p w:rsidR="00E67E7B" w:rsidRDefault="00E67E7B" w:rsidP="00E67E7B">
      <w:pPr>
        <w:spacing w:after="0" w:line="240" w:lineRule="auto"/>
        <w:jc w:val="both"/>
        <w:rPr>
          <w:rFonts w:ascii="Times New Roman" w:hAnsi="Times New Roman" w:cs="Times New Roman"/>
          <w:szCs w:val="24"/>
          <w:lang w:val="es-ES"/>
        </w:rPr>
      </w:pPr>
    </w:p>
    <w:p w:rsidR="00E67E7B" w:rsidRDefault="00E67E7B" w:rsidP="00E67E7B">
      <w:pPr>
        <w:spacing w:after="0"/>
        <w:jc w:val="both"/>
        <w:rPr>
          <w:rFonts w:ascii="Arial" w:hAnsi="Arial" w:cs="Arial"/>
          <w:szCs w:val="24"/>
          <w:lang w:val="es-ES"/>
        </w:rPr>
      </w:pPr>
      <w:r>
        <w:rPr>
          <w:rFonts w:ascii="Arial" w:hAnsi="Arial" w:cs="Arial"/>
          <w:szCs w:val="24"/>
          <w:lang w:val="es-ES"/>
        </w:rPr>
        <w:t xml:space="preserve">Los </w:t>
      </w:r>
      <w:r w:rsidRPr="00840A21">
        <w:rPr>
          <w:rFonts w:ascii="Arial" w:hAnsi="Arial" w:cs="Arial"/>
          <w:szCs w:val="24"/>
          <w:lang w:val="es-ES"/>
        </w:rPr>
        <w:t>indicador</w:t>
      </w:r>
      <w:r>
        <w:rPr>
          <w:rFonts w:ascii="Arial" w:hAnsi="Arial" w:cs="Arial"/>
          <w:szCs w:val="24"/>
          <w:lang w:val="es-ES"/>
        </w:rPr>
        <w:t>es</w:t>
      </w:r>
      <w:r w:rsidRPr="00840A21">
        <w:rPr>
          <w:rFonts w:ascii="Arial" w:hAnsi="Arial" w:cs="Arial"/>
          <w:szCs w:val="24"/>
          <w:lang w:val="es-ES"/>
        </w:rPr>
        <w:t xml:space="preserve"> de la evaluación financiera </w:t>
      </w:r>
      <w:r>
        <w:rPr>
          <w:rFonts w:ascii="Arial" w:hAnsi="Arial" w:cs="Arial"/>
          <w:szCs w:val="24"/>
          <w:lang w:val="es-ES"/>
        </w:rPr>
        <w:t>se muestran en la tabla 6.</w:t>
      </w:r>
    </w:p>
    <w:p w:rsidR="00E67E7B" w:rsidRDefault="00E67E7B" w:rsidP="00E67E7B">
      <w:pPr>
        <w:spacing w:after="0"/>
        <w:jc w:val="both"/>
        <w:rPr>
          <w:rFonts w:ascii="Arial" w:hAnsi="Arial" w:cs="Arial"/>
          <w:szCs w:val="24"/>
          <w:lang w:val="es-ES"/>
        </w:rPr>
      </w:pPr>
    </w:p>
    <w:p w:rsidR="00E67E7B" w:rsidRDefault="00E67E7B" w:rsidP="00E67E7B">
      <w:pPr>
        <w:pStyle w:val="ListParagraph"/>
        <w:spacing w:after="120"/>
        <w:ind w:left="454"/>
        <w:jc w:val="center"/>
        <w:rPr>
          <w:rFonts w:ascii="Arial" w:hAnsi="Arial" w:cs="Arial"/>
          <w:b/>
          <w:bCs/>
          <w:sz w:val="20"/>
          <w:lang w:val="es-419"/>
        </w:rPr>
      </w:pPr>
    </w:p>
    <w:p w:rsidR="00E67E7B" w:rsidRPr="00A614F0" w:rsidRDefault="00E67E7B" w:rsidP="00E67E7B">
      <w:pPr>
        <w:pStyle w:val="ListParagraph"/>
        <w:spacing w:after="120"/>
        <w:ind w:left="454"/>
        <w:jc w:val="center"/>
        <w:rPr>
          <w:rFonts w:ascii="Arial" w:hAnsi="Arial" w:cs="Arial"/>
          <w:b/>
          <w:bCs/>
          <w:sz w:val="20"/>
          <w:lang w:val="es-419"/>
        </w:rPr>
      </w:pPr>
      <w:r w:rsidRPr="00A614F0">
        <w:rPr>
          <w:rFonts w:ascii="Arial" w:hAnsi="Arial" w:cs="Arial"/>
          <w:b/>
          <w:bCs/>
          <w:sz w:val="20"/>
          <w:lang w:val="es-419"/>
        </w:rPr>
        <w:t xml:space="preserve">Tabla 6: </w:t>
      </w:r>
      <w:r w:rsidRPr="00A614F0">
        <w:rPr>
          <w:rFonts w:ascii="Arial" w:hAnsi="Arial" w:cs="Arial"/>
          <w:bCs/>
          <w:sz w:val="20"/>
          <w:lang w:val="es-419"/>
        </w:rPr>
        <w:t xml:space="preserve">Resultados Análisis </w:t>
      </w:r>
      <w:r>
        <w:rPr>
          <w:rFonts w:ascii="Arial" w:hAnsi="Arial" w:cs="Arial"/>
          <w:bCs/>
          <w:sz w:val="20"/>
          <w:lang w:val="es-419"/>
        </w:rPr>
        <w:t>Financiero</w:t>
      </w:r>
    </w:p>
    <w:tbl>
      <w:tblPr>
        <w:tblStyle w:val="TableGrid"/>
        <w:tblW w:w="0" w:type="auto"/>
        <w:jc w:val="center"/>
        <w:tblLook w:val="04A0" w:firstRow="1" w:lastRow="0" w:firstColumn="1" w:lastColumn="0" w:noHBand="0" w:noVBand="1"/>
      </w:tblPr>
      <w:tblGrid>
        <w:gridCol w:w="2359"/>
        <w:gridCol w:w="2340"/>
        <w:gridCol w:w="2340"/>
      </w:tblGrid>
      <w:tr w:rsidR="00E67E7B" w:rsidRPr="00FD0799" w:rsidTr="005E3B54">
        <w:trPr>
          <w:trHeight w:val="272"/>
          <w:jc w:val="center"/>
        </w:trPr>
        <w:tc>
          <w:tcPr>
            <w:tcW w:w="2359" w:type="dxa"/>
            <w:shd w:val="clear" w:color="auto" w:fill="006699"/>
            <w:vAlign w:val="center"/>
          </w:tcPr>
          <w:p w:rsidR="00E67E7B" w:rsidRPr="00FD0799" w:rsidRDefault="00E67E7B" w:rsidP="005E3B54">
            <w:pPr>
              <w:spacing w:after="0" w:line="240" w:lineRule="auto"/>
              <w:jc w:val="center"/>
              <w:rPr>
                <w:rFonts w:ascii="Arial" w:hAnsi="Arial" w:cs="Arial"/>
                <w:b/>
                <w:color w:val="FFFFFF" w:themeColor="background1"/>
                <w:sz w:val="20"/>
                <w:szCs w:val="20"/>
                <w:lang w:eastAsia="es-BO"/>
              </w:rPr>
            </w:pPr>
            <w:r w:rsidRPr="00FD0799">
              <w:rPr>
                <w:rFonts w:ascii="Arial" w:hAnsi="Arial" w:cs="Arial"/>
                <w:b/>
                <w:color w:val="FFFFFF" w:themeColor="background1"/>
                <w:sz w:val="20"/>
                <w:szCs w:val="20"/>
                <w:lang w:eastAsia="es-BO"/>
              </w:rPr>
              <w:t>CIUDAD / INDICADOR</w:t>
            </w:r>
          </w:p>
        </w:tc>
        <w:tc>
          <w:tcPr>
            <w:tcW w:w="2340" w:type="dxa"/>
            <w:shd w:val="clear" w:color="auto" w:fill="006699"/>
            <w:vAlign w:val="center"/>
          </w:tcPr>
          <w:p w:rsidR="00E67E7B" w:rsidRPr="00FD0799" w:rsidRDefault="00E67E7B" w:rsidP="005E3B54">
            <w:pPr>
              <w:spacing w:after="0" w:line="240" w:lineRule="auto"/>
              <w:jc w:val="center"/>
              <w:rPr>
                <w:rFonts w:ascii="Arial" w:hAnsi="Arial" w:cs="Arial"/>
                <w:b/>
                <w:color w:val="FFFFFF" w:themeColor="background1"/>
                <w:sz w:val="20"/>
                <w:szCs w:val="20"/>
                <w:lang w:eastAsia="es-BO"/>
              </w:rPr>
            </w:pPr>
            <w:r w:rsidRPr="00FD0799">
              <w:rPr>
                <w:rFonts w:ascii="Arial" w:hAnsi="Arial" w:cs="Arial"/>
                <w:b/>
                <w:color w:val="FFFFFF" w:themeColor="background1"/>
                <w:sz w:val="20"/>
                <w:szCs w:val="20"/>
                <w:lang w:eastAsia="es-BO"/>
              </w:rPr>
              <w:t>ORURO</w:t>
            </w:r>
          </w:p>
        </w:tc>
        <w:tc>
          <w:tcPr>
            <w:tcW w:w="2340" w:type="dxa"/>
            <w:shd w:val="clear" w:color="auto" w:fill="006699"/>
            <w:vAlign w:val="center"/>
          </w:tcPr>
          <w:p w:rsidR="00E67E7B" w:rsidRPr="00FD0799" w:rsidRDefault="00215907" w:rsidP="005E3B54">
            <w:pPr>
              <w:spacing w:after="0" w:line="240" w:lineRule="auto"/>
              <w:jc w:val="center"/>
              <w:rPr>
                <w:rFonts w:ascii="Arial" w:hAnsi="Arial" w:cs="Arial"/>
                <w:b/>
                <w:color w:val="FFFFFF" w:themeColor="background1"/>
                <w:sz w:val="20"/>
                <w:szCs w:val="20"/>
                <w:lang w:eastAsia="es-BO"/>
              </w:rPr>
            </w:pPr>
            <w:r>
              <w:rPr>
                <w:rFonts w:ascii="Arial" w:hAnsi="Arial" w:cs="Arial"/>
                <w:b/>
                <w:color w:val="FFFFFF" w:themeColor="background1"/>
                <w:sz w:val="20"/>
                <w:szCs w:val="20"/>
                <w:lang w:eastAsia="es-BO"/>
              </w:rPr>
              <w:t>Potosí</w:t>
            </w:r>
          </w:p>
        </w:tc>
      </w:tr>
      <w:tr w:rsidR="00E67E7B" w:rsidRPr="00FA41A9" w:rsidTr="005E3B54">
        <w:trPr>
          <w:trHeight w:val="272"/>
          <w:jc w:val="center"/>
        </w:trPr>
        <w:tc>
          <w:tcPr>
            <w:tcW w:w="2359" w:type="dxa"/>
          </w:tcPr>
          <w:p w:rsidR="00E67E7B" w:rsidRPr="00FA41A9" w:rsidRDefault="00E67E7B" w:rsidP="005E3B54">
            <w:pPr>
              <w:spacing w:after="0" w:line="240" w:lineRule="auto"/>
              <w:rPr>
                <w:rFonts w:ascii="Arial" w:hAnsi="Arial" w:cs="Arial"/>
                <w:sz w:val="20"/>
                <w:szCs w:val="20"/>
                <w:lang w:eastAsia="es-BO"/>
              </w:rPr>
            </w:pPr>
            <w:r>
              <w:rPr>
                <w:rFonts w:ascii="Arial" w:hAnsi="Arial" w:cs="Arial"/>
                <w:sz w:val="20"/>
                <w:szCs w:val="20"/>
                <w:lang w:eastAsia="es-BO"/>
              </w:rPr>
              <w:t>VANP</w:t>
            </w:r>
            <w:r w:rsidRPr="00FA41A9">
              <w:rPr>
                <w:rFonts w:ascii="Arial" w:hAnsi="Arial" w:cs="Arial"/>
                <w:sz w:val="20"/>
                <w:szCs w:val="20"/>
                <w:lang w:eastAsia="es-BO"/>
              </w:rPr>
              <w:t xml:space="preserve"> (US$)</w:t>
            </w:r>
            <w:r w:rsidRPr="00FA41A9">
              <w:rPr>
                <w:rFonts w:ascii="Arial" w:hAnsi="Arial" w:cs="Arial"/>
                <w:sz w:val="20"/>
                <w:szCs w:val="20"/>
                <w:lang w:eastAsia="es-BO"/>
              </w:rPr>
              <w:tab/>
            </w:r>
          </w:p>
        </w:tc>
        <w:tc>
          <w:tcPr>
            <w:tcW w:w="2340" w:type="dxa"/>
            <w:shd w:val="clear" w:color="auto" w:fill="FFFFFF" w:themeFill="background1"/>
          </w:tcPr>
          <w:p w:rsidR="00E67E7B" w:rsidRDefault="00E67E7B" w:rsidP="005E3B54">
            <w:pPr>
              <w:spacing w:after="0" w:line="240" w:lineRule="auto"/>
              <w:jc w:val="center"/>
              <w:rPr>
                <w:rFonts w:ascii="Arial" w:hAnsi="Arial" w:cs="Arial"/>
                <w:sz w:val="20"/>
                <w:szCs w:val="20"/>
                <w:lang w:eastAsia="es-BO"/>
              </w:rPr>
            </w:pPr>
            <w:r w:rsidRPr="009A77FA">
              <w:rPr>
                <w:rFonts w:ascii="Arial" w:hAnsi="Arial" w:cs="Arial"/>
                <w:sz w:val="20"/>
                <w:szCs w:val="20"/>
                <w:lang w:eastAsia="es-BO"/>
              </w:rPr>
              <w:t xml:space="preserve"> 12,924.22 </w:t>
            </w:r>
          </w:p>
        </w:tc>
        <w:tc>
          <w:tcPr>
            <w:tcW w:w="2340" w:type="dxa"/>
            <w:shd w:val="clear" w:color="auto" w:fill="FFFFFF" w:themeFill="background1"/>
          </w:tcPr>
          <w:p w:rsidR="00E67E7B" w:rsidRPr="00215907" w:rsidRDefault="00BA2E52" w:rsidP="005E3B54">
            <w:pPr>
              <w:spacing w:after="0" w:line="240" w:lineRule="auto"/>
              <w:jc w:val="center"/>
              <w:rPr>
                <w:rFonts w:ascii="Arial" w:hAnsi="Arial" w:cs="Arial"/>
                <w:sz w:val="20"/>
                <w:szCs w:val="20"/>
                <w:highlight w:val="yellow"/>
                <w:lang w:eastAsia="es-BO"/>
              </w:rPr>
            </w:pPr>
            <w:r w:rsidRPr="00BA2E52">
              <w:rPr>
                <w:rFonts w:ascii="Arial" w:hAnsi="Arial" w:cs="Arial"/>
                <w:sz w:val="20"/>
                <w:szCs w:val="20"/>
                <w:lang w:eastAsia="es-BO"/>
              </w:rPr>
              <w:t>79,178.59</w:t>
            </w:r>
          </w:p>
        </w:tc>
      </w:tr>
      <w:tr w:rsidR="00E67E7B" w:rsidRPr="00FA41A9" w:rsidTr="005E3B54">
        <w:trPr>
          <w:trHeight w:val="272"/>
          <w:jc w:val="center"/>
        </w:trPr>
        <w:tc>
          <w:tcPr>
            <w:tcW w:w="2359" w:type="dxa"/>
          </w:tcPr>
          <w:p w:rsidR="00E67E7B" w:rsidRPr="00FA41A9" w:rsidRDefault="00E67E7B" w:rsidP="005E3B54">
            <w:pPr>
              <w:spacing w:after="0" w:line="240" w:lineRule="auto"/>
              <w:rPr>
                <w:rFonts w:ascii="Arial" w:hAnsi="Arial" w:cs="Arial"/>
                <w:sz w:val="20"/>
                <w:szCs w:val="20"/>
                <w:lang w:val="es-ES_tradnl" w:eastAsia="es-BO"/>
              </w:rPr>
            </w:pPr>
            <w:r>
              <w:rPr>
                <w:rFonts w:ascii="Arial" w:hAnsi="Arial" w:cs="Arial"/>
                <w:sz w:val="20"/>
                <w:szCs w:val="20"/>
                <w:lang w:val="es-ES_tradnl" w:eastAsia="es-BO"/>
              </w:rPr>
              <w:t>TIRP</w:t>
            </w:r>
          </w:p>
        </w:tc>
        <w:tc>
          <w:tcPr>
            <w:tcW w:w="2340" w:type="dxa"/>
            <w:shd w:val="clear" w:color="auto" w:fill="FFFFFF" w:themeFill="background1"/>
          </w:tcPr>
          <w:p w:rsidR="00E67E7B" w:rsidRDefault="00E67E7B" w:rsidP="005E3B54">
            <w:pPr>
              <w:spacing w:after="0" w:line="240" w:lineRule="auto"/>
              <w:jc w:val="center"/>
              <w:rPr>
                <w:rFonts w:ascii="Arial" w:hAnsi="Arial" w:cs="Arial"/>
                <w:sz w:val="20"/>
                <w:szCs w:val="20"/>
                <w:lang w:eastAsia="es-BO"/>
              </w:rPr>
            </w:pPr>
            <w:r w:rsidRPr="009A77FA">
              <w:rPr>
                <w:rFonts w:ascii="Arial" w:hAnsi="Arial" w:cs="Arial"/>
                <w:sz w:val="20"/>
                <w:szCs w:val="20"/>
                <w:lang w:eastAsia="es-BO"/>
              </w:rPr>
              <w:t>12%</w:t>
            </w:r>
          </w:p>
        </w:tc>
        <w:tc>
          <w:tcPr>
            <w:tcW w:w="2340" w:type="dxa"/>
            <w:shd w:val="clear" w:color="auto" w:fill="FFFFFF" w:themeFill="background1"/>
          </w:tcPr>
          <w:p w:rsidR="00E67E7B" w:rsidRPr="00215907" w:rsidRDefault="00BA2E52" w:rsidP="005E3B54">
            <w:pPr>
              <w:spacing w:after="0" w:line="240" w:lineRule="auto"/>
              <w:jc w:val="center"/>
              <w:rPr>
                <w:rFonts w:ascii="Arial" w:hAnsi="Arial" w:cs="Arial"/>
                <w:sz w:val="20"/>
                <w:szCs w:val="20"/>
                <w:highlight w:val="yellow"/>
                <w:lang w:eastAsia="es-BO"/>
              </w:rPr>
            </w:pPr>
            <w:r w:rsidRPr="00BA2E52">
              <w:rPr>
                <w:rFonts w:ascii="Arial" w:hAnsi="Arial" w:cs="Arial"/>
                <w:sz w:val="20"/>
                <w:szCs w:val="20"/>
                <w:lang w:eastAsia="es-BO"/>
              </w:rPr>
              <w:t>13</w:t>
            </w:r>
            <w:r w:rsidR="00E67E7B" w:rsidRPr="00BA2E52">
              <w:rPr>
                <w:rFonts w:ascii="Arial" w:hAnsi="Arial" w:cs="Arial"/>
                <w:sz w:val="20"/>
                <w:szCs w:val="20"/>
                <w:lang w:eastAsia="es-BO"/>
              </w:rPr>
              <w:t>%</w:t>
            </w:r>
          </w:p>
        </w:tc>
      </w:tr>
      <w:tr w:rsidR="00E67E7B" w:rsidRPr="00FA41A9" w:rsidTr="005E3B54">
        <w:trPr>
          <w:trHeight w:val="272"/>
          <w:jc w:val="center"/>
        </w:trPr>
        <w:tc>
          <w:tcPr>
            <w:tcW w:w="2359" w:type="dxa"/>
          </w:tcPr>
          <w:p w:rsidR="00E67E7B" w:rsidRPr="00FA41A9" w:rsidRDefault="00E67E7B" w:rsidP="005E3B54">
            <w:pPr>
              <w:spacing w:after="0" w:line="240" w:lineRule="auto"/>
              <w:rPr>
                <w:rFonts w:ascii="Arial" w:hAnsi="Arial" w:cs="Arial"/>
                <w:sz w:val="20"/>
                <w:szCs w:val="20"/>
                <w:lang w:eastAsia="es-BO"/>
              </w:rPr>
            </w:pPr>
            <w:r>
              <w:rPr>
                <w:rFonts w:ascii="Arial" w:hAnsi="Arial" w:cs="Arial"/>
                <w:sz w:val="20"/>
                <w:szCs w:val="20"/>
                <w:lang w:val="es-ES_tradnl" w:eastAsia="es-BO"/>
              </w:rPr>
              <w:t>Pay back simple (años)</w:t>
            </w:r>
          </w:p>
        </w:tc>
        <w:tc>
          <w:tcPr>
            <w:tcW w:w="2340" w:type="dxa"/>
          </w:tcPr>
          <w:p w:rsidR="00E67E7B" w:rsidRDefault="00E67E7B" w:rsidP="005E3B54">
            <w:pPr>
              <w:spacing w:after="0" w:line="240" w:lineRule="auto"/>
              <w:jc w:val="center"/>
              <w:rPr>
                <w:rFonts w:ascii="Arial" w:hAnsi="Arial" w:cs="Arial"/>
                <w:sz w:val="20"/>
                <w:szCs w:val="20"/>
                <w:lang w:eastAsia="es-BO"/>
              </w:rPr>
            </w:pPr>
            <w:r>
              <w:rPr>
                <w:rFonts w:ascii="Arial" w:hAnsi="Arial" w:cs="Arial"/>
                <w:sz w:val="20"/>
                <w:szCs w:val="20"/>
                <w:lang w:eastAsia="es-BO"/>
              </w:rPr>
              <w:t>5.78</w:t>
            </w:r>
          </w:p>
        </w:tc>
        <w:tc>
          <w:tcPr>
            <w:tcW w:w="2340" w:type="dxa"/>
          </w:tcPr>
          <w:p w:rsidR="00E67E7B" w:rsidRPr="00215907" w:rsidRDefault="00BA2E52" w:rsidP="005E3B54">
            <w:pPr>
              <w:spacing w:after="0" w:line="240" w:lineRule="auto"/>
              <w:jc w:val="center"/>
              <w:rPr>
                <w:rFonts w:ascii="Arial" w:hAnsi="Arial" w:cs="Arial"/>
                <w:sz w:val="20"/>
                <w:szCs w:val="20"/>
                <w:highlight w:val="yellow"/>
                <w:lang w:eastAsia="es-BO"/>
              </w:rPr>
            </w:pPr>
            <w:r w:rsidRPr="00BA2E52">
              <w:rPr>
                <w:rFonts w:ascii="Arial" w:hAnsi="Arial" w:cs="Arial"/>
                <w:sz w:val="20"/>
                <w:szCs w:val="20"/>
                <w:lang w:eastAsia="es-BO"/>
              </w:rPr>
              <w:t>5.70</w:t>
            </w:r>
          </w:p>
        </w:tc>
      </w:tr>
    </w:tbl>
    <w:p w:rsidR="00E67E7B" w:rsidRDefault="00E67E7B" w:rsidP="00E67E7B">
      <w:pPr>
        <w:tabs>
          <w:tab w:val="left" w:pos="6705"/>
        </w:tabs>
        <w:spacing w:after="0" w:line="240" w:lineRule="auto"/>
        <w:jc w:val="both"/>
        <w:rPr>
          <w:rFonts w:ascii="Times New Roman" w:hAnsi="Times New Roman" w:cs="Times New Roman"/>
          <w:sz w:val="24"/>
          <w:szCs w:val="24"/>
          <w:lang w:val="es-MX"/>
        </w:rPr>
      </w:pPr>
    </w:p>
    <w:p w:rsidR="00E67E7B" w:rsidRDefault="00E67E7B" w:rsidP="00E67E7B">
      <w:pPr>
        <w:spacing w:after="0"/>
        <w:jc w:val="both"/>
        <w:rPr>
          <w:rFonts w:ascii="Arial" w:hAnsi="Arial" w:cs="Arial"/>
          <w:szCs w:val="24"/>
          <w:lang w:val="es-ES"/>
        </w:rPr>
      </w:pPr>
    </w:p>
    <w:p w:rsidR="00E67E7B" w:rsidRDefault="00E67E7B" w:rsidP="00E67E7B">
      <w:pPr>
        <w:spacing w:after="0"/>
        <w:jc w:val="both"/>
        <w:rPr>
          <w:rFonts w:ascii="Arial" w:hAnsi="Arial" w:cs="Arial"/>
          <w:szCs w:val="24"/>
          <w:lang w:val="es-ES"/>
        </w:rPr>
      </w:pPr>
      <w:r w:rsidRPr="00BA2E52">
        <w:rPr>
          <w:rFonts w:ascii="Arial" w:hAnsi="Arial" w:cs="Arial"/>
          <w:szCs w:val="24"/>
          <w:lang w:val="es-ES"/>
        </w:rPr>
        <w:t>Se observa en ambos casos que el tiempo de retorno de la inversión es menor a los 7 años</w:t>
      </w:r>
      <w:r w:rsidR="00BA2E52" w:rsidRPr="00BA2E52">
        <w:rPr>
          <w:rFonts w:ascii="Arial" w:hAnsi="Arial" w:cs="Arial"/>
          <w:szCs w:val="24"/>
          <w:lang w:val="es-ES"/>
        </w:rPr>
        <w:t>.</w:t>
      </w:r>
      <w:r>
        <w:rPr>
          <w:rFonts w:ascii="Arial" w:hAnsi="Arial" w:cs="Arial"/>
          <w:szCs w:val="24"/>
          <w:lang w:val="es-ES"/>
        </w:rPr>
        <w:t xml:space="preserve"> </w:t>
      </w:r>
    </w:p>
    <w:p w:rsidR="00E67E7B" w:rsidRDefault="00E67E7B" w:rsidP="00E67E7B">
      <w:pPr>
        <w:spacing w:after="0"/>
        <w:jc w:val="both"/>
        <w:rPr>
          <w:rFonts w:ascii="Arial" w:hAnsi="Arial" w:cs="Arial"/>
          <w:szCs w:val="24"/>
          <w:lang w:val="es-ES"/>
        </w:rPr>
      </w:pPr>
    </w:p>
    <w:p w:rsidR="00E67E7B" w:rsidRDefault="00E67E7B" w:rsidP="00E67E7B">
      <w:pPr>
        <w:spacing w:after="0" w:line="240" w:lineRule="auto"/>
        <w:jc w:val="both"/>
        <w:rPr>
          <w:rFonts w:ascii="Times New Roman" w:hAnsi="Times New Roman" w:cs="Times New Roman"/>
          <w:szCs w:val="24"/>
          <w:lang w:val="es-ES"/>
        </w:rPr>
      </w:pPr>
    </w:p>
    <w:p w:rsidR="00BA2E52" w:rsidRDefault="00BA2E52" w:rsidP="00E67E7B">
      <w:pPr>
        <w:spacing w:after="0" w:line="240" w:lineRule="auto"/>
        <w:jc w:val="both"/>
        <w:rPr>
          <w:rFonts w:ascii="Times New Roman" w:hAnsi="Times New Roman" w:cs="Times New Roman"/>
          <w:szCs w:val="24"/>
          <w:lang w:val="es-ES"/>
        </w:rPr>
      </w:pPr>
    </w:p>
    <w:p w:rsidR="00BA2E52" w:rsidRDefault="00BA2E52" w:rsidP="00E67E7B">
      <w:pPr>
        <w:spacing w:after="0" w:line="240" w:lineRule="auto"/>
        <w:jc w:val="both"/>
        <w:rPr>
          <w:rFonts w:ascii="Times New Roman" w:hAnsi="Times New Roman" w:cs="Times New Roman"/>
          <w:szCs w:val="24"/>
          <w:lang w:val="es-ES"/>
        </w:rPr>
      </w:pPr>
    </w:p>
    <w:p w:rsidR="00BA2E52" w:rsidRDefault="00BA2E52" w:rsidP="00E67E7B">
      <w:pPr>
        <w:spacing w:after="0" w:line="240" w:lineRule="auto"/>
        <w:jc w:val="both"/>
        <w:rPr>
          <w:rFonts w:ascii="Times New Roman" w:hAnsi="Times New Roman" w:cs="Times New Roman"/>
          <w:szCs w:val="24"/>
          <w:lang w:val="es-ES"/>
        </w:rPr>
      </w:pPr>
    </w:p>
    <w:p w:rsidR="00BA2E52" w:rsidRDefault="00BA2E52" w:rsidP="00E67E7B">
      <w:pPr>
        <w:spacing w:after="0" w:line="240" w:lineRule="auto"/>
        <w:jc w:val="both"/>
        <w:rPr>
          <w:rFonts w:ascii="Times New Roman" w:hAnsi="Times New Roman" w:cs="Times New Roman"/>
          <w:szCs w:val="24"/>
          <w:lang w:val="es-ES"/>
        </w:rPr>
      </w:pPr>
    </w:p>
    <w:p w:rsidR="00E67E7B" w:rsidRPr="00C81A60" w:rsidRDefault="00E67E7B" w:rsidP="00E67E7B">
      <w:pPr>
        <w:spacing w:after="0" w:line="240" w:lineRule="auto"/>
        <w:jc w:val="both"/>
        <w:rPr>
          <w:rFonts w:ascii="Times New Roman" w:hAnsi="Times New Roman" w:cs="Times New Roman"/>
          <w:szCs w:val="24"/>
          <w:lang w:val="es-ES"/>
        </w:rPr>
      </w:pPr>
    </w:p>
    <w:p w:rsidR="00E67E7B" w:rsidRPr="00177AC0" w:rsidRDefault="00E67E7B" w:rsidP="00E67E7B">
      <w:pPr>
        <w:pStyle w:val="Heading1"/>
        <w:spacing w:before="0"/>
        <w:ind w:left="714" w:hanging="357"/>
        <w:rPr>
          <w:rFonts w:ascii="Arial" w:hAnsi="Arial" w:cs="Arial"/>
          <w:color w:val="1F4E79" w:themeColor="accent1" w:themeShade="80"/>
          <w:lang w:val="es-ES"/>
        </w:rPr>
      </w:pPr>
      <w:bookmarkStart w:id="32" w:name="_Toc496735291"/>
      <w:bookmarkStart w:id="33" w:name="_Toc520820901"/>
      <w:r w:rsidRPr="00177AC0">
        <w:rPr>
          <w:rFonts w:ascii="Arial" w:hAnsi="Arial" w:cs="Arial"/>
          <w:color w:val="1F4E79" w:themeColor="accent1" w:themeShade="80"/>
          <w:lang w:val="es-ES"/>
        </w:rPr>
        <w:t>INDICADORES DE LA EVALUACIÓN ECONÓMICA</w:t>
      </w:r>
      <w:bookmarkEnd w:id="32"/>
      <w:bookmarkEnd w:id="33"/>
    </w:p>
    <w:p w:rsidR="00E67E7B" w:rsidRDefault="00E67E7B" w:rsidP="00E67E7B">
      <w:pPr>
        <w:spacing w:after="0" w:line="240" w:lineRule="auto"/>
        <w:rPr>
          <w:rFonts w:ascii="Times New Roman" w:hAnsi="Times New Roman" w:cs="Times New Roman"/>
          <w:sz w:val="24"/>
          <w:szCs w:val="24"/>
          <w:lang w:val="es-ES"/>
        </w:rPr>
      </w:pPr>
    </w:p>
    <w:p w:rsidR="00E67E7B" w:rsidRPr="00FA41A9" w:rsidRDefault="00E67E7B" w:rsidP="00E67E7B">
      <w:pPr>
        <w:spacing w:after="0"/>
        <w:jc w:val="both"/>
        <w:rPr>
          <w:rFonts w:ascii="Arial" w:hAnsi="Arial" w:cs="Arial"/>
          <w:szCs w:val="24"/>
          <w:lang w:val="es-ES"/>
        </w:rPr>
      </w:pPr>
      <w:r>
        <w:rPr>
          <w:rFonts w:ascii="Arial" w:hAnsi="Arial" w:cs="Arial"/>
          <w:szCs w:val="24"/>
          <w:lang w:val="es-ES"/>
        </w:rPr>
        <w:lastRenderedPageBreak/>
        <w:t>El proyecto de Eficiencia Energética en Alumbrado Público</w:t>
      </w:r>
      <w:r w:rsidRPr="00FA41A9">
        <w:rPr>
          <w:rFonts w:ascii="Arial" w:hAnsi="Arial" w:cs="Arial"/>
          <w:szCs w:val="24"/>
          <w:lang w:val="es-ES"/>
        </w:rPr>
        <w:t xml:space="preserve"> presenta una evaluación socioeconómica positiva</w:t>
      </w:r>
      <w:r>
        <w:rPr>
          <w:rFonts w:ascii="Arial" w:hAnsi="Arial" w:cs="Arial"/>
          <w:szCs w:val="24"/>
          <w:lang w:val="es-ES"/>
        </w:rPr>
        <w:t>. E</w:t>
      </w:r>
      <w:r w:rsidRPr="00FA41A9">
        <w:rPr>
          <w:rFonts w:ascii="Arial" w:hAnsi="Arial" w:cs="Arial"/>
          <w:szCs w:val="24"/>
          <w:lang w:val="es-ES"/>
        </w:rPr>
        <w:t>l VANS es mayor a cero y la TIRS es superior a 12%, siendo el proyecto de beneficio para el paí</w:t>
      </w:r>
      <w:r>
        <w:rPr>
          <w:rFonts w:ascii="Arial" w:hAnsi="Arial" w:cs="Arial"/>
          <w:szCs w:val="24"/>
          <w:lang w:val="es-ES"/>
        </w:rPr>
        <w:t>s. Véase tabla 7.</w:t>
      </w:r>
    </w:p>
    <w:p w:rsidR="00E67E7B" w:rsidRDefault="00E67E7B" w:rsidP="00E67E7B">
      <w:pPr>
        <w:spacing w:after="0" w:line="240" w:lineRule="auto"/>
        <w:rPr>
          <w:rFonts w:ascii="Times New Roman" w:hAnsi="Times New Roman" w:cs="Times New Roman"/>
          <w:sz w:val="24"/>
          <w:szCs w:val="24"/>
          <w:lang w:val="es-ES_tradnl"/>
        </w:rPr>
      </w:pPr>
    </w:p>
    <w:p w:rsidR="00E67E7B" w:rsidRPr="00311DBB" w:rsidRDefault="00E67E7B" w:rsidP="00E67E7B">
      <w:pPr>
        <w:spacing w:after="0" w:line="240" w:lineRule="auto"/>
        <w:rPr>
          <w:rFonts w:ascii="Times New Roman" w:hAnsi="Times New Roman" w:cs="Times New Roman"/>
          <w:sz w:val="24"/>
          <w:szCs w:val="24"/>
          <w:lang w:val="es-ES_tradnl"/>
        </w:rPr>
      </w:pPr>
    </w:p>
    <w:p w:rsidR="00E67E7B" w:rsidRPr="00A614F0" w:rsidRDefault="00E67E7B" w:rsidP="00E67E7B">
      <w:pPr>
        <w:pStyle w:val="ListParagraph"/>
        <w:spacing w:after="120"/>
        <w:ind w:left="454"/>
        <w:jc w:val="center"/>
        <w:rPr>
          <w:rFonts w:ascii="Arial" w:hAnsi="Arial" w:cs="Arial"/>
          <w:b/>
          <w:bCs/>
          <w:sz w:val="20"/>
          <w:lang w:val="es-419"/>
        </w:rPr>
      </w:pPr>
      <w:r>
        <w:rPr>
          <w:rFonts w:ascii="Arial" w:hAnsi="Arial" w:cs="Arial"/>
          <w:b/>
          <w:bCs/>
          <w:sz w:val="20"/>
          <w:lang w:val="es-419"/>
        </w:rPr>
        <w:t>Tabla 7</w:t>
      </w:r>
      <w:r w:rsidRPr="00A614F0">
        <w:rPr>
          <w:rFonts w:ascii="Arial" w:hAnsi="Arial" w:cs="Arial"/>
          <w:b/>
          <w:bCs/>
          <w:sz w:val="20"/>
          <w:lang w:val="es-419"/>
        </w:rPr>
        <w:t xml:space="preserve">: </w:t>
      </w:r>
      <w:r w:rsidRPr="00A614F0">
        <w:rPr>
          <w:rFonts w:ascii="Arial" w:hAnsi="Arial" w:cs="Arial"/>
          <w:bCs/>
          <w:sz w:val="20"/>
          <w:lang w:val="es-419"/>
        </w:rPr>
        <w:t>Resultados Análisis Económico</w:t>
      </w:r>
    </w:p>
    <w:tbl>
      <w:tblPr>
        <w:tblStyle w:val="TableGrid"/>
        <w:tblW w:w="0" w:type="auto"/>
        <w:jc w:val="center"/>
        <w:tblLook w:val="04A0" w:firstRow="1" w:lastRow="0" w:firstColumn="1" w:lastColumn="0" w:noHBand="0" w:noVBand="1"/>
      </w:tblPr>
      <w:tblGrid>
        <w:gridCol w:w="2359"/>
        <w:gridCol w:w="2340"/>
        <w:gridCol w:w="2340"/>
      </w:tblGrid>
      <w:tr w:rsidR="00E67E7B" w:rsidRPr="00FD0799" w:rsidTr="005E3B54">
        <w:trPr>
          <w:trHeight w:val="272"/>
          <w:jc w:val="center"/>
        </w:trPr>
        <w:tc>
          <w:tcPr>
            <w:tcW w:w="2359" w:type="dxa"/>
            <w:shd w:val="clear" w:color="auto" w:fill="006699"/>
            <w:vAlign w:val="center"/>
          </w:tcPr>
          <w:p w:rsidR="00E67E7B" w:rsidRPr="00FD0799" w:rsidRDefault="00E67E7B" w:rsidP="005E3B54">
            <w:pPr>
              <w:spacing w:after="0" w:line="240" w:lineRule="auto"/>
              <w:jc w:val="center"/>
              <w:rPr>
                <w:rFonts w:ascii="Arial" w:hAnsi="Arial" w:cs="Arial"/>
                <w:b/>
                <w:color w:val="FFFFFF" w:themeColor="background1"/>
                <w:sz w:val="20"/>
                <w:szCs w:val="20"/>
                <w:lang w:eastAsia="es-BO"/>
              </w:rPr>
            </w:pPr>
            <w:r w:rsidRPr="00FD0799">
              <w:rPr>
                <w:rFonts w:ascii="Arial" w:hAnsi="Arial" w:cs="Arial"/>
                <w:b/>
                <w:color w:val="FFFFFF" w:themeColor="background1"/>
                <w:sz w:val="20"/>
                <w:szCs w:val="20"/>
                <w:lang w:eastAsia="es-BO"/>
              </w:rPr>
              <w:t>CIUDAD / INDICADOR</w:t>
            </w:r>
          </w:p>
        </w:tc>
        <w:tc>
          <w:tcPr>
            <w:tcW w:w="2340" w:type="dxa"/>
            <w:shd w:val="clear" w:color="auto" w:fill="006699"/>
            <w:vAlign w:val="center"/>
          </w:tcPr>
          <w:p w:rsidR="00E67E7B" w:rsidRPr="00FD0799" w:rsidRDefault="00E67E7B" w:rsidP="005E3B54">
            <w:pPr>
              <w:spacing w:after="0" w:line="240" w:lineRule="auto"/>
              <w:jc w:val="center"/>
              <w:rPr>
                <w:rFonts w:ascii="Arial" w:hAnsi="Arial" w:cs="Arial"/>
                <w:b/>
                <w:color w:val="FFFFFF" w:themeColor="background1"/>
                <w:sz w:val="20"/>
                <w:szCs w:val="20"/>
                <w:lang w:eastAsia="es-BO"/>
              </w:rPr>
            </w:pPr>
            <w:r w:rsidRPr="00FD0799">
              <w:rPr>
                <w:rFonts w:ascii="Arial" w:hAnsi="Arial" w:cs="Arial"/>
                <w:b/>
                <w:color w:val="FFFFFF" w:themeColor="background1"/>
                <w:sz w:val="20"/>
                <w:szCs w:val="20"/>
                <w:lang w:eastAsia="es-BO"/>
              </w:rPr>
              <w:t>ORURO</w:t>
            </w:r>
          </w:p>
        </w:tc>
        <w:tc>
          <w:tcPr>
            <w:tcW w:w="2340" w:type="dxa"/>
            <w:shd w:val="clear" w:color="auto" w:fill="006699"/>
            <w:vAlign w:val="center"/>
          </w:tcPr>
          <w:p w:rsidR="00E67E7B" w:rsidRPr="00FD0799" w:rsidRDefault="00215907" w:rsidP="005E3B54">
            <w:pPr>
              <w:spacing w:after="0" w:line="240" w:lineRule="auto"/>
              <w:jc w:val="center"/>
              <w:rPr>
                <w:rFonts w:ascii="Arial" w:hAnsi="Arial" w:cs="Arial"/>
                <w:b/>
                <w:color w:val="FFFFFF" w:themeColor="background1"/>
                <w:sz w:val="20"/>
                <w:szCs w:val="20"/>
                <w:lang w:eastAsia="es-BO"/>
              </w:rPr>
            </w:pPr>
            <w:r>
              <w:rPr>
                <w:rFonts w:ascii="Arial" w:hAnsi="Arial" w:cs="Arial"/>
                <w:b/>
                <w:color w:val="FFFFFF" w:themeColor="background1"/>
                <w:sz w:val="20"/>
                <w:szCs w:val="20"/>
                <w:lang w:eastAsia="es-BO"/>
              </w:rPr>
              <w:t>Potosí</w:t>
            </w:r>
          </w:p>
        </w:tc>
      </w:tr>
      <w:tr w:rsidR="00E67E7B" w:rsidRPr="00FA41A9" w:rsidTr="005E3B54">
        <w:trPr>
          <w:trHeight w:val="272"/>
          <w:jc w:val="center"/>
        </w:trPr>
        <w:tc>
          <w:tcPr>
            <w:tcW w:w="2359" w:type="dxa"/>
          </w:tcPr>
          <w:p w:rsidR="00E67E7B" w:rsidRPr="00FA41A9" w:rsidRDefault="00E67E7B" w:rsidP="005E3B54">
            <w:pPr>
              <w:spacing w:after="0" w:line="240" w:lineRule="auto"/>
              <w:rPr>
                <w:rFonts w:ascii="Arial" w:hAnsi="Arial" w:cs="Arial"/>
                <w:sz w:val="20"/>
                <w:szCs w:val="20"/>
                <w:lang w:eastAsia="es-BO"/>
              </w:rPr>
            </w:pPr>
            <w:r w:rsidRPr="00FA41A9">
              <w:rPr>
                <w:rFonts w:ascii="Arial" w:hAnsi="Arial" w:cs="Arial"/>
                <w:sz w:val="20"/>
                <w:szCs w:val="20"/>
                <w:lang w:eastAsia="es-BO"/>
              </w:rPr>
              <w:t>VANS (US$)</w:t>
            </w:r>
            <w:r w:rsidRPr="00FA41A9">
              <w:rPr>
                <w:rFonts w:ascii="Arial" w:hAnsi="Arial" w:cs="Arial"/>
                <w:sz w:val="20"/>
                <w:szCs w:val="20"/>
                <w:lang w:eastAsia="es-BO"/>
              </w:rPr>
              <w:tab/>
            </w:r>
          </w:p>
        </w:tc>
        <w:tc>
          <w:tcPr>
            <w:tcW w:w="2340" w:type="dxa"/>
            <w:shd w:val="clear" w:color="auto" w:fill="FFFFFF" w:themeFill="background1"/>
          </w:tcPr>
          <w:p w:rsidR="00E67E7B" w:rsidRPr="00B80AB2" w:rsidRDefault="00E67E7B" w:rsidP="005E3B54">
            <w:pPr>
              <w:spacing w:after="0" w:line="240" w:lineRule="auto"/>
              <w:jc w:val="center"/>
              <w:rPr>
                <w:rFonts w:ascii="Arial" w:hAnsi="Arial" w:cs="Arial"/>
                <w:sz w:val="20"/>
                <w:szCs w:val="20"/>
                <w:lang w:eastAsia="es-BO"/>
              </w:rPr>
            </w:pPr>
            <w:r w:rsidRPr="009A77FA">
              <w:rPr>
                <w:rFonts w:ascii="Arial" w:hAnsi="Arial" w:cs="Arial"/>
                <w:sz w:val="20"/>
                <w:szCs w:val="20"/>
                <w:lang w:eastAsia="es-BO"/>
              </w:rPr>
              <w:t>5,615,655</w:t>
            </w:r>
          </w:p>
        </w:tc>
        <w:tc>
          <w:tcPr>
            <w:tcW w:w="2340" w:type="dxa"/>
            <w:shd w:val="clear" w:color="auto" w:fill="FFFFFF" w:themeFill="background1"/>
          </w:tcPr>
          <w:p w:rsidR="00E67E7B" w:rsidRPr="00215907" w:rsidRDefault="00BA2E52" w:rsidP="005E3B54">
            <w:pPr>
              <w:spacing w:after="0" w:line="240" w:lineRule="auto"/>
              <w:jc w:val="center"/>
              <w:rPr>
                <w:rFonts w:ascii="Arial" w:hAnsi="Arial" w:cs="Arial"/>
                <w:sz w:val="20"/>
                <w:szCs w:val="20"/>
                <w:highlight w:val="yellow"/>
                <w:lang w:eastAsia="es-BO"/>
              </w:rPr>
            </w:pPr>
            <w:r w:rsidRPr="00BA2E52">
              <w:rPr>
                <w:rFonts w:ascii="Arial" w:hAnsi="Arial" w:cs="Arial"/>
                <w:sz w:val="20"/>
                <w:szCs w:val="20"/>
                <w:lang w:eastAsia="es-BO"/>
              </w:rPr>
              <w:t>1,333,232</w:t>
            </w:r>
          </w:p>
        </w:tc>
      </w:tr>
      <w:tr w:rsidR="00E67E7B" w:rsidRPr="00FA41A9" w:rsidTr="005E3B54">
        <w:trPr>
          <w:trHeight w:val="225"/>
          <w:jc w:val="center"/>
        </w:trPr>
        <w:tc>
          <w:tcPr>
            <w:tcW w:w="2359" w:type="dxa"/>
          </w:tcPr>
          <w:p w:rsidR="00E67E7B" w:rsidRPr="00FA41A9" w:rsidRDefault="00E67E7B" w:rsidP="005E3B54">
            <w:pPr>
              <w:spacing w:after="0" w:line="240" w:lineRule="auto"/>
              <w:rPr>
                <w:rFonts w:ascii="Arial" w:hAnsi="Arial" w:cs="Arial"/>
                <w:sz w:val="20"/>
                <w:szCs w:val="20"/>
                <w:lang w:val="es-ES_tradnl" w:eastAsia="es-BO"/>
              </w:rPr>
            </w:pPr>
            <w:r w:rsidRPr="00FA41A9">
              <w:rPr>
                <w:rFonts w:ascii="Arial" w:hAnsi="Arial" w:cs="Arial"/>
                <w:sz w:val="20"/>
                <w:szCs w:val="20"/>
                <w:lang w:val="es-ES_tradnl" w:eastAsia="es-BO"/>
              </w:rPr>
              <w:t>TIRS</w:t>
            </w:r>
          </w:p>
        </w:tc>
        <w:tc>
          <w:tcPr>
            <w:tcW w:w="2340" w:type="dxa"/>
            <w:shd w:val="clear" w:color="auto" w:fill="FFFFFF" w:themeFill="background1"/>
          </w:tcPr>
          <w:p w:rsidR="00E67E7B" w:rsidRPr="00B80AB2" w:rsidRDefault="00E67E7B" w:rsidP="005E3B54">
            <w:pPr>
              <w:spacing w:after="0" w:line="240" w:lineRule="auto"/>
              <w:jc w:val="center"/>
              <w:rPr>
                <w:rFonts w:ascii="Arial" w:hAnsi="Arial" w:cs="Arial"/>
                <w:sz w:val="20"/>
                <w:szCs w:val="20"/>
                <w:lang w:eastAsia="es-BO"/>
              </w:rPr>
            </w:pPr>
            <w:r w:rsidRPr="009A77FA">
              <w:rPr>
                <w:rFonts w:ascii="Arial" w:hAnsi="Arial" w:cs="Arial"/>
                <w:sz w:val="20"/>
                <w:szCs w:val="20"/>
                <w:lang w:eastAsia="es-BO"/>
              </w:rPr>
              <w:t>23.43%</w:t>
            </w:r>
          </w:p>
        </w:tc>
        <w:tc>
          <w:tcPr>
            <w:tcW w:w="2340" w:type="dxa"/>
            <w:shd w:val="clear" w:color="auto" w:fill="FFFFFF" w:themeFill="background1"/>
          </w:tcPr>
          <w:p w:rsidR="00E67E7B" w:rsidRPr="00215907" w:rsidRDefault="00BA2E52" w:rsidP="005E3B54">
            <w:pPr>
              <w:spacing w:after="0" w:line="240" w:lineRule="auto"/>
              <w:jc w:val="center"/>
              <w:rPr>
                <w:rFonts w:ascii="Arial" w:hAnsi="Arial" w:cs="Arial"/>
                <w:sz w:val="20"/>
                <w:szCs w:val="20"/>
                <w:highlight w:val="yellow"/>
                <w:lang w:eastAsia="es-BO"/>
              </w:rPr>
            </w:pPr>
            <w:r w:rsidRPr="00BA2E52">
              <w:rPr>
                <w:rFonts w:ascii="Arial" w:hAnsi="Arial" w:cs="Arial"/>
                <w:sz w:val="20"/>
                <w:szCs w:val="20"/>
                <w:lang w:eastAsia="es-BO"/>
              </w:rPr>
              <w:t>27.92%</w:t>
            </w:r>
          </w:p>
        </w:tc>
      </w:tr>
    </w:tbl>
    <w:p w:rsidR="00E67E7B" w:rsidRDefault="00E67E7B" w:rsidP="00E67E7B">
      <w:pPr>
        <w:tabs>
          <w:tab w:val="left" w:pos="6705"/>
        </w:tabs>
        <w:spacing w:after="0" w:line="240" w:lineRule="auto"/>
        <w:ind w:left="360"/>
        <w:jc w:val="both"/>
        <w:rPr>
          <w:rFonts w:ascii="Times New Roman" w:hAnsi="Times New Roman" w:cs="Times New Roman"/>
          <w:sz w:val="24"/>
          <w:szCs w:val="24"/>
          <w:lang w:val="es-MX"/>
        </w:rPr>
      </w:pPr>
    </w:p>
    <w:p w:rsidR="00E67E7B" w:rsidRDefault="00E67E7B" w:rsidP="00E67E7B">
      <w:pPr>
        <w:tabs>
          <w:tab w:val="left" w:pos="6705"/>
        </w:tabs>
        <w:spacing w:after="0" w:line="240" w:lineRule="auto"/>
        <w:ind w:left="360"/>
        <w:jc w:val="both"/>
        <w:rPr>
          <w:rFonts w:ascii="Times New Roman" w:hAnsi="Times New Roman" w:cs="Times New Roman"/>
          <w:sz w:val="24"/>
          <w:szCs w:val="24"/>
          <w:lang w:val="es-MX"/>
        </w:rPr>
      </w:pPr>
    </w:p>
    <w:p w:rsidR="00E67E7B" w:rsidRPr="00177AC0" w:rsidRDefault="00E67E7B" w:rsidP="00E67E7B">
      <w:pPr>
        <w:pStyle w:val="Heading1"/>
        <w:spacing w:before="0"/>
        <w:ind w:left="714" w:hanging="357"/>
        <w:rPr>
          <w:rFonts w:ascii="Arial" w:hAnsi="Arial" w:cs="Arial"/>
          <w:color w:val="1F4E79" w:themeColor="accent1" w:themeShade="80"/>
          <w:lang w:val="es-ES"/>
        </w:rPr>
      </w:pPr>
      <w:bookmarkStart w:id="34" w:name="_Toc496735292"/>
      <w:bookmarkStart w:id="35" w:name="_Toc520820902"/>
      <w:r w:rsidRPr="00177AC0">
        <w:rPr>
          <w:rFonts w:ascii="Arial" w:hAnsi="Arial" w:cs="Arial"/>
          <w:color w:val="1F4E79" w:themeColor="accent1" w:themeShade="80"/>
          <w:lang w:val="es-ES"/>
        </w:rPr>
        <w:t>ANÁLISIS DE SENSIBILIDAD</w:t>
      </w:r>
      <w:bookmarkEnd w:id="34"/>
      <w:bookmarkEnd w:id="35"/>
    </w:p>
    <w:p w:rsidR="00E67E7B" w:rsidRPr="002A23A6" w:rsidRDefault="00E67E7B" w:rsidP="00E67E7B">
      <w:pPr>
        <w:pStyle w:val="ListParagraph"/>
        <w:ind w:left="0"/>
        <w:jc w:val="both"/>
        <w:rPr>
          <w:lang w:val="es-ES"/>
        </w:rPr>
      </w:pPr>
    </w:p>
    <w:p w:rsidR="00E67E7B" w:rsidRPr="00FD0799" w:rsidRDefault="00E67E7B" w:rsidP="00E67E7B">
      <w:pPr>
        <w:spacing w:after="0"/>
        <w:jc w:val="both"/>
        <w:rPr>
          <w:rFonts w:ascii="Arial" w:hAnsi="Arial" w:cs="Arial"/>
          <w:lang w:val="es-ES"/>
        </w:rPr>
      </w:pPr>
      <w:r w:rsidRPr="00FD0799">
        <w:rPr>
          <w:rFonts w:ascii="Arial" w:hAnsi="Arial" w:cs="Arial"/>
          <w:lang w:val="es-ES"/>
        </w:rPr>
        <w:t>Los escenarios considerados en el análisis de sensibilidad de l</w:t>
      </w:r>
      <w:r>
        <w:rPr>
          <w:rFonts w:ascii="Arial" w:hAnsi="Arial" w:cs="Arial"/>
          <w:lang w:val="es-ES"/>
        </w:rPr>
        <w:t xml:space="preserve">a evaluación socioeconómica de ambos proyectos </w:t>
      </w:r>
      <w:r w:rsidRPr="00FD0799">
        <w:rPr>
          <w:rFonts w:ascii="Arial" w:hAnsi="Arial" w:cs="Arial"/>
          <w:lang w:val="es-ES"/>
        </w:rPr>
        <w:t>son los siguientes:</w:t>
      </w:r>
    </w:p>
    <w:p w:rsidR="00E67E7B" w:rsidRPr="00FD0799" w:rsidRDefault="00E67E7B" w:rsidP="00E67E7B">
      <w:pPr>
        <w:spacing w:after="0" w:line="240" w:lineRule="auto"/>
        <w:ind w:firstLine="709"/>
        <w:rPr>
          <w:rFonts w:ascii="Times New Roman" w:hAnsi="Times New Roman" w:cs="Times New Roman"/>
          <w:lang w:val="es-ES_tradnl"/>
        </w:rPr>
      </w:pPr>
    </w:p>
    <w:p w:rsidR="00E67E7B" w:rsidRPr="00FD0799" w:rsidRDefault="00E67E7B" w:rsidP="00E67E7B">
      <w:pPr>
        <w:pStyle w:val="ListParagraph"/>
        <w:numPr>
          <w:ilvl w:val="0"/>
          <w:numId w:val="10"/>
        </w:numPr>
        <w:ind w:left="720"/>
        <w:rPr>
          <w:rFonts w:ascii="Arial" w:hAnsi="Arial" w:cs="Arial"/>
          <w:sz w:val="22"/>
          <w:szCs w:val="22"/>
          <w:lang w:val="es-ES_tradnl"/>
        </w:rPr>
      </w:pPr>
      <w:r w:rsidRPr="00FD0799">
        <w:rPr>
          <w:rFonts w:ascii="Arial" w:hAnsi="Arial" w:cs="Arial"/>
          <w:sz w:val="22"/>
          <w:szCs w:val="22"/>
          <w:lang w:val="es-ES_tradnl"/>
        </w:rPr>
        <w:t>Incremento del costo de inversión</w:t>
      </w:r>
      <w:r w:rsidR="00067658">
        <w:rPr>
          <w:rFonts w:ascii="Arial" w:hAnsi="Arial" w:cs="Arial"/>
          <w:sz w:val="22"/>
          <w:szCs w:val="22"/>
          <w:lang w:val="es-ES_tradnl"/>
        </w:rPr>
        <w:t xml:space="preserve"> en 0%, 10%, 20% y 30%</w:t>
      </w:r>
      <w:r w:rsidRPr="00FD0799">
        <w:rPr>
          <w:rFonts w:ascii="Arial" w:hAnsi="Arial" w:cs="Arial"/>
          <w:sz w:val="22"/>
          <w:szCs w:val="22"/>
          <w:lang w:val="es-ES_tradnl"/>
        </w:rPr>
        <w:t xml:space="preserve"> </w:t>
      </w:r>
      <w:r>
        <w:rPr>
          <w:rFonts w:ascii="Arial" w:hAnsi="Arial" w:cs="Arial"/>
          <w:sz w:val="22"/>
          <w:szCs w:val="22"/>
          <w:lang w:val="es-ES_tradnl"/>
        </w:rPr>
        <w:t>(en ambas ciudades)</w:t>
      </w:r>
    </w:p>
    <w:p w:rsidR="00E67E7B" w:rsidRPr="00FD0799" w:rsidRDefault="00E67E7B" w:rsidP="00E67E7B">
      <w:pPr>
        <w:pStyle w:val="ListParagraph"/>
        <w:rPr>
          <w:rFonts w:ascii="Arial" w:hAnsi="Arial" w:cs="Arial"/>
          <w:sz w:val="22"/>
          <w:szCs w:val="22"/>
          <w:lang w:val="es-ES_tradnl"/>
        </w:rPr>
      </w:pPr>
    </w:p>
    <w:p w:rsidR="00E67E7B" w:rsidRDefault="00E67E7B" w:rsidP="00E67E7B">
      <w:pPr>
        <w:pStyle w:val="ListParagraph"/>
        <w:numPr>
          <w:ilvl w:val="0"/>
          <w:numId w:val="10"/>
        </w:numPr>
        <w:ind w:left="720"/>
        <w:rPr>
          <w:rFonts w:ascii="Arial" w:hAnsi="Arial" w:cs="Arial"/>
          <w:sz w:val="22"/>
          <w:szCs w:val="22"/>
          <w:lang w:val="es-ES_tradnl"/>
        </w:rPr>
      </w:pPr>
      <w:r>
        <w:rPr>
          <w:rFonts w:ascii="Arial" w:hAnsi="Arial" w:cs="Arial"/>
          <w:sz w:val="22"/>
          <w:szCs w:val="22"/>
          <w:lang w:val="es-ES_tradnl"/>
        </w:rPr>
        <w:t xml:space="preserve">Incremento </w:t>
      </w:r>
      <w:r w:rsidRPr="00FD0799">
        <w:rPr>
          <w:rFonts w:ascii="Arial" w:hAnsi="Arial" w:cs="Arial"/>
          <w:sz w:val="22"/>
          <w:szCs w:val="22"/>
          <w:lang w:val="es-ES_tradnl"/>
        </w:rPr>
        <w:t xml:space="preserve">del precio de la energía </w:t>
      </w:r>
      <w:r w:rsidR="00067658">
        <w:rPr>
          <w:rFonts w:ascii="Arial" w:hAnsi="Arial" w:cs="Arial"/>
          <w:sz w:val="22"/>
          <w:szCs w:val="22"/>
          <w:lang w:val="es-ES_tradnl"/>
        </w:rPr>
        <w:t xml:space="preserve">en 0%, 10%, 20% y 30% </w:t>
      </w:r>
      <w:r>
        <w:rPr>
          <w:rFonts w:ascii="Arial" w:hAnsi="Arial" w:cs="Arial"/>
          <w:sz w:val="22"/>
          <w:szCs w:val="22"/>
          <w:lang w:val="es-ES_tradnl"/>
        </w:rPr>
        <w:t xml:space="preserve">(en </w:t>
      </w:r>
      <w:r w:rsidR="006D67BB">
        <w:rPr>
          <w:rFonts w:ascii="Arial" w:hAnsi="Arial" w:cs="Arial"/>
          <w:sz w:val="22"/>
          <w:szCs w:val="22"/>
          <w:lang w:val="es-ES_tradnl"/>
        </w:rPr>
        <w:t>ambas ciudades</w:t>
      </w:r>
      <w:r>
        <w:rPr>
          <w:rFonts w:ascii="Arial" w:hAnsi="Arial" w:cs="Arial"/>
          <w:sz w:val="22"/>
          <w:szCs w:val="22"/>
          <w:lang w:val="es-ES_tradnl"/>
        </w:rPr>
        <w:t>)</w:t>
      </w:r>
    </w:p>
    <w:p w:rsidR="00E67E7B" w:rsidRPr="00FD0799" w:rsidRDefault="00E67E7B" w:rsidP="00E67E7B">
      <w:pPr>
        <w:spacing w:after="0" w:line="240" w:lineRule="auto"/>
        <w:rPr>
          <w:rFonts w:ascii="Arial" w:hAnsi="Arial" w:cs="Arial"/>
          <w:b/>
          <w:lang w:val="es-ES_tradnl"/>
        </w:rPr>
      </w:pPr>
    </w:p>
    <w:p w:rsidR="00E67E7B" w:rsidRPr="00FD0799" w:rsidRDefault="00E67E7B" w:rsidP="00E67E7B">
      <w:pPr>
        <w:spacing w:after="0" w:line="240" w:lineRule="auto"/>
        <w:jc w:val="both"/>
        <w:rPr>
          <w:rFonts w:ascii="Arial" w:hAnsi="Arial" w:cs="Arial"/>
          <w:lang w:val="es-ES_tradnl"/>
        </w:rPr>
      </w:pPr>
      <w:r w:rsidRPr="00FD0799">
        <w:rPr>
          <w:rFonts w:ascii="Arial" w:hAnsi="Arial" w:cs="Arial"/>
          <w:lang w:val="es-ES_tradnl"/>
        </w:rPr>
        <w:t>Los resultados de los 2 escenarios planteados</w:t>
      </w:r>
      <w:r>
        <w:rPr>
          <w:rFonts w:ascii="Arial" w:hAnsi="Arial" w:cs="Arial"/>
          <w:lang w:val="es-ES_tradnl"/>
        </w:rPr>
        <w:t>, para ambas ciudades,</w:t>
      </w:r>
      <w:r w:rsidRPr="00FD0799">
        <w:rPr>
          <w:rFonts w:ascii="Arial" w:hAnsi="Arial" w:cs="Arial"/>
          <w:lang w:val="es-ES_tradnl"/>
        </w:rPr>
        <w:t xml:space="preserve"> se presentan en la</w:t>
      </w:r>
      <w:r>
        <w:rPr>
          <w:rFonts w:ascii="Arial" w:hAnsi="Arial" w:cs="Arial"/>
          <w:lang w:val="es-ES_tradnl"/>
        </w:rPr>
        <w:t>s</w:t>
      </w:r>
      <w:r w:rsidRPr="00FD0799">
        <w:rPr>
          <w:rFonts w:ascii="Arial" w:hAnsi="Arial" w:cs="Arial"/>
          <w:lang w:val="es-ES_tradnl"/>
        </w:rPr>
        <w:t xml:space="preserve"> </w:t>
      </w:r>
      <w:r>
        <w:rPr>
          <w:rFonts w:ascii="Arial" w:hAnsi="Arial" w:cs="Arial"/>
          <w:lang w:val="es-ES_tradnl"/>
        </w:rPr>
        <w:t>f</w:t>
      </w:r>
      <w:r w:rsidRPr="00FD0799">
        <w:rPr>
          <w:rFonts w:ascii="Arial" w:hAnsi="Arial" w:cs="Arial"/>
          <w:lang w:val="es-ES_tradnl"/>
        </w:rPr>
        <w:t>ig</w:t>
      </w:r>
      <w:r>
        <w:rPr>
          <w:rFonts w:ascii="Arial" w:hAnsi="Arial" w:cs="Arial"/>
          <w:lang w:val="es-ES_tradnl"/>
        </w:rPr>
        <w:t xml:space="preserve">uras </w:t>
      </w:r>
      <w:r w:rsidRPr="00FD0799">
        <w:rPr>
          <w:rFonts w:ascii="Arial" w:hAnsi="Arial" w:cs="Arial"/>
          <w:lang w:val="es-ES_tradnl"/>
        </w:rPr>
        <w:t>5</w:t>
      </w:r>
      <w:r>
        <w:rPr>
          <w:rFonts w:ascii="Arial" w:hAnsi="Arial" w:cs="Arial"/>
          <w:lang w:val="es-ES_tradnl"/>
        </w:rPr>
        <w:t xml:space="preserve"> y 6</w:t>
      </w:r>
      <w:r w:rsidRPr="00FD0799">
        <w:rPr>
          <w:rFonts w:ascii="Arial" w:hAnsi="Arial" w:cs="Arial"/>
          <w:lang w:val="es-ES_tradnl"/>
        </w:rPr>
        <w:t>.</w:t>
      </w:r>
    </w:p>
    <w:p w:rsidR="00E67E7B" w:rsidRPr="00FA41A9" w:rsidRDefault="00E67E7B" w:rsidP="00E67E7B">
      <w:pPr>
        <w:spacing w:after="0" w:line="240" w:lineRule="auto"/>
        <w:rPr>
          <w:rFonts w:ascii="Arial" w:hAnsi="Arial" w:cs="Arial"/>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9350"/>
      </w:tblGrid>
      <w:tr w:rsidR="00E67E7B" w:rsidRPr="00110801" w:rsidTr="005E3B54">
        <w:tc>
          <w:tcPr>
            <w:tcW w:w="9350" w:type="dxa"/>
          </w:tcPr>
          <w:p w:rsidR="00E67E7B" w:rsidRDefault="00E67E7B" w:rsidP="005E3B54">
            <w:pPr>
              <w:jc w:val="both"/>
              <w:rPr>
                <w:b/>
                <w:bCs/>
                <w:sz w:val="20"/>
                <w:lang w:val="es-ES_tradnl"/>
              </w:rPr>
            </w:pPr>
            <w:r>
              <w:rPr>
                <w:noProof/>
                <w:lang w:val="es-419" w:eastAsia="es-419"/>
              </w:rPr>
              <w:drawing>
                <wp:inline distT="0" distB="0" distL="0" distR="0" wp14:anchorId="7123DB13" wp14:editId="07985F1E">
                  <wp:extent cx="5721350" cy="3276600"/>
                  <wp:effectExtent l="0" t="0" r="12700" b="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E67E7B" w:rsidRPr="00B030A9" w:rsidTr="005E3B54">
        <w:tc>
          <w:tcPr>
            <w:tcW w:w="9350" w:type="dxa"/>
          </w:tcPr>
          <w:p w:rsidR="00E67E7B" w:rsidRPr="001D5B2F" w:rsidRDefault="00E67E7B" w:rsidP="005E3B54">
            <w:pPr>
              <w:pStyle w:val="ListParagraph"/>
              <w:numPr>
                <w:ilvl w:val="0"/>
                <w:numId w:val="22"/>
              </w:numPr>
              <w:jc w:val="center"/>
              <w:rPr>
                <w:b/>
                <w:bCs/>
                <w:noProof/>
                <w:sz w:val="18"/>
                <w:lang w:val="es-419" w:eastAsia="es-419"/>
              </w:rPr>
            </w:pPr>
            <w:r w:rsidRPr="00B55F3A">
              <w:rPr>
                <w:rFonts w:ascii="Arial" w:hAnsi="Arial" w:cs="Arial"/>
                <w:bCs/>
                <w:sz w:val="18"/>
                <w:szCs w:val="18"/>
                <w:lang w:val="es-ES_tradnl"/>
              </w:rPr>
              <w:t>Respecto de: Incremento del costo de inversión</w:t>
            </w:r>
          </w:p>
          <w:p w:rsidR="00E67E7B" w:rsidRPr="00B55F3A" w:rsidRDefault="00E67E7B" w:rsidP="005E3B54">
            <w:pPr>
              <w:pStyle w:val="ListParagraph"/>
              <w:rPr>
                <w:b/>
                <w:bCs/>
                <w:noProof/>
                <w:sz w:val="18"/>
                <w:lang w:val="es-419" w:eastAsia="es-419"/>
              </w:rPr>
            </w:pPr>
          </w:p>
        </w:tc>
      </w:tr>
      <w:tr w:rsidR="00E67E7B" w:rsidRPr="00110801" w:rsidTr="005E3B54">
        <w:tc>
          <w:tcPr>
            <w:tcW w:w="9350" w:type="dxa"/>
          </w:tcPr>
          <w:p w:rsidR="00E67E7B" w:rsidRPr="00B263C8" w:rsidRDefault="00E67E7B" w:rsidP="005E3B54">
            <w:pPr>
              <w:jc w:val="both"/>
              <w:rPr>
                <w:rFonts w:ascii="Arial" w:hAnsi="Arial" w:cs="Arial"/>
                <w:bCs/>
                <w:sz w:val="16"/>
                <w:szCs w:val="18"/>
                <w:lang w:val="es-ES_tradnl"/>
              </w:rPr>
            </w:pPr>
            <w:r>
              <w:rPr>
                <w:noProof/>
                <w:lang w:val="es-419" w:eastAsia="es-419"/>
              </w:rPr>
              <w:lastRenderedPageBreak/>
              <w:drawing>
                <wp:inline distT="0" distB="0" distL="0" distR="0" wp14:anchorId="7B85B512" wp14:editId="53807610">
                  <wp:extent cx="5721350" cy="3511550"/>
                  <wp:effectExtent l="0" t="0" r="12700" b="1270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E67E7B" w:rsidRPr="00B030A9" w:rsidTr="005E3B54">
        <w:tc>
          <w:tcPr>
            <w:tcW w:w="9350" w:type="dxa"/>
          </w:tcPr>
          <w:p w:rsidR="00E67E7B" w:rsidRPr="00B55F3A" w:rsidRDefault="00E67E7B" w:rsidP="005E3B54">
            <w:pPr>
              <w:pStyle w:val="ListParagraph"/>
              <w:numPr>
                <w:ilvl w:val="0"/>
                <w:numId w:val="22"/>
              </w:numPr>
              <w:jc w:val="center"/>
              <w:rPr>
                <w:rFonts w:ascii="Arial" w:hAnsi="Arial" w:cs="Arial"/>
                <w:noProof/>
                <w:sz w:val="18"/>
                <w:szCs w:val="18"/>
                <w:lang w:val="es-419" w:eastAsia="es-419"/>
              </w:rPr>
            </w:pPr>
            <w:r w:rsidRPr="00B55F3A">
              <w:rPr>
                <w:rFonts w:ascii="Arial" w:hAnsi="Arial" w:cs="Arial"/>
                <w:noProof/>
                <w:sz w:val="18"/>
                <w:szCs w:val="18"/>
                <w:lang w:val="es-419" w:eastAsia="es-419"/>
              </w:rPr>
              <w:t>Respecto de: incremento del precio de la energia</w:t>
            </w:r>
          </w:p>
        </w:tc>
      </w:tr>
    </w:tbl>
    <w:p w:rsidR="00E67E7B" w:rsidRDefault="00E67E7B" w:rsidP="00E67E7B">
      <w:pPr>
        <w:spacing w:after="0" w:line="240" w:lineRule="auto"/>
        <w:jc w:val="both"/>
        <w:rPr>
          <w:rFonts w:ascii="Times New Roman" w:hAnsi="Times New Roman" w:cs="Times New Roman"/>
          <w:b/>
          <w:bCs/>
          <w:sz w:val="20"/>
          <w:szCs w:val="24"/>
          <w:lang w:val="es-ES_tradnl"/>
        </w:rPr>
      </w:pPr>
    </w:p>
    <w:p w:rsidR="00E67E7B" w:rsidRDefault="00E67E7B" w:rsidP="00E67E7B">
      <w:pPr>
        <w:spacing w:after="0" w:line="240" w:lineRule="auto"/>
        <w:jc w:val="center"/>
        <w:rPr>
          <w:rFonts w:ascii="Arial" w:hAnsi="Arial" w:cs="Arial"/>
          <w:bCs/>
          <w:sz w:val="20"/>
          <w:szCs w:val="24"/>
          <w:lang w:val="es-ES_tradnl"/>
        </w:rPr>
      </w:pPr>
      <w:r w:rsidRPr="00FA41A9">
        <w:rPr>
          <w:rFonts w:ascii="Arial" w:hAnsi="Arial" w:cs="Arial"/>
          <w:b/>
          <w:bCs/>
          <w:sz w:val="20"/>
          <w:szCs w:val="24"/>
          <w:lang w:val="es-ES_tradnl"/>
        </w:rPr>
        <w:t xml:space="preserve">Fig. 5: </w:t>
      </w:r>
      <w:r>
        <w:rPr>
          <w:rFonts w:ascii="Arial" w:hAnsi="Arial" w:cs="Arial"/>
          <w:bCs/>
          <w:sz w:val="20"/>
          <w:szCs w:val="24"/>
          <w:lang w:val="es-ES_tradnl"/>
        </w:rPr>
        <w:t xml:space="preserve">Análisis de sensibilidad del Proyecto de </w:t>
      </w:r>
      <w:r w:rsidRPr="00D06215">
        <w:rPr>
          <w:rFonts w:ascii="Arial" w:hAnsi="Arial" w:cs="Arial"/>
          <w:bCs/>
          <w:sz w:val="20"/>
          <w:szCs w:val="24"/>
          <w:lang w:val="es-ES_tradnl"/>
        </w:rPr>
        <w:t>Eficiencia Energética en Alumbrado Público</w:t>
      </w:r>
      <w:r>
        <w:rPr>
          <w:rFonts w:ascii="Arial" w:hAnsi="Arial" w:cs="Arial"/>
          <w:bCs/>
          <w:sz w:val="20"/>
          <w:szCs w:val="24"/>
          <w:lang w:val="es-ES_tradnl"/>
        </w:rPr>
        <w:t xml:space="preserve"> - Oruro</w:t>
      </w:r>
      <w:r w:rsidRPr="00FA41A9">
        <w:rPr>
          <w:rFonts w:ascii="Arial" w:hAnsi="Arial" w:cs="Arial"/>
          <w:bCs/>
          <w:sz w:val="20"/>
          <w:szCs w:val="24"/>
          <w:lang w:val="es-ES_tradnl"/>
        </w:rPr>
        <w:t xml:space="preserve">  </w:t>
      </w:r>
    </w:p>
    <w:p w:rsidR="00E67E7B" w:rsidRDefault="00E67E7B" w:rsidP="00E67E7B">
      <w:pPr>
        <w:spacing w:after="0" w:line="240" w:lineRule="auto"/>
        <w:jc w:val="center"/>
        <w:rPr>
          <w:rFonts w:ascii="Arial" w:hAnsi="Arial" w:cs="Arial"/>
          <w:bCs/>
          <w:sz w:val="20"/>
          <w:szCs w:val="24"/>
          <w:lang w:val="es-ES_tradnl"/>
        </w:rPr>
      </w:pPr>
    </w:p>
    <w:p w:rsidR="00E67E7B" w:rsidRDefault="00E67E7B" w:rsidP="00E67E7B">
      <w:pPr>
        <w:spacing w:after="0" w:line="240" w:lineRule="auto"/>
        <w:jc w:val="center"/>
        <w:rPr>
          <w:rFonts w:ascii="Arial" w:hAnsi="Arial" w:cs="Arial"/>
          <w:bCs/>
          <w:sz w:val="20"/>
          <w:szCs w:val="24"/>
          <w:lang w:val="es-ES_tradnl"/>
        </w:rPr>
      </w:pPr>
    </w:p>
    <w:p w:rsidR="00E67E7B" w:rsidRDefault="00E67E7B" w:rsidP="00E67E7B">
      <w:pPr>
        <w:spacing w:after="0" w:line="240" w:lineRule="auto"/>
        <w:jc w:val="center"/>
        <w:rPr>
          <w:rFonts w:ascii="Arial" w:hAnsi="Arial" w:cs="Arial"/>
          <w:bCs/>
          <w:sz w:val="20"/>
          <w:szCs w:val="24"/>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15907" w:rsidRPr="00110801" w:rsidTr="00067658">
        <w:tc>
          <w:tcPr>
            <w:tcW w:w="9350" w:type="dxa"/>
          </w:tcPr>
          <w:p w:rsidR="00215907" w:rsidRDefault="00067658" w:rsidP="008F0E47">
            <w:pPr>
              <w:jc w:val="both"/>
              <w:rPr>
                <w:b/>
                <w:bCs/>
                <w:sz w:val="20"/>
                <w:lang w:val="es-ES_tradnl"/>
              </w:rPr>
            </w:pPr>
            <w:r>
              <w:rPr>
                <w:noProof/>
              </w:rPr>
              <w:drawing>
                <wp:inline distT="0" distB="0" distL="0" distR="0" wp14:anchorId="3191AB02" wp14:editId="7E83ED88">
                  <wp:extent cx="5673969" cy="3411415"/>
                  <wp:effectExtent l="0" t="0" r="3175" b="17780"/>
                  <wp:docPr id="1" name="Chart 1">
                    <a:extLst xmlns:a="http://schemas.openxmlformats.org/drawingml/2006/main">
                      <a:ext uri="{FF2B5EF4-FFF2-40B4-BE49-F238E27FC236}">
                        <a16:creationId xmlns:a16="http://schemas.microsoft.com/office/drawing/2014/main" id="{00000000-0008-0000-03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215907" w:rsidRPr="00B030A9" w:rsidTr="008F0E47">
        <w:tblPrEx>
          <w:tblCellMar>
            <w:left w:w="70" w:type="dxa"/>
            <w:right w:w="70" w:type="dxa"/>
          </w:tblCellMar>
        </w:tblPrEx>
        <w:tc>
          <w:tcPr>
            <w:tcW w:w="9350" w:type="dxa"/>
          </w:tcPr>
          <w:p w:rsidR="00215907" w:rsidRPr="001D5B2F" w:rsidRDefault="00215907" w:rsidP="00215907">
            <w:pPr>
              <w:pStyle w:val="ListParagraph"/>
              <w:numPr>
                <w:ilvl w:val="0"/>
                <w:numId w:val="24"/>
              </w:numPr>
              <w:jc w:val="center"/>
              <w:rPr>
                <w:b/>
                <w:bCs/>
                <w:noProof/>
                <w:sz w:val="18"/>
                <w:lang w:val="es-419" w:eastAsia="es-419"/>
              </w:rPr>
            </w:pPr>
            <w:r w:rsidRPr="00B55F3A">
              <w:rPr>
                <w:rFonts w:ascii="Arial" w:hAnsi="Arial" w:cs="Arial"/>
                <w:bCs/>
                <w:sz w:val="18"/>
                <w:szCs w:val="18"/>
                <w:lang w:val="es-ES_tradnl"/>
              </w:rPr>
              <w:t>Respecto de: Incremento del costo de inversión</w:t>
            </w:r>
          </w:p>
          <w:p w:rsidR="00215907" w:rsidRPr="00B55F3A" w:rsidRDefault="00215907" w:rsidP="008F0E47">
            <w:pPr>
              <w:pStyle w:val="ListParagraph"/>
              <w:rPr>
                <w:b/>
                <w:bCs/>
                <w:noProof/>
                <w:sz w:val="18"/>
                <w:lang w:val="es-419" w:eastAsia="es-419"/>
              </w:rPr>
            </w:pPr>
          </w:p>
        </w:tc>
      </w:tr>
      <w:tr w:rsidR="00215907" w:rsidRPr="00215907" w:rsidTr="00067658">
        <w:tc>
          <w:tcPr>
            <w:tcW w:w="9350" w:type="dxa"/>
          </w:tcPr>
          <w:p w:rsidR="00215907" w:rsidRPr="00215907" w:rsidRDefault="00067658" w:rsidP="008F0E47">
            <w:pPr>
              <w:jc w:val="both"/>
              <w:rPr>
                <w:rFonts w:ascii="Arial" w:hAnsi="Arial" w:cs="Arial"/>
                <w:bCs/>
                <w:sz w:val="16"/>
                <w:szCs w:val="18"/>
                <w:highlight w:val="yellow"/>
                <w:lang w:val="es-ES_tradnl"/>
              </w:rPr>
            </w:pPr>
            <w:r>
              <w:rPr>
                <w:noProof/>
              </w:rPr>
              <w:lastRenderedPageBreak/>
              <w:drawing>
                <wp:inline distT="0" distB="0" distL="0" distR="0" wp14:anchorId="019FB9DC" wp14:editId="0E1D31E8">
                  <wp:extent cx="5691554" cy="2995246"/>
                  <wp:effectExtent l="0" t="0" r="4445" b="15240"/>
                  <wp:docPr id="6" name="Chart 6">
                    <a:extLst xmlns:a="http://schemas.openxmlformats.org/drawingml/2006/main">
                      <a:ext uri="{FF2B5EF4-FFF2-40B4-BE49-F238E27FC236}">
                        <a16:creationId xmlns:a16="http://schemas.microsoft.com/office/drawing/2014/main" id="{00000000-0008-0000-03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215907" w:rsidRPr="00B030A9" w:rsidTr="008F0E47">
        <w:tblPrEx>
          <w:tblCellMar>
            <w:left w:w="70" w:type="dxa"/>
            <w:right w:w="70" w:type="dxa"/>
          </w:tblCellMar>
        </w:tblPrEx>
        <w:tc>
          <w:tcPr>
            <w:tcW w:w="9350" w:type="dxa"/>
          </w:tcPr>
          <w:p w:rsidR="00215907" w:rsidRPr="00067658" w:rsidRDefault="00215907" w:rsidP="00215907">
            <w:pPr>
              <w:pStyle w:val="ListParagraph"/>
              <w:numPr>
                <w:ilvl w:val="0"/>
                <w:numId w:val="24"/>
              </w:numPr>
              <w:jc w:val="center"/>
              <w:rPr>
                <w:rFonts w:ascii="Arial" w:hAnsi="Arial" w:cs="Arial"/>
                <w:noProof/>
                <w:sz w:val="18"/>
                <w:szCs w:val="18"/>
                <w:lang w:val="es-419" w:eastAsia="es-419"/>
              </w:rPr>
            </w:pPr>
            <w:r w:rsidRPr="00067658">
              <w:rPr>
                <w:rFonts w:ascii="Arial" w:hAnsi="Arial" w:cs="Arial"/>
                <w:noProof/>
                <w:sz w:val="18"/>
                <w:szCs w:val="18"/>
                <w:lang w:val="es-419" w:eastAsia="es-419"/>
              </w:rPr>
              <w:t>Respecto de: incremento del precio de la energia</w:t>
            </w:r>
          </w:p>
        </w:tc>
      </w:tr>
    </w:tbl>
    <w:p w:rsidR="00215907" w:rsidRPr="00067658" w:rsidRDefault="00215907" w:rsidP="00215907">
      <w:pPr>
        <w:spacing w:after="0" w:line="240" w:lineRule="auto"/>
        <w:jc w:val="both"/>
        <w:rPr>
          <w:rFonts w:ascii="Times New Roman" w:hAnsi="Times New Roman" w:cs="Times New Roman"/>
          <w:b/>
          <w:bCs/>
          <w:sz w:val="20"/>
          <w:szCs w:val="24"/>
          <w:lang w:val="es-ES_tradnl"/>
        </w:rPr>
      </w:pPr>
    </w:p>
    <w:p w:rsidR="00215907" w:rsidRDefault="00215907" w:rsidP="00215907">
      <w:pPr>
        <w:spacing w:after="0" w:line="240" w:lineRule="auto"/>
        <w:jc w:val="center"/>
        <w:rPr>
          <w:rFonts w:ascii="Arial" w:hAnsi="Arial" w:cs="Arial"/>
          <w:bCs/>
          <w:sz w:val="20"/>
          <w:szCs w:val="24"/>
          <w:lang w:val="es-ES_tradnl"/>
        </w:rPr>
      </w:pPr>
      <w:r w:rsidRPr="00067658">
        <w:rPr>
          <w:rFonts w:ascii="Arial" w:hAnsi="Arial" w:cs="Arial"/>
          <w:b/>
          <w:bCs/>
          <w:sz w:val="20"/>
          <w:szCs w:val="24"/>
          <w:lang w:val="es-ES_tradnl"/>
        </w:rPr>
        <w:t xml:space="preserve">Fig. 6: </w:t>
      </w:r>
      <w:r w:rsidRPr="00067658">
        <w:rPr>
          <w:rFonts w:ascii="Arial" w:hAnsi="Arial" w:cs="Arial"/>
          <w:bCs/>
          <w:sz w:val="20"/>
          <w:szCs w:val="24"/>
          <w:lang w:val="es-ES_tradnl"/>
        </w:rPr>
        <w:t>Análisis de sensibilidad del Proyecto de Eficiencia Energética en Alumbrado Público - Potosí</w:t>
      </w:r>
      <w:r w:rsidRPr="00FA41A9">
        <w:rPr>
          <w:rFonts w:ascii="Arial" w:hAnsi="Arial" w:cs="Arial"/>
          <w:bCs/>
          <w:sz w:val="20"/>
          <w:szCs w:val="24"/>
          <w:lang w:val="es-ES_tradnl"/>
        </w:rPr>
        <w:t xml:space="preserve"> </w:t>
      </w:r>
    </w:p>
    <w:p w:rsidR="00E67E7B" w:rsidRDefault="00E67E7B" w:rsidP="00E67E7B">
      <w:pPr>
        <w:spacing w:after="0"/>
        <w:jc w:val="both"/>
        <w:rPr>
          <w:rFonts w:ascii="Arial" w:hAnsi="Arial" w:cs="Arial"/>
          <w:szCs w:val="24"/>
          <w:lang w:val="es-ES_tradnl"/>
        </w:rPr>
      </w:pPr>
    </w:p>
    <w:p w:rsidR="00E67E7B" w:rsidRDefault="00E67E7B" w:rsidP="00E67E7B">
      <w:pPr>
        <w:spacing w:after="0"/>
        <w:jc w:val="both"/>
        <w:rPr>
          <w:rFonts w:ascii="Arial" w:hAnsi="Arial" w:cs="Arial"/>
          <w:szCs w:val="24"/>
          <w:lang w:val="es-ES_tradnl"/>
        </w:rPr>
      </w:pPr>
    </w:p>
    <w:p w:rsidR="00E67E7B" w:rsidRDefault="00E67E7B" w:rsidP="00E67E7B">
      <w:pPr>
        <w:spacing w:after="0"/>
        <w:jc w:val="both"/>
        <w:rPr>
          <w:rFonts w:ascii="Arial" w:hAnsi="Arial" w:cs="Arial"/>
          <w:szCs w:val="24"/>
          <w:lang w:val="es-ES_tradnl"/>
        </w:rPr>
      </w:pPr>
      <w:r w:rsidRPr="00FA41A9">
        <w:rPr>
          <w:rFonts w:ascii="Arial" w:hAnsi="Arial" w:cs="Arial"/>
          <w:szCs w:val="24"/>
          <w:lang w:val="es-ES_tradnl"/>
        </w:rPr>
        <w:t>Los dos escenarios</w:t>
      </w:r>
      <w:r>
        <w:rPr>
          <w:rFonts w:ascii="Arial" w:hAnsi="Arial" w:cs="Arial"/>
          <w:szCs w:val="24"/>
          <w:lang w:val="es-ES_tradnl"/>
        </w:rPr>
        <w:t>, en cada ciudad,</w:t>
      </w:r>
      <w:r w:rsidRPr="00FA41A9">
        <w:rPr>
          <w:rFonts w:ascii="Arial" w:hAnsi="Arial" w:cs="Arial"/>
          <w:szCs w:val="24"/>
          <w:lang w:val="es-ES_tradnl"/>
        </w:rPr>
        <w:t xml:space="preserve"> para la sensibilidad de la evaluación socioeconómica dan lugar a una reducción de los indicadores</w:t>
      </w:r>
      <w:r>
        <w:rPr>
          <w:rFonts w:ascii="Arial" w:hAnsi="Arial" w:cs="Arial"/>
          <w:szCs w:val="24"/>
          <w:lang w:val="es-ES_tradnl"/>
        </w:rPr>
        <w:t>. S</w:t>
      </w:r>
      <w:r w:rsidRPr="00FA41A9">
        <w:rPr>
          <w:rFonts w:ascii="Arial" w:hAnsi="Arial" w:cs="Arial"/>
          <w:szCs w:val="24"/>
          <w:lang w:val="es-ES_tradnl"/>
        </w:rPr>
        <w:t xml:space="preserve">in embargo, </w:t>
      </w:r>
      <w:r>
        <w:rPr>
          <w:rFonts w:ascii="Arial" w:hAnsi="Arial" w:cs="Arial"/>
          <w:szCs w:val="24"/>
          <w:lang w:val="es-ES_tradnl"/>
        </w:rPr>
        <w:t xml:space="preserve">dichos </w:t>
      </w:r>
      <w:r w:rsidRPr="00FA41A9">
        <w:rPr>
          <w:rFonts w:ascii="Arial" w:hAnsi="Arial" w:cs="Arial"/>
          <w:szCs w:val="24"/>
          <w:lang w:val="es-ES_tradnl"/>
        </w:rPr>
        <w:t>escenarios no afectan significativamente a la evaluación económica, ya que tanto el VANS y la TIRS permanecen en los márgenes aceptables de rentabilidad económica</w:t>
      </w:r>
      <w:r>
        <w:rPr>
          <w:rFonts w:ascii="Arial" w:hAnsi="Arial" w:cs="Arial"/>
          <w:szCs w:val="24"/>
          <w:lang w:val="es-ES_tradnl"/>
        </w:rPr>
        <w:t>. E</w:t>
      </w:r>
      <w:r w:rsidRPr="00FA41A9">
        <w:rPr>
          <w:rFonts w:ascii="Arial" w:hAnsi="Arial" w:cs="Arial"/>
          <w:szCs w:val="24"/>
          <w:lang w:val="es-ES_tradnl"/>
        </w:rPr>
        <w:t xml:space="preserve">s decir, VANS </w:t>
      </w:r>
      <w:r>
        <w:rPr>
          <w:rFonts w:ascii="Arial" w:hAnsi="Arial" w:cs="Arial"/>
          <w:szCs w:val="24"/>
          <w:lang w:val="es-ES_tradnl"/>
        </w:rPr>
        <w:t xml:space="preserve">continúa siendo </w:t>
      </w:r>
      <w:r w:rsidRPr="00FA41A9">
        <w:rPr>
          <w:rFonts w:ascii="Arial" w:hAnsi="Arial" w:cs="Arial"/>
          <w:szCs w:val="24"/>
          <w:lang w:val="es-ES_tradnl"/>
        </w:rPr>
        <w:t xml:space="preserve">mayor a cero y </w:t>
      </w:r>
      <w:r>
        <w:rPr>
          <w:rFonts w:ascii="Arial" w:hAnsi="Arial" w:cs="Arial"/>
          <w:szCs w:val="24"/>
          <w:lang w:val="es-ES_tradnl"/>
        </w:rPr>
        <w:t xml:space="preserve">el </w:t>
      </w:r>
      <w:r w:rsidRPr="00FA41A9">
        <w:rPr>
          <w:rFonts w:ascii="Arial" w:hAnsi="Arial" w:cs="Arial"/>
          <w:szCs w:val="24"/>
          <w:lang w:val="es-ES_tradnl"/>
        </w:rPr>
        <w:t>TIRS mayor a 12%.</w:t>
      </w:r>
    </w:p>
    <w:p w:rsidR="00E67E7B" w:rsidRDefault="00E67E7B" w:rsidP="00E67E7B">
      <w:pPr>
        <w:spacing w:after="0"/>
        <w:jc w:val="both"/>
        <w:rPr>
          <w:rFonts w:ascii="Arial" w:hAnsi="Arial" w:cs="Arial"/>
          <w:szCs w:val="24"/>
          <w:lang w:val="es-ES_tradnl"/>
        </w:rPr>
      </w:pPr>
    </w:p>
    <w:p w:rsidR="00E67E7B" w:rsidRPr="00FA41A9" w:rsidRDefault="00E67E7B" w:rsidP="00E67E7B">
      <w:pPr>
        <w:spacing w:after="0"/>
        <w:jc w:val="both"/>
        <w:rPr>
          <w:rFonts w:ascii="Arial" w:hAnsi="Arial" w:cs="Arial"/>
          <w:szCs w:val="24"/>
          <w:lang w:val="es-ES_tradnl"/>
        </w:rPr>
      </w:pPr>
    </w:p>
    <w:p w:rsidR="00E67E7B" w:rsidRPr="00177AC0" w:rsidRDefault="00E67E7B" w:rsidP="00E67E7B">
      <w:pPr>
        <w:spacing w:after="0" w:line="240" w:lineRule="auto"/>
        <w:jc w:val="both"/>
        <w:rPr>
          <w:rFonts w:ascii="Times New Roman" w:hAnsi="Times New Roman" w:cs="Times New Roman"/>
          <w:color w:val="1F4E79" w:themeColor="accent1" w:themeShade="80"/>
          <w:sz w:val="24"/>
          <w:szCs w:val="24"/>
          <w:lang w:val="es-ES_tradnl"/>
        </w:rPr>
      </w:pPr>
    </w:p>
    <w:p w:rsidR="00E67E7B" w:rsidRPr="00177AC0" w:rsidRDefault="00E67E7B" w:rsidP="00E67E7B">
      <w:pPr>
        <w:pStyle w:val="Heading1"/>
        <w:spacing w:before="0"/>
        <w:ind w:left="714" w:hanging="357"/>
        <w:rPr>
          <w:rFonts w:ascii="Arial" w:hAnsi="Arial" w:cs="Arial"/>
          <w:color w:val="1F4E79" w:themeColor="accent1" w:themeShade="80"/>
          <w:lang w:val="es-ES"/>
        </w:rPr>
      </w:pPr>
      <w:bookmarkStart w:id="36" w:name="_Toc496735293"/>
      <w:bookmarkStart w:id="37" w:name="_Toc520820903"/>
      <w:r w:rsidRPr="00177AC0">
        <w:rPr>
          <w:rFonts w:ascii="Arial" w:hAnsi="Arial" w:cs="Arial"/>
          <w:color w:val="1F4E79" w:themeColor="accent1" w:themeShade="80"/>
          <w:lang w:val="es-ES"/>
        </w:rPr>
        <w:t>CONCLUSIONES</w:t>
      </w:r>
      <w:bookmarkEnd w:id="36"/>
      <w:bookmarkEnd w:id="37"/>
    </w:p>
    <w:p w:rsidR="00E67E7B" w:rsidRDefault="00E67E7B" w:rsidP="00E67E7B">
      <w:pPr>
        <w:spacing w:after="0" w:line="240" w:lineRule="auto"/>
        <w:jc w:val="both"/>
        <w:rPr>
          <w:rFonts w:ascii="Century" w:hAnsi="Century" w:cs="Arial"/>
        </w:rPr>
      </w:pPr>
    </w:p>
    <w:p w:rsidR="00E67E7B" w:rsidRPr="00FA41A9" w:rsidRDefault="00E67E7B" w:rsidP="00E67E7B">
      <w:pPr>
        <w:spacing w:after="0"/>
        <w:jc w:val="both"/>
        <w:rPr>
          <w:rFonts w:ascii="Arial" w:hAnsi="Arial" w:cs="Arial"/>
          <w:lang w:val="es-419"/>
        </w:rPr>
      </w:pPr>
      <w:r>
        <w:rPr>
          <w:rFonts w:ascii="Arial" w:hAnsi="Arial" w:cs="Arial"/>
          <w:lang w:val="es-419"/>
        </w:rPr>
        <w:t>Los</w:t>
      </w:r>
      <w:r w:rsidRPr="00FA41A9">
        <w:rPr>
          <w:rFonts w:ascii="Arial" w:hAnsi="Arial" w:cs="Arial"/>
          <w:lang w:val="es-419"/>
        </w:rPr>
        <w:t xml:space="preserve"> proyecto</w:t>
      </w:r>
      <w:r>
        <w:rPr>
          <w:rFonts w:ascii="Arial" w:hAnsi="Arial" w:cs="Arial"/>
          <w:lang w:val="es-419"/>
        </w:rPr>
        <w:t>s</w:t>
      </w:r>
      <w:r w:rsidRPr="00FA41A9">
        <w:rPr>
          <w:rFonts w:ascii="Arial" w:hAnsi="Arial" w:cs="Arial"/>
          <w:lang w:val="es-419"/>
        </w:rPr>
        <w:t xml:space="preserve"> </w:t>
      </w:r>
      <w:r>
        <w:rPr>
          <w:rFonts w:ascii="Arial" w:hAnsi="Arial" w:cs="Arial"/>
          <w:lang w:val="es-419"/>
        </w:rPr>
        <w:t xml:space="preserve">de Eficiencia Energética en el sistema de alumbrado público de los municipios de Oruro y </w:t>
      </w:r>
      <w:r w:rsidR="00215907">
        <w:rPr>
          <w:rFonts w:ascii="Arial" w:hAnsi="Arial" w:cs="Arial"/>
          <w:lang w:val="es-419"/>
        </w:rPr>
        <w:t>Pot</w:t>
      </w:r>
      <w:r w:rsidR="00E71852">
        <w:rPr>
          <w:rFonts w:ascii="Arial" w:hAnsi="Arial" w:cs="Arial"/>
          <w:lang w:val="es-419"/>
        </w:rPr>
        <w:t>o</w:t>
      </w:r>
      <w:r w:rsidR="00215907">
        <w:rPr>
          <w:rFonts w:ascii="Arial" w:hAnsi="Arial" w:cs="Arial"/>
          <w:lang w:val="es-419"/>
        </w:rPr>
        <w:t xml:space="preserve">sí </w:t>
      </w:r>
      <w:r w:rsidRPr="00FA41A9">
        <w:rPr>
          <w:rFonts w:ascii="Arial" w:hAnsi="Arial" w:cs="Arial"/>
          <w:lang w:val="es-419"/>
        </w:rPr>
        <w:t>ha</w:t>
      </w:r>
      <w:r>
        <w:rPr>
          <w:rFonts w:ascii="Arial" w:hAnsi="Arial" w:cs="Arial"/>
          <w:lang w:val="es-419"/>
        </w:rPr>
        <w:t>n</w:t>
      </w:r>
      <w:r w:rsidRPr="00FA41A9">
        <w:rPr>
          <w:rFonts w:ascii="Arial" w:hAnsi="Arial" w:cs="Arial"/>
          <w:lang w:val="es-419"/>
        </w:rPr>
        <w:t xml:space="preserve"> sido suficientemente justificado</w:t>
      </w:r>
      <w:r>
        <w:rPr>
          <w:rFonts w:ascii="Arial" w:hAnsi="Arial" w:cs="Arial"/>
          <w:lang w:val="es-419"/>
        </w:rPr>
        <w:t>s</w:t>
      </w:r>
      <w:r w:rsidRPr="00FA41A9">
        <w:rPr>
          <w:rFonts w:ascii="Arial" w:hAnsi="Arial" w:cs="Arial"/>
          <w:lang w:val="es-419"/>
        </w:rPr>
        <w:t xml:space="preserve"> y su implementación e</w:t>
      </w:r>
      <w:r>
        <w:rPr>
          <w:rFonts w:ascii="Arial" w:hAnsi="Arial" w:cs="Arial"/>
          <w:lang w:val="es-419"/>
        </w:rPr>
        <w:t>s</w:t>
      </w:r>
      <w:r w:rsidRPr="00FA41A9">
        <w:rPr>
          <w:rFonts w:ascii="Arial" w:hAnsi="Arial" w:cs="Arial"/>
          <w:lang w:val="es-419"/>
        </w:rPr>
        <w:t xml:space="preserve"> una necesidad para </w:t>
      </w:r>
      <w:r>
        <w:rPr>
          <w:rFonts w:ascii="Arial" w:hAnsi="Arial" w:cs="Arial"/>
          <w:lang w:val="es-419"/>
        </w:rPr>
        <w:t xml:space="preserve">reducir los costos del alumbrado público y las emisiones de CO2 en ambos municipios. </w:t>
      </w:r>
    </w:p>
    <w:p w:rsidR="00E67E7B" w:rsidRDefault="00E67E7B" w:rsidP="00E67E7B">
      <w:pPr>
        <w:spacing w:after="0"/>
        <w:jc w:val="both"/>
        <w:rPr>
          <w:rFonts w:ascii="Arial" w:hAnsi="Arial" w:cs="Arial"/>
          <w:lang w:val="es-419"/>
        </w:rPr>
      </w:pPr>
    </w:p>
    <w:p w:rsidR="00E67E7B" w:rsidRPr="001D5B2F" w:rsidRDefault="00E67E7B" w:rsidP="00E67E7B">
      <w:pPr>
        <w:pStyle w:val="Heading1"/>
        <w:spacing w:before="0"/>
        <w:ind w:left="714" w:hanging="357"/>
        <w:rPr>
          <w:rFonts w:ascii="Arial" w:hAnsi="Arial" w:cs="Arial"/>
          <w:color w:val="1F4E79" w:themeColor="accent1" w:themeShade="80"/>
          <w:lang w:val="es-ES"/>
        </w:rPr>
      </w:pPr>
      <w:bookmarkStart w:id="38" w:name="_Toc520820904"/>
      <w:r w:rsidRPr="001D5B2F">
        <w:rPr>
          <w:rFonts w:ascii="Arial" w:hAnsi="Arial" w:cs="Arial"/>
          <w:color w:val="1F4E79" w:themeColor="accent1" w:themeShade="80"/>
          <w:lang w:val="es-ES"/>
        </w:rPr>
        <w:t>REFERENCIAS</w:t>
      </w:r>
      <w:bookmarkEnd w:id="38"/>
    </w:p>
    <w:p w:rsidR="00E67E7B" w:rsidRDefault="00E67E7B" w:rsidP="00E67E7B">
      <w:pPr>
        <w:tabs>
          <w:tab w:val="left" w:pos="2496"/>
        </w:tabs>
        <w:spacing w:after="0"/>
        <w:jc w:val="both"/>
        <w:rPr>
          <w:rFonts w:ascii="Arial" w:hAnsi="Arial" w:cs="Arial"/>
          <w:lang w:val="es-419"/>
        </w:rPr>
      </w:pPr>
    </w:p>
    <w:p w:rsidR="00E67E7B" w:rsidRDefault="00E67E7B" w:rsidP="00E67E7B">
      <w:pPr>
        <w:tabs>
          <w:tab w:val="left" w:pos="2496"/>
        </w:tabs>
        <w:spacing w:after="0"/>
        <w:jc w:val="both"/>
        <w:rPr>
          <w:rFonts w:ascii="Arial" w:hAnsi="Arial" w:cs="Arial"/>
          <w:lang w:val="es-419"/>
        </w:rPr>
      </w:pPr>
      <w:r w:rsidRPr="001D5B2F">
        <w:rPr>
          <w:rFonts w:ascii="Arial" w:hAnsi="Arial" w:cs="Arial"/>
          <w:lang w:val="es-419"/>
        </w:rPr>
        <w:t xml:space="preserve">Agencia Internacional de Energía, </w:t>
      </w:r>
      <w:r>
        <w:rPr>
          <w:rFonts w:ascii="Arial" w:hAnsi="Arial" w:cs="Arial"/>
          <w:lang w:val="es-419"/>
        </w:rPr>
        <w:t>(</w:t>
      </w:r>
      <w:r w:rsidRPr="001D5B2F">
        <w:rPr>
          <w:rFonts w:ascii="Arial" w:hAnsi="Arial" w:cs="Arial"/>
          <w:lang w:val="es-419"/>
        </w:rPr>
        <w:t>2016</w:t>
      </w:r>
      <w:r>
        <w:rPr>
          <w:rFonts w:ascii="Arial" w:hAnsi="Arial" w:cs="Arial"/>
          <w:lang w:val="es-419"/>
        </w:rPr>
        <w:t xml:space="preserve">). </w:t>
      </w:r>
      <w:r w:rsidRPr="001D5B2F">
        <w:rPr>
          <w:rFonts w:ascii="Arial" w:hAnsi="Arial" w:cs="Arial"/>
          <w:i/>
          <w:lang w:val="es-419"/>
        </w:rPr>
        <w:t>Emisiones de CO2 de combustibles</w:t>
      </w:r>
      <w:r>
        <w:rPr>
          <w:rFonts w:ascii="Arial" w:hAnsi="Arial" w:cs="Arial"/>
          <w:lang w:val="es-419"/>
        </w:rPr>
        <w:t xml:space="preserve"> (para Bolivia). Viena.</w:t>
      </w:r>
    </w:p>
    <w:p w:rsidR="00DA39A3" w:rsidRPr="00E67E7B" w:rsidRDefault="00E67E7B" w:rsidP="00E71852">
      <w:pPr>
        <w:tabs>
          <w:tab w:val="left" w:pos="2496"/>
        </w:tabs>
        <w:spacing w:after="0"/>
        <w:jc w:val="both"/>
      </w:pPr>
      <w:r>
        <w:rPr>
          <w:rFonts w:ascii="Arial" w:hAnsi="Arial" w:cs="Arial"/>
          <w:lang w:val="es-419"/>
        </w:rPr>
        <w:t>D</w:t>
      </w:r>
      <w:r w:rsidRPr="00753349">
        <w:rPr>
          <w:rFonts w:ascii="Arial" w:hAnsi="Arial" w:cs="Arial"/>
          <w:lang w:val="es-419"/>
        </w:rPr>
        <w:t>iario El Deber del 20 de febrero de 2017</w:t>
      </w:r>
      <w:r w:rsidR="00E71852">
        <w:rPr>
          <w:rFonts w:ascii="Arial" w:hAnsi="Arial" w:cs="Arial"/>
          <w:lang w:val="es-419"/>
        </w:rPr>
        <w:t>.</w:t>
      </w:r>
    </w:p>
    <w:sectPr w:rsidR="00DA39A3" w:rsidRPr="00E67E7B" w:rsidSect="00324AA6">
      <w:footerReference w:type="default" r:id="rId27"/>
      <w:pgSz w:w="12240" w:h="15840" w:code="1"/>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3A9B" w:rsidRDefault="00523A9B" w:rsidP="00165642">
      <w:pPr>
        <w:spacing w:after="0" w:line="240" w:lineRule="auto"/>
      </w:pPr>
      <w:r>
        <w:separator/>
      </w:r>
    </w:p>
  </w:endnote>
  <w:endnote w:type="continuationSeparator" w:id="0">
    <w:p w:rsidR="00523A9B" w:rsidRDefault="00523A9B" w:rsidP="00165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4500067"/>
      <w:docPartObj>
        <w:docPartGallery w:val="Page Numbers (Bottom of Page)"/>
        <w:docPartUnique/>
      </w:docPartObj>
    </w:sdtPr>
    <w:sdtEndPr/>
    <w:sdtContent>
      <w:p w:rsidR="008F0E47" w:rsidRDefault="008F0E47">
        <w:pPr>
          <w:pStyle w:val="Footer"/>
          <w:jc w:val="right"/>
        </w:pPr>
        <w:r>
          <w:fldChar w:fldCharType="begin"/>
        </w:r>
        <w:r>
          <w:instrText>PAGE   \* MERGEFORMAT</w:instrText>
        </w:r>
        <w:r>
          <w:fldChar w:fldCharType="separate"/>
        </w:r>
        <w:r w:rsidR="00B030A9" w:rsidRPr="00B030A9">
          <w:rPr>
            <w:noProof/>
            <w:lang w:val="es-ES"/>
          </w:rPr>
          <w:t>3</w:t>
        </w:r>
        <w:r>
          <w:fldChar w:fldCharType="end"/>
        </w:r>
      </w:p>
    </w:sdtContent>
  </w:sdt>
  <w:p w:rsidR="008F0E47" w:rsidRDefault="008F0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3A9B" w:rsidRDefault="00523A9B" w:rsidP="00165642">
      <w:pPr>
        <w:spacing w:after="0" w:line="240" w:lineRule="auto"/>
      </w:pPr>
      <w:r>
        <w:separator/>
      </w:r>
    </w:p>
  </w:footnote>
  <w:footnote w:type="continuationSeparator" w:id="0">
    <w:p w:rsidR="00523A9B" w:rsidRDefault="00523A9B" w:rsidP="00165642">
      <w:pPr>
        <w:spacing w:after="0" w:line="240" w:lineRule="auto"/>
      </w:pPr>
      <w:r>
        <w:continuationSeparator/>
      </w:r>
    </w:p>
  </w:footnote>
  <w:footnote w:id="1">
    <w:p w:rsidR="008F0E47" w:rsidRPr="00753349" w:rsidRDefault="008F0E47" w:rsidP="00E67E7B">
      <w:pPr>
        <w:pStyle w:val="FootnoteText"/>
        <w:rPr>
          <w:lang w:val="es-419"/>
        </w:rPr>
      </w:pPr>
      <w:r>
        <w:rPr>
          <w:rStyle w:val="FootnoteReference"/>
        </w:rPr>
        <w:footnoteRef/>
      </w:r>
      <w:r>
        <w:t xml:space="preserve"> </w:t>
      </w:r>
      <w:r w:rsidRPr="001D5B2F">
        <w:rPr>
          <w:lang w:val="es-419"/>
        </w:rPr>
        <w:t>Información proporcionada por ambas Alcaldías durante las visitas de campo, en base a sus facturas mensuales.</w:t>
      </w:r>
    </w:p>
  </w:footnote>
  <w:footnote w:id="2">
    <w:p w:rsidR="008F0E47" w:rsidRPr="00B718CA" w:rsidRDefault="008F0E47" w:rsidP="00E67E7B">
      <w:pPr>
        <w:pStyle w:val="FootnoteText"/>
        <w:rPr>
          <w:lang w:val="es-419"/>
        </w:rPr>
      </w:pPr>
      <w:r>
        <w:rPr>
          <w:rStyle w:val="FootnoteReference"/>
        </w:rPr>
        <w:footnoteRef/>
      </w:r>
      <w:r>
        <w:t xml:space="preserve"> </w:t>
      </w:r>
      <w:r w:rsidRPr="00B718CA">
        <w:rPr>
          <w:lang w:val="es-419"/>
        </w:rPr>
        <w:t>Fuente: Emisiones de CO2 de combustibles</w:t>
      </w:r>
      <w:r>
        <w:rPr>
          <w:lang w:val="es-419"/>
        </w:rPr>
        <w:t xml:space="preserve"> (para Bolivia)</w:t>
      </w:r>
      <w:r w:rsidRPr="00B718CA">
        <w:rPr>
          <w:lang w:val="es-419"/>
        </w:rPr>
        <w:t xml:space="preserve">, </w:t>
      </w:r>
      <w:r>
        <w:rPr>
          <w:lang w:val="es-419"/>
        </w:rPr>
        <w:t>Agencia Internacional de Energía, 2016</w:t>
      </w:r>
    </w:p>
  </w:footnote>
  <w:footnote w:id="3">
    <w:p w:rsidR="008F0E47" w:rsidRPr="00D42463" w:rsidRDefault="008F0E47" w:rsidP="00E67E7B">
      <w:pPr>
        <w:pStyle w:val="FootnoteText"/>
        <w:rPr>
          <w:lang w:val="es-419"/>
        </w:rPr>
      </w:pPr>
      <w:r>
        <w:rPr>
          <w:rStyle w:val="FootnoteReference"/>
        </w:rPr>
        <w:footnoteRef/>
      </w:r>
      <w:r>
        <w:t xml:space="preserve"> </w:t>
      </w:r>
      <w:r w:rsidRPr="00D42463">
        <w:rPr>
          <w:lang w:val="es-419"/>
        </w:rPr>
        <w:t>Publicación diario E</w:t>
      </w:r>
      <w:r>
        <w:rPr>
          <w:lang w:val="es-419"/>
        </w:rPr>
        <w:t>l</w:t>
      </w:r>
      <w:r w:rsidRPr="00D42463">
        <w:rPr>
          <w:lang w:val="es-419"/>
        </w:rPr>
        <w:t xml:space="preserve"> Deber del 20 de febrero de 2017</w:t>
      </w:r>
    </w:p>
  </w:footnote>
  <w:footnote w:id="4">
    <w:p w:rsidR="008F0E47" w:rsidRPr="00B718CA" w:rsidRDefault="008F0E47" w:rsidP="00215907">
      <w:pPr>
        <w:pStyle w:val="FootnoteText"/>
        <w:rPr>
          <w:lang w:val="es-419"/>
        </w:rPr>
      </w:pPr>
      <w:r>
        <w:rPr>
          <w:rStyle w:val="FootnoteReference"/>
        </w:rPr>
        <w:footnoteRef/>
      </w:r>
      <w:r>
        <w:t xml:space="preserve"> </w:t>
      </w:r>
      <w:r w:rsidRPr="00B718CA">
        <w:rPr>
          <w:lang w:val="es-419"/>
        </w:rPr>
        <w:t>Fuente: Emisiones de CO2 de combustibles</w:t>
      </w:r>
      <w:r>
        <w:rPr>
          <w:lang w:val="es-419"/>
        </w:rPr>
        <w:t xml:space="preserve"> (para Bolivia)</w:t>
      </w:r>
      <w:r w:rsidRPr="00B718CA">
        <w:rPr>
          <w:lang w:val="es-419"/>
        </w:rPr>
        <w:t xml:space="preserve">, </w:t>
      </w:r>
      <w:r>
        <w:rPr>
          <w:lang w:val="es-419"/>
        </w:rPr>
        <w:t>Agencia Internacional de Energía, 2016</w:t>
      </w:r>
    </w:p>
  </w:footnote>
  <w:footnote w:id="5">
    <w:p w:rsidR="008F0E47" w:rsidRPr="00D42463" w:rsidRDefault="008F0E47" w:rsidP="00215907">
      <w:pPr>
        <w:pStyle w:val="FootnoteText"/>
        <w:rPr>
          <w:lang w:val="es-419"/>
        </w:rPr>
      </w:pPr>
      <w:r>
        <w:rPr>
          <w:rStyle w:val="FootnoteReference"/>
        </w:rPr>
        <w:footnoteRef/>
      </w:r>
      <w:r>
        <w:t xml:space="preserve"> </w:t>
      </w:r>
      <w:r w:rsidRPr="00D42463">
        <w:rPr>
          <w:lang w:val="es-419"/>
        </w:rPr>
        <w:t>Publicación diario E</w:t>
      </w:r>
      <w:r>
        <w:rPr>
          <w:lang w:val="es-419"/>
        </w:rPr>
        <w:t>l</w:t>
      </w:r>
      <w:r w:rsidRPr="00D42463">
        <w:rPr>
          <w:lang w:val="es-419"/>
        </w:rPr>
        <w:t xml:space="preserve"> Deber del 20 de febrero de 2017</w:t>
      </w:r>
    </w:p>
  </w:footnote>
  <w:footnote w:id="6">
    <w:p w:rsidR="008F0E47" w:rsidRPr="00BC256E" w:rsidRDefault="008F0E47" w:rsidP="00E67E7B">
      <w:pPr>
        <w:pStyle w:val="FootnoteText"/>
      </w:pPr>
      <w:r>
        <w:rPr>
          <w:rStyle w:val="FootnoteReference"/>
        </w:rPr>
        <w:footnoteRef/>
      </w:r>
      <w:r>
        <w:t xml:space="preserve"> </w:t>
      </w:r>
      <w:r w:rsidRPr="00BC256E">
        <w:t>Información proporcionada por las Unidades de Alumbrado Público de las Alcaldías.</w:t>
      </w:r>
    </w:p>
  </w:footnote>
  <w:footnote w:id="7">
    <w:p w:rsidR="008F0E47" w:rsidRPr="003F516B" w:rsidRDefault="008F0E47" w:rsidP="00E67E7B">
      <w:pPr>
        <w:pStyle w:val="FootnoteText"/>
        <w:rPr>
          <w:lang w:val="es-ES_tradnl"/>
        </w:rPr>
      </w:pPr>
      <w:r>
        <w:rPr>
          <w:rStyle w:val="FootnoteReference"/>
        </w:rPr>
        <w:footnoteRef/>
      </w:r>
      <w:r>
        <w:t xml:space="preserve"> </w:t>
      </w:r>
      <w:r w:rsidRPr="003F516B">
        <w:rPr>
          <w:lang w:val="es-ES_tradnl"/>
        </w:rPr>
        <w:t xml:space="preserve">Ministerio de que Planificación y Desarrollo </w:t>
      </w:r>
      <w:r>
        <w:rPr>
          <w:lang w:val="es-ES_tradnl"/>
        </w:rPr>
        <w:t>(MDP)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DCA"/>
    <w:multiLevelType w:val="hybridMultilevel"/>
    <w:tmpl w:val="61C2EA46"/>
    <w:lvl w:ilvl="0" w:tplc="52E816E2">
      <w:start w:val="1"/>
      <w:numFmt w:val="lowerLetter"/>
      <w:lvlText w:val="(%1)"/>
      <w:lvlJc w:val="left"/>
      <w:pPr>
        <w:ind w:left="720" w:hanging="360"/>
      </w:pPr>
      <w:rPr>
        <w:rFonts w:ascii="Arial" w:hAnsi="Arial" w:cs="Arial" w:hint="default"/>
        <w:b w:val="0"/>
        <w:sz w:val="16"/>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6093AF0"/>
    <w:multiLevelType w:val="hybridMultilevel"/>
    <w:tmpl w:val="7D745FC0"/>
    <w:lvl w:ilvl="0" w:tplc="7CEE18BE">
      <w:start w:val="1"/>
      <w:numFmt w:val="lowerLetter"/>
      <w:lvlText w:val="(%1)"/>
      <w:lvlJc w:val="left"/>
      <w:pPr>
        <w:ind w:left="720" w:hanging="360"/>
      </w:pPr>
      <w:rPr>
        <w:rFonts w:ascii="Arial" w:hAnsi="Arial" w:cs="Arial" w:hint="default"/>
        <w:b w:val="0"/>
        <w:sz w:val="16"/>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 w15:restartNumberingAfterBreak="0">
    <w:nsid w:val="099C5A64"/>
    <w:multiLevelType w:val="hybridMultilevel"/>
    <w:tmpl w:val="0F8A9D78"/>
    <w:lvl w:ilvl="0" w:tplc="580A0001">
      <w:start w:val="1"/>
      <w:numFmt w:val="bullet"/>
      <w:lvlText w:val=""/>
      <w:lvlJc w:val="left"/>
      <w:pPr>
        <w:ind w:left="360" w:hanging="360"/>
      </w:pPr>
      <w:rPr>
        <w:rFonts w:ascii="Symbol" w:hAnsi="Symbol" w:hint="default"/>
      </w:rPr>
    </w:lvl>
    <w:lvl w:ilvl="1" w:tplc="580A0003" w:tentative="1">
      <w:start w:val="1"/>
      <w:numFmt w:val="bullet"/>
      <w:lvlText w:val="o"/>
      <w:lvlJc w:val="left"/>
      <w:pPr>
        <w:ind w:left="1080" w:hanging="360"/>
      </w:pPr>
      <w:rPr>
        <w:rFonts w:ascii="Courier New" w:hAnsi="Courier New" w:cs="Courier New" w:hint="default"/>
      </w:rPr>
    </w:lvl>
    <w:lvl w:ilvl="2" w:tplc="580A0005" w:tentative="1">
      <w:start w:val="1"/>
      <w:numFmt w:val="bullet"/>
      <w:lvlText w:val=""/>
      <w:lvlJc w:val="left"/>
      <w:pPr>
        <w:ind w:left="1800" w:hanging="360"/>
      </w:pPr>
      <w:rPr>
        <w:rFonts w:ascii="Wingdings" w:hAnsi="Wingdings" w:hint="default"/>
      </w:rPr>
    </w:lvl>
    <w:lvl w:ilvl="3" w:tplc="580A0001" w:tentative="1">
      <w:start w:val="1"/>
      <w:numFmt w:val="bullet"/>
      <w:lvlText w:val=""/>
      <w:lvlJc w:val="left"/>
      <w:pPr>
        <w:ind w:left="2520" w:hanging="360"/>
      </w:pPr>
      <w:rPr>
        <w:rFonts w:ascii="Symbol" w:hAnsi="Symbol" w:hint="default"/>
      </w:rPr>
    </w:lvl>
    <w:lvl w:ilvl="4" w:tplc="580A0003" w:tentative="1">
      <w:start w:val="1"/>
      <w:numFmt w:val="bullet"/>
      <w:lvlText w:val="o"/>
      <w:lvlJc w:val="left"/>
      <w:pPr>
        <w:ind w:left="3240" w:hanging="360"/>
      </w:pPr>
      <w:rPr>
        <w:rFonts w:ascii="Courier New" w:hAnsi="Courier New" w:cs="Courier New" w:hint="default"/>
      </w:rPr>
    </w:lvl>
    <w:lvl w:ilvl="5" w:tplc="580A0005" w:tentative="1">
      <w:start w:val="1"/>
      <w:numFmt w:val="bullet"/>
      <w:lvlText w:val=""/>
      <w:lvlJc w:val="left"/>
      <w:pPr>
        <w:ind w:left="3960" w:hanging="360"/>
      </w:pPr>
      <w:rPr>
        <w:rFonts w:ascii="Wingdings" w:hAnsi="Wingdings" w:hint="default"/>
      </w:rPr>
    </w:lvl>
    <w:lvl w:ilvl="6" w:tplc="580A0001" w:tentative="1">
      <w:start w:val="1"/>
      <w:numFmt w:val="bullet"/>
      <w:lvlText w:val=""/>
      <w:lvlJc w:val="left"/>
      <w:pPr>
        <w:ind w:left="4680" w:hanging="360"/>
      </w:pPr>
      <w:rPr>
        <w:rFonts w:ascii="Symbol" w:hAnsi="Symbol" w:hint="default"/>
      </w:rPr>
    </w:lvl>
    <w:lvl w:ilvl="7" w:tplc="580A0003" w:tentative="1">
      <w:start w:val="1"/>
      <w:numFmt w:val="bullet"/>
      <w:lvlText w:val="o"/>
      <w:lvlJc w:val="left"/>
      <w:pPr>
        <w:ind w:left="5400" w:hanging="360"/>
      </w:pPr>
      <w:rPr>
        <w:rFonts w:ascii="Courier New" w:hAnsi="Courier New" w:cs="Courier New" w:hint="default"/>
      </w:rPr>
    </w:lvl>
    <w:lvl w:ilvl="8" w:tplc="580A0005" w:tentative="1">
      <w:start w:val="1"/>
      <w:numFmt w:val="bullet"/>
      <w:lvlText w:val=""/>
      <w:lvlJc w:val="left"/>
      <w:pPr>
        <w:ind w:left="6120" w:hanging="360"/>
      </w:pPr>
      <w:rPr>
        <w:rFonts w:ascii="Wingdings" w:hAnsi="Wingdings" w:hint="default"/>
      </w:rPr>
    </w:lvl>
  </w:abstractNum>
  <w:abstractNum w:abstractNumId="3" w15:restartNumberingAfterBreak="0">
    <w:nsid w:val="1BC57B34"/>
    <w:multiLevelType w:val="hybridMultilevel"/>
    <w:tmpl w:val="8042E6D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 w15:restartNumberingAfterBreak="0">
    <w:nsid w:val="2B2154C4"/>
    <w:multiLevelType w:val="hybridMultilevel"/>
    <w:tmpl w:val="8042E6D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 w15:restartNumberingAfterBreak="0">
    <w:nsid w:val="34946175"/>
    <w:multiLevelType w:val="hybridMultilevel"/>
    <w:tmpl w:val="26FAB8E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6" w15:restartNumberingAfterBreak="0">
    <w:nsid w:val="38C352C0"/>
    <w:multiLevelType w:val="hybridMultilevel"/>
    <w:tmpl w:val="45DA2DE4"/>
    <w:lvl w:ilvl="0" w:tplc="080A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8F375A"/>
    <w:multiLevelType w:val="multilevel"/>
    <w:tmpl w:val="E9CE4112"/>
    <w:lvl w:ilvl="0">
      <w:start w:val="1"/>
      <w:numFmt w:val="upperRoman"/>
      <w:pStyle w:val="Heading1"/>
      <w:lvlText w:val="%1."/>
      <w:lvlJc w:val="right"/>
      <w:pPr>
        <w:ind w:left="720" w:hanging="360"/>
      </w:pPr>
      <w:rPr>
        <w:lang w:val="es-MX"/>
      </w:rPr>
    </w:lvl>
    <w:lvl w:ilvl="1">
      <w:start w:val="1"/>
      <w:numFmt w:val="decimal"/>
      <w:isLgl/>
      <w:lvlText w:val="%1.%2"/>
      <w:lvlJc w:val="left"/>
      <w:pPr>
        <w:ind w:left="862"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8" w15:restartNumberingAfterBreak="0">
    <w:nsid w:val="40096C0A"/>
    <w:multiLevelType w:val="hybridMultilevel"/>
    <w:tmpl w:val="230CCC20"/>
    <w:lvl w:ilvl="0" w:tplc="4A54D1F0">
      <w:start w:val="1"/>
      <w:numFmt w:val="decimal"/>
      <w:lvlText w:val="%1."/>
      <w:lvlJc w:val="left"/>
      <w:pPr>
        <w:ind w:left="720" w:hanging="360"/>
      </w:pPr>
      <w:rPr>
        <w:rFonts w:hint="default"/>
        <w:b/>
        <w:i w:val="0"/>
        <w:sz w:val="24"/>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40DD0F1D"/>
    <w:multiLevelType w:val="hybridMultilevel"/>
    <w:tmpl w:val="2690E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FC73FB"/>
    <w:multiLevelType w:val="hybridMultilevel"/>
    <w:tmpl w:val="1E98FB80"/>
    <w:lvl w:ilvl="0" w:tplc="FFDAE81C">
      <w:start w:val="1"/>
      <w:numFmt w:val="decimal"/>
      <w:lvlText w:val="%1."/>
      <w:lvlJc w:val="left"/>
      <w:pPr>
        <w:ind w:left="1070" w:hanging="71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1" w15:restartNumberingAfterBreak="0">
    <w:nsid w:val="55847E65"/>
    <w:multiLevelType w:val="hybridMultilevel"/>
    <w:tmpl w:val="56849E66"/>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2" w15:restartNumberingAfterBreak="0">
    <w:nsid w:val="572152F9"/>
    <w:multiLevelType w:val="hybridMultilevel"/>
    <w:tmpl w:val="4000D02E"/>
    <w:lvl w:ilvl="0" w:tplc="13480DFE">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3" w15:restartNumberingAfterBreak="0">
    <w:nsid w:val="586B51DF"/>
    <w:multiLevelType w:val="hybridMultilevel"/>
    <w:tmpl w:val="61C2EA46"/>
    <w:lvl w:ilvl="0" w:tplc="52E816E2">
      <w:start w:val="1"/>
      <w:numFmt w:val="lowerLetter"/>
      <w:lvlText w:val="(%1)"/>
      <w:lvlJc w:val="left"/>
      <w:pPr>
        <w:ind w:left="720" w:hanging="360"/>
      </w:pPr>
      <w:rPr>
        <w:rFonts w:ascii="Arial" w:hAnsi="Arial" w:cs="Arial" w:hint="default"/>
        <w:b w:val="0"/>
        <w:sz w:val="16"/>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5D2B781C"/>
    <w:multiLevelType w:val="hybridMultilevel"/>
    <w:tmpl w:val="3A1E0848"/>
    <w:lvl w:ilvl="0" w:tplc="04090001">
      <w:start w:val="1"/>
      <w:numFmt w:val="bullet"/>
      <w:lvlText w:val=""/>
      <w:lvlJc w:val="left"/>
      <w:pPr>
        <w:ind w:left="1074" w:hanging="360"/>
      </w:pPr>
      <w:rPr>
        <w:rFonts w:ascii="Symbol" w:hAnsi="Symbol"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5" w15:restartNumberingAfterBreak="0">
    <w:nsid w:val="5EE07D47"/>
    <w:multiLevelType w:val="hybridMultilevel"/>
    <w:tmpl w:val="45DA2DE4"/>
    <w:lvl w:ilvl="0" w:tplc="080A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145729"/>
    <w:multiLevelType w:val="hybridMultilevel"/>
    <w:tmpl w:val="45DA2DE4"/>
    <w:lvl w:ilvl="0" w:tplc="080A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E13292"/>
    <w:multiLevelType w:val="hybridMultilevel"/>
    <w:tmpl w:val="F3E426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70B315E"/>
    <w:multiLevelType w:val="hybridMultilevel"/>
    <w:tmpl w:val="4000D02E"/>
    <w:lvl w:ilvl="0" w:tplc="13480DFE">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7C341F39"/>
    <w:multiLevelType w:val="hybridMultilevel"/>
    <w:tmpl w:val="0B08A7CC"/>
    <w:lvl w:ilvl="0" w:tplc="580A000F">
      <w:start w:val="1"/>
      <w:numFmt w:val="decimal"/>
      <w:lvlText w:val="%1."/>
      <w:lvlJc w:val="left"/>
      <w:pPr>
        <w:ind w:left="720" w:hanging="360"/>
      </w:pPr>
      <w:rPr>
        <w:rFonts w:hint="default"/>
        <w:b/>
        <w:i w:val="0"/>
        <w:sz w:val="24"/>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7"/>
  </w:num>
  <w:num w:numId="2">
    <w:abstractNumId w:val="7"/>
  </w:num>
  <w:num w:numId="3">
    <w:abstractNumId w:val="7"/>
  </w:num>
  <w:num w:numId="4">
    <w:abstractNumId w:val="17"/>
  </w:num>
  <w:num w:numId="5">
    <w:abstractNumId w:val="10"/>
  </w:num>
  <w:num w:numId="6">
    <w:abstractNumId w:val="16"/>
  </w:num>
  <w:num w:numId="7">
    <w:abstractNumId w:val="6"/>
  </w:num>
  <w:num w:numId="8">
    <w:abstractNumId w:val="9"/>
  </w:num>
  <w:num w:numId="9">
    <w:abstractNumId w:val="14"/>
  </w:num>
  <w:num w:numId="10">
    <w:abstractNumId w:val="11"/>
  </w:num>
  <w:num w:numId="11">
    <w:abstractNumId w:val="5"/>
  </w:num>
  <w:num w:numId="12">
    <w:abstractNumId w:val="2"/>
  </w:num>
  <w:num w:numId="13">
    <w:abstractNumId w:val="12"/>
  </w:num>
  <w:num w:numId="14">
    <w:abstractNumId w:val="15"/>
  </w:num>
  <w:num w:numId="15">
    <w:abstractNumId w:val="18"/>
  </w:num>
  <w:num w:numId="16">
    <w:abstractNumId w:val="3"/>
  </w:num>
  <w:num w:numId="17">
    <w:abstractNumId w:val="8"/>
  </w:num>
  <w:num w:numId="18">
    <w:abstractNumId w:val="19"/>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
  </w:num>
  <w:num w:numId="22">
    <w:abstractNumId w:val="13"/>
  </w:num>
  <w:num w:numId="23">
    <w:abstractNumId w:val="4"/>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601"/>
    <w:rsid w:val="000055F5"/>
    <w:rsid w:val="00010F03"/>
    <w:rsid w:val="00013C8A"/>
    <w:rsid w:val="0001509A"/>
    <w:rsid w:val="00020EB7"/>
    <w:rsid w:val="00025773"/>
    <w:rsid w:val="00034C79"/>
    <w:rsid w:val="00050B61"/>
    <w:rsid w:val="00053D48"/>
    <w:rsid w:val="00063530"/>
    <w:rsid w:val="00067658"/>
    <w:rsid w:val="000A2F04"/>
    <w:rsid w:val="000D0593"/>
    <w:rsid w:val="000E6984"/>
    <w:rsid w:val="00110801"/>
    <w:rsid w:val="00121585"/>
    <w:rsid w:val="00165642"/>
    <w:rsid w:val="00177AC0"/>
    <w:rsid w:val="001D0C98"/>
    <w:rsid w:val="001D74A7"/>
    <w:rsid w:val="001F1515"/>
    <w:rsid w:val="00215907"/>
    <w:rsid w:val="00221BD6"/>
    <w:rsid w:val="0023773C"/>
    <w:rsid w:val="00237E6C"/>
    <w:rsid w:val="00237F0E"/>
    <w:rsid w:val="0024434B"/>
    <w:rsid w:val="002566F1"/>
    <w:rsid w:val="00287DB4"/>
    <w:rsid w:val="002A3E6C"/>
    <w:rsid w:val="002D3157"/>
    <w:rsid w:val="003223DD"/>
    <w:rsid w:val="00324AA6"/>
    <w:rsid w:val="0034227F"/>
    <w:rsid w:val="00344313"/>
    <w:rsid w:val="0035664B"/>
    <w:rsid w:val="003C6930"/>
    <w:rsid w:val="003F516B"/>
    <w:rsid w:val="004F45DD"/>
    <w:rsid w:val="005174DA"/>
    <w:rsid w:val="00523A9B"/>
    <w:rsid w:val="00545EDD"/>
    <w:rsid w:val="005B5689"/>
    <w:rsid w:val="005D36B0"/>
    <w:rsid w:val="005E3B54"/>
    <w:rsid w:val="005F0E5E"/>
    <w:rsid w:val="00610816"/>
    <w:rsid w:val="00616383"/>
    <w:rsid w:val="006306CA"/>
    <w:rsid w:val="00642088"/>
    <w:rsid w:val="00645C9E"/>
    <w:rsid w:val="006530B3"/>
    <w:rsid w:val="00675E5A"/>
    <w:rsid w:val="006818A9"/>
    <w:rsid w:val="00681CFE"/>
    <w:rsid w:val="006835CA"/>
    <w:rsid w:val="006C168A"/>
    <w:rsid w:val="006C27FC"/>
    <w:rsid w:val="006D67BB"/>
    <w:rsid w:val="006E6E6D"/>
    <w:rsid w:val="007130BF"/>
    <w:rsid w:val="00723B53"/>
    <w:rsid w:val="00740172"/>
    <w:rsid w:val="00747167"/>
    <w:rsid w:val="0075109C"/>
    <w:rsid w:val="00751B9C"/>
    <w:rsid w:val="007B5A65"/>
    <w:rsid w:val="007E5BDC"/>
    <w:rsid w:val="00823D57"/>
    <w:rsid w:val="008246A0"/>
    <w:rsid w:val="0082608A"/>
    <w:rsid w:val="00840A21"/>
    <w:rsid w:val="00853A08"/>
    <w:rsid w:val="00862BFA"/>
    <w:rsid w:val="00885F44"/>
    <w:rsid w:val="00886EF8"/>
    <w:rsid w:val="00895334"/>
    <w:rsid w:val="008A0B38"/>
    <w:rsid w:val="008C4498"/>
    <w:rsid w:val="008C575F"/>
    <w:rsid w:val="008F0E47"/>
    <w:rsid w:val="008F620D"/>
    <w:rsid w:val="00905BBE"/>
    <w:rsid w:val="00913D57"/>
    <w:rsid w:val="009232D8"/>
    <w:rsid w:val="009245AB"/>
    <w:rsid w:val="00974552"/>
    <w:rsid w:val="009A653C"/>
    <w:rsid w:val="009C2DE5"/>
    <w:rsid w:val="009D446F"/>
    <w:rsid w:val="009E56F0"/>
    <w:rsid w:val="00A36829"/>
    <w:rsid w:val="00A377BB"/>
    <w:rsid w:val="00A434D0"/>
    <w:rsid w:val="00A614F0"/>
    <w:rsid w:val="00A653CD"/>
    <w:rsid w:val="00A66CE2"/>
    <w:rsid w:val="00A900CE"/>
    <w:rsid w:val="00AD55F9"/>
    <w:rsid w:val="00AE05D1"/>
    <w:rsid w:val="00AE60D0"/>
    <w:rsid w:val="00AF1601"/>
    <w:rsid w:val="00AF5BBE"/>
    <w:rsid w:val="00B030A9"/>
    <w:rsid w:val="00B07CCB"/>
    <w:rsid w:val="00B11032"/>
    <w:rsid w:val="00B2280C"/>
    <w:rsid w:val="00B718CA"/>
    <w:rsid w:val="00B80AB2"/>
    <w:rsid w:val="00B8661B"/>
    <w:rsid w:val="00B9550B"/>
    <w:rsid w:val="00BA2E52"/>
    <w:rsid w:val="00BE158B"/>
    <w:rsid w:val="00C03F28"/>
    <w:rsid w:val="00C1346F"/>
    <w:rsid w:val="00C214AA"/>
    <w:rsid w:val="00C72785"/>
    <w:rsid w:val="00C81A60"/>
    <w:rsid w:val="00C94F48"/>
    <w:rsid w:val="00CC7EAB"/>
    <w:rsid w:val="00CE08C8"/>
    <w:rsid w:val="00CF41F9"/>
    <w:rsid w:val="00CF7CF4"/>
    <w:rsid w:val="00D002DF"/>
    <w:rsid w:val="00D06215"/>
    <w:rsid w:val="00D22F0E"/>
    <w:rsid w:val="00D33579"/>
    <w:rsid w:val="00D42463"/>
    <w:rsid w:val="00D739C3"/>
    <w:rsid w:val="00D806B8"/>
    <w:rsid w:val="00D81E2E"/>
    <w:rsid w:val="00D851BD"/>
    <w:rsid w:val="00DA39A3"/>
    <w:rsid w:val="00E04894"/>
    <w:rsid w:val="00E27AF3"/>
    <w:rsid w:val="00E43730"/>
    <w:rsid w:val="00E67E7B"/>
    <w:rsid w:val="00E71852"/>
    <w:rsid w:val="00EA7565"/>
    <w:rsid w:val="00EC515A"/>
    <w:rsid w:val="00EF0A67"/>
    <w:rsid w:val="00FB2B77"/>
    <w:rsid w:val="00FC4E69"/>
    <w:rsid w:val="00FD0799"/>
    <w:rsid w:val="00FF1F91"/>
    <w:rsid w:val="00FF54C4"/>
    <w:rsid w:val="00FF5B5B"/>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B4BAA"/>
  <w15:chartTrackingRefBased/>
  <w15:docId w15:val="{95FE3958-E0C9-446B-BA49-C59867ED2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1601"/>
    <w:pPr>
      <w:spacing w:after="200" w:line="276" w:lineRule="auto"/>
    </w:pPr>
    <w:rPr>
      <w:lang w:val="en-US"/>
    </w:rPr>
  </w:style>
  <w:style w:type="paragraph" w:styleId="Heading1">
    <w:name w:val="heading 1"/>
    <w:basedOn w:val="Normal"/>
    <w:next w:val="Normal"/>
    <w:link w:val="Heading1Char"/>
    <w:uiPriority w:val="9"/>
    <w:qFormat/>
    <w:rsid w:val="00AF1601"/>
    <w:pPr>
      <w:keepNext/>
      <w:keepLines/>
      <w:numPr>
        <w:numId w:val="1"/>
      </w:numPr>
      <w:spacing w:before="480" w:after="0"/>
      <w:outlineLvl w:val="0"/>
    </w:pPr>
    <w:rPr>
      <w:rFonts w:ascii="Arial Black" w:eastAsiaTheme="majorEastAsia" w:hAnsi="Arial Black" w:cstheme="majorBidi"/>
      <w:b/>
      <w:bCs/>
      <w:color w:val="5F7D96"/>
      <w:sz w:val="26"/>
      <w:szCs w:val="26"/>
    </w:rPr>
  </w:style>
  <w:style w:type="paragraph" w:styleId="Heading2">
    <w:name w:val="heading 2"/>
    <w:basedOn w:val="Normal"/>
    <w:next w:val="Normal"/>
    <w:link w:val="Heading2Char"/>
    <w:uiPriority w:val="9"/>
    <w:unhideWhenUsed/>
    <w:qFormat/>
    <w:rsid w:val="00AF160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F160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601"/>
    <w:rPr>
      <w:rFonts w:ascii="Arial Black" w:eastAsiaTheme="majorEastAsia" w:hAnsi="Arial Black" w:cstheme="majorBidi"/>
      <w:b/>
      <w:bCs/>
      <w:color w:val="5F7D96"/>
      <w:sz w:val="26"/>
      <w:szCs w:val="26"/>
      <w:lang w:val="en-US"/>
    </w:rPr>
  </w:style>
  <w:style w:type="character" w:customStyle="1" w:styleId="Heading2Char">
    <w:name w:val="Heading 2 Char"/>
    <w:basedOn w:val="DefaultParagraphFont"/>
    <w:link w:val="Heading2"/>
    <w:uiPriority w:val="9"/>
    <w:rsid w:val="00AF1601"/>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AF1601"/>
    <w:rPr>
      <w:rFonts w:asciiTheme="majorHAnsi" w:eastAsiaTheme="majorEastAsia" w:hAnsiTheme="majorHAnsi" w:cstheme="majorBidi"/>
      <w:color w:val="1F4D78" w:themeColor="accent1" w:themeShade="7F"/>
      <w:sz w:val="24"/>
      <w:szCs w:val="24"/>
      <w:lang w:val="en-US"/>
    </w:rPr>
  </w:style>
  <w:style w:type="paragraph" w:styleId="ListParagraph">
    <w:name w:val="List Paragraph"/>
    <w:aliases w:val="titulo 5"/>
    <w:basedOn w:val="Normal"/>
    <w:link w:val="ListParagraphChar"/>
    <w:uiPriority w:val="34"/>
    <w:qFormat/>
    <w:rsid w:val="00013C8A"/>
    <w:pPr>
      <w:spacing w:after="0" w:line="240" w:lineRule="auto"/>
      <w:ind w:left="720"/>
      <w:contextualSpacing/>
    </w:pPr>
    <w:rPr>
      <w:rFonts w:ascii="Times New Roman" w:eastAsia="Times New Roman" w:hAnsi="Times New Roman" w:cs="Times New Roman"/>
      <w:sz w:val="24"/>
      <w:szCs w:val="24"/>
      <w:lang w:val="es-MX" w:eastAsia="es-MX"/>
    </w:rPr>
  </w:style>
  <w:style w:type="character" w:customStyle="1" w:styleId="ListParagraphChar">
    <w:name w:val="List Paragraph Char"/>
    <w:aliases w:val="titulo 5 Char"/>
    <w:link w:val="ListParagraph"/>
    <w:uiPriority w:val="34"/>
    <w:locked/>
    <w:rsid w:val="00013C8A"/>
    <w:rPr>
      <w:rFonts w:ascii="Times New Roman" w:eastAsia="Times New Roman" w:hAnsi="Times New Roman" w:cs="Times New Roman"/>
      <w:sz w:val="24"/>
      <w:szCs w:val="24"/>
      <w:lang w:val="es-MX" w:eastAsia="es-MX"/>
    </w:rPr>
  </w:style>
  <w:style w:type="paragraph" w:styleId="FootnoteText">
    <w:name w:val="footnote text"/>
    <w:aliases w:val="-E Fußnotentext,Fußnotentext Ursprung,footnote text,Footnote Text Char"/>
    <w:basedOn w:val="Normal"/>
    <w:link w:val="FootnoteTextChar1"/>
    <w:uiPriority w:val="99"/>
    <w:rsid w:val="00165642"/>
    <w:pPr>
      <w:tabs>
        <w:tab w:val="left" w:pos="227"/>
      </w:tabs>
      <w:spacing w:after="80" w:line="240" w:lineRule="auto"/>
      <w:ind w:left="227" w:hanging="227"/>
    </w:pPr>
    <w:rPr>
      <w:rFonts w:ascii="Times New Roman" w:eastAsia="Times New Roman" w:hAnsi="Times New Roman" w:cs="Times New Roman"/>
      <w:sz w:val="18"/>
      <w:szCs w:val="24"/>
      <w:lang w:val="es-MX" w:eastAsia="es-MX"/>
    </w:rPr>
  </w:style>
  <w:style w:type="character" w:customStyle="1" w:styleId="FootnoteTextChar1">
    <w:name w:val="Footnote Text Char1"/>
    <w:aliases w:val="-E Fußnotentext Char,Fußnotentext Ursprung Char,footnote text Char,Footnote Text Char Char"/>
    <w:basedOn w:val="DefaultParagraphFont"/>
    <w:link w:val="FootnoteText"/>
    <w:uiPriority w:val="99"/>
    <w:rsid w:val="00165642"/>
    <w:rPr>
      <w:rFonts w:ascii="Times New Roman" w:eastAsia="Times New Roman" w:hAnsi="Times New Roman" w:cs="Times New Roman"/>
      <w:sz w:val="18"/>
      <w:szCs w:val="24"/>
      <w:lang w:val="es-MX" w:eastAsia="es-MX"/>
    </w:rPr>
  </w:style>
  <w:style w:type="character" w:styleId="FootnoteReference">
    <w:name w:val="footnote reference"/>
    <w:basedOn w:val="DefaultParagraphFont"/>
    <w:uiPriority w:val="99"/>
    <w:rsid w:val="00165642"/>
    <w:rPr>
      <w:vertAlign w:val="superscript"/>
    </w:rPr>
  </w:style>
  <w:style w:type="table" w:styleId="TableGrid">
    <w:name w:val="Table Grid"/>
    <w:basedOn w:val="TableNormal"/>
    <w:uiPriority w:val="39"/>
    <w:rsid w:val="00E43730"/>
    <w:pPr>
      <w:spacing w:after="0" w:line="240" w:lineRule="auto"/>
    </w:pPr>
    <w:rPr>
      <w:rFonts w:ascii="Times New Roman" w:eastAsia="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next w:val="TableGrid"/>
    <w:uiPriority w:val="59"/>
    <w:rsid w:val="00E43730"/>
    <w:pPr>
      <w:spacing w:after="0" w:line="240" w:lineRule="auto"/>
      <w:jc w:val="both"/>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5664B"/>
    <w:pPr>
      <w:numPr>
        <w:numId w:val="0"/>
      </w:numPr>
      <w:spacing w:before="240" w:line="259" w:lineRule="auto"/>
      <w:outlineLvl w:val="9"/>
    </w:pPr>
    <w:rPr>
      <w:rFonts w:asciiTheme="majorHAnsi" w:hAnsiTheme="majorHAnsi"/>
      <w:b w:val="0"/>
      <w:bCs w:val="0"/>
      <w:color w:val="2E74B5" w:themeColor="accent1" w:themeShade="BF"/>
      <w:sz w:val="32"/>
      <w:szCs w:val="32"/>
      <w:lang w:val="es-419" w:eastAsia="es-419"/>
    </w:rPr>
  </w:style>
  <w:style w:type="paragraph" w:styleId="TOC1">
    <w:name w:val="toc 1"/>
    <w:basedOn w:val="Normal"/>
    <w:next w:val="Normal"/>
    <w:autoRedefine/>
    <w:uiPriority w:val="39"/>
    <w:unhideWhenUsed/>
    <w:rsid w:val="0035664B"/>
    <w:pPr>
      <w:spacing w:after="100"/>
    </w:pPr>
  </w:style>
  <w:style w:type="paragraph" w:styleId="TOC2">
    <w:name w:val="toc 2"/>
    <w:basedOn w:val="Normal"/>
    <w:next w:val="Normal"/>
    <w:autoRedefine/>
    <w:uiPriority w:val="39"/>
    <w:unhideWhenUsed/>
    <w:rsid w:val="0035664B"/>
    <w:pPr>
      <w:spacing w:after="100"/>
      <w:ind w:left="220"/>
    </w:pPr>
  </w:style>
  <w:style w:type="paragraph" w:styleId="TOC3">
    <w:name w:val="toc 3"/>
    <w:basedOn w:val="Normal"/>
    <w:next w:val="Normal"/>
    <w:autoRedefine/>
    <w:uiPriority w:val="39"/>
    <w:unhideWhenUsed/>
    <w:rsid w:val="0035664B"/>
    <w:pPr>
      <w:spacing w:after="100"/>
      <w:ind w:left="440"/>
    </w:pPr>
  </w:style>
  <w:style w:type="character" w:styleId="Hyperlink">
    <w:name w:val="Hyperlink"/>
    <w:basedOn w:val="DefaultParagraphFont"/>
    <w:uiPriority w:val="99"/>
    <w:unhideWhenUsed/>
    <w:rsid w:val="0035664B"/>
    <w:rPr>
      <w:color w:val="0563C1" w:themeColor="hyperlink"/>
      <w:u w:val="single"/>
    </w:rPr>
  </w:style>
  <w:style w:type="paragraph" w:styleId="Header">
    <w:name w:val="header"/>
    <w:basedOn w:val="Normal"/>
    <w:link w:val="HeaderChar"/>
    <w:uiPriority w:val="99"/>
    <w:unhideWhenUsed/>
    <w:rsid w:val="00324AA6"/>
    <w:pPr>
      <w:tabs>
        <w:tab w:val="center" w:pos="4252"/>
        <w:tab w:val="right" w:pos="8504"/>
      </w:tabs>
      <w:spacing w:after="0" w:line="240" w:lineRule="auto"/>
    </w:pPr>
  </w:style>
  <w:style w:type="character" w:customStyle="1" w:styleId="HeaderChar">
    <w:name w:val="Header Char"/>
    <w:basedOn w:val="DefaultParagraphFont"/>
    <w:link w:val="Header"/>
    <w:uiPriority w:val="99"/>
    <w:rsid w:val="00324AA6"/>
    <w:rPr>
      <w:lang w:val="en-US"/>
    </w:rPr>
  </w:style>
  <w:style w:type="paragraph" w:styleId="Footer">
    <w:name w:val="footer"/>
    <w:basedOn w:val="Normal"/>
    <w:link w:val="FooterChar"/>
    <w:uiPriority w:val="99"/>
    <w:unhideWhenUsed/>
    <w:rsid w:val="00324AA6"/>
    <w:pPr>
      <w:tabs>
        <w:tab w:val="center" w:pos="4252"/>
        <w:tab w:val="right" w:pos="8504"/>
      </w:tabs>
      <w:spacing w:after="0" w:line="240" w:lineRule="auto"/>
    </w:pPr>
  </w:style>
  <w:style w:type="character" w:customStyle="1" w:styleId="FooterChar">
    <w:name w:val="Footer Char"/>
    <w:basedOn w:val="DefaultParagraphFont"/>
    <w:link w:val="Footer"/>
    <w:uiPriority w:val="99"/>
    <w:rsid w:val="00324AA6"/>
    <w:rPr>
      <w:lang w:val="en-US"/>
    </w:rPr>
  </w:style>
  <w:style w:type="character" w:styleId="CommentReference">
    <w:name w:val="annotation reference"/>
    <w:basedOn w:val="DefaultParagraphFont"/>
    <w:uiPriority w:val="99"/>
    <w:semiHidden/>
    <w:unhideWhenUsed/>
    <w:rsid w:val="00A377BB"/>
    <w:rPr>
      <w:sz w:val="16"/>
      <w:szCs w:val="16"/>
    </w:rPr>
  </w:style>
  <w:style w:type="paragraph" w:styleId="CommentText">
    <w:name w:val="annotation text"/>
    <w:basedOn w:val="Normal"/>
    <w:link w:val="CommentTextChar"/>
    <w:uiPriority w:val="99"/>
    <w:semiHidden/>
    <w:unhideWhenUsed/>
    <w:rsid w:val="00A377BB"/>
    <w:pPr>
      <w:spacing w:line="240" w:lineRule="auto"/>
    </w:pPr>
    <w:rPr>
      <w:sz w:val="20"/>
      <w:szCs w:val="20"/>
    </w:rPr>
  </w:style>
  <w:style w:type="character" w:customStyle="1" w:styleId="CommentTextChar">
    <w:name w:val="Comment Text Char"/>
    <w:basedOn w:val="DefaultParagraphFont"/>
    <w:link w:val="CommentText"/>
    <w:uiPriority w:val="99"/>
    <w:semiHidden/>
    <w:rsid w:val="00A377BB"/>
    <w:rPr>
      <w:sz w:val="20"/>
      <w:szCs w:val="20"/>
      <w:lang w:val="en-US"/>
    </w:rPr>
  </w:style>
  <w:style w:type="paragraph" w:styleId="CommentSubject">
    <w:name w:val="annotation subject"/>
    <w:basedOn w:val="CommentText"/>
    <w:next w:val="CommentText"/>
    <w:link w:val="CommentSubjectChar"/>
    <w:uiPriority w:val="99"/>
    <w:semiHidden/>
    <w:unhideWhenUsed/>
    <w:rsid w:val="00A377BB"/>
    <w:rPr>
      <w:b/>
      <w:bCs/>
    </w:rPr>
  </w:style>
  <w:style w:type="character" w:customStyle="1" w:styleId="CommentSubjectChar">
    <w:name w:val="Comment Subject Char"/>
    <w:basedOn w:val="CommentTextChar"/>
    <w:link w:val="CommentSubject"/>
    <w:uiPriority w:val="99"/>
    <w:semiHidden/>
    <w:rsid w:val="00A377BB"/>
    <w:rPr>
      <w:b/>
      <w:bCs/>
      <w:sz w:val="20"/>
      <w:szCs w:val="20"/>
      <w:lang w:val="en-US"/>
    </w:rPr>
  </w:style>
  <w:style w:type="paragraph" w:styleId="BalloonText">
    <w:name w:val="Balloon Text"/>
    <w:basedOn w:val="Normal"/>
    <w:link w:val="BalloonTextChar"/>
    <w:uiPriority w:val="99"/>
    <w:semiHidden/>
    <w:unhideWhenUsed/>
    <w:rsid w:val="00A377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77BB"/>
    <w:rPr>
      <w:rFonts w:ascii="Segoe UI" w:hAnsi="Segoe UI" w:cs="Segoe UI"/>
      <w:sz w:val="18"/>
      <w:szCs w:val="18"/>
      <w:lang w:val="en-US"/>
    </w:rPr>
  </w:style>
  <w:style w:type="character" w:styleId="UnresolvedMention">
    <w:name w:val="Unresolved Mention"/>
    <w:basedOn w:val="DefaultParagraphFont"/>
    <w:uiPriority w:val="99"/>
    <w:semiHidden/>
    <w:unhideWhenUsed/>
    <w:rsid w:val="009E56F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547422">
      <w:bodyDiv w:val="1"/>
      <w:marLeft w:val="0"/>
      <w:marRight w:val="0"/>
      <w:marTop w:val="0"/>
      <w:marBottom w:val="0"/>
      <w:divBdr>
        <w:top w:val="none" w:sz="0" w:space="0" w:color="auto"/>
        <w:left w:val="none" w:sz="0" w:space="0" w:color="auto"/>
        <w:bottom w:val="none" w:sz="0" w:space="0" w:color="auto"/>
        <w:right w:val="none" w:sz="0" w:space="0" w:color="auto"/>
      </w:divBdr>
    </w:div>
    <w:div w:id="1084376049">
      <w:bodyDiv w:val="1"/>
      <w:marLeft w:val="0"/>
      <w:marRight w:val="0"/>
      <w:marTop w:val="0"/>
      <w:marBottom w:val="0"/>
      <w:divBdr>
        <w:top w:val="none" w:sz="0" w:space="0" w:color="auto"/>
        <w:left w:val="none" w:sz="0" w:space="0" w:color="auto"/>
        <w:bottom w:val="none" w:sz="0" w:space="0" w:color="auto"/>
        <w:right w:val="none" w:sz="0" w:space="0" w:color="auto"/>
      </w:divBdr>
    </w:div>
    <w:div w:id="110619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png"/><Relationship Id="rId26" Type="http://schemas.openxmlformats.org/officeDocument/2006/relationships/chart" Target="charts/chart4.xml"/><Relationship Id="rId3" Type="http://schemas.openxmlformats.org/officeDocument/2006/relationships/customXml" Target="../customXml/item3.xml"/><Relationship Id="rId21" Type="http://schemas.openxmlformats.org/officeDocument/2006/relationships/hyperlink" Target="https://idbg.sharepoint.com/teams/EZ-BO-LON/BO-L1190/15%20LifeCycle%20Milestones/Planilla%20Evaluaci&#243;n%20EEAP%20Potos&#237;.xlsx?d=w9b2915e4ebc04ea4ab8fa92279005743"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chart" Target="charts/chart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es.wikipedia.org/wiki/R%C3%ADo_Acr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hart" Target="charts/chart2.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chart" Target="charts/chart1.xm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es.wikipedia.org/wiki/Provincia_de_Nicol%C3%A1s_Su%C3%A1rez"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s://idbg.sharepoint.com/teams/EZ-BO-LON/BO-L1190/15%20LifeCycle%20Milestones/Planilla%20Evaluaci%C3%B3n%20EEAP%20Oruro%20V2.xlsx?d=w71b60c460ebe4fcaae5e6d15fba9a61c" TargetMode="External"/><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Consultorias\PECBID2017\Proy%20Eficiencia%20Energetica\Planilla%20Evaluaci&#243;n%20EEAP%20Oruro%20V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Consultorias\PECBID2017\Proy%20Eficiencia%20Energetica\Planilla%20Evaluaci&#243;n%20EEAP%20Oruro%20V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sballon\Documents\IDB\Bolivia\BO-L1190%20Laguna%20Colorada%20y%20Los%20Troncos%20y%20EE\Evaluacion%20Econ&#243;mica\ultima%20version%20con%20potos&#237;\Planilla%20Evaluaci&#243;n%20EEAP%20Potosi.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sballon\Documents\IDB\Bolivia\BO-L1190%20Laguna%20Colorada%20y%20Los%20Troncos%20y%20EE\Evaluacion%20Econ&#243;mica\ultima%20version%20con%20potos&#237;\Planilla%20Evaluaci&#243;n%20EEAP%20Potosi.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419"/>
              <a:t>Análisis de Sensibilidad</a:t>
            </a:r>
          </a:p>
          <a:p>
            <a:pPr>
              <a:defRPr/>
            </a:pPr>
            <a:r>
              <a:rPr lang="es-419"/>
              <a:t>(incremento de de la inversión)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Sensibilidad!$B$5</c:f>
              <c:strCache>
                <c:ptCount val="1"/>
                <c:pt idx="0">
                  <c:v>VANs</c:v>
                </c:pt>
              </c:strCache>
            </c:strRef>
          </c:tx>
          <c:spPr>
            <a:solidFill>
              <a:schemeClr val="accent2"/>
            </a:solidFill>
            <a:ln>
              <a:noFill/>
            </a:ln>
            <a:effectLst/>
          </c:spPr>
          <c:invertIfNegative val="0"/>
          <c:cat>
            <c:numRef>
              <c:f>Sensibilidad!$A$6:$A$9</c:f>
              <c:numCache>
                <c:formatCode>0%</c:formatCode>
                <c:ptCount val="4"/>
                <c:pt idx="0">
                  <c:v>0</c:v>
                </c:pt>
                <c:pt idx="1">
                  <c:v>0.1</c:v>
                </c:pt>
                <c:pt idx="2">
                  <c:v>0.2</c:v>
                </c:pt>
                <c:pt idx="3">
                  <c:v>0.3</c:v>
                </c:pt>
              </c:numCache>
            </c:numRef>
          </c:cat>
          <c:val>
            <c:numRef>
              <c:f>Sensibilidad!$B$6:$B$9</c:f>
              <c:numCache>
                <c:formatCode>General</c:formatCode>
                <c:ptCount val="4"/>
                <c:pt idx="0">
                  <c:v>5615654.9283283502</c:v>
                </c:pt>
                <c:pt idx="1">
                  <c:v>4009931.6557090413</c:v>
                </c:pt>
                <c:pt idx="2">
                  <c:v>2404208.3830897361</c:v>
                </c:pt>
                <c:pt idx="3">
                  <c:v>798485.11047043279</c:v>
                </c:pt>
              </c:numCache>
            </c:numRef>
          </c:val>
          <c:extLst>
            <c:ext xmlns:c16="http://schemas.microsoft.com/office/drawing/2014/chart" uri="{C3380CC4-5D6E-409C-BE32-E72D297353CC}">
              <c16:uniqueId val="{00000000-5422-40FD-973E-5DB727407217}"/>
            </c:ext>
          </c:extLst>
        </c:ser>
        <c:dLbls>
          <c:showLegendKey val="0"/>
          <c:showVal val="0"/>
          <c:showCatName val="0"/>
          <c:showSerName val="0"/>
          <c:showPercent val="0"/>
          <c:showBubbleSize val="0"/>
        </c:dLbls>
        <c:gapWidth val="219"/>
        <c:overlap val="-27"/>
        <c:axId val="768992856"/>
        <c:axId val="771653824"/>
      </c:barChart>
      <c:lineChart>
        <c:grouping val="standard"/>
        <c:varyColors val="0"/>
        <c:ser>
          <c:idx val="2"/>
          <c:order val="1"/>
          <c:tx>
            <c:strRef>
              <c:f>Sensibilidad!$C$5</c:f>
              <c:strCache>
                <c:ptCount val="1"/>
                <c:pt idx="0">
                  <c:v>TIRs</c:v>
                </c:pt>
              </c:strCache>
            </c:strRef>
          </c:tx>
          <c:spPr>
            <a:ln w="28575" cap="rnd">
              <a:solidFill>
                <a:schemeClr val="accent3"/>
              </a:solidFill>
              <a:round/>
            </a:ln>
            <a:effectLst/>
          </c:spPr>
          <c:marker>
            <c:symbol val="none"/>
          </c:marker>
          <c:val>
            <c:numRef>
              <c:f>Sensibilidad!$C$6:$C$9</c:f>
              <c:numCache>
                <c:formatCode>0.0%</c:formatCode>
                <c:ptCount val="4"/>
                <c:pt idx="0">
                  <c:v>0.23431749521949596</c:v>
                </c:pt>
                <c:pt idx="1">
                  <c:v>0.19421202181694786</c:v>
                </c:pt>
                <c:pt idx="2">
                  <c:v>0.16086032472697487</c:v>
                </c:pt>
                <c:pt idx="3">
                  <c:v>0.1325649335053829</c:v>
                </c:pt>
              </c:numCache>
            </c:numRef>
          </c:val>
          <c:smooth val="0"/>
          <c:extLst>
            <c:ext xmlns:c16="http://schemas.microsoft.com/office/drawing/2014/chart" uri="{C3380CC4-5D6E-409C-BE32-E72D297353CC}">
              <c16:uniqueId val="{00000001-5422-40FD-973E-5DB727407217}"/>
            </c:ext>
          </c:extLst>
        </c:ser>
        <c:dLbls>
          <c:showLegendKey val="0"/>
          <c:showVal val="0"/>
          <c:showCatName val="0"/>
          <c:showSerName val="0"/>
          <c:showPercent val="0"/>
          <c:showBubbleSize val="0"/>
        </c:dLbls>
        <c:marker val="1"/>
        <c:smooth val="0"/>
        <c:axId val="758412848"/>
        <c:axId val="771654216"/>
      </c:lineChart>
      <c:catAx>
        <c:axId val="768992856"/>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71653824"/>
        <c:crosses val="autoZero"/>
        <c:auto val="1"/>
        <c:lblAlgn val="ctr"/>
        <c:lblOffset val="100"/>
        <c:noMultiLvlLbl val="0"/>
      </c:catAx>
      <c:valAx>
        <c:axId val="7716538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8992856"/>
        <c:crosses val="autoZero"/>
        <c:crossBetween val="between"/>
      </c:valAx>
      <c:valAx>
        <c:axId val="771654216"/>
        <c:scaling>
          <c:orientation val="minMax"/>
        </c:scaling>
        <c:delete val="0"/>
        <c:axPos val="r"/>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8412848"/>
        <c:crosses val="max"/>
        <c:crossBetween val="between"/>
      </c:valAx>
      <c:catAx>
        <c:axId val="758412848"/>
        <c:scaling>
          <c:orientation val="minMax"/>
        </c:scaling>
        <c:delete val="1"/>
        <c:axPos val="b"/>
        <c:majorTickMark val="out"/>
        <c:minorTickMark val="none"/>
        <c:tickLblPos val="nextTo"/>
        <c:crossAx val="77165421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419"/>
              <a:t>Analisis de Sensibilidad</a:t>
            </a:r>
          </a:p>
          <a:p>
            <a:pPr>
              <a:defRPr/>
            </a:pPr>
            <a:r>
              <a:rPr lang="es-419"/>
              <a:t>(incremento del precio de la energia)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Sensibilidad!$B$10</c:f>
              <c:strCache>
                <c:ptCount val="1"/>
                <c:pt idx="0">
                  <c:v>VANs</c:v>
                </c:pt>
              </c:strCache>
            </c:strRef>
          </c:tx>
          <c:spPr>
            <a:solidFill>
              <a:schemeClr val="accent1">
                <a:lumMod val="75000"/>
              </a:schemeClr>
            </a:solidFill>
            <a:ln>
              <a:noFill/>
            </a:ln>
            <a:effectLst/>
          </c:spPr>
          <c:invertIfNegative val="0"/>
          <c:cat>
            <c:numRef>
              <c:f>Sensibilidad!$A$11:$A$14</c:f>
              <c:numCache>
                <c:formatCode>0%</c:formatCode>
                <c:ptCount val="4"/>
                <c:pt idx="0" formatCode="General">
                  <c:v>0</c:v>
                </c:pt>
                <c:pt idx="1">
                  <c:v>0.1</c:v>
                </c:pt>
                <c:pt idx="2">
                  <c:v>0.2</c:v>
                </c:pt>
                <c:pt idx="3">
                  <c:v>0.3</c:v>
                </c:pt>
              </c:numCache>
            </c:numRef>
          </c:cat>
          <c:val>
            <c:numRef>
              <c:f>Sensibilidad!$B$11:$B$14</c:f>
              <c:numCache>
                <c:formatCode>General</c:formatCode>
                <c:ptCount val="4"/>
                <c:pt idx="0">
                  <c:v>5615654.9283283502</c:v>
                </c:pt>
                <c:pt idx="1">
                  <c:v>6963304.3134144954</c:v>
                </c:pt>
                <c:pt idx="2">
                  <c:v>8310953.6985006407</c:v>
                </c:pt>
                <c:pt idx="3">
                  <c:v>9658603.0835867934</c:v>
                </c:pt>
              </c:numCache>
            </c:numRef>
          </c:val>
          <c:extLst>
            <c:ext xmlns:c16="http://schemas.microsoft.com/office/drawing/2014/chart" uri="{C3380CC4-5D6E-409C-BE32-E72D297353CC}">
              <c16:uniqueId val="{00000000-D0DE-401E-AFA5-F3BFD4CE0D91}"/>
            </c:ext>
          </c:extLst>
        </c:ser>
        <c:dLbls>
          <c:showLegendKey val="0"/>
          <c:showVal val="0"/>
          <c:showCatName val="0"/>
          <c:showSerName val="0"/>
          <c:showPercent val="0"/>
          <c:showBubbleSize val="0"/>
        </c:dLbls>
        <c:gapWidth val="219"/>
        <c:overlap val="-27"/>
        <c:axId val="764911864"/>
        <c:axId val="764910688"/>
      </c:barChart>
      <c:lineChart>
        <c:grouping val="standard"/>
        <c:varyColors val="0"/>
        <c:ser>
          <c:idx val="2"/>
          <c:order val="1"/>
          <c:tx>
            <c:strRef>
              <c:f>Sensibilidad!$C$10</c:f>
              <c:strCache>
                <c:ptCount val="1"/>
                <c:pt idx="0">
                  <c:v>TIRs</c:v>
                </c:pt>
              </c:strCache>
            </c:strRef>
          </c:tx>
          <c:spPr>
            <a:ln w="28575" cap="rnd">
              <a:solidFill>
                <a:schemeClr val="accent3"/>
              </a:solidFill>
              <a:round/>
            </a:ln>
            <a:effectLst/>
          </c:spPr>
          <c:marker>
            <c:symbol val="none"/>
          </c:marker>
          <c:val>
            <c:numRef>
              <c:f>Sensibilidad!$C$11:$C$14</c:f>
              <c:numCache>
                <c:formatCode>0.0%</c:formatCode>
                <c:ptCount val="4"/>
                <c:pt idx="0">
                  <c:v>0.23431749521949596</c:v>
                </c:pt>
                <c:pt idx="1">
                  <c:v>0.25892732088536685</c:v>
                </c:pt>
                <c:pt idx="2">
                  <c:v>0.2828025372184062</c:v>
                </c:pt>
                <c:pt idx="3">
                  <c:v>0.30604991520159985</c:v>
                </c:pt>
              </c:numCache>
            </c:numRef>
          </c:val>
          <c:smooth val="0"/>
          <c:extLst>
            <c:ext xmlns:c16="http://schemas.microsoft.com/office/drawing/2014/chart" uri="{C3380CC4-5D6E-409C-BE32-E72D297353CC}">
              <c16:uniqueId val="{00000001-D0DE-401E-AFA5-F3BFD4CE0D91}"/>
            </c:ext>
          </c:extLst>
        </c:ser>
        <c:dLbls>
          <c:showLegendKey val="0"/>
          <c:showVal val="0"/>
          <c:showCatName val="0"/>
          <c:showSerName val="0"/>
          <c:showPercent val="0"/>
          <c:showBubbleSize val="0"/>
        </c:dLbls>
        <c:marker val="1"/>
        <c:smooth val="0"/>
        <c:axId val="473045344"/>
        <c:axId val="764911472"/>
      </c:lineChart>
      <c:catAx>
        <c:axId val="47304534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4911472"/>
        <c:crosses val="autoZero"/>
        <c:auto val="1"/>
        <c:lblAlgn val="ctr"/>
        <c:lblOffset val="100"/>
        <c:noMultiLvlLbl val="0"/>
      </c:catAx>
      <c:valAx>
        <c:axId val="76491147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3045344"/>
        <c:crosses val="autoZero"/>
        <c:crossBetween val="between"/>
      </c:valAx>
      <c:valAx>
        <c:axId val="764910688"/>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4911864"/>
        <c:crosses val="max"/>
        <c:crossBetween val="between"/>
      </c:valAx>
      <c:catAx>
        <c:axId val="764911864"/>
        <c:scaling>
          <c:orientation val="minMax"/>
        </c:scaling>
        <c:delete val="1"/>
        <c:axPos val="b"/>
        <c:numFmt formatCode="General" sourceLinked="1"/>
        <c:majorTickMark val="out"/>
        <c:minorTickMark val="none"/>
        <c:tickLblPos val="nextTo"/>
        <c:crossAx val="764910688"/>
        <c:crosses val="autoZero"/>
        <c:auto val="1"/>
        <c:lblAlgn val="ctr"/>
        <c:lblOffset val="100"/>
        <c:noMultiLvlLbl val="0"/>
      </c:cat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419"/>
              <a:t>Análisis de Sensibilidad</a:t>
            </a:r>
          </a:p>
          <a:p>
            <a:pPr>
              <a:defRPr/>
            </a:pPr>
            <a:r>
              <a:rPr lang="es-419"/>
              <a:t>(incremento de de la inversión)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Sensibilidad!$B$5</c:f>
              <c:strCache>
                <c:ptCount val="1"/>
                <c:pt idx="0">
                  <c:v>VANs</c:v>
                </c:pt>
              </c:strCache>
            </c:strRef>
          </c:tx>
          <c:spPr>
            <a:solidFill>
              <a:schemeClr val="accent2"/>
            </a:solidFill>
            <a:ln>
              <a:noFill/>
            </a:ln>
            <a:effectLst/>
          </c:spPr>
          <c:invertIfNegative val="0"/>
          <c:cat>
            <c:numRef>
              <c:f>Sensibilidad!$A$6:$A$9</c:f>
              <c:numCache>
                <c:formatCode>0%</c:formatCode>
                <c:ptCount val="4"/>
                <c:pt idx="0">
                  <c:v>0</c:v>
                </c:pt>
                <c:pt idx="1">
                  <c:v>0.1</c:v>
                </c:pt>
                <c:pt idx="2">
                  <c:v>0.2</c:v>
                </c:pt>
                <c:pt idx="3">
                  <c:v>0.3</c:v>
                </c:pt>
              </c:numCache>
            </c:numRef>
          </c:cat>
          <c:val>
            <c:numRef>
              <c:f>Sensibilidad!$B$6:$B$9</c:f>
              <c:numCache>
                <c:formatCode>General</c:formatCode>
                <c:ptCount val="4"/>
                <c:pt idx="0">
                  <c:v>1333232.4922217708</c:v>
                </c:pt>
                <c:pt idx="1">
                  <c:v>1059614.0922217709</c:v>
                </c:pt>
                <c:pt idx="2">
                  <c:v>785995.69222177053</c:v>
                </c:pt>
                <c:pt idx="3">
                  <c:v>512377.29222177109</c:v>
                </c:pt>
              </c:numCache>
            </c:numRef>
          </c:val>
          <c:extLst>
            <c:ext xmlns:c16="http://schemas.microsoft.com/office/drawing/2014/chart" uri="{C3380CC4-5D6E-409C-BE32-E72D297353CC}">
              <c16:uniqueId val="{00000000-CAA2-4159-B761-431173845575}"/>
            </c:ext>
          </c:extLst>
        </c:ser>
        <c:dLbls>
          <c:showLegendKey val="0"/>
          <c:showVal val="0"/>
          <c:showCatName val="0"/>
          <c:showSerName val="0"/>
          <c:showPercent val="0"/>
          <c:showBubbleSize val="0"/>
        </c:dLbls>
        <c:gapWidth val="219"/>
        <c:overlap val="-27"/>
        <c:axId val="534266504"/>
        <c:axId val="534267288"/>
      </c:barChart>
      <c:lineChart>
        <c:grouping val="standard"/>
        <c:varyColors val="0"/>
        <c:ser>
          <c:idx val="2"/>
          <c:order val="1"/>
          <c:tx>
            <c:strRef>
              <c:f>Sensibilidad!$C$5</c:f>
              <c:strCache>
                <c:ptCount val="1"/>
                <c:pt idx="0">
                  <c:v>TIRs</c:v>
                </c:pt>
              </c:strCache>
            </c:strRef>
          </c:tx>
          <c:spPr>
            <a:ln w="28575" cap="rnd">
              <a:solidFill>
                <a:schemeClr val="accent3"/>
              </a:solidFill>
              <a:round/>
            </a:ln>
            <a:effectLst/>
          </c:spPr>
          <c:marker>
            <c:symbol val="none"/>
          </c:marker>
          <c:val>
            <c:numRef>
              <c:f>Sensibilidad!$C$6:$C$9</c:f>
              <c:numCache>
                <c:formatCode>0.0%</c:formatCode>
                <c:ptCount val="4"/>
                <c:pt idx="0">
                  <c:v>0.27921090340593269</c:v>
                </c:pt>
                <c:pt idx="1">
                  <c:v>0.23440266967682555</c:v>
                </c:pt>
                <c:pt idx="2">
                  <c:v>0.19755172462110715</c:v>
                </c:pt>
                <c:pt idx="3">
                  <c:v>0.16660808598779631</c:v>
                </c:pt>
              </c:numCache>
            </c:numRef>
          </c:val>
          <c:smooth val="0"/>
          <c:extLst>
            <c:ext xmlns:c16="http://schemas.microsoft.com/office/drawing/2014/chart" uri="{C3380CC4-5D6E-409C-BE32-E72D297353CC}">
              <c16:uniqueId val="{00000001-CAA2-4159-B761-431173845575}"/>
            </c:ext>
          </c:extLst>
        </c:ser>
        <c:dLbls>
          <c:showLegendKey val="0"/>
          <c:showVal val="0"/>
          <c:showCatName val="0"/>
          <c:showSerName val="0"/>
          <c:showPercent val="0"/>
          <c:showBubbleSize val="0"/>
        </c:dLbls>
        <c:marker val="1"/>
        <c:smooth val="0"/>
        <c:axId val="534268856"/>
        <c:axId val="534268464"/>
      </c:lineChart>
      <c:catAx>
        <c:axId val="53426650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267288"/>
        <c:crosses val="autoZero"/>
        <c:auto val="1"/>
        <c:lblAlgn val="ctr"/>
        <c:lblOffset val="100"/>
        <c:noMultiLvlLbl val="0"/>
      </c:catAx>
      <c:valAx>
        <c:axId val="534267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266504"/>
        <c:crosses val="autoZero"/>
        <c:crossBetween val="between"/>
      </c:valAx>
      <c:valAx>
        <c:axId val="534268464"/>
        <c:scaling>
          <c:orientation val="minMax"/>
        </c:scaling>
        <c:delete val="0"/>
        <c:axPos val="r"/>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268856"/>
        <c:crosses val="max"/>
        <c:crossBetween val="between"/>
      </c:valAx>
      <c:catAx>
        <c:axId val="534268856"/>
        <c:scaling>
          <c:orientation val="minMax"/>
        </c:scaling>
        <c:delete val="1"/>
        <c:axPos val="b"/>
        <c:majorTickMark val="out"/>
        <c:minorTickMark val="none"/>
        <c:tickLblPos val="nextTo"/>
        <c:crossAx val="53426846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419"/>
              <a:t>Analisis de Sensibilidad</a:t>
            </a:r>
          </a:p>
          <a:p>
            <a:pPr>
              <a:defRPr/>
            </a:pPr>
            <a:r>
              <a:rPr lang="es-419"/>
              <a:t>(incremento del precio de la energia)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Sensibilidad!$B$10</c:f>
              <c:strCache>
                <c:ptCount val="1"/>
                <c:pt idx="0">
                  <c:v>VANs</c:v>
                </c:pt>
              </c:strCache>
            </c:strRef>
          </c:tx>
          <c:spPr>
            <a:solidFill>
              <a:schemeClr val="accent1">
                <a:lumMod val="75000"/>
              </a:schemeClr>
            </a:solidFill>
            <a:ln>
              <a:noFill/>
            </a:ln>
            <a:effectLst/>
          </c:spPr>
          <c:invertIfNegative val="0"/>
          <c:cat>
            <c:numRef>
              <c:f>Sensibilidad!$A$11:$A$14</c:f>
              <c:numCache>
                <c:formatCode>0%</c:formatCode>
                <c:ptCount val="4"/>
                <c:pt idx="0" formatCode="General">
                  <c:v>0</c:v>
                </c:pt>
                <c:pt idx="1">
                  <c:v>0.1</c:v>
                </c:pt>
                <c:pt idx="2">
                  <c:v>0.2</c:v>
                </c:pt>
                <c:pt idx="3">
                  <c:v>0.3</c:v>
                </c:pt>
              </c:numCache>
            </c:numRef>
          </c:cat>
          <c:val>
            <c:numRef>
              <c:f>Sensibilidad!$B$11:$B$14</c:f>
              <c:numCache>
                <c:formatCode>General</c:formatCode>
                <c:ptCount val="4"/>
                <c:pt idx="0">
                  <c:v>1333232.4922217708</c:v>
                </c:pt>
                <c:pt idx="1">
                  <c:v>1575407.8314870941</c:v>
                </c:pt>
                <c:pt idx="2">
                  <c:v>1817583.1707524182</c:v>
                </c:pt>
                <c:pt idx="3">
                  <c:v>2059758.5100177424</c:v>
                </c:pt>
              </c:numCache>
            </c:numRef>
          </c:val>
          <c:extLst>
            <c:ext xmlns:c16="http://schemas.microsoft.com/office/drawing/2014/chart" uri="{C3380CC4-5D6E-409C-BE32-E72D297353CC}">
              <c16:uniqueId val="{00000000-8B46-4A73-A08A-6E3222401B77}"/>
            </c:ext>
          </c:extLst>
        </c:ser>
        <c:dLbls>
          <c:showLegendKey val="0"/>
          <c:showVal val="0"/>
          <c:showCatName val="0"/>
          <c:showSerName val="0"/>
          <c:showPercent val="0"/>
          <c:showBubbleSize val="0"/>
        </c:dLbls>
        <c:gapWidth val="219"/>
        <c:overlap val="-27"/>
        <c:axId val="527426792"/>
        <c:axId val="527426400"/>
      </c:barChart>
      <c:lineChart>
        <c:grouping val="standard"/>
        <c:varyColors val="0"/>
        <c:ser>
          <c:idx val="2"/>
          <c:order val="1"/>
          <c:tx>
            <c:strRef>
              <c:f>Sensibilidad!$C$10</c:f>
              <c:strCache>
                <c:ptCount val="1"/>
                <c:pt idx="0">
                  <c:v>TIRs</c:v>
                </c:pt>
              </c:strCache>
            </c:strRef>
          </c:tx>
          <c:spPr>
            <a:ln w="28575" cap="rnd">
              <a:solidFill>
                <a:schemeClr val="accent3"/>
              </a:solidFill>
              <a:round/>
            </a:ln>
            <a:effectLst/>
          </c:spPr>
          <c:marker>
            <c:symbol val="none"/>
          </c:marker>
          <c:val>
            <c:numRef>
              <c:f>Sensibilidad!$C$11:$C$14</c:f>
              <c:numCache>
                <c:formatCode>0.0%</c:formatCode>
                <c:ptCount val="4"/>
                <c:pt idx="0">
                  <c:v>0.27921090340593269</c:v>
                </c:pt>
                <c:pt idx="1">
                  <c:v>0.30432341777369287</c:v>
                </c:pt>
                <c:pt idx="2">
                  <c:v>0.32872119258044741</c:v>
                </c:pt>
                <c:pt idx="3">
                  <c:v>0.35250382490924892</c:v>
                </c:pt>
              </c:numCache>
            </c:numRef>
          </c:val>
          <c:smooth val="0"/>
          <c:extLst>
            <c:ext xmlns:c16="http://schemas.microsoft.com/office/drawing/2014/chart" uri="{C3380CC4-5D6E-409C-BE32-E72D297353CC}">
              <c16:uniqueId val="{00000001-8B46-4A73-A08A-6E3222401B77}"/>
            </c:ext>
          </c:extLst>
        </c:ser>
        <c:dLbls>
          <c:showLegendKey val="0"/>
          <c:showVal val="0"/>
          <c:showCatName val="0"/>
          <c:showSerName val="0"/>
          <c:showPercent val="0"/>
          <c:showBubbleSize val="0"/>
        </c:dLbls>
        <c:marker val="1"/>
        <c:smooth val="0"/>
        <c:axId val="527428752"/>
        <c:axId val="527427576"/>
      </c:lineChart>
      <c:catAx>
        <c:axId val="52742875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7427576"/>
        <c:crosses val="autoZero"/>
        <c:auto val="1"/>
        <c:lblAlgn val="ctr"/>
        <c:lblOffset val="100"/>
        <c:noMultiLvlLbl val="0"/>
      </c:catAx>
      <c:valAx>
        <c:axId val="52742757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7428752"/>
        <c:crosses val="autoZero"/>
        <c:crossBetween val="between"/>
      </c:valAx>
      <c:valAx>
        <c:axId val="527426400"/>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7426792"/>
        <c:crosses val="max"/>
        <c:crossBetween val="between"/>
      </c:valAx>
      <c:catAx>
        <c:axId val="527426792"/>
        <c:scaling>
          <c:orientation val="minMax"/>
        </c:scaling>
        <c:delete val="1"/>
        <c:axPos val="b"/>
        <c:numFmt formatCode="General" sourceLinked="1"/>
        <c:majorTickMark val="out"/>
        <c:minorTickMark val="none"/>
        <c:tickLblPos val="nextTo"/>
        <c:crossAx val="527426400"/>
        <c:crosses val="autoZero"/>
        <c:auto val="1"/>
        <c:lblAlgn val="ctr"/>
        <c:lblOffset val="100"/>
        <c:noMultiLvlLbl val="0"/>
      </c:cat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4F83082C435E9449407429F65BB6C11" ma:contentTypeVersion="677" ma:contentTypeDescription="A content type to manage public (operations) IDB documents" ma:contentTypeScope="" ma:versionID="ee75ffdaca383b3b85f2ed10fdd50680">
  <xsd:schema xmlns:xsd="http://www.w3.org/2001/XMLSchema" xmlns:xs="http://www.w3.org/2001/XMLSchema" xmlns:p="http://schemas.microsoft.com/office/2006/metadata/properties" xmlns:ns2="cdc7663a-08f0-4737-9e8c-148ce897a09c" targetNamespace="http://schemas.microsoft.com/office/2006/metadata/properties" ma:root="true" ma:fieldsID="9136a1f2b8cd69faa536c704db41a87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Ballon Lopez, Sergio Enrique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26</Value>
      <Value>124</Value>
      <Value>29</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R0002183032</Record_x0020_Number>
    <_dlc_DocId xmlns="cdc7663a-08f0-4737-9e8c-148ce897a09c">EZSHARE-1809111286-34</_dlc_DocId>
    <_dlc_DocIdUrl xmlns="cdc7663a-08f0-4737-9e8c-148ce897a09c">
      <Url>https://idbg.sharepoint.com/teams/EZ-BO-LON/BO-L1190/_layouts/15/DocIdRedir.aspx?ID=EZSHARE-1809111286-34</Url>
      <Description>EZSHARE-1809111286-34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5D944-1BF1-4A1D-8076-2C6B60A1BB1B}"/>
</file>

<file path=customXml/itemProps2.xml><?xml version="1.0" encoding="utf-8"?>
<ds:datastoreItem xmlns:ds="http://schemas.openxmlformats.org/officeDocument/2006/customXml" ds:itemID="{A53C7AF8-1CC9-4D68-A669-205A2C4424D5}">
  <ds:schemaRefs>
    <ds:schemaRef ds:uri="http://schemas.microsoft.com/sharepoint/v3/contenttype/forms"/>
  </ds:schemaRefs>
</ds:datastoreItem>
</file>

<file path=customXml/itemProps3.xml><?xml version="1.0" encoding="utf-8"?>
<ds:datastoreItem xmlns:ds="http://schemas.openxmlformats.org/officeDocument/2006/customXml" ds:itemID="{00B0E7EA-1E0F-4D45-9FF9-A71D404CBF4F}">
  <ds:schemaRefs>
    <ds:schemaRef ds:uri="http://schemas.microsoft.com/sharepoint/events"/>
  </ds:schemaRefs>
</ds:datastoreItem>
</file>

<file path=customXml/itemProps4.xml><?xml version="1.0" encoding="utf-8"?>
<ds:datastoreItem xmlns:ds="http://schemas.openxmlformats.org/officeDocument/2006/customXml" ds:itemID="{4296C0B4-1485-4535-863C-732376850A04}">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0629EA04-05A3-469B-ADF3-9F45A78A4961}"/>
</file>

<file path=customXml/itemProps6.xml><?xml version="1.0" encoding="utf-8"?>
<ds:datastoreItem xmlns:ds="http://schemas.openxmlformats.org/officeDocument/2006/customXml" ds:itemID="{F03152B4-5EB5-497B-8D2C-DA3AB9011C41}"/>
</file>

<file path=customXml/itemProps7.xml><?xml version="1.0" encoding="utf-8"?>
<ds:datastoreItem xmlns:ds="http://schemas.openxmlformats.org/officeDocument/2006/customXml" ds:itemID="{45CF09D7-2908-4170-B90F-D6D4ADA35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3799</Words>
  <Characters>21657</Characters>
  <Application>Microsoft Office Word</Application>
  <DocSecurity>0</DocSecurity>
  <Lines>180</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Renan</dc:creator>
  <cp:keywords/>
  <dc:description/>
  <cp:lastModifiedBy>Vanegas Rico, Wilkferg</cp:lastModifiedBy>
  <cp:revision>2</cp:revision>
  <dcterms:created xsi:type="dcterms:W3CDTF">2018-09-12T14:51:00Z</dcterms:created>
  <dcterms:modified xsi:type="dcterms:W3CDTF">2018-09-12T14:51:00Z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124;#ENERGY EFFICIENCY AND RENEWABLE ENERGY IN END USE|ab88142a-aa14-42df-80f4-969425d6f976</vt:lpwstr>
  </property>
  <property fmtid="{D5CDD505-2E9C-101B-9397-08002B2CF9AE}" pid="8" name="Fund IDB">
    <vt:lpwstr>29;#BLD|60acb4c1-0ef3-40ba-9d70-f741cd9e6c23</vt:lpwstr>
  </property>
  <property fmtid="{D5CDD505-2E9C-101B-9397-08002B2CF9AE}" pid="9" name="Country">
    <vt:lpwstr>26;#Bolivia|6445a937-aea4-4907-9f24-bff96a7c61c8</vt:lpwstr>
  </property>
  <property fmtid="{D5CDD505-2E9C-101B-9397-08002B2CF9AE}" pid="10" name="Sector IDB">
    <vt:lpwstr>35;#ENERGY|4fed196a-cd0b-4970-87de-42da17f9b203</vt:lpwstr>
  </property>
  <property fmtid="{D5CDD505-2E9C-101B-9397-08002B2CF9AE}" pid="11" name="_dlc_DocIdItemGuid">
    <vt:lpwstr>6c9d0f9e-6b1b-4691-b7b3-9cae86c85ac0</vt:lpwstr>
  </property>
  <property fmtid="{D5CDD505-2E9C-101B-9397-08002B2CF9AE}" pid="12" name="RecordStorageActiveId">
    <vt:lpwstr>dd160b32-0fa8-470d-af0d-8fb4c138c0cf</vt:lpwstr>
  </property>
  <property fmtid="{D5CDD505-2E9C-101B-9397-08002B2CF9AE}" pid="13" name="Disclosure Activity">
    <vt:lpwstr>Loan Proposal</vt:lpwstr>
  </property>
  <property fmtid="{D5CDD505-2E9C-101B-9397-08002B2CF9AE}" pid="14" name="ContentTypeId">
    <vt:lpwstr>0x0101001A458A224826124E8B45B1D613300CFC0014F83082C435E9449407429F65BB6C11</vt:lpwstr>
  </property>
</Properties>
</file>