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27EA4" w14:textId="77777777" w:rsidR="00ED751C" w:rsidRPr="002776C8" w:rsidRDefault="00ED751C" w:rsidP="00ED751C">
      <w:pPr>
        <w:pStyle w:val="SubSubPar"/>
        <w:numPr>
          <w:ilvl w:val="0"/>
          <w:numId w:val="0"/>
        </w:numPr>
        <w:spacing w:after="0"/>
        <w:jc w:val="center"/>
        <w:rPr>
          <w:smallCaps/>
          <w:szCs w:val="24"/>
          <w:lang w:val="es-ES"/>
        </w:rPr>
      </w:pPr>
      <w:r w:rsidRPr="002776C8">
        <w:rPr>
          <w:smallCaps/>
          <w:szCs w:val="24"/>
          <w:lang w:val="es-ES"/>
        </w:rPr>
        <w:t xml:space="preserve">Documento del Banco Interamericano </w:t>
      </w:r>
      <w:r w:rsidR="00C1154C" w:rsidRPr="002776C8">
        <w:rPr>
          <w:smallCaps/>
          <w:szCs w:val="24"/>
          <w:lang w:val="es-ES"/>
        </w:rPr>
        <w:t>d</w:t>
      </w:r>
      <w:r w:rsidRPr="002776C8">
        <w:rPr>
          <w:smallCaps/>
          <w:szCs w:val="24"/>
          <w:lang w:val="es-ES"/>
        </w:rPr>
        <w:t>e Desarrollo</w:t>
      </w:r>
    </w:p>
    <w:p w14:paraId="539125DB" w14:textId="77777777" w:rsidR="00ED751C" w:rsidRPr="002776C8" w:rsidRDefault="00ED751C" w:rsidP="00ED751C">
      <w:pPr>
        <w:tabs>
          <w:tab w:val="left" w:pos="1440"/>
          <w:tab w:val="left" w:pos="3060"/>
        </w:tabs>
        <w:jc w:val="center"/>
        <w:rPr>
          <w:smallCaps/>
          <w:szCs w:val="24"/>
          <w:lang w:val="es-ES"/>
        </w:rPr>
      </w:pPr>
    </w:p>
    <w:p w14:paraId="026618F4" w14:textId="77777777" w:rsidR="00ED751C" w:rsidRPr="002776C8" w:rsidRDefault="00ED751C" w:rsidP="00ED751C">
      <w:pPr>
        <w:tabs>
          <w:tab w:val="left" w:pos="1440"/>
          <w:tab w:val="left" w:pos="3060"/>
        </w:tabs>
        <w:jc w:val="center"/>
        <w:rPr>
          <w:smallCaps/>
          <w:szCs w:val="24"/>
          <w:lang w:val="es-ES"/>
        </w:rPr>
      </w:pPr>
    </w:p>
    <w:p w14:paraId="21D80CAD" w14:textId="77777777" w:rsidR="00ED751C" w:rsidRPr="002776C8" w:rsidRDefault="00ED751C" w:rsidP="00ED751C">
      <w:pPr>
        <w:tabs>
          <w:tab w:val="left" w:pos="1440"/>
          <w:tab w:val="left" w:pos="3060"/>
        </w:tabs>
        <w:jc w:val="center"/>
        <w:rPr>
          <w:smallCaps/>
          <w:szCs w:val="24"/>
          <w:lang w:val="es-ES"/>
        </w:rPr>
      </w:pPr>
    </w:p>
    <w:p w14:paraId="786B1FFD" w14:textId="77777777" w:rsidR="00ED751C" w:rsidRPr="002776C8" w:rsidRDefault="00ED751C" w:rsidP="00ED751C">
      <w:pPr>
        <w:tabs>
          <w:tab w:val="left" w:pos="1440"/>
          <w:tab w:val="left" w:pos="3060"/>
        </w:tabs>
        <w:jc w:val="center"/>
        <w:rPr>
          <w:smallCaps/>
          <w:szCs w:val="24"/>
          <w:lang w:val="es-ES"/>
        </w:rPr>
      </w:pPr>
    </w:p>
    <w:p w14:paraId="40B72745" w14:textId="77777777" w:rsidR="00ED751C" w:rsidRPr="002776C8" w:rsidRDefault="00ED751C" w:rsidP="00ED751C">
      <w:pPr>
        <w:tabs>
          <w:tab w:val="left" w:pos="1440"/>
          <w:tab w:val="left" w:pos="3060"/>
        </w:tabs>
        <w:jc w:val="center"/>
        <w:rPr>
          <w:smallCaps/>
          <w:szCs w:val="24"/>
          <w:lang w:val="es-ES"/>
        </w:rPr>
      </w:pPr>
    </w:p>
    <w:p w14:paraId="4D6A4D5E" w14:textId="77777777" w:rsidR="00ED751C" w:rsidRPr="002776C8" w:rsidRDefault="00ED751C" w:rsidP="00ED751C">
      <w:pPr>
        <w:tabs>
          <w:tab w:val="left" w:pos="1440"/>
          <w:tab w:val="left" w:pos="3060"/>
        </w:tabs>
        <w:jc w:val="center"/>
        <w:rPr>
          <w:smallCaps/>
          <w:szCs w:val="24"/>
          <w:lang w:val="es-ES"/>
        </w:rPr>
      </w:pPr>
    </w:p>
    <w:p w14:paraId="0226FE0C" w14:textId="77777777" w:rsidR="00F54AAD" w:rsidRPr="002776C8" w:rsidRDefault="00F54AAD" w:rsidP="00ED751C">
      <w:pPr>
        <w:tabs>
          <w:tab w:val="left" w:pos="1440"/>
          <w:tab w:val="left" w:pos="3060"/>
        </w:tabs>
        <w:jc w:val="center"/>
        <w:rPr>
          <w:smallCaps/>
          <w:szCs w:val="24"/>
          <w:lang w:val="es-ES"/>
        </w:rPr>
      </w:pPr>
    </w:p>
    <w:p w14:paraId="2CECBF3E" w14:textId="77777777" w:rsidR="00F54AAD" w:rsidRPr="002776C8" w:rsidRDefault="00F54AAD" w:rsidP="00ED751C">
      <w:pPr>
        <w:tabs>
          <w:tab w:val="left" w:pos="1440"/>
          <w:tab w:val="left" w:pos="3060"/>
        </w:tabs>
        <w:jc w:val="center"/>
        <w:rPr>
          <w:smallCaps/>
          <w:szCs w:val="24"/>
          <w:lang w:val="es-ES"/>
        </w:rPr>
      </w:pPr>
    </w:p>
    <w:p w14:paraId="11717FCD" w14:textId="77777777" w:rsidR="00ED751C" w:rsidRPr="002776C8" w:rsidRDefault="00ED751C" w:rsidP="00ED751C">
      <w:pPr>
        <w:tabs>
          <w:tab w:val="left" w:pos="1440"/>
          <w:tab w:val="left" w:pos="3060"/>
        </w:tabs>
        <w:jc w:val="center"/>
        <w:rPr>
          <w:smallCaps/>
          <w:szCs w:val="24"/>
          <w:lang w:val="es-ES"/>
        </w:rPr>
      </w:pPr>
    </w:p>
    <w:p w14:paraId="4A409086" w14:textId="0BB8C8E6" w:rsidR="00ED751C" w:rsidRPr="00AC0EDC" w:rsidRDefault="009C6B17" w:rsidP="00ED751C">
      <w:pPr>
        <w:tabs>
          <w:tab w:val="left" w:pos="1440"/>
          <w:tab w:val="left" w:pos="3060"/>
        </w:tabs>
        <w:jc w:val="center"/>
        <w:rPr>
          <w:rFonts w:ascii="Arial" w:hAnsi="Arial" w:cs="Arial"/>
          <w:b/>
          <w:smallCaps/>
          <w:szCs w:val="24"/>
          <w:lang w:val="es-ES"/>
        </w:rPr>
      </w:pPr>
      <w:r>
        <w:rPr>
          <w:rFonts w:ascii="Arial" w:hAnsi="Arial" w:cs="Arial"/>
          <w:b/>
          <w:smallCaps/>
          <w:szCs w:val="24"/>
          <w:lang w:val="es-ES"/>
        </w:rPr>
        <w:t>Bolivia</w:t>
      </w:r>
    </w:p>
    <w:p w14:paraId="29F52F3C" w14:textId="77777777" w:rsidR="00ED751C" w:rsidRPr="00AC0EDC" w:rsidRDefault="00ED751C" w:rsidP="00ED751C">
      <w:pPr>
        <w:tabs>
          <w:tab w:val="left" w:pos="1440"/>
          <w:tab w:val="left" w:pos="3060"/>
        </w:tabs>
        <w:jc w:val="center"/>
        <w:rPr>
          <w:rFonts w:ascii="Arial" w:hAnsi="Arial" w:cs="Arial"/>
          <w:smallCaps/>
          <w:szCs w:val="24"/>
          <w:lang w:val="es-ES"/>
        </w:rPr>
      </w:pPr>
    </w:p>
    <w:p w14:paraId="3E21E05F" w14:textId="77777777" w:rsidR="00ED751C" w:rsidRPr="00AC0EDC" w:rsidRDefault="00ED751C" w:rsidP="00ED751C">
      <w:pPr>
        <w:tabs>
          <w:tab w:val="left" w:pos="1440"/>
          <w:tab w:val="left" w:pos="3060"/>
        </w:tabs>
        <w:jc w:val="center"/>
        <w:rPr>
          <w:rFonts w:ascii="Arial" w:hAnsi="Arial" w:cs="Arial"/>
          <w:smallCaps/>
          <w:szCs w:val="24"/>
          <w:lang w:val="es-ES"/>
        </w:rPr>
      </w:pPr>
    </w:p>
    <w:p w14:paraId="34A9729B" w14:textId="77777777" w:rsidR="00ED751C" w:rsidRPr="00AC0EDC" w:rsidRDefault="00ED751C" w:rsidP="00ED751C">
      <w:pPr>
        <w:tabs>
          <w:tab w:val="left" w:pos="1440"/>
          <w:tab w:val="left" w:pos="3060"/>
        </w:tabs>
        <w:jc w:val="center"/>
        <w:rPr>
          <w:rFonts w:ascii="Arial" w:hAnsi="Arial" w:cs="Arial"/>
          <w:smallCaps/>
          <w:szCs w:val="24"/>
          <w:lang w:val="es-ES"/>
        </w:rPr>
      </w:pPr>
    </w:p>
    <w:p w14:paraId="639E72D5" w14:textId="77777777" w:rsidR="00F54AAD" w:rsidRPr="00AC0EDC" w:rsidRDefault="00F54AAD" w:rsidP="00ED751C">
      <w:pPr>
        <w:tabs>
          <w:tab w:val="left" w:pos="1440"/>
          <w:tab w:val="left" w:pos="3060"/>
        </w:tabs>
        <w:jc w:val="center"/>
        <w:rPr>
          <w:rFonts w:ascii="Arial" w:hAnsi="Arial" w:cs="Arial"/>
          <w:smallCaps/>
          <w:szCs w:val="24"/>
          <w:lang w:val="es-ES"/>
        </w:rPr>
      </w:pPr>
    </w:p>
    <w:p w14:paraId="50A83D01" w14:textId="77777777" w:rsidR="00ED751C" w:rsidRPr="00AC0EDC" w:rsidRDefault="00ED751C" w:rsidP="00ED751C">
      <w:pPr>
        <w:tabs>
          <w:tab w:val="left" w:pos="1440"/>
          <w:tab w:val="left" w:pos="3060"/>
        </w:tabs>
        <w:jc w:val="center"/>
        <w:rPr>
          <w:rFonts w:ascii="Arial" w:hAnsi="Arial" w:cs="Arial"/>
          <w:smallCaps/>
          <w:szCs w:val="24"/>
          <w:lang w:val="es-ES"/>
        </w:rPr>
      </w:pPr>
    </w:p>
    <w:p w14:paraId="61393138" w14:textId="77777777" w:rsidR="00ED751C" w:rsidRPr="00AC0EDC" w:rsidRDefault="00ED751C" w:rsidP="00ED751C">
      <w:pPr>
        <w:tabs>
          <w:tab w:val="left" w:pos="1440"/>
          <w:tab w:val="left" w:pos="3060"/>
        </w:tabs>
        <w:jc w:val="center"/>
        <w:rPr>
          <w:rFonts w:ascii="Arial" w:hAnsi="Arial" w:cs="Arial"/>
          <w:smallCaps/>
          <w:szCs w:val="24"/>
          <w:lang w:val="es-ES"/>
        </w:rPr>
      </w:pPr>
    </w:p>
    <w:p w14:paraId="6A2213B9" w14:textId="77777777" w:rsidR="003577B0" w:rsidRPr="00AC0EDC" w:rsidRDefault="003577B0" w:rsidP="003577B0">
      <w:pPr>
        <w:pStyle w:val="Newpage"/>
        <w:rPr>
          <w:b w:val="0"/>
          <w:smallCaps w:val="0"/>
          <w:szCs w:val="24"/>
        </w:rPr>
      </w:pPr>
      <w:bookmarkStart w:id="0" w:name="_Hlk507249218"/>
      <w:r w:rsidRPr="00AC0EDC">
        <w:rPr>
          <w:szCs w:val="24"/>
        </w:rPr>
        <w:t>Programa de Expansión de Infraestructura Eléctrica</w:t>
      </w:r>
    </w:p>
    <w:bookmarkEnd w:id="0"/>
    <w:p w14:paraId="385B8D01" w14:textId="77777777" w:rsidR="003577B0" w:rsidRPr="00AC0EDC" w:rsidRDefault="003577B0" w:rsidP="003577B0">
      <w:pPr>
        <w:pStyle w:val="Newpage"/>
        <w:rPr>
          <w:b w:val="0"/>
          <w:caps/>
          <w:smallCaps w:val="0"/>
          <w:szCs w:val="24"/>
        </w:rPr>
      </w:pPr>
    </w:p>
    <w:p w14:paraId="2B3D2F50" w14:textId="77777777" w:rsidR="003577B0" w:rsidRPr="00AC0EDC" w:rsidRDefault="003577B0" w:rsidP="003577B0">
      <w:pPr>
        <w:tabs>
          <w:tab w:val="left" w:pos="1440"/>
          <w:tab w:val="left" w:pos="3060"/>
        </w:tabs>
        <w:jc w:val="center"/>
        <w:rPr>
          <w:rFonts w:ascii="Arial" w:hAnsi="Arial" w:cs="Arial"/>
          <w:b/>
          <w:bCs/>
          <w:smallCaps/>
          <w:szCs w:val="24"/>
          <w:lang w:val="es-ES"/>
        </w:rPr>
      </w:pPr>
      <w:r w:rsidRPr="00AC0EDC">
        <w:rPr>
          <w:rFonts w:ascii="Arial" w:hAnsi="Arial" w:cs="Arial"/>
          <w:b/>
          <w:bCs/>
          <w:smallCaps/>
          <w:szCs w:val="24"/>
          <w:lang w:val="es-ES"/>
        </w:rPr>
        <w:t>(BO-L1190)</w:t>
      </w:r>
    </w:p>
    <w:p w14:paraId="654CE2A2" w14:textId="77777777" w:rsidR="003577B0" w:rsidRPr="00AC0EDC" w:rsidRDefault="003577B0" w:rsidP="003577B0">
      <w:pPr>
        <w:tabs>
          <w:tab w:val="left" w:pos="1440"/>
          <w:tab w:val="left" w:pos="3060"/>
        </w:tabs>
        <w:jc w:val="center"/>
        <w:rPr>
          <w:rFonts w:ascii="Arial" w:hAnsi="Arial" w:cs="Arial"/>
          <w:smallCaps/>
          <w:szCs w:val="24"/>
          <w:lang w:val="es-ES"/>
        </w:rPr>
      </w:pPr>
    </w:p>
    <w:p w14:paraId="519F4122" w14:textId="77777777" w:rsidR="00ED751C" w:rsidRPr="00AC0EDC" w:rsidRDefault="00ED751C" w:rsidP="00ED751C">
      <w:pPr>
        <w:tabs>
          <w:tab w:val="left" w:pos="1440"/>
          <w:tab w:val="left" w:pos="3060"/>
        </w:tabs>
        <w:jc w:val="center"/>
        <w:rPr>
          <w:rFonts w:ascii="Arial" w:hAnsi="Arial" w:cs="Arial"/>
          <w:smallCaps/>
          <w:szCs w:val="24"/>
          <w:lang w:val="es-ES"/>
        </w:rPr>
      </w:pPr>
    </w:p>
    <w:p w14:paraId="65929ED9" w14:textId="77777777" w:rsidR="00ED751C" w:rsidRPr="00AC0EDC" w:rsidRDefault="00ED751C" w:rsidP="00ED751C">
      <w:pPr>
        <w:tabs>
          <w:tab w:val="left" w:pos="1440"/>
          <w:tab w:val="left" w:pos="3060"/>
        </w:tabs>
        <w:jc w:val="center"/>
        <w:rPr>
          <w:rFonts w:ascii="Arial" w:hAnsi="Arial" w:cs="Arial"/>
          <w:smallCaps/>
          <w:szCs w:val="24"/>
          <w:lang w:val="es-ES"/>
        </w:rPr>
      </w:pPr>
    </w:p>
    <w:p w14:paraId="44E4E172" w14:textId="77777777" w:rsidR="00ED751C" w:rsidRPr="00AC0EDC" w:rsidRDefault="00ED751C" w:rsidP="00ED751C">
      <w:pPr>
        <w:tabs>
          <w:tab w:val="left" w:pos="1440"/>
          <w:tab w:val="left" w:pos="3060"/>
        </w:tabs>
        <w:jc w:val="center"/>
        <w:rPr>
          <w:rFonts w:ascii="Arial" w:hAnsi="Arial" w:cs="Arial"/>
          <w:smallCaps/>
          <w:szCs w:val="24"/>
          <w:lang w:val="es-ES"/>
        </w:rPr>
      </w:pPr>
    </w:p>
    <w:p w14:paraId="1BA99A7F" w14:textId="77777777" w:rsidR="00ED751C" w:rsidRPr="00AC0EDC" w:rsidRDefault="00462F7B" w:rsidP="00ED751C">
      <w:pPr>
        <w:tabs>
          <w:tab w:val="left" w:pos="1440"/>
          <w:tab w:val="left" w:pos="3060"/>
        </w:tabs>
        <w:jc w:val="center"/>
        <w:outlineLvl w:val="0"/>
        <w:rPr>
          <w:rFonts w:ascii="Arial" w:hAnsi="Arial" w:cs="Arial"/>
          <w:b/>
          <w:szCs w:val="24"/>
          <w:lang w:val="es-ES"/>
        </w:rPr>
      </w:pPr>
      <w:r w:rsidRPr="00AC0EDC">
        <w:rPr>
          <w:rFonts w:ascii="Arial" w:hAnsi="Arial" w:cs="Arial"/>
          <w:b/>
          <w:smallCaps/>
          <w:szCs w:val="24"/>
          <w:lang w:val="es-ES"/>
        </w:rPr>
        <w:t>Plan de Monitoreo y Evaluación</w:t>
      </w:r>
    </w:p>
    <w:p w14:paraId="5498C9EF" w14:textId="77777777" w:rsidR="00ED751C" w:rsidRPr="00AC0EDC" w:rsidRDefault="00ED751C" w:rsidP="00ED751C">
      <w:pPr>
        <w:tabs>
          <w:tab w:val="left" w:pos="1440"/>
          <w:tab w:val="left" w:pos="3060"/>
        </w:tabs>
        <w:jc w:val="center"/>
        <w:rPr>
          <w:rFonts w:ascii="Arial" w:hAnsi="Arial" w:cs="Arial"/>
          <w:szCs w:val="24"/>
          <w:lang w:val="es-ES"/>
        </w:rPr>
      </w:pPr>
    </w:p>
    <w:p w14:paraId="0487C0D3" w14:textId="77777777" w:rsidR="00ED751C" w:rsidRPr="00AC0EDC" w:rsidRDefault="00ED751C" w:rsidP="00ED751C">
      <w:pPr>
        <w:tabs>
          <w:tab w:val="left" w:pos="1440"/>
          <w:tab w:val="left" w:pos="3060"/>
        </w:tabs>
        <w:jc w:val="center"/>
        <w:rPr>
          <w:szCs w:val="24"/>
          <w:lang w:val="es-ES"/>
        </w:rPr>
      </w:pPr>
    </w:p>
    <w:p w14:paraId="66FD20D0" w14:textId="77777777" w:rsidR="00ED751C" w:rsidRPr="002776C8" w:rsidRDefault="00ED751C" w:rsidP="00ED751C">
      <w:pPr>
        <w:tabs>
          <w:tab w:val="left" w:pos="1440"/>
          <w:tab w:val="left" w:pos="3060"/>
        </w:tabs>
        <w:jc w:val="center"/>
        <w:rPr>
          <w:szCs w:val="24"/>
          <w:lang w:val="es-ES"/>
        </w:rPr>
      </w:pPr>
    </w:p>
    <w:p w14:paraId="17E0B451" w14:textId="77777777" w:rsidR="00ED751C" w:rsidRPr="002776C8" w:rsidRDefault="00ED751C" w:rsidP="00ED751C">
      <w:pPr>
        <w:tabs>
          <w:tab w:val="left" w:pos="1440"/>
          <w:tab w:val="left" w:pos="3060"/>
        </w:tabs>
        <w:jc w:val="center"/>
        <w:rPr>
          <w:szCs w:val="24"/>
          <w:lang w:val="es-ES"/>
        </w:rPr>
      </w:pPr>
    </w:p>
    <w:p w14:paraId="2272385B" w14:textId="77777777" w:rsidR="00ED751C" w:rsidRPr="002776C8" w:rsidRDefault="00ED751C" w:rsidP="00ED751C">
      <w:pPr>
        <w:tabs>
          <w:tab w:val="left" w:pos="1440"/>
          <w:tab w:val="left" w:pos="3060"/>
        </w:tabs>
        <w:jc w:val="center"/>
        <w:rPr>
          <w:szCs w:val="24"/>
          <w:lang w:val="es-ES"/>
        </w:rPr>
      </w:pPr>
    </w:p>
    <w:p w14:paraId="12E8C5FD" w14:textId="77777777" w:rsidR="00ED751C" w:rsidRPr="002776C8" w:rsidRDefault="00ED751C" w:rsidP="00ED751C">
      <w:pPr>
        <w:tabs>
          <w:tab w:val="left" w:pos="1440"/>
          <w:tab w:val="left" w:pos="3060"/>
        </w:tabs>
        <w:jc w:val="center"/>
        <w:rPr>
          <w:szCs w:val="24"/>
          <w:lang w:val="es-ES"/>
        </w:rPr>
      </w:pPr>
    </w:p>
    <w:p w14:paraId="070046F7" w14:textId="77777777" w:rsidR="00ED751C" w:rsidRPr="002776C8" w:rsidRDefault="00ED751C" w:rsidP="00ED751C">
      <w:pPr>
        <w:tabs>
          <w:tab w:val="left" w:pos="1440"/>
          <w:tab w:val="left" w:pos="3060"/>
        </w:tabs>
        <w:jc w:val="center"/>
        <w:rPr>
          <w:szCs w:val="24"/>
          <w:lang w:val="es-ES"/>
        </w:rPr>
      </w:pPr>
    </w:p>
    <w:p w14:paraId="7B09A780" w14:textId="77777777" w:rsidR="00402AC6" w:rsidRDefault="00402AC6" w:rsidP="00ED751C">
      <w:pPr>
        <w:tabs>
          <w:tab w:val="left" w:pos="1440"/>
          <w:tab w:val="left" w:pos="3060"/>
        </w:tabs>
        <w:jc w:val="center"/>
        <w:rPr>
          <w:szCs w:val="24"/>
          <w:lang w:val="es-ES"/>
        </w:rPr>
        <w:sectPr w:rsidR="00402AC6" w:rsidSect="00C57468">
          <w:headerReference w:type="default" r:id="rId13"/>
          <w:footerReference w:type="default" r:id="rId14"/>
          <w:headerReference w:type="first" r:id="rId15"/>
          <w:type w:val="continuous"/>
          <w:pgSz w:w="12240" w:h="15840"/>
          <w:pgMar w:top="1632" w:right="1440" w:bottom="1440" w:left="1440" w:header="0" w:footer="986" w:gutter="0"/>
          <w:cols w:space="708"/>
        </w:sectPr>
      </w:pPr>
    </w:p>
    <w:p w14:paraId="27091B2C" w14:textId="3ED3EA2B" w:rsidR="00ED751C" w:rsidRPr="00B434A4" w:rsidRDefault="00ED751C" w:rsidP="00B434A4">
      <w:pPr>
        <w:spacing w:before="240" w:after="240"/>
        <w:jc w:val="center"/>
        <w:outlineLvl w:val="0"/>
        <w:rPr>
          <w:rFonts w:ascii="Arial" w:hAnsi="Arial" w:cs="Arial"/>
          <w:b/>
          <w:smallCaps/>
          <w:szCs w:val="24"/>
        </w:rPr>
      </w:pPr>
      <w:r w:rsidRPr="00B434A4">
        <w:rPr>
          <w:rFonts w:ascii="Arial" w:hAnsi="Arial" w:cs="Arial"/>
          <w:b/>
          <w:smallCaps/>
          <w:szCs w:val="24"/>
        </w:rPr>
        <w:lastRenderedPageBreak/>
        <w:t>Índice</w:t>
      </w:r>
    </w:p>
    <w:p w14:paraId="4ACE44D4" w14:textId="1DDD2825" w:rsidR="000D50F3" w:rsidRPr="00885799" w:rsidRDefault="00E3347F" w:rsidP="00721CE2">
      <w:pPr>
        <w:pStyle w:val="TOC1"/>
        <w:rPr>
          <w:rFonts w:eastAsiaTheme="minorEastAsia"/>
          <w:noProof/>
          <w:lang w:eastAsia="zh-CN"/>
        </w:rPr>
      </w:pPr>
      <w:r w:rsidRPr="00885799">
        <w:rPr>
          <w:lang w:val="es-ES"/>
        </w:rPr>
        <w:fldChar w:fldCharType="begin"/>
      </w:r>
      <w:r w:rsidR="00ED751C" w:rsidRPr="00885799">
        <w:rPr>
          <w:lang w:val="es-ES"/>
        </w:rPr>
        <w:instrText xml:space="preserve"> TOC \f \t "Chapter,1,FirstHeading,2,SecHeading,3" </w:instrText>
      </w:r>
      <w:r w:rsidRPr="00885799">
        <w:rPr>
          <w:lang w:val="es-ES"/>
        </w:rPr>
        <w:fldChar w:fldCharType="separate"/>
      </w:r>
      <w:r w:rsidR="000D50F3" w:rsidRPr="00885799">
        <w:rPr>
          <w:noProof/>
        </w:rPr>
        <w:t>I.</w:t>
      </w:r>
      <w:r w:rsidR="000D50F3" w:rsidRPr="00885799">
        <w:rPr>
          <w:rFonts w:eastAsiaTheme="minorEastAsia"/>
          <w:noProof/>
          <w:lang w:eastAsia="zh-CN"/>
        </w:rPr>
        <w:tab/>
      </w:r>
      <w:r w:rsidR="000D50F3" w:rsidRPr="00885799">
        <w:rPr>
          <w:noProof/>
        </w:rPr>
        <w:t>Descripción del Proyecto</w:t>
      </w:r>
      <w:r w:rsidR="000D50F3" w:rsidRPr="00885799">
        <w:rPr>
          <w:noProof/>
        </w:rPr>
        <w:tab/>
      </w:r>
      <w:r w:rsidR="000D50F3" w:rsidRPr="00885799">
        <w:rPr>
          <w:noProof/>
        </w:rPr>
        <w:fldChar w:fldCharType="begin"/>
      </w:r>
      <w:r w:rsidR="000D50F3" w:rsidRPr="00885799">
        <w:rPr>
          <w:noProof/>
        </w:rPr>
        <w:instrText xml:space="preserve"> PAGEREF _Toc513537385 \h </w:instrText>
      </w:r>
      <w:r w:rsidR="000D50F3" w:rsidRPr="00885799">
        <w:rPr>
          <w:noProof/>
        </w:rPr>
      </w:r>
      <w:r w:rsidR="000D50F3" w:rsidRPr="00885799">
        <w:rPr>
          <w:noProof/>
        </w:rPr>
        <w:fldChar w:fldCharType="separate"/>
      </w:r>
      <w:r w:rsidR="000B67EF">
        <w:rPr>
          <w:noProof/>
        </w:rPr>
        <w:t>1</w:t>
      </w:r>
      <w:r w:rsidR="000D50F3" w:rsidRPr="00885799">
        <w:rPr>
          <w:noProof/>
        </w:rPr>
        <w:fldChar w:fldCharType="end"/>
      </w:r>
    </w:p>
    <w:p w14:paraId="66335FE4" w14:textId="3941DF3F" w:rsidR="000D50F3" w:rsidRPr="00885799" w:rsidRDefault="000D50F3">
      <w:pPr>
        <w:pStyle w:val="TOC2"/>
        <w:tabs>
          <w:tab w:val="left" w:pos="720"/>
          <w:tab w:val="right" w:leader="dot" w:pos="9350"/>
        </w:tabs>
        <w:rPr>
          <w:rFonts w:ascii="Arial" w:eastAsiaTheme="minorEastAsia" w:hAnsi="Arial" w:cs="Arial"/>
          <w:b w:val="0"/>
          <w:bCs w:val="0"/>
          <w:noProof/>
          <w:lang w:eastAsia="zh-CN"/>
        </w:rPr>
      </w:pPr>
      <w:r w:rsidRPr="00885799">
        <w:rPr>
          <w:rFonts w:ascii="Arial" w:hAnsi="Arial" w:cs="Arial"/>
          <w:b w:val="0"/>
          <w:noProof/>
        </w:rPr>
        <w:t>A.</w:t>
      </w:r>
      <w:r w:rsidRPr="00885799">
        <w:rPr>
          <w:rFonts w:ascii="Arial" w:hAnsi="Arial" w:cs="Arial" w:eastAsiaTheme="minorEastAsia"/>
          <w:b w:val="0"/>
          <w:bCs w:val="0"/>
          <w:noProof/>
          <w:lang w:eastAsia="zh-CN"/>
        </w:rPr>
        <w:tab/>
      </w:r>
      <w:r w:rsidRPr="00885799">
        <w:rPr>
          <w:rFonts w:ascii="Arial" w:hAnsi="Arial" w:cs="Arial"/>
          <w:b w:val="0"/>
          <w:noProof/>
        </w:rPr>
        <w:t>Objetivos y Componentes</w:t>
      </w:r>
      <w:r w:rsidRPr="00885799">
        <w:rPr>
          <w:rFonts w:ascii="Arial" w:hAnsi="Arial" w:cs="Arial"/>
          <w:b w:val="0"/>
          <w:noProof/>
        </w:rPr>
        <w:tab/>
      </w:r>
      <w:r w:rsidRPr="00885799">
        <w:rPr>
          <w:rFonts w:ascii="Arial" w:hAnsi="Arial" w:cs="Arial"/>
          <w:b w:val="0"/>
          <w:noProof/>
        </w:rPr>
        <w:fldChar w:fldCharType="begin"/>
      </w:r>
      <w:r w:rsidRPr="00885799">
        <w:rPr>
          <w:rFonts w:ascii="Arial" w:hAnsi="Arial" w:cs="Arial"/>
          <w:b w:val="0"/>
          <w:noProof/>
        </w:rPr>
        <w:instrText xml:space="preserve"> PAGEREF _Toc513537386 \h </w:instrText>
      </w:r>
      <w:r w:rsidRPr="00885799">
        <w:rPr>
          <w:rFonts w:ascii="Arial" w:hAnsi="Arial" w:cs="Arial"/>
          <w:b w:val="0"/>
          <w:noProof/>
        </w:rPr>
      </w:r>
      <w:r w:rsidRPr="00885799">
        <w:rPr>
          <w:rFonts w:ascii="Arial" w:hAnsi="Arial" w:cs="Arial"/>
          <w:b w:val="0"/>
          <w:noProof/>
        </w:rPr>
        <w:fldChar w:fldCharType="separate"/>
      </w:r>
      <w:r w:rsidR="000B67EF">
        <w:rPr>
          <w:rFonts w:ascii="Arial" w:hAnsi="Arial" w:cs="Arial"/>
          <w:b w:val="0"/>
          <w:noProof/>
        </w:rPr>
        <w:t>1</w:t>
      </w:r>
      <w:r w:rsidRPr="00885799">
        <w:rPr>
          <w:rFonts w:ascii="Arial" w:hAnsi="Arial" w:cs="Arial"/>
          <w:b w:val="0"/>
          <w:noProof/>
        </w:rPr>
        <w:fldChar w:fldCharType="end"/>
      </w:r>
    </w:p>
    <w:p w14:paraId="5BF296BA" w14:textId="39E05B80" w:rsidR="000D50F3" w:rsidRPr="00885799" w:rsidRDefault="000D50F3">
      <w:pPr>
        <w:pStyle w:val="TOC2"/>
        <w:tabs>
          <w:tab w:val="left" w:pos="720"/>
          <w:tab w:val="right" w:leader="dot" w:pos="9350"/>
        </w:tabs>
        <w:rPr>
          <w:rFonts w:ascii="Arial" w:eastAsiaTheme="minorEastAsia" w:hAnsi="Arial" w:cs="Arial"/>
          <w:b w:val="0"/>
          <w:bCs w:val="0"/>
          <w:noProof/>
          <w:lang w:eastAsia="zh-CN"/>
        </w:rPr>
      </w:pPr>
      <w:r w:rsidRPr="00885799">
        <w:rPr>
          <w:rFonts w:ascii="Arial" w:hAnsi="Arial" w:cs="Arial"/>
          <w:b w:val="0"/>
          <w:noProof/>
        </w:rPr>
        <w:t>B.</w:t>
      </w:r>
      <w:r w:rsidRPr="00885799">
        <w:rPr>
          <w:rFonts w:ascii="Arial" w:hAnsi="Arial" w:cs="Arial" w:eastAsiaTheme="minorEastAsia"/>
          <w:b w:val="0"/>
          <w:bCs w:val="0"/>
          <w:noProof/>
          <w:lang w:eastAsia="zh-CN"/>
        </w:rPr>
        <w:tab/>
      </w:r>
      <w:r w:rsidRPr="00885799">
        <w:rPr>
          <w:rFonts w:ascii="Arial" w:hAnsi="Arial" w:cs="Arial"/>
          <w:b w:val="0"/>
          <w:noProof/>
        </w:rPr>
        <w:t>Esquema de Ejecución</w:t>
      </w:r>
      <w:r w:rsidRPr="00885799">
        <w:rPr>
          <w:rFonts w:ascii="Arial" w:hAnsi="Arial" w:cs="Arial"/>
          <w:b w:val="0"/>
          <w:noProof/>
        </w:rPr>
        <w:tab/>
      </w:r>
      <w:r w:rsidRPr="00885799">
        <w:rPr>
          <w:rFonts w:ascii="Arial" w:hAnsi="Arial" w:cs="Arial"/>
          <w:b w:val="0"/>
          <w:noProof/>
        </w:rPr>
        <w:fldChar w:fldCharType="begin"/>
      </w:r>
      <w:r w:rsidRPr="00885799">
        <w:rPr>
          <w:rFonts w:ascii="Arial" w:hAnsi="Arial" w:cs="Arial"/>
          <w:b w:val="0"/>
          <w:noProof/>
        </w:rPr>
        <w:instrText xml:space="preserve"> PAGEREF _Toc513537387 \h </w:instrText>
      </w:r>
      <w:r w:rsidRPr="00885799">
        <w:rPr>
          <w:rFonts w:ascii="Arial" w:hAnsi="Arial" w:cs="Arial"/>
          <w:b w:val="0"/>
          <w:noProof/>
        </w:rPr>
      </w:r>
      <w:r w:rsidRPr="00885799">
        <w:rPr>
          <w:rFonts w:ascii="Arial" w:hAnsi="Arial" w:cs="Arial"/>
          <w:b w:val="0"/>
          <w:noProof/>
        </w:rPr>
        <w:fldChar w:fldCharType="separate"/>
      </w:r>
      <w:r w:rsidR="000B67EF">
        <w:rPr>
          <w:rFonts w:ascii="Arial" w:hAnsi="Arial" w:cs="Arial"/>
          <w:b w:val="0"/>
          <w:noProof/>
        </w:rPr>
        <w:t>2</w:t>
      </w:r>
      <w:r w:rsidRPr="00885799">
        <w:rPr>
          <w:rFonts w:ascii="Arial" w:hAnsi="Arial" w:cs="Arial"/>
          <w:b w:val="0"/>
          <w:noProof/>
        </w:rPr>
        <w:fldChar w:fldCharType="end"/>
      </w:r>
    </w:p>
    <w:p w14:paraId="048D42CD" w14:textId="2EC7C75A" w:rsidR="000D50F3" w:rsidRPr="00885799" w:rsidRDefault="000D50F3" w:rsidP="00721CE2">
      <w:pPr>
        <w:pStyle w:val="TOC1"/>
        <w:rPr>
          <w:rFonts w:eastAsiaTheme="minorEastAsia"/>
          <w:noProof/>
          <w:lang w:eastAsia="zh-CN"/>
        </w:rPr>
      </w:pPr>
      <w:r w:rsidRPr="00885799">
        <w:rPr>
          <w:noProof/>
        </w:rPr>
        <w:t>II.</w:t>
      </w:r>
      <w:r w:rsidRPr="00885799">
        <w:rPr>
          <w:rFonts w:eastAsiaTheme="minorEastAsia"/>
          <w:noProof/>
          <w:lang w:eastAsia="zh-CN"/>
        </w:rPr>
        <w:tab/>
      </w:r>
      <w:r w:rsidRPr="00885799">
        <w:rPr>
          <w:noProof/>
        </w:rPr>
        <w:t>Monitoreo del programa</w:t>
      </w:r>
      <w:r w:rsidRPr="00885799">
        <w:rPr>
          <w:noProof/>
        </w:rPr>
        <w:tab/>
      </w:r>
      <w:r w:rsidRPr="00885799">
        <w:rPr>
          <w:noProof/>
        </w:rPr>
        <w:fldChar w:fldCharType="begin"/>
      </w:r>
      <w:r w:rsidRPr="00885799">
        <w:rPr>
          <w:noProof/>
        </w:rPr>
        <w:instrText xml:space="preserve"> PAGEREF _Toc513537388 \h </w:instrText>
      </w:r>
      <w:r w:rsidRPr="00885799">
        <w:rPr>
          <w:noProof/>
        </w:rPr>
      </w:r>
      <w:r w:rsidRPr="00885799">
        <w:rPr>
          <w:noProof/>
        </w:rPr>
        <w:fldChar w:fldCharType="separate"/>
      </w:r>
      <w:r w:rsidR="000B67EF">
        <w:rPr>
          <w:noProof/>
        </w:rPr>
        <w:t>2</w:t>
      </w:r>
      <w:r w:rsidRPr="00885799">
        <w:rPr>
          <w:noProof/>
        </w:rPr>
        <w:fldChar w:fldCharType="end"/>
      </w:r>
    </w:p>
    <w:p w14:paraId="3A487529" w14:textId="097A0D47" w:rsidR="000D50F3" w:rsidRPr="00885799" w:rsidRDefault="000D50F3" w:rsidP="00721CE2">
      <w:pPr>
        <w:pStyle w:val="TOC1"/>
        <w:rPr>
          <w:rFonts w:eastAsiaTheme="minorEastAsia"/>
          <w:noProof/>
          <w:lang w:eastAsia="zh-CN"/>
        </w:rPr>
      </w:pPr>
      <w:r w:rsidRPr="00885799">
        <w:rPr>
          <w:noProof/>
        </w:rPr>
        <w:t>III.</w:t>
      </w:r>
      <w:r w:rsidRPr="00885799">
        <w:rPr>
          <w:rFonts w:eastAsiaTheme="minorEastAsia"/>
          <w:noProof/>
          <w:lang w:eastAsia="zh-CN"/>
        </w:rPr>
        <w:tab/>
      </w:r>
      <w:r w:rsidRPr="00885799">
        <w:rPr>
          <w:noProof/>
        </w:rPr>
        <w:t>Instrumentos para el Monitoreo de los Indicadores y Recopilación de Datos</w:t>
      </w:r>
      <w:r w:rsidRPr="00885799">
        <w:rPr>
          <w:noProof/>
        </w:rPr>
        <w:tab/>
      </w:r>
      <w:r w:rsidRPr="00885799">
        <w:rPr>
          <w:noProof/>
        </w:rPr>
        <w:fldChar w:fldCharType="begin"/>
      </w:r>
      <w:r w:rsidRPr="00885799">
        <w:rPr>
          <w:noProof/>
        </w:rPr>
        <w:instrText xml:space="preserve"> PAGEREF _Toc513537389 \h </w:instrText>
      </w:r>
      <w:r w:rsidRPr="00885799">
        <w:rPr>
          <w:noProof/>
        </w:rPr>
      </w:r>
      <w:r w:rsidRPr="00885799">
        <w:rPr>
          <w:noProof/>
        </w:rPr>
        <w:fldChar w:fldCharType="separate"/>
      </w:r>
      <w:r w:rsidR="000B67EF">
        <w:rPr>
          <w:noProof/>
        </w:rPr>
        <w:t>5</w:t>
      </w:r>
      <w:r w:rsidRPr="00885799">
        <w:rPr>
          <w:noProof/>
        </w:rPr>
        <w:fldChar w:fldCharType="end"/>
      </w:r>
    </w:p>
    <w:p w14:paraId="08C372B3" w14:textId="2BFC954E" w:rsidR="000D50F3" w:rsidRPr="00885799" w:rsidRDefault="000D50F3" w:rsidP="00721CE2">
      <w:pPr>
        <w:pStyle w:val="TOC1"/>
        <w:rPr>
          <w:rFonts w:eastAsiaTheme="minorEastAsia"/>
          <w:noProof/>
          <w:lang w:eastAsia="zh-CN"/>
        </w:rPr>
      </w:pPr>
      <w:r w:rsidRPr="00885799">
        <w:rPr>
          <w:noProof/>
        </w:rPr>
        <w:t>IV.</w:t>
      </w:r>
      <w:r w:rsidRPr="00885799">
        <w:rPr>
          <w:rFonts w:eastAsiaTheme="minorEastAsia"/>
          <w:noProof/>
          <w:lang w:eastAsia="zh-CN"/>
        </w:rPr>
        <w:tab/>
      </w:r>
      <w:r w:rsidRPr="00885799">
        <w:rPr>
          <w:noProof/>
        </w:rPr>
        <w:t>Coordinación, Plan de Trabajo, y Presupuesto del Seguimiento</w:t>
      </w:r>
      <w:r w:rsidRPr="00885799">
        <w:rPr>
          <w:noProof/>
        </w:rPr>
        <w:tab/>
      </w:r>
      <w:r w:rsidRPr="00885799">
        <w:rPr>
          <w:noProof/>
        </w:rPr>
        <w:fldChar w:fldCharType="begin"/>
      </w:r>
      <w:r w:rsidRPr="00885799">
        <w:rPr>
          <w:noProof/>
        </w:rPr>
        <w:instrText xml:space="preserve"> PAGEREF _Toc513537390 \h </w:instrText>
      </w:r>
      <w:r w:rsidRPr="00885799">
        <w:rPr>
          <w:noProof/>
        </w:rPr>
      </w:r>
      <w:r w:rsidRPr="00885799">
        <w:rPr>
          <w:noProof/>
        </w:rPr>
        <w:fldChar w:fldCharType="separate"/>
      </w:r>
      <w:r w:rsidR="000B67EF">
        <w:rPr>
          <w:noProof/>
        </w:rPr>
        <w:t>6</w:t>
      </w:r>
      <w:r w:rsidRPr="00885799">
        <w:rPr>
          <w:noProof/>
        </w:rPr>
        <w:fldChar w:fldCharType="end"/>
      </w:r>
    </w:p>
    <w:p w14:paraId="4D13F779" w14:textId="433C4C82" w:rsidR="000D50F3" w:rsidRPr="00885799" w:rsidRDefault="000D50F3" w:rsidP="00721CE2">
      <w:pPr>
        <w:pStyle w:val="TOC1"/>
        <w:rPr>
          <w:rFonts w:eastAsiaTheme="minorEastAsia"/>
          <w:noProof/>
          <w:lang w:eastAsia="zh-CN"/>
        </w:rPr>
      </w:pPr>
      <w:r w:rsidRPr="00885799">
        <w:rPr>
          <w:noProof/>
        </w:rPr>
        <w:t>V.</w:t>
      </w:r>
      <w:r w:rsidRPr="00885799">
        <w:rPr>
          <w:rFonts w:eastAsiaTheme="minorEastAsia"/>
          <w:noProof/>
          <w:lang w:eastAsia="zh-CN"/>
        </w:rPr>
        <w:tab/>
      </w:r>
      <w:r w:rsidRPr="00885799">
        <w:rPr>
          <w:noProof/>
        </w:rPr>
        <w:t>Evaluación</w:t>
      </w:r>
      <w:r w:rsidRPr="00885799">
        <w:rPr>
          <w:noProof/>
        </w:rPr>
        <w:tab/>
      </w:r>
      <w:r w:rsidRPr="00885799">
        <w:rPr>
          <w:noProof/>
        </w:rPr>
        <w:fldChar w:fldCharType="begin"/>
      </w:r>
      <w:r w:rsidRPr="00885799">
        <w:rPr>
          <w:noProof/>
        </w:rPr>
        <w:instrText xml:space="preserve"> PAGEREF _Toc513537391 \h </w:instrText>
      </w:r>
      <w:r w:rsidRPr="00885799">
        <w:rPr>
          <w:noProof/>
        </w:rPr>
      </w:r>
      <w:r w:rsidRPr="00885799">
        <w:rPr>
          <w:noProof/>
        </w:rPr>
        <w:fldChar w:fldCharType="separate"/>
      </w:r>
      <w:r w:rsidR="000B67EF">
        <w:rPr>
          <w:noProof/>
        </w:rPr>
        <w:t>10</w:t>
      </w:r>
      <w:r w:rsidRPr="00885799">
        <w:rPr>
          <w:noProof/>
        </w:rPr>
        <w:fldChar w:fldCharType="end"/>
      </w:r>
    </w:p>
    <w:p w14:paraId="1209AA83" w14:textId="41E34D40" w:rsidR="000D50F3" w:rsidRPr="00885799" w:rsidRDefault="000D50F3">
      <w:pPr>
        <w:pStyle w:val="TOC2"/>
        <w:tabs>
          <w:tab w:val="left" w:pos="720"/>
          <w:tab w:val="right" w:leader="dot" w:pos="9350"/>
        </w:tabs>
        <w:rPr>
          <w:rFonts w:ascii="Arial" w:eastAsiaTheme="minorEastAsia" w:hAnsi="Arial" w:cs="Arial"/>
          <w:b w:val="0"/>
          <w:bCs w:val="0"/>
          <w:noProof/>
          <w:lang w:eastAsia="zh-CN"/>
        </w:rPr>
      </w:pPr>
      <w:r w:rsidRPr="00885799">
        <w:rPr>
          <w:rFonts w:ascii="Arial" w:hAnsi="Arial" w:cs="Arial"/>
          <w:b w:val="0"/>
          <w:noProof/>
        </w:rPr>
        <w:t>A.</w:t>
      </w:r>
      <w:r w:rsidRPr="00885799">
        <w:rPr>
          <w:rFonts w:ascii="Arial" w:hAnsi="Arial" w:cs="Arial" w:eastAsiaTheme="minorEastAsia"/>
          <w:b w:val="0"/>
          <w:bCs w:val="0"/>
          <w:noProof/>
          <w:lang w:eastAsia="zh-CN"/>
        </w:rPr>
        <w:tab/>
      </w:r>
      <w:r w:rsidRPr="00885799">
        <w:rPr>
          <w:rFonts w:ascii="Arial" w:hAnsi="Arial" w:cs="Arial"/>
          <w:b w:val="0"/>
          <w:noProof/>
        </w:rPr>
        <w:t>Principales Preguntas de Evaluación.</w:t>
      </w:r>
      <w:r w:rsidRPr="00885799">
        <w:rPr>
          <w:rFonts w:ascii="Arial" w:hAnsi="Arial" w:cs="Arial"/>
          <w:b w:val="0"/>
          <w:noProof/>
        </w:rPr>
        <w:tab/>
      </w:r>
      <w:r w:rsidRPr="00885799">
        <w:rPr>
          <w:rFonts w:ascii="Arial" w:hAnsi="Arial" w:cs="Arial"/>
          <w:b w:val="0"/>
          <w:noProof/>
        </w:rPr>
        <w:fldChar w:fldCharType="begin"/>
      </w:r>
      <w:r w:rsidRPr="00885799">
        <w:rPr>
          <w:rFonts w:ascii="Arial" w:hAnsi="Arial" w:cs="Arial"/>
          <w:b w:val="0"/>
          <w:noProof/>
        </w:rPr>
        <w:instrText xml:space="preserve"> PAGEREF _Toc513537392 \h </w:instrText>
      </w:r>
      <w:r w:rsidRPr="00885799">
        <w:rPr>
          <w:rFonts w:ascii="Arial" w:hAnsi="Arial" w:cs="Arial"/>
          <w:b w:val="0"/>
          <w:noProof/>
        </w:rPr>
      </w:r>
      <w:r w:rsidRPr="00885799">
        <w:rPr>
          <w:rFonts w:ascii="Arial" w:hAnsi="Arial" w:cs="Arial"/>
          <w:b w:val="0"/>
          <w:noProof/>
        </w:rPr>
        <w:fldChar w:fldCharType="separate"/>
      </w:r>
      <w:r w:rsidR="000B67EF">
        <w:rPr>
          <w:rFonts w:ascii="Arial" w:hAnsi="Arial" w:cs="Arial"/>
          <w:b w:val="0"/>
          <w:noProof/>
        </w:rPr>
        <w:t>10</w:t>
      </w:r>
      <w:r w:rsidRPr="00885799">
        <w:rPr>
          <w:rFonts w:ascii="Arial" w:hAnsi="Arial" w:cs="Arial"/>
          <w:b w:val="0"/>
          <w:noProof/>
        </w:rPr>
        <w:fldChar w:fldCharType="end"/>
      </w:r>
    </w:p>
    <w:p w14:paraId="17DF16FE" w14:textId="42C9E2FF" w:rsidR="000D50F3" w:rsidRPr="00885799" w:rsidRDefault="000D50F3">
      <w:pPr>
        <w:pStyle w:val="TOC2"/>
        <w:tabs>
          <w:tab w:val="left" w:pos="720"/>
          <w:tab w:val="right" w:leader="dot" w:pos="9350"/>
        </w:tabs>
        <w:rPr>
          <w:rFonts w:ascii="Arial" w:eastAsiaTheme="minorEastAsia" w:hAnsi="Arial" w:cs="Arial"/>
          <w:b w:val="0"/>
          <w:bCs w:val="0"/>
          <w:noProof/>
          <w:lang w:eastAsia="zh-CN"/>
        </w:rPr>
      </w:pPr>
      <w:r w:rsidRPr="00885799">
        <w:rPr>
          <w:rFonts w:ascii="Arial" w:hAnsi="Arial" w:cs="Arial"/>
          <w:b w:val="0"/>
          <w:noProof/>
        </w:rPr>
        <w:t>B.</w:t>
      </w:r>
      <w:r w:rsidRPr="00885799">
        <w:rPr>
          <w:rFonts w:ascii="Arial" w:hAnsi="Arial" w:cs="Arial" w:eastAsiaTheme="minorEastAsia"/>
          <w:b w:val="0"/>
          <w:bCs w:val="0"/>
          <w:noProof/>
          <w:lang w:eastAsia="zh-CN"/>
        </w:rPr>
        <w:tab/>
      </w:r>
      <w:r w:rsidRPr="00885799">
        <w:rPr>
          <w:rFonts w:ascii="Arial" w:hAnsi="Arial" w:cs="Arial"/>
          <w:b w:val="0"/>
          <w:noProof/>
        </w:rPr>
        <w:t>Análisis Costo Beneficio Ex-Ante del Proyecto de Muestra.</w:t>
      </w:r>
      <w:r w:rsidRPr="00885799">
        <w:rPr>
          <w:rFonts w:ascii="Arial" w:hAnsi="Arial" w:cs="Arial"/>
          <w:b w:val="0"/>
          <w:noProof/>
        </w:rPr>
        <w:tab/>
      </w:r>
      <w:r w:rsidRPr="00885799">
        <w:rPr>
          <w:rFonts w:ascii="Arial" w:hAnsi="Arial" w:cs="Arial"/>
          <w:b w:val="0"/>
          <w:noProof/>
        </w:rPr>
        <w:fldChar w:fldCharType="begin"/>
      </w:r>
      <w:r w:rsidRPr="00885799">
        <w:rPr>
          <w:rFonts w:ascii="Arial" w:hAnsi="Arial" w:cs="Arial"/>
          <w:b w:val="0"/>
          <w:noProof/>
        </w:rPr>
        <w:instrText xml:space="preserve"> PAGEREF _Toc513537393 \h </w:instrText>
      </w:r>
      <w:r w:rsidRPr="00885799">
        <w:rPr>
          <w:rFonts w:ascii="Arial" w:hAnsi="Arial" w:cs="Arial"/>
          <w:b w:val="0"/>
          <w:noProof/>
        </w:rPr>
      </w:r>
      <w:r w:rsidRPr="00885799">
        <w:rPr>
          <w:rFonts w:ascii="Arial" w:hAnsi="Arial" w:cs="Arial"/>
          <w:b w:val="0"/>
          <w:noProof/>
        </w:rPr>
        <w:fldChar w:fldCharType="separate"/>
      </w:r>
      <w:r w:rsidR="000B67EF">
        <w:rPr>
          <w:rFonts w:ascii="Arial" w:hAnsi="Arial" w:cs="Arial"/>
          <w:b w:val="0"/>
          <w:noProof/>
        </w:rPr>
        <w:t>10</w:t>
      </w:r>
      <w:r w:rsidRPr="00885799">
        <w:rPr>
          <w:rFonts w:ascii="Arial" w:hAnsi="Arial" w:cs="Arial"/>
          <w:b w:val="0"/>
          <w:noProof/>
        </w:rPr>
        <w:fldChar w:fldCharType="end"/>
      </w:r>
    </w:p>
    <w:p w14:paraId="6481D8FA" w14:textId="2BB318A2" w:rsidR="000D50F3" w:rsidRPr="00885799" w:rsidRDefault="000D50F3">
      <w:pPr>
        <w:pStyle w:val="TOC2"/>
        <w:tabs>
          <w:tab w:val="left" w:pos="720"/>
          <w:tab w:val="right" w:leader="dot" w:pos="9350"/>
        </w:tabs>
        <w:rPr>
          <w:rFonts w:ascii="Arial" w:eastAsiaTheme="minorEastAsia" w:hAnsi="Arial" w:cs="Arial"/>
          <w:b w:val="0"/>
          <w:bCs w:val="0"/>
          <w:noProof/>
          <w:lang w:eastAsia="zh-CN"/>
        </w:rPr>
      </w:pPr>
      <w:r w:rsidRPr="00885799">
        <w:rPr>
          <w:rFonts w:ascii="Arial" w:hAnsi="Arial" w:cs="Arial"/>
          <w:b w:val="0"/>
          <w:noProof/>
        </w:rPr>
        <w:t>C.</w:t>
      </w:r>
      <w:r w:rsidRPr="00885799">
        <w:rPr>
          <w:rFonts w:ascii="Arial" w:hAnsi="Arial" w:cs="Arial" w:eastAsiaTheme="minorEastAsia"/>
          <w:b w:val="0"/>
          <w:bCs w:val="0"/>
          <w:noProof/>
          <w:lang w:eastAsia="zh-CN"/>
        </w:rPr>
        <w:tab/>
      </w:r>
      <w:r w:rsidRPr="00885799">
        <w:rPr>
          <w:rFonts w:ascii="Arial" w:hAnsi="Arial" w:cs="Arial"/>
          <w:b w:val="0"/>
          <w:noProof/>
        </w:rPr>
        <w:t>Indicadores de Resultados y su Metodología</w:t>
      </w:r>
      <w:r w:rsidRPr="00885799">
        <w:rPr>
          <w:rFonts w:ascii="Arial" w:hAnsi="Arial" w:cs="Arial"/>
          <w:b w:val="0"/>
          <w:noProof/>
        </w:rPr>
        <w:tab/>
      </w:r>
      <w:r w:rsidRPr="00885799">
        <w:rPr>
          <w:rFonts w:ascii="Arial" w:hAnsi="Arial" w:cs="Arial"/>
          <w:b w:val="0"/>
          <w:noProof/>
        </w:rPr>
        <w:fldChar w:fldCharType="begin"/>
      </w:r>
      <w:r w:rsidRPr="00885799">
        <w:rPr>
          <w:rFonts w:ascii="Arial" w:hAnsi="Arial" w:cs="Arial"/>
          <w:b w:val="0"/>
          <w:noProof/>
        </w:rPr>
        <w:instrText xml:space="preserve"> PAGEREF _Toc513537394 \h </w:instrText>
      </w:r>
      <w:r w:rsidRPr="00885799">
        <w:rPr>
          <w:rFonts w:ascii="Arial" w:hAnsi="Arial" w:cs="Arial"/>
          <w:b w:val="0"/>
          <w:noProof/>
        </w:rPr>
      </w:r>
      <w:r w:rsidRPr="00885799">
        <w:rPr>
          <w:rFonts w:ascii="Arial" w:hAnsi="Arial" w:cs="Arial"/>
          <w:b w:val="0"/>
          <w:noProof/>
        </w:rPr>
        <w:fldChar w:fldCharType="separate"/>
      </w:r>
      <w:r w:rsidR="000B67EF">
        <w:rPr>
          <w:rFonts w:ascii="Arial" w:hAnsi="Arial" w:cs="Arial"/>
          <w:b w:val="0"/>
          <w:noProof/>
        </w:rPr>
        <w:t>12</w:t>
      </w:r>
      <w:r w:rsidRPr="00885799">
        <w:rPr>
          <w:rFonts w:ascii="Arial" w:hAnsi="Arial" w:cs="Arial"/>
          <w:b w:val="0"/>
          <w:noProof/>
        </w:rPr>
        <w:fldChar w:fldCharType="end"/>
      </w:r>
    </w:p>
    <w:p w14:paraId="646DCC54" w14:textId="66198541" w:rsidR="000D50F3" w:rsidRPr="00885799" w:rsidRDefault="000D50F3">
      <w:pPr>
        <w:pStyle w:val="TOC2"/>
        <w:tabs>
          <w:tab w:val="left" w:pos="720"/>
          <w:tab w:val="right" w:leader="dot" w:pos="9350"/>
        </w:tabs>
        <w:rPr>
          <w:rFonts w:ascii="Arial" w:eastAsiaTheme="minorEastAsia" w:hAnsi="Arial" w:cs="Arial"/>
          <w:b w:val="0"/>
          <w:bCs w:val="0"/>
          <w:noProof/>
          <w:lang w:eastAsia="zh-CN"/>
        </w:rPr>
      </w:pPr>
      <w:r w:rsidRPr="00885799">
        <w:rPr>
          <w:rFonts w:ascii="Arial" w:hAnsi="Arial" w:cs="Arial"/>
          <w:b w:val="0"/>
          <w:noProof/>
        </w:rPr>
        <w:t>D.</w:t>
      </w:r>
      <w:r w:rsidRPr="00885799">
        <w:rPr>
          <w:rFonts w:ascii="Arial" w:hAnsi="Arial" w:cs="Arial" w:eastAsiaTheme="minorEastAsia"/>
          <w:b w:val="0"/>
          <w:bCs w:val="0"/>
          <w:noProof/>
          <w:lang w:eastAsia="zh-CN"/>
        </w:rPr>
        <w:tab/>
      </w:r>
      <w:r w:rsidRPr="00885799">
        <w:rPr>
          <w:rFonts w:ascii="Arial" w:hAnsi="Arial" w:cs="Arial"/>
          <w:b w:val="0"/>
          <w:noProof/>
        </w:rPr>
        <w:t>Cronograma y Presupuesto del Relevamiento de los Indicadores de Resultados</w:t>
      </w:r>
      <w:r w:rsidRPr="00885799">
        <w:rPr>
          <w:rFonts w:ascii="Arial" w:hAnsi="Arial" w:cs="Arial"/>
          <w:b w:val="0"/>
          <w:noProof/>
        </w:rPr>
        <w:tab/>
      </w:r>
      <w:r w:rsidRPr="00885799">
        <w:rPr>
          <w:rFonts w:ascii="Arial" w:hAnsi="Arial" w:cs="Arial"/>
          <w:b w:val="0"/>
          <w:noProof/>
        </w:rPr>
        <w:fldChar w:fldCharType="begin"/>
      </w:r>
      <w:r w:rsidRPr="00885799">
        <w:rPr>
          <w:rFonts w:ascii="Arial" w:hAnsi="Arial" w:cs="Arial"/>
          <w:b w:val="0"/>
          <w:noProof/>
        </w:rPr>
        <w:instrText xml:space="preserve"> PAGEREF _Toc513537395 \h </w:instrText>
      </w:r>
      <w:r w:rsidRPr="00885799">
        <w:rPr>
          <w:rFonts w:ascii="Arial" w:hAnsi="Arial" w:cs="Arial"/>
          <w:b w:val="0"/>
          <w:noProof/>
        </w:rPr>
      </w:r>
      <w:r w:rsidRPr="00885799">
        <w:rPr>
          <w:rFonts w:ascii="Arial" w:hAnsi="Arial" w:cs="Arial"/>
          <w:b w:val="0"/>
          <w:noProof/>
        </w:rPr>
        <w:fldChar w:fldCharType="separate"/>
      </w:r>
      <w:r w:rsidR="000B67EF">
        <w:rPr>
          <w:rFonts w:ascii="Arial" w:hAnsi="Arial" w:cs="Arial"/>
          <w:b w:val="0"/>
          <w:noProof/>
        </w:rPr>
        <w:t>17</w:t>
      </w:r>
      <w:r w:rsidRPr="00885799">
        <w:rPr>
          <w:rFonts w:ascii="Arial" w:hAnsi="Arial" w:cs="Arial"/>
          <w:b w:val="0"/>
          <w:noProof/>
        </w:rPr>
        <w:fldChar w:fldCharType="end"/>
      </w:r>
    </w:p>
    <w:p w14:paraId="6344A6BA" w14:textId="0A61AB85" w:rsidR="000D50F3" w:rsidRPr="00885799" w:rsidRDefault="000D50F3">
      <w:pPr>
        <w:pStyle w:val="TOC2"/>
        <w:tabs>
          <w:tab w:val="left" w:pos="720"/>
          <w:tab w:val="right" w:leader="dot" w:pos="9350"/>
        </w:tabs>
        <w:rPr>
          <w:rFonts w:ascii="Arial" w:eastAsiaTheme="minorEastAsia" w:hAnsi="Arial" w:cs="Arial"/>
          <w:b w:val="0"/>
          <w:bCs w:val="0"/>
          <w:noProof/>
          <w:lang w:eastAsia="zh-CN"/>
        </w:rPr>
      </w:pPr>
      <w:r w:rsidRPr="00885799">
        <w:rPr>
          <w:rFonts w:ascii="Arial" w:hAnsi="Arial" w:cs="Arial"/>
          <w:b w:val="0"/>
          <w:noProof/>
        </w:rPr>
        <w:t>E.</w:t>
      </w:r>
      <w:r w:rsidRPr="00885799">
        <w:rPr>
          <w:rFonts w:ascii="Arial" w:hAnsi="Arial" w:cs="Arial" w:eastAsiaTheme="minorEastAsia"/>
          <w:b w:val="0"/>
          <w:bCs w:val="0"/>
          <w:noProof/>
          <w:lang w:eastAsia="zh-CN"/>
        </w:rPr>
        <w:tab/>
      </w:r>
      <w:r w:rsidRPr="00885799">
        <w:rPr>
          <w:rFonts w:ascii="Arial" w:hAnsi="Arial" w:cs="Arial"/>
          <w:b w:val="0"/>
          <w:noProof/>
        </w:rPr>
        <w:t>Metodología de evaluación ex post.</w:t>
      </w:r>
      <w:r w:rsidRPr="00885799">
        <w:rPr>
          <w:rFonts w:ascii="Arial" w:hAnsi="Arial" w:cs="Arial"/>
          <w:b w:val="0"/>
          <w:noProof/>
        </w:rPr>
        <w:tab/>
      </w:r>
      <w:r w:rsidRPr="00885799">
        <w:rPr>
          <w:rFonts w:ascii="Arial" w:hAnsi="Arial" w:cs="Arial"/>
          <w:b w:val="0"/>
          <w:noProof/>
        </w:rPr>
        <w:fldChar w:fldCharType="begin"/>
      </w:r>
      <w:r w:rsidRPr="00885799">
        <w:rPr>
          <w:rFonts w:ascii="Arial" w:hAnsi="Arial" w:cs="Arial"/>
          <w:b w:val="0"/>
          <w:noProof/>
        </w:rPr>
        <w:instrText xml:space="preserve"> PAGEREF _Toc513537396 \h </w:instrText>
      </w:r>
      <w:r w:rsidRPr="00885799">
        <w:rPr>
          <w:rFonts w:ascii="Arial" w:hAnsi="Arial" w:cs="Arial"/>
          <w:b w:val="0"/>
          <w:noProof/>
        </w:rPr>
      </w:r>
      <w:r w:rsidRPr="00885799">
        <w:rPr>
          <w:rFonts w:ascii="Arial" w:hAnsi="Arial" w:cs="Arial"/>
          <w:b w:val="0"/>
          <w:noProof/>
        </w:rPr>
        <w:fldChar w:fldCharType="separate"/>
      </w:r>
      <w:r w:rsidR="000B67EF">
        <w:rPr>
          <w:rFonts w:ascii="Arial" w:hAnsi="Arial" w:cs="Arial"/>
          <w:b w:val="0"/>
          <w:noProof/>
        </w:rPr>
        <w:t>17</w:t>
      </w:r>
      <w:r w:rsidRPr="00885799">
        <w:rPr>
          <w:rFonts w:ascii="Arial" w:hAnsi="Arial" w:cs="Arial"/>
          <w:b w:val="0"/>
          <w:noProof/>
        </w:rPr>
        <w:fldChar w:fldCharType="end"/>
      </w:r>
    </w:p>
    <w:p w14:paraId="5BBD2335" w14:textId="2774DF6B" w:rsidR="000D50F3" w:rsidRPr="00885799" w:rsidRDefault="000D50F3">
      <w:pPr>
        <w:pStyle w:val="TOC2"/>
        <w:tabs>
          <w:tab w:val="left" w:pos="720"/>
          <w:tab w:val="right" w:leader="dot" w:pos="9350"/>
        </w:tabs>
        <w:rPr>
          <w:rFonts w:ascii="Arial" w:eastAsiaTheme="minorEastAsia" w:hAnsi="Arial" w:cs="Arial"/>
          <w:b w:val="0"/>
          <w:bCs w:val="0"/>
          <w:noProof/>
          <w:lang w:eastAsia="zh-CN"/>
        </w:rPr>
      </w:pPr>
      <w:r w:rsidRPr="00885799">
        <w:rPr>
          <w:rFonts w:ascii="Arial" w:hAnsi="Arial" w:cs="Arial"/>
          <w:b w:val="0"/>
          <w:noProof/>
        </w:rPr>
        <w:t>F.</w:t>
      </w:r>
      <w:r w:rsidRPr="00885799">
        <w:rPr>
          <w:rFonts w:ascii="Arial" w:hAnsi="Arial" w:cs="Arial" w:eastAsiaTheme="minorEastAsia"/>
          <w:b w:val="0"/>
          <w:bCs w:val="0"/>
          <w:noProof/>
          <w:lang w:eastAsia="zh-CN"/>
        </w:rPr>
        <w:tab/>
      </w:r>
      <w:r w:rsidRPr="00885799">
        <w:rPr>
          <w:rFonts w:ascii="Arial" w:hAnsi="Arial" w:cs="Arial"/>
          <w:b w:val="0"/>
          <w:noProof/>
        </w:rPr>
        <w:t>Presupuesto indicativo</w:t>
      </w:r>
      <w:r w:rsidRPr="00885799">
        <w:rPr>
          <w:rFonts w:ascii="Arial" w:hAnsi="Arial" w:cs="Arial"/>
          <w:b w:val="0"/>
          <w:noProof/>
        </w:rPr>
        <w:tab/>
      </w:r>
      <w:r w:rsidRPr="00885799">
        <w:rPr>
          <w:rFonts w:ascii="Arial" w:hAnsi="Arial" w:cs="Arial"/>
          <w:b w:val="0"/>
          <w:noProof/>
        </w:rPr>
        <w:fldChar w:fldCharType="begin"/>
      </w:r>
      <w:r w:rsidRPr="00885799">
        <w:rPr>
          <w:rFonts w:ascii="Arial" w:hAnsi="Arial" w:cs="Arial"/>
          <w:b w:val="0"/>
          <w:noProof/>
        </w:rPr>
        <w:instrText xml:space="preserve"> PAGEREF _Toc513537397 \h </w:instrText>
      </w:r>
      <w:r w:rsidRPr="00885799">
        <w:rPr>
          <w:rFonts w:ascii="Arial" w:hAnsi="Arial" w:cs="Arial"/>
          <w:b w:val="0"/>
          <w:noProof/>
        </w:rPr>
      </w:r>
      <w:r w:rsidRPr="00885799">
        <w:rPr>
          <w:rFonts w:ascii="Arial" w:hAnsi="Arial" w:cs="Arial"/>
          <w:b w:val="0"/>
          <w:noProof/>
        </w:rPr>
        <w:fldChar w:fldCharType="separate"/>
      </w:r>
      <w:r w:rsidR="000B67EF">
        <w:rPr>
          <w:rFonts w:ascii="Arial" w:hAnsi="Arial" w:cs="Arial"/>
          <w:b w:val="0"/>
          <w:noProof/>
        </w:rPr>
        <w:t>17</w:t>
      </w:r>
      <w:r w:rsidRPr="00885799">
        <w:rPr>
          <w:rFonts w:ascii="Arial" w:hAnsi="Arial" w:cs="Arial"/>
          <w:b w:val="0"/>
          <w:noProof/>
        </w:rPr>
        <w:fldChar w:fldCharType="end"/>
      </w:r>
    </w:p>
    <w:p w14:paraId="01FC88D7" w14:textId="5D3A469B" w:rsidR="000D50F3" w:rsidRPr="00885799" w:rsidRDefault="000D50F3">
      <w:pPr>
        <w:pStyle w:val="TOC2"/>
        <w:tabs>
          <w:tab w:val="left" w:pos="720"/>
          <w:tab w:val="right" w:leader="dot" w:pos="9350"/>
        </w:tabs>
        <w:rPr>
          <w:rFonts w:ascii="Arial" w:eastAsiaTheme="minorEastAsia" w:hAnsi="Arial" w:cs="Arial"/>
          <w:b w:val="0"/>
          <w:bCs w:val="0"/>
          <w:noProof/>
          <w:lang w:eastAsia="zh-CN"/>
        </w:rPr>
      </w:pPr>
      <w:r w:rsidRPr="00885799">
        <w:rPr>
          <w:rFonts w:ascii="Arial" w:hAnsi="Arial" w:cs="Arial"/>
          <w:b w:val="0"/>
          <w:noProof/>
        </w:rPr>
        <w:t>G.</w:t>
      </w:r>
      <w:r w:rsidRPr="00885799">
        <w:rPr>
          <w:rFonts w:ascii="Arial" w:hAnsi="Arial" w:cs="Arial" w:eastAsiaTheme="minorEastAsia"/>
          <w:b w:val="0"/>
          <w:bCs w:val="0"/>
          <w:noProof/>
          <w:lang w:eastAsia="zh-CN"/>
        </w:rPr>
        <w:tab/>
      </w:r>
      <w:r w:rsidRPr="00885799">
        <w:rPr>
          <w:rFonts w:ascii="Arial" w:hAnsi="Arial" w:cs="Arial"/>
          <w:b w:val="0"/>
          <w:noProof/>
        </w:rPr>
        <w:t>Equipo de Evaluación</w:t>
      </w:r>
      <w:r w:rsidRPr="00885799">
        <w:rPr>
          <w:rFonts w:ascii="Arial" w:hAnsi="Arial" w:cs="Arial"/>
          <w:b w:val="0"/>
          <w:noProof/>
        </w:rPr>
        <w:tab/>
      </w:r>
      <w:r w:rsidRPr="00885799">
        <w:rPr>
          <w:rFonts w:ascii="Arial" w:hAnsi="Arial" w:cs="Arial"/>
          <w:b w:val="0"/>
          <w:noProof/>
        </w:rPr>
        <w:fldChar w:fldCharType="begin"/>
      </w:r>
      <w:r w:rsidRPr="00885799">
        <w:rPr>
          <w:rFonts w:ascii="Arial" w:hAnsi="Arial" w:cs="Arial"/>
          <w:b w:val="0"/>
          <w:noProof/>
        </w:rPr>
        <w:instrText xml:space="preserve"> PAGEREF _Toc513537398 \h </w:instrText>
      </w:r>
      <w:r w:rsidRPr="00885799">
        <w:rPr>
          <w:rFonts w:ascii="Arial" w:hAnsi="Arial" w:cs="Arial"/>
          <w:b w:val="0"/>
          <w:noProof/>
        </w:rPr>
      </w:r>
      <w:r w:rsidRPr="00885799">
        <w:rPr>
          <w:rFonts w:ascii="Arial" w:hAnsi="Arial" w:cs="Arial"/>
          <w:b w:val="0"/>
          <w:noProof/>
        </w:rPr>
        <w:fldChar w:fldCharType="separate"/>
      </w:r>
      <w:r w:rsidR="000B67EF">
        <w:rPr>
          <w:rFonts w:ascii="Arial" w:hAnsi="Arial" w:cs="Arial"/>
          <w:b w:val="0"/>
          <w:noProof/>
        </w:rPr>
        <w:t>17</w:t>
      </w:r>
      <w:r w:rsidRPr="00885799">
        <w:rPr>
          <w:rFonts w:ascii="Arial" w:hAnsi="Arial" w:cs="Arial"/>
          <w:b w:val="0"/>
          <w:noProof/>
        </w:rPr>
        <w:fldChar w:fldCharType="end"/>
      </w:r>
    </w:p>
    <w:p w14:paraId="501A58C0" w14:textId="4683273B" w:rsidR="000D50F3" w:rsidRPr="00885799" w:rsidRDefault="000D50F3">
      <w:pPr>
        <w:pStyle w:val="TOC2"/>
        <w:tabs>
          <w:tab w:val="left" w:pos="720"/>
          <w:tab w:val="right" w:leader="dot" w:pos="9350"/>
        </w:tabs>
        <w:rPr>
          <w:rFonts w:ascii="Arial" w:eastAsiaTheme="minorEastAsia" w:hAnsi="Arial" w:cs="Arial"/>
          <w:b w:val="0"/>
          <w:bCs w:val="0"/>
          <w:noProof/>
          <w:lang w:val="en-US" w:eastAsia="zh-CN"/>
        </w:rPr>
      </w:pPr>
      <w:r w:rsidRPr="00885799">
        <w:rPr>
          <w:rFonts w:ascii="Arial" w:hAnsi="Arial" w:cs="Arial"/>
          <w:b w:val="0"/>
          <w:noProof/>
        </w:rPr>
        <w:t>H.</w:t>
      </w:r>
      <w:r w:rsidRPr="00885799">
        <w:rPr>
          <w:rFonts w:ascii="Arial" w:hAnsi="Arial" w:cs="Arial" w:eastAsiaTheme="minorEastAsia"/>
          <w:b w:val="0"/>
          <w:bCs w:val="0"/>
          <w:noProof/>
          <w:lang w:val="en-US" w:eastAsia="zh-CN"/>
        </w:rPr>
        <w:tab/>
      </w:r>
      <w:r w:rsidRPr="00885799">
        <w:rPr>
          <w:rFonts w:ascii="Arial" w:hAnsi="Arial" w:cs="Arial"/>
          <w:b w:val="0"/>
          <w:noProof/>
        </w:rPr>
        <w:t>Cronograma</w:t>
      </w:r>
      <w:r w:rsidRPr="00885799">
        <w:rPr>
          <w:rFonts w:ascii="Arial" w:hAnsi="Arial" w:cs="Arial"/>
          <w:b w:val="0"/>
          <w:noProof/>
        </w:rPr>
        <w:tab/>
      </w:r>
      <w:r w:rsidRPr="00885799">
        <w:rPr>
          <w:rFonts w:ascii="Arial" w:hAnsi="Arial" w:cs="Arial"/>
          <w:b w:val="0"/>
          <w:noProof/>
        </w:rPr>
        <w:fldChar w:fldCharType="begin"/>
      </w:r>
      <w:r w:rsidRPr="00885799">
        <w:rPr>
          <w:rFonts w:ascii="Arial" w:hAnsi="Arial" w:cs="Arial"/>
          <w:b w:val="0"/>
          <w:noProof/>
        </w:rPr>
        <w:instrText xml:space="preserve"> PAGEREF _Toc513537399 \h </w:instrText>
      </w:r>
      <w:r w:rsidRPr="00885799">
        <w:rPr>
          <w:rFonts w:ascii="Arial" w:hAnsi="Arial" w:cs="Arial"/>
          <w:b w:val="0"/>
          <w:noProof/>
        </w:rPr>
      </w:r>
      <w:r w:rsidRPr="00885799">
        <w:rPr>
          <w:rFonts w:ascii="Arial" w:hAnsi="Arial" w:cs="Arial"/>
          <w:b w:val="0"/>
          <w:noProof/>
        </w:rPr>
        <w:fldChar w:fldCharType="separate"/>
      </w:r>
      <w:r w:rsidR="000B67EF">
        <w:rPr>
          <w:rFonts w:ascii="Arial" w:hAnsi="Arial" w:cs="Arial"/>
          <w:b w:val="0"/>
          <w:noProof/>
        </w:rPr>
        <w:t>17</w:t>
      </w:r>
      <w:r w:rsidRPr="00885799">
        <w:rPr>
          <w:rFonts w:ascii="Arial" w:hAnsi="Arial" w:cs="Arial"/>
          <w:b w:val="0"/>
          <w:noProof/>
        </w:rPr>
        <w:fldChar w:fldCharType="end"/>
      </w:r>
    </w:p>
    <w:p w14:paraId="167E8ECD" w14:textId="1C322551" w:rsidR="00304935" w:rsidRDefault="00E3347F" w:rsidP="008B57E8">
      <w:pPr>
        <w:rPr>
          <w:rFonts w:ascii="Arial" w:hAnsi="Arial" w:cs="Arial"/>
          <w:sz w:val="22"/>
          <w:szCs w:val="24"/>
        </w:rPr>
        <w:sectPr w:rsidR="00304935" w:rsidSect="00402AC6">
          <w:pgSz w:w="12240" w:h="15840"/>
          <w:pgMar w:top="1632" w:right="1440" w:bottom="1440" w:left="1440" w:header="0" w:footer="986" w:gutter="0"/>
          <w:cols w:space="708"/>
        </w:sectPr>
      </w:pPr>
      <w:r w:rsidRPr="00885799">
        <w:rPr>
          <w:rFonts w:ascii="Arial" w:hAnsi="Arial" w:cs="Arial"/>
          <w:sz w:val="22"/>
          <w:szCs w:val="22"/>
        </w:rPr>
        <w:fldChar w:fldCharType="end"/>
      </w:r>
    </w:p>
    <w:p w14:paraId="3708CA52" w14:textId="77777777" w:rsidR="008B57E8" w:rsidRDefault="008B57E8" w:rsidP="008B57E8"/>
    <w:p w14:paraId="25CD468D" w14:textId="1FEF3674" w:rsidR="00304935" w:rsidRDefault="00304935" w:rsidP="008B57E8">
      <w:pPr>
        <w:sectPr w:rsidR="00304935" w:rsidSect="003625BF">
          <w:pgSz w:w="12240" w:h="15840"/>
          <w:pgMar w:top="1632" w:right="1440" w:bottom="1440" w:left="1440" w:header="0" w:footer="986" w:gutter="0"/>
          <w:pgNumType w:start="1"/>
          <w:cols w:space="708"/>
          <w:titlePg/>
          <w:docGrid w:linePitch="326"/>
        </w:sectPr>
      </w:pPr>
    </w:p>
    <w:p w14:paraId="3281B54C" w14:textId="1AD984ED" w:rsidR="00C57468" w:rsidRPr="00312C7C" w:rsidRDefault="00C57468" w:rsidP="008B57E8">
      <w:pPr>
        <w:pStyle w:val="Chapter"/>
      </w:pPr>
      <w:bookmarkStart w:id="1" w:name="_Toc513537385"/>
      <w:r>
        <w:t>Descripción del Proyecto</w:t>
      </w:r>
      <w:bookmarkEnd w:id="1"/>
    </w:p>
    <w:p w14:paraId="55B53C4C" w14:textId="77777777" w:rsidR="009C319A" w:rsidRPr="009472C5" w:rsidRDefault="009C319A" w:rsidP="009C31C3">
      <w:pPr>
        <w:pStyle w:val="FirstHeading"/>
      </w:pPr>
      <w:bookmarkStart w:id="2" w:name="_Toc513537386"/>
      <w:r w:rsidRPr="009472C5">
        <w:t>Objetivos y Componentes</w:t>
      </w:r>
      <w:bookmarkEnd w:id="2"/>
    </w:p>
    <w:p w14:paraId="24D71BBC" w14:textId="056D7413" w:rsidR="000C22B1" w:rsidRDefault="00951B88" w:rsidP="00A64DEB">
      <w:pPr>
        <w:pStyle w:val="Paragraph"/>
      </w:pPr>
      <w:r w:rsidRPr="00951B88">
        <w:t>El objetivo de esta operación es apoyar la sostenibilidad de la matriz energética de Bolivia para promover la reducción de emisiones de CO</w:t>
      </w:r>
      <w:r w:rsidRPr="00027D3F">
        <w:rPr>
          <w:vertAlign w:val="subscript"/>
        </w:rPr>
        <w:t>2</w:t>
      </w:r>
      <w:r w:rsidRPr="00951B88">
        <w:t xml:space="preserve">, mediante el desarrollo de infraestructura eléctrica que permita la integración de los SA al SIN y la promoción del uso eficiente de la electricidad. Los objetivos específicos del </w:t>
      </w:r>
      <w:r w:rsidR="00027D3F">
        <w:t>p</w:t>
      </w:r>
      <w:r w:rsidRPr="00951B88">
        <w:t xml:space="preserve">rograma son reducir el consumo de diésel el consumo de diésel en el SA de San Ignacio de Velasco mediante su interconexión al SIN y, reducir el consumo de energía eléctrica en los Sistemas de AP de los </w:t>
      </w:r>
      <w:r w:rsidR="001F3112">
        <w:t>dos municipios</w:t>
      </w:r>
      <w:r w:rsidRPr="00951B88">
        <w:t xml:space="preserve"> mediante la implementación de medidas de EE.</w:t>
      </w:r>
      <w:r w:rsidR="00580688">
        <w:t xml:space="preserve"> </w:t>
      </w:r>
      <w:r w:rsidR="000C22B1" w:rsidRPr="002776C8">
        <w:t xml:space="preserve">Para lograr estos objetivos, el </w:t>
      </w:r>
      <w:r w:rsidR="00027D3F">
        <w:t>p</w:t>
      </w:r>
      <w:r w:rsidR="000C22B1" w:rsidRPr="002776C8">
        <w:t>rograma comprende dos componentes:</w:t>
      </w:r>
    </w:p>
    <w:p w14:paraId="6B4FB2E4" w14:textId="477BCF29" w:rsidR="00580688" w:rsidRPr="003623F0" w:rsidRDefault="00580688" w:rsidP="00A64DEB">
      <w:pPr>
        <w:pStyle w:val="Paragraph"/>
      </w:pPr>
      <w:r w:rsidRPr="00580688">
        <w:rPr>
          <w:b/>
          <w:szCs w:val="24"/>
        </w:rPr>
        <w:t>Componente</w:t>
      </w:r>
      <w:r w:rsidRPr="00580688">
        <w:rPr>
          <w:rFonts w:eastAsia="Arial"/>
          <w:b/>
          <w:bCs/>
        </w:rPr>
        <w:t xml:space="preserve"> </w:t>
      </w:r>
      <w:r w:rsidRPr="00580688">
        <w:rPr>
          <w:b/>
          <w:bCs/>
        </w:rPr>
        <w:t>1:</w:t>
      </w:r>
      <w:r w:rsidRPr="00B549D9">
        <w:rPr>
          <w:b/>
          <w:bCs/>
        </w:rPr>
        <w:t xml:space="preserve"> </w:t>
      </w:r>
      <w:r w:rsidRPr="00FE5F91">
        <w:rPr>
          <w:b/>
          <w:bCs/>
        </w:rPr>
        <w:t>LT</w:t>
      </w:r>
      <w:r w:rsidRPr="00B549D9">
        <w:t xml:space="preserve"> </w:t>
      </w:r>
      <w:r w:rsidRPr="00FE5F91">
        <w:rPr>
          <w:b/>
          <w:bCs/>
        </w:rPr>
        <w:t>Los Troncos – San Ignacio (US$5</w:t>
      </w:r>
      <w:r w:rsidR="00E50732">
        <w:rPr>
          <w:b/>
          <w:bCs/>
        </w:rPr>
        <w:t>4,</w:t>
      </w:r>
      <w:r w:rsidRPr="00FE5F91">
        <w:rPr>
          <w:b/>
          <w:bCs/>
        </w:rPr>
        <w:t xml:space="preserve">5 millones). </w:t>
      </w:r>
      <w:r w:rsidRPr="003623F0">
        <w:t>Bajo este componente se busca</w:t>
      </w:r>
      <w:bookmarkStart w:id="3" w:name="_Hlk495418162"/>
      <w:r w:rsidRPr="003623F0">
        <w:t xml:space="preserve"> integrar al SIN el SA de San Ignacio de Velasco, lo que permitirá: (i) eliminar el uso de diésel para generación </w:t>
      </w:r>
      <w:r>
        <w:t xml:space="preserve">eléctrica </w:t>
      </w:r>
      <w:r w:rsidRPr="003623F0">
        <w:t>en dicho SA; (ii) optimizar la operación del sistema eléctrico de San Ignacio</w:t>
      </w:r>
      <w:r>
        <w:t xml:space="preserve"> de Velasco</w:t>
      </w:r>
      <w:r w:rsidRPr="003623F0">
        <w:t xml:space="preserve"> mejorando la calidad del servicio en el área; y (iii) la futura extensión de la red de transmisión para conectar nuevos usuarios al servicio eléctrico.</w:t>
      </w:r>
      <w:bookmarkEnd w:id="3"/>
      <w:r w:rsidRPr="003623F0">
        <w:t xml:space="preserve"> Bajo este componente se financiará, específicamente: (i) </w:t>
      </w:r>
      <w:r>
        <w:t xml:space="preserve">la </w:t>
      </w:r>
      <w:r w:rsidRPr="003623F0">
        <w:t>construcción de la LT</w:t>
      </w:r>
      <w:r>
        <w:t xml:space="preserve"> San Ignacio de Velasco – Los Troncos con una longitud aproximada de 238 km; </w:t>
      </w:r>
      <w:r w:rsidRPr="003623F0">
        <w:t xml:space="preserve">(ii) </w:t>
      </w:r>
      <w:r>
        <w:t xml:space="preserve">las </w:t>
      </w:r>
      <w:r w:rsidRPr="003623F0">
        <w:t xml:space="preserve">obras y equipos para la </w:t>
      </w:r>
      <w:r>
        <w:t xml:space="preserve">construcción </w:t>
      </w:r>
      <w:r w:rsidRPr="003623F0">
        <w:t>de la SE San Ignacio</w:t>
      </w:r>
      <w:r>
        <w:t>; y (iii)</w:t>
      </w:r>
      <w:r w:rsidRPr="003623F0">
        <w:t xml:space="preserve"> </w:t>
      </w:r>
      <w:r>
        <w:t xml:space="preserve">las obras y equipos para la construcción de la </w:t>
      </w:r>
      <w:r w:rsidRPr="003623F0">
        <w:t xml:space="preserve">bahía de </w:t>
      </w:r>
      <w:r>
        <w:t>salida de la SE Los Troncos</w:t>
      </w:r>
      <w:r w:rsidRPr="003623F0">
        <w:t>.</w:t>
      </w:r>
    </w:p>
    <w:p w14:paraId="6B8ECC7C" w14:textId="6A9C23AD" w:rsidR="00580688" w:rsidRPr="008B52C5" w:rsidRDefault="00580688" w:rsidP="00A64DEB">
      <w:pPr>
        <w:pStyle w:val="Paragraph"/>
        <w:rPr>
          <w:b/>
          <w:bCs/>
        </w:rPr>
      </w:pPr>
      <w:r w:rsidRPr="00580688">
        <w:rPr>
          <w:b/>
          <w:szCs w:val="24"/>
        </w:rPr>
        <w:t>Componente</w:t>
      </w:r>
      <w:r w:rsidRPr="00580688">
        <w:rPr>
          <w:b/>
          <w:bCs/>
        </w:rPr>
        <w:t xml:space="preserve"> 2.</w:t>
      </w:r>
      <w:r w:rsidRPr="00580688">
        <w:rPr>
          <w:b/>
        </w:rPr>
        <w:t xml:space="preserve"> </w:t>
      </w:r>
      <w:r w:rsidRPr="00580688">
        <w:rPr>
          <w:b/>
          <w:bCs/>
        </w:rPr>
        <w:t>Eficiencia</w:t>
      </w:r>
      <w:r w:rsidRPr="000B1220">
        <w:rPr>
          <w:b/>
          <w:bCs/>
        </w:rPr>
        <w:t xml:space="preserve"> Energét</w:t>
      </w:r>
      <w:r w:rsidR="00E50732">
        <w:rPr>
          <w:b/>
          <w:bCs/>
        </w:rPr>
        <w:t>ica en Alumbrado Público (US$16,</w:t>
      </w:r>
      <w:r w:rsidRPr="000B1220">
        <w:rPr>
          <w:b/>
          <w:bCs/>
        </w:rPr>
        <w:t>5 millones).</w:t>
      </w:r>
      <w:r w:rsidRPr="00FE5F91">
        <w:rPr>
          <w:b/>
          <w:bCs/>
        </w:rPr>
        <w:t xml:space="preserve"> </w:t>
      </w:r>
      <w:r w:rsidRPr="003623F0">
        <w:t xml:space="preserve">Bajo este componente se </w:t>
      </w:r>
      <w:r>
        <w:t xml:space="preserve">financiará </w:t>
      </w:r>
      <w:bookmarkStart w:id="4" w:name="_Hlk495419803"/>
      <w:r>
        <w:t xml:space="preserve">el reemplazo de luminarias </w:t>
      </w:r>
      <w:proofErr w:type="gramStart"/>
      <w:r>
        <w:t>convencionales  por</w:t>
      </w:r>
      <w:proofErr w:type="gramEnd"/>
      <w:r>
        <w:t xml:space="preserve"> luminarias eficientes </w:t>
      </w:r>
      <w:r w:rsidRPr="00A22DCD">
        <w:t xml:space="preserve">en </w:t>
      </w:r>
      <w:r>
        <w:t xml:space="preserve">los </w:t>
      </w:r>
      <w:r w:rsidRPr="00A22DCD">
        <w:t xml:space="preserve">sistemas de AP </w:t>
      </w:r>
      <w:r>
        <w:t xml:space="preserve">(avenidas, calles y parques) </w:t>
      </w:r>
      <w:r w:rsidRPr="00A22DCD">
        <w:t xml:space="preserve">de los GAM de </w:t>
      </w:r>
      <w:r w:rsidR="00CB43BF">
        <w:t>dos ciudades</w:t>
      </w:r>
      <w:r w:rsidRPr="00A22DCD">
        <w:t>. El reemplazo permitirá: (i) lograr ahorros energéticos y económicos, contribuyendo a reducir emisiones de CO</w:t>
      </w:r>
      <w:r w:rsidRPr="00A22DCD">
        <w:rPr>
          <w:vertAlign w:val="subscript"/>
        </w:rPr>
        <w:t>2</w:t>
      </w:r>
      <w:r w:rsidRPr="00A22DCD">
        <w:t>, así como demostrar su viabilidad para extender la implementación a otr</w:t>
      </w:r>
      <w:r>
        <w:t>os</w:t>
      </w:r>
      <w:r w:rsidRPr="00A22DCD">
        <w:t xml:space="preserve"> munici</w:t>
      </w:r>
      <w:r>
        <w:t>pios</w:t>
      </w:r>
      <w:r w:rsidRPr="00A22DCD">
        <w:t xml:space="preserve">; </w:t>
      </w:r>
      <w:r>
        <w:t xml:space="preserve">(ii) mejorar el rendimiento visual, el ambiente y la seguridad de los entornos urbanos con respecto al resto de tecnologías; y </w:t>
      </w:r>
      <w:r w:rsidRPr="00A22DCD">
        <w:t>(</w:t>
      </w:r>
      <w:r>
        <w:t>i</w:t>
      </w:r>
      <w:r w:rsidRPr="00A22DCD">
        <w:t xml:space="preserve">ii) fortalecer las capacidades institucionales en materia de EE de los </w:t>
      </w:r>
      <w:proofErr w:type="spellStart"/>
      <w:r w:rsidRPr="00A22DCD">
        <w:t>GAMs</w:t>
      </w:r>
      <w:proofErr w:type="spellEnd"/>
      <w:r w:rsidRPr="00A22DCD">
        <w:t xml:space="preserve"> y de las instituciones beneficiadas con las inversiones del programa</w:t>
      </w:r>
      <w:bookmarkEnd w:id="4"/>
      <w:r>
        <w:t xml:space="preserve">. Bajo </w:t>
      </w:r>
      <w:r w:rsidRPr="00A22DCD">
        <w:t>este componente se financiará</w:t>
      </w:r>
      <w:r>
        <w:t xml:space="preserve"> la adquisición e instalación de las nuevas luminarias </w:t>
      </w:r>
      <w:proofErr w:type="spellStart"/>
      <w:r>
        <w:t>LEDs</w:t>
      </w:r>
      <w:proofErr w:type="spellEnd"/>
      <w:r>
        <w:t xml:space="preserve">, la corrección de </w:t>
      </w:r>
      <w:r w:rsidRPr="00A22DCD">
        <w:t xml:space="preserve">postes y </w:t>
      </w:r>
      <w:r>
        <w:t xml:space="preserve">brazos, la implementación de un </w:t>
      </w:r>
      <w:r w:rsidRPr="00A22DCD">
        <w:t xml:space="preserve">plan de </w:t>
      </w:r>
      <w:r>
        <w:t>disposición final de las luminarias reemplazadas y, adicionalmente la implementación del programa P que beneficiará hasta 500 familias.</w:t>
      </w:r>
    </w:p>
    <w:p w14:paraId="6047B465" w14:textId="14A075EB" w:rsidR="00580688" w:rsidRPr="00A5551C" w:rsidRDefault="00580688" w:rsidP="00A64DEB">
      <w:pPr>
        <w:pStyle w:val="Paragraph"/>
      </w:pPr>
      <w:r w:rsidRPr="00FE5F91">
        <w:rPr>
          <w:b/>
          <w:bCs/>
        </w:rPr>
        <w:t>Gestión y Administración del Proyecto (US$</w:t>
      </w:r>
      <w:r>
        <w:rPr>
          <w:b/>
          <w:bCs/>
        </w:rPr>
        <w:t>1</w:t>
      </w:r>
      <w:r w:rsidR="00E50732">
        <w:rPr>
          <w:b/>
          <w:bCs/>
        </w:rPr>
        <w:t>1</w:t>
      </w:r>
      <w:r w:rsidRPr="00FE5F91">
        <w:rPr>
          <w:b/>
          <w:bCs/>
        </w:rPr>
        <w:t xml:space="preserve"> millones).</w:t>
      </w:r>
      <w:r w:rsidRPr="00A5551C">
        <w:t xml:space="preserve"> </w:t>
      </w:r>
      <w:r>
        <w:t>Bajo este rubro se financiará, para cada componente según corresponda:</w:t>
      </w:r>
      <w:r w:rsidRPr="00A5551C">
        <w:t xml:space="preserve"> (i) costos de ingeniería y administración del proyecto; </w:t>
      </w:r>
      <w:r w:rsidRPr="0081358B">
        <w:t>(ii) costos de manejo y gestión social; (iii) costos de manejo de impactos socioambientales y compensaciones</w:t>
      </w:r>
      <w:r w:rsidRPr="00A5551C">
        <w:t>; (iv) complementación de diseños, estudios, ruteo y topografía; (v) supervisión; y (vi) evaluación y monitoreo. El presupuesto incluye asimismo un monto para auditoria, y contempla contingencias de los costos directos de suministro y montaje.</w:t>
      </w:r>
    </w:p>
    <w:p w14:paraId="724B3766" w14:textId="77777777" w:rsidR="009C319A" w:rsidRPr="009C319A" w:rsidRDefault="009C319A" w:rsidP="00FF07A9">
      <w:pPr>
        <w:pStyle w:val="FirstHeading"/>
      </w:pPr>
      <w:bookmarkStart w:id="5" w:name="_Toc513537387"/>
      <w:r w:rsidRPr="009C319A">
        <w:t>Esquema de Ejecución</w:t>
      </w:r>
      <w:bookmarkEnd w:id="5"/>
    </w:p>
    <w:p w14:paraId="4A994442" w14:textId="77777777" w:rsidR="00580688" w:rsidRPr="00580688" w:rsidRDefault="000C3B42" w:rsidP="00FF07A9">
      <w:pPr>
        <w:pStyle w:val="Paragraph"/>
      </w:pPr>
      <w:bookmarkStart w:id="6" w:name="_Ref450403014"/>
      <w:r w:rsidRPr="00580688">
        <w:rPr>
          <w:b/>
        </w:rPr>
        <w:t>Prestatario y Organismos Ejecutores.</w:t>
      </w:r>
      <w:r>
        <w:t xml:space="preserve"> </w:t>
      </w:r>
      <w:r w:rsidR="00580688" w:rsidRPr="00580688">
        <w:t>El programa contará con dos organismos ejecutores, uno para cada componente. El Componente 1 será ejecutado por la ENDE y el Componente 2 por el VMEEA, a través del PEVD. Ambos organismos ejecutores cuentan con un amplio conocimiento y experiencia en ejecución de proyectos financiados por del BID y otros organismos multilaterales. ENDE y PEVD conformaran las respectivas Unidades Ejecutoras conformadas como mínimo de:</w:t>
      </w:r>
    </w:p>
    <w:p w14:paraId="2F89D3E7" w14:textId="09924478" w:rsidR="00A25887" w:rsidRPr="00580688" w:rsidRDefault="00580688" w:rsidP="00FF07A9">
      <w:pPr>
        <w:pStyle w:val="Paragraph"/>
      </w:pPr>
      <w:r w:rsidRPr="00580688">
        <w:t xml:space="preserve">Componente I (ENDE): </w:t>
      </w:r>
      <w:r w:rsidR="00A25887">
        <w:t>u</w:t>
      </w:r>
      <w:r w:rsidR="00A25887" w:rsidRPr="00A25887">
        <w:t xml:space="preserve">n coordinador del programa, tres técnicos, especialista en adquisiciones, persona de apoyo en adquisiciones, especialista financiero, abogado, especialista ambiental y social, especialista de seguimiento y control, y especialista administrativo. El equipo propuesto será el mismo equipo que será conformado para la ejecución del Subcomponente </w:t>
      </w:r>
      <w:proofErr w:type="spellStart"/>
      <w:r w:rsidR="00A25887" w:rsidRPr="00A25887">
        <w:t>I.1</w:t>
      </w:r>
      <w:proofErr w:type="spellEnd"/>
      <w:r w:rsidR="00A25887" w:rsidRPr="00A25887">
        <w:t xml:space="preserve"> y el Componente II del Programa de Electrificación Rural II (3725/BL-BO).</w:t>
      </w:r>
    </w:p>
    <w:p w14:paraId="41F1E2FF" w14:textId="04E792D6" w:rsidR="00A25887" w:rsidRPr="00A25887" w:rsidRDefault="00580688" w:rsidP="00FF07A9">
      <w:pPr>
        <w:pStyle w:val="Paragraph"/>
      </w:pPr>
      <w:r w:rsidRPr="00580688">
        <w:t xml:space="preserve">Componente II (PEVD): </w:t>
      </w:r>
      <w:r w:rsidR="00A25887">
        <w:t>s</w:t>
      </w:r>
      <w:r w:rsidR="00A25887" w:rsidRPr="00A25887">
        <w:t xml:space="preserve">e propone que parte del personal de la Unidad Ejecutora del Componente </w:t>
      </w:r>
      <w:proofErr w:type="spellStart"/>
      <w:r w:rsidR="00A25887" w:rsidRPr="00A25887">
        <w:t>I.2</w:t>
      </w:r>
      <w:proofErr w:type="spellEnd"/>
      <w:r w:rsidR="00A25887" w:rsidRPr="00A25887">
        <w:t xml:space="preserve"> y </w:t>
      </w:r>
      <w:proofErr w:type="spellStart"/>
      <w:r w:rsidR="00A25887" w:rsidRPr="00A25887">
        <w:t>I.3</w:t>
      </w:r>
      <w:proofErr w:type="spellEnd"/>
      <w:r w:rsidR="00A25887" w:rsidRPr="00A25887">
        <w:t xml:space="preserve"> del Programa de Electrificación Rural II (3725/BL-BO) y del Programa de Electrificación Rural con Energía Renovable (PERER) (GRT/NV</w:t>
      </w:r>
      <w:r w:rsidR="00466C51">
        <w:noBreakHyphen/>
      </w:r>
      <w:r w:rsidR="00A25887" w:rsidRPr="00A25887">
        <w:t>14258</w:t>
      </w:r>
      <w:r w:rsidR="00466C51">
        <w:noBreakHyphen/>
      </w:r>
      <w:r w:rsidR="00A25887" w:rsidRPr="00A25887">
        <w:t>BO), conformen la Unidad Ejecutora para el Componente II del presente programa. Se propone que la UEP esté conformada por: un coordinador del programa, dos técnicos, especialista en adquisiciones, especialista financiero, contador, abogado, especialista ambiental y social, y especialista de planificación, seguimiento y control. Adicionalmente, los GAM deberán designar un profesional técnico del área de AP para la fiscalización. El VMEEA designará un especialista en EE para la coordinación y seguimiento de actividades ejecutadas por el PEVD bajo este componente. Serán condiciones contractuales especiales previas al primer desembolso que: (i) la ENDE haya designado el Coordinador del Componente 1; y (ii) el PEVD haya designado el Coordinador del Componente 2.  Estas condiciones son fundamentales para garantizar que el prestatario estará preparado para iniciar la ejecución del programa en los términos acordado con el BID.</w:t>
      </w:r>
    </w:p>
    <w:p w14:paraId="4BAB00E5" w14:textId="5C6B22BE" w:rsidR="00FF07A9" w:rsidRDefault="00580688" w:rsidP="001F3112">
      <w:pPr>
        <w:pStyle w:val="Paragraph"/>
      </w:pPr>
      <w:r w:rsidRPr="00580688">
        <w:t>Las UEP</w:t>
      </w:r>
      <w:r>
        <w:t xml:space="preserve"> estarán encargados de implementar y supervisar el programa, definir y aprobar los Planes Operativos Anuales (POA), proporcionar información que permita al Banco hacer seguimiento y evaluación de los resultados del programa.</w:t>
      </w:r>
      <w:bookmarkEnd w:id="6"/>
    </w:p>
    <w:p w14:paraId="21EFD970" w14:textId="77777777" w:rsidR="00FF07A9" w:rsidRDefault="00FF07A9" w:rsidP="00FF07A9">
      <w:pPr>
        <w:sectPr w:rsidR="00FF07A9" w:rsidSect="008B57E8">
          <w:type w:val="continuous"/>
          <w:pgSz w:w="12240" w:h="15840"/>
          <w:pgMar w:top="1632" w:right="1440" w:bottom="1440" w:left="1440" w:header="0" w:footer="986" w:gutter="0"/>
          <w:cols w:space="708"/>
        </w:sectPr>
      </w:pPr>
    </w:p>
    <w:p w14:paraId="0E7DA687" w14:textId="7A4E1E5D" w:rsidR="00462F7B" w:rsidRPr="002776C8" w:rsidRDefault="002E09EF" w:rsidP="00FF07A9">
      <w:pPr>
        <w:pStyle w:val="Chapter"/>
      </w:pPr>
      <w:bookmarkStart w:id="7" w:name="_Toc513537388"/>
      <w:r w:rsidRPr="002776C8">
        <w:t>Monitoreo del programa</w:t>
      </w:r>
      <w:bookmarkEnd w:id="7"/>
    </w:p>
    <w:p w14:paraId="056A4943" w14:textId="57A71C21" w:rsidR="0030569B" w:rsidRPr="002776C8" w:rsidRDefault="000014CA" w:rsidP="00FF07A9">
      <w:pPr>
        <w:pStyle w:val="Paragraph"/>
      </w:pPr>
      <w:r w:rsidRPr="002776C8">
        <w:t xml:space="preserve">El objeto del monitoreo es evidenciar los avances en la implementación de los principales productos del Programa de </w:t>
      </w:r>
      <w:r w:rsidR="00E918C2">
        <w:t>Expansión de Infraestructura Eléctrica (BO-L1190)</w:t>
      </w:r>
      <w:r w:rsidRPr="002776C8">
        <w:t xml:space="preserve">. </w:t>
      </w:r>
      <w:r w:rsidR="0030569B" w:rsidRPr="002776C8">
        <w:t xml:space="preserve">El monitoreo y seguimiento del Proyecto se realizará sobre la base de Hitos Verificables Específicos por Producto, en relación directa con los </w:t>
      </w:r>
      <w:proofErr w:type="gramStart"/>
      <w:r w:rsidR="0030569B" w:rsidRPr="002776C8">
        <w:t>Resultados  programados</w:t>
      </w:r>
      <w:proofErr w:type="gramEnd"/>
      <w:r w:rsidR="0030569B" w:rsidRPr="002776C8">
        <w:t>, con mediciones mensuales-trimestrales y anuales durante su implementación, dirigidas a determinar el cumplimiento de metas y la materialización de productos en los plazos previstos.</w:t>
      </w:r>
    </w:p>
    <w:p w14:paraId="59893600" w14:textId="40EF11FA" w:rsidR="0030569B" w:rsidRPr="002776C8" w:rsidRDefault="0030569B" w:rsidP="00FF07A9">
      <w:pPr>
        <w:pStyle w:val="Paragraph"/>
      </w:pPr>
      <w:r w:rsidRPr="002776C8">
        <w:t xml:space="preserve">El Anexo II del POD – Matriz de Resultados del Proyecto, contiene la programación detallada de los indicadores de resultado, productos esperados e hitos verificables, de acuerdo con el Plan Operativo Anual (POA) y Programa de Ejecución del Proyecto (PEP), considerando la información de línea de base respecto de la cual se medirá la ejecución y desempeño de la operación a lo largo del período de ejecución; las unidades de medida definidas, costos asociados y </w:t>
      </w:r>
      <w:proofErr w:type="gramStart"/>
      <w:r w:rsidRPr="002776C8">
        <w:t>metas  anuales</w:t>
      </w:r>
      <w:proofErr w:type="gramEnd"/>
      <w:r w:rsidRPr="002776C8">
        <w:t xml:space="preserve"> y de fin de proyecto.</w:t>
      </w:r>
    </w:p>
    <w:p w14:paraId="7FE993B5" w14:textId="7F3B0981" w:rsidR="0030569B" w:rsidRPr="002776C8" w:rsidRDefault="0030569B" w:rsidP="00FF07A9">
      <w:pPr>
        <w:pStyle w:val="Paragraph"/>
      </w:pPr>
      <w:r w:rsidRPr="002776C8">
        <w:t xml:space="preserve">Los resultados, productos e hitos determinados, las metas y costos asociados programados, factores determinantes en la ejecución y lecciones </w:t>
      </w:r>
      <w:proofErr w:type="gramStart"/>
      <w:r w:rsidRPr="002776C8">
        <w:t>aprendidas,</w:t>
      </w:r>
      <w:proofErr w:type="gramEnd"/>
      <w:r w:rsidRPr="002776C8">
        <w:t xml:space="preserve"> serán considerados dentro del Reporte de Monitoreo del Proyecto (PMR) de la operación.</w:t>
      </w:r>
    </w:p>
    <w:p w14:paraId="3ED494AB" w14:textId="77777777" w:rsidR="0030569B" w:rsidRPr="002776C8" w:rsidRDefault="0030569B" w:rsidP="00FF07A9">
      <w:pPr>
        <w:pStyle w:val="Paragraph"/>
      </w:pPr>
      <w:r w:rsidRPr="002776C8">
        <w:t xml:space="preserve">La evolución de los indicadores, productos e hitos </w:t>
      </w:r>
      <w:proofErr w:type="gramStart"/>
      <w:r w:rsidRPr="002776C8">
        <w:t>verificables,</w:t>
      </w:r>
      <w:proofErr w:type="gramEnd"/>
      <w:r w:rsidRPr="002776C8">
        <w:t xml:space="preserve"> será recogida de forma semestral en los informes de avance de la operación que preparará </w:t>
      </w:r>
      <w:r w:rsidR="00C4639D" w:rsidRPr="002776C8">
        <w:t>la UEP</w:t>
      </w:r>
      <w:r w:rsidR="00AD79AE" w:rsidRPr="002776C8">
        <w:t xml:space="preserve">, </w:t>
      </w:r>
      <w:r w:rsidRPr="002776C8">
        <w:t xml:space="preserve">y serán reflejados en los informes PMR a preparar por el Especialista Sectorial y Analista de Operaciones a cargo. </w:t>
      </w:r>
    </w:p>
    <w:p w14:paraId="4E893E38" w14:textId="77777777" w:rsidR="00E836E2" w:rsidRDefault="009C319A" w:rsidP="00FF07A9">
      <w:pPr>
        <w:pStyle w:val="Paragraph"/>
        <w:rPr>
          <w:rFonts w:eastAsiaTheme="minorHAnsi"/>
        </w:rPr>
        <w:sectPr w:rsidR="00E836E2" w:rsidSect="008B57E8">
          <w:type w:val="continuous"/>
          <w:pgSz w:w="12240" w:h="15840"/>
          <w:pgMar w:top="1632" w:right="1440" w:bottom="1440" w:left="1440" w:header="0" w:footer="986" w:gutter="0"/>
          <w:cols w:space="708"/>
        </w:sectPr>
      </w:pPr>
      <w:r>
        <w:t>En el cuadro siguiente</w:t>
      </w:r>
      <w:r w:rsidR="0030569B" w:rsidRPr="002776C8">
        <w:t xml:space="preserve"> se define la matriz de evaluación y seguimiento para </w:t>
      </w:r>
      <w:r>
        <w:t xml:space="preserve">los indicadores de producto de </w:t>
      </w:r>
      <w:r w:rsidR="0030569B" w:rsidRPr="002776C8">
        <w:t xml:space="preserve">la operación, </w:t>
      </w:r>
      <w:proofErr w:type="gramStart"/>
      <w:r w:rsidR="0030569B" w:rsidRPr="002776C8">
        <w:t>de acuerdo a</w:t>
      </w:r>
      <w:proofErr w:type="gramEnd"/>
      <w:r w:rsidR="0030569B" w:rsidRPr="002776C8">
        <w:t xml:space="preserve"> l</w:t>
      </w:r>
      <w:r w:rsidR="00DC1556" w:rsidRPr="002776C8">
        <w:t xml:space="preserve">a Matriz de Resultados definida. </w:t>
      </w:r>
      <w:r w:rsidR="00DC1556" w:rsidRPr="002776C8">
        <w:rPr>
          <w:rFonts w:eastAsiaTheme="minorHAnsi"/>
        </w:rPr>
        <w:t xml:space="preserve">La UEP será responsable por la consolidación de la línea de base y de los ajustes requeridos a las metas establecidas en la Matriz de Resultados del </w:t>
      </w:r>
      <w:r w:rsidR="006C2F2D">
        <w:rPr>
          <w:rFonts w:eastAsiaTheme="minorHAnsi"/>
        </w:rPr>
        <w:t>p</w:t>
      </w:r>
      <w:r w:rsidR="00DC1556" w:rsidRPr="002776C8">
        <w:rPr>
          <w:rFonts w:eastAsiaTheme="minorHAnsi"/>
        </w:rPr>
        <w:t>rograma.</w:t>
      </w:r>
    </w:p>
    <w:p w14:paraId="6BCEBB9F" w14:textId="77777777" w:rsidR="000D4266" w:rsidRDefault="000014CA" w:rsidP="000D4266">
      <w:pPr>
        <w:spacing w:before="120"/>
        <w:jc w:val="center"/>
        <w:rPr>
          <w:rFonts w:ascii="Arial" w:hAnsi="Arial" w:cs="Arial"/>
          <w:b/>
          <w:sz w:val="20"/>
          <w:lang w:val="es-BO"/>
        </w:rPr>
      </w:pPr>
      <w:r w:rsidRPr="00827A50">
        <w:rPr>
          <w:rFonts w:ascii="Arial" w:hAnsi="Arial" w:cs="Arial"/>
          <w:b/>
          <w:sz w:val="20"/>
          <w:lang w:val="es-BO"/>
        </w:rPr>
        <w:t>Cuadro 1</w:t>
      </w:r>
      <w:r w:rsidR="00FF07A9" w:rsidRPr="00827A50">
        <w:rPr>
          <w:rFonts w:ascii="Arial" w:hAnsi="Arial" w:cs="Arial"/>
          <w:b/>
          <w:sz w:val="20"/>
          <w:lang w:val="es-BO"/>
        </w:rPr>
        <w:t xml:space="preserve">. </w:t>
      </w:r>
      <w:r w:rsidRPr="00827A50">
        <w:rPr>
          <w:rFonts w:ascii="Arial" w:hAnsi="Arial" w:cs="Arial"/>
          <w:b/>
          <w:sz w:val="20"/>
          <w:lang w:val="es-BO"/>
        </w:rPr>
        <w:t xml:space="preserve">Programa de </w:t>
      </w:r>
      <w:r w:rsidR="00DF068B" w:rsidRPr="00827A50">
        <w:rPr>
          <w:rFonts w:ascii="Arial" w:hAnsi="Arial" w:cs="Arial"/>
          <w:b/>
          <w:sz w:val="20"/>
          <w:lang w:val="es-BO"/>
        </w:rPr>
        <w:t>Expa</w:t>
      </w:r>
      <w:r w:rsidR="00827A50">
        <w:rPr>
          <w:rFonts w:ascii="Arial" w:hAnsi="Arial" w:cs="Arial"/>
          <w:b/>
          <w:sz w:val="20"/>
          <w:lang w:val="es-BO"/>
        </w:rPr>
        <w:t>n</w:t>
      </w:r>
      <w:r w:rsidR="00DF068B" w:rsidRPr="00827A50">
        <w:rPr>
          <w:rFonts w:ascii="Arial" w:hAnsi="Arial" w:cs="Arial"/>
          <w:b/>
          <w:sz w:val="20"/>
          <w:lang w:val="es-BO"/>
        </w:rPr>
        <w:t>sión de Infraestructura Eléctrica</w:t>
      </w:r>
      <w:r w:rsidRPr="00827A50">
        <w:rPr>
          <w:rFonts w:ascii="Arial" w:hAnsi="Arial" w:cs="Arial"/>
          <w:b/>
          <w:sz w:val="20"/>
          <w:lang w:val="es-BO"/>
        </w:rPr>
        <w:t xml:space="preserve"> – BO-L11</w:t>
      </w:r>
      <w:r w:rsidR="00DF068B" w:rsidRPr="00827A50">
        <w:rPr>
          <w:rFonts w:ascii="Arial" w:hAnsi="Arial" w:cs="Arial"/>
          <w:b/>
          <w:sz w:val="20"/>
          <w:lang w:val="es-BO"/>
        </w:rPr>
        <w:t>90</w:t>
      </w:r>
    </w:p>
    <w:p w14:paraId="35A72838" w14:textId="3F3D890A" w:rsidR="000014CA" w:rsidRPr="00827A50" w:rsidRDefault="000014CA" w:rsidP="000D4266">
      <w:pPr>
        <w:spacing w:after="120"/>
        <w:jc w:val="center"/>
        <w:rPr>
          <w:rFonts w:ascii="Arial" w:hAnsi="Arial" w:cs="Arial"/>
          <w:b/>
          <w:sz w:val="20"/>
          <w:lang w:val="es-BO"/>
        </w:rPr>
      </w:pPr>
      <w:r w:rsidRPr="00827A50">
        <w:rPr>
          <w:rFonts w:ascii="Arial" w:hAnsi="Arial" w:cs="Arial"/>
          <w:b/>
          <w:sz w:val="20"/>
          <w:lang w:val="es-BO"/>
        </w:rPr>
        <w:t>Indicadores de Producto por Componente</w:t>
      </w:r>
    </w:p>
    <w:tbl>
      <w:tblPr>
        <w:tblW w:w="494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5"/>
        <w:gridCol w:w="3269"/>
        <w:gridCol w:w="2530"/>
        <w:gridCol w:w="3189"/>
      </w:tblGrid>
      <w:tr w:rsidR="000014CA" w:rsidRPr="00282CC0" w14:paraId="7A73D570" w14:textId="77777777" w:rsidTr="006C2F2D">
        <w:trPr>
          <w:cantSplit/>
          <w:trHeight w:val="703"/>
          <w:tblHeader/>
          <w:jc w:val="center"/>
        </w:trPr>
        <w:tc>
          <w:tcPr>
            <w:tcW w:w="1437" w:type="pct"/>
            <w:shd w:val="clear" w:color="auto" w:fill="D9D9D9" w:themeFill="background1" w:themeFillShade="D9"/>
            <w:vAlign w:val="center"/>
          </w:tcPr>
          <w:p w14:paraId="68BEC8A8" w14:textId="77777777" w:rsidR="000014CA" w:rsidRPr="00282CC0" w:rsidRDefault="000014CA" w:rsidP="000014CA">
            <w:pPr>
              <w:jc w:val="center"/>
              <w:rPr>
                <w:rFonts w:ascii="Arial" w:hAnsi="Arial" w:cs="Arial"/>
                <w:b/>
                <w:sz w:val="20"/>
                <w:lang w:val="es-ES"/>
              </w:rPr>
            </w:pPr>
            <w:r w:rsidRPr="00282CC0">
              <w:rPr>
                <w:rFonts w:ascii="Arial" w:hAnsi="Arial" w:cs="Arial"/>
                <w:b/>
                <w:sz w:val="20"/>
                <w:lang w:val="es-ES"/>
              </w:rPr>
              <w:t>Indicador por Componente</w:t>
            </w:r>
          </w:p>
        </w:tc>
        <w:tc>
          <w:tcPr>
            <w:tcW w:w="1296" w:type="pct"/>
            <w:shd w:val="clear" w:color="auto" w:fill="D9D9D9" w:themeFill="background1" w:themeFillShade="D9"/>
            <w:vAlign w:val="center"/>
          </w:tcPr>
          <w:p w14:paraId="7A24BD7A" w14:textId="77777777" w:rsidR="000014CA" w:rsidRPr="00282CC0" w:rsidRDefault="00DF068B" w:rsidP="000014CA">
            <w:pPr>
              <w:jc w:val="center"/>
              <w:rPr>
                <w:rFonts w:ascii="Arial" w:hAnsi="Arial" w:cs="Arial"/>
                <w:b/>
                <w:sz w:val="20"/>
                <w:lang w:val="es-ES"/>
              </w:rPr>
            </w:pPr>
            <w:r w:rsidRPr="00282CC0">
              <w:rPr>
                <w:rFonts w:ascii="Arial" w:hAnsi="Arial" w:cs="Arial"/>
                <w:b/>
                <w:sz w:val="20"/>
                <w:lang w:val="es-ES"/>
              </w:rPr>
              <w:t>Unidades</w:t>
            </w:r>
          </w:p>
        </w:tc>
        <w:tc>
          <w:tcPr>
            <w:tcW w:w="1003" w:type="pct"/>
            <w:shd w:val="clear" w:color="auto" w:fill="D9D9D9" w:themeFill="background1" w:themeFillShade="D9"/>
            <w:vAlign w:val="center"/>
          </w:tcPr>
          <w:p w14:paraId="6E85F976" w14:textId="77777777" w:rsidR="000014CA" w:rsidRPr="00282CC0" w:rsidRDefault="000014CA" w:rsidP="000014CA">
            <w:pPr>
              <w:jc w:val="center"/>
              <w:rPr>
                <w:rFonts w:ascii="Arial" w:hAnsi="Arial" w:cs="Arial"/>
                <w:b/>
                <w:sz w:val="20"/>
                <w:lang w:val="es-ES"/>
              </w:rPr>
            </w:pPr>
            <w:r w:rsidRPr="00282CC0">
              <w:rPr>
                <w:rFonts w:ascii="Arial" w:hAnsi="Arial" w:cs="Arial"/>
                <w:b/>
                <w:sz w:val="20"/>
                <w:lang w:val="es-ES"/>
              </w:rPr>
              <w:t>Frecuencia de Medición</w:t>
            </w:r>
          </w:p>
        </w:tc>
        <w:tc>
          <w:tcPr>
            <w:tcW w:w="1264" w:type="pct"/>
            <w:shd w:val="clear" w:color="auto" w:fill="D9D9D9" w:themeFill="background1" w:themeFillShade="D9"/>
            <w:vAlign w:val="center"/>
          </w:tcPr>
          <w:p w14:paraId="24C025B8" w14:textId="77777777" w:rsidR="000014CA" w:rsidRPr="00282CC0" w:rsidRDefault="000014CA" w:rsidP="000014CA">
            <w:pPr>
              <w:jc w:val="center"/>
              <w:rPr>
                <w:rFonts w:ascii="Arial" w:hAnsi="Arial" w:cs="Arial"/>
                <w:b/>
                <w:sz w:val="20"/>
                <w:lang w:val="es-ES"/>
              </w:rPr>
            </w:pPr>
            <w:r w:rsidRPr="00282CC0">
              <w:rPr>
                <w:rFonts w:ascii="Arial" w:hAnsi="Arial" w:cs="Arial"/>
                <w:b/>
                <w:sz w:val="20"/>
                <w:lang w:val="es-ES"/>
              </w:rPr>
              <w:t>Medio de Verificación</w:t>
            </w:r>
          </w:p>
        </w:tc>
      </w:tr>
      <w:tr w:rsidR="00DF068B" w:rsidRPr="00282CC0" w14:paraId="73C74E4D" w14:textId="77777777" w:rsidTr="006C2F2D">
        <w:trPr>
          <w:cantSplit/>
          <w:trHeight w:val="70"/>
          <w:jc w:val="center"/>
        </w:trPr>
        <w:tc>
          <w:tcPr>
            <w:tcW w:w="5000" w:type="pct"/>
            <w:gridSpan w:val="4"/>
            <w:vAlign w:val="center"/>
          </w:tcPr>
          <w:p w14:paraId="48D02279" w14:textId="77777777" w:rsidR="00DF068B" w:rsidRPr="00282CC0" w:rsidRDefault="00DF068B" w:rsidP="00DF068B">
            <w:pPr>
              <w:rPr>
                <w:rFonts w:ascii="Arial" w:hAnsi="Arial" w:cs="Arial"/>
                <w:sz w:val="20"/>
                <w:lang w:val="es-ES"/>
              </w:rPr>
            </w:pPr>
            <w:r w:rsidRPr="00282CC0">
              <w:rPr>
                <w:rFonts w:ascii="Arial" w:hAnsi="Arial" w:cs="Arial"/>
                <w:b/>
                <w:sz w:val="20"/>
                <w:lang w:val="es-ES"/>
              </w:rPr>
              <w:t>Componente 1: LT Los Troncos – San Ignacio</w:t>
            </w:r>
          </w:p>
        </w:tc>
      </w:tr>
      <w:tr w:rsidR="00DF068B" w:rsidRPr="00282CC0" w14:paraId="4B36B0A0" w14:textId="77777777" w:rsidTr="006C2F2D">
        <w:trPr>
          <w:cantSplit/>
          <w:trHeight w:val="70"/>
          <w:jc w:val="center"/>
        </w:trPr>
        <w:tc>
          <w:tcPr>
            <w:tcW w:w="1437" w:type="pct"/>
            <w:vAlign w:val="center"/>
          </w:tcPr>
          <w:p w14:paraId="4013D1B7" w14:textId="77777777" w:rsidR="00DF068B" w:rsidRPr="00282CC0" w:rsidRDefault="00DF068B" w:rsidP="00DF068B">
            <w:pPr>
              <w:pStyle w:val="ListParagraph"/>
              <w:ind w:left="0"/>
              <w:rPr>
                <w:rFonts w:ascii="Arial" w:hAnsi="Arial" w:cs="Arial"/>
                <w:sz w:val="20"/>
                <w:lang w:val="es-BO"/>
              </w:rPr>
            </w:pPr>
            <w:r w:rsidRPr="00282CC0">
              <w:rPr>
                <w:rFonts w:ascii="Arial" w:hAnsi="Arial" w:cs="Arial"/>
                <w:sz w:val="20"/>
                <w:lang w:val="es-BO"/>
              </w:rPr>
              <w:t xml:space="preserve">Kilómetros de LT construidos </w:t>
            </w:r>
          </w:p>
        </w:tc>
        <w:tc>
          <w:tcPr>
            <w:tcW w:w="1296" w:type="pct"/>
            <w:vAlign w:val="center"/>
          </w:tcPr>
          <w:p w14:paraId="53612921" w14:textId="77777777" w:rsidR="00DF068B" w:rsidRPr="00282CC0" w:rsidRDefault="00DF068B" w:rsidP="00DF068B">
            <w:pPr>
              <w:pStyle w:val="ListParagraph"/>
              <w:ind w:left="0"/>
              <w:jc w:val="center"/>
              <w:rPr>
                <w:rFonts w:ascii="Arial" w:hAnsi="Arial" w:cs="Arial"/>
                <w:sz w:val="20"/>
                <w:lang w:val="es-ES"/>
              </w:rPr>
            </w:pPr>
            <w:proofErr w:type="spellStart"/>
            <w:r w:rsidRPr="00282CC0">
              <w:rPr>
                <w:rFonts w:ascii="Arial" w:hAnsi="Arial" w:cs="Arial"/>
                <w:sz w:val="20"/>
                <w:lang w:val="es-ES"/>
              </w:rPr>
              <w:t>Kms</w:t>
            </w:r>
            <w:proofErr w:type="spellEnd"/>
            <w:r w:rsidRPr="00282CC0">
              <w:rPr>
                <w:rFonts w:ascii="Arial" w:hAnsi="Arial" w:cs="Arial"/>
                <w:sz w:val="20"/>
                <w:lang w:val="es-ES"/>
              </w:rPr>
              <w:t xml:space="preserve"> </w:t>
            </w:r>
          </w:p>
        </w:tc>
        <w:tc>
          <w:tcPr>
            <w:tcW w:w="1003" w:type="pct"/>
            <w:vAlign w:val="center"/>
          </w:tcPr>
          <w:p w14:paraId="5173B40C" w14:textId="77777777" w:rsidR="00DF068B" w:rsidRPr="00282CC0" w:rsidRDefault="00DF068B" w:rsidP="006C2F2D">
            <w:pPr>
              <w:rPr>
                <w:rFonts w:ascii="Arial" w:hAnsi="Arial" w:cs="Arial"/>
                <w:sz w:val="20"/>
                <w:lang w:val="es-ES"/>
              </w:rPr>
            </w:pPr>
            <w:r w:rsidRPr="00282CC0">
              <w:rPr>
                <w:rFonts w:ascii="Arial" w:hAnsi="Arial" w:cs="Arial"/>
                <w:sz w:val="20"/>
                <w:lang w:val="es-ES"/>
              </w:rPr>
              <w:t>Semestral (en coincidencia con el Informe del semestre)</w:t>
            </w:r>
          </w:p>
        </w:tc>
        <w:tc>
          <w:tcPr>
            <w:tcW w:w="1264" w:type="pct"/>
            <w:vAlign w:val="center"/>
          </w:tcPr>
          <w:p w14:paraId="5ECF2120" w14:textId="77777777" w:rsidR="00DF068B" w:rsidRPr="00282CC0" w:rsidRDefault="00DF068B" w:rsidP="006C2F2D">
            <w:pPr>
              <w:rPr>
                <w:rFonts w:ascii="Arial" w:hAnsi="Arial" w:cs="Arial"/>
                <w:sz w:val="20"/>
                <w:lang w:val="es-ES"/>
              </w:rPr>
            </w:pPr>
            <w:r w:rsidRPr="00282CC0">
              <w:rPr>
                <w:rFonts w:ascii="Arial" w:hAnsi="Arial" w:cs="Arial"/>
                <w:sz w:val="20"/>
                <w:lang w:val="es-ES"/>
              </w:rPr>
              <w:t>Reportes de ejecución de las ENDE con información levantada por las empresas supervisoras, en base a los informes de avance de obra.</w:t>
            </w:r>
          </w:p>
        </w:tc>
      </w:tr>
      <w:tr w:rsidR="00DF068B" w:rsidRPr="00282CC0" w14:paraId="35A1267E" w14:textId="77777777" w:rsidTr="006C2F2D">
        <w:trPr>
          <w:cantSplit/>
          <w:trHeight w:val="70"/>
          <w:jc w:val="center"/>
        </w:trPr>
        <w:tc>
          <w:tcPr>
            <w:tcW w:w="1437" w:type="pct"/>
            <w:vAlign w:val="center"/>
          </w:tcPr>
          <w:p w14:paraId="0C22C877" w14:textId="77777777" w:rsidR="00DF068B" w:rsidRPr="00282CC0" w:rsidRDefault="00DF068B" w:rsidP="00DF068B">
            <w:pPr>
              <w:pStyle w:val="ListParagraph"/>
              <w:ind w:left="0"/>
              <w:rPr>
                <w:rFonts w:ascii="Arial" w:hAnsi="Arial" w:cs="Arial"/>
                <w:sz w:val="20"/>
                <w:lang w:val="es-BO"/>
              </w:rPr>
            </w:pPr>
            <w:r w:rsidRPr="00282CC0">
              <w:rPr>
                <w:rFonts w:ascii="Arial" w:hAnsi="Arial" w:cs="Arial"/>
                <w:sz w:val="20"/>
                <w:lang w:val="es-BO"/>
              </w:rPr>
              <w:t>Bahía de salida de línea - Subestación Los Troncos construida</w:t>
            </w:r>
          </w:p>
        </w:tc>
        <w:tc>
          <w:tcPr>
            <w:tcW w:w="1296" w:type="pct"/>
            <w:vAlign w:val="center"/>
          </w:tcPr>
          <w:p w14:paraId="2D7124A5" w14:textId="77777777" w:rsidR="00DF068B" w:rsidRPr="00282CC0" w:rsidRDefault="00DF068B" w:rsidP="00DF068B">
            <w:pPr>
              <w:pStyle w:val="ListParagraph"/>
              <w:ind w:left="0"/>
              <w:jc w:val="center"/>
              <w:rPr>
                <w:rFonts w:ascii="Arial" w:hAnsi="Arial" w:cs="Arial"/>
                <w:sz w:val="20"/>
                <w:lang w:val="es-BO"/>
              </w:rPr>
            </w:pPr>
            <w:r w:rsidRPr="00282CC0">
              <w:rPr>
                <w:rFonts w:ascii="Arial" w:hAnsi="Arial" w:cs="Arial"/>
                <w:sz w:val="20"/>
                <w:lang w:val="es-BO"/>
              </w:rPr>
              <w:t>Bahía</w:t>
            </w:r>
          </w:p>
        </w:tc>
        <w:tc>
          <w:tcPr>
            <w:tcW w:w="1003" w:type="pct"/>
            <w:vAlign w:val="center"/>
          </w:tcPr>
          <w:p w14:paraId="6897963F" w14:textId="77777777" w:rsidR="00DF068B" w:rsidRPr="00282CC0" w:rsidRDefault="00DF068B" w:rsidP="006C2F2D">
            <w:pPr>
              <w:rPr>
                <w:rFonts w:ascii="Arial" w:hAnsi="Arial" w:cs="Arial"/>
                <w:sz w:val="20"/>
                <w:lang w:val="es-ES"/>
              </w:rPr>
            </w:pPr>
            <w:r w:rsidRPr="00282CC0">
              <w:rPr>
                <w:rFonts w:ascii="Arial" w:hAnsi="Arial" w:cs="Arial"/>
                <w:sz w:val="20"/>
                <w:lang w:val="es-ES"/>
              </w:rPr>
              <w:t>Semestral (en coincidencia con el Informe del semestre)</w:t>
            </w:r>
          </w:p>
        </w:tc>
        <w:tc>
          <w:tcPr>
            <w:tcW w:w="1264" w:type="pct"/>
            <w:vAlign w:val="center"/>
          </w:tcPr>
          <w:p w14:paraId="1A6BD398" w14:textId="77777777" w:rsidR="00DF068B" w:rsidRPr="00282CC0" w:rsidRDefault="00DF068B" w:rsidP="006C2F2D">
            <w:pPr>
              <w:rPr>
                <w:rFonts w:ascii="Arial" w:hAnsi="Arial" w:cs="Arial"/>
                <w:sz w:val="20"/>
                <w:lang w:val="es-ES"/>
              </w:rPr>
            </w:pPr>
            <w:r w:rsidRPr="00282CC0">
              <w:rPr>
                <w:rFonts w:ascii="Arial" w:hAnsi="Arial" w:cs="Arial"/>
                <w:sz w:val="20"/>
                <w:lang w:val="es-ES"/>
              </w:rPr>
              <w:t>Reportes de ejecución de las ENDE con información levantada por las empresas supervisoras, en base a los informes de avance de obra.</w:t>
            </w:r>
          </w:p>
        </w:tc>
      </w:tr>
      <w:tr w:rsidR="00DF068B" w:rsidRPr="00282CC0" w14:paraId="0E46111B" w14:textId="77777777" w:rsidTr="006C2F2D">
        <w:trPr>
          <w:cantSplit/>
          <w:trHeight w:val="70"/>
          <w:jc w:val="center"/>
        </w:trPr>
        <w:tc>
          <w:tcPr>
            <w:tcW w:w="1437" w:type="pct"/>
            <w:vAlign w:val="center"/>
          </w:tcPr>
          <w:p w14:paraId="024E7310" w14:textId="77777777" w:rsidR="00DF068B" w:rsidRPr="00282CC0" w:rsidRDefault="00DF068B" w:rsidP="00DF068B">
            <w:pPr>
              <w:pStyle w:val="ListParagraph"/>
              <w:ind w:left="0"/>
              <w:rPr>
                <w:rFonts w:ascii="Arial" w:hAnsi="Arial" w:cs="Arial"/>
                <w:sz w:val="20"/>
                <w:lang w:val="es-BO"/>
              </w:rPr>
            </w:pPr>
            <w:r w:rsidRPr="00282CC0">
              <w:rPr>
                <w:rFonts w:ascii="Arial" w:hAnsi="Arial" w:cs="Arial"/>
                <w:sz w:val="20"/>
                <w:lang w:val="es-BO"/>
              </w:rPr>
              <w:t>Subestación San Ignacio de Velasco construida</w:t>
            </w:r>
          </w:p>
        </w:tc>
        <w:tc>
          <w:tcPr>
            <w:tcW w:w="1296" w:type="pct"/>
            <w:vAlign w:val="center"/>
          </w:tcPr>
          <w:p w14:paraId="16A0E4A3" w14:textId="77777777" w:rsidR="00DF068B" w:rsidRPr="00282CC0" w:rsidRDefault="00DF068B" w:rsidP="00DF068B">
            <w:pPr>
              <w:pStyle w:val="ListParagraph"/>
              <w:ind w:left="0"/>
              <w:jc w:val="center"/>
              <w:rPr>
                <w:rFonts w:ascii="Arial" w:hAnsi="Arial" w:cs="Arial"/>
                <w:sz w:val="20"/>
                <w:lang w:val="es-BO"/>
              </w:rPr>
            </w:pPr>
            <w:r w:rsidRPr="00282CC0">
              <w:rPr>
                <w:rFonts w:ascii="Arial" w:hAnsi="Arial" w:cs="Arial"/>
                <w:sz w:val="20"/>
                <w:lang w:val="es-BO"/>
              </w:rPr>
              <w:t>Subestación</w:t>
            </w:r>
          </w:p>
        </w:tc>
        <w:tc>
          <w:tcPr>
            <w:tcW w:w="1003" w:type="pct"/>
            <w:vAlign w:val="center"/>
          </w:tcPr>
          <w:p w14:paraId="3570010F" w14:textId="77777777" w:rsidR="00DF068B" w:rsidRPr="00282CC0" w:rsidRDefault="00DF068B" w:rsidP="006C2F2D">
            <w:pPr>
              <w:rPr>
                <w:rFonts w:ascii="Arial" w:hAnsi="Arial" w:cs="Arial"/>
                <w:sz w:val="20"/>
                <w:lang w:val="es-ES"/>
              </w:rPr>
            </w:pPr>
            <w:r w:rsidRPr="00282CC0">
              <w:rPr>
                <w:rFonts w:ascii="Arial" w:hAnsi="Arial" w:cs="Arial"/>
                <w:sz w:val="20"/>
                <w:lang w:val="es-ES"/>
              </w:rPr>
              <w:t>Semestral (en coincidencia con el Informe del semestre)</w:t>
            </w:r>
          </w:p>
        </w:tc>
        <w:tc>
          <w:tcPr>
            <w:tcW w:w="1264" w:type="pct"/>
            <w:vAlign w:val="center"/>
          </w:tcPr>
          <w:p w14:paraId="24E55DA4" w14:textId="77777777" w:rsidR="00DF068B" w:rsidRPr="00282CC0" w:rsidRDefault="00DF068B" w:rsidP="006C2F2D">
            <w:pPr>
              <w:rPr>
                <w:rFonts w:ascii="Arial" w:hAnsi="Arial" w:cs="Arial"/>
                <w:sz w:val="20"/>
                <w:lang w:val="es-ES"/>
              </w:rPr>
            </w:pPr>
            <w:r w:rsidRPr="00282CC0">
              <w:rPr>
                <w:rFonts w:ascii="Arial" w:hAnsi="Arial" w:cs="Arial"/>
                <w:sz w:val="20"/>
                <w:lang w:val="es-ES"/>
              </w:rPr>
              <w:t>Reportes de ejecución de las ENDE con información levantada por las empresas supervisoras, en base a los informes de avance de obra.</w:t>
            </w:r>
          </w:p>
        </w:tc>
      </w:tr>
      <w:tr w:rsidR="00DF068B" w:rsidRPr="00282CC0" w14:paraId="0CFD4857" w14:textId="77777777" w:rsidTr="006C2F2D">
        <w:trPr>
          <w:cantSplit/>
          <w:trHeight w:val="70"/>
          <w:jc w:val="center"/>
        </w:trPr>
        <w:tc>
          <w:tcPr>
            <w:tcW w:w="5000" w:type="pct"/>
            <w:gridSpan w:val="4"/>
            <w:vAlign w:val="center"/>
          </w:tcPr>
          <w:p w14:paraId="310AF8F3" w14:textId="77777777" w:rsidR="00DF068B" w:rsidRPr="00282CC0" w:rsidRDefault="00DF068B" w:rsidP="00DF068B">
            <w:pPr>
              <w:rPr>
                <w:rFonts w:ascii="Arial" w:hAnsi="Arial" w:cs="Arial"/>
                <w:sz w:val="20"/>
                <w:lang w:val="es-ES"/>
              </w:rPr>
            </w:pPr>
            <w:r w:rsidRPr="00282CC0">
              <w:rPr>
                <w:rFonts w:ascii="Arial" w:hAnsi="Arial" w:cs="Arial"/>
                <w:b/>
                <w:sz w:val="20"/>
                <w:lang w:val="es-BO"/>
              </w:rPr>
              <w:t>Componente 2. Eficiencia Energética en Alumbrado Público</w:t>
            </w:r>
          </w:p>
        </w:tc>
      </w:tr>
      <w:tr w:rsidR="00DF068B" w:rsidRPr="00282CC0" w14:paraId="72C5AF5E" w14:textId="77777777" w:rsidTr="006C2F2D">
        <w:trPr>
          <w:cantSplit/>
          <w:trHeight w:val="70"/>
          <w:jc w:val="center"/>
        </w:trPr>
        <w:tc>
          <w:tcPr>
            <w:tcW w:w="1437" w:type="pct"/>
            <w:vAlign w:val="center"/>
          </w:tcPr>
          <w:p w14:paraId="6BCCDEB6" w14:textId="7F36668E" w:rsidR="00DF068B" w:rsidRPr="00282CC0" w:rsidRDefault="00DF068B" w:rsidP="00DF068B">
            <w:pPr>
              <w:pStyle w:val="ListParagraph"/>
              <w:ind w:left="0"/>
              <w:rPr>
                <w:rFonts w:ascii="Arial" w:hAnsi="Arial" w:cs="Arial"/>
                <w:sz w:val="20"/>
                <w:lang w:val="es-BO"/>
              </w:rPr>
            </w:pPr>
            <w:r w:rsidRPr="00282CC0">
              <w:rPr>
                <w:rFonts w:ascii="Arial" w:hAnsi="Arial" w:cs="Arial"/>
                <w:sz w:val="20"/>
                <w:lang w:val="es-BO"/>
              </w:rPr>
              <w:t>Luminarias LED instaladas en</w:t>
            </w:r>
            <w:r w:rsidR="00CB43BF">
              <w:rPr>
                <w:rFonts w:ascii="Arial" w:hAnsi="Arial" w:cs="Arial"/>
                <w:sz w:val="20"/>
                <w:lang w:val="es-BO"/>
              </w:rPr>
              <w:t xml:space="preserve"> un municipio interconectado al SIN</w:t>
            </w:r>
            <w:r w:rsidRPr="00282CC0">
              <w:rPr>
                <w:rFonts w:ascii="Arial" w:hAnsi="Arial" w:cs="Arial"/>
                <w:sz w:val="20"/>
                <w:lang w:val="es-BO"/>
              </w:rPr>
              <w:t xml:space="preserve"> (LPI)</w:t>
            </w:r>
          </w:p>
        </w:tc>
        <w:tc>
          <w:tcPr>
            <w:tcW w:w="1296" w:type="pct"/>
            <w:vAlign w:val="center"/>
          </w:tcPr>
          <w:p w14:paraId="2D88D34B" w14:textId="77777777" w:rsidR="00DF068B" w:rsidRPr="00282CC0" w:rsidRDefault="00DF068B" w:rsidP="00DF068B">
            <w:pPr>
              <w:pStyle w:val="ListParagraph"/>
              <w:ind w:left="0"/>
              <w:jc w:val="center"/>
              <w:rPr>
                <w:rFonts w:ascii="Arial" w:hAnsi="Arial" w:cs="Arial"/>
                <w:sz w:val="20"/>
                <w:lang w:val="es-BO"/>
              </w:rPr>
            </w:pPr>
            <w:r w:rsidRPr="00282CC0">
              <w:rPr>
                <w:rFonts w:ascii="Arial" w:hAnsi="Arial" w:cs="Arial"/>
                <w:sz w:val="20"/>
                <w:lang w:val="es-BO"/>
              </w:rPr>
              <w:t>Luminarias</w:t>
            </w:r>
          </w:p>
        </w:tc>
        <w:tc>
          <w:tcPr>
            <w:tcW w:w="1003" w:type="pct"/>
            <w:vAlign w:val="center"/>
          </w:tcPr>
          <w:p w14:paraId="751EC2BA" w14:textId="77777777" w:rsidR="00DF068B" w:rsidRPr="00282CC0" w:rsidRDefault="00DF068B" w:rsidP="006C2F2D">
            <w:pPr>
              <w:rPr>
                <w:rFonts w:ascii="Arial" w:hAnsi="Arial" w:cs="Arial"/>
                <w:sz w:val="20"/>
                <w:lang w:val="es-ES"/>
              </w:rPr>
            </w:pPr>
            <w:r w:rsidRPr="00282CC0">
              <w:rPr>
                <w:rFonts w:ascii="Arial" w:hAnsi="Arial" w:cs="Arial"/>
                <w:sz w:val="20"/>
                <w:lang w:val="es-ES"/>
              </w:rPr>
              <w:t>Semestral (en coincidencia con el Informe del semestre)</w:t>
            </w:r>
          </w:p>
        </w:tc>
        <w:tc>
          <w:tcPr>
            <w:tcW w:w="1264" w:type="pct"/>
            <w:vAlign w:val="center"/>
          </w:tcPr>
          <w:p w14:paraId="38215BA6" w14:textId="77777777" w:rsidR="00DF068B" w:rsidRPr="00282CC0" w:rsidRDefault="00DF068B" w:rsidP="006C2F2D">
            <w:pPr>
              <w:rPr>
                <w:rFonts w:ascii="Arial" w:hAnsi="Arial" w:cs="Arial"/>
                <w:sz w:val="20"/>
                <w:lang w:val="es-ES"/>
              </w:rPr>
            </w:pPr>
            <w:r w:rsidRPr="00282CC0">
              <w:rPr>
                <w:rFonts w:ascii="Arial" w:hAnsi="Arial" w:cs="Arial"/>
                <w:sz w:val="20"/>
                <w:lang w:val="es-BO"/>
              </w:rPr>
              <w:t xml:space="preserve">Informes de avance del PEVD </w:t>
            </w:r>
            <w:r w:rsidRPr="00282CC0">
              <w:rPr>
                <w:rFonts w:ascii="Arial" w:hAnsi="Arial" w:cs="Arial"/>
                <w:sz w:val="20"/>
                <w:lang w:val="es-ES"/>
              </w:rPr>
              <w:t>con información levantada por las empresas supervisoras.</w:t>
            </w:r>
          </w:p>
        </w:tc>
      </w:tr>
      <w:tr w:rsidR="00DF068B" w:rsidRPr="00282CC0" w14:paraId="378310D9" w14:textId="77777777" w:rsidTr="006C2F2D">
        <w:trPr>
          <w:cantSplit/>
          <w:trHeight w:val="70"/>
          <w:jc w:val="center"/>
        </w:trPr>
        <w:tc>
          <w:tcPr>
            <w:tcW w:w="1437" w:type="pct"/>
            <w:vAlign w:val="center"/>
          </w:tcPr>
          <w:p w14:paraId="24E58E9A" w14:textId="24C4C407" w:rsidR="00DF068B" w:rsidRPr="00282CC0" w:rsidRDefault="00DF068B" w:rsidP="00DF068B">
            <w:pPr>
              <w:pStyle w:val="ListParagraph"/>
              <w:ind w:left="0"/>
              <w:rPr>
                <w:rFonts w:ascii="Arial" w:hAnsi="Arial" w:cs="Arial"/>
                <w:sz w:val="20"/>
                <w:lang w:val="es-BO"/>
              </w:rPr>
            </w:pPr>
            <w:r w:rsidRPr="00282CC0">
              <w:rPr>
                <w:rFonts w:ascii="Arial" w:hAnsi="Arial" w:cs="Arial"/>
                <w:sz w:val="20"/>
                <w:lang w:val="es-BO"/>
              </w:rPr>
              <w:t xml:space="preserve">Luminarias LED instaladas en </w:t>
            </w:r>
            <w:r w:rsidR="00CB43BF">
              <w:rPr>
                <w:rFonts w:ascii="Arial" w:hAnsi="Arial" w:cs="Arial"/>
                <w:sz w:val="20"/>
                <w:lang w:val="es-BO"/>
              </w:rPr>
              <w:t xml:space="preserve">un municipio ubicado en un SA </w:t>
            </w:r>
            <w:r w:rsidRPr="00282CC0">
              <w:rPr>
                <w:rFonts w:ascii="Arial" w:hAnsi="Arial" w:cs="Arial"/>
                <w:sz w:val="20"/>
                <w:lang w:val="es-BO"/>
              </w:rPr>
              <w:t>(LPI)</w:t>
            </w:r>
          </w:p>
        </w:tc>
        <w:tc>
          <w:tcPr>
            <w:tcW w:w="1296" w:type="pct"/>
            <w:vAlign w:val="center"/>
          </w:tcPr>
          <w:p w14:paraId="159C81B0" w14:textId="77777777" w:rsidR="00DF068B" w:rsidRPr="00282CC0" w:rsidRDefault="00DF068B" w:rsidP="00DF068B">
            <w:pPr>
              <w:pStyle w:val="ListParagraph"/>
              <w:ind w:left="0"/>
              <w:jc w:val="center"/>
              <w:rPr>
                <w:rFonts w:ascii="Arial" w:hAnsi="Arial" w:cs="Arial"/>
                <w:sz w:val="20"/>
                <w:lang w:val="es-BO"/>
              </w:rPr>
            </w:pPr>
            <w:r w:rsidRPr="00282CC0">
              <w:rPr>
                <w:rFonts w:ascii="Arial" w:hAnsi="Arial" w:cs="Arial"/>
                <w:sz w:val="20"/>
                <w:lang w:val="es-BO"/>
              </w:rPr>
              <w:t>Luminarias</w:t>
            </w:r>
          </w:p>
        </w:tc>
        <w:tc>
          <w:tcPr>
            <w:tcW w:w="1003" w:type="pct"/>
            <w:vAlign w:val="center"/>
          </w:tcPr>
          <w:p w14:paraId="30280B50" w14:textId="77777777" w:rsidR="00DF068B" w:rsidRPr="00282CC0" w:rsidRDefault="00DF068B" w:rsidP="006C2F2D">
            <w:pPr>
              <w:rPr>
                <w:rFonts w:ascii="Arial" w:hAnsi="Arial" w:cs="Arial"/>
                <w:sz w:val="20"/>
                <w:lang w:val="es-ES"/>
              </w:rPr>
            </w:pPr>
            <w:r w:rsidRPr="00282CC0">
              <w:rPr>
                <w:rFonts w:ascii="Arial" w:hAnsi="Arial" w:cs="Arial"/>
                <w:sz w:val="20"/>
                <w:lang w:val="es-ES"/>
              </w:rPr>
              <w:t>Semestral (en coincidencia con el Informe del semestre)</w:t>
            </w:r>
          </w:p>
        </w:tc>
        <w:tc>
          <w:tcPr>
            <w:tcW w:w="1264" w:type="pct"/>
            <w:vAlign w:val="center"/>
          </w:tcPr>
          <w:p w14:paraId="0B46D5C1" w14:textId="77777777" w:rsidR="00DF068B" w:rsidRPr="00282CC0" w:rsidRDefault="00DF068B" w:rsidP="006C2F2D">
            <w:pPr>
              <w:rPr>
                <w:rFonts w:ascii="Arial" w:hAnsi="Arial" w:cs="Arial"/>
                <w:sz w:val="20"/>
                <w:lang w:val="es-ES"/>
              </w:rPr>
            </w:pPr>
            <w:r w:rsidRPr="00282CC0">
              <w:rPr>
                <w:rFonts w:ascii="Arial" w:hAnsi="Arial" w:cs="Arial"/>
                <w:sz w:val="20"/>
                <w:lang w:val="es-BO"/>
              </w:rPr>
              <w:t xml:space="preserve">Informes de avance del PEVD </w:t>
            </w:r>
            <w:r w:rsidRPr="00282CC0">
              <w:rPr>
                <w:rFonts w:ascii="Arial" w:hAnsi="Arial" w:cs="Arial"/>
                <w:sz w:val="20"/>
                <w:lang w:val="es-ES"/>
              </w:rPr>
              <w:t>con información levantada por las empresas supervisoras.</w:t>
            </w:r>
          </w:p>
        </w:tc>
      </w:tr>
      <w:tr w:rsidR="00DF068B" w:rsidRPr="00282CC0" w14:paraId="12632700" w14:textId="77777777" w:rsidTr="006C2F2D">
        <w:trPr>
          <w:cantSplit/>
          <w:trHeight w:val="70"/>
          <w:jc w:val="center"/>
        </w:trPr>
        <w:tc>
          <w:tcPr>
            <w:tcW w:w="1437" w:type="pct"/>
            <w:vAlign w:val="center"/>
          </w:tcPr>
          <w:p w14:paraId="3A2A3677" w14:textId="77777777" w:rsidR="00DF068B" w:rsidRPr="00282CC0" w:rsidRDefault="00DF068B" w:rsidP="00DF068B">
            <w:pPr>
              <w:pStyle w:val="ListParagraph"/>
              <w:ind w:left="0"/>
              <w:rPr>
                <w:rFonts w:ascii="Arial" w:hAnsi="Arial" w:cs="Arial"/>
                <w:sz w:val="20"/>
                <w:lang w:val="es-BO"/>
              </w:rPr>
            </w:pPr>
            <w:r w:rsidRPr="00282CC0">
              <w:rPr>
                <w:rFonts w:ascii="Arial" w:hAnsi="Arial" w:cs="Arial"/>
                <w:sz w:val="20"/>
                <w:lang w:val="es-BO"/>
              </w:rPr>
              <w:t xml:space="preserve">Familias graduadas del Programa P (SD) </w:t>
            </w:r>
          </w:p>
        </w:tc>
        <w:tc>
          <w:tcPr>
            <w:tcW w:w="1296" w:type="pct"/>
            <w:vAlign w:val="center"/>
          </w:tcPr>
          <w:p w14:paraId="007840B6" w14:textId="77777777" w:rsidR="00DF068B" w:rsidRPr="00282CC0" w:rsidRDefault="00DF068B" w:rsidP="00DF068B">
            <w:pPr>
              <w:pStyle w:val="ListParagraph"/>
              <w:ind w:left="0"/>
              <w:jc w:val="center"/>
              <w:rPr>
                <w:rFonts w:ascii="Arial" w:hAnsi="Arial" w:cs="Arial"/>
                <w:sz w:val="20"/>
                <w:lang w:val="es-BO"/>
              </w:rPr>
            </w:pPr>
            <w:r w:rsidRPr="00282CC0">
              <w:rPr>
                <w:rFonts w:ascii="Arial" w:hAnsi="Arial" w:cs="Arial"/>
                <w:sz w:val="20"/>
                <w:lang w:val="es-BO"/>
              </w:rPr>
              <w:t>Familias</w:t>
            </w:r>
          </w:p>
        </w:tc>
        <w:tc>
          <w:tcPr>
            <w:tcW w:w="1003" w:type="pct"/>
            <w:vAlign w:val="center"/>
          </w:tcPr>
          <w:p w14:paraId="2057328D" w14:textId="77777777" w:rsidR="00DF068B" w:rsidRPr="00282CC0" w:rsidRDefault="00DF068B" w:rsidP="006C2F2D">
            <w:pPr>
              <w:rPr>
                <w:rFonts w:ascii="Arial" w:hAnsi="Arial" w:cs="Arial"/>
                <w:sz w:val="20"/>
                <w:lang w:val="es-ES"/>
              </w:rPr>
            </w:pPr>
            <w:r w:rsidRPr="00282CC0">
              <w:rPr>
                <w:rFonts w:ascii="Arial" w:hAnsi="Arial" w:cs="Arial"/>
                <w:sz w:val="20"/>
                <w:lang w:val="es-ES"/>
              </w:rPr>
              <w:t>Semestral (en coincidencia con el Informe del semestre)</w:t>
            </w:r>
          </w:p>
        </w:tc>
        <w:tc>
          <w:tcPr>
            <w:tcW w:w="1264" w:type="pct"/>
            <w:vAlign w:val="center"/>
          </w:tcPr>
          <w:p w14:paraId="4C3B1A0C" w14:textId="77777777" w:rsidR="00DF068B" w:rsidRPr="00282CC0" w:rsidRDefault="00DF068B" w:rsidP="006C2F2D">
            <w:pPr>
              <w:rPr>
                <w:rFonts w:ascii="Arial" w:hAnsi="Arial" w:cs="Arial"/>
                <w:sz w:val="20"/>
                <w:lang w:val="es-ES"/>
              </w:rPr>
            </w:pPr>
            <w:r w:rsidRPr="00282CC0">
              <w:rPr>
                <w:rFonts w:ascii="Arial" w:hAnsi="Arial" w:cs="Arial"/>
                <w:sz w:val="20"/>
                <w:lang w:val="es-BO"/>
              </w:rPr>
              <w:t xml:space="preserve">Informes de avance del PEVD </w:t>
            </w:r>
            <w:r w:rsidRPr="00282CC0">
              <w:rPr>
                <w:rFonts w:ascii="Arial" w:hAnsi="Arial" w:cs="Arial"/>
                <w:sz w:val="20"/>
                <w:lang w:val="es-ES"/>
              </w:rPr>
              <w:t>con información levantada por las empresas supervisoras.</w:t>
            </w:r>
          </w:p>
        </w:tc>
      </w:tr>
    </w:tbl>
    <w:p w14:paraId="176F419F" w14:textId="77777777" w:rsidR="006C2F2D" w:rsidRDefault="006C2F2D" w:rsidP="006C2F2D"/>
    <w:p w14:paraId="6C79C14B" w14:textId="77777777" w:rsidR="006C2F2D" w:rsidRDefault="006C2F2D" w:rsidP="006C2F2D">
      <w:pPr>
        <w:sectPr w:rsidR="006C2F2D" w:rsidSect="00D64396">
          <w:pgSz w:w="15840" w:h="12240" w:orient="landscape"/>
          <w:pgMar w:top="1440" w:right="1632" w:bottom="1440" w:left="1440" w:header="0" w:footer="986" w:gutter="0"/>
          <w:cols w:space="708"/>
          <w:docGrid w:linePitch="326"/>
        </w:sectPr>
      </w:pPr>
    </w:p>
    <w:p w14:paraId="00DBE4B3" w14:textId="2235292F" w:rsidR="002E09EF" w:rsidRPr="002776C8" w:rsidRDefault="002E09EF" w:rsidP="006C2F2D">
      <w:pPr>
        <w:pStyle w:val="Chapter"/>
      </w:pPr>
      <w:bookmarkStart w:id="8" w:name="_Toc513537389"/>
      <w:r w:rsidRPr="002776C8">
        <w:t>Instrumentos para el Monitoreo de los Indicadores y Recopilación de Datos</w:t>
      </w:r>
      <w:bookmarkEnd w:id="8"/>
    </w:p>
    <w:p w14:paraId="0EE15543" w14:textId="77777777" w:rsidR="00576C2C" w:rsidRPr="002776C8" w:rsidRDefault="00184BD7" w:rsidP="006C2F2D">
      <w:pPr>
        <w:pStyle w:val="Paragraph"/>
      </w:pPr>
      <w:r>
        <w:t>L</w:t>
      </w:r>
      <w:r w:rsidR="00576C2C" w:rsidRPr="002776C8">
        <w:t xml:space="preserve">os productos serán monitoreados durante </w:t>
      </w:r>
      <w:r>
        <w:t xml:space="preserve">toda </w:t>
      </w:r>
      <w:r w:rsidR="00576C2C" w:rsidRPr="002776C8">
        <w:t>la ejecución del proyecto, a partir de hitos verificables, teniendo como insumo principal el informe semestral de progreso de la operación, visitas de inspección, informes</w:t>
      </w:r>
      <w:r w:rsidR="001C78D1" w:rsidRPr="002776C8">
        <w:t xml:space="preserve"> de la</w:t>
      </w:r>
      <w:r w:rsidR="000E0350" w:rsidRPr="002776C8">
        <w:t xml:space="preserve"> Unidad Ejecutora del Proyecto (UEP),</w:t>
      </w:r>
      <w:r w:rsidR="00576C2C" w:rsidRPr="002776C8">
        <w:t xml:space="preserve"> con respecto a la supervisión de los productos y misiones de administración. El Plan de Monitoreo, el cual se traducirá en el PMR, proveerá hitos anuales y seguirá el progreso de los productos con unidades de medida claramente definidas, así como sus costos asociados.</w:t>
      </w:r>
      <w:r>
        <w:t xml:space="preserve"> Por otro lado, l</w:t>
      </w:r>
      <w:r w:rsidRPr="002776C8">
        <w:t>os resultados serán monitoreados en función de los términos establecidos en el contrato de préstamo, preliminarmente un informe de medio término y otro al cierre</w:t>
      </w:r>
      <w:r>
        <w:t>.</w:t>
      </w:r>
    </w:p>
    <w:p w14:paraId="7590A196" w14:textId="77777777" w:rsidR="00576C2C" w:rsidRPr="002776C8" w:rsidRDefault="00576C2C" w:rsidP="006C2F2D">
      <w:pPr>
        <w:pStyle w:val="Paragraph"/>
      </w:pPr>
      <w:r w:rsidRPr="002776C8">
        <w:t xml:space="preserve">Los indicadores de resultado y los productos y medios de verificación </w:t>
      </w:r>
      <w:proofErr w:type="gramStart"/>
      <w:r w:rsidRPr="002776C8">
        <w:t>propuestos,</w:t>
      </w:r>
      <w:proofErr w:type="gramEnd"/>
      <w:r w:rsidRPr="002776C8">
        <w:t xml:space="preserve"> pretenden optimizar el uso de la información que </w:t>
      </w:r>
      <w:r w:rsidR="001C78D1" w:rsidRPr="002776C8">
        <w:t>la UEP</w:t>
      </w:r>
      <w:r w:rsidRPr="002776C8">
        <w:t xml:space="preserve"> recolectará por sí, por los operadores eléctricos, </w:t>
      </w:r>
      <w:r w:rsidR="001C78D1" w:rsidRPr="002776C8">
        <w:t>ENDE</w:t>
      </w:r>
      <w:r w:rsidRPr="002776C8">
        <w:t xml:space="preserve"> o a travé</w:t>
      </w:r>
      <w:r w:rsidR="000E0350" w:rsidRPr="002776C8">
        <w:t xml:space="preserve">s de servicios de consultorías </w:t>
      </w:r>
      <w:r w:rsidRPr="002776C8">
        <w:t xml:space="preserve">que desarrollará durante la ejecución del programa y aquella que será obtenida directa o indirectamente durante la ejecución de las actividades correspondientes. </w:t>
      </w:r>
    </w:p>
    <w:p w14:paraId="4893F050" w14:textId="77777777" w:rsidR="00576C2C" w:rsidRPr="002776C8" w:rsidRDefault="00576C2C" w:rsidP="006C2F2D">
      <w:pPr>
        <w:pStyle w:val="Paragraph"/>
      </w:pPr>
      <w:r w:rsidRPr="002776C8">
        <w:t xml:space="preserve">Los reportes de ejecución semestrales que preparará </w:t>
      </w:r>
      <w:r w:rsidR="001C78D1" w:rsidRPr="002776C8">
        <w:t>la UEP</w:t>
      </w:r>
      <w:r w:rsidRPr="002776C8">
        <w:t xml:space="preserve">, en calidad de </w:t>
      </w:r>
      <w:r w:rsidR="001C78D1" w:rsidRPr="002776C8">
        <w:t>coordinador del Programa</w:t>
      </w:r>
      <w:r w:rsidRPr="002776C8">
        <w:t>, y que presentará al Banco en marzo y septiembre de cada año, contendrán un resumen de los informes de avance con respecto a los hitos definidos, productos determinados y actividades inherentes y de los reportes internos de la fiscalización del programa.</w:t>
      </w:r>
    </w:p>
    <w:p w14:paraId="6E77162F" w14:textId="77777777" w:rsidR="00576C2C" w:rsidRPr="002776C8" w:rsidRDefault="00576C2C" w:rsidP="00957DE9">
      <w:pPr>
        <w:pStyle w:val="Paragraph"/>
      </w:pPr>
      <w:r w:rsidRPr="002776C8">
        <w:t>El costo de preparación de información para el seguimiento de la operación está incluido en los financiamientos del Banco (a través de los contratos de supervisión externa de obras o fiscalización interna)</w:t>
      </w:r>
      <w:r w:rsidR="00AD79AE" w:rsidRPr="002776C8">
        <w:t>,</w:t>
      </w:r>
      <w:r w:rsidRPr="002776C8">
        <w:t xml:space="preserve"> y </w:t>
      </w:r>
      <w:r w:rsidR="00AD79AE" w:rsidRPr="002776C8">
        <w:t>d</w:t>
      </w:r>
      <w:r w:rsidRPr="002776C8">
        <w:t xml:space="preserve">el </w:t>
      </w:r>
      <w:r w:rsidR="00AD79AE" w:rsidRPr="002776C8">
        <w:t xml:space="preserve">componente de Administración y Seguimiento del Programa. </w:t>
      </w:r>
    </w:p>
    <w:p w14:paraId="699B0335" w14:textId="77777777" w:rsidR="00463E1A" w:rsidRPr="002776C8" w:rsidRDefault="00576C2C" w:rsidP="00957DE9">
      <w:pPr>
        <w:pStyle w:val="Paragraph"/>
      </w:pPr>
      <w:r w:rsidRPr="002776C8">
        <w:t>Para el monitoreo y evaluación del Programa se utilizarán los siguientes instrumentos:</w:t>
      </w:r>
    </w:p>
    <w:p w14:paraId="7AD6E516" w14:textId="77777777" w:rsidR="00576C2C" w:rsidRPr="002776C8" w:rsidRDefault="00576C2C" w:rsidP="00957DE9">
      <w:pPr>
        <w:pStyle w:val="Paragraph"/>
      </w:pPr>
      <w:r w:rsidRPr="002776C8">
        <w:rPr>
          <w:b/>
        </w:rPr>
        <w:t>Informe semestral de progreso.</w:t>
      </w:r>
      <w:r w:rsidRPr="002776C8">
        <w:t xml:space="preserve"> Este instrumento tiene por finalidad presentar un reporte de la ejecución del proyecto, semestralmente, en los meses de marzo y septiembre. El informe semestral a septiembre abarca data de enero a junio, mientras que el reporte a marzo corresponde al periodo de julio a diciembre. </w:t>
      </w:r>
    </w:p>
    <w:p w14:paraId="211F7F38" w14:textId="77777777" w:rsidR="00576C2C" w:rsidRPr="002776C8" w:rsidRDefault="00576C2C" w:rsidP="00957DE9">
      <w:pPr>
        <w:pStyle w:val="Paragraph"/>
      </w:pPr>
      <w:r w:rsidRPr="002776C8">
        <w:t xml:space="preserve">Este informe se presenta </w:t>
      </w:r>
      <w:proofErr w:type="gramStart"/>
      <w:r w:rsidRPr="002776C8">
        <w:t>de acuerdo a</w:t>
      </w:r>
      <w:proofErr w:type="gramEnd"/>
      <w:r w:rsidRPr="002776C8">
        <w:t xml:space="preserve"> un formato definido entre la Representación del Banco en Bolivia y el prestatario, y se compone de los siguientes segmentos:</w:t>
      </w:r>
    </w:p>
    <w:p w14:paraId="5060557E" w14:textId="77777777" w:rsidR="00463E1A" w:rsidRPr="002776C8" w:rsidRDefault="00463E1A" w:rsidP="002C39EE">
      <w:pPr>
        <w:pStyle w:val="subpar"/>
        <w:rPr>
          <w:rFonts w:eastAsiaTheme="minorHAnsi"/>
        </w:rPr>
      </w:pPr>
      <w:r w:rsidRPr="002776C8">
        <w:rPr>
          <w:rFonts w:eastAsiaTheme="minorHAnsi"/>
          <w:b/>
        </w:rPr>
        <w:t>Resumen Ejecutivo.</w:t>
      </w:r>
      <w:r w:rsidRPr="002776C8">
        <w:rPr>
          <w:rFonts w:eastAsiaTheme="minorHAnsi"/>
        </w:rPr>
        <w:t xml:space="preserve"> Analiza la ejecución física y financiera del proyecto, y los contenidos desarrollados en el Reporte de Monitoreo del período correspondiente. Incluye un análisis de los fondos desembolsados, el cumplimiento de las recomendaciones de auditoría externa, temas generales, lecciones aprendidas y los próximos pasos a seguir.</w:t>
      </w:r>
    </w:p>
    <w:p w14:paraId="1ABCADEC" w14:textId="77777777" w:rsidR="00463E1A" w:rsidRPr="002776C8" w:rsidRDefault="00463E1A" w:rsidP="002C39EE">
      <w:pPr>
        <w:pStyle w:val="subpar"/>
        <w:rPr>
          <w:rFonts w:eastAsiaTheme="minorHAnsi"/>
        </w:rPr>
      </w:pPr>
      <w:r w:rsidRPr="002776C8">
        <w:rPr>
          <w:rFonts w:eastAsiaTheme="minorHAnsi"/>
          <w:b/>
        </w:rPr>
        <w:t>Reporte de Monitoreo.</w:t>
      </w:r>
      <w:r w:rsidRPr="002776C8">
        <w:rPr>
          <w:rFonts w:eastAsiaTheme="minorHAnsi"/>
        </w:rPr>
        <w:t xml:space="preserve"> Provee la información general y de detalle de la operación. Analiza la programación desarrollada vs. la planificada en referencia a los impactos y resultados del proyecto. Analiza el avance y logro de los productos e hitos definidos en la matriz de resultados, tanto física como financieramente.</w:t>
      </w:r>
    </w:p>
    <w:p w14:paraId="536906D5" w14:textId="1A6CEA42" w:rsidR="002E09EF" w:rsidRPr="002776C8" w:rsidRDefault="002E09EF" w:rsidP="002C39EE">
      <w:pPr>
        <w:pStyle w:val="subpar"/>
        <w:rPr>
          <w:rFonts w:eastAsiaTheme="minorHAnsi"/>
        </w:rPr>
      </w:pPr>
      <w:r w:rsidRPr="002776C8">
        <w:rPr>
          <w:rFonts w:eastAsiaTheme="minorHAnsi"/>
          <w:b/>
        </w:rPr>
        <w:t>Plan de Ejecución del Proyecto (PEP) y Plan Operativo Anual (POA).</w:t>
      </w:r>
      <w:r w:rsidRPr="002776C8">
        <w:rPr>
          <w:rFonts w:eastAsiaTheme="minorHAnsi"/>
        </w:rPr>
        <w:t xml:space="preserve"> El PEP y el POA consolidan todas las actividades que serán desarrolladas durante determinado período de ejecución, por producto y cuenta con un cronograma físico financiero. La UEP-BID presentará anualmente, el POA y el PEP, incluyendo las actividades, cronogramas y presupuesto estimado para los proyectos propuestos a financiar con el Programa. El POA y PEP finales del primer año serán incluidos en el informe inicial de la operación. El POA y el PEP incluirán, como mínimo, la siguiente información: i)</w:t>
      </w:r>
      <w:r w:rsidR="008E202D">
        <w:rPr>
          <w:rFonts w:eastAsiaTheme="minorHAnsi"/>
        </w:rPr>
        <w:t> </w:t>
      </w:r>
      <w:r w:rsidRPr="002776C8">
        <w:rPr>
          <w:rFonts w:eastAsiaTheme="minorHAnsi"/>
        </w:rPr>
        <w:t>estado de ejecución del Proyecto, discriminado por componentes; ii) el plan de adquisiciones de obras, bienes y servicios, así como el plan de adquisiciones de servicios de consultoría incluyendo presupuesto y proyecciones de desembolsos; iii)</w:t>
      </w:r>
      <w:r w:rsidR="008E202D">
        <w:rPr>
          <w:rFonts w:eastAsiaTheme="minorHAnsi"/>
        </w:rPr>
        <w:t> </w:t>
      </w:r>
      <w:r w:rsidRPr="002776C8">
        <w:rPr>
          <w:rFonts w:eastAsiaTheme="minorHAnsi"/>
        </w:rPr>
        <w:t xml:space="preserve">avance en el cumplimiento de las metas y resultados del Programa; iv) avance en el cumplimiento de los indicadores de producto para cada componente del Programa, de acuerdo a la Matriz de Resultados del Programa y el cronograma de su implementación; v) problemas presentados; y vi) soluciones implementadas. </w:t>
      </w:r>
    </w:p>
    <w:p w14:paraId="7F37F9E2" w14:textId="48B630BA" w:rsidR="002E09EF" w:rsidRPr="002776C8" w:rsidRDefault="002E09EF" w:rsidP="002C39EE">
      <w:pPr>
        <w:pStyle w:val="subpar"/>
        <w:rPr>
          <w:rFonts w:eastAsiaTheme="minorHAnsi"/>
        </w:rPr>
      </w:pPr>
      <w:r w:rsidRPr="002776C8">
        <w:rPr>
          <w:rFonts w:eastAsiaTheme="minorHAnsi"/>
          <w:b/>
        </w:rPr>
        <w:t xml:space="preserve">Plan de Adquisiciones (PA). </w:t>
      </w:r>
      <w:r w:rsidRPr="002776C8">
        <w:rPr>
          <w:rFonts w:eastAsiaTheme="minorHAnsi"/>
        </w:rPr>
        <w:t>Este instrumento tiene por finalidad presentar al Banco y hacer público el detalle de todas las adquisiciones y contrataciones que serán efectuadas en un determinado periodo de ejecución del Programa. El PA informa sobre las adquisiciones y contratos que se ejecutaran de conformidad con las “Políticas para Adquisiciones de bienes y obras financiadas por el Banco” (GN</w:t>
      </w:r>
      <w:r w:rsidR="008E202D">
        <w:rPr>
          <w:rFonts w:eastAsiaTheme="minorHAnsi"/>
        </w:rPr>
        <w:noBreakHyphen/>
      </w:r>
      <w:r w:rsidRPr="002776C8">
        <w:rPr>
          <w:rFonts w:eastAsiaTheme="minorHAnsi"/>
        </w:rPr>
        <w:t>2349</w:t>
      </w:r>
      <w:r w:rsidR="008E202D">
        <w:rPr>
          <w:rFonts w:eastAsiaTheme="minorHAnsi"/>
        </w:rPr>
        <w:noBreakHyphen/>
      </w:r>
      <w:r w:rsidRPr="002776C8">
        <w:rPr>
          <w:rFonts w:eastAsiaTheme="minorHAnsi"/>
        </w:rPr>
        <w:t>9) y las “Políticas para la Selección y contratación de consultorías financiadas por el Banco” (GN-2350-9) de conformidad con lo establecido en el Contrato de Préstamo. El PA debe ser incluido en el Sistema de Ejecución de Planes de Adquisiciones (SEPA), para consideración del Banco, y debe ser actualizado anualmente o cuando sea necesario.</w:t>
      </w:r>
    </w:p>
    <w:p w14:paraId="217A5182" w14:textId="2B2F3ECC" w:rsidR="00AD79AE" w:rsidRPr="002776C8" w:rsidRDefault="002E09EF" w:rsidP="00957DE9">
      <w:pPr>
        <w:pStyle w:val="Paragraph"/>
        <w:rPr>
          <w:rFonts w:eastAsiaTheme="minorHAnsi"/>
        </w:rPr>
      </w:pPr>
      <w:r w:rsidRPr="002776C8">
        <w:rPr>
          <w:rFonts w:eastAsiaTheme="minorHAnsi"/>
        </w:rPr>
        <w:t xml:space="preserve">En cuanto al monitoreo del Programa, los principales medios de verificación corresponden a </w:t>
      </w:r>
      <w:r w:rsidRPr="002776C8">
        <w:rPr>
          <w:rFonts w:eastAsiaTheme="minorHAnsi"/>
          <w:b/>
        </w:rPr>
        <w:t>documentos administrativos y contractuales</w:t>
      </w:r>
      <w:r w:rsidRPr="002776C8">
        <w:rPr>
          <w:rFonts w:eastAsiaTheme="minorHAnsi"/>
        </w:rPr>
        <w:t>, siendo los siguientes: i) Actas de Recepción Provisorias de las Obras, ii) Actas de Recepción Finales, iii) Informes Finales de Servicios de Consultoría, iv) Contratos de Servicios de Consultoría; v) Contratos de Compras de Bienes, vi) Clausula contractuales; vii) Informes Finales de Auditoria y viii)</w:t>
      </w:r>
      <w:r w:rsidR="00CB01CF">
        <w:rPr>
          <w:rFonts w:eastAsiaTheme="minorHAnsi"/>
        </w:rPr>
        <w:t> </w:t>
      </w:r>
      <w:r w:rsidRPr="002776C8">
        <w:rPr>
          <w:rFonts w:eastAsiaTheme="minorHAnsi"/>
        </w:rPr>
        <w:t xml:space="preserve">Informes de Evaluación. Asimismo, el Banco, a través del Equipo de Proyecto, como parte del Plan de Supervisión </w:t>
      </w:r>
      <w:proofErr w:type="gramStart"/>
      <w:r w:rsidRPr="002776C8">
        <w:rPr>
          <w:rFonts w:eastAsiaTheme="minorHAnsi"/>
        </w:rPr>
        <w:t>Anual,  realizará</w:t>
      </w:r>
      <w:proofErr w:type="gramEnd"/>
      <w:r w:rsidRPr="002776C8">
        <w:rPr>
          <w:rFonts w:eastAsiaTheme="minorHAnsi"/>
        </w:rPr>
        <w:t xml:space="preserve"> </w:t>
      </w:r>
    </w:p>
    <w:p w14:paraId="6C95AC2F" w14:textId="13B00415" w:rsidR="00AD79AE" w:rsidRPr="002776C8" w:rsidRDefault="002E09EF" w:rsidP="00957DE9">
      <w:pPr>
        <w:pStyle w:val="Paragraph"/>
        <w:rPr>
          <w:rFonts w:eastAsiaTheme="minorHAnsi"/>
        </w:rPr>
      </w:pPr>
      <w:r w:rsidRPr="002776C8">
        <w:rPr>
          <w:rFonts w:eastAsiaTheme="minorHAnsi"/>
          <w:b/>
        </w:rPr>
        <w:t>Visitas de Inspección</w:t>
      </w:r>
      <w:r w:rsidRPr="002776C8">
        <w:rPr>
          <w:rFonts w:eastAsiaTheme="minorHAnsi"/>
        </w:rPr>
        <w:t xml:space="preserve">, en </w:t>
      </w:r>
      <w:proofErr w:type="gramStart"/>
      <w:r w:rsidRPr="002776C8">
        <w:rPr>
          <w:rFonts w:eastAsiaTheme="minorHAnsi"/>
        </w:rPr>
        <w:t>promedio  dos</w:t>
      </w:r>
      <w:proofErr w:type="gramEnd"/>
      <w:r w:rsidRPr="002776C8">
        <w:rPr>
          <w:rFonts w:eastAsiaTheme="minorHAnsi"/>
        </w:rPr>
        <w:t xml:space="preserve"> por año,  con la finalidad de monitorear las actividades del Programa. También podrá </w:t>
      </w:r>
      <w:proofErr w:type="gramStart"/>
      <w:r w:rsidRPr="002776C8">
        <w:rPr>
          <w:rFonts w:eastAsiaTheme="minorHAnsi"/>
        </w:rPr>
        <w:t>apoyarse  de</w:t>
      </w:r>
      <w:proofErr w:type="gramEnd"/>
      <w:r w:rsidRPr="002776C8">
        <w:rPr>
          <w:rFonts w:eastAsiaTheme="minorHAnsi"/>
        </w:rPr>
        <w:t xml:space="preserve"> Misiones de Administración anuales con el objetivo de analizar los avances del Programa y tratar temas específicos identificados. Finalmente, durante la ejecución del Programa la UEP-BID presentará </w:t>
      </w:r>
      <w:r w:rsidRPr="00F841FC">
        <w:rPr>
          <w:rFonts w:eastAsiaTheme="minorHAnsi"/>
        </w:rPr>
        <w:t>anualmente al Banco, los e</w:t>
      </w:r>
      <w:r w:rsidR="00F841FC" w:rsidRPr="00F841FC">
        <w:rPr>
          <w:rFonts w:eastAsiaTheme="minorHAnsi"/>
        </w:rPr>
        <w:t>stados financieros del Programa.</w:t>
      </w:r>
      <w:r w:rsidRPr="002776C8">
        <w:rPr>
          <w:rFonts w:eastAsiaTheme="minorHAnsi"/>
        </w:rPr>
        <w:t xml:space="preserve"> </w:t>
      </w:r>
    </w:p>
    <w:p w14:paraId="54F58224" w14:textId="350DA06B" w:rsidR="00957DE9" w:rsidRDefault="00AD79AE" w:rsidP="001F3112">
      <w:pPr>
        <w:pStyle w:val="Paragraph"/>
      </w:pPr>
      <w:r w:rsidRPr="00957DE9">
        <w:rPr>
          <w:rFonts w:eastAsiaTheme="minorHAnsi"/>
          <w:b/>
        </w:rPr>
        <w:t>Auditoría</w:t>
      </w:r>
      <w:r w:rsidR="002E09EF" w:rsidRPr="00957DE9">
        <w:rPr>
          <w:rFonts w:eastAsiaTheme="minorHAnsi"/>
          <w:b/>
        </w:rPr>
        <w:t xml:space="preserve"> Financiera</w:t>
      </w:r>
      <w:r w:rsidR="002E09EF" w:rsidRPr="00957DE9">
        <w:rPr>
          <w:rFonts w:eastAsiaTheme="minorHAnsi"/>
        </w:rPr>
        <w:t xml:space="preserve"> correspondiente, en los términos establecidos en las Condiciones Generales del Contrato de Préstamo.</w:t>
      </w:r>
    </w:p>
    <w:p w14:paraId="19B62190" w14:textId="77777777" w:rsidR="00957DE9" w:rsidRDefault="00957DE9" w:rsidP="00957DE9">
      <w:pPr>
        <w:sectPr w:rsidR="00957DE9" w:rsidSect="00D64396">
          <w:pgSz w:w="12240" w:h="15840"/>
          <w:pgMar w:top="1632" w:right="1440" w:bottom="1440" w:left="1440" w:header="0" w:footer="986" w:gutter="0"/>
          <w:cols w:space="708"/>
        </w:sectPr>
      </w:pPr>
    </w:p>
    <w:p w14:paraId="7F0EB14B" w14:textId="698E789D" w:rsidR="004E3E24" w:rsidRPr="002776C8" w:rsidRDefault="002776C8" w:rsidP="00957DE9">
      <w:pPr>
        <w:pStyle w:val="Chapter"/>
      </w:pPr>
      <w:bookmarkStart w:id="9" w:name="_Toc513537390"/>
      <w:r w:rsidRPr="002776C8">
        <w:t>Coordinación, Plan de Trabajo, y Presupuesto del Seguimiento</w:t>
      </w:r>
      <w:bookmarkEnd w:id="9"/>
    </w:p>
    <w:p w14:paraId="71B49277" w14:textId="77777777" w:rsidR="00AD79AE" w:rsidRPr="002776C8" w:rsidRDefault="00AD79AE" w:rsidP="00957DE9">
      <w:pPr>
        <w:pStyle w:val="Paragraph"/>
      </w:pPr>
      <w:r w:rsidRPr="002776C8">
        <w:t xml:space="preserve">El seguimiento consistirá en verificar si las actividades realizadas se ajustan a lo previsto en el POA y PEP de la operación, y si se han cumplido los objetivos específicos </w:t>
      </w:r>
      <w:proofErr w:type="gramStart"/>
      <w:r w:rsidRPr="002776C8">
        <w:t>de acuerdo a</w:t>
      </w:r>
      <w:proofErr w:type="gramEnd"/>
      <w:r w:rsidRPr="002776C8">
        <w:t xml:space="preserve"> la Matriz de Resultados de la misma. El seguimiento se enfocará, entre otras, a constatar los avances físicos y financieros de los productos, y el cumplimiento de las salvaguardas ambientales y sociales, es decir si se produjeron los productos originalmente planeados en los plazos programados, y si se ajustan a los objetivos inicialmente propuestos, con las medidas de mitigación diseñadas e implementadas. </w:t>
      </w:r>
    </w:p>
    <w:p w14:paraId="3763C1C3" w14:textId="55AA851D" w:rsidR="00AD79AE" w:rsidRPr="002776C8" w:rsidRDefault="00AD79AE" w:rsidP="00957DE9">
      <w:pPr>
        <w:pStyle w:val="Paragraph"/>
      </w:pPr>
      <w:r w:rsidRPr="002776C8">
        <w:t xml:space="preserve">Asimismo, </w:t>
      </w:r>
      <w:r w:rsidR="002776C8">
        <w:t>la UEP</w:t>
      </w:r>
      <w:r w:rsidRPr="002776C8">
        <w:t xml:space="preserve"> presentará, a más tardar el 30 de noviembre de cada año, el Plan Operativo Anual (POA) para el año siguiente incluyendo actividades y proyectos a ser financiados, cronograma y presupuesto estimado</w:t>
      </w:r>
      <w:r w:rsidR="00801D1B">
        <w:t>.</w:t>
      </w:r>
    </w:p>
    <w:p w14:paraId="090D2A4A" w14:textId="77777777" w:rsidR="00AD79AE" w:rsidRPr="00957DE9" w:rsidRDefault="00AD79AE" w:rsidP="00801D1B">
      <w:pPr>
        <w:pStyle w:val="Paragraph"/>
      </w:pPr>
      <w:proofErr w:type="gramStart"/>
      <w:r w:rsidRPr="00957DE9">
        <w:t>El cumplimiento de los productos serán</w:t>
      </w:r>
      <w:proofErr w:type="gramEnd"/>
      <w:r w:rsidRPr="00957DE9">
        <w:t xml:space="preserve"> verificados en forma directa a partir de las actas de aceptación de los servicios, sean estos bienes, obras o servicios de consultoría o no consultoría. El cumplimiento parcial de los hitos o actividades intermedias para el logro de los productos, serán verificados a través de los informes periódicos de la unidad ejecutora. </w:t>
      </w:r>
    </w:p>
    <w:p w14:paraId="591C0131" w14:textId="77777777" w:rsidR="00AD79AE" w:rsidRPr="002776C8" w:rsidRDefault="00AD79AE" w:rsidP="00801D1B">
      <w:pPr>
        <w:pStyle w:val="Paragraph"/>
      </w:pPr>
      <w:r w:rsidRPr="002776C8">
        <w:t xml:space="preserve">Se realizarán anualmente auditorías externas que se encargarán de los aspectos financieros. La auditoría será desempeñada por una firma independiente y aceptable por el Banco. Los estados financieros anuales de la operación serán presentados durante los primeros 120 días del año. El costo de las auditorias está incluido en el Préstamo.  </w:t>
      </w:r>
    </w:p>
    <w:p w14:paraId="2266AA5E" w14:textId="77777777" w:rsidR="00AD79AE" w:rsidRPr="002776C8" w:rsidRDefault="002776C8" w:rsidP="00801D1B">
      <w:pPr>
        <w:pStyle w:val="Paragraph"/>
      </w:pPr>
      <w:r>
        <w:t>La UEP</w:t>
      </w:r>
      <w:r w:rsidR="00AD79AE" w:rsidRPr="002776C8">
        <w:t xml:space="preserve"> verificará el progreso de las actividades del Programa. Para lo cual realizará las siguientes funciones: (i) compilar la información periódica de avance físico (actividades) y financiero (fondos disponibles e invertidos); y (ii) mantener de forma, actualizada y relevante la información sobre la ejecución de las actividades del programa y sus recursos. </w:t>
      </w:r>
    </w:p>
    <w:p w14:paraId="57A28B66" w14:textId="77777777" w:rsidR="00AD79AE" w:rsidRPr="002776C8" w:rsidRDefault="00AD79AE" w:rsidP="00801D1B">
      <w:pPr>
        <w:pStyle w:val="Paragraph"/>
      </w:pPr>
      <w:r w:rsidRPr="002776C8">
        <w:t xml:space="preserve">El Especialista de Sector y Analista de Operaciones del Banco a cargo del Proyecto y </w:t>
      </w:r>
      <w:r w:rsidR="002776C8">
        <w:t>la UEP</w:t>
      </w:r>
      <w:r w:rsidRPr="002776C8">
        <w:t xml:space="preserve"> trabajarán coordinadamente para asegurar y verificar la ejecución del cronograma del proyecto.</w:t>
      </w:r>
    </w:p>
    <w:p w14:paraId="11CAAB30" w14:textId="77777777" w:rsidR="00AD79AE" w:rsidRPr="002776C8" w:rsidRDefault="00AD79AE" w:rsidP="00801D1B">
      <w:pPr>
        <w:pStyle w:val="Paragraph"/>
      </w:pPr>
      <w:r w:rsidRPr="002776C8">
        <w:t>El seguimiento del Programa se realizará de forma continua a partir de la elegibilidad de la operación y hasta la finalización del mismo, pautada para 20</w:t>
      </w:r>
      <w:r w:rsidR="002776C8">
        <w:t>2</w:t>
      </w:r>
      <w:r w:rsidR="00611FAD">
        <w:t>4</w:t>
      </w:r>
      <w:r w:rsidRPr="002776C8">
        <w:t>.</w:t>
      </w:r>
    </w:p>
    <w:p w14:paraId="0AEDEF6A" w14:textId="13B9F87C" w:rsidR="00E56646" w:rsidRPr="00801D1B" w:rsidRDefault="00AD79AE" w:rsidP="00801D1B">
      <w:pPr>
        <w:pStyle w:val="Paragraph"/>
      </w:pPr>
      <w:r w:rsidRPr="002776C8">
        <w:t xml:space="preserve">El financiamiento del seguimiento del Programa queda asegurado </w:t>
      </w:r>
      <w:r w:rsidR="002776C8">
        <w:t>por el componente de Administración y Seguimiento del Préstamo.</w:t>
      </w:r>
    </w:p>
    <w:p w14:paraId="50432D86" w14:textId="77777777" w:rsidR="00E56646" w:rsidRPr="002776C8" w:rsidRDefault="00E56646">
      <w:pPr>
        <w:spacing w:after="200" w:line="276" w:lineRule="auto"/>
        <w:rPr>
          <w:szCs w:val="24"/>
          <w:lang w:val="es-ES"/>
        </w:rPr>
        <w:sectPr w:rsidR="00E56646" w:rsidRPr="002776C8" w:rsidSect="008B57E8">
          <w:type w:val="continuous"/>
          <w:pgSz w:w="12240" w:h="15840"/>
          <w:pgMar w:top="1632" w:right="1440" w:bottom="1440" w:left="1440" w:header="0" w:footer="986" w:gutter="0"/>
          <w:cols w:space="708"/>
        </w:sectPr>
      </w:pPr>
    </w:p>
    <w:p w14:paraId="0A06639F" w14:textId="0BD4B90E" w:rsidR="00E56646" w:rsidRPr="00002E14" w:rsidRDefault="00E56646" w:rsidP="00E56646">
      <w:pPr>
        <w:jc w:val="center"/>
        <w:rPr>
          <w:rFonts w:ascii="Arial" w:hAnsi="Arial" w:cs="Arial"/>
          <w:b/>
          <w:sz w:val="20"/>
        </w:rPr>
      </w:pPr>
      <w:r w:rsidRPr="00002E14">
        <w:rPr>
          <w:rFonts w:ascii="Arial" w:hAnsi="Arial" w:cs="Arial"/>
          <w:b/>
          <w:sz w:val="20"/>
        </w:rPr>
        <w:t>Cuadro 2</w:t>
      </w:r>
      <w:r w:rsidR="00801D1B" w:rsidRPr="00002E14">
        <w:rPr>
          <w:rFonts w:ascii="Arial" w:hAnsi="Arial" w:cs="Arial"/>
          <w:b/>
          <w:sz w:val="20"/>
        </w:rPr>
        <w:t xml:space="preserve">. </w:t>
      </w:r>
      <w:r w:rsidRPr="00002E14">
        <w:rPr>
          <w:rFonts w:ascii="Arial" w:hAnsi="Arial" w:cs="Arial"/>
          <w:b/>
          <w:sz w:val="20"/>
        </w:rPr>
        <w:t>Programa de Electrificación Rural BO-L11</w:t>
      </w:r>
      <w:r w:rsidR="00A16202">
        <w:rPr>
          <w:rFonts w:ascii="Arial" w:hAnsi="Arial" w:cs="Arial"/>
          <w:b/>
          <w:sz w:val="20"/>
        </w:rPr>
        <w:t>90</w:t>
      </w:r>
      <w:r w:rsidR="00FB7420">
        <w:rPr>
          <w:rFonts w:ascii="Arial" w:hAnsi="Arial" w:cs="Arial"/>
          <w:b/>
          <w:sz w:val="20"/>
        </w:rPr>
        <w:t>.</w:t>
      </w:r>
    </w:p>
    <w:p w14:paraId="32287912" w14:textId="77777777" w:rsidR="00E56646" w:rsidRPr="00002E14" w:rsidRDefault="00E56646" w:rsidP="00E56646">
      <w:pPr>
        <w:jc w:val="center"/>
        <w:rPr>
          <w:rFonts w:ascii="Arial" w:hAnsi="Arial" w:cs="Arial"/>
          <w:b/>
          <w:sz w:val="20"/>
        </w:rPr>
      </w:pPr>
      <w:r w:rsidRPr="00002E14">
        <w:rPr>
          <w:rFonts w:ascii="Arial" w:hAnsi="Arial" w:cs="Arial"/>
          <w:b/>
          <w:sz w:val="20"/>
        </w:rPr>
        <w:t>Monitoreo – Plan de Trabajo</w:t>
      </w:r>
    </w:p>
    <w:tbl>
      <w:tblPr>
        <w:tblW w:w="18042" w:type="dxa"/>
        <w:jc w:val="center"/>
        <w:tblLook w:val="00A0" w:firstRow="1" w:lastRow="0" w:firstColumn="1" w:lastColumn="0" w:noHBand="0" w:noVBand="0"/>
      </w:tblPr>
      <w:tblGrid>
        <w:gridCol w:w="1886"/>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577"/>
        <w:gridCol w:w="2475"/>
        <w:gridCol w:w="2232"/>
      </w:tblGrid>
      <w:tr w:rsidR="00183D72" w:rsidRPr="00020AB7" w14:paraId="2D3DD8AE" w14:textId="77777777" w:rsidTr="00A53A21">
        <w:trPr>
          <w:trHeight w:val="315"/>
          <w:tblHeader/>
          <w:jc w:val="center"/>
        </w:trPr>
        <w:tc>
          <w:tcPr>
            <w:tcW w:w="1887" w:type="dxa"/>
            <w:vMerge w:val="restart"/>
            <w:tcBorders>
              <w:top w:val="single" w:sz="4" w:space="0" w:color="auto"/>
              <w:left w:val="single" w:sz="4" w:space="0" w:color="auto"/>
              <w:bottom w:val="single" w:sz="4" w:space="0" w:color="auto"/>
              <w:right w:val="single" w:sz="4" w:space="0" w:color="auto"/>
            </w:tcBorders>
            <w:vAlign w:val="center"/>
            <w:hideMark/>
          </w:tcPr>
          <w:p w14:paraId="55B964C1"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cs="Arial"/>
                <w:color w:val="000000"/>
                <w:sz w:val="20"/>
                <w:lang w:val="es-BO"/>
              </w:rPr>
              <w:t>Actividades de Monitoreo</w:t>
            </w:r>
          </w:p>
        </w:tc>
        <w:tc>
          <w:tcPr>
            <w:tcW w:w="1304" w:type="dxa"/>
            <w:gridSpan w:val="4"/>
            <w:tcBorders>
              <w:top w:val="single" w:sz="4" w:space="0" w:color="auto"/>
              <w:left w:val="nil"/>
              <w:bottom w:val="single" w:sz="4" w:space="0" w:color="auto"/>
              <w:right w:val="single" w:sz="4" w:space="0" w:color="auto"/>
            </w:tcBorders>
            <w:vAlign w:val="center"/>
            <w:hideMark/>
          </w:tcPr>
          <w:p w14:paraId="445B2950" w14:textId="77777777" w:rsidR="00183D72" w:rsidRPr="00020AB7" w:rsidRDefault="00611FAD">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2019</w:t>
            </w:r>
          </w:p>
        </w:tc>
        <w:tc>
          <w:tcPr>
            <w:tcW w:w="1304" w:type="dxa"/>
            <w:gridSpan w:val="4"/>
            <w:tcBorders>
              <w:top w:val="single" w:sz="4" w:space="0" w:color="auto"/>
              <w:left w:val="nil"/>
              <w:bottom w:val="single" w:sz="4" w:space="0" w:color="auto"/>
              <w:right w:val="single" w:sz="4" w:space="0" w:color="auto"/>
            </w:tcBorders>
            <w:vAlign w:val="center"/>
            <w:hideMark/>
          </w:tcPr>
          <w:p w14:paraId="784CBCCC" w14:textId="77777777" w:rsidR="00183D72" w:rsidRPr="00020AB7" w:rsidRDefault="00611FAD">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2020</w:t>
            </w:r>
          </w:p>
        </w:tc>
        <w:tc>
          <w:tcPr>
            <w:tcW w:w="1304" w:type="dxa"/>
            <w:gridSpan w:val="4"/>
            <w:tcBorders>
              <w:top w:val="single" w:sz="4" w:space="0" w:color="auto"/>
              <w:left w:val="nil"/>
              <w:bottom w:val="single" w:sz="4" w:space="0" w:color="auto"/>
              <w:right w:val="single" w:sz="4" w:space="0" w:color="auto"/>
            </w:tcBorders>
            <w:vAlign w:val="center"/>
            <w:hideMark/>
          </w:tcPr>
          <w:p w14:paraId="32F3DD0A" w14:textId="77777777" w:rsidR="00183D72" w:rsidRPr="00020AB7" w:rsidRDefault="00611FAD">
            <w:pPr>
              <w:spacing w:line="276" w:lineRule="auto"/>
              <w:jc w:val="center"/>
              <w:rPr>
                <w:rFonts w:ascii="Arial" w:hAnsi="Arial" w:cs="Arial"/>
                <w:color w:val="000000"/>
                <w:sz w:val="20"/>
                <w:lang w:val="es-BO"/>
              </w:rPr>
            </w:pPr>
            <w:r w:rsidRPr="00020AB7">
              <w:rPr>
                <w:rFonts w:ascii="Arial" w:hAnsi="Arial" w:cs="Arial"/>
                <w:color w:val="000000"/>
                <w:sz w:val="20"/>
                <w:lang w:val="es-BO"/>
              </w:rPr>
              <w:t>2021</w:t>
            </w:r>
          </w:p>
        </w:tc>
        <w:tc>
          <w:tcPr>
            <w:tcW w:w="1304" w:type="dxa"/>
            <w:gridSpan w:val="4"/>
            <w:tcBorders>
              <w:top w:val="single" w:sz="4" w:space="0" w:color="auto"/>
              <w:left w:val="nil"/>
              <w:bottom w:val="single" w:sz="4" w:space="0" w:color="auto"/>
              <w:right w:val="single" w:sz="4" w:space="0" w:color="auto"/>
            </w:tcBorders>
            <w:vAlign w:val="center"/>
            <w:hideMark/>
          </w:tcPr>
          <w:p w14:paraId="50739715"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cs="Arial"/>
                <w:color w:val="000000"/>
                <w:sz w:val="20"/>
                <w:lang w:val="es-BO"/>
              </w:rPr>
              <w:t>202</w:t>
            </w:r>
            <w:r w:rsidR="00611FAD" w:rsidRPr="00020AB7">
              <w:rPr>
                <w:rFonts w:ascii="Arial" w:hAnsi="Arial" w:cs="Arial"/>
                <w:color w:val="000000"/>
                <w:sz w:val="20"/>
                <w:lang w:val="es-BO"/>
              </w:rPr>
              <w:t>2</w:t>
            </w:r>
          </w:p>
        </w:tc>
        <w:tc>
          <w:tcPr>
            <w:tcW w:w="1304" w:type="dxa"/>
            <w:gridSpan w:val="4"/>
            <w:tcBorders>
              <w:top w:val="single" w:sz="4" w:space="0" w:color="auto"/>
              <w:left w:val="single" w:sz="4" w:space="0" w:color="auto"/>
              <w:bottom w:val="single" w:sz="4" w:space="0" w:color="auto"/>
              <w:right w:val="single" w:sz="4" w:space="0" w:color="auto"/>
            </w:tcBorders>
          </w:tcPr>
          <w:p w14:paraId="7D77E148" w14:textId="77777777" w:rsidR="00183D72" w:rsidRPr="00020AB7" w:rsidRDefault="00880078" w:rsidP="002C39EE">
            <w:pPr>
              <w:spacing w:line="276" w:lineRule="auto"/>
              <w:jc w:val="center"/>
              <w:rPr>
                <w:rFonts w:ascii="Arial" w:hAnsi="Arial" w:cs="Arial"/>
                <w:color w:val="000000"/>
                <w:sz w:val="20"/>
                <w:lang w:val="es-BO"/>
              </w:rPr>
            </w:pPr>
            <w:r w:rsidRPr="00020AB7">
              <w:rPr>
                <w:rFonts w:ascii="Arial" w:hAnsi="Arial" w:cs="Arial"/>
                <w:color w:val="000000"/>
                <w:sz w:val="20"/>
                <w:lang w:val="es-BO"/>
              </w:rPr>
              <w:t>20</w:t>
            </w:r>
            <w:r w:rsidR="00611FAD" w:rsidRPr="00020AB7">
              <w:rPr>
                <w:rFonts w:ascii="Arial" w:hAnsi="Arial" w:cs="Arial"/>
                <w:color w:val="000000"/>
                <w:sz w:val="20"/>
                <w:lang w:val="es-BO"/>
              </w:rPr>
              <w:t>23</w:t>
            </w:r>
          </w:p>
        </w:tc>
        <w:tc>
          <w:tcPr>
            <w:tcW w:w="1304" w:type="dxa"/>
            <w:gridSpan w:val="4"/>
            <w:tcBorders>
              <w:top w:val="single" w:sz="4" w:space="0" w:color="auto"/>
              <w:left w:val="single" w:sz="4" w:space="0" w:color="auto"/>
              <w:bottom w:val="single" w:sz="4" w:space="0" w:color="auto"/>
              <w:right w:val="single" w:sz="4" w:space="0" w:color="auto"/>
            </w:tcBorders>
          </w:tcPr>
          <w:p w14:paraId="7B0A937E" w14:textId="77777777" w:rsidR="00183D72" w:rsidRPr="00020AB7" w:rsidRDefault="00611FAD">
            <w:pPr>
              <w:spacing w:line="276" w:lineRule="auto"/>
              <w:jc w:val="center"/>
              <w:rPr>
                <w:rFonts w:ascii="Arial" w:hAnsi="Arial" w:cs="Arial"/>
                <w:color w:val="000000"/>
                <w:sz w:val="20"/>
                <w:lang w:val="es-BO"/>
              </w:rPr>
            </w:pPr>
            <w:r w:rsidRPr="00020AB7">
              <w:rPr>
                <w:rFonts w:ascii="Arial" w:hAnsi="Arial" w:cs="Arial"/>
                <w:color w:val="000000"/>
                <w:sz w:val="20"/>
                <w:lang w:val="es-BO"/>
              </w:rPr>
              <w:t>2024</w:t>
            </w:r>
          </w:p>
        </w:tc>
        <w:tc>
          <w:tcPr>
            <w:tcW w:w="3611" w:type="dxa"/>
            <w:tcBorders>
              <w:top w:val="single" w:sz="4" w:space="0" w:color="auto"/>
              <w:left w:val="single" w:sz="4" w:space="0" w:color="auto"/>
              <w:bottom w:val="single" w:sz="4" w:space="0" w:color="auto"/>
              <w:right w:val="single" w:sz="4" w:space="0" w:color="auto"/>
            </w:tcBorders>
            <w:vAlign w:val="center"/>
            <w:hideMark/>
          </w:tcPr>
          <w:p w14:paraId="5FC95137"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cs="Arial"/>
                <w:color w:val="000000"/>
                <w:sz w:val="20"/>
                <w:lang w:val="es-BO"/>
              </w:rPr>
              <w:t>Fuente</w:t>
            </w:r>
          </w:p>
        </w:tc>
        <w:tc>
          <w:tcPr>
            <w:tcW w:w="2480" w:type="dxa"/>
            <w:tcBorders>
              <w:top w:val="single" w:sz="4" w:space="0" w:color="auto"/>
              <w:left w:val="single" w:sz="4" w:space="0" w:color="auto"/>
              <w:bottom w:val="single" w:sz="4" w:space="0" w:color="auto"/>
              <w:right w:val="single" w:sz="4" w:space="0" w:color="auto"/>
            </w:tcBorders>
            <w:vAlign w:val="center"/>
            <w:hideMark/>
          </w:tcPr>
          <w:p w14:paraId="493DA257"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Costo</w:t>
            </w:r>
          </w:p>
        </w:tc>
        <w:tc>
          <w:tcPr>
            <w:tcW w:w="2240" w:type="dxa"/>
            <w:tcBorders>
              <w:top w:val="single" w:sz="4" w:space="0" w:color="auto"/>
              <w:left w:val="single" w:sz="4" w:space="0" w:color="auto"/>
              <w:bottom w:val="single" w:sz="4" w:space="0" w:color="auto"/>
              <w:right w:val="single" w:sz="4" w:space="0" w:color="auto"/>
            </w:tcBorders>
            <w:vAlign w:val="center"/>
            <w:hideMark/>
          </w:tcPr>
          <w:p w14:paraId="5C89CB01"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Financiamiento</w:t>
            </w:r>
          </w:p>
        </w:tc>
      </w:tr>
      <w:tr w:rsidR="00880078" w:rsidRPr="00020AB7" w14:paraId="25056B1B" w14:textId="77777777" w:rsidTr="00A53A21">
        <w:trPr>
          <w:trHeight w:val="300"/>
          <w:tblHeader/>
          <w:jc w:val="center"/>
        </w:trPr>
        <w:tc>
          <w:tcPr>
            <w:tcW w:w="1887" w:type="dxa"/>
            <w:vMerge/>
            <w:tcBorders>
              <w:top w:val="single" w:sz="4" w:space="0" w:color="auto"/>
              <w:left w:val="single" w:sz="4" w:space="0" w:color="auto"/>
              <w:bottom w:val="single" w:sz="4" w:space="0" w:color="auto"/>
              <w:right w:val="single" w:sz="4" w:space="0" w:color="auto"/>
            </w:tcBorders>
            <w:vAlign w:val="center"/>
            <w:hideMark/>
          </w:tcPr>
          <w:p w14:paraId="38AE5398" w14:textId="77777777" w:rsidR="00183D72" w:rsidRPr="00020AB7" w:rsidRDefault="00183D72">
            <w:pPr>
              <w:rPr>
                <w:rFonts w:ascii="Arial" w:hAnsi="Arial" w:cs="Arial"/>
                <w:color w:val="000000"/>
                <w:sz w:val="20"/>
                <w:lang w:val="es-BO"/>
              </w:rPr>
            </w:pPr>
          </w:p>
        </w:tc>
        <w:tc>
          <w:tcPr>
            <w:tcW w:w="326" w:type="dxa"/>
            <w:tcBorders>
              <w:top w:val="nil"/>
              <w:left w:val="nil"/>
              <w:bottom w:val="single" w:sz="4" w:space="0" w:color="auto"/>
              <w:right w:val="single" w:sz="4" w:space="0" w:color="auto"/>
            </w:tcBorders>
            <w:vAlign w:val="center"/>
            <w:hideMark/>
          </w:tcPr>
          <w:p w14:paraId="12C9B388"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1</w:t>
            </w:r>
          </w:p>
        </w:tc>
        <w:tc>
          <w:tcPr>
            <w:tcW w:w="326" w:type="dxa"/>
            <w:tcBorders>
              <w:top w:val="nil"/>
              <w:left w:val="nil"/>
              <w:bottom w:val="single" w:sz="4" w:space="0" w:color="auto"/>
              <w:right w:val="single" w:sz="4" w:space="0" w:color="auto"/>
            </w:tcBorders>
            <w:vAlign w:val="center"/>
            <w:hideMark/>
          </w:tcPr>
          <w:p w14:paraId="5EF91C8E"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2</w:t>
            </w:r>
          </w:p>
        </w:tc>
        <w:tc>
          <w:tcPr>
            <w:tcW w:w="326" w:type="dxa"/>
            <w:tcBorders>
              <w:top w:val="nil"/>
              <w:left w:val="nil"/>
              <w:bottom w:val="single" w:sz="4" w:space="0" w:color="auto"/>
              <w:right w:val="single" w:sz="4" w:space="0" w:color="auto"/>
            </w:tcBorders>
            <w:vAlign w:val="center"/>
            <w:hideMark/>
          </w:tcPr>
          <w:p w14:paraId="15C95D9D"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3</w:t>
            </w:r>
          </w:p>
        </w:tc>
        <w:tc>
          <w:tcPr>
            <w:tcW w:w="326" w:type="dxa"/>
            <w:tcBorders>
              <w:top w:val="nil"/>
              <w:left w:val="nil"/>
              <w:bottom w:val="single" w:sz="4" w:space="0" w:color="auto"/>
              <w:right w:val="single" w:sz="4" w:space="0" w:color="auto"/>
            </w:tcBorders>
            <w:vAlign w:val="center"/>
            <w:hideMark/>
          </w:tcPr>
          <w:p w14:paraId="69190455"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4</w:t>
            </w:r>
          </w:p>
        </w:tc>
        <w:tc>
          <w:tcPr>
            <w:tcW w:w="326" w:type="dxa"/>
            <w:tcBorders>
              <w:top w:val="nil"/>
              <w:left w:val="nil"/>
              <w:bottom w:val="single" w:sz="4" w:space="0" w:color="auto"/>
              <w:right w:val="single" w:sz="4" w:space="0" w:color="auto"/>
            </w:tcBorders>
            <w:vAlign w:val="center"/>
            <w:hideMark/>
          </w:tcPr>
          <w:p w14:paraId="7FC828D6"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1</w:t>
            </w:r>
          </w:p>
        </w:tc>
        <w:tc>
          <w:tcPr>
            <w:tcW w:w="326" w:type="dxa"/>
            <w:tcBorders>
              <w:top w:val="nil"/>
              <w:left w:val="nil"/>
              <w:bottom w:val="single" w:sz="4" w:space="0" w:color="auto"/>
              <w:right w:val="single" w:sz="4" w:space="0" w:color="auto"/>
            </w:tcBorders>
            <w:vAlign w:val="center"/>
            <w:hideMark/>
          </w:tcPr>
          <w:p w14:paraId="3CD39287"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2</w:t>
            </w:r>
          </w:p>
        </w:tc>
        <w:tc>
          <w:tcPr>
            <w:tcW w:w="326" w:type="dxa"/>
            <w:tcBorders>
              <w:top w:val="nil"/>
              <w:left w:val="nil"/>
              <w:bottom w:val="single" w:sz="4" w:space="0" w:color="auto"/>
              <w:right w:val="single" w:sz="4" w:space="0" w:color="auto"/>
            </w:tcBorders>
            <w:vAlign w:val="center"/>
            <w:hideMark/>
          </w:tcPr>
          <w:p w14:paraId="1BA91764"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3</w:t>
            </w:r>
          </w:p>
        </w:tc>
        <w:tc>
          <w:tcPr>
            <w:tcW w:w="326" w:type="dxa"/>
            <w:tcBorders>
              <w:top w:val="nil"/>
              <w:left w:val="nil"/>
              <w:bottom w:val="single" w:sz="4" w:space="0" w:color="auto"/>
              <w:right w:val="single" w:sz="4" w:space="0" w:color="auto"/>
            </w:tcBorders>
            <w:vAlign w:val="center"/>
            <w:hideMark/>
          </w:tcPr>
          <w:p w14:paraId="40F322B5"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4</w:t>
            </w:r>
          </w:p>
        </w:tc>
        <w:tc>
          <w:tcPr>
            <w:tcW w:w="326" w:type="dxa"/>
            <w:tcBorders>
              <w:top w:val="nil"/>
              <w:left w:val="nil"/>
              <w:bottom w:val="single" w:sz="4" w:space="0" w:color="auto"/>
              <w:right w:val="single" w:sz="4" w:space="0" w:color="auto"/>
            </w:tcBorders>
            <w:vAlign w:val="center"/>
            <w:hideMark/>
          </w:tcPr>
          <w:p w14:paraId="4A874941"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1</w:t>
            </w:r>
          </w:p>
        </w:tc>
        <w:tc>
          <w:tcPr>
            <w:tcW w:w="326" w:type="dxa"/>
            <w:tcBorders>
              <w:top w:val="nil"/>
              <w:left w:val="nil"/>
              <w:bottom w:val="single" w:sz="4" w:space="0" w:color="auto"/>
              <w:right w:val="single" w:sz="4" w:space="0" w:color="auto"/>
            </w:tcBorders>
            <w:vAlign w:val="center"/>
            <w:hideMark/>
          </w:tcPr>
          <w:p w14:paraId="431211BD"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2</w:t>
            </w:r>
          </w:p>
        </w:tc>
        <w:tc>
          <w:tcPr>
            <w:tcW w:w="326" w:type="dxa"/>
            <w:tcBorders>
              <w:top w:val="nil"/>
              <w:left w:val="nil"/>
              <w:bottom w:val="single" w:sz="4" w:space="0" w:color="auto"/>
              <w:right w:val="single" w:sz="4" w:space="0" w:color="auto"/>
            </w:tcBorders>
            <w:vAlign w:val="center"/>
            <w:hideMark/>
          </w:tcPr>
          <w:p w14:paraId="273F524F"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3</w:t>
            </w:r>
          </w:p>
        </w:tc>
        <w:tc>
          <w:tcPr>
            <w:tcW w:w="326" w:type="dxa"/>
            <w:tcBorders>
              <w:top w:val="nil"/>
              <w:left w:val="nil"/>
              <w:bottom w:val="single" w:sz="4" w:space="0" w:color="auto"/>
              <w:right w:val="single" w:sz="4" w:space="0" w:color="auto"/>
            </w:tcBorders>
            <w:vAlign w:val="center"/>
            <w:hideMark/>
          </w:tcPr>
          <w:p w14:paraId="43456196"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4</w:t>
            </w:r>
          </w:p>
        </w:tc>
        <w:tc>
          <w:tcPr>
            <w:tcW w:w="326" w:type="dxa"/>
            <w:tcBorders>
              <w:top w:val="nil"/>
              <w:left w:val="nil"/>
              <w:bottom w:val="single" w:sz="4" w:space="0" w:color="auto"/>
              <w:right w:val="single" w:sz="4" w:space="0" w:color="auto"/>
            </w:tcBorders>
            <w:vAlign w:val="center"/>
            <w:hideMark/>
          </w:tcPr>
          <w:p w14:paraId="57BD9CDE"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1</w:t>
            </w:r>
          </w:p>
        </w:tc>
        <w:tc>
          <w:tcPr>
            <w:tcW w:w="326" w:type="dxa"/>
            <w:tcBorders>
              <w:top w:val="nil"/>
              <w:left w:val="nil"/>
              <w:bottom w:val="single" w:sz="4" w:space="0" w:color="auto"/>
              <w:right w:val="single" w:sz="4" w:space="0" w:color="auto"/>
            </w:tcBorders>
            <w:vAlign w:val="center"/>
            <w:hideMark/>
          </w:tcPr>
          <w:p w14:paraId="2037E7A3"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2</w:t>
            </w:r>
          </w:p>
        </w:tc>
        <w:tc>
          <w:tcPr>
            <w:tcW w:w="326" w:type="dxa"/>
            <w:tcBorders>
              <w:top w:val="nil"/>
              <w:left w:val="nil"/>
              <w:bottom w:val="single" w:sz="4" w:space="0" w:color="auto"/>
              <w:right w:val="single" w:sz="4" w:space="0" w:color="auto"/>
            </w:tcBorders>
            <w:vAlign w:val="center"/>
            <w:hideMark/>
          </w:tcPr>
          <w:p w14:paraId="1BBE1CC7"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3</w:t>
            </w:r>
          </w:p>
        </w:tc>
        <w:tc>
          <w:tcPr>
            <w:tcW w:w="326" w:type="dxa"/>
            <w:tcBorders>
              <w:top w:val="nil"/>
              <w:left w:val="nil"/>
              <w:bottom w:val="single" w:sz="4" w:space="0" w:color="auto"/>
              <w:right w:val="single" w:sz="4" w:space="0" w:color="auto"/>
            </w:tcBorders>
            <w:vAlign w:val="center"/>
            <w:hideMark/>
          </w:tcPr>
          <w:p w14:paraId="6762B97C" w14:textId="77777777" w:rsidR="00183D72" w:rsidRPr="00020AB7" w:rsidRDefault="00183D72">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4</w:t>
            </w:r>
          </w:p>
        </w:tc>
        <w:tc>
          <w:tcPr>
            <w:tcW w:w="326" w:type="dxa"/>
            <w:tcBorders>
              <w:top w:val="single" w:sz="4" w:space="0" w:color="auto"/>
              <w:left w:val="single" w:sz="4" w:space="0" w:color="auto"/>
              <w:bottom w:val="single" w:sz="4" w:space="0" w:color="auto"/>
              <w:right w:val="single" w:sz="4" w:space="0" w:color="auto"/>
            </w:tcBorders>
          </w:tcPr>
          <w:p w14:paraId="5172B6EB" w14:textId="77777777" w:rsidR="00183D72" w:rsidRPr="00020AB7" w:rsidRDefault="00880078">
            <w:pPr>
              <w:spacing w:line="276" w:lineRule="auto"/>
              <w:rPr>
                <w:rFonts w:ascii="Arial" w:hAnsi="Arial" w:cs="Arial"/>
                <w:color w:val="000000"/>
                <w:sz w:val="20"/>
                <w:lang w:val="es-BO"/>
              </w:rPr>
            </w:pPr>
            <w:r w:rsidRPr="00020AB7">
              <w:rPr>
                <w:rFonts w:ascii="Arial" w:hAnsi="Arial" w:cs="Arial"/>
                <w:color w:val="000000"/>
                <w:sz w:val="20"/>
                <w:lang w:val="es-BO"/>
              </w:rPr>
              <w:t>1</w:t>
            </w:r>
          </w:p>
        </w:tc>
        <w:tc>
          <w:tcPr>
            <w:tcW w:w="326" w:type="dxa"/>
            <w:tcBorders>
              <w:top w:val="single" w:sz="4" w:space="0" w:color="auto"/>
              <w:left w:val="single" w:sz="4" w:space="0" w:color="auto"/>
              <w:bottom w:val="single" w:sz="4" w:space="0" w:color="auto"/>
              <w:right w:val="single" w:sz="4" w:space="0" w:color="auto"/>
            </w:tcBorders>
          </w:tcPr>
          <w:p w14:paraId="38E02C4A" w14:textId="77777777" w:rsidR="00183D72" w:rsidRPr="00020AB7" w:rsidRDefault="00880078">
            <w:pPr>
              <w:spacing w:line="276" w:lineRule="auto"/>
              <w:rPr>
                <w:rFonts w:ascii="Arial" w:hAnsi="Arial" w:cs="Arial"/>
                <w:color w:val="000000"/>
                <w:sz w:val="20"/>
                <w:lang w:val="es-BO"/>
              </w:rPr>
            </w:pPr>
            <w:r w:rsidRPr="00020AB7">
              <w:rPr>
                <w:rFonts w:ascii="Arial" w:hAnsi="Arial" w:cs="Arial"/>
                <w:color w:val="000000"/>
                <w:sz w:val="20"/>
                <w:lang w:val="es-BO"/>
              </w:rPr>
              <w:t>2</w:t>
            </w:r>
          </w:p>
        </w:tc>
        <w:tc>
          <w:tcPr>
            <w:tcW w:w="326" w:type="dxa"/>
            <w:tcBorders>
              <w:top w:val="single" w:sz="4" w:space="0" w:color="auto"/>
              <w:left w:val="single" w:sz="4" w:space="0" w:color="auto"/>
              <w:bottom w:val="single" w:sz="4" w:space="0" w:color="auto"/>
              <w:right w:val="single" w:sz="4" w:space="0" w:color="auto"/>
            </w:tcBorders>
          </w:tcPr>
          <w:p w14:paraId="0B0FE156" w14:textId="77777777" w:rsidR="00183D72" w:rsidRPr="00020AB7" w:rsidRDefault="00880078">
            <w:pPr>
              <w:spacing w:line="276" w:lineRule="auto"/>
              <w:rPr>
                <w:rFonts w:ascii="Arial" w:hAnsi="Arial" w:cs="Arial"/>
                <w:color w:val="000000"/>
                <w:sz w:val="20"/>
                <w:lang w:val="es-BO"/>
              </w:rPr>
            </w:pPr>
            <w:r w:rsidRPr="00020AB7">
              <w:rPr>
                <w:rFonts w:ascii="Arial" w:hAnsi="Arial" w:cs="Arial"/>
                <w:color w:val="000000"/>
                <w:sz w:val="20"/>
                <w:lang w:val="es-BO"/>
              </w:rPr>
              <w:t>3</w:t>
            </w:r>
          </w:p>
        </w:tc>
        <w:tc>
          <w:tcPr>
            <w:tcW w:w="326" w:type="dxa"/>
            <w:tcBorders>
              <w:top w:val="single" w:sz="4" w:space="0" w:color="auto"/>
              <w:left w:val="single" w:sz="4" w:space="0" w:color="auto"/>
              <w:bottom w:val="single" w:sz="4" w:space="0" w:color="auto"/>
              <w:right w:val="single" w:sz="4" w:space="0" w:color="auto"/>
            </w:tcBorders>
          </w:tcPr>
          <w:p w14:paraId="7B445A88" w14:textId="77777777" w:rsidR="00183D72" w:rsidRPr="00020AB7" w:rsidRDefault="00880078">
            <w:pPr>
              <w:spacing w:line="276" w:lineRule="auto"/>
              <w:rPr>
                <w:rFonts w:ascii="Arial" w:hAnsi="Arial" w:cs="Arial"/>
                <w:color w:val="000000"/>
                <w:sz w:val="20"/>
                <w:lang w:val="es-BO"/>
              </w:rPr>
            </w:pPr>
            <w:r w:rsidRPr="00020AB7">
              <w:rPr>
                <w:rFonts w:ascii="Arial" w:hAnsi="Arial" w:cs="Arial"/>
                <w:color w:val="000000"/>
                <w:sz w:val="20"/>
                <w:lang w:val="es-BO"/>
              </w:rPr>
              <w:t>4</w:t>
            </w:r>
          </w:p>
        </w:tc>
        <w:tc>
          <w:tcPr>
            <w:tcW w:w="326" w:type="dxa"/>
            <w:tcBorders>
              <w:top w:val="single" w:sz="4" w:space="0" w:color="auto"/>
              <w:left w:val="single" w:sz="4" w:space="0" w:color="auto"/>
              <w:bottom w:val="single" w:sz="4" w:space="0" w:color="auto"/>
              <w:right w:val="single" w:sz="4" w:space="0" w:color="auto"/>
            </w:tcBorders>
          </w:tcPr>
          <w:p w14:paraId="08521FC0" w14:textId="77777777" w:rsidR="00183D72" w:rsidRPr="00020AB7" w:rsidRDefault="00880078">
            <w:pPr>
              <w:spacing w:line="276" w:lineRule="auto"/>
              <w:rPr>
                <w:rFonts w:ascii="Arial" w:hAnsi="Arial" w:cs="Arial"/>
                <w:color w:val="000000"/>
                <w:sz w:val="20"/>
                <w:lang w:val="es-BO"/>
              </w:rPr>
            </w:pPr>
            <w:r w:rsidRPr="00020AB7">
              <w:rPr>
                <w:rFonts w:ascii="Arial" w:hAnsi="Arial" w:cs="Arial"/>
                <w:color w:val="000000"/>
                <w:sz w:val="20"/>
                <w:lang w:val="es-BO"/>
              </w:rPr>
              <w:t>1</w:t>
            </w:r>
          </w:p>
        </w:tc>
        <w:tc>
          <w:tcPr>
            <w:tcW w:w="326" w:type="dxa"/>
            <w:tcBorders>
              <w:top w:val="single" w:sz="4" w:space="0" w:color="auto"/>
              <w:left w:val="single" w:sz="4" w:space="0" w:color="auto"/>
              <w:bottom w:val="single" w:sz="4" w:space="0" w:color="auto"/>
              <w:right w:val="single" w:sz="4" w:space="0" w:color="auto"/>
            </w:tcBorders>
          </w:tcPr>
          <w:p w14:paraId="5198C478" w14:textId="77777777" w:rsidR="00183D72" w:rsidRPr="00020AB7" w:rsidRDefault="00880078">
            <w:pPr>
              <w:spacing w:line="276" w:lineRule="auto"/>
              <w:rPr>
                <w:rFonts w:ascii="Arial" w:hAnsi="Arial" w:cs="Arial"/>
                <w:color w:val="000000"/>
                <w:sz w:val="20"/>
                <w:lang w:val="es-BO"/>
              </w:rPr>
            </w:pPr>
            <w:r w:rsidRPr="00020AB7">
              <w:rPr>
                <w:rFonts w:ascii="Arial" w:hAnsi="Arial" w:cs="Arial"/>
                <w:color w:val="000000"/>
                <w:sz w:val="20"/>
                <w:lang w:val="es-BO"/>
              </w:rPr>
              <w:t>2</w:t>
            </w:r>
          </w:p>
        </w:tc>
        <w:tc>
          <w:tcPr>
            <w:tcW w:w="326" w:type="dxa"/>
            <w:tcBorders>
              <w:top w:val="single" w:sz="4" w:space="0" w:color="auto"/>
              <w:left w:val="single" w:sz="4" w:space="0" w:color="auto"/>
              <w:bottom w:val="single" w:sz="4" w:space="0" w:color="auto"/>
              <w:right w:val="single" w:sz="4" w:space="0" w:color="auto"/>
            </w:tcBorders>
          </w:tcPr>
          <w:p w14:paraId="6CB60084" w14:textId="77777777" w:rsidR="00183D72" w:rsidRPr="00020AB7" w:rsidRDefault="00880078">
            <w:pPr>
              <w:spacing w:line="276" w:lineRule="auto"/>
              <w:rPr>
                <w:rFonts w:ascii="Arial" w:hAnsi="Arial" w:cs="Arial"/>
                <w:color w:val="000000"/>
                <w:sz w:val="20"/>
                <w:lang w:val="es-BO"/>
              </w:rPr>
            </w:pPr>
            <w:r w:rsidRPr="00020AB7">
              <w:rPr>
                <w:rFonts w:ascii="Arial" w:hAnsi="Arial" w:cs="Arial"/>
                <w:color w:val="000000"/>
                <w:sz w:val="20"/>
                <w:lang w:val="es-BO"/>
              </w:rPr>
              <w:t>3</w:t>
            </w:r>
          </w:p>
        </w:tc>
        <w:tc>
          <w:tcPr>
            <w:tcW w:w="326" w:type="dxa"/>
            <w:tcBorders>
              <w:top w:val="single" w:sz="4" w:space="0" w:color="auto"/>
              <w:left w:val="single" w:sz="4" w:space="0" w:color="auto"/>
              <w:bottom w:val="single" w:sz="4" w:space="0" w:color="auto"/>
              <w:right w:val="single" w:sz="4" w:space="0" w:color="auto"/>
            </w:tcBorders>
          </w:tcPr>
          <w:p w14:paraId="1D3EA863" w14:textId="77777777" w:rsidR="00183D72" w:rsidRPr="00020AB7" w:rsidRDefault="00880078">
            <w:pPr>
              <w:spacing w:line="276" w:lineRule="auto"/>
              <w:rPr>
                <w:rFonts w:ascii="Arial" w:hAnsi="Arial" w:cs="Arial"/>
                <w:color w:val="000000"/>
                <w:sz w:val="20"/>
                <w:lang w:val="es-BO"/>
              </w:rPr>
            </w:pPr>
            <w:r w:rsidRPr="00020AB7">
              <w:rPr>
                <w:rFonts w:ascii="Arial" w:hAnsi="Arial" w:cs="Arial"/>
                <w:color w:val="000000"/>
                <w:sz w:val="20"/>
                <w:lang w:val="es-BO"/>
              </w:rPr>
              <w:t>4</w:t>
            </w:r>
          </w:p>
        </w:tc>
        <w:tc>
          <w:tcPr>
            <w:tcW w:w="3611" w:type="dxa"/>
            <w:tcBorders>
              <w:top w:val="single" w:sz="4" w:space="0" w:color="auto"/>
              <w:left w:val="single" w:sz="4" w:space="0" w:color="auto"/>
              <w:bottom w:val="single" w:sz="4" w:space="0" w:color="auto"/>
              <w:right w:val="single" w:sz="4" w:space="0" w:color="auto"/>
            </w:tcBorders>
            <w:vAlign w:val="center"/>
          </w:tcPr>
          <w:p w14:paraId="07CEAF1E" w14:textId="77777777" w:rsidR="00183D72" w:rsidRPr="00020AB7" w:rsidRDefault="00183D72">
            <w:pPr>
              <w:spacing w:line="276" w:lineRule="auto"/>
              <w:rPr>
                <w:rFonts w:ascii="Arial" w:hAnsi="Arial" w:cs="Arial"/>
                <w:color w:val="000000"/>
                <w:sz w:val="20"/>
                <w:lang w:val="es-BO"/>
              </w:rPr>
            </w:pPr>
          </w:p>
        </w:tc>
        <w:tc>
          <w:tcPr>
            <w:tcW w:w="2480" w:type="dxa"/>
            <w:tcBorders>
              <w:top w:val="single" w:sz="4" w:space="0" w:color="auto"/>
              <w:left w:val="single" w:sz="4" w:space="0" w:color="auto"/>
              <w:bottom w:val="single" w:sz="4" w:space="0" w:color="auto"/>
              <w:right w:val="single" w:sz="4" w:space="0" w:color="auto"/>
            </w:tcBorders>
            <w:vAlign w:val="center"/>
          </w:tcPr>
          <w:p w14:paraId="1F20BA83" w14:textId="77777777" w:rsidR="00183D72" w:rsidRPr="00020AB7" w:rsidRDefault="00183D72">
            <w:pPr>
              <w:spacing w:line="276" w:lineRule="auto"/>
              <w:rPr>
                <w:rFonts w:ascii="Arial" w:hAnsi="Arial" w:cs="Arial"/>
                <w:color w:val="000000"/>
                <w:sz w:val="20"/>
                <w:lang w:val="es-BO"/>
              </w:rPr>
            </w:pPr>
          </w:p>
        </w:tc>
        <w:tc>
          <w:tcPr>
            <w:tcW w:w="2240" w:type="dxa"/>
            <w:tcBorders>
              <w:top w:val="single" w:sz="4" w:space="0" w:color="auto"/>
              <w:left w:val="single" w:sz="4" w:space="0" w:color="auto"/>
              <w:bottom w:val="single" w:sz="4" w:space="0" w:color="auto"/>
              <w:right w:val="single" w:sz="4" w:space="0" w:color="auto"/>
            </w:tcBorders>
            <w:vAlign w:val="center"/>
          </w:tcPr>
          <w:p w14:paraId="459FF84D" w14:textId="77777777" w:rsidR="00183D72" w:rsidRPr="00020AB7" w:rsidRDefault="00183D72">
            <w:pPr>
              <w:spacing w:line="276" w:lineRule="auto"/>
              <w:rPr>
                <w:rFonts w:ascii="Arial" w:hAnsi="Arial" w:cs="Arial"/>
                <w:color w:val="000000"/>
                <w:sz w:val="20"/>
                <w:lang w:val="es-BO"/>
              </w:rPr>
            </w:pPr>
          </w:p>
        </w:tc>
      </w:tr>
      <w:tr w:rsidR="002C39EE" w:rsidRPr="00020AB7" w14:paraId="72BEC773" w14:textId="77777777" w:rsidTr="00A53A21">
        <w:trPr>
          <w:trHeight w:val="332"/>
          <w:jc w:val="center"/>
        </w:trPr>
        <w:tc>
          <w:tcPr>
            <w:tcW w:w="1887" w:type="dxa"/>
            <w:tcBorders>
              <w:top w:val="single" w:sz="4" w:space="0" w:color="auto"/>
              <w:left w:val="single" w:sz="4" w:space="0" w:color="auto"/>
              <w:bottom w:val="single" w:sz="4" w:space="0" w:color="auto"/>
              <w:right w:val="single" w:sz="4" w:space="0" w:color="auto"/>
            </w:tcBorders>
            <w:vAlign w:val="center"/>
            <w:hideMark/>
          </w:tcPr>
          <w:p w14:paraId="5BEAA913" w14:textId="77777777" w:rsidR="002C39EE" w:rsidRPr="00020AB7" w:rsidRDefault="002C39EE">
            <w:pPr>
              <w:spacing w:line="276" w:lineRule="auto"/>
              <w:jc w:val="both"/>
              <w:rPr>
                <w:rFonts w:ascii="Arial" w:hAnsi="Arial" w:cs="Arial"/>
                <w:color w:val="000000"/>
                <w:sz w:val="20"/>
                <w:lang w:val="es-BO"/>
              </w:rPr>
            </w:pPr>
            <w:r w:rsidRPr="00020AB7">
              <w:rPr>
                <w:rFonts w:ascii="Arial" w:hAnsi="Arial" w:eastAsia="Batang" w:cs="Arial"/>
                <w:color w:val="000000"/>
                <w:sz w:val="20"/>
                <w:lang w:val="es-BO"/>
              </w:rPr>
              <w:t>Preparación Plan Operativo Anual</w:t>
            </w:r>
          </w:p>
        </w:tc>
        <w:tc>
          <w:tcPr>
            <w:tcW w:w="326" w:type="dxa"/>
            <w:tcBorders>
              <w:top w:val="nil"/>
              <w:left w:val="nil"/>
              <w:bottom w:val="single" w:sz="4" w:space="0" w:color="auto"/>
              <w:right w:val="single" w:sz="4" w:space="0" w:color="auto"/>
            </w:tcBorders>
            <w:shd w:val="clear" w:color="auto" w:fill="A6A6A6"/>
            <w:vAlign w:val="center"/>
            <w:hideMark/>
          </w:tcPr>
          <w:p w14:paraId="54651591"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44F94972"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2A83783A"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10A80C6F"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19F1BD1E"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69F0E39D"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5958F552"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44C82B39"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4E2EFAC7"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7B5792A9"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69A24C96" w14:textId="77777777" w:rsidR="002C39EE" w:rsidRPr="00020AB7" w:rsidRDefault="002C39EE">
            <w:pPr>
              <w:spacing w:line="276" w:lineRule="auto"/>
              <w:rPr>
                <w:rFonts w:ascii="Arial" w:hAnsi="Arial" w:cs="Arial"/>
                <w:color w:val="000000"/>
                <w:sz w:val="20"/>
                <w:lang w:val="es-BO"/>
              </w:rPr>
            </w:pPr>
            <w:r w:rsidRPr="00020AB7">
              <w:rPr>
                <w:rFonts w:ascii="Arial" w:hAnsi="Arial"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1261059D"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2F2119D3"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23E87990"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288C4ED9"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29B9A3E4"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51D11920" w14:textId="77777777" w:rsidR="002C39EE" w:rsidRPr="00020AB7" w:rsidRDefault="002C39EE">
            <w:pPr>
              <w:spacing w:line="276" w:lineRule="auto"/>
              <w:jc w:val="center"/>
              <w:rPr>
                <w:rFonts w:ascii="Arial" w:hAnsi="Arial" w:cs="Arial"/>
                <w:color w:val="000000"/>
                <w:sz w:val="20"/>
                <w:lang w:val="es-BO"/>
              </w:rPr>
            </w:pPr>
          </w:p>
        </w:tc>
        <w:tc>
          <w:tcPr>
            <w:tcW w:w="326" w:type="dxa"/>
            <w:tcBorders>
              <w:top w:val="single" w:sz="4" w:space="0" w:color="auto"/>
              <w:left w:val="single" w:sz="4" w:space="0" w:color="auto"/>
              <w:bottom w:val="single" w:sz="4" w:space="0" w:color="auto"/>
              <w:right w:val="single" w:sz="4" w:space="0" w:color="auto"/>
            </w:tcBorders>
            <w:vAlign w:val="center"/>
          </w:tcPr>
          <w:p w14:paraId="5DBDBC69"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52F1F58A"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27659077"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E63FD31"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5CF54A71"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4935C4D1"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2ECC51C1"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611" w:type="dxa"/>
            <w:tcBorders>
              <w:top w:val="nil"/>
              <w:left w:val="nil"/>
              <w:bottom w:val="single" w:sz="4" w:space="0" w:color="auto"/>
              <w:right w:val="single" w:sz="4" w:space="0" w:color="auto"/>
            </w:tcBorders>
            <w:vAlign w:val="center"/>
            <w:hideMark/>
          </w:tcPr>
          <w:p w14:paraId="6F692C0E" w14:textId="0D6D3291" w:rsidR="002C39EE" w:rsidRPr="00020AB7" w:rsidRDefault="002C39EE">
            <w:pPr>
              <w:spacing w:line="276" w:lineRule="auto"/>
              <w:jc w:val="center"/>
              <w:rPr>
                <w:rFonts w:ascii="Arial" w:hAnsi="Arial" w:cs="Arial"/>
                <w:color w:val="000000"/>
                <w:sz w:val="20"/>
                <w:lang w:val="es-BO"/>
              </w:rPr>
            </w:pPr>
            <w:r w:rsidRPr="00020AB7">
              <w:rPr>
                <w:rFonts w:ascii="Arial" w:hAnsi="Arial" w:cs="Arial"/>
                <w:color w:val="000000"/>
                <w:sz w:val="20"/>
                <w:lang w:val="es-BO"/>
              </w:rPr>
              <w:t>UEP, ENDE</w:t>
            </w:r>
            <w:r w:rsidR="00611FAD" w:rsidRPr="00020AB7">
              <w:rPr>
                <w:rFonts w:ascii="Arial" w:hAnsi="Arial" w:cs="Arial"/>
                <w:color w:val="000000"/>
                <w:sz w:val="20"/>
                <w:lang w:val="es-BO"/>
              </w:rPr>
              <w:t xml:space="preserve"> y PEVD</w:t>
            </w:r>
          </w:p>
        </w:tc>
        <w:tc>
          <w:tcPr>
            <w:tcW w:w="2480" w:type="dxa"/>
            <w:tcBorders>
              <w:top w:val="nil"/>
              <w:left w:val="nil"/>
              <w:bottom w:val="single" w:sz="4" w:space="0" w:color="auto"/>
              <w:right w:val="single" w:sz="4" w:space="0" w:color="auto"/>
            </w:tcBorders>
            <w:vAlign w:val="center"/>
            <w:hideMark/>
          </w:tcPr>
          <w:p w14:paraId="30CC1836" w14:textId="77777777" w:rsidR="002C39EE" w:rsidRPr="00020AB7" w:rsidRDefault="008C2BCB" w:rsidP="008C2BCB">
            <w:pPr>
              <w:spacing w:line="276" w:lineRule="auto"/>
              <w:rPr>
                <w:rFonts w:ascii="Arial" w:hAnsi="Arial" w:cs="Arial"/>
                <w:color w:val="000000"/>
                <w:sz w:val="20"/>
                <w:lang w:val="es-BO"/>
              </w:rPr>
            </w:pPr>
            <w:r w:rsidRPr="00020AB7">
              <w:rPr>
                <w:rFonts w:ascii="Arial" w:hAnsi="Arial" w:cs="Arial"/>
                <w:color w:val="000000"/>
                <w:sz w:val="20"/>
                <w:lang w:val="es-BO"/>
              </w:rPr>
              <w:t>15</w:t>
            </w:r>
            <w:r w:rsidR="002C39EE" w:rsidRPr="00020AB7">
              <w:rPr>
                <w:rFonts w:ascii="Arial" w:hAnsi="Arial" w:cs="Arial"/>
                <w:color w:val="000000"/>
                <w:sz w:val="20"/>
                <w:lang w:val="es-BO"/>
              </w:rPr>
              <w:t xml:space="preserve"> días/año x </w:t>
            </w:r>
            <w:r w:rsidR="00F67E81" w:rsidRPr="00020AB7">
              <w:rPr>
                <w:rFonts w:ascii="Arial" w:hAnsi="Arial" w:cs="Arial"/>
                <w:color w:val="000000"/>
                <w:sz w:val="20"/>
                <w:lang w:val="es-BO"/>
              </w:rPr>
              <w:t>5</w:t>
            </w:r>
            <w:r w:rsidR="002C39EE" w:rsidRPr="00020AB7">
              <w:rPr>
                <w:rFonts w:ascii="Arial" w:hAnsi="Arial" w:cs="Arial"/>
                <w:color w:val="000000"/>
                <w:sz w:val="20"/>
                <w:lang w:val="es-BO"/>
              </w:rPr>
              <w:t xml:space="preserve"> </w:t>
            </w:r>
            <w:proofErr w:type="gramStart"/>
            <w:r w:rsidR="002C39EE" w:rsidRPr="00020AB7">
              <w:rPr>
                <w:rFonts w:ascii="Arial" w:hAnsi="Arial" w:cs="Arial"/>
                <w:color w:val="000000"/>
                <w:sz w:val="20"/>
                <w:lang w:val="es-BO"/>
              </w:rPr>
              <w:t>persona  x</w:t>
            </w:r>
            <w:proofErr w:type="gramEnd"/>
            <w:r w:rsidR="002C39EE" w:rsidRPr="00020AB7">
              <w:rPr>
                <w:rFonts w:ascii="Arial" w:hAnsi="Arial" w:cs="Arial"/>
                <w:color w:val="000000"/>
                <w:sz w:val="20"/>
                <w:lang w:val="es-BO"/>
              </w:rPr>
              <w:t xml:space="preserve"> </w:t>
            </w:r>
            <w:r w:rsidR="00367227" w:rsidRPr="00020AB7">
              <w:rPr>
                <w:rFonts w:ascii="Arial" w:hAnsi="Arial" w:cs="Arial"/>
                <w:color w:val="000000"/>
                <w:sz w:val="20"/>
                <w:lang w:val="es-BO"/>
              </w:rPr>
              <w:t>6</w:t>
            </w:r>
            <w:r w:rsidR="002C39EE" w:rsidRPr="00020AB7">
              <w:rPr>
                <w:rFonts w:ascii="Arial" w:hAnsi="Arial" w:cs="Arial"/>
                <w:color w:val="000000"/>
                <w:sz w:val="20"/>
                <w:lang w:val="es-BO"/>
              </w:rPr>
              <w:t xml:space="preserve"> años  x US$150 =US$ </w:t>
            </w:r>
            <w:r w:rsidRPr="00020AB7">
              <w:rPr>
                <w:rFonts w:ascii="Arial" w:hAnsi="Arial" w:cs="Arial"/>
                <w:color w:val="000000"/>
                <w:sz w:val="20"/>
                <w:lang w:val="es-BO"/>
              </w:rPr>
              <w:t>67</w:t>
            </w:r>
            <w:r w:rsidR="002C39EE" w:rsidRPr="00020AB7">
              <w:rPr>
                <w:rFonts w:ascii="Arial" w:hAnsi="Arial" w:cs="Arial"/>
                <w:color w:val="000000"/>
                <w:sz w:val="20"/>
                <w:lang w:val="es-BO"/>
              </w:rPr>
              <w:t>.000</w:t>
            </w:r>
          </w:p>
        </w:tc>
        <w:tc>
          <w:tcPr>
            <w:tcW w:w="2240" w:type="dxa"/>
            <w:tcBorders>
              <w:top w:val="nil"/>
              <w:left w:val="nil"/>
              <w:bottom w:val="single" w:sz="4" w:space="0" w:color="auto"/>
              <w:right w:val="single" w:sz="4" w:space="0" w:color="auto"/>
            </w:tcBorders>
            <w:vAlign w:val="center"/>
            <w:hideMark/>
          </w:tcPr>
          <w:p w14:paraId="20C9A4AA" w14:textId="77777777" w:rsidR="002C39EE" w:rsidRPr="00020AB7" w:rsidRDefault="002C39EE" w:rsidP="00413345">
            <w:pPr>
              <w:spacing w:line="276" w:lineRule="auto"/>
              <w:jc w:val="center"/>
              <w:rPr>
                <w:rFonts w:ascii="Arial" w:hAnsi="Arial" w:cs="Arial"/>
                <w:color w:val="000000"/>
                <w:sz w:val="20"/>
                <w:lang w:val="es-BO"/>
              </w:rPr>
            </w:pPr>
            <w:r w:rsidRPr="00020AB7">
              <w:rPr>
                <w:rFonts w:ascii="Arial" w:hAnsi="Arial" w:cs="Arial"/>
                <w:color w:val="000000"/>
                <w:sz w:val="20"/>
                <w:lang w:val="es-BO"/>
              </w:rPr>
              <w:t>Componente Administración del Programa</w:t>
            </w:r>
          </w:p>
        </w:tc>
      </w:tr>
      <w:tr w:rsidR="002C39EE" w:rsidRPr="00020AB7" w14:paraId="20E97B21" w14:textId="77777777" w:rsidTr="00F67E81">
        <w:trPr>
          <w:trHeight w:val="675"/>
          <w:jc w:val="center"/>
        </w:trPr>
        <w:tc>
          <w:tcPr>
            <w:tcW w:w="1887" w:type="dxa"/>
            <w:tcBorders>
              <w:top w:val="single" w:sz="4" w:space="0" w:color="auto"/>
              <w:left w:val="single" w:sz="4" w:space="0" w:color="auto"/>
              <w:bottom w:val="single" w:sz="4" w:space="0" w:color="auto"/>
              <w:right w:val="single" w:sz="4" w:space="0" w:color="auto"/>
            </w:tcBorders>
            <w:vAlign w:val="center"/>
            <w:hideMark/>
          </w:tcPr>
          <w:p w14:paraId="1BF681BD" w14:textId="77777777" w:rsidR="002C39EE" w:rsidRPr="00020AB7" w:rsidRDefault="002C39EE">
            <w:pPr>
              <w:spacing w:line="276" w:lineRule="auto"/>
              <w:jc w:val="both"/>
              <w:rPr>
                <w:rFonts w:ascii="Arial" w:hAnsi="Arial" w:cs="Arial"/>
                <w:color w:val="000000"/>
                <w:sz w:val="20"/>
                <w:lang w:val="es-BO"/>
              </w:rPr>
            </w:pPr>
            <w:r w:rsidRPr="00020AB7">
              <w:rPr>
                <w:rFonts w:ascii="Arial" w:hAnsi="Arial" w:eastAsia="Batang" w:cs="Arial"/>
                <w:color w:val="000000"/>
                <w:sz w:val="20"/>
                <w:lang w:val="es-BO"/>
              </w:rPr>
              <w:t>Preparación Plan de Adquisiciones</w:t>
            </w:r>
          </w:p>
        </w:tc>
        <w:tc>
          <w:tcPr>
            <w:tcW w:w="326" w:type="dxa"/>
            <w:tcBorders>
              <w:top w:val="nil"/>
              <w:left w:val="nil"/>
              <w:bottom w:val="single" w:sz="4" w:space="0" w:color="auto"/>
              <w:right w:val="single" w:sz="4" w:space="0" w:color="auto"/>
            </w:tcBorders>
            <w:shd w:val="clear" w:color="auto" w:fill="A6A6A6"/>
            <w:vAlign w:val="center"/>
            <w:hideMark/>
          </w:tcPr>
          <w:p w14:paraId="5ADBE5FB"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4112C279"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07BB7234"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3D18EAFD"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7FFBCB4A"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79B2DED9"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5E1C2C88"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79E5476D"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6BF2219F"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4300C8DF"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1026F373" w14:textId="77777777" w:rsidR="002C39EE" w:rsidRPr="00020AB7" w:rsidRDefault="002C39EE">
            <w:pPr>
              <w:spacing w:line="276" w:lineRule="auto"/>
              <w:rPr>
                <w:rFonts w:ascii="Arial" w:hAnsi="Arial" w:cs="Arial"/>
                <w:color w:val="000000"/>
                <w:sz w:val="20"/>
                <w:lang w:val="es-BO"/>
              </w:rPr>
            </w:pPr>
            <w:r w:rsidRPr="00020AB7">
              <w:rPr>
                <w:rFonts w:ascii="Arial" w:hAnsi="Arial"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41562D7D"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221BDC6B"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21E3BDB4"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38F16B26"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vAlign w:val="center"/>
            <w:hideMark/>
          </w:tcPr>
          <w:p w14:paraId="20A85298"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74755720"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549C5285"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0C16A7BD"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5C2DB4F5"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083F6CA"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419F90C7"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218203A1"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13D1E918"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611" w:type="dxa"/>
            <w:tcBorders>
              <w:top w:val="nil"/>
              <w:left w:val="nil"/>
              <w:bottom w:val="single" w:sz="4" w:space="0" w:color="auto"/>
              <w:right w:val="single" w:sz="4" w:space="0" w:color="auto"/>
            </w:tcBorders>
            <w:vAlign w:val="center"/>
            <w:hideMark/>
          </w:tcPr>
          <w:p w14:paraId="76E7FAA2" w14:textId="7AA7AB8D" w:rsidR="002C39EE" w:rsidRPr="00020AB7" w:rsidRDefault="00611FAD">
            <w:pPr>
              <w:spacing w:line="276" w:lineRule="auto"/>
              <w:jc w:val="center"/>
              <w:rPr>
                <w:rFonts w:ascii="Arial" w:hAnsi="Arial" w:cs="Arial"/>
                <w:color w:val="000000"/>
                <w:sz w:val="20"/>
                <w:lang w:val="es-BO"/>
              </w:rPr>
            </w:pPr>
            <w:r w:rsidRPr="00020AB7">
              <w:rPr>
                <w:rFonts w:ascii="Arial" w:hAnsi="Arial" w:cs="Arial"/>
                <w:color w:val="000000"/>
                <w:sz w:val="20"/>
                <w:lang w:val="es-BO"/>
              </w:rPr>
              <w:t>UEP, ENDE y PEVD</w:t>
            </w:r>
          </w:p>
        </w:tc>
        <w:tc>
          <w:tcPr>
            <w:tcW w:w="2480" w:type="dxa"/>
            <w:tcBorders>
              <w:top w:val="nil"/>
              <w:left w:val="nil"/>
              <w:bottom w:val="single" w:sz="4" w:space="0" w:color="auto"/>
              <w:right w:val="single" w:sz="4" w:space="0" w:color="auto"/>
            </w:tcBorders>
            <w:vAlign w:val="center"/>
            <w:hideMark/>
          </w:tcPr>
          <w:p w14:paraId="3C870C8B" w14:textId="77777777" w:rsidR="002C39EE" w:rsidRPr="00020AB7" w:rsidRDefault="008C2BCB" w:rsidP="008C2BCB">
            <w:pPr>
              <w:spacing w:line="276" w:lineRule="auto"/>
              <w:rPr>
                <w:rFonts w:ascii="Arial" w:hAnsi="Arial" w:cs="Arial"/>
                <w:color w:val="000000"/>
                <w:sz w:val="20"/>
                <w:lang w:val="es-BO"/>
              </w:rPr>
            </w:pPr>
            <w:r w:rsidRPr="00020AB7">
              <w:rPr>
                <w:rFonts w:ascii="Arial" w:hAnsi="Arial" w:cs="Arial"/>
                <w:color w:val="000000"/>
                <w:sz w:val="20"/>
                <w:lang w:val="es-BO"/>
              </w:rPr>
              <w:t>15</w:t>
            </w:r>
            <w:r w:rsidR="002C39EE" w:rsidRPr="00020AB7">
              <w:rPr>
                <w:rFonts w:ascii="Arial" w:hAnsi="Arial" w:cs="Arial"/>
                <w:color w:val="000000"/>
                <w:sz w:val="20"/>
                <w:lang w:val="es-BO"/>
              </w:rPr>
              <w:t xml:space="preserve"> días/año x </w:t>
            </w:r>
            <w:r w:rsidR="00F67E81" w:rsidRPr="00020AB7">
              <w:rPr>
                <w:rFonts w:ascii="Arial" w:hAnsi="Arial" w:cs="Arial"/>
                <w:color w:val="000000"/>
                <w:sz w:val="20"/>
                <w:lang w:val="es-BO"/>
              </w:rPr>
              <w:t>5</w:t>
            </w:r>
            <w:r w:rsidR="002C39EE" w:rsidRPr="00020AB7">
              <w:rPr>
                <w:rFonts w:ascii="Arial" w:hAnsi="Arial" w:cs="Arial"/>
                <w:color w:val="000000"/>
                <w:sz w:val="20"/>
                <w:lang w:val="es-BO"/>
              </w:rPr>
              <w:t xml:space="preserve"> </w:t>
            </w:r>
            <w:proofErr w:type="gramStart"/>
            <w:r w:rsidR="002C39EE" w:rsidRPr="00020AB7">
              <w:rPr>
                <w:rFonts w:ascii="Arial" w:hAnsi="Arial" w:cs="Arial"/>
                <w:color w:val="000000"/>
                <w:sz w:val="20"/>
                <w:lang w:val="es-BO"/>
              </w:rPr>
              <w:t>persona  x</w:t>
            </w:r>
            <w:proofErr w:type="gramEnd"/>
            <w:r w:rsidR="002C39EE" w:rsidRPr="00020AB7">
              <w:rPr>
                <w:rFonts w:ascii="Arial" w:hAnsi="Arial" w:cs="Arial"/>
                <w:color w:val="000000"/>
                <w:sz w:val="20"/>
                <w:lang w:val="es-BO"/>
              </w:rPr>
              <w:t xml:space="preserve"> </w:t>
            </w:r>
            <w:r w:rsidR="00367227" w:rsidRPr="00020AB7">
              <w:rPr>
                <w:rFonts w:ascii="Arial" w:hAnsi="Arial" w:cs="Arial"/>
                <w:color w:val="000000"/>
                <w:sz w:val="20"/>
                <w:lang w:val="es-BO"/>
              </w:rPr>
              <w:t>6</w:t>
            </w:r>
            <w:r w:rsidR="002C39EE" w:rsidRPr="00020AB7">
              <w:rPr>
                <w:rFonts w:ascii="Arial" w:hAnsi="Arial" w:cs="Arial"/>
                <w:color w:val="000000"/>
                <w:sz w:val="20"/>
                <w:lang w:val="es-BO"/>
              </w:rPr>
              <w:t xml:space="preserve"> años  x US$250 =US$ </w:t>
            </w:r>
            <w:r w:rsidRPr="00020AB7">
              <w:rPr>
                <w:rFonts w:ascii="Arial" w:hAnsi="Arial" w:cs="Arial"/>
                <w:color w:val="000000"/>
                <w:sz w:val="20"/>
                <w:lang w:val="es-BO"/>
              </w:rPr>
              <w:t>112</w:t>
            </w:r>
            <w:r w:rsidR="002C39EE" w:rsidRPr="00020AB7">
              <w:rPr>
                <w:rFonts w:ascii="Arial" w:hAnsi="Arial" w:cs="Arial"/>
                <w:color w:val="000000"/>
                <w:sz w:val="20"/>
                <w:lang w:val="es-BO"/>
              </w:rPr>
              <w:t>.</w:t>
            </w:r>
            <w:r w:rsidRPr="00020AB7">
              <w:rPr>
                <w:rFonts w:ascii="Arial" w:hAnsi="Arial" w:cs="Arial"/>
                <w:color w:val="000000"/>
                <w:sz w:val="20"/>
                <w:lang w:val="es-BO"/>
              </w:rPr>
              <w:t>5</w:t>
            </w:r>
            <w:r w:rsidR="002C39EE" w:rsidRPr="00020AB7">
              <w:rPr>
                <w:rFonts w:ascii="Arial" w:hAnsi="Arial" w:cs="Arial"/>
                <w:color w:val="000000"/>
                <w:sz w:val="20"/>
                <w:lang w:val="es-BO"/>
              </w:rPr>
              <w:t>00</w:t>
            </w:r>
          </w:p>
        </w:tc>
        <w:tc>
          <w:tcPr>
            <w:tcW w:w="2240" w:type="dxa"/>
            <w:tcBorders>
              <w:top w:val="nil"/>
              <w:left w:val="nil"/>
              <w:bottom w:val="single" w:sz="4" w:space="0" w:color="auto"/>
              <w:right w:val="single" w:sz="4" w:space="0" w:color="auto"/>
            </w:tcBorders>
            <w:vAlign w:val="center"/>
            <w:hideMark/>
          </w:tcPr>
          <w:p w14:paraId="23F8F55B" w14:textId="77777777" w:rsidR="002C39EE" w:rsidRPr="00020AB7" w:rsidRDefault="002C39EE" w:rsidP="00413345">
            <w:pPr>
              <w:spacing w:line="276" w:lineRule="auto"/>
              <w:jc w:val="center"/>
              <w:rPr>
                <w:rFonts w:ascii="Arial" w:hAnsi="Arial" w:cs="Arial"/>
                <w:color w:val="000000"/>
                <w:sz w:val="20"/>
                <w:lang w:val="es-BO"/>
              </w:rPr>
            </w:pPr>
            <w:r w:rsidRPr="00020AB7">
              <w:rPr>
                <w:rFonts w:ascii="Arial" w:hAnsi="Arial" w:cs="Arial"/>
                <w:color w:val="000000"/>
                <w:sz w:val="20"/>
                <w:lang w:val="es-BO"/>
              </w:rPr>
              <w:t>Componente Administración del Programa</w:t>
            </w:r>
          </w:p>
        </w:tc>
      </w:tr>
      <w:tr w:rsidR="002C39EE" w:rsidRPr="00020AB7" w14:paraId="2382B32D" w14:textId="77777777" w:rsidTr="002C39EE">
        <w:trPr>
          <w:trHeight w:val="675"/>
          <w:jc w:val="center"/>
        </w:trPr>
        <w:tc>
          <w:tcPr>
            <w:tcW w:w="1887" w:type="dxa"/>
            <w:tcBorders>
              <w:top w:val="single" w:sz="4" w:space="0" w:color="auto"/>
              <w:left w:val="single" w:sz="4" w:space="0" w:color="auto"/>
              <w:bottom w:val="single" w:sz="4" w:space="0" w:color="auto"/>
              <w:right w:val="single" w:sz="4" w:space="0" w:color="auto"/>
            </w:tcBorders>
            <w:vAlign w:val="center"/>
            <w:hideMark/>
          </w:tcPr>
          <w:p w14:paraId="38255703" w14:textId="77777777" w:rsidR="002C39EE" w:rsidRPr="00020AB7" w:rsidRDefault="002C39EE">
            <w:pPr>
              <w:spacing w:line="276" w:lineRule="auto"/>
              <w:jc w:val="both"/>
              <w:rPr>
                <w:rFonts w:ascii="Arial" w:hAnsi="Arial" w:cs="Arial"/>
                <w:color w:val="000000"/>
                <w:sz w:val="20"/>
                <w:lang w:val="es-BO"/>
              </w:rPr>
            </w:pPr>
            <w:r w:rsidRPr="00020AB7">
              <w:rPr>
                <w:rFonts w:ascii="Arial" w:hAnsi="Arial" w:eastAsia="Batang" w:cs="Arial"/>
                <w:color w:val="000000"/>
                <w:sz w:val="20"/>
                <w:lang w:val="es-BO"/>
              </w:rPr>
              <w:t>Visitas de Campo y preparación de Informes de Supervisión de Obras</w:t>
            </w:r>
          </w:p>
        </w:tc>
        <w:tc>
          <w:tcPr>
            <w:tcW w:w="326" w:type="dxa"/>
            <w:tcBorders>
              <w:top w:val="nil"/>
              <w:left w:val="nil"/>
              <w:bottom w:val="single" w:sz="4" w:space="0" w:color="auto"/>
              <w:right w:val="single" w:sz="4" w:space="0" w:color="auto"/>
            </w:tcBorders>
            <w:shd w:val="clear" w:color="auto" w:fill="A6A6A6"/>
            <w:vAlign w:val="center"/>
            <w:hideMark/>
          </w:tcPr>
          <w:p w14:paraId="0B87E682"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77A2C996"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3B1C80D2"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4F86BF8C"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7F6F2DBB"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673A50E6"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433E6C09"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4CC35F00"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7E2052A5"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390F875E"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23C8EBB4"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6E0727F6"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239504D3"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26E6E141"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025C42D9"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287D3635" w14:textId="77777777" w:rsidR="002C39EE" w:rsidRPr="00020AB7" w:rsidRDefault="002C39EE">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66954BA5"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883F939"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9FCB1FC"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E44E5D0"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4315187"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3117059"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F0FEB09"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0B896E8" w14:textId="77777777" w:rsidR="002C39EE" w:rsidRPr="00020AB7" w:rsidRDefault="002C39EE">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611" w:type="dxa"/>
            <w:tcBorders>
              <w:top w:val="nil"/>
              <w:left w:val="nil"/>
              <w:bottom w:val="single" w:sz="4" w:space="0" w:color="auto"/>
              <w:right w:val="single" w:sz="4" w:space="0" w:color="auto"/>
            </w:tcBorders>
            <w:vAlign w:val="center"/>
            <w:hideMark/>
          </w:tcPr>
          <w:p w14:paraId="14820592" w14:textId="5C992830" w:rsidR="002C39EE" w:rsidRPr="00020AB7" w:rsidRDefault="00611FAD">
            <w:pPr>
              <w:spacing w:line="276" w:lineRule="auto"/>
              <w:jc w:val="center"/>
              <w:rPr>
                <w:rFonts w:ascii="Arial" w:hAnsi="Arial" w:cs="Arial"/>
                <w:color w:val="000000"/>
                <w:sz w:val="20"/>
                <w:lang w:val="es-BO"/>
              </w:rPr>
            </w:pPr>
            <w:r w:rsidRPr="00020AB7">
              <w:rPr>
                <w:rFonts w:ascii="Arial" w:hAnsi="Arial" w:cs="Arial"/>
                <w:color w:val="000000"/>
                <w:sz w:val="20"/>
                <w:lang w:val="es-BO"/>
              </w:rPr>
              <w:t>UEP, ENDE y PEVD</w:t>
            </w:r>
          </w:p>
        </w:tc>
        <w:tc>
          <w:tcPr>
            <w:tcW w:w="2480" w:type="dxa"/>
            <w:tcBorders>
              <w:top w:val="nil"/>
              <w:left w:val="nil"/>
              <w:bottom w:val="single" w:sz="4" w:space="0" w:color="auto"/>
              <w:right w:val="single" w:sz="4" w:space="0" w:color="auto"/>
            </w:tcBorders>
            <w:vAlign w:val="center"/>
            <w:hideMark/>
          </w:tcPr>
          <w:p w14:paraId="5B1C69DC" w14:textId="77777777" w:rsidR="002C39EE" w:rsidRPr="00020AB7" w:rsidRDefault="008C2BCB" w:rsidP="008C2BCB">
            <w:pPr>
              <w:spacing w:line="276" w:lineRule="auto"/>
              <w:rPr>
                <w:rFonts w:ascii="Arial" w:hAnsi="Arial" w:cs="Arial"/>
                <w:color w:val="000000"/>
                <w:sz w:val="20"/>
                <w:lang w:val="es-BO"/>
              </w:rPr>
            </w:pPr>
            <w:r w:rsidRPr="00020AB7">
              <w:rPr>
                <w:rFonts w:ascii="Arial" w:hAnsi="Arial" w:cs="Arial"/>
                <w:color w:val="000000"/>
                <w:sz w:val="20"/>
                <w:lang w:val="es-BO"/>
              </w:rPr>
              <w:t>20</w:t>
            </w:r>
            <w:r w:rsidR="002C39EE" w:rsidRPr="00020AB7">
              <w:rPr>
                <w:rFonts w:ascii="Arial" w:hAnsi="Arial" w:cs="Arial"/>
                <w:color w:val="000000"/>
                <w:sz w:val="20"/>
                <w:lang w:val="es-BO"/>
              </w:rPr>
              <w:t xml:space="preserve">0 días/año x </w:t>
            </w:r>
            <w:r w:rsidR="00367227" w:rsidRPr="00020AB7">
              <w:rPr>
                <w:rFonts w:ascii="Arial" w:hAnsi="Arial" w:cs="Arial"/>
                <w:color w:val="000000"/>
                <w:sz w:val="20"/>
                <w:lang w:val="es-BO"/>
              </w:rPr>
              <w:t>4</w:t>
            </w:r>
            <w:r w:rsidR="002C39EE" w:rsidRPr="00020AB7">
              <w:rPr>
                <w:rFonts w:ascii="Arial" w:hAnsi="Arial" w:cs="Arial"/>
                <w:color w:val="000000"/>
                <w:sz w:val="20"/>
                <w:lang w:val="es-BO"/>
              </w:rPr>
              <w:t xml:space="preserve"> personas x </w:t>
            </w:r>
            <w:r w:rsidR="00367227" w:rsidRPr="00020AB7">
              <w:rPr>
                <w:rFonts w:ascii="Arial" w:hAnsi="Arial" w:cs="Arial"/>
                <w:color w:val="000000"/>
                <w:sz w:val="20"/>
                <w:lang w:val="es-BO"/>
              </w:rPr>
              <w:t>6</w:t>
            </w:r>
            <w:r w:rsidR="002C39EE" w:rsidRPr="00020AB7">
              <w:rPr>
                <w:rFonts w:ascii="Arial" w:hAnsi="Arial" w:cs="Arial"/>
                <w:color w:val="000000"/>
                <w:sz w:val="20"/>
                <w:lang w:val="es-BO"/>
              </w:rPr>
              <w:t xml:space="preserve"> años x US$</w:t>
            </w:r>
            <w:r w:rsidR="00367227" w:rsidRPr="00020AB7">
              <w:rPr>
                <w:rFonts w:ascii="Arial" w:hAnsi="Arial" w:cs="Arial"/>
                <w:color w:val="000000"/>
                <w:sz w:val="20"/>
                <w:lang w:val="es-BO"/>
              </w:rPr>
              <w:t>10</w:t>
            </w:r>
            <w:r w:rsidR="002C39EE" w:rsidRPr="00020AB7">
              <w:rPr>
                <w:rFonts w:ascii="Arial" w:hAnsi="Arial" w:cs="Arial"/>
                <w:color w:val="000000"/>
                <w:sz w:val="20"/>
                <w:lang w:val="es-BO"/>
              </w:rPr>
              <w:t xml:space="preserve">0 = </w:t>
            </w:r>
            <w:r w:rsidR="00367227" w:rsidRPr="00020AB7">
              <w:rPr>
                <w:rFonts w:ascii="Arial" w:hAnsi="Arial" w:cs="Arial"/>
                <w:color w:val="000000"/>
                <w:sz w:val="20"/>
                <w:lang w:val="es-BO"/>
              </w:rPr>
              <w:t xml:space="preserve">US$ </w:t>
            </w:r>
            <w:r w:rsidRPr="00020AB7">
              <w:rPr>
                <w:rFonts w:ascii="Arial" w:hAnsi="Arial" w:cs="Arial"/>
                <w:color w:val="000000"/>
                <w:sz w:val="20"/>
                <w:lang w:val="es-BO"/>
              </w:rPr>
              <w:t>480</w:t>
            </w:r>
            <w:r w:rsidR="002C39EE" w:rsidRPr="00020AB7">
              <w:rPr>
                <w:rFonts w:ascii="Arial" w:hAnsi="Arial" w:cs="Arial"/>
                <w:color w:val="000000"/>
                <w:sz w:val="20"/>
                <w:lang w:val="es-BO"/>
              </w:rPr>
              <w:t xml:space="preserve">.000 </w:t>
            </w:r>
          </w:p>
        </w:tc>
        <w:tc>
          <w:tcPr>
            <w:tcW w:w="2240" w:type="dxa"/>
            <w:tcBorders>
              <w:top w:val="nil"/>
              <w:left w:val="nil"/>
              <w:bottom w:val="single" w:sz="4" w:space="0" w:color="auto"/>
              <w:right w:val="single" w:sz="4" w:space="0" w:color="auto"/>
            </w:tcBorders>
            <w:vAlign w:val="center"/>
            <w:hideMark/>
          </w:tcPr>
          <w:p w14:paraId="6C16031F" w14:textId="77777777" w:rsidR="002C39EE" w:rsidRPr="00020AB7" w:rsidRDefault="002C39EE" w:rsidP="00413345">
            <w:pPr>
              <w:spacing w:line="276" w:lineRule="auto"/>
              <w:jc w:val="center"/>
              <w:rPr>
                <w:rFonts w:ascii="Arial" w:hAnsi="Arial" w:cs="Arial"/>
                <w:color w:val="000000"/>
                <w:sz w:val="20"/>
                <w:lang w:val="es-BO"/>
              </w:rPr>
            </w:pPr>
            <w:r w:rsidRPr="00020AB7">
              <w:rPr>
                <w:rFonts w:ascii="Arial" w:hAnsi="Arial" w:cs="Arial"/>
                <w:color w:val="000000"/>
                <w:sz w:val="20"/>
                <w:lang w:val="es-BO"/>
              </w:rPr>
              <w:t>Componente Administración del Programa</w:t>
            </w:r>
          </w:p>
        </w:tc>
      </w:tr>
      <w:tr w:rsidR="001D1CB3" w:rsidRPr="00020AB7" w14:paraId="60FC8555" w14:textId="77777777" w:rsidTr="001D1CB3">
        <w:trPr>
          <w:trHeight w:val="675"/>
          <w:jc w:val="center"/>
        </w:trPr>
        <w:tc>
          <w:tcPr>
            <w:tcW w:w="1887" w:type="dxa"/>
            <w:tcBorders>
              <w:top w:val="single" w:sz="4" w:space="0" w:color="auto"/>
              <w:left w:val="single" w:sz="4" w:space="0" w:color="auto"/>
              <w:bottom w:val="single" w:sz="4" w:space="0" w:color="auto"/>
              <w:right w:val="single" w:sz="4" w:space="0" w:color="auto"/>
            </w:tcBorders>
            <w:vAlign w:val="center"/>
            <w:hideMark/>
          </w:tcPr>
          <w:p w14:paraId="68208303" w14:textId="77777777" w:rsidR="001D1CB3" w:rsidRPr="00020AB7" w:rsidRDefault="001D1CB3">
            <w:pPr>
              <w:spacing w:line="276" w:lineRule="auto"/>
              <w:jc w:val="both"/>
              <w:rPr>
                <w:rFonts w:ascii="Arial" w:hAnsi="Arial" w:cs="Arial"/>
                <w:color w:val="000000"/>
                <w:sz w:val="20"/>
                <w:lang w:val="es-BO"/>
              </w:rPr>
            </w:pPr>
            <w:r w:rsidRPr="00020AB7">
              <w:rPr>
                <w:rFonts w:ascii="Arial" w:hAnsi="Arial" w:eastAsia="Batang" w:cs="Arial"/>
                <w:color w:val="000000"/>
                <w:sz w:val="20"/>
                <w:lang w:val="es-BO"/>
              </w:rPr>
              <w:t>Elaboración y Presentación de Informes Semestrales</w:t>
            </w:r>
          </w:p>
        </w:tc>
        <w:tc>
          <w:tcPr>
            <w:tcW w:w="326" w:type="dxa"/>
            <w:tcBorders>
              <w:top w:val="nil"/>
              <w:left w:val="nil"/>
              <w:bottom w:val="single" w:sz="4" w:space="0" w:color="auto"/>
              <w:right w:val="single" w:sz="4" w:space="0" w:color="auto"/>
            </w:tcBorders>
            <w:shd w:val="clear" w:color="auto" w:fill="A6A6A6" w:themeFill="background1" w:themeFillShade="A6"/>
            <w:vAlign w:val="center"/>
            <w:hideMark/>
          </w:tcPr>
          <w:p w14:paraId="424EF6BC"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themeFill="background1"/>
            <w:vAlign w:val="center"/>
            <w:hideMark/>
          </w:tcPr>
          <w:p w14:paraId="6A5C72AB"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themeFill="background1" w:themeFillShade="A6"/>
            <w:vAlign w:val="center"/>
            <w:hideMark/>
          </w:tcPr>
          <w:p w14:paraId="77A80B4B"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themeFill="background1"/>
            <w:vAlign w:val="center"/>
            <w:hideMark/>
          </w:tcPr>
          <w:p w14:paraId="04C64226"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themeFill="background1" w:themeFillShade="A6"/>
            <w:vAlign w:val="center"/>
            <w:hideMark/>
          </w:tcPr>
          <w:p w14:paraId="44E44FB2"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themeFill="background1"/>
            <w:vAlign w:val="center"/>
            <w:hideMark/>
          </w:tcPr>
          <w:p w14:paraId="05D239BB"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themeFill="background1" w:themeFillShade="A6"/>
            <w:vAlign w:val="center"/>
            <w:hideMark/>
          </w:tcPr>
          <w:p w14:paraId="6CFD7B25"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themeFill="background1"/>
            <w:vAlign w:val="center"/>
            <w:hideMark/>
          </w:tcPr>
          <w:p w14:paraId="536A2DD5"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themeFill="background1" w:themeFillShade="A6"/>
            <w:vAlign w:val="center"/>
            <w:hideMark/>
          </w:tcPr>
          <w:p w14:paraId="2B6D13BB"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themeFill="background1"/>
            <w:vAlign w:val="center"/>
            <w:hideMark/>
          </w:tcPr>
          <w:p w14:paraId="129AAE20"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themeFill="background1" w:themeFillShade="A6"/>
            <w:vAlign w:val="center"/>
            <w:hideMark/>
          </w:tcPr>
          <w:p w14:paraId="5316B626"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themeFill="background1"/>
            <w:vAlign w:val="center"/>
            <w:hideMark/>
          </w:tcPr>
          <w:p w14:paraId="2956B64F"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themeFill="background1" w:themeFillShade="A6"/>
            <w:vAlign w:val="center"/>
            <w:hideMark/>
          </w:tcPr>
          <w:p w14:paraId="7E9CBAC1"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themeFill="background1"/>
            <w:vAlign w:val="center"/>
            <w:hideMark/>
          </w:tcPr>
          <w:p w14:paraId="5DB577F2"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themeFill="background1" w:themeFillShade="A6"/>
            <w:vAlign w:val="center"/>
            <w:hideMark/>
          </w:tcPr>
          <w:p w14:paraId="15C7663E"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themeFill="background1"/>
            <w:vAlign w:val="center"/>
            <w:hideMark/>
          </w:tcPr>
          <w:p w14:paraId="1DAA1E82"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22612DBB" w14:textId="77777777" w:rsidR="001D1CB3" w:rsidRPr="00020AB7" w:rsidRDefault="001D1CB3">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2423DF" w14:textId="77777777" w:rsidR="001D1CB3" w:rsidRPr="00020AB7" w:rsidRDefault="001D1CB3">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680D9AF" w14:textId="77777777" w:rsidR="001D1CB3" w:rsidRPr="00020AB7" w:rsidRDefault="001D1CB3">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2BE6D7" w14:textId="77777777" w:rsidR="001D1CB3" w:rsidRPr="00020AB7" w:rsidRDefault="001D1CB3">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7439EE5" w14:textId="77777777" w:rsidR="001D1CB3" w:rsidRPr="00020AB7" w:rsidRDefault="001D1CB3">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339A66" w14:textId="77777777" w:rsidR="001D1CB3" w:rsidRPr="00020AB7" w:rsidRDefault="001D1CB3">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EB7016A" w14:textId="77777777" w:rsidR="001D1CB3" w:rsidRPr="00020AB7" w:rsidRDefault="001D1CB3">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BE087D" w14:textId="77777777" w:rsidR="001D1CB3" w:rsidRPr="00020AB7" w:rsidRDefault="001D1CB3">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 </w:t>
            </w:r>
          </w:p>
        </w:tc>
        <w:tc>
          <w:tcPr>
            <w:tcW w:w="3611" w:type="dxa"/>
            <w:tcBorders>
              <w:top w:val="nil"/>
              <w:left w:val="nil"/>
              <w:bottom w:val="single" w:sz="4" w:space="0" w:color="auto"/>
              <w:right w:val="single" w:sz="4" w:space="0" w:color="auto"/>
            </w:tcBorders>
            <w:vAlign w:val="center"/>
            <w:hideMark/>
          </w:tcPr>
          <w:p w14:paraId="3E587A1A" w14:textId="0AA2D56E" w:rsidR="001D1CB3" w:rsidRPr="00020AB7" w:rsidRDefault="00611FAD">
            <w:pPr>
              <w:spacing w:line="276" w:lineRule="auto"/>
              <w:jc w:val="center"/>
              <w:rPr>
                <w:rFonts w:ascii="Arial" w:hAnsi="Arial" w:cs="Arial"/>
                <w:color w:val="000000"/>
                <w:sz w:val="20"/>
                <w:lang w:val="es-BO"/>
              </w:rPr>
            </w:pPr>
            <w:r w:rsidRPr="00020AB7">
              <w:rPr>
                <w:rFonts w:ascii="Arial" w:hAnsi="Arial" w:cs="Arial"/>
                <w:color w:val="000000"/>
                <w:sz w:val="20"/>
                <w:lang w:val="es-BO"/>
              </w:rPr>
              <w:t>UEP, ENDE y PEVD</w:t>
            </w:r>
          </w:p>
        </w:tc>
        <w:tc>
          <w:tcPr>
            <w:tcW w:w="2480" w:type="dxa"/>
            <w:tcBorders>
              <w:top w:val="nil"/>
              <w:left w:val="nil"/>
              <w:bottom w:val="single" w:sz="4" w:space="0" w:color="auto"/>
              <w:right w:val="single" w:sz="4" w:space="0" w:color="auto"/>
            </w:tcBorders>
            <w:vAlign w:val="center"/>
            <w:hideMark/>
          </w:tcPr>
          <w:p w14:paraId="6351175A" w14:textId="77777777" w:rsidR="001D1CB3" w:rsidRPr="00020AB7" w:rsidRDefault="001D1CB3" w:rsidP="008C2BCB">
            <w:pPr>
              <w:spacing w:line="276" w:lineRule="auto"/>
              <w:rPr>
                <w:rFonts w:ascii="Arial" w:hAnsi="Arial" w:cs="Arial"/>
                <w:color w:val="000000"/>
                <w:sz w:val="20"/>
              </w:rPr>
            </w:pPr>
            <w:r w:rsidRPr="00020AB7">
              <w:rPr>
                <w:rFonts w:ascii="Arial" w:hAnsi="Arial" w:cs="Arial"/>
                <w:color w:val="000000"/>
                <w:sz w:val="20"/>
                <w:lang w:val="es-BO"/>
              </w:rPr>
              <w:t>40 días/año x 1 persona x 6 años x US$250=US$ 60.000</w:t>
            </w:r>
          </w:p>
        </w:tc>
        <w:tc>
          <w:tcPr>
            <w:tcW w:w="2240" w:type="dxa"/>
            <w:tcBorders>
              <w:top w:val="nil"/>
              <w:left w:val="nil"/>
              <w:bottom w:val="single" w:sz="4" w:space="0" w:color="auto"/>
              <w:right w:val="single" w:sz="4" w:space="0" w:color="auto"/>
            </w:tcBorders>
            <w:vAlign w:val="center"/>
            <w:hideMark/>
          </w:tcPr>
          <w:p w14:paraId="38F9C4B7" w14:textId="77777777" w:rsidR="001D1CB3" w:rsidRPr="00020AB7" w:rsidRDefault="001D1CB3" w:rsidP="00413345">
            <w:pPr>
              <w:spacing w:line="276" w:lineRule="auto"/>
              <w:jc w:val="center"/>
              <w:rPr>
                <w:rFonts w:ascii="Arial" w:hAnsi="Arial" w:cs="Arial"/>
                <w:color w:val="000000"/>
                <w:sz w:val="20"/>
                <w:lang w:val="es-BO"/>
              </w:rPr>
            </w:pPr>
            <w:r w:rsidRPr="00020AB7">
              <w:rPr>
                <w:rFonts w:ascii="Arial" w:hAnsi="Arial" w:cs="Arial"/>
                <w:color w:val="000000"/>
                <w:sz w:val="20"/>
                <w:lang w:val="es-BO"/>
              </w:rPr>
              <w:t>Componente Administración del Programa</w:t>
            </w:r>
          </w:p>
        </w:tc>
      </w:tr>
      <w:tr w:rsidR="001D1CB3" w:rsidRPr="00020AB7" w14:paraId="6F9D6B97" w14:textId="77777777" w:rsidTr="002C39EE">
        <w:trPr>
          <w:trHeight w:val="675"/>
          <w:jc w:val="center"/>
        </w:trPr>
        <w:tc>
          <w:tcPr>
            <w:tcW w:w="1887" w:type="dxa"/>
            <w:tcBorders>
              <w:top w:val="single" w:sz="4" w:space="0" w:color="auto"/>
              <w:left w:val="single" w:sz="4" w:space="0" w:color="auto"/>
              <w:bottom w:val="single" w:sz="4" w:space="0" w:color="auto"/>
              <w:right w:val="single" w:sz="4" w:space="0" w:color="auto"/>
            </w:tcBorders>
            <w:vAlign w:val="center"/>
            <w:hideMark/>
          </w:tcPr>
          <w:p w14:paraId="5293FA73" w14:textId="77777777" w:rsidR="001D1CB3" w:rsidRPr="00020AB7" w:rsidRDefault="001D1CB3">
            <w:pPr>
              <w:spacing w:line="276" w:lineRule="auto"/>
              <w:jc w:val="both"/>
              <w:rPr>
                <w:rFonts w:ascii="Arial" w:hAnsi="Arial" w:cs="Arial"/>
                <w:color w:val="000000"/>
                <w:sz w:val="20"/>
                <w:lang w:val="es-BO"/>
              </w:rPr>
            </w:pPr>
            <w:r w:rsidRPr="00020AB7">
              <w:rPr>
                <w:rFonts w:ascii="Arial" w:hAnsi="Arial" w:eastAsia="Batang" w:cs="Arial"/>
                <w:color w:val="000000"/>
                <w:sz w:val="20"/>
                <w:lang w:val="es-BO"/>
              </w:rPr>
              <w:t xml:space="preserve">Analizar y aprobar los </w:t>
            </w:r>
            <w:proofErr w:type="spellStart"/>
            <w:r w:rsidRPr="00020AB7">
              <w:rPr>
                <w:rFonts w:ascii="Arial" w:hAnsi="Arial" w:eastAsia="Batang" w:cs="Arial"/>
                <w:color w:val="000000"/>
                <w:sz w:val="20"/>
                <w:lang w:val="es-BO"/>
              </w:rPr>
              <w:t>POAs</w:t>
            </w:r>
            <w:proofErr w:type="spellEnd"/>
            <w:r w:rsidRPr="00020AB7">
              <w:rPr>
                <w:rFonts w:ascii="Arial" w:hAnsi="Arial" w:eastAsia="Batang" w:cs="Arial"/>
                <w:color w:val="000000"/>
                <w:sz w:val="20"/>
                <w:lang w:val="es-BO"/>
              </w:rPr>
              <w:t xml:space="preserve"> y los </w:t>
            </w:r>
            <w:proofErr w:type="spellStart"/>
            <w:r w:rsidRPr="00020AB7">
              <w:rPr>
                <w:rFonts w:ascii="Arial" w:hAnsi="Arial" w:eastAsia="Batang" w:cs="Arial"/>
                <w:color w:val="000000"/>
                <w:sz w:val="20"/>
                <w:lang w:val="es-BO"/>
              </w:rPr>
              <w:t>PAs</w:t>
            </w:r>
            <w:proofErr w:type="spellEnd"/>
            <w:r w:rsidRPr="00020AB7">
              <w:rPr>
                <w:rFonts w:ascii="Arial" w:hAnsi="Arial" w:eastAsia="Batang" w:cs="Arial"/>
                <w:color w:val="000000"/>
                <w:sz w:val="20"/>
                <w:lang w:val="es-BO"/>
              </w:rPr>
              <w:t>.</w:t>
            </w:r>
          </w:p>
        </w:tc>
        <w:tc>
          <w:tcPr>
            <w:tcW w:w="326" w:type="dxa"/>
            <w:tcBorders>
              <w:top w:val="nil"/>
              <w:left w:val="nil"/>
              <w:bottom w:val="single" w:sz="4" w:space="0" w:color="auto"/>
              <w:right w:val="single" w:sz="4" w:space="0" w:color="auto"/>
            </w:tcBorders>
            <w:shd w:val="clear" w:color="auto" w:fill="A6A6A6"/>
            <w:vAlign w:val="center"/>
            <w:hideMark/>
          </w:tcPr>
          <w:p w14:paraId="11FBEF30"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0913BD03"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5546D4E2"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1961D62B"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5961F0F5"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1D65CFD5"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65E2D646"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4A43289A"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0D796860"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05A5E8D8"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48E26243"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2FE07C3B"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520ABFBF"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016AD3D7"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7A4D7D39"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09C9F4AA"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23BBCDA4"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76CCC2AC"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2855463C"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6A74281D"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533C2D8"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2DC697EF"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36BF7FE5"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6B9A4663"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611" w:type="dxa"/>
            <w:tcBorders>
              <w:top w:val="nil"/>
              <w:left w:val="nil"/>
              <w:bottom w:val="single" w:sz="4" w:space="0" w:color="auto"/>
              <w:right w:val="single" w:sz="4" w:space="0" w:color="auto"/>
            </w:tcBorders>
            <w:vAlign w:val="center"/>
            <w:hideMark/>
          </w:tcPr>
          <w:p w14:paraId="188B27C6" w14:textId="31399F59" w:rsidR="001D1CB3" w:rsidRPr="00020AB7" w:rsidRDefault="00611FAD">
            <w:pPr>
              <w:spacing w:line="276" w:lineRule="auto"/>
              <w:jc w:val="center"/>
              <w:rPr>
                <w:rFonts w:ascii="Arial" w:hAnsi="Arial" w:cs="Arial"/>
                <w:color w:val="000000"/>
                <w:sz w:val="20"/>
                <w:lang w:val="es-BO"/>
              </w:rPr>
            </w:pPr>
            <w:r w:rsidRPr="00020AB7">
              <w:rPr>
                <w:rFonts w:ascii="Arial" w:hAnsi="Arial" w:cs="Arial"/>
                <w:color w:val="000000"/>
                <w:sz w:val="20"/>
                <w:lang w:val="es-BO"/>
              </w:rPr>
              <w:t>UEP, ENDE y PEVD</w:t>
            </w:r>
          </w:p>
        </w:tc>
        <w:tc>
          <w:tcPr>
            <w:tcW w:w="2480" w:type="dxa"/>
            <w:tcBorders>
              <w:top w:val="nil"/>
              <w:left w:val="nil"/>
              <w:bottom w:val="single" w:sz="4" w:space="0" w:color="auto"/>
              <w:right w:val="single" w:sz="4" w:space="0" w:color="auto"/>
            </w:tcBorders>
            <w:vAlign w:val="center"/>
            <w:hideMark/>
          </w:tcPr>
          <w:p w14:paraId="2D81884F" w14:textId="77777777" w:rsidR="001D1CB3" w:rsidRPr="00020AB7" w:rsidRDefault="001D1CB3" w:rsidP="007C5D6C">
            <w:pPr>
              <w:spacing w:line="276" w:lineRule="auto"/>
              <w:rPr>
                <w:rFonts w:ascii="Arial" w:hAnsi="Arial" w:cs="Arial"/>
                <w:color w:val="000000"/>
                <w:sz w:val="20"/>
                <w:lang w:val="es-BO"/>
              </w:rPr>
            </w:pPr>
            <w:r w:rsidRPr="00020AB7">
              <w:rPr>
                <w:rFonts w:ascii="Arial" w:hAnsi="Arial" w:cs="Arial"/>
                <w:color w:val="000000"/>
                <w:sz w:val="20"/>
                <w:lang w:val="es-BO"/>
              </w:rPr>
              <w:t xml:space="preserve">5 días/año x 1 persona x 6 años x US$300=US$ 9.000 </w:t>
            </w:r>
          </w:p>
        </w:tc>
        <w:tc>
          <w:tcPr>
            <w:tcW w:w="2240" w:type="dxa"/>
            <w:tcBorders>
              <w:top w:val="nil"/>
              <w:left w:val="nil"/>
              <w:bottom w:val="single" w:sz="4" w:space="0" w:color="auto"/>
              <w:right w:val="single" w:sz="4" w:space="0" w:color="auto"/>
            </w:tcBorders>
            <w:vAlign w:val="center"/>
            <w:hideMark/>
          </w:tcPr>
          <w:p w14:paraId="5D570D13" w14:textId="77777777" w:rsidR="001D1CB3" w:rsidRPr="00020AB7" w:rsidRDefault="001D1CB3" w:rsidP="00413345">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BID</w:t>
            </w:r>
          </w:p>
        </w:tc>
      </w:tr>
      <w:tr w:rsidR="001D1CB3" w:rsidRPr="00020AB7" w14:paraId="316733C7" w14:textId="77777777" w:rsidTr="002C39EE">
        <w:trPr>
          <w:trHeight w:val="675"/>
          <w:jc w:val="center"/>
        </w:trPr>
        <w:tc>
          <w:tcPr>
            <w:tcW w:w="1887" w:type="dxa"/>
            <w:tcBorders>
              <w:top w:val="single" w:sz="4" w:space="0" w:color="auto"/>
              <w:left w:val="single" w:sz="4" w:space="0" w:color="auto"/>
              <w:bottom w:val="single" w:sz="4" w:space="0" w:color="auto"/>
              <w:right w:val="single" w:sz="4" w:space="0" w:color="auto"/>
            </w:tcBorders>
            <w:vAlign w:val="center"/>
            <w:hideMark/>
          </w:tcPr>
          <w:p w14:paraId="053569F5" w14:textId="77777777" w:rsidR="001D1CB3" w:rsidRPr="00020AB7" w:rsidRDefault="001D1CB3">
            <w:pPr>
              <w:spacing w:line="276" w:lineRule="auto"/>
              <w:jc w:val="both"/>
              <w:rPr>
                <w:rFonts w:ascii="Arial" w:hAnsi="Arial" w:cs="Arial"/>
                <w:color w:val="000000"/>
                <w:sz w:val="20"/>
                <w:lang w:val="es-BO"/>
              </w:rPr>
            </w:pPr>
            <w:r w:rsidRPr="00020AB7">
              <w:rPr>
                <w:rFonts w:ascii="Arial" w:hAnsi="Arial" w:eastAsia="Batang" w:cs="Arial"/>
                <w:color w:val="000000"/>
                <w:sz w:val="20"/>
                <w:lang w:val="es-BO"/>
              </w:rPr>
              <w:t>Analizar los Informes de Progreso, realizar reuniones de monitoreo y seguimiento y si es del caso formular recomendaciones.</w:t>
            </w:r>
          </w:p>
        </w:tc>
        <w:tc>
          <w:tcPr>
            <w:tcW w:w="326" w:type="dxa"/>
            <w:tcBorders>
              <w:top w:val="nil"/>
              <w:left w:val="nil"/>
              <w:bottom w:val="single" w:sz="4" w:space="0" w:color="auto"/>
              <w:right w:val="single" w:sz="4" w:space="0" w:color="auto"/>
            </w:tcBorders>
            <w:vAlign w:val="center"/>
            <w:hideMark/>
          </w:tcPr>
          <w:p w14:paraId="6D2E9745"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2F6E25E8"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2FB1083A"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359575D5"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41D64146"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5392EC8D"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4689BA0F"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2CB3AD50"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040CA411"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73FED705"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128BD986" w14:textId="77777777" w:rsidR="001D1CB3" w:rsidRPr="00020AB7" w:rsidRDefault="001D1CB3">
            <w:pPr>
              <w:spacing w:line="276" w:lineRule="auto"/>
              <w:rPr>
                <w:rFonts w:ascii="Arial" w:hAnsi="Arial" w:cs="Arial"/>
                <w:color w:val="000000"/>
                <w:sz w:val="20"/>
                <w:lang w:val="es-BO"/>
              </w:rPr>
            </w:pPr>
            <w:r w:rsidRPr="00020AB7">
              <w:rPr>
                <w:rFonts w:ascii="Arial" w:hAnsi="Arial"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1A24A327"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0A93CEDC"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63739088"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637C9D9A"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3EB701E0"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0DCFBB8E"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755AED81"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C567389"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5B9B2A68"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AB6B73D"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7EA088BB"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FAA6B83"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77EB6AE9"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611" w:type="dxa"/>
            <w:tcBorders>
              <w:top w:val="nil"/>
              <w:left w:val="nil"/>
              <w:bottom w:val="single" w:sz="4" w:space="0" w:color="auto"/>
              <w:right w:val="single" w:sz="4" w:space="0" w:color="auto"/>
            </w:tcBorders>
            <w:vAlign w:val="center"/>
            <w:hideMark/>
          </w:tcPr>
          <w:p w14:paraId="1D716342" w14:textId="77777777" w:rsidR="001D1CB3" w:rsidRPr="00020AB7" w:rsidRDefault="001D1CB3">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BID</w:t>
            </w:r>
          </w:p>
        </w:tc>
        <w:tc>
          <w:tcPr>
            <w:tcW w:w="2480" w:type="dxa"/>
            <w:tcBorders>
              <w:top w:val="nil"/>
              <w:left w:val="nil"/>
              <w:bottom w:val="single" w:sz="4" w:space="0" w:color="auto"/>
              <w:right w:val="single" w:sz="4" w:space="0" w:color="auto"/>
            </w:tcBorders>
            <w:vAlign w:val="center"/>
            <w:hideMark/>
          </w:tcPr>
          <w:p w14:paraId="21F9A322" w14:textId="77777777" w:rsidR="001D1CB3" w:rsidRPr="00020AB7" w:rsidRDefault="001D1CB3" w:rsidP="007C5D6C">
            <w:pPr>
              <w:spacing w:line="276" w:lineRule="auto"/>
              <w:rPr>
                <w:rFonts w:ascii="Arial" w:hAnsi="Arial" w:cs="Arial"/>
                <w:color w:val="000000"/>
                <w:sz w:val="20"/>
                <w:lang w:val="es-BO"/>
              </w:rPr>
            </w:pPr>
            <w:r w:rsidRPr="00020AB7">
              <w:rPr>
                <w:rFonts w:ascii="Arial" w:hAnsi="Arial" w:cs="Arial"/>
                <w:color w:val="000000"/>
                <w:sz w:val="20"/>
                <w:lang w:val="es-BO"/>
              </w:rPr>
              <w:t xml:space="preserve">5 días/ano x 2 persona </w:t>
            </w:r>
            <w:proofErr w:type="gramStart"/>
            <w:r w:rsidRPr="00020AB7">
              <w:rPr>
                <w:rFonts w:ascii="Arial" w:hAnsi="Arial" w:cs="Arial"/>
                <w:color w:val="000000"/>
                <w:sz w:val="20"/>
                <w:lang w:val="es-BO"/>
              </w:rPr>
              <w:t>x  6</w:t>
            </w:r>
            <w:proofErr w:type="gramEnd"/>
            <w:r w:rsidRPr="00020AB7">
              <w:rPr>
                <w:rFonts w:ascii="Arial" w:hAnsi="Arial" w:cs="Arial"/>
                <w:color w:val="000000"/>
                <w:sz w:val="20"/>
                <w:lang w:val="es-BO"/>
              </w:rPr>
              <w:t xml:space="preserve"> años x US$300=US$ 18.000</w:t>
            </w:r>
          </w:p>
        </w:tc>
        <w:tc>
          <w:tcPr>
            <w:tcW w:w="2240" w:type="dxa"/>
            <w:tcBorders>
              <w:top w:val="nil"/>
              <w:left w:val="nil"/>
              <w:bottom w:val="single" w:sz="4" w:space="0" w:color="auto"/>
              <w:right w:val="single" w:sz="4" w:space="0" w:color="auto"/>
            </w:tcBorders>
            <w:vAlign w:val="center"/>
            <w:hideMark/>
          </w:tcPr>
          <w:p w14:paraId="00F4261F" w14:textId="77777777" w:rsidR="001D1CB3" w:rsidRPr="00020AB7" w:rsidRDefault="001D1CB3" w:rsidP="00413345">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BID</w:t>
            </w:r>
          </w:p>
        </w:tc>
      </w:tr>
      <w:tr w:rsidR="001D1CB3" w:rsidRPr="00020AB7" w14:paraId="6A93D5A0" w14:textId="77777777" w:rsidTr="00DA5179">
        <w:trPr>
          <w:trHeight w:val="675"/>
          <w:jc w:val="center"/>
        </w:trPr>
        <w:tc>
          <w:tcPr>
            <w:tcW w:w="1887" w:type="dxa"/>
            <w:tcBorders>
              <w:top w:val="single" w:sz="4" w:space="0" w:color="auto"/>
              <w:left w:val="single" w:sz="4" w:space="0" w:color="auto"/>
              <w:bottom w:val="single" w:sz="4" w:space="0" w:color="auto"/>
              <w:right w:val="single" w:sz="4" w:space="0" w:color="auto"/>
            </w:tcBorders>
            <w:vAlign w:val="center"/>
            <w:hideMark/>
          </w:tcPr>
          <w:p w14:paraId="5F3A1BD4" w14:textId="77777777" w:rsidR="001D1CB3" w:rsidRPr="00020AB7" w:rsidRDefault="001D1CB3">
            <w:pPr>
              <w:spacing w:line="276" w:lineRule="auto"/>
              <w:jc w:val="both"/>
              <w:rPr>
                <w:rFonts w:ascii="Arial" w:hAnsi="Arial" w:cs="Arial"/>
                <w:color w:val="000000"/>
                <w:sz w:val="20"/>
                <w:lang w:val="es-BO"/>
              </w:rPr>
            </w:pPr>
            <w:r w:rsidRPr="00020AB7">
              <w:rPr>
                <w:rFonts w:ascii="Arial" w:hAnsi="Arial" w:eastAsia="Batang" w:cs="Arial"/>
                <w:color w:val="000000"/>
                <w:sz w:val="20"/>
                <w:lang w:val="es-BO"/>
              </w:rPr>
              <w:t>Analizar y revisar solicitudes de desembolso</w:t>
            </w:r>
          </w:p>
        </w:tc>
        <w:tc>
          <w:tcPr>
            <w:tcW w:w="326" w:type="dxa"/>
            <w:tcBorders>
              <w:top w:val="nil"/>
              <w:left w:val="nil"/>
              <w:bottom w:val="single" w:sz="4" w:space="0" w:color="auto"/>
              <w:right w:val="single" w:sz="4" w:space="0" w:color="auto"/>
            </w:tcBorders>
            <w:shd w:val="clear" w:color="auto" w:fill="A6A6A6"/>
            <w:vAlign w:val="center"/>
            <w:hideMark/>
          </w:tcPr>
          <w:p w14:paraId="534A84BF"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6CD364C2"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04CD4A5C"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52AA63D8"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6DC526B0"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3F6A2A3E"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66E3738C"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3ED4B8B2"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01BE61A7"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7FB5071A"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5EDE5C91"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13921BA4"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673B2ACF"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63E624EF"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0F23C795"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6AAC620A"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nil"/>
              <w:bottom w:val="single" w:sz="4" w:space="0" w:color="auto"/>
              <w:right w:val="single" w:sz="4" w:space="0" w:color="auto"/>
            </w:tcBorders>
            <w:shd w:val="clear" w:color="auto" w:fill="A6A6A6" w:themeFill="background1" w:themeFillShade="A6"/>
          </w:tcPr>
          <w:p w14:paraId="7239FB56" w14:textId="77777777" w:rsidR="001D1CB3" w:rsidRPr="00020AB7" w:rsidRDefault="001D1CB3">
            <w:pPr>
              <w:spacing w:line="276" w:lineRule="auto"/>
              <w:jc w:val="center"/>
              <w:rPr>
                <w:rFonts w:ascii="Arial" w:eastAsia="Batang" w:hAnsi="Arial" w:cs="Arial"/>
                <w:color w:val="000000"/>
                <w:sz w:val="20"/>
                <w:lang w:val="es-BO"/>
              </w:rPr>
            </w:pP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56C0D0D" w14:textId="77777777" w:rsidR="001D1CB3" w:rsidRPr="00020AB7" w:rsidRDefault="001D1CB3">
            <w:pPr>
              <w:spacing w:line="276" w:lineRule="auto"/>
              <w:jc w:val="center"/>
              <w:rPr>
                <w:rFonts w:ascii="Arial" w:eastAsia="Batang" w:hAnsi="Arial" w:cs="Arial"/>
                <w:color w:val="000000"/>
                <w:sz w:val="20"/>
                <w:lang w:val="es-BO"/>
              </w:rPr>
            </w:pP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D3D7A7A" w14:textId="77777777" w:rsidR="001D1CB3" w:rsidRPr="00020AB7" w:rsidRDefault="001D1CB3">
            <w:pPr>
              <w:spacing w:line="276" w:lineRule="auto"/>
              <w:jc w:val="center"/>
              <w:rPr>
                <w:rFonts w:ascii="Arial" w:eastAsia="Batang" w:hAnsi="Arial" w:cs="Arial"/>
                <w:color w:val="000000"/>
                <w:sz w:val="20"/>
                <w:lang w:val="es-BO"/>
              </w:rPr>
            </w:pP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A904A21" w14:textId="77777777" w:rsidR="001D1CB3" w:rsidRPr="00020AB7" w:rsidRDefault="001D1CB3">
            <w:pPr>
              <w:spacing w:line="276" w:lineRule="auto"/>
              <w:jc w:val="center"/>
              <w:rPr>
                <w:rFonts w:ascii="Arial" w:eastAsia="Batang" w:hAnsi="Arial" w:cs="Arial"/>
                <w:color w:val="000000"/>
                <w:sz w:val="20"/>
                <w:lang w:val="es-BO"/>
              </w:rPr>
            </w:pP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C78831E" w14:textId="77777777" w:rsidR="001D1CB3" w:rsidRPr="00020AB7" w:rsidRDefault="001D1CB3">
            <w:pPr>
              <w:spacing w:line="276" w:lineRule="auto"/>
              <w:jc w:val="center"/>
              <w:rPr>
                <w:rFonts w:ascii="Arial" w:eastAsia="Batang" w:hAnsi="Arial" w:cs="Arial"/>
                <w:color w:val="000000"/>
                <w:sz w:val="20"/>
                <w:lang w:val="es-BO"/>
              </w:rPr>
            </w:pP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64AF968" w14:textId="77777777" w:rsidR="001D1CB3" w:rsidRPr="00020AB7" w:rsidRDefault="001D1CB3">
            <w:pPr>
              <w:spacing w:line="276" w:lineRule="auto"/>
              <w:jc w:val="center"/>
              <w:rPr>
                <w:rFonts w:ascii="Arial" w:eastAsia="Batang" w:hAnsi="Arial" w:cs="Arial"/>
                <w:color w:val="000000"/>
                <w:sz w:val="20"/>
                <w:lang w:val="es-BO"/>
              </w:rPr>
            </w:pP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54EC6A6" w14:textId="77777777" w:rsidR="001D1CB3" w:rsidRPr="00020AB7" w:rsidRDefault="001D1CB3">
            <w:pPr>
              <w:spacing w:line="276" w:lineRule="auto"/>
              <w:jc w:val="center"/>
              <w:rPr>
                <w:rFonts w:ascii="Arial" w:eastAsia="Batang" w:hAnsi="Arial" w:cs="Arial"/>
                <w:color w:val="000000"/>
                <w:sz w:val="20"/>
                <w:lang w:val="es-BO"/>
              </w:rPr>
            </w:pP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A27AD2A" w14:textId="77777777" w:rsidR="001D1CB3" w:rsidRPr="00020AB7" w:rsidRDefault="001D1CB3">
            <w:pPr>
              <w:spacing w:line="276" w:lineRule="auto"/>
              <w:jc w:val="center"/>
              <w:rPr>
                <w:rFonts w:ascii="Arial" w:eastAsia="Batang" w:hAnsi="Arial" w:cs="Arial"/>
                <w:color w:val="000000"/>
                <w:sz w:val="20"/>
                <w:lang w:val="es-BO"/>
              </w:rPr>
            </w:pPr>
          </w:p>
        </w:tc>
        <w:tc>
          <w:tcPr>
            <w:tcW w:w="3611" w:type="dxa"/>
            <w:tcBorders>
              <w:top w:val="nil"/>
              <w:left w:val="nil"/>
              <w:bottom w:val="single" w:sz="4" w:space="0" w:color="auto"/>
              <w:right w:val="single" w:sz="4" w:space="0" w:color="auto"/>
            </w:tcBorders>
            <w:vAlign w:val="center"/>
            <w:hideMark/>
          </w:tcPr>
          <w:p w14:paraId="6F2AFC72" w14:textId="77777777" w:rsidR="001D1CB3" w:rsidRPr="00020AB7" w:rsidRDefault="001D1CB3">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BID</w:t>
            </w:r>
          </w:p>
        </w:tc>
        <w:tc>
          <w:tcPr>
            <w:tcW w:w="2480" w:type="dxa"/>
            <w:tcBorders>
              <w:top w:val="nil"/>
              <w:left w:val="nil"/>
              <w:bottom w:val="single" w:sz="4" w:space="0" w:color="auto"/>
              <w:right w:val="single" w:sz="4" w:space="0" w:color="auto"/>
            </w:tcBorders>
            <w:vAlign w:val="center"/>
            <w:hideMark/>
          </w:tcPr>
          <w:p w14:paraId="5F239999" w14:textId="77777777" w:rsidR="001D1CB3" w:rsidRPr="00020AB7" w:rsidRDefault="001D1CB3" w:rsidP="007C5D6C">
            <w:pPr>
              <w:spacing w:line="276" w:lineRule="auto"/>
              <w:rPr>
                <w:rFonts w:ascii="Arial" w:hAnsi="Arial" w:cs="Arial"/>
                <w:color w:val="000000"/>
                <w:sz w:val="20"/>
                <w:lang w:val="es-BO"/>
              </w:rPr>
            </w:pPr>
            <w:r w:rsidRPr="00020AB7">
              <w:rPr>
                <w:rFonts w:ascii="Arial" w:hAnsi="Arial" w:cs="Arial"/>
                <w:color w:val="000000"/>
                <w:sz w:val="20"/>
                <w:lang w:val="es-BO"/>
              </w:rPr>
              <w:t>12 días/</w:t>
            </w:r>
            <w:proofErr w:type="gramStart"/>
            <w:r w:rsidRPr="00020AB7">
              <w:rPr>
                <w:rFonts w:ascii="Arial" w:hAnsi="Arial" w:cs="Arial"/>
                <w:color w:val="000000"/>
                <w:sz w:val="20"/>
                <w:lang w:val="es-BO"/>
              </w:rPr>
              <w:t>año  x</w:t>
            </w:r>
            <w:proofErr w:type="gramEnd"/>
            <w:r w:rsidRPr="00020AB7">
              <w:rPr>
                <w:rFonts w:ascii="Arial" w:hAnsi="Arial" w:cs="Arial"/>
                <w:color w:val="000000"/>
                <w:sz w:val="20"/>
                <w:lang w:val="es-BO"/>
              </w:rPr>
              <w:t xml:space="preserve"> 1 persona x 6 años x US$300=US$ 21.600</w:t>
            </w:r>
          </w:p>
        </w:tc>
        <w:tc>
          <w:tcPr>
            <w:tcW w:w="2240" w:type="dxa"/>
            <w:tcBorders>
              <w:top w:val="nil"/>
              <w:left w:val="nil"/>
              <w:bottom w:val="single" w:sz="4" w:space="0" w:color="auto"/>
              <w:right w:val="single" w:sz="4" w:space="0" w:color="auto"/>
            </w:tcBorders>
            <w:vAlign w:val="center"/>
            <w:hideMark/>
          </w:tcPr>
          <w:p w14:paraId="73C869E8" w14:textId="77777777" w:rsidR="001D1CB3" w:rsidRPr="00020AB7" w:rsidRDefault="001D1CB3">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BID</w:t>
            </w:r>
          </w:p>
        </w:tc>
      </w:tr>
      <w:tr w:rsidR="001D1CB3" w:rsidRPr="00020AB7" w14:paraId="31CFCE52" w14:textId="77777777" w:rsidTr="00DA5179">
        <w:trPr>
          <w:trHeight w:val="675"/>
          <w:jc w:val="center"/>
        </w:trPr>
        <w:tc>
          <w:tcPr>
            <w:tcW w:w="1887" w:type="dxa"/>
            <w:tcBorders>
              <w:top w:val="single" w:sz="4" w:space="0" w:color="auto"/>
              <w:left w:val="single" w:sz="4" w:space="0" w:color="auto"/>
              <w:bottom w:val="single" w:sz="4" w:space="0" w:color="auto"/>
              <w:right w:val="single" w:sz="4" w:space="0" w:color="auto"/>
            </w:tcBorders>
            <w:vAlign w:val="center"/>
            <w:hideMark/>
          </w:tcPr>
          <w:p w14:paraId="44774E24" w14:textId="77777777" w:rsidR="001D1CB3" w:rsidRPr="00020AB7" w:rsidRDefault="001D1CB3">
            <w:pPr>
              <w:spacing w:line="276" w:lineRule="auto"/>
              <w:jc w:val="both"/>
              <w:rPr>
                <w:rFonts w:ascii="Arial" w:hAnsi="Arial" w:cs="Arial"/>
                <w:color w:val="000000"/>
                <w:sz w:val="20"/>
                <w:lang w:val="es-BO"/>
              </w:rPr>
            </w:pPr>
            <w:r w:rsidRPr="00020AB7">
              <w:rPr>
                <w:rFonts w:ascii="Arial" w:hAnsi="Arial" w:eastAsia="Batang" w:cs="Arial"/>
                <w:color w:val="000000"/>
                <w:sz w:val="20"/>
                <w:lang w:val="es-BO"/>
              </w:rPr>
              <w:t xml:space="preserve">Analizar y revisar estados financieros auditados   </w:t>
            </w:r>
          </w:p>
        </w:tc>
        <w:tc>
          <w:tcPr>
            <w:tcW w:w="326" w:type="dxa"/>
            <w:tcBorders>
              <w:top w:val="nil"/>
              <w:left w:val="nil"/>
              <w:bottom w:val="single" w:sz="4" w:space="0" w:color="auto"/>
              <w:right w:val="single" w:sz="4" w:space="0" w:color="auto"/>
            </w:tcBorders>
            <w:vAlign w:val="center"/>
            <w:hideMark/>
          </w:tcPr>
          <w:p w14:paraId="2FFD8DF3"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2D3B7912"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5DA0808D"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71709954"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07B7323E"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1A0F186B"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50287492"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3B0CEB9E"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79B7D96C"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1D1CF9F3"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7BADA089" w14:textId="77777777" w:rsidR="001D1CB3" w:rsidRPr="00020AB7" w:rsidRDefault="001D1CB3">
            <w:pPr>
              <w:spacing w:line="276" w:lineRule="auto"/>
              <w:rPr>
                <w:rFonts w:ascii="Arial" w:hAnsi="Arial" w:cs="Arial"/>
                <w:color w:val="000000"/>
                <w:sz w:val="20"/>
                <w:lang w:val="es-BO"/>
              </w:rPr>
            </w:pPr>
            <w:r w:rsidRPr="00020AB7">
              <w:rPr>
                <w:rFonts w:ascii="Arial" w:hAnsi="Arial"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4EF4AFFD"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1C105F72"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3B2A466C"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vAlign w:val="center"/>
            <w:hideMark/>
          </w:tcPr>
          <w:p w14:paraId="5FDC64F0"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FFFFFF" w:themeFill="background1"/>
            <w:vAlign w:val="center"/>
            <w:hideMark/>
          </w:tcPr>
          <w:p w14:paraId="251944DF"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5573F840"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vAlign w:val="center"/>
          </w:tcPr>
          <w:p w14:paraId="5D0795E6"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0E92EB"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26E63C"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05B73B9"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735792"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F3744C"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C175E8" w14:textId="77777777" w:rsidR="001D1CB3" w:rsidRPr="00020AB7" w:rsidRDefault="001D1CB3">
            <w:pPr>
              <w:spacing w:line="276" w:lineRule="auto"/>
              <w:jc w:val="center"/>
              <w:rPr>
                <w:rFonts w:ascii="Arial" w:eastAsia="Batang" w:hAnsi="Arial" w:cs="Arial"/>
                <w:color w:val="000000"/>
                <w:sz w:val="20"/>
                <w:lang w:val="es-BO"/>
              </w:rPr>
            </w:pPr>
            <w:r w:rsidRPr="00020AB7">
              <w:rPr>
                <w:rFonts w:ascii="Arial" w:hAnsi="Arial" w:eastAsia="Batang" w:cs="Arial"/>
                <w:color w:val="000000"/>
                <w:sz w:val="20"/>
                <w:lang w:val="es-BO"/>
              </w:rPr>
              <w:t> </w:t>
            </w:r>
          </w:p>
        </w:tc>
        <w:tc>
          <w:tcPr>
            <w:tcW w:w="3611" w:type="dxa"/>
            <w:tcBorders>
              <w:top w:val="nil"/>
              <w:left w:val="nil"/>
              <w:bottom w:val="single" w:sz="4" w:space="0" w:color="auto"/>
              <w:right w:val="single" w:sz="4" w:space="0" w:color="auto"/>
            </w:tcBorders>
            <w:vAlign w:val="center"/>
            <w:hideMark/>
          </w:tcPr>
          <w:p w14:paraId="2CD50725" w14:textId="77777777" w:rsidR="001D1CB3" w:rsidRPr="00020AB7" w:rsidRDefault="001D1CB3">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BID</w:t>
            </w:r>
          </w:p>
        </w:tc>
        <w:tc>
          <w:tcPr>
            <w:tcW w:w="2480" w:type="dxa"/>
            <w:tcBorders>
              <w:top w:val="nil"/>
              <w:left w:val="nil"/>
              <w:bottom w:val="single" w:sz="4" w:space="0" w:color="auto"/>
              <w:right w:val="single" w:sz="4" w:space="0" w:color="auto"/>
            </w:tcBorders>
            <w:vAlign w:val="center"/>
            <w:hideMark/>
          </w:tcPr>
          <w:p w14:paraId="037FE352" w14:textId="77777777" w:rsidR="001D1CB3" w:rsidRPr="00020AB7" w:rsidRDefault="001D1CB3" w:rsidP="007C5D6C">
            <w:pPr>
              <w:spacing w:line="276" w:lineRule="auto"/>
              <w:rPr>
                <w:rFonts w:ascii="Arial" w:hAnsi="Arial" w:cs="Arial"/>
                <w:color w:val="000000"/>
                <w:sz w:val="20"/>
                <w:lang w:val="es-BO"/>
              </w:rPr>
            </w:pPr>
            <w:r w:rsidRPr="00020AB7">
              <w:rPr>
                <w:rFonts w:ascii="Arial" w:hAnsi="Arial" w:cs="Arial"/>
                <w:color w:val="000000"/>
                <w:sz w:val="20"/>
                <w:lang w:val="es-BO"/>
              </w:rPr>
              <w:t>5 días x 1 persona x 6 años x US$ 150=US$ 4.500</w:t>
            </w:r>
          </w:p>
        </w:tc>
        <w:tc>
          <w:tcPr>
            <w:tcW w:w="2240" w:type="dxa"/>
            <w:tcBorders>
              <w:top w:val="nil"/>
              <w:left w:val="nil"/>
              <w:bottom w:val="single" w:sz="4" w:space="0" w:color="auto"/>
              <w:right w:val="single" w:sz="4" w:space="0" w:color="auto"/>
            </w:tcBorders>
            <w:vAlign w:val="center"/>
            <w:hideMark/>
          </w:tcPr>
          <w:p w14:paraId="5C408233" w14:textId="77777777" w:rsidR="001D1CB3" w:rsidRPr="00020AB7" w:rsidRDefault="001D1CB3">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BID</w:t>
            </w:r>
          </w:p>
        </w:tc>
      </w:tr>
      <w:tr w:rsidR="001D1CB3" w:rsidRPr="00020AB7" w14:paraId="4F9E9B85" w14:textId="77777777" w:rsidTr="00DA5179">
        <w:trPr>
          <w:trHeight w:val="450"/>
          <w:jc w:val="center"/>
        </w:trPr>
        <w:tc>
          <w:tcPr>
            <w:tcW w:w="1887" w:type="dxa"/>
            <w:tcBorders>
              <w:top w:val="single" w:sz="4" w:space="0" w:color="auto"/>
              <w:left w:val="single" w:sz="4" w:space="0" w:color="auto"/>
              <w:bottom w:val="single" w:sz="4" w:space="0" w:color="auto"/>
              <w:right w:val="single" w:sz="4" w:space="0" w:color="auto"/>
            </w:tcBorders>
            <w:vAlign w:val="center"/>
            <w:hideMark/>
          </w:tcPr>
          <w:p w14:paraId="0C2AF9EE" w14:textId="77777777" w:rsidR="001D1CB3" w:rsidRPr="00020AB7" w:rsidRDefault="001D1CB3">
            <w:pPr>
              <w:spacing w:line="276" w:lineRule="auto"/>
              <w:jc w:val="both"/>
              <w:rPr>
                <w:rFonts w:ascii="Arial" w:hAnsi="Arial" w:cs="Arial"/>
                <w:color w:val="000000"/>
                <w:sz w:val="20"/>
                <w:lang w:val="es-BO"/>
              </w:rPr>
            </w:pPr>
            <w:r w:rsidRPr="00020AB7">
              <w:rPr>
                <w:rFonts w:ascii="Arial" w:hAnsi="Arial" w:eastAsia="Batang" w:cs="Arial"/>
                <w:color w:val="000000"/>
                <w:sz w:val="20"/>
                <w:lang w:val="es-BO"/>
              </w:rPr>
              <w:t>Visita de Inspección</w:t>
            </w:r>
          </w:p>
        </w:tc>
        <w:tc>
          <w:tcPr>
            <w:tcW w:w="326" w:type="dxa"/>
            <w:tcBorders>
              <w:top w:val="nil"/>
              <w:left w:val="nil"/>
              <w:bottom w:val="single" w:sz="4" w:space="0" w:color="auto"/>
              <w:right w:val="single" w:sz="4" w:space="0" w:color="auto"/>
            </w:tcBorders>
            <w:shd w:val="clear" w:color="auto" w:fill="A6A6A6"/>
            <w:vAlign w:val="center"/>
            <w:hideMark/>
          </w:tcPr>
          <w:p w14:paraId="67C2E6A4"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3B1710D9"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7EEE248D"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10FD3F9E"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5E7E56C1"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2FD31975"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50847432"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046A8214"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050CD990"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590327CD"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691AD00B"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44AC1767"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190AA95B"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490FC0DB"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7C665F42"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nil"/>
              <w:left w:val="nil"/>
              <w:bottom w:val="single" w:sz="4" w:space="0" w:color="auto"/>
              <w:right w:val="single" w:sz="4" w:space="0" w:color="auto"/>
            </w:tcBorders>
            <w:shd w:val="clear" w:color="auto" w:fill="A6A6A6"/>
            <w:vAlign w:val="center"/>
            <w:hideMark/>
          </w:tcPr>
          <w:p w14:paraId="7E614EAD" w14:textId="77777777" w:rsidR="001D1CB3" w:rsidRPr="00020AB7" w:rsidRDefault="001D1CB3">
            <w:pPr>
              <w:spacing w:line="276" w:lineRule="auto"/>
              <w:rPr>
                <w:rFonts w:ascii="Arial" w:hAnsi="Arial" w:cs="Arial"/>
                <w:color w:val="000000"/>
                <w:sz w:val="20"/>
                <w:lang w:val="es-BO"/>
              </w:rPr>
            </w:pPr>
            <w:r w:rsidRPr="00020AB7">
              <w:rPr>
                <w:rFonts w:ascii="Arial" w:hAnsi="Arial" w:eastAsia="Batang" w:cs="Arial"/>
                <w:color w:val="000000"/>
                <w:sz w:val="20"/>
                <w:lang w:val="es-BO"/>
              </w:rPr>
              <w:t> </w:t>
            </w:r>
          </w:p>
        </w:tc>
        <w:tc>
          <w:tcPr>
            <w:tcW w:w="326" w:type="dxa"/>
            <w:tcBorders>
              <w:top w:val="single" w:sz="4" w:space="0" w:color="auto"/>
              <w:left w:val="nil"/>
              <w:bottom w:val="single" w:sz="4" w:space="0" w:color="auto"/>
              <w:right w:val="single" w:sz="4" w:space="0" w:color="auto"/>
            </w:tcBorders>
            <w:shd w:val="clear" w:color="auto" w:fill="A6A6A6" w:themeFill="background1" w:themeFillShade="A6"/>
          </w:tcPr>
          <w:p w14:paraId="76142BAB" w14:textId="77777777" w:rsidR="001D1CB3" w:rsidRPr="00020AB7" w:rsidRDefault="001D1CB3">
            <w:pPr>
              <w:spacing w:line="276" w:lineRule="auto"/>
              <w:jc w:val="center"/>
              <w:rPr>
                <w:rFonts w:ascii="Arial" w:eastAsia="Batang" w:hAnsi="Arial" w:cs="Arial"/>
                <w:color w:val="000000"/>
                <w:sz w:val="20"/>
                <w:lang w:val="es-BO"/>
              </w:rPr>
            </w:pP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EDC43D1" w14:textId="77777777" w:rsidR="001D1CB3" w:rsidRPr="00020AB7" w:rsidRDefault="001D1CB3">
            <w:pPr>
              <w:spacing w:line="276" w:lineRule="auto"/>
              <w:jc w:val="center"/>
              <w:rPr>
                <w:rFonts w:ascii="Arial" w:eastAsia="Batang" w:hAnsi="Arial" w:cs="Arial"/>
                <w:color w:val="000000"/>
                <w:sz w:val="20"/>
                <w:lang w:val="es-BO"/>
              </w:rPr>
            </w:pP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3229D23" w14:textId="77777777" w:rsidR="001D1CB3" w:rsidRPr="00020AB7" w:rsidRDefault="001D1CB3">
            <w:pPr>
              <w:spacing w:line="276" w:lineRule="auto"/>
              <w:jc w:val="center"/>
              <w:rPr>
                <w:rFonts w:ascii="Arial" w:eastAsia="Batang" w:hAnsi="Arial" w:cs="Arial"/>
                <w:color w:val="000000"/>
                <w:sz w:val="20"/>
                <w:lang w:val="es-BO"/>
              </w:rPr>
            </w:pP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1F33D6D" w14:textId="77777777" w:rsidR="001D1CB3" w:rsidRPr="00020AB7" w:rsidRDefault="001D1CB3">
            <w:pPr>
              <w:spacing w:line="276" w:lineRule="auto"/>
              <w:jc w:val="center"/>
              <w:rPr>
                <w:rFonts w:ascii="Arial" w:eastAsia="Batang" w:hAnsi="Arial" w:cs="Arial"/>
                <w:color w:val="000000"/>
                <w:sz w:val="20"/>
                <w:lang w:val="es-BO"/>
              </w:rPr>
            </w:pP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B886626" w14:textId="77777777" w:rsidR="001D1CB3" w:rsidRPr="00020AB7" w:rsidRDefault="001D1CB3">
            <w:pPr>
              <w:spacing w:line="276" w:lineRule="auto"/>
              <w:jc w:val="center"/>
              <w:rPr>
                <w:rFonts w:ascii="Arial" w:eastAsia="Batang" w:hAnsi="Arial" w:cs="Arial"/>
                <w:color w:val="000000"/>
                <w:sz w:val="20"/>
                <w:lang w:val="es-BO"/>
              </w:rPr>
            </w:pP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AC39AB2" w14:textId="77777777" w:rsidR="001D1CB3" w:rsidRPr="00020AB7" w:rsidRDefault="001D1CB3">
            <w:pPr>
              <w:spacing w:line="276" w:lineRule="auto"/>
              <w:jc w:val="center"/>
              <w:rPr>
                <w:rFonts w:ascii="Arial" w:eastAsia="Batang" w:hAnsi="Arial" w:cs="Arial"/>
                <w:color w:val="000000"/>
                <w:sz w:val="20"/>
                <w:lang w:val="es-BO"/>
              </w:rPr>
            </w:pP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D125ECE" w14:textId="77777777" w:rsidR="001D1CB3" w:rsidRPr="00020AB7" w:rsidRDefault="001D1CB3">
            <w:pPr>
              <w:spacing w:line="276" w:lineRule="auto"/>
              <w:jc w:val="center"/>
              <w:rPr>
                <w:rFonts w:ascii="Arial" w:eastAsia="Batang" w:hAnsi="Arial" w:cs="Arial"/>
                <w:color w:val="000000"/>
                <w:sz w:val="20"/>
                <w:lang w:val="es-BO"/>
              </w:rPr>
            </w:pPr>
          </w:p>
        </w:tc>
        <w:tc>
          <w:tcPr>
            <w:tcW w:w="32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4CBCAE5" w14:textId="77777777" w:rsidR="001D1CB3" w:rsidRPr="00020AB7" w:rsidRDefault="001D1CB3">
            <w:pPr>
              <w:spacing w:line="276" w:lineRule="auto"/>
              <w:jc w:val="center"/>
              <w:rPr>
                <w:rFonts w:ascii="Arial" w:eastAsia="Batang" w:hAnsi="Arial" w:cs="Arial"/>
                <w:color w:val="000000"/>
                <w:sz w:val="20"/>
                <w:lang w:val="es-BO"/>
              </w:rPr>
            </w:pPr>
          </w:p>
        </w:tc>
        <w:tc>
          <w:tcPr>
            <w:tcW w:w="3611" w:type="dxa"/>
            <w:tcBorders>
              <w:top w:val="nil"/>
              <w:left w:val="nil"/>
              <w:bottom w:val="single" w:sz="4" w:space="0" w:color="auto"/>
              <w:right w:val="single" w:sz="4" w:space="0" w:color="auto"/>
            </w:tcBorders>
            <w:vAlign w:val="center"/>
            <w:hideMark/>
          </w:tcPr>
          <w:p w14:paraId="093386AA" w14:textId="77777777" w:rsidR="001D1CB3" w:rsidRPr="00020AB7" w:rsidRDefault="001D1CB3">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BID</w:t>
            </w:r>
          </w:p>
        </w:tc>
        <w:tc>
          <w:tcPr>
            <w:tcW w:w="2480" w:type="dxa"/>
            <w:tcBorders>
              <w:top w:val="nil"/>
              <w:left w:val="nil"/>
              <w:bottom w:val="single" w:sz="4" w:space="0" w:color="auto"/>
              <w:right w:val="single" w:sz="4" w:space="0" w:color="auto"/>
            </w:tcBorders>
            <w:vAlign w:val="center"/>
            <w:hideMark/>
          </w:tcPr>
          <w:p w14:paraId="18C1E893" w14:textId="77777777" w:rsidR="001D1CB3" w:rsidRPr="00020AB7" w:rsidRDefault="001D1CB3" w:rsidP="007C5D6C">
            <w:pPr>
              <w:spacing w:line="276" w:lineRule="auto"/>
              <w:rPr>
                <w:rFonts w:ascii="Arial" w:hAnsi="Arial" w:cs="Arial"/>
                <w:color w:val="000000"/>
                <w:sz w:val="20"/>
                <w:lang w:val="es-BO"/>
              </w:rPr>
            </w:pPr>
            <w:r w:rsidRPr="00020AB7">
              <w:rPr>
                <w:rFonts w:ascii="Arial" w:hAnsi="Arial" w:cs="Arial"/>
                <w:color w:val="000000"/>
                <w:sz w:val="20"/>
                <w:lang w:val="es-BO"/>
              </w:rPr>
              <w:t xml:space="preserve">15 días x 2 persona x 6 años x US$100=US$18.000 </w:t>
            </w:r>
          </w:p>
        </w:tc>
        <w:tc>
          <w:tcPr>
            <w:tcW w:w="2240" w:type="dxa"/>
            <w:tcBorders>
              <w:top w:val="nil"/>
              <w:left w:val="nil"/>
              <w:bottom w:val="single" w:sz="4" w:space="0" w:color="auto"/>
              <w:right w:val="single" w:sz="4" w:space="0" w:color="auto"/>
            </w:tcBorders>
            <w:vAlign w:val="center"/>
            <w:hideMark/>
          </w:tcPr>
          <w:p w14:paraId="62040772" w14:textId="77777777" w:rsidR="001D1CB3" w:rsidRPr="00020AB7" w:rsidRDefault="001D1CB3">
            <w:pPr>
              <w:spacing w:line="276" w:lineRule="auto"/>
              <w:jc w:val="center"/>
              <w:rPr>
                <w:rFonts w:ascii="Arial" w:hAnsi="Arial" w:cs="Arial"/>
                <w:color w:val="000000"/>
                <w:sz w:val="20"/>
                <w:lang w:val="es-BO"/>
              </w:rPr>
            </w:pPr>
            <w:r w:rsidRPr="00020AB7">
              <w:rPr>
                <w:rFonts w:ascii="Arial" w:hAnsi="Arial" w:eastAsia="Batang" w:cs="Arial"/>
                <w:color w:val="000000"/>
                <w:sz w:val="20"/>
                <w:lang w:val="es-BO"/>
              </w:rPr>
              <w:t>BID</w:t>
            </w:r>
          </w:p>
        </w:tc>
      </w:tr>
      <w:tr w:rsidR="001D1CB3" w:rsidRPr="00020AB7" w14:paraId="3BB680E6" w14:textId="77777777" w:rsidTr="002C39EE">
        <w:trPr>
          <w:trHeight w:val="314"/>
          <w:jc w:val="center"/>
        </w:trPr>
        <w:tc>
          <w:tcPr>
            <w:tcW w:w="13322" w:type="dxa"/>
            <w:gridSpan w:val="26"/>
            <w:tcBorders>
              <w:top w:val="single" w:sz="4" w:space="0" w:color="auto"/>
              <w:left w:val="single" w:sz="4" w:space="0" w:color="auto"/>
              <w:bottom w:val="single" w:sz="4" w:space="0" w:color="auto"/>
              <w:right w:val="single" w:sz="4" w:space="0" w:color="auto"/>
            </w:tcBorders>
          </w:tcPr>
          <w:p w14:paraId="12C127DE" w14:textId="77777777" w:rsidR="001D1CB3" w:rsidRPr="00020AB7" w:rsidRDefault="001D1CB3">
            <w:pPr>
              <w:spacing w:line="276" w:lineRule="auto"/>
              <w:jc w:val="right"/>
              <w:rPr>
                <w:rFonts w:ascii="Arial" w:eastAsia="Batang" w:hAnsi="Arial" w:cs="Arial"/>
                <w:b/>
                <w:color w:val="000000"/>
                <w:sz w:val="20"/>
                <w:lang w:val="es-BO"/>
              </w:rPr>
            </w:pPr>
            <w:r w:rsidRPr="00020AB7">
              <w:rPr>
                <w:rFonts w:ascii="Arial" w:hAnsi="Arial" w:eastAsia="Batang" w:cs="Arial"/>
                <w:b/>
                <w:color w:val="000000"/>
                <w:sz w:val="20"/>
                <w:lang w:val="es-BO"/>
              </w:rPr>
              <w:t xml:space="preserve">Costo Total </w:t>
            </w:r>
            <w:r w:rsidR="00611FAD" w:rsidRPr="00020AB7">
              <w:rPr>
                <w:rFonts w:ascii="Arial" w:hAnsi="Arial" w:eastAsia="Batang" w:cs="Arial"/>
                <w:b/>
                <w:color w:val="000000"/>
                <w:sz w:val="20"/>
                <w:lang w:val="es-BO"/>
              </w:rPr>
              <w:t>con cargo al programa</w:t>
            </w:r>
          </w:p>
        </w:tc>
        <w:tc>
          <w:tcPr>
            <w:tcW w:w="4720" w:type="dxa"/>
            <w:gridSpan w:val="2"/>
            <w:tcBorders>
              <w:top w:val="single" w:sz="4" w:space="0" w:color="auto"/>
              <w:left w:val="nil"/>
              <w:bottom w:val="single" w:sz="4" w:space="0" w:color="auto"/>
              <w:right w:val="single" w:sz="4" w:space="0" w:color="auto"/>
            </w:tcBorders>
            <w:vAlign w:val="center"/>
            <w:hideMark/>
          </w:tcPr>
          <w:p w14:paraId="17232E5E" w14:textId="77777777" w:rsidR="001D1CB3" w:rsidRPr="00020AB7" w:rsidRDefault="001D1CB3" w:rsidP="007C5D6C">
            <w:pPr>
              <w:spacing w:line="276" w:lineRule="auto"/>
              <w:rPr>
                <w:rFonts w:ascii="Arial" w:eastAsia="Batang" w:hAnsi="Arial" w:cs="Arial"/>
                <w:color w:val="000000"/>
                <w:sz w:val="20"/>
                <w:lang w:val="es-BO"/>
              </w:rPr>
            </w:pPr>
            <w:r w:rsidRPr="00020AB7">
              <w:rPr>
                <w:rFonts w:ascii="Arial" w:hAnsi="Arial" w:cs="Arial"/>
                <w:b/>
                <w:color w:val="000000"/>
                <w:sz w:val="20"/>
                <w:lang w:val="es-BO"/>
              </w:rPr>
              <w:t>US$791.100</w:t>
            </w:r>
          </w:p>
        </w:tc>
      </w:tr>
      <w:tr w:rsidR="001D1CB3" w:rsidRPr="00020AB7" w14:paraId="7D640D2B" w14:textId="77777777" w:rsidTr="002C39EE">
        <w:trPr>
          <w:trHeight w:val="269"/>
          <w:jc w:val="center"/>
        </w:trPr>
        <w:tc>
          <w:tcPr>
            <w:tcW w:w="13322" w:type="dxa"/>
            <w:gridSpan w:val="26"/>
            <w:tcBorders>
              <w:top w:val="single" w:sz="4" w:space="0" w:color="auto"/>
              <w:left w:val="single" w:sz="4" w:space="0" w:color="auto"/>
              <w:bottom w:val="single" w:sz="4" w:space="0" w:color="auto"/>
              <w:right w:val="single" w:sz="4" w:space="0" w:color="auto"/>
            </w:tcBorders>
          </w:tcPr>
          <w:p w14:paraId="637BCC99" w14:textId="77777777" w:rsidR="001D1CB3" w:rsidRPr="00020AB7" w:rsidRDefault="001D1CB3">
            <w:pPr>
              <w:spacing w:line="276" w:lineRule="auto"/>
              <w:jc w:val="right"/>
              <w:rPr>
                <w:rFonts w:ascii="Arial" w:eastAsia="Batang" w:hAnsi="Arial" w:cs="Arial"/>
                <w:b/>
                <w:color w:val="000000"/>
                <w:sz w:val="20"/>
                <w:lang w:val="es-BO"/>
              </w:rPr>
            </w:pPr>
            <w:r w:rsidRPr="00020AB7">
              <w:rPr>
                <w:rFonts w:ascii="Arial" w:hAnsi="Arial" w:eastAsia="Batang" w:cs="Arial"/>
                <w:b/>
                <w:color w:val="000000"/>
                <w:sz w:val="20"/>
                <w:lang w:val="es-BO"/>
              </w:rPr>
              <w:t>Costo Total Supervisión del Banco</w:t>
            </w:r>
          </w:p>
        </w:tc>
        <w:tc>
          <w:tcPr>
            <w:tcW w:w="4720" w:type="dxa"/>
            <w:gridSpan w:val="2"/>
            <w:tcBorders>
              <w:top w:val="single" w:sz="4" w:space="0" w:color="auto"/>
              <w:left w:val="nil"/>
              <w:bottom w:val="single" w:sz="4" w:space="0" w:color="auto"/>
              <w:right w:val="single" w:sz="4" w:space="0" w:color="auto"/>
            </w:tcBorders>
            <w:vAlign w:val="center"/>
            <w:hideMark/>
          </w:tcPr>
          <w:p w14:paraId="1F64E9A4" w14:textId="77777777" w:rsidR="001D1CB3" w:rsidRPr="00020AB7" w:rsidRDefault="001D1CB3" w:rsidP="007C5D6C">
            <w:pPr>
              <w:spacing w:line="276" w:lineRule="auto"/>
              <w:rPr>
                <w:rFonts w:ascii="Arial" w:eastAsia="Batang" w:hAnsi="Arial" w:cs="Arial"/>
                <w:color w:val="000000"/>
                <w:sz w:val="20"/>
                <w:lang w:val="es-BO"/>
              </w:rPr>
            </w:pPr>
            <w:r w:rsidRPr="00020AB7">
              <w:rPr>
                <w:rFonts w:ascii="Arial" w:hAnsi="Arial" w:cs="Arial"/>
                <w:b/>
                <w:color w:val="000000"/>
                <w:sz w:val="20"/>
                <w:lang w:val="es-BO"/>
              </w:rPr>
              <w:t>US$71.100</w:t>
            </w:r>
          </w:p>
        </w:tc>
      </w:tr>
    </w:tbl>
    <w:p w14:paraId="025A2D9A" w14:textId="77777777" w:rsidR="00EA4952" w:rsidRDefault="00EA4952" w:rsidP="00E56646">
      <w:pPr>
        <w:jc w:val="center"/>
        <w:rPr>
          <w:b/>
          <w:szCs w:val="24"/>
        </w:rPr>
      </w:pPr>
    </w:p>
    <w:p w14:paraId="58940D8A" w14:textId="77777777" w:rsidR="00EA4952" w:rsidRDefault="00EA4952" w:rsidP="00E56646">
      <w:pPr>
        <w:jc w:val="center"/>
        <w:rPr>
          <w:b/>
          <w:szCs w:val="24"/>
        </w:rPr>
      </w:pPr>
    </w:p>
    <w:p w14:paraId="42D84180" w14:textId="77777777" w:rsidR="00EA4952" w:rsidRPr="002776C8" w:rsidRDefault="00EA4952" w:rsidP="00E56646">
      <w:pPr>
        <w:jc w:val="center"/>
        <w:rPr>
          <w:b/>
          <w:szCs w:val="24"/>
        </w:rPr>
      </w:pPr>
    </w:p>
    <w:p w14:paraId="7D559839" w14:textId="77777777" w:rsidR="00E56646" w:rsidRPr="002776C8" w:rsidRDefault="00E56646">
      <w:pPr>
        <w:spacing w:after="200" w:line="276" w:lineRule="auto"/>
        <w:rPr>
          <w:szCs w:val="24"/>
        </w:rPr>
        <w:sectPr w:rsidR="00E56646" w:rsidRPr="002776C8" w:rsidSect="00E56646">
          <w:pgSz w:w="20160" w:h="12240" w:orient="landscape" w:code="5"/>
          <w:pgMar w:top="1440" w:right="1440" w:bottom="1440" w:left="1632" w:header="0" w:footer="986" w:gutter="0"/>
          <w:cols w:space="708"/>
          <w:docGrid w:linePitch="326"/>
        </w:sectPr>
      </w:pPr>
    </w:p>
    <w:p w14:paraId="55C47370" w14:textId="77777777" w:rsidR="006A6580" w:rsidRDefault="006A6580" w:rsidP="006A6580"/>
    <w:p w14:paraId="10B01BC9" w14:textId="77777777" w:rsidR="006A6580" w:rsidRDefault="006A6580" w:rsidP="006A6580">
      <w:pPr>
        <w:sectPr w:rsidR="006A6580" w:rsidSect="00E56646">
          <w:pgSz w:w="12240" w:h="15840"/>
          <w:pgMar w:top="1632" w:right="1440" w:bottom="1440" w:left="1440" w:header="0" w:footer="986" w:gutter="0"/>
          <w:cols w:space="708"/>
        </w:sectPr>
      </w:pPr>
    </w:p>
    <w:p w14:paraId="57BDC2E9" w14:textId="49BA71E4" w:rsidR="0035258C" w:rsidRPr="002776C8" w:rsidRDefault="00DE4BE6" w:rsidP="006A6580">
      <w:pPr>
        <w:pStyle w:val="Chapter"/>
      </w:pPr>
      <w:bookmarkStart w:id="10" w:name="_Toc513537391"/>
      <w:r w:rsidRPr="002776C8">
        <w:t>Evaluación</w:t>
      </w:r>
      <w:bookmarkEnd w:id="10"/>
    </w:p>
    <w:p w14:paraId="25EB3665" w14:textId="77777777" w:rsidR="008F6C6A" w:rsidRDefault="007C2EAA" w:rsidP="00F74320">
      <w:pPr>
        <w:pStyle w:val="Paragraph"/>
      </w:pPr>
      <w:r>
        <w:t xml:space="preserve">La evaluación del programa </w:t>
      </w:r>
      <w:proofErr w:type="gramStart"/>
      <w:r>
        <w:t>consistirá de</w:t>
      </w:r>
      <w:proofErr w:type="gramEnd"/>
      <w:r>
        <w:t xml:space="preserve"> una evaluación cualitativa intermedia y una evaluación cualitativa de terminación del proyecto, en base a los indicadores de resultados. De igual manera, el programa contempla la preparación de una evaluación económica de </w:t>
      </w:r>
      <w:r>
        <w:rPr>
          <w:color w:val="000000"/>
        </w:rPr>
        <w:t>costo-beneficio ex-post</w:t>
      </w:r>
      <w:r>
        <w:t>. Los resultados de estas evaluaciones serán incluidos dentro del Informe de Terminación de Operaciones (PCR)</w:t>
      </w:r>
      <w:r w:rsidR="008F6C6A">
        <w:t>.</w:t>
      </w:r>
      <w:bookmarkStart w:id="11" w:name="_Toc430745848"/>
    </w:p>
    <w:p w14:paraId="4B927AAF" w14:textId="77777777" w:rsidR="00D700F0" w:rsidRDefault="00D700F0" w:rsidP="00F74320">
      <w:pPr>
        <w:pStyle w:val="Paragraph"/>
      </w:pPr>
      <w:r w:rsidRPr="00D700F0">
        <w:t xml:space="preserve">La evaluación de medio término se realizará a los </w:t>
      </w:r>
      <w:r w:rsidR="00AD41E9">
        <w:t>sesenta (</w:t>
      </w:r>
      <w:r w:rsidRPr="00D700F0">
        <w:t>60</w:t>
      </w:r>
      <w:r w:rsidR="00AD41E9">
        <w:t>)</w:t>
      </w:r>
      <w:r w:rsidRPr="00D700F0">
        <w:t xml:space="preserve"> días contados a partir de la fecha en que se haya desembolsado el 50% de</w:t>
      </w:r>
      <w:r w:rsidR="00AD41E9">
        <w:t xml:space="preserve"> los recursos del préstamo.  La UEP</w:t>
      </w:r>
      <w:r w:rsidRPr="00D700F0">
        <w:t xml:space="preserve"> realizará esta evaluación intermedia para verificar el cumplimiento en la ejecución general del proyecto y el avance hacia la consecución de met</w:t>
      </w:r>
      <w:r w:rsidR="00AD41E9">
        <w:t xml:space="preserve">as de la Matriz de Resultados. </w:t>
      </w:r>
    </w:p>
    <w:p w14:paraId="4D797C0B" w14:textId="77777777" w:rsidR="00AD41E9" w:rsidRPr="00AD41E9" w:rsidRDefault="00AD41E9" w:rsidP="00F74320">
      <w:pPr>
        <w:pStyle w:val="Paragraph"/>
      </w:pPr>
      <w:r w:rsidRPr="00AD41E9">
        <w:t xml:space="preserve">Esta evaluación identificará si el proyecto está logrando los resultados últimos previstos y si está avanzando adecuadamente hacia la consecución del objetivo planteado. </w:t>
      </w:r>
      <w:proofErr w:type="gramStart"/>
      <w:r w:rsidRPr="00AD41E9">
        <w:t>Además</w:t>
      </w:r>
      <w:proofErr w:type="gramEnd"/>
      <w:r w:rsidRPr="00AD41E9">
        <w:t xml:space="preserve"> analizará la estrategia de la operación y su pertinencia para la situación del entorno. Verificará si los supuestos indicados en la Matriz de Resultados se han cumplido. También incluirá un análisis de los arreglos operativos y administrativos empleados y recomendaciones para su optimización. </w:t>
      </w:r>
      <w:proofErr w:type="gramStart"/>
      <w:r w:rsidRPr="00AD41E9">
        <w:t>Asimismo</w:t>
      </w:r>
      <w:proofErr w:type="gramEnd"/>
      <w:r w:rsidRPr="00AD41E9">
        <w:t xml:space="preserve"> analizará el cumplimiento de los compromisos establecidos en el Convenio </w:t>
      </w:r>
      <w:r>
        <w:t>BO</w:t>
      </w:r>
      <w:r w:rsidRPr="00AD41E9">
        <w:t>-L11</w:t>
      </w:r>
      <w:r w:rsidR="00477789">
        <w:t>90</w:t>
      </w:r>
      <w:r w:rsidRPr="00AD41E9">
        <w:t xml:space="preserve">, y en el MOP.  La evaluación de medio término deberá orientar a los ejecutores del proyecto respecto a ajustes estratégicos y operativos que fuesen necesarios adoptar. </w:t>
      </w:r>
    </w:p>
    <w:p w14:paraId="48987E1F" w14:textId="77777777" w:rsidR="00857070" w:rsidRPr="00AD41E9" w:rsidRDefault="00AD41E9" w:rsidP="00F74320">
      <w:pPr>
        <w:pStyle w:val="Paragraph"/>
      </w:pPr>
      <w:r w:rsidRPr="00AD41E9">
        <w:t xml:space="preserve">Una vez finalizado el proyecto, el BID contratará consultores individuales para la preparación de la evaluación final. El </w:t>
      </w:r>
      <w:r w:rsidR="00857070" w:rsidRPr="00857070">
        <w:t>Análisis Costo-Beneficio (</w:t>
      </w:r>
      <w:r w:rsidRPr="00AD41E9">
        <w:t>ACB</w:t>
      </w:r>
      <w:r w:rsidR="00857070">
        <w:t>)</w:t>
      </w:r>
      <w:r w:rsidRPr="00AD41E9">
        <w:t xml:space="preserve"> ex post se desarrollará siguiendo la misma metodología básica descrita para el ACB ex ante</w:t>
      </w:r>
      <w:r w:rsidR="00857070" w:rsidRPr="00857070">
        <w:t xml:space="preserve">, </w:t>
      </w:r>
      <w:r w:rsidR="00857070">
        <w:t xml:space="preserve">permitiendo </w:t>
      </w:r>
      <w:r w:rsidR="00857070" w:rsidRPr="00857070">
        <w:t xml:space="preserve">determinar si los beneficios </w:t>
      </w:r>
      <w:r w:rsidR="00C15C47">
        <w:t xml:space="preserve">efectivamente </w:t>
      </w:r>
      <w:r w:rsidR="00857070" w:rsidRPr="00857070">
        <w:t xml:space="preserve">realizados fueron suficientes para recuperar la inversión considerando los costos incurridos, así como los beneficios </w:t>
      </w:r>
      <w:r w:rsidR="00C15C47">
        <w:t xml:space="preserve">materializados </w:t>
      </w:r>
      <w:r w:rsidR="00857070" w:rsidRPr="00857070">
        <w:t>con la ejecución del proyecto.</w:t>
      </w:r>
    </w:p>
    <w:p w14:paraId="1D2B5A15" w14:textId="77777777" w:rsidR="00AD41E9" w:rsidRPr="00AD41E9" w:rsidRDefault="00AD41E9" w:rsidP="00F74320">
      <w:pPr>
        <w:pStyle w:val="Paragraph"/>
      </w:pPr>
      <w:r w:rsidRPr="00AD41E9">
        <w:t xml:space="preserve">La Evaluación Final se realizará en formato de PCR. La misma se realizará una dentro de los </w:t>
      </w:r>
      <w:r>
        <w:t>sesenta</w:t>
      </w:r>
      <w:r w:rsidRPr="00AD41E9">
        <w:t xml:space="preserve"> (</w:t>
      </w:r>
      <w:r>
        <w:t>6</w:t>
      </w:r>
      <w:r w:rsidRPr="00AD41E9">
        <w:t>0) días contados a partir de la fecha en que se haya desembolsado el 9</w:t>
      </w:r>
      <w:r>
        <w:t>0</w:t>
      </w:r>
      <w:r w:rsidRPr="00AD41E9">
        <w:t xml:space="preserve">% de los recursos del financiamiento del BID.  </w:t>
      </w:r>
    </w:p>
    <w:p w14:paraId="232BA3E8" w14:textId="77777777" w:rsidR="00184BD7" w:rsidRPr="008F6C6A" w:rsidRDefault="00184BD7" w:rsidP="00F74320">
      <w:pPr>
        <w:pStyle w:val="FirstHeading"/>
        <w:numPr>
          <w:ilvl w:val="0"/>
          <w:numId w:val="45"/>
        </w:numPr>
      </w:pPr>
      <w:bookmarkStart w:id="12" w:name="_Toc513537392"/>
      <w:r w:rsidRPr="008F6C6A">
        <w:t>Principales Preguntas de Evaluación</w:t>
      </w:r>
      <w:r>
        <w:t>.</w:t>
      </w:r>
      <w:bookmarkEnd w:id="12"/>
    </w:p>
    <w:p w14:paraId="5C3BD1AC" w14:textId="61B67E6B" w:rsidR="00184BD7" w:rsidRDefault="00184BD7" w:rsidP="00F74320">
      <w:pPr>
        <w:pStyle w:val="Paragraph"/>
      </w:pPr>
      <w:r>
        <w:t xml:space="preserve">La evaluación del Programa busca responder a las interrogantes sobre si, mediante la ejecución de las obras previstas, se ha logrado los resultados identificados en la Matriz de Resultados del Programa, en relación </w:t>
      </w:r>
      <w:r w:rsidR="00477789">
        <w:t xml:space="preserve">sobre si ha reducido el consumo de diésel en </w:t>
      </w:r>
      <w:r w:rsidR="00BA2AFD">
        <w:t>el municipio</w:t>
      </w:r>
      <w:r w:rsidR="00477789">
        <w:t xml:space="preserve"> de San Ignacio de Velasco y, si ha reducido el consumo de </w:t>
      </w:r>
      <w:r w:rsidR="00E97E41">
        <w:t>electricidad</w:t>
      </w:r>
      <w:r w:rsidR="00477789">
        <w:t xml:space="preserve"> por concepto de Alumbrado </w:t>
      </w:r>
      <w:r w:rsidR="00E97E41">
        <w:t>Público</w:t>
      </w:r>
      <w:r w:rsidR="00477789">
        <w:t xml:space="preserve"> en los municipios </w:t>
      </w:r>
      <w:r w:rsidR="00CB43BF">
        <w:t>dos municipios</w:t>
      </w:r>
      <w:r>
        <w:t xml:space="preserve">. </w:t>
      </w:r>
    </w:p>
    <w:p w14:paraId="7DE79DE1" w14:textId="77777777" w:rsidR="00C025D2" w:rsidRPr="00C025D2" w:rsidRDefault="00C025D2" w:rsidP="00F74320">
      <w:pPr>
        <w:pStyle w:val="FirstHeading"/>
      </w:pPr>
      <w:bookmarkStart w:id="13" w:name="_Toc513537393"/>
      <w:r w:rsidRPr="008F6C6A">
        <w:t>Análisis Costo Beneficio Ex-Ante del Proyecto de Muestra.</w:t>
      </w:r>
      <w:bookmarkEnd w:id="13"/>
      <w:r>
        <w:t xml:space="preserve"> </w:t>
      </w:r>
    </w:p>
    <w:p w14:paraId="39A0BE3E" w14:textId="429507C3" w:rsidR="00477789" w:rsidRDefault="00477789" w:rsidP="00F74320">
      <w:pPr>
        <w:pStyle w:val="Paragraph"/>
      </w:pPr>
      <w:bookmarkStart w:id="14" w:name="_Toc430745849"/>
      <w:bookmarkEnd w:id="11"/>
      <w:r w:rsidRPr="00FE5F91">
        <w:t xml:space="preserve">Se realizó una evaluación económica </w:t>
      </w:r>
      <w:r>
        <w:t>de</w:t>
      </w:r>
      <w:r w:rsidRPr="00FE5F91">
        <w:t xml:space="preserve"> tipo costo beneficio ex ante para cada uno de los componentes. Para </w:t>
      </w:r>
      <w:r w:rsidRPr="00C66286">
        <w:t xml:space="preserve">el Componente 1 se </w:t>
      </w:r>
      <w:r>
        <w:t xml:space="preserve">consideraron </w:t>
      </w:r>
      <w:r w:rsidRPr="00BE14E7">
        <w:t>los siguientes beneficios</w:t>
      </w:r>
      <w:r w:rsidRPr="00FE5F91">
        <w:t>: (i)</w:t>
      </w:r>
      <w:r w:rsidR="00F74320">
        <w:t> </w:t>
      </w:r>
      <w:r>
        <w:t>B</w:t>
      </w:r>
      <w:r w:rsidRPr="00FE5F91">
        <w:t>eneficio por la reducción del consumo de diésel</w:t>
      </w:r>
      <w:r>
        <w:t>, dado que</w:t>
      </w:r>
      <w:r w:rsidRPr="00C66286">
        <w:t xml:space="preserve"> el </w:t>
      </w:r>
      <w:r>
        <w:t>SA</w:t>
      </w:r>
      <w:r w:rsidRPr="00C66286">
        <w:t xml:space="preserve"> de San Ignacio de </w:t>
      </w:r>
      <w:r w:rsidRPr="00BE14E7">
        <w:t xml:space="preserve">Velasco </w:t>
      </w:r>
      <w:r>
        <w:t xml:space="preserve">pasará a consumir energía del SIN; se estimó que </w:t>
      </w:r>
      <w:r w:rsidRPr="00BE14E7">
        <w:t>dejará de consumir</w:t>
      </w:r>
      <w:r>
        <w:t xml:space="preserve"> 144.6</w:t>
      </w:r>
      <w:r w:rsidR="00F74320">
        <w:t> </w:t>
      </w:r>
      <w:r>
        <w:t>millones de litros</w:t>
      </w:r>
      <w:r w:rsidRPr="00BE14E7">
        <w:t xml:space="preserve"> diésel</w:t>
      </w:r>
      <w:r>
        <w:t xml:space="preserve"> en los primeros 10 años de implementación del proyecto; </w:t>
      </w:r>
      <w:r w:rsidRPr="00B33B8C">
        <w:t>(ii)</w:t>
      </w:r>
      <w:r>
        <w:t xml:space="preserve"> E</w:t>
      </w:r>
      <w:r w:rsidRPr="007A6382">
        <w:t>nergía no suministrada</w:t>
      </w:r>
      <w:r>
        <w:t>, que totalizan beneficios acumulados para los primeros 10 años por US$1.4 millones</w:t>
      </w:r>
      <w:r w:rsidRPr="007A6382">
        <w:t xml:space="preserve">; y (iii) </w:t>
      </w:r>
      <w:r>
        <w:t>Reducción de 16.450 ton de emisiones  de CO</w:t>
      </w:r>
      <w:r w:rsidRPr="0030483C">
        <w:rPr>
          <w:vertAlign w:val="subscript"/>
        </w:rPr>
        <w:t>2</w:t>
      </w:r>
      <w:r>
        <w:t xml:space="preserve"> anuales, </w:t>
      </w:r>
      <w:r w:rsidRPr="007A6382">
        <w:t xml:space="preserve">al </w:t>
      </w:r>
      <w:r>
        <w:t>evitar</w:t>
      </w:r>
      <w:r w:rsidRPr="007A6382">
        <w:t xml:space="preserve"> el consumo de diésel en la generación eléctrica. Los resultados muestran que </w:t>
      </w:r>
      <w:r>
        <w:t xml:space="preserve">las inversiones son </w:t>
      </w:r>
      <w:r w:rsidRPr="007A6382">
        <w:t>altamente rentable</w:t>
      </w:r>
      <w:r>
        <w:t>s</w:t>
      </w:r>
      <w:r w:rsidRPr="00FE5F91">
        <w:t>:</w:t>
      </w:r>
    </w:p>
    <w:p w14:paraId="66AF33F4" w14:textId="77777777" w:rsidR="00477789" w:rsidRDefault="00477789" w:rsidP="00477789">
      <w:pPr>
        <w:pStyle w:val="Paragraph"/>
        <w:numPr>
          <w:ilvl w:val="0"/>
          <w:numId w:val="0"/>
        </w:numPr>
        <w:ind w:left="720"/>
      </w:pPr>
    </w:p>
    <w:tbl>
      <w:tblPr>
        <w:tblStyle w:val="TableGrid"/>
        <w:tblW w:w="0" w:type="auto"/>
        <w:jc w:val="center"/>
        <w:tblLook w:val="04A0" w:firstRow="1" w:lastRow="0" w:firstColumn="1" w:lastColumn="0" w:noHBand="0" w:noVBand="1"/>
      </w:tblPr>
      <w:tblGrid>
        <w:gridCol w:w="2359"/>
        <w:gridCol w:w="2340"/>
      </w:tblGrid>
      <w:tr w:rsidR="00477789" w:rsidRPr="00AE6401" w14:paraId="1D80D160" w14:textId="77777777" w:rsidTr="00D50387">
        <w:trPr>
          <w:trHeight w:val="272"/>
          <w:jc w:val="center"/>
        </w:trPr>
        <w:tc>
          <w:tcPr>
            <w:tcW w:w="2359" w:type="dxa"/>
            <w:shd w:val="clear" w:color="auto" w:fill="006699"/>
            <w:vAlign w:val="center"/>
          </w:tcPr>
          <w:p w14:paraId="6A68F2E7" w14:textId="77777777" w:rsidR="00477789" w:rsidRPr="00AE6401" w:rsidRDefault="00477789" w:rsidP="00D50387">
            <w:pPr>
              <w:jc w:val="center"/>
              <w:rPr>
                <w:rFonts w:ascii="Arial" w:hAnsi="Arial" w:cs="Arial"/>
                <w:b/>
                <w:bCs/>
                <w:color w:val="FFFFFF" w:themeColor="background1"/>
                <w:sz w:val="20"/>
                <w:lang w:eastAsia="es-BO"/>
              </w:rPr>
            </w:pPr>
            <w:r w:rsidRPr="00FE5F91">
              <w:rPr>
                <w:rFonts w:ascii="Arial" w:hAnsi="Arial" w:cs="Arial"/>
                <w:b/>
                <w:bCs/>
                <w:color w:val="FFFFFF" w:themeColor="background1"/>
                <w:sz w:val="20"/>
                <w:lang w:eastAsia="es-BO"/>
              </w:rPr>
              <w:t>INDICADOR</w:t>
            </w:r>
          </w:p>
        </w:tc>
        <w:tc>
          <w:tcPr>
            <w:tcW w:w="2340" w:type="dxa"/>
            <w:shd w:val="clear" w:color="auto" w:fill="006699"/>
            <w:vAlign w:val="center"/>
          </w:tcPr>
          <w:p w14:paraId="573B6AE6" w14:textId="77777777" w:rsidR="00477789" w:rsidRPr="00AE6401" w:rsidRDefault="00477789" w:rsidP="00D50387">
            <w:pPr>
              <w:jc w:val="center"/>
              <w:rPr>
                <w:rFonts w:ascii="Arial" w:hAnsi="Arial" w:cs="Arial"/>
                <w:b/>
                <w:bCs/>
                <w:color w:val="FFFFFF" w:themeColor="background1"/>
                <w:sz w:val="20"/>
                <w:lang w:eastAsia="es-BO"/>
              </w:rPr>
            </w:pPr>
            <w:r w:rsidRPr="00FE5F91">
              <w:rPr>
                <w:rFonts w:ascii="Arial" w:hAnsi="Arial" w:cs="Arial"/>
                <w:b/>
                <w:bCs/>
                <w:color w:val="FFFFFF" w:themeColor="background1"/>
                <w:sz w:val="20"/>
                <w:lang w:eastAsia="es-BO"/>
              </w:rPr>
              <w:t>Valor</w:t>
            </w:r>
          </w:p>
        </w:tc>
      </w:tr>
      <w:tr w:rsidR="00477789" w:rsidRPr="00AE6401" w14:paraId="2E0ACF40" w14:textId="77777777" w:rsidTr="00D50387">
        <w:trPr>
          <w:trHeight w:val="272"/>
          <w:jc w:val="center"/>
        </w:trPr>
        <w:tc>
          <w:tcPr>
            <w:tcW w:w="2359" w:type="dxa"/>
          </w:tcPr>
          <w:p w14:paraId="71ECFEDA" w14:textId="77777777" w:rsidR="00477789" w:rsidRPr="00AE6401" w:rsidRDefault="00477789" w:rsidP="00D50387">
            <w:pPr>
              <w:rPr>
                <w:rFonts w:ascii="Arial" w:hAnsi="Arial" w:cs="Arial"/>
                <w:sz w:val="20"/>
                <w:lang w:eastAsia="es-BO"/>
              </w:rPr>
            </w:pPr>
            <w:r w:rsidRPr="2D0C9D99">
              <w:rPr>
                <w:rFonts w:ascii="Arial" w:hAnsi="Arial" w:cs="Arial"/>
                <w:sz w:val="20"/>
                <w:lang w:eastAsia="es-BO"/>
              </w:rPr>
              <w:t>VANS (US$)</w:t>
            </w:r>
            <w:r w:rsidRPr="00FA41A9">
              <w:rPr>
                <w:rFonts w:ascii="Arial" w:hAnsi="Arial" w:cs="Arial"/>
                <w:sz w:val="20"/>
                <w:lang w:eastAsia="es-BO"/>
              </w:rPr>
              <w:tab/>
            </w:r>
          </w:p>
        </w:tc>
        <w:tc>
          <w:tcPr>
            <w:tcW w:w="2340" w:type="dxa"/>
          </w:tcPr>
          <w:p w14:paraId="2BF9ED21" w14:textId="77777777" w:rsidR="00477789" w:rsidRPr="00AE6401" w:rsidRDefault="00477789" w:rsidP="00D50387">
            <w:pPr>
              <w:jc w:val="center"/>
              <w:rPr>
                <w:rFonts w:ascii="Arial" w:hAnsi="Arial" w:cs="Arial"/>
                <w:sz w:val="20"/>
                <w:lang w:eastAsia="es-BO"/>
              </w:rPr>
            </w:pPr>
            <w:r w:rsidRPr="00DA59AD">
              <w:rPr>
                <w:rFonts w:ascii="Arial" w:hAnsi="Arial" w:cs="Arial"/>
                <w:color w:val="000000"/>
                <w:sz w:val="22"/>
                <w:szCs w:val="22"/>
              </w:rPr>
              <w:t>45,808,614</w:t>
            </w:r>
          </w:p>
        </w:tc>
      </w:tr>
      <w:tr w:rsidR="00477789" w:rsidRPr="00AE6401" w14:paraId="140B196C" w14:textId="77777777" w:rsidTr="00D50387">
        <w:trPr>
          <w:trHeight w:val="272"/>
          <w:jc w:val="center"/>
        </w:trPr>
        <w:tc>
          <w:tcPr>
            <w:tcW w:w="2359" w:type="dxa"/>
          </w:tcPr>
          <w:p w14:paraId="6FBD8FEE" w14:textId="77777777" w:rsidR="00477789" w:rsidRPr="00AE6401" w:rsidRDefault="00477789" w:rsidP="00D50387">
            <w:pPr>
              <w:rPr>
                <w:rFonts w:ascii="Arial" w:hAnsi="Arial" w:cs="Arial"/>
                <w:sz w:val="20"/>
                <w:lang w:eastAsia="es-BO"/>
              </w:rPr>
            </w:pPr>
            <w:r w:rsidRPr="2D0C9D99">
              <w:rPr>
                <w:rFonts w:ascii="Arial" w:hAnsi="Arial" w:cs="Arial"/>
                <w:sz w:val="20"/>
                <w:lang w:eastAsia="es-BO"/>
              </w:rPr>
              <w:t>TIRS</w:t>
            </w:r>
          </w:p>
        </w:tc>
        <w:tc>
          <w:tcPr>
            <w:tcW w:w="2340" w:type="dxa"/>
          </w:tcPr>
          <w:p w14:paraId="56479AD1" w14:textId="77777777" w:rsidR="00477789" w:rsidRPr="00AE6401" w:rsidRDefault="00477789" w:rsidP="00D50387">
            <w:pPr>
              <w:jc w:val="center"/>
              <w:rPr>
                <w:rFonts w:ascii="Arial" w:hAnsi="Arial" w:cs="Arial"/>
                <w:sz w:val="20"/>
                <w:lang w:eastAsia="es-BO"/>
              </w:rPr>
            </w:pPr>
            <w:r w:rsidRPr="00DA59AD">
              <w:rPr>
                <w:rFonts w:ascii="Arial" w:hAnsi="Arial" w:cs="Arial"/>
                <w:color w:val="000000"/>
                <w:sz w:val="22"/>
                <w:szCs w:val="22"/>
              </w:rPr>
              <w:t>21.60%</w:t>
            </w:r>
          </w:p>
        </w:tc>
      </w:tr>
    </w:tbl>
    <w:p w14:paraId="08DB0161" w14:textId="77777777" w:rsidR="00477789" w:rsidRPr="00D56855" w:rsidRDefault="00477789" w:rsidP="00477789">
      <w:pPr>
        <w:pStyle w:val="Paragraph"/>
        <w:numPr>
          <w:ilvl w:val="0"/>
          <w:numId w:val="0"/>
        </w:numPr>
        <w:ind w:left="720"/>
        <w:rPr>
          <w:bCs/>
        </w:rPr>
      </w:pPr>
    </w:p>
    <w:p w14:paraId="3E8EC452" w14:textId="77777777" w:rsidR="00FA1109" w:rsidRPr="008B52C5" w:rsidRDefault="00477789" w:rsidP="00FA1109">
      <w:pPr>
        <w:pStyle w:val="Paragraph"/>
        <w:rPr>
          <w:lang w:val="es-419"/>
        </w:rPr>
      </w:pPr>
      <w:r w:rsidRPr="00FE5F91">
        <w:t xml:space="preserve">Con respecto al Componente 2, se analizaron los beneficios para </w:t>
      </w:r>
      <w:r w:rsidR="00BA2AFD">
        <w:t xml:space="preserve">los </w:t>
      </w:r>
      <w:r w:rsidR="00CB43BF">
        <w:t xml:space="preserve">municipios </w:t>
      </w:r>
      <w:r w:rsidR="00BA2AFD">
        <w:t xml:space="preserve">de </w:t>
      </w:r>
      <w:r w:rsidR="00CB43BF">
        <w:t>Oruro y</w:t>
      </w:r>
      <w:r w:rsidR="00BA2AFD">
        <w:t xml:space="preserve"> Potosí</w:t>
      </w:r>
      <w:r w:rsidRPr="00C27B15">
        <w:t xml:space="preserve">. </w:t>
      </w:r>
      <w:r w:rsidR="00FA1109" w:rsidRPr="00C27B15">
        <w:t xml:space="preserve">Para </w:t>
      </w:r>
      <w:r w:rsidR="00FA1109">
        <w:t>Potosí</w:t>
      </w:r>
      <w:r w:rsidR="00FA1109" w:rsidRPr="00C27B15">
        <w:t xml:space="preserve"> </w:t>
      </w:r>
      <w:r w:rsidR="00FA1109" w:rsidRPr="00C27B15">
        <w:t xml:space="preserve">los beneficios </w:t>
      </w:r>
      <w:r w:rsidR="00FA1109">
        <w:t xml:space="preserve">considerados </w:t>
      </w:r>
      <w:r w:rsidR="00FA1109" w:rsidRPr="00C27B15">
        <w:t>fueron: (i)</w:t>
      </w:r>
      <w:r w:rsidR="00FA1109">
        <w:t> </w:t>
      </w:r>
      <w:r w:rsidR="00FA1109" w:rsidRPr="00C27B15">
        <w:t>reducción anual de 1</w:t>
      </w:r>
      <w:r w:rsidR="00FA1109">
        <w:t xml:space="preserve">.069 </w:t>
      </w:r>
      <w:r w:rsidR="00FA1109" w:rsidRPr="00C27B15">
        <w:t xml:space="preserve">ton </w:t>
      </w:r>
      <w:r w:rsidR="00FA1109">
        <w:t xml:space="preserve">de </w:t>
      </w:r>
      <w:r w:rsidR="00FA1109" w:rsidRPr="00C27B15">
        <w:t>CO</w:t>
      </w:r>
      <w:r w:rsidR="00FA1109" w:rsidRPr="00884447">
        <w:rPr>
          <w:vertAlign w:val="subscript"/>
        </w:rPr>
        <w:t>2</w:t>
      </w:r>
      <w:r w:rsidR="00FA1109" w:rsidRPr="008B52C5">
        <w:t xml:space="preserve">; y (ii) </w:t>
      </w:r>
      <w:r w:rsidR="00FA1109" w:rsidRPr="008B52C5">
        <w:rPr>
          <w:lang w:val="es-419"/>
        </w:rPr>
        <w:t xml:space="preserve">beneficio por inversión diferida debido a la sustitución de lámparas que permitirá que la necesidad de potencia instalada se reduzca de </w:t>
      </w:r>
      <w:r w:rsidR="00FA1109">
        <w:rPr>
          <w:lang w:val="es-419"/>
        </w:rPr>
        <w:t xml:space="preserve">1.889 </w:t>
      </w:r>
      <w:r w:rsidR="00FA1109" w:rsidRPr="008B52C5">
        <w:rPr>
          <w:lang w:val="es-419"/>
        </w:rPr>
        <w:t xml:space="preserve">kW a </w:t>
      </w:r>
      <w:r w:rsidR="00FA1109">
        <w:rPr>
          <w:lang w:val="es-419"/>
        </w:rPr>
        <w:t>1.300,</w:t>
      </w:r>
      <w:r w:rsidR="00FA1109" w:rsidRPr="008B52C5">
        <w:rPr>
          <w:lang w:val="es-419"/>
        </w:rPr>
        <w:t>7</w:t>
      </w:r>
      <w:r w:rsidR="00FA1109">
        <w:rPr>
          <w:lang w:val="es-419"/>
        </w:rPr>
        <w:t xml:space="preserve"> </w:t>
      </w:r>
      <w:r w:rsidR="00FA1109" w:rsidRPr="008B52C5">
        <w:rPr>
          <w:lang w:val="es-419"/>
        </w:rPr>
        <w:t>kW.</w:t>
      </w:r>
      <w:r w:rsidR="00FA1109" w:rsidRPr="00266877">
        <w:rPr>
          <w:lang w:val="es-419"/>
        </w:rPr>
        <w:t xml:space="preserve"> Con relación al Muni</w:t>
      </w:r>
      <w:r w:rsidR="00FA1109" w:rsidRPr="0028187C">
        <w:rPr>
          <w:lang w:val="es-419"/>
        </w:rPr>
        <w:t xml:space="preserve">cipio de Oruro, se </w:t>
      </w:r>
      <w:r w:rsidR="00FA1109">
        <w:rPr>
          <w:lang w:val="es-419"/>
        </w:rPr>
        <w:t>consideraron</w:t>
      </w:r>
      <w:r w:rsidR="00FA1109" w:rsidRPr="0028187C">
        <w:rPr>
          <w:lang w:val="es-419"/>
        </w:rPr>
        <w:t>: (i)</w:t>
      </w:r>
      <w:r w:rsidR="00FA1109" w:rsidRPr="0028187C">
        <w:t xml:space="preserve"> ahorros producido</w:t>
      </w:r>
      <w:r w:rsidR="00FA1109" w:rsidRPr="00266877">
        <w:t>s por la sustitución de lámpara</w:t>
      </w:r>
      <w:r w:rsidR="00FA1109">
        <w:t>s que</w:t>
      </w:r>
      <w:r w:rsidR="00FA1109" w:rsidRPr="0028187C">
        <w:t xml:space="preserve"> reduce</w:t>
      </w:r>
      <w:r w:rsidR="00FA1109">
        <w:t>n</w:t>
      </w:r>
      <w:r w:rsidR="00FA1109" w:rsidRPr="0028187C">
        <w:t xml:space="preserve"> de forma directa el subsidio </w:t>
      </w:r>
      <w:r w:rsidR="00FA1109">
        <w:t>que el G</w:t>
      </w:r>
      <w:r w:rsidR="00FA1109" w:rsidRPr="0028187C">
        <w:t xml:space="preserve">obierno Municipal de Oruro </w:t>
      </w:r>
      <w:r w:rsidR="00FA1109">
        <w:t>otorga</w:t>
      </w:r>
      <w:r w:rsidR="00FA1109" w:rsidRPr="0028187C">
        <w:t xml:space="preserve"> para cubrir el déficit; (ii) reducción</w:t>
      </w:r>
      <w:r w:rsidR="00FA1109">
        <w:t xml:space="preserve"> anual</w:t>
      </w:r>
      <w:r w:rsidR="00FA1109" w:rsidRPr="0028187C">
        <w:t xml:space="preserve"> de </w:t>
      </w:r>
      <w:r w:rsidR="00FA1109">
        <w:t>4.805 ton de CO</w:t>
      </w:r>
      <w:r w:rsidR="00FA1109" w:rsidRPr="00884447">
        <w:rPr>
          <w:vertAlign w:val="subscript"/>
        </w:rPr>
        <w:t>2</w:t>
      </w:r>
      <w:r w:rsidR="00FA1109" w:rsidRPr="0028187C">
        <w:t xml:space="preserve">; </w:t>
      </w:r>
      <w:r w:rsidR="00FA1109">
        <w:t xml:space="preserve">y </w:t>
      </w:r>
      <w:r w:rsidR="00FA1109" w:rsidRPr="0028187C">
        <w:t xml:space="preserve">(iii) </w:t>
      </w:r>
      <w:r w:rsidR="00FA1109" w:rsidRPr="00266877">
        <w:rPr>
          <w:lang w:val="es-419"/>
        </w:rPr>
        <w:t>beneficio</w:t>
      </w:r>
      <w:r w:rsidR="00FA1109" w:rsidRPr="0028187C">
        <w:rPr>
          <w:lang w:val="es-419"/>
        </w:rPr>
        <w:t xml:space="preserve"> por </w:t>
      </w:r>
      <w:r w:rsidR="00FA1109">
        <w:rPr>
          <w:lang w:val="es-419"/>
        </w:rPr>
        <w:t>i</w:t>
      </w:r>
      <w:r w:rsidR="00FA1109" w:rsidRPr="00266877">
        <w:rPr>
          <w:lang w:val="es-419"/>
        </w:rPr>
        <w:t>nversión diferida</w:t>
      </w:r>
      <w:r w:rsidR="00FA1109">
        <w:rPr>
          <w:lang w:val="es-419"/>
        </w:rPr>
        <w:t xml:space="preserve"> por</w:t>
      </w:r>
      <w:r w:rsidR="00FA1109" w:rsidRPr="0028187C">
        <w:rPr>
          <w:lang w:val="es-419"/>
        </w:rPr>
        <w:t xml:space="preserve"> la sustitución de lámparas</w:t>
      </w:r>
      <w:r w:rsidR="00FA1109">
        <w:rPr>
          <w:lang w:val="es-419"/>
        </w:rPr>
        <w:t xml:space="preserve"> que permitirá que la necesidad de </w:t>
      </w:r>
      <w:r w:rsidR="00FA1109" w:rsidRPr="0028187C">
        <w:rPr>
          <w:lang w:val="es-419"/>
        </w:rPr>
        <w:t>potencia instalada de Oruro</w:t>
      </w:r>
      <w:r w:rsidR="00FA1109" w:rsidRPr="00266877">
        <w:rPr>
          <w:lang w:val="es-419"/>
        </w:rPr>
        <w:t xml:space="preserve"> se redu</w:t>
      </w:r>
      <w:r w:rsidR="00FA1109">
        <w:rPr>
          <w:lang w:val="es-419"/>
        </w:rPr>
        <w:t xml:space="preserve">zca </w:t>
      </w:r>
      <w:r w:rsidR="00FA1109" w:rsidRPr="0028187C">
        <w:rPr>
          <w:lang w:val="es-419"/>
        </w:rPr>
        <w:t>de 5</w:t>
      </w:r>
      <w:r w:rsidR="00FA1109">
        <w:rPr>
          <w:lang w:val="es-419"/>
        </w:rPr>
        <w:t>.</w:t>
      </w:r>
      <w:r w:rsidR="00FA1109" w:rsidRPr="0028187C">
        <w:rPr>
          <w:lang w:val="es-419"/>
        </w:rPr>
        <w:t>670</w:t>
      </w:r>
      <w:r w:rsidR="00FA1109">
        <w:rPr>
          <w:lang w:val="es-419"/>
        </w:rPr>
        <w:t> </w:t>
      </w:r>
      <w:r w:rsidR="00FA1109" w:rsidRPr="0028187C">
        <w:rPr>
          <w:lang w:val="es-419"/>
        </w:rPr>
        <w:t>kW a 3</w:t>
      </w:r>
      <w:r w:rsidR="00FA1109">
        <w:rPr>
          <w:lang w:val="es-419"/>
        </w:rPr>
        <w:t>.</w:t>
      </w:r>
      <w:r w:rsidR="00FA1109" w:rsidRPr="0028187C">
        <w:rPr>
          <w:lang w:val="es-419"/>
        </w:rPr>
        <w:t>013</w:t>
      </w:r>
      <w:r w:rsidR="00FA1109">
        <w:rPr>
          <w:lang w:val="es-419"/>
        </w:rPr>
        <w:t xml:space="preserve"> </w:t>
      </w:r>
      <w:r w:rsidR="00FA1109" w:rsidRPr="0028187C">
        <w:rPr>
          <w:lang w:val="es-419"/>
        </w:rPr>
        <w:t>kW</w:t>
      </w:r>
      <w:r w:rsidR="00FA1109" w:rsidRPr="007A6382">
        <w:t>.</w:t>
      </w:r>
      <w:r w:rsidR="00FA1109">
        <w:rPr>
          <w:lang w:val="es-419"/>
        </w:rPr>
        <w:t xml:space="preserve"> Los resultados muestran que las inversiones son altamente rentables:</w:t>
      </w:r>
    </w:p>
    <w:p w14:paraId="060E51F0" w14:textId="57CFF1D1" w:rsidR="00FA1109" w:rsidRPr="005B4095" w:rsidRDefault="00FA1109" w:rsidP="00FA1109">
      <w:pPr>
        <w:pStyle w:val="Paragraph"/>
        <w:numPr>
          <w:ilvl w:val="1"/>
          <w:numId w:val="0"/>
        </w:numPr>
        <w:jc w:val="center"/>
        <w:rPr>
          <w:b/>
          <w:bCs/>
          <w:sz w:val="18"/>
          <w:szCs w:val="18"/>
        </w:rPr>
      </w:pPr>
      <w:r>
        <w:rPr>
          <w:b/>
          <w:bCs/>
          <w:sz w:val="20"/>
        </w:rPr>
        <w:t xml:space="preserve">      </w:t>
      </w:r>
      <w:bookmarkStart w:id="15" w:name="_Hlk511219103"/>
      <w:r w:rsidRPr="005B4095">
        <w:rPr>
          <w:b/>
          <w:bCs/>
          <w:sz w:val="18"/>
          <w:szCs w:val="18"/>
        </w:rPr>
        <w:t xml:space="preserve">Cuadro </w:t>
      </w:r>
      <w:r>
        <w:rPr>
          <w:b/>
          <w:bCs/>
          <w:sz w:val="18"/>
          <w:szCs w:val="18"/>
        </w:rPr>
        <w:t>3</w:t>
      </w:r>
      <w:r w:rsidRPr="005B4095">
        <w:rPr>
          <w:b/>
          <w:bCs/>
          <w:sz w:val="18"/>
          <w:szCs w:val="18"/>
        </w:rPr>
        <w:t>. Resumen Resultados Evaluación Económica</w:t>
      </w:r>
    </w:p>
    <w:tbl>
      <w:tblPr>
        <w:tblStyle w:val="TableGrid"/>
        <w:tblW w:w="7650" w:type="dxa"/>
        <w:jc w:val="right"/>
        <w:tblLook w:val="04A0" w:firstRow="1" w:lastRow="0" w:firstColumn="1" w:lastColumn="0" w:noHBand="0" w:noVBand="1"/>
      </w:tblPr>
      <w:tblGrid>
        <w:gridCol w:w="7650"/>
      </w:tblGrid>
      <w:tr w:rsidR="00FA1109" w:rsidRPr="00522EAC" w14:paraId="7E8610C7" w14:textId="77777777" w:rsidTr="00E102A3">
        <w:trPr>
          <w:jc w:val="right"/>
        </w:trPr>
        <w:tc>
          <w:tcPr>
            <w:tcW w:w="7650" w:type="dxa"/>
            <w:tcBorders>
              <w:top w:val="nil"/>
              <w:left w:val="nil"/>
              <w:bottom w:val="nil"/>
              <w:right w:val="nil"/>
            </w:tcBorders>
            <w:shd w:val="clear" w:color="auto" w:fill="auto"/>
          </w:tcPr>
          <w:tbl>
            <w:tblPr>
              <w:tblW w:w="0" w:type="auto"/>
              <w:tblCellMar>
                <w:left w:w="0" w:type="dxa"/>
                <w:right w:w="0" w:type="dxa"/>
              </w:tblCellMar>
              <w:tblLook w:val="04A0" w:firstRow="1" w:lastRow="0" w:firstColumn="1" w:lastColumn="0" w:noHBand="0" w:noVBand="1"/>
            </w:tblPr>
            <w:tblGrid>
              <w:gridCol w:w="2359"/>
              <w:gridCol w:w="2340"/>
              <w:gridCol w:w="2340"/>
            </w:tblGrid>
            <w:tr w:rsidR="00FA1109" w14:paraId="3C2E900B" w14:textId="77777777" w:rsidTr="00E102A3">
              <w:trPr>
                <w:trHeight w:val="272"/>
              </w:trPr>
              <w:tc>
                <w:tcPr>
                  <w:tcW w:w="235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6E6A16FD" w14:textId="77777777" w:rsidR="00FA1109" w:rsidRDefault="00FA1109" w:rsidP="00E102A3">
                  <w:pPr>
                    <w:jc w:val="center"/>
                    <w:rPr>
                      <w:rFonts w:ascii="Arial" w:hAnsi="Arial" w:cs="Arial"/>
                      <w:b/>
                      <w:bCs/>
                      <w:sz w:val="18"/>
                      <w:szCs w:val="18"/>
                      <w:lang w:eastAsia="es-BO"/>
                    </w:rPr>
                  </w:pPr>
                  <w:r>
                    <w:rPr>
                      <w:rFonts w:ascii="Arial" w:hAnsi="Arial" w:cs="Arial"/>
                      <w:b/>
                      <w:bCs/>
                      <w:sz w:val="18"/>
                      <w:szCs w:val="18"/>
                      <w:lang w:eastAsia="es-BO"/>
                    </w:rPr>
                    <w:t>Ciudad/Indicador</w:t>
                  </w:r>
                </w:p>
              </w:tc>
              <w:tc>
                <w:tcPr>
                  <w:tcW w:w="234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700C797" w14:textId="77777777" w:rsidR="00FA1109" w:rsidRDefault="00FA1109" w:rsidP="00E102A3">
                  <w:pPr>
                    <w:jc w:val="center"/>
                    <w:rPr>
                      <w:rFonts w:ascii="Arial" w:hAnsi="Arial" w:cs="Arial"/>
                      <w:b/>
                      <w:bCs/>
                      <w:sz w:val="18"/>
                      <w:szCs w:val="18"/>
                      <w:lang w:eastAsia="es-BO"/>
                    </w:rPr>
                  </w:pPr>
                  <w:r>
                    <w:rPr>
                      <w:rFonts w:ascii="Arial" w:hAnsi="Arial" w:cs="Arial"/>
                      <w:b/>
                      <w:bCs/>
                      <w:sz w:val="18"/>
                      <w:szCs w:val="18"/>
                      <w:lang w:eastAsia="es-BO"/>
                    </w:rPr>
                    <w:t>Oruro</w:t>
                  </w:r>
                </w:p>
              </w:tc>
              <w:tc>
                <w:tcPr>
                  <w:tcW w:w="234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3F5EA68" w14:textId="77777777" w:rsidR="00FA1109" w:rsidRDefault="00FA1109" w:rsidP="00E102A3">
                  <w:pPr>
                    <w:jc w:val="center"/>
                    <w:rPr>
                      <w:rFonts w:ascii="Arial" w:hAnsi="Arial" w:cs="Arial"/>
                      <w:b/>
                      <w:bCs/>
                      <w:sz w:val="18"/>
                      <w:szCs w:val="18"/>
                      <w:lang w:eastAsia="es-BO"/>
                    </w:rPr>
                  </w:pPr>
                  <w:r>
                    <w:rPr>
                      <w:rFonts w:ascii="Arial" w:hAnsi="Arial" w:cs="Arial"/>
                      <w:b/>
                      <w:bCs/>
                      <w:sz w:val="18"/>
                      <w:szCs w:val="18"/>
                      <w:lang w:eastAsia="es-BO"/>
                    </w:rPr>
                    <w:t>Potosí</w:t>
                  </w:r>
                </w:p>
              </w:tc>
            </w:tr>
            <w:tr w:rsidR="00FA1109" w14:paraId="63B7EA85" w14:textId="77777777" w:rsidTr="00E102A3">
              <w:trPr>
                <w:trHeight w:val="272"/>
              </w:trPr>
              <w:tc>
                <w:tcPr>
                  <w:tcW w:w="23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58BE00" w14:textId="77777777" w:rsidR="00FA1109" w:rsidRDefault="00FA1109" w:rsidP="00E102A3">
                  <w:pPr>
                    <w:rPr>
                      <w:rFonts w:ascii="Arial" w:hAnsi="Arial" w:cs="Arial"/>
                      <w:sz w:val="18"/>
                      <w:szCs w:val="18"/>
                      <w:lang w:eastAsia="es-BO"/>
                    </w:rPr>
                  </w:pPr>
                  <w:r>
                    <w:rPr>
                      <w:rFonts w:ascii="Arial" w:hAnsi="Arial" w:cs="Arial"/>
                      <w:sz w:val="18"/>
                      <w:szCs w:val="18"/>
                      <w:lang w:eastAsia="es-BO"/>
                    </w:rPr>
                    <w:t>VANS (US$)</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14:paraId="247DF532" w14:textId="77777777" w:rsidR="00FA1109" w:rsidRDefault="00FA1109" w:rsidP="00E102A3">
                  <w:pPr>
                    <w:jc w:val="center"/>
                    <w:rPr>
                      <w:rFonts w:ascii="Arial" w:hAnsi="Arial" w:cs="Arial"/>
                      <w:sz w:val="18"/>
                      <w:szCs w:val="18"/>
                      <w:lang w:eastAsia="es-BO"/>
                    </w:rPr>
                  </w:pPr>
                  <w:r>
                    <w:rPr>
                      <w:rFonts w:ascii="Arial" w:hAnsi="Arial" w:cs="Arial"/>
                      <w:sz w:val="18"/>
                      <w:szCs w:val="18"/>
                      <w:lang w:eastAsia="es-BO"/>
                    </w:rPr>
                    <w:t>5.531.655</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14:paraId="0F3447EC" w14:textId="77777777" w:rsidR="00FA1109" w:rsidRDefault="00FA1109" w:rsidP="00E102A3">
                  <w:pPr>
                    <w:jc w:val="center"/>
                    <w:rPr>
                      <w:rFonts w:ascii="Arial" w:hAnsi="Arial" w:cs="Arial"/>
                      <w:sz w:val="18"/>
                      <w:szCs w:val="18"/>
                      <w:lang w:eastAsia="es-BO"/>
                    </w:rPr>
                  </w:pPr>
                  <w:r>
                    <w:rPr>
                      <w:rFonts w:ascii="Arial" w:hAnsi="Arial" w:cs="Arial"/>
                      <w:sz w:val="18"/>
                      <w:szCs w:val="18"/>
                      <w:lang w:eastAsia="es-BO"/>
                    </w:rPr>
                    <w:t>1,333,232</w:t>
                  </w:r>
                </w:p>
              </w:tc>
            </w:tr>
            <w:tr w:rsidR="00FA1109" w14:paraId="26C98057" w14:textId="77777777" w:rsidTr="00E102A3">
              <w:trPr>
                <w:trHeight w:val="272"/>
              </w:trPr>
              <w:tc>
                <w:tcPr>
                  <w:tcW w:w="23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ACDC97" w14:textId="77777777" w:rsidR="00FA1109" w:rsidRDefault="00FA1109" w:rsidP="00E102A3">
                  <w:pPr>
                    <w:rPr>
                      <w:rFonts w:ascii="Arial" w:hAnsi="Arial" w:cs="Arial"/>
                      <w:sz w:val="18"/>
                      <w:szCs w:val="18"/>
                      <w:lang w:eastAsia="es-BO"/>
                    </w:rPr>
                  </w:pPr>
                  <w:r>
                    <w:rPr>
                      <w:rFonts w:ascii="Arial" w:hAnsi="Arial" w:cs="Arial"/>
                      <w:sz w:val="18"/>
                      <w:szCs w:val="18"/>
                      <w:lang w:eastAsia="es-BO"/>
                    </w:rPr>
                    <w:t>TIRS (%)</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14:paraId="7F975263" w14:textId="77777777" w:rsidR="00FA1109" w:rsidRDefault="00FA1109" w:rsidP="00E102A3">
                  <w:pPr>
                    <w:jc w:val="center"/>
                    <w:rPr>
                      <w:rFonts w:ascii="Arial" w:hAnsi="Arial" w:cs="Arial"/>
                      <w:sz w:val="18"/>
                      <w:szCs w:val="18"/>
                      <w:lang w:eastAsia="es-BO"/>
                    </w:rPr>
                  </w:pPr>
                  <w:r>
                    <w:rPr>
                      <w:rFonts w:ascii="Arial" w:hAnsi="Arial" w:cs="Arial"/>
                      <w:sz w:val="18"/>
                      <w:szCs w:val="18"/>
                      <w:lang w:eastAsia="es-BO"/>
                    </w:rPr>
                    <w:t>23,43</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14:paraId="6B408F62" w14:textId="77777777" w:rsidR="00FA1109" w:rsidRDefault="00FA1109" w:rsidP="00E102A3">
                  <w:pPr>
                    <w:jc w:val="center"/>
                    <w:rPr>
                      <w:rFonts w:ascii="Arial" w:hAnsi="Arial" w:cs="Arial"/>
                      <w:sz w:val="18"/>
                      <w:szCs w:val="18"/>
                      <w:lang w:eastAsia="es-BO"/>
                    </w:rPr>
                  </w:pPr>
                  <w:r>
                    <w:rPr>
                      <w:rFonts w:ascii="Arial" w:hAnsi="Arial" w:cs="Arial"/>
                      <w:sz w:val="18"/>
                      <w:szCs w:val="18"/>
                      <w:lang w:eastAsia="es-BO"/>
                    </w:rPr>
                    <w:t>27,92</w:t>
                  </w:r>
                </w:p>
              </w:tc>
            </w:tr>
          </w:tbl>
          <w:p w14:paraId="1B4D4613" w14:textId="77777777" w:rsidR="00FA1109" w:rsidRPr="00522EAC" w:rsidRDefault="00FA1109" w:rsidP="00E102A3">
            <w:pPr>
              <w:spacing w:before="240"/>
              <w:jc w:val="center"/>
              <w:rPr>
                <w:rFonts w:ascii="Arial" w:hAnsi="Arial" w:cs="Arial"/>
                <w:b/>
                <w:sz w:val="18"/>
                <w:szCs w:val="18"/>
                <w:lang w:val="es-US" w:eastAsia="es-ES"/>
              </w:rPr>
            </w:pPr>
          </w:p>
        </w:tc>
      </w:tr>
    </w:tbl>
    <w:bookmarkEnd w:id="15"/>
    <w:p w14:paraId="5713A46F" w14:textId="77777777" w:rsidR="00477789" w:rsidRPr="008B52C5" w:rsidRDefault="00477789" w:rsidP="00FA1109">
      <w:pPr>
        <w:pStyle w:val="Paragraph"/>
        <w:tabs>
          <w:tab w:val="clear" w:pos="720"/>
        </w:tabs>
      </w:pPr>
      <w:r w:rsidRPr="00BE14E7">
        <w:rPr>
          <w:b/>
          <w:bCs/>
        </w:rPr>
        <w:t xml:space="preserve">Viabilidad </w:t>
      </w:r>
      <w:r w:rsidRPr="00C66286">
        <w:rPr>
          <w:b/>
          <w:bCs/>
        </w:rPr>
        <w:t>técnica.</w:t>
      </w:r>
      <w:r w:rsidRPr="00C66286">
        <w:rPr>
          <w:lang w:val="es-US"/>
        </w:rPr>
        <w:t xml:space="preserve">  </w:t>
      </w:r>
      <w:r w:rsidRPr="00C66286">
        <w:t xml:space="preserve">El trazado de la LT los Troncos – San Ignacio se seleccionó mediante un análisis </w:t>
      </w:r>
      <w:r>
        <w:t xml:space="preserve">de </w:t>
      </w:r>
      <w:r w:rsidRPr="00477789">
        <w:t>alternativas de trazado (</w:t>
      </w:r>
      <w:hyperlink r:id="rId16" w:history="1">
        <w:r w:rsidRPr="00477789">
          <w:rPr>
            <w:rStyle w:val="Hyperlink"/>
            <w:color w:val="auto"/>
          </w:rPr>
          <w:t>EEO#3</w:t>
        </w:r>
      </w:hyperlink>
      <w:r w:rsidRPr="00477789">
        <w:t xml:space="preserve">) considerando: (i) el impacto por obtención de un valor de sensibilidad menor en el mapa de sensibilidad; (ii) las pérdidas menores en el transporte de la energía y por tanto una reducción en las emisiones equivalentes de CO2; (iii) el menor número de propiedades o comunidades afectadas; (iii) aspectos técnicos y de costos relacionados con la implementación del proyecto; y (iv) impactos potenciales del proyecto sobre el medio ambiente. Una vez seleccionada la alternativa, </w:t>
      </w:r>
      <w:r w:rsidRPr="00C66286">
        <w:t>se llevaron a cabo los estudios técnicos de ingeniería básica que permitieron confirmar que el trazado seleccionado es viable desde el punto de vista técnico y socioambiental (ver estudio técnico de la LT Los Troncos-San Ignacio).</w:t>
      </w:r>
    </w:p>
    <w:p w14:paraId="27981F61" w14:textId="198CAF70" w:rsidR="00477789" w:rsidRPr="00130CF3" w:rsidRDefault="00477789" w:rsidP="000D1A41">
      <w:pPr>
        <w:pStyle w:val="Paragraph"/>
      </w:pPr>
      <w:r w:rsidRPr="008B52C5">
        <w:t xml:space="preserve">Para </w:t>
      </w:r>
      <w:proofErr w:type="gramStart"/>
      <w:r>
        <w:t xml:space="preserve">el </w:t>
      </w:r>
      <w:r w:rsidRPr="00FE5F91">
        <w:t xml:space="preserve"> Componente</w:t>
      </w:r>
      <w:proofErr w:type="gramEnd"/>
      <w:r w:rsidRPr="00FE5F91">
        <w:t xml:space="preserve"> 2 se </w:t>
      </w:r>
      <w:r w:rsidRPr="002B74E4">
        <w:t xml:space="preserve">realizaron simulaciones en el software DIALux con diferentes tipos de luminarias y tecnologías para los sistemas de </w:t>
      </w:r>
      <w:r>
        <w:t>AP</w:t>
      </w:r>
      <w:r w:rsidRPr="002B74E4">
        <w:t xml:space="preserve"> de los municipios d</w:t>
      </w:r>
      <w:r w:rsidR="00CB43BF">
        <w:t xml:space="preserve">e </w:t>
      </w:r>
      <w:r w:rsidRPr="002B74E4">
        <w:t xml:space="preserve">Oruro y </w:t>
      </w:r>
      <w:r w:rsidR="00FA1109">
        <w:t>Potosí</w:t>
      </w:r>
      <w:r w:rsidRPr="00D56855">
        <w:t xml:space="preserve">. </w:t>
      </w:r>
      <w:r w:rsidRPr="000E5F9B">
        <w:t xml:space="preserve">En total se modelaron 11 casos diferentes, </w:t>
      </w:r>
      <w:r w:rsidR="00824FA2">
        <w:t>siete</w:t>
      </w:r>
      <w:r w:rsidRPr="000E5F9B">
        <w:t xml:space="preserve"> para el municipio de Oruro y </w:t>
      </w:r>
      <w:r w:rsidR="00824FA2">
        <w:t>cuatro</w:t>
      </w:r>
      <w:r w:rsidRPr="000E5F9B">
        <w:t xml:space="preserve"> para </w:t>
      </w:r>
      <w:r w:rsidRPr="00C765F3">
        <w:t xml:space="preserve">el municipio de </w:t>
      </w:r>
      <w:r w:rsidR="00FA1109">
        <w:t>Potosí</w:t>
      </w:r>
      <w:r w:rsidRPr="00B33B8C">
        <w:t>.</w:t>
      </w:r>
      <w:r w:rsidRPr="002B74E4">
        <w:t xml:space="preserve"> </w:t>
      </w:r>
      <w:r>
        <w:t xml:space="preserve">Como resultado, se determinó que </w:t>
      </w:r>
      <w:r w:rsidRPr="002B74E4">
        <w:t xml:space="preserve">la tecnología de mejor desempeño energético son las luminarias de </w:t>
      </w:r>
      <w:proofErr w:type="spellStart"/>
      <w:r w:rsidRPr="002B74E4">
        <w:t>LEDs</w:t>
      </w:r>
      <w:proofErr w:type="spellEnd"/>
      <w:r w:rsidRPr="002B74E4">
        <w:t>, ya que requieren de menor potencia instalada por unidad de área y además consumen menos energía por cada unidad de iluminancia promedio que entregan</w:t>
      </w:r>
      <w:r>
        <w:t>.</w:t>
      </w:r>
    </w:p>
    <w:p w14:paraId="11F889AF" w14:textId="77777777" w:rsidR="0006616B" w:rsidRDefault="0006616B" w:rsidP="000D1A41">
      <w:pPr>
        <w:pStyle w:val="FirstHeading"/>
      </w:pPr>
      <w:bookmarkStart w:id="16" w:name="_Toc513537394"/>
      <w:r w:rsidRPr="00C025D2">
        <w:t>Indicadores de Resultados y su Metodología</w:t>
      </w:r>
      <w:bookmarkEnd w:id="14"/>
      <w:bookmarkEnd w:id="16"/>
    </w:p>
    <w:p w14:paraId="06C6AFF5" w14:textId="77777777" w:rsidR="00A66653" w:rsidRDefault="00A66653" w:rsidP="000D1A41">
      <w:pPr>
        <w:pStyle w:val="Paragraph"/>
      </w:pPr>
      <w:r>
        <w:t>Los Indicadores de Resultados que aparecen en los cuadros a continuación, han sido seleccionados para el Programa como forma de medir globalmente en el corto y mediano plazo el alcance de los objetivos planteados como parte de la implementación de todos sus componentes. Estos indicadores serán usados en la preparación de la evaluación intermedia y la evaluación de terminación del proyecto.</w:t>
      </w:r>
    </w:p>
    <w:p w14:paraId="0F58F205" w14:textId="77777777" w:rsidR="00184BD7" w:rsidRDefault="00184BD7" w:rsidP="000D1A41">
      <w:pPr>
        <w:pStyle w:val="Paragraph"/>
      </w:pPr>
      <w:r>
        <w:t>En la Matriz de Resultados los valores de línea base y meta son establecidos a partir de la evaluación costo beneficio ex ante; mientras que los valores finales se establecerán de la evaluación costo beneficio ex post.</w:t>
      </w:r>
    </w:p>
    <w:p w14:paraId="62495D24" w14:textId="77777777" w:rsidR="00184BD7" w:rsidRDefault="00184BD7" w:rsidP="000D1A41">
      <w:pPr>
        <w:pStyle w:val="Paragraph"/>
      </w:pPr>
      <w:r>
        <w:t xml:space="preserve">Para el caso del componente I, se tiene prevista una evaluación de impacto, descrita en la siguiente sección, misma que permitirá investigar en mayor profundidad el efecto de la electrificación y de la promoción de usos productivos de la electricidad en indicadores sociales, económicos y técnicos adicionales a los establecidos en la Matriz de Resultados. Algunos valores de los indicadores de </w:t>
      </w:r>
      <w:proofErr w:type="gramStart"/>
      <w:r>
        <w:t>resultados,</w:t>
      </w:r>
      <w:proofErr w:type="gramEnd"/>
      <w:r>
        <w:t xml:space="preserve"> serán obtenidos de la evaluación del impacto del Proyecto.</w:t>
      </w:r>
    </w:p>
    <w:p w14:paraId="742238B6" w14:textId="77777777" w:rsidR="00B07C60" w:rsidRDefault="00A66653" w:rsidP="000D1A41">
      <w:pPr>
        <w:pStyle w:val="Paragraph"/>
        <w:sectPr w:rsidR="00B07C60" w:rsidSect="006A6580">
          <w:type w:val="continuous"/>
          <w:pgSz w:w="12240" w:h="15840"/>
          <w:pgMar w:top="1632" w:right="1440" w:bottom="1440" w:left="1440" w:header="0" w:footer="986" w:gutter="0"/>
          <w:cols w:space="708"/>
        </w:sectPr>
      </w:pPr>
      <w:r>
        <w:t>La verificación de que estos indicadores se mantienen en los niveles deseados permitirá confirmar que los arreglos técnicos, financieros e institucionales con el Programa contribuyeron al objetivo</w:t>
      </w:r>
      <w:r w:rsidR="000D1A41">
        <w:t>.</w:t>
      </w:r>
    </w:p>
    <w:p w14:paraId="2C60F731" w14:textId="2E2DD03D" w:rsidR="008F6C6A" w:rsidRPr="00B07C60" w:rsidRDefault="00A53A21" w:rsidP="00B07C60">
      <w:pPr>
        <w:spacing w:before="120"/>
        <w:jc w:val="center"/>
        <w:rPr>
          <w:rFonts w:ascii="Arial" w:hAnsi="Arial" w:cs="Arial"/>
          <w:b/>
          <w:szCs w:val="24"/>
          <w:lang w:val="es-BO"/>
        </w:rPr>
      </w:pPr>
      <w:r w:rsidRPr="00B07C60">
        <w:rPr>
          <w:rFonts w:ascii="Arial" w:hAnsi="Arial" w:cs="Arial"/>
          <w:b/>
          <w:szCs w:val="24"/>
          <w:lang w:val="es-BO"/>
        </w:rPr>
        <w:t>Cuadro 3</w:t>
      </w:r>
      <w:r w:rsidR="000D1A41" w:rsidRPr="00B07C60">
        <w:rPr>
          <w:rFonts w:ascii="Arial" w:hAnsi="Arial" w:cs="Arial"/>
          <w:b/>
          <w:szCs w:val="24"/>
          <w:lang w:val="es-BO"/>
        </w:rPr>
        <w:t xml:space="preserve">. </w:t>
      </w:r>
      <w:r w:rsidR="008F6C6A" w:rsidRPr="00B07C60">
        <w:rPr>
          <w:rFonts w:ascii="Arial" w:hAnsi="Arial" w:cs="Arial"/>
          <w:b/>
          <w:szCs w:val="24"/>
          <w:lang w:val="es-BO"/>
        </w:rPr>
        <w:t xml:space="preserve">Programa de </w:t>
      </w:r>
      <w:r w:rsidR="008F6C6A" w:rsidRPr="00EB57C0">
        <w:rPr>
          <w:rFonts w:ascii="Arial" w:hAnsi="Arial" w:cs="Arial"/>
          <w:b/>
          <w:szCs w:val="24"/>
          <w:lang w:val="es-BO"/>
        </w:rPr>
        <w:t>Electrificación Rural II – BO-L11</w:t>
      </w:r>
      <w:r w:rsidR="00EB57C0" w:rsidRPr="00EB57C0">
        <w:rPr>
          <w:rFonts w:ascii="Arial" w:hAnsi="Arial" w:cs="Arial"/>
          <w:b/>
          <w:szCs w:val="24"/>
          <w:lang w:val="es-BO"/>
        </w:rPr>
        <w:t>90</w:t>
      </w:r>
    </w:p>
    <w:p w14:paraId="1EF7E1B4" w14:textId="77777777" w:rsidR="008F6C6A" w:rsidRPr="00B07C60" w:rsidRDefault="008F6C6A" w:rsidP="00B07C60">
      <w:pPr>
        <w:spacing w:after="120"/>
        <w:jc w:val="center"/>
        <w:rPr>
          <w:rFonts w:ascii="Arial" w:hAnsi="Arial" w:cs="Arial"/>
          <w:b/>
          <w:szCs w:val="24"/>
          <w:lang w:val="es-BO"/>
        </w:rPr>
      </w:pPr>
      <w:r w:rsidRPr="00B07C60">
        <w:rPr>
          <w:rFonts w:ascii="Arial" w:hAnsi="Arial" w:cs="Arial"/>
          <w:b/>
          <w:szCs w:val="24"/>
          <w:lang w:val="es-BO"/>
        </w:rPr>
        <w:t>Indicadores de Resultado</w:t>
      </w:r>
    </w:p>
    <w:tbl>
      <w:tblPr>
        <w:tblW w:w="50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5"/>
        <w:gridCol w:w="2800"/>
        <w:gridCol w:w="916"/>
        <w:gridCol w:w="955"/>
        <w:gridCol w:w="981"/>
        <w:gridCol w:w="4932"/>
      </w:tblGrid>
      <w:tr w:rsidR="00A40258" w:rsidRPr="00802C43" w14:paraId="783ADD8E" w14:textId="77777777" w:rsidTr="001F3112">
        <w:trPr>
          <w:trHeight w:val="512"/>
          <w:tblHeader/>
        </w:trPr>
        <w:tc>
          <w:tcPr>
            <w:tcW w:w="910" w:type="pct"/>
            <w:shd w:val="clear" w:color="000000" w:fill="BFBFBF"/>
            <w:vAlign w:val="center"/>
            <w:hideMark/>
          </w:tcPr>
          <w:p w14:paraId="1C8AD02F" w14:textId="77777777" w:rsidR="00A40258" w:rsidRPr="00802C43" w:rsidRDefault="00A40258" w:rsidP="001F3112">
            <w:pPr>
              <w:jc w:val="center"/>
              <w:rPr>
                <w:rFonts w:ascii="Arial" w:hAnsi="Arial" w:cs="Arial"/>
                <w:b/>
                <w:bCs/>
                <w:color w:val="000000"/>
                <w:sz w:val="20"/>
                <w:lang w:val="es-HN"/>
              </w:rPr>
            </w:pPr>
            <w:r w:rsidRPr="00802C43">
              <w:rPr>
                <w:rFonts w:ascii="Arial" w:hAnsi="Arial" w:cs="Arial"/>
                <w:b/>
                <w:bCs/>
                <w:color w:val="000000"/>
                <w:sz w:val="20"/>
                <w:lang w:val="es-HN"/>
              </w:rPr>
              <w:t>Impacto</w:t>
            </w:r>
          </w:p>
        </w:tc>
        <w:tc>
          <w:tcPr>
            <w:tcW w:w="1082" w:type="pct"/>
            <w:shd w:val="clear" w:color="000000" w:fill="BFBFBF"/>
            <w:vAlign w:val="center"/>
            <w:hideMark/>
          </w:tcPr>
          <w:p w14:paraId="1461500D" w14:textId="77777777" w:rsidR="00A40258" w:rsidRPr="00802C43" w:rsidRDefault="00A40258" w:rsidP="001F3112">
            <w:pPr>
              <w:jc w:val="center"/>
              <w:rPr>
                <w:rFonts w:ascii="Arial" w:hAnsi="Arial" w:cs="Arial"/>
                <w:b/>
                <w:bCs/>
                <w:color w:val="000000"/>
                <w:sz w:val="20"/>
                <w:lang w:val="es-HN"/>
              </w:rPr>
            </w:pPr>
            <w:r w:rsidRPr="00802C43">
              <w:rPr>
                <w:rFonts w:ascii="Arial" w:hAnsi="Arial" w:cs="Arial"/>
                <w:b/>
                <w:bCs/>
                <w:color w:val="000000"/>
                <w:sz w:val="20"/>
                <w:lang w:val="es-HN"/>
              </w:rPr>
              <w:t>Indicadores</w:t>
            </w:r>
          </w:p>
        </w:tc>
        <w:tc>
          <w:tcPr>
            <w:tcW w:w="354" w:type="pct"/>
            <w:shd w:val="clear" w:color="000000" w:fill="BFBFBF"/>
            <w:vAlign w:val="center"/>
            <w:hideMark/>
          </w:tcPr>
          <w:p w14:paraId="7448C64E" w14:textId="77777777" w:rsidR="00A40258" w:rsidRPr="00802C43" w:rsidRDefault="00A40258" w:rsidP="001F3112">
            <w:pPr>
              <w:jc w:val="center"/>
              <w:rPr>
                <w:rFonts w:ascii="Arial" w:hAnsi="Arial" w:cs="Arial"/>
                <w:b/>
                <w:bCs/>
                <w:color w:val="000000"/>
                <w:sz w:val="20"/>
                <w:lang w:val="es-HN"/>
              </w:rPr>
            </w:pPr>
            <w:r w:rsidRPr="00802C43">
              <w:rPr>
                <w:rFonts w:ascii="Arial" w:hAnsi="Arial" w:cs="Arial"/>
                <w:b/>
                <w:bCs/>
                <w:color w:val="000000"/>
                <w:sz w:val="20"/>
                <w:lang w:val="es-HN"/>
              </w:rPr>
              <w:t>Unidad</w:t>
            </w:r>
          </w:p>
        </w:tc>
        <w:tc>
          <w:tcPr>
            <w:tcW w:w="369" w:type="pct"/>
            <w:shd w:val="clear" w:color="000000" w:fill="BFBFBF"/>
            <w:vAlign w:val="center"/>
            <w:hideMark/>
          </w:tcPr>
          <w:p w14:paraId="26EC9865" w14:textId="77777777" w:rsidR="00A40258" w:rsidRPr="00802C43" w:rsidRDefault="00A40258" w:rsidP="001F3112">
            <w:pPr>
              <w:jc w:val="center"/>
              <w:rPr>
                <w:rFonts w:ascii="Arial" w:hAnsi="Arial" w:cs="Arial"/>
                <w:b/>
                <w:bCs/>
                <w:color w:val="000000"/>
                <w:sz w:val="20"/>
                <w:lang w:val="es-HN"/>
              </w:rPr>
            </w:pPr>
            <w:r w:rsidRPr="00802C43">
              <w:rPr>
                <w:rFonts w:ascii="Arial" w:hAnsi="Arial" w:cs="Arial"/>
                <w:b/>
                <w:bCs/>
                <w:color w:val="000000"/>
                <w:sz w:val="20"/>
                <w:lang w:val="es-HN"/>
              </w:rPr>
              <w:t>Base 2017</w:t>
            </w:r>
          </w:p>
        </w:tc>
        <w:tc>
          <w:tcPr>
            <w:tcW w:w="379" w:type="pct"/>
            <w:shd w:val="clear" w:color="000000" w:fill="BFBFBF"/>
            <w:vAlign w:val="center"/>
            <w:hideMark/>
          </w:tcPr>
          <w:p w14:paraId="5D9F307C" w14:textId="77777777" w:rsidR="00A40258" w:rsidRPr="00802C43" w:rsidRDefault="00A40258" w:rsidP="001F3112">
            <w:pPr>
              <w:jc w:val="center"/>
              <w:rPr>
                <w:rFonts w:ascii="Arial" w:hAnsi="Arial" w:cs="Arial"/>
                <w:b/>
                <w:bCs/>
                <w:color w:val="000000"/>
                <w:sz w:val="20"/>
                <w:lang w:val="es-HN"/>
              </w:rPr>
            </w:pPr>
            <w:r w:rsidRPr="00802C43">
              <w:rPr>
                <w:rFonts w:ascii="Arial" w:hAnsi="Arial" w:cs="Arial"/>
                <w:b/>
                <w:bCs/>
                <w:color w:val="000000"/>
                <w:sz w:val="20"/>
                <w:lang w:val="es-HN"/>
              </w:rPr>
              <w:t>Meta Final 2024</w:t>
            </w:r>
          </w:p>
        </w:tc>
        <w:tc>
          <w:tcPr>
            <w:tcW w:w="1906" w:type="pct"/>
            <w:shd w:val="clear" w:color="000000" w:fill="BFBFBF"/>
            <w:vAlign w:val="center"/>
            <w:hideMark/>
          </w:tcPr>
          <w:p w14:paraId="3F13DE10" w14:textId="77777777" w:rsidR="00A40258" w:rsidRPr="00802C43" w:rsidRDefault="00A40258" w:rsidP="001F3112">
            <w:pPr>
              <w:jc w:val="center"/>
              <w:rPr>
                <w:rFonts w:ascii="Arial" w:hAnsi="Arial" w:cs="Arial"/>
                <w:b/>
                <w:bCs/>
                <w:color w:val="000000"/>
                <w:sz w:val="20"/>
                <w:lang w:val="es-HN"/>
              </w:rPr>
            </w:pPr>
            <w:r w:rsidRPr="00802C43">
              <w:rPr>
                <w:rFonts w:ascii="Arial" w:hAnsi="Arial" w:cs="Arial"/>
                <w:b/>
                <w:bCs/>
                <w:color w:val="000000"/>
                <w:sz w:val="20"/>
                <w:lang w:val="es-HN"/>
              </w:rPr>
              <w:t>Medios de Verificación</w:t>
            </w:r>
          </w:p>
        </w:tc>
      </w:tr>
      <w:tr w:rsidR="00FA1109" w:rsidRPr="00E102A3" w14:paraId="107771AC" w14:textId="77777777" w:rsidTr="00FA1109">
        <w:trPr>
          <w:trHeight w:val="720"/>
        </w:trPr>
        <w:tc>
          <w:tcPr>
            <w:tcW w:w="910" w:type="pct"/>
            <w:vMerge w:val="restart"/>
            <w:shd w:val="clear" w:color="000000" w:fill="auto"/>
            <w:vAlign w:val="center"/>
          </w:tcPr>
          <w:p w14:paraId="1386D397" w14:textId="77777777" w:rsidR="00FA1109" w:rsidRPr="00802C43" w:rsidRDefault="00FA1109" w:rsidP="00E102A3">
            <w:pPr>
              <w:rPr>
                <w:rFonts w:ascii="Arial" w:hAnsi="Arial" w:cs="Arial"/>
                <w:color w:val="000000"/>
                <w:sz w:val="20"/>
                <w:lang w:val="es-HN"/>
              </w:rPr>
            </w:pPr>
            <w:r w:rsidRPr="00802C43">
              <w:rPr>
                <w:rFonts w:ascii="Arial" w:hAnsi="Arial" w:cs="Arial"/>
                <w:color w:val="000000"/>
                <w:sz w:val="20"/>
                <w:lang w:val="es-HN"/>
              </w:rPr>
              <w:t>Reducción de emisiones de CO</w:t>
            </w:r>
            <w:r w:rsidRPr="00802C43">
              <w:rPr>
                <w:rFonts w:ascii="Arial" w:hAnsi="Arial" w:cs="Arial"/>
                <w:color w:val="000000"/>
                <w:sz w:val="20"/>
                <w:vertAlign w:val="subscript"/>
                <w:lang w:val="es-HN"/>
              </w:rPr>
              <w:t>2</w:t>
            </w:r>
            <w:r w:rsidRPr="00802C43">
              <w:rPr>
                <w:rFonts w:ascii="Arial" w:hAnsi="Arial" w:cs="Arial"/>
                <w:color w:val="000000"/>
                <w:sz w:val="20"/>
                <w:lang w:val="es-HN"/>
              </w:rPr>
              <w:t xml:space="preserve"> en la generación eléctrica.</w:t>
            </w:r>
          </w:p>
        </w:tc>
        <w:tc>
          <w:tcPr>
            <w:tcW w:w="1082" w:type="pct"/>
            <w:tcBorders>
              <w:top w:val="single" w:sz="4" w:space="0" w:color="auto"/>
              <w:left w:val="single" w:sz="4" w:space="0" w:color="auto"/>
              <w:bottom w:val="single" w:sz="4" w:space="0" w:color="auto"/>
              <w:right w:val="single" w:sz="4" w:space="0" w:color="auto"/>
            </w:tcBorders>
            <w:shd w:val="clear" w:color="000000" w:fill="auto"/>
            <w:vAlign w:val="center"/>
          </w:tcPr>
          <w:p w14:paraId="36700838" w14:textId="77777777" w:rsidR="00FA1109" w:rsidRPr="00802C43" w:rsidRDefault="00FA1109" w:rsidP="00FA1109">
            <w:pPr>
              <w:rPr>
                <w:rFonts w:ascii="Arial" w:hAnsi="Arial" w:cs="Arial"/>
                <w:color w:val="000000"/>
                <w:sz w:val="20"/>
                <w:lang w:val="es-HN"/>
              </w:rPr>
            </w:pPr>
            <w:r>
              <w:rPr>
                <w:rFonts w:ascii="Arial" w:hAnsi="Arial" w:cs="Arial"/>
                <w:color w:val="000000"/>
                <w:sz w:val="20"/>
                <w:lang w:val="es-HN"/>
              </w:rPr>
              <w:t xml:space="preserve">Emisiones de ton de </w:t>
            </w:r>
            <w:r w:rsidRPr="00802C43">
              <w:rPr>
                <w:rFonts w:ascii="Arial" w:hAnsi="Arial" w:cs="Arial"/>
                <w:color w:val="000000"/>
                <w:sz w:val="20"/>
                <w:lang w:val="es-HN"/>
              </w:rPr>
              <w:t>CO</w:t>
            </w:r>
            <w:r w:rsidRPr="00FA1109">
              <w:rPr>
                <w:rFonts w:ascii="Arial" w:hAnsi="Arial" w:cs="Arial"/>
                <w:color w:val="000000"/>
                <w:sz w:val="20"/>
                <w:lang w:val="es-HN"/>
              </w:rPr>
              <w:t>2</w:t>
            </w:r>
            <w:r w:rsidRPr="00802C43">
              <w:rPr>
                <w:rFonts w:ascii="Arial" w:hAnsi="Arial" w:cs="Arial"/>
                <w:color w:val="000000"/>
                <w:sz w:val="20"/>
                <w:lang w:val="es-HN"/>
              </w:rPr>
              <w:t xml:space="preserve"> en San Ignacio</w:t>
            </w:r>
            <w:r>
              <w:rPr>
                <w:rFonts w:ascii="Arial" w:hAnsi="Arial" w:cs="Arial"/>
                <w:color w:val="000000"/>
                <w:sz w:val="20"/>
                <w:lang w:val="es-HN"/>
              </w:rPr>
              <w:t>.</w:t>
            </w:r>
          </w:p>
        </w:tc>
        <w:tc>
          <w:tcPr>
            <w:tcW w:w="354" w:type="pct"/>
            <w:tcBorders>
              <w:top w:val="single" w:sz="4" w:space="0" w:color="auto"/>
              <w:left w:val="single" w:sz="4" w:space="0" w:color="auto"/>
              <w:bottom w:val="single" w:sz="4" w:space="0" w:color="auto"/>
              <w:right w:val="single" w:sz="4" w:space="0" w:color="auto"/>
            </w:tcBorders>
            <w:shd w:val="clear" w:color="000000" w:fill="auto"/>
            <w:vAlign w:val="center"/>
          </w:tcPr>
          <w:p w14:paraId="02F82750" w14:textId="77777777" w:rsidR="00FA1109" w:rsidRPr="00FA1109" w:rsidRDefault="00FA1109" w:rsidP="00FA1109">
            <w:pPr>
              <w:jc w:val="both"/>
              <w:rPr>
                <w:rFonts w:ascii="Arial" w:hAnsi="Arial" w:cs="Arial"/>
                <w:color w:val="000000"/>
                <w:sz w:val="20"/>
                <w:lang w:val="es-HN"/>
              </w:rPr>
            </w:pPr>
            <w:r w:rsidRPr="00FA1109">
              <w:rPr>
                <w:rFonts w:ascii="Arial" w:hAnsi="Arial" w:cs="Arial"/>
                <w:color w:val="000000"/>
                <w:sz w:val="20"/>
                <w:lang w:val="es-HN"/>
              </w:rPr>
              <w:t>CO2 ton</w:t>
            </w:r>
          </w:p>
        </w:tc>
        <w:tc>
          <w:tcPr>
            <w:tcW w:w="369" w:type="pct"/>
            <w:tcBorders>
              <w:top w:val="single" w:sz="4" w:space="0" w:color="auto"/>
              <w:left w:val="single" w:sz="4" w:space="0" w:color="auto"/>
              <w:bottom w:val="single" w:sz="4" w:space="0" w:color="auto"/>
              <w:right w:val="single" w:sz="4" w:space="0" w:color="auto"/>
            </w:tcBorders>
            <w:shd w:val="clear" w:color="000000" w:fill="auto"/>
            <w:vAlign w:val="center"/>
          </w:tcPr>
          <w:p w14:paraId="0508C8CF" w14:textId="77777777" w:rsidR="00FA1109" w:rsidRPr="00FA1109" w:rsidRDefault="00FA1109" w:rsidP="00E102A3">
            <w:pPr>
              <w:jc w:val="center"/>
              <w:rPr>
                <w:rFonts w:ascii="Arial" w:hAnsi="Arial" w:cs="Arial"/>
                <w:bCs/>
                <w:color w:val="000000"/>
                <w:sz w:val="20"/>
                <w:lang w:val="es-HN"/>
              </w:rPr>
            </w:pPr>
            <w:r w:rsidRPr="00FA1109">
              <w:rPr>
                <w:rFonts w:ascii="Arial" w:hAnsi="Arial" w:cs="Arial"/>
                <w:bCs/>
                <w:color w:val="000000"/>
                <w:sz w:val="20"/>
                <w:lang w:val="es-HN"/>
              </w:rPr>
              <w:t>46.474</w:t>
            </w:r>
          </w:p>
        </w:tc>
        <w:tc>
          <w:tcPr>
            <w:tcW w:w="379" w:type="pct"/>
            <w:tcBorders>
              <w:top w:val="single" w:sz="4" w:space="0" w:color="auto"/>
              <w:left w:val="single" w:sz="4" w:space="0" w:color="auto"/>
              <w:bottom w:val="single" w:sz="4" w:space="0" w:color="auto"/>
              <w:right w:val="single" w:sz="4" w:space="0" w:color="auto"/>
            </w:tcBorders>
            <w:shd w:val="clear" w:color="000000" w:fill="auto"/>
            <w:vAlign w:val="center"/>
          </w:tcPr>
          <w:p w14:paraId="3D0C6F24" w14:textId="77777777" w:rsidR="00FA1109" w:rsidRPr="00802C43" w:rsidRDefault="00FA1109" w:rsidP="00E102A3">
            <w:pPr>
              <w:jc w:val="center"/>
              <w:rPr>
                <w:rFonts w:ascii="Arial" w:hAnsi="Arial" w:cs="Arial"/>
                <w:sz w:val="20"/>
              </w:rPr>
            </w:pPr>
            <w:r>
              <w:rPr>
                <w:rFonts w:ascii="Arial" w:hAnsi="Arial" w:cs="Arial"/>
                <w:sz w:val="20"/>
              </w:rPr>
              <w:t>20.189</w:t>
            </w:r>
          </w:p>
        </w:tc>
        <w:tc>
          <w:tcPr>
            <w:tcW w:w="1906" w:type="pct"/>
            <w:tcBorders>
              <w:top w:val="single" w:sz="4" w:space="0" w:color="auto"/>
              <w:left w:val="single" w:sz="4" w:space="0" w:color="auto"/>
              <w:bottom w:val="single" w:sz="4" w:space="0" w:color="auto"/>
              <w:right w:val="single" w:sz="4" w:space="0" w:color="auto"/>
            </w:tcBorders>
            <w:shd w:val="clear" w:color="000000" w:fill="auto"/>
            <w:vAlign w:val="center"/>
          </w:tcPr>
          <w:p w14:paraId="21107C8E" w14:textId="77777777" w:rsidR="00FA1109" w:rsidRPr="00FA1109" w:rsidRDefault="00FA1109" w:rsidP="00FA1109">
            <w:pPr>
              <w:jc w:val="center"/>
              <w:rPr>
                <w:rFonts w:ascii="Arial" w:hAnsi="Arial" w:cs="Arial"/>
                <w:sz w:val="20"/>
              </w:rPr>
            </w:pPr>
            <w:r w:rsidRPr="00FA1109">
              <w:rPr>
                <w:rFonts w:ascii="Arial" w:hAnsi="Arial" w:cs="Arial"/>
                <w:sz w:val="20"/>
              </w:rPr>
              <w:t>Informes anuales estadísticos de la AE sobre generación eléctrica.</w:t>
            </w:r>
          </w:p>
          <w:p w14:paraId="10871EE4" w14:textId="77777777" w:rsidR="00FA1109" w:rsidRPr="00FA1109" w:rsidRDefault="00FA1109" w:rsidP="00FA1109">
            <w:pPr>
              <w:jc w:val="center"/>
              <w:rPr>
                <w:rFonts w:ascii="Arial" w:hAnsi="Arial" w:cs="Arial"/>
                <w:sz w:val="20"/>
              </w:rPr>
            </w:pPr>
          </w:p>
          <w:p w14:paraId="2AB8D95C" w14:textId="77777777" w:rsidR="00FA1109" w:rsidRPr="00FA1109" w:rsidRDefault="00FA1109" w:rsidP="00FA1109">
            <w:pPr>
              <w:jc w:val="center"/>
              <w:rPr>
                <w:rFonts w:ascii="Arial" w:hAnsi="Arial" w:cs="Arial"/>
                <w:sz w:val="20"/>
              </w:rPr>
            </w:pPr>
            <w:r w:rsidRPr="00FA1109">
              <w:rPr>
                <w:rFonts w:ascii="Arial" w:hAnsi="Arial" w:cs="Arial"/>
                <w:sz w:val="20"/>
              </w:rPr>
              <w:t xml:space="preserve">La línea base corresponde a la proyección de emisiones de CO2 para 2024 sin el proyecto. </w:t>
            </w:r>
          </w:p>
        </w:tc>
      </w:tr>
      <w:tr w:rsidR="00FA1109" w:rsidRPr="00E102A3" w14:paraId="1C6E8B8F" w14:textId="77777777" w:rsidTr="00FA1109">
        <w:trPr>
          <w:trHeight w:val="720"/>
        </w:trPr>
        <w:tc>
          <w:tcPr>
            <w:tcW w:w="910" w:type="pct"/>
            <w:vMerge/>
            <w:shd w:val="clear" w:color="000000" w:fill="auto"/>
            <w:vAlign w:val="center"/>
          </w:tcPr>
          <w:p w14:paraId="51507F64" w14:textId="77777777" w:rsidR="00FA1109" w:rsidRPr="00802C43" w:rsidRDefault="00FA1109" w:rsidP="00E102A3">
            <w:pPr>
              <w:rPr>
                <w:rFonts w:ascii="Arial" w:hAnsi="Arial" w:cs="Arial"/>
                <w:color w:val="000000"/>
                <w:sz w:val="20"/>
                <w:lang w:val="es-HN"/>
              </w:rPr>
            </w:pPr>
          </w:p>
        </w:tc>
        <w:tc>
          <w:tcPr>
            <w:tcW w:w="1082" w:type="pct"/>
            <w:tcBorders>
              <w:top w:val="single" w:sz="4" w:space="0" w:color="auto"/>
              <w:left w:val="single" w:sz="4" w:space="0" w:color="auto"/>
              <w:bottom w:val="single" w:sz="4" w:space="0" w:color="auto"/>
              <w:right w:val="single" w:sz="4" w:space="0" w:color="auto"/>
            </w:tcBorders>
            <w:shd w:val="clear" w:color="000000" w:fill="auto"/>
            <w:vAlign w:val="center"/>
          </w:tcPr>
          <w:p w14:paraId="18340A1B" w14:textId="77777777" w:rsidR="00FA1109" w:rsidRPr="00802C43" w:rsidRDefault="00FA1109" w:rsidP="00FA1109">
            <w:pPr>
              <w:rPr>
                <w:rFonts w:ascii="Arial" w:hAnsi="Arial" w:cs="Arial"/>
                <w:color w:val="000000"/>
                <w:sz w:val="20"/>
                <w:lang w:val="es-HN"/>
              </w:rPr>
            </w:pPr>
            <w:r>
              <w:rPr>
                <w:rFonts w:ascii="Arial" w:hAnsi="Arial" w:cs="Arial"/>
                <w:color w:val="000000"/>
                <w:sz w:val="20"/>
                <w:lang w:val="es-HN"/>
              </w:rPr>
              <w:t xml:space="preserve">Emisiones de ton de </w:t>
            </w:r>
            <w:r w:rsidRPr="00802C43">
              <w:rPr>
                <w:rFonts w:ascii="Arial" w:hAnsi="Arial" w:cs="Arial"/>
                <w:color w:val="000000"/>
                <w:sz w:val="20"/>
                <w:lang w:val="es-HN"/>
              </w:rPr>
              <w:t>CO</w:t>
            </w:r>
            <w:r w:rsidRPr="00FA1109">
              <w:rPr>
                <w:rFonts w:ascii="Arial" w:hAnsi="Arial" w:cs="Arial"/>
                <w:color w:val="000000"/>
                <w:sz w:val="20"/>
                <w:lang w:val="es-HN"/>
              </w:rPr>
              <w:t>2</w:t>
            </w:r>
            <w:r w:rsidRPr="00802C43">
              <w:rPr>
                <w:rFonts w:ascii="Arial" w:hAnsi="Arial" w:cs="Arial"/>
                <w:color w:val="000000"/>
                <w:sz w:val="20"/>
                <w:lang w:val="es-HN"/>
              </w:rPr>
              <w:t xml:space="preserve"> en </w:t>
            </w:r>
            <w:r>
              <w:rPr>
                <w:rFonts w:ascii="Arial" w:hAnsi="Arial" w:cs="Arial"/>
                <w:color w:val="000000"/>
                <w:sz w:val="20"/>
                <w:lang w:val="es-HN"/>
              </w:rPr>
              <w:t>Potosí.</w:t>
            </w:r>
          </w:p>
        </w:tc>
        <w:tc>
          <w:tcPr>
            <w:tcW w:w="354" w:type="pct"/>
            <w:tcBorders>
              <w:top w:val="single" w:sz="4" w:space="0" w:color="auto"/>
              <w:left w:val="single" w:sz="4" w:space="0" w:color="auto"/>
              <w:bottom w:val="single" w:sz="4" w:space="0" w:color="auto"/>
              <w:right w:val="single" w:sz="4" w:space="0" w:color="auto"/>
            </w:tcBorders>
            <w:shd w:val="clear" w:color="000000" w:fill="auto"/>
            <w:vAlign w:val="center"/>
          </w:tcPr>
          <w:p w14:paraId="1F745B11" w14:textId="77777777" w:rsidR="00FA1109" w:rsidRPr="00FA1109" w:rsidRDefault="00FA1109" w:rsidP="00FA1109">
            <w:pPr>
              <w:jc w:val="both"/>
              <w:rPr>
                <w:rFonts w:ascii="Arial" w:hAnsi="Arial" w:cs="Arial"/>
                <w:color w:val="000000"/>
                <w:sz w:val="20"/>
                <w:lang w:val="es-HN"/>
              </w:rPr>
            </w:pPr>
            <w:r w:rsidRPr="00FA1109">
              <w:rPr>
                <w:rFonts w:ascii="Arial" w:hAnsi="Arial" w:cs="Arial"/>
                <w:color w:val="000000"/>
                <w:sz w:val="20"/>
                <w:lang w:val="es-HN"/>
              </w:rPr>
              <w:t>CO2 ton</w:t>
            </w:r>
          </w:p>
        </w:tc>
        <w:tc>
          <w:tcPr>
            <w:tcW w:w="369" w:type="pct"/>
            <w:tcBorders>
              <w:top w:val="single" w:sz="4" w:space="0" w:color="auto"/>
              <w:left w:val="single" w:sz="4" w:space="0" w:color="auto"/>
              <w:bottom w:val="single" w:sz="4" w:space="0" w:color="auto"/>
              <w:right w:val="single" w:sz="4" w:space="0" w:color="auto"/>
            </w:tcBorders>
            <w:shd w:val="clear" w:color="000000" w:fill="auto"/>
            <w:vAlign w:val="center"/>
          </w:tcPr>
          <w:p w14:paraId="4DD669ED" w14:textId="77777777" w:rsidR="00FA1109" w:rsidRPr="00FA1109" w:rsidRDefault="00FA1109" w:rsidP="00E102A3">
            <w:pPr>
              <w:jc w:val="center"/>
              <w:rPr>
                <w:rFonts w:ascii="Arial" w:hAnsi="Arial" w:cs="Arial"/>
                <w:bCs/>
                <w:color w:val="000000"/>
                <w:sz w:val="20"/>
                <w:lang w:val="es-HN"/>
              </w:rPr>
            </w:pPr>
            <w:r w:rsidRPr="00FA1109">
              <w:rPr>
                <w:rFonts w:ascii="Arial" w:hAnsi="Arial" w:cs="Arial"/>
                <w:bCs/>
                <w:color w:val="000000"/>
                <w:sz w:val="20"/>
                <w:lang w:val="es-HN"/>
              </w:rPr>
              <w:t>2.083,7</w:t>
            </w:r>
          </w:p>
        </w:tc>
        <w:tc>
          <w:tcPr>
            <w:tcW w:w="379" w:type="pct"/>
            <w:tcBorders>
              <w:top w:val="single" w:sz="4" w:space="0" w:color="auto"/>
              <w:left w:val="single" w:sz="4" w:space="0" w:color="auto"/>
              <w:bottom w:val="single" w:sz="4" w:space="0" w:color="auto"/>
              <w:right w:val="single" w:sz="4" w:space="0" w:color="auto"/>
            </w:tcBorders>
            <w:shd w:val="clear" w:color="000000" w:fill="auto"/>
            <w:vAlign w:val="center"/>
          </w:tcPr>
          <w:p w14:paraId="35AA7F44" w14:textId="77777777" w:rsidR="00FA1109" w:rsidRPr="00802C43" w:rsidRDefault="00FA1109" w:rsidP="00E102A3">
            <w:pPr>
              <w:jc w:val="center"/>
              <w:rPr>
                <w:rFonts w:ascii="Arial" w:hAnsi="Arial" w:cs="Arial"/>
                <w:sz w:val="20"/>
              </w:rPr>
            </w:pPr>
            <w:r>
              <w:rPr>
                <w:rFonts w:ascii="Arial" w:hAnsi="Arial" w:cs="Arial"/>
                <w:sz w:val="20"/>
              </w:rPr>
              <w:t>1.014,7</w:t>
            </w:r>
          </w:p>
        </w:tc>
        <w:tc>
          <w:tcPr>
            <w:tcW w:w="1906" w:type="pct"/>
            <w:tcBorders>
              <w:top w:val="single" w:sz="4" w:space="0" w:color="auto"/>
              <w:left w:val="single" w:sz="4" w:space="0" w:color="auto"/>
              <w:bottom w:val="single" w:sz="4" w:space="0" w:color="auto"/>
              <w:right w:val="single" w:sz="4" w:space="0" w:color="auto"/>
            </w:tcBorders>
            <w:shd w:val="clear" w:color="000000" w:fill="auto"/>
            <w:vAlign w:val="center"/>
          </w:tcPr>
          <w:p w14:paraId="68E12932" w14:textId="77777777" w:rsidR="00FA1109" w:rsidRPr="00FA1109" w:rsidRDefault="00FA1109" w:rsidP="00FA1109">
            <w:pPr>
              <w:jc w:val="center"/>
              <w:rPr>
                <w:rFonts w:ascii="Arial" w:hAnsi="Arial" w:cs="Arial"/>
                <w:sz w:val="20"/>
              </w:rPr>
            </w:pPr>
            <w:r w:rsidRPr="00FA1109">
              <w:rPr>
                <w:rFonts w:ascii="Arial" w:hAnsi="Arial" w:cs="Arial"/>
                <w:sz w:val="20"/>
              </w:rPr>
              <w:t>Informes anuales estadísticos de la AE sobre generación eléctrica.</w:t>
            </w:r>
          </w:p>
          <w:p w14:paraId="20F646AC" w14:textId="77777777" w:rsidR="00FA1109" w:rsidRPr="00FA1109" w:rsidRDefault="00FA1109" w:rsidP="00FA1109">
            <w:pPr>
              <w:jc w:val="center"/>
              <w:rPr>
                <w:rFonts w:ascii="Arial" w:hAnsi="Arial" w:cs="Arial"/>
                <w:sz w:val="20"/>
              </w:rPr>
            </w:pPr>
          </w:p>
          <w:p w14:paraId="2301F05B" w14:textId="77777777" w:rsidR="00FA1109" w:rsidRPr="00FA1109" w:rsidRDefault="00FA1109" w:rsidP="00FA1109">
            <w:pPr>
              <w:jc w:val="center"/>
              <w:rPr>
                <w:rFonts w:ascii="Arial" w:hAnsi="Arial" w:cs="Arial"/>
                <w:sz w:val="20"/>
              </w:rPr>
            </w:pPr>
            <w:r w:rsidRPr="00FA1109">
              <w:rPr>
                <w:rFonts w:ascii="Arial" w:hAnsi="Arial" w:cs="Arial"/>
                <w:sz w:val="20"/>
              </w:rPr>
              <w:t>El valor de la línea base corresponde a la proyección de emisiones de CO2 para 2024 sin el proyecto.</w:t>
            </w:r>
          </w:p>
        </w:tc>
      </w:tr>
      <w:tr w:rsidR="00FA1109" w:rsidRPr="00E102A3" w14:paraId="456D31A0" w14:textId="77777777" w:rsidTr="00FA1109">
        <w:trPr>
          <w:trHeight w:val="720"/>
        </w:trPr>
        <w:tc>
          <w:tcPr>
            <w:tcW w:w="910" w:type="pct"/>
            <w:vMerge/>
            <w:shd w:val="clear" w:color="000000" w:fill="auto"/>
            <w:vAlign w:val="center"/>
          </w:tcPr>
          <w:p w14:paraId="57EC9EC7" w14:textId="77777777" w:rsidR="00FA1109" w:rsidRPr="00802C43" w:rsidRDefault="00FA1109" w:rsidP="00E102A3">
            <w:pPr>
              <w:rPr>
                <w:rFonts w:ascii="Arial" w:hAnsi="Arial" w:cs="Arial"/>
                <w:color w:val="000000"/>
                <w:sz w:val="20"/>
                <w:lang w:val="es-HN"/>
              </w:rPr>
            </w:pPr>
          </w:p>
        </w:tc>
        <w:tc>
          <w:tcPr>
            <w:tcW w:w="1082" w:type="pct"/>
            <w:tcBorders>
              <w:top w:val="single" w:sz="4" w:space="0" w:color="auto"/>
              <w:left w:val="single" w:sz="4" w:space="0" w:color="auto"/>
              <w:bottom w:val="single" w:sz="4" w:space="0" w:color="auto"/>
              <w:right w:val="single" w:sz="4" w:space="0" w:color="auto"/>
            </w:tcBorders>
            <w:shd w:val="clear" w:color="000000" w:fill="auto"/>
            <w:vAlign w:val="center"/>
          </w:tcPr>
          <w:p w14:paraId="2B940A1E" w14:textId="77777777" w:rsidR="00FA1109" w:rsidRPr="00802C43" w:rsidRDefault="00FA1109" w:rsidP="00FA1109">
            <w:pPr>
              <w:rPr>
                <w:rFonts w:ascii="Arial" w:hAnsi="Arial" w:cs="Arial"/>
                <w:color w:val="000000"/>
                <w:sz w:val="20"/>
                <w:lang w:val="es-HN"/>
              </w:rPr>
            </w:pPr>
            <w:r>
              <w:rPr>
                <w:rFonts w:ascii="Arial" w:hAnsi="Arial" w:cs="Arial"/>
                <w:color w:val="000000"/>
                <w:sz w:val="20"/>
                <w:lang w:val="es-HN"/>
              </w:rPr>
              <w:t xml:space="preserve">Emisiones de ton de </w:t>
            </w:r>
            <w:r w:rsidRPr="00802C43">
              <w:rPr>
                <w:rFonts w:ascii="Arial" w:hAnsi="Arial" w:cs="Arial"/>
                <w:color w:val="000000"/>
                <w:sz w:val="20"/>
                <w:lang w:val="es-HN"/>
              </w:rPr>
              <w:t>CO</w:t>
            </w:r>
            <w:r w:rsidRPr="00FA1109">
              <w:rPr>
                <w:rFonts w:ascii="Arial" w:hAnsi="Arial" w:cs="Arial"/>
                <w:color w:val="000000"/>
                <w:sz w:val="20"/>
                <w:lang w:val="es-HN"/>
              </w:rPr>
              <w:t>2</w:t>
            </w:r>
            <w:r w:rsidRPr="00802C43">
              <w:rPr>
                <w:rFonts w:ascii="Arial" w:hAnsi="Arial" w:cs="Arial"/>
                <w:color w:val="000000"/>
                <w:sz w:val="20"/>
                <w:lang w:val="es-HN"/>
              </w:rPr>
              <w:t xml:space="preserve"> en Oruro</w:t>
            </w:r>
            <w:r>
              <w:rPr>
                <w:rFonts w:ascii="Arial" w:hAnsi="Arial" w:cs="Arial"/>
                <w:color w:val="000000"/>
                <w:sz w:val="20"/>
                <w:lang w:val="es-HN"/>
              </w:rPr>
              <w:t>.</w:t>
            </w:r>
          </w:p>
        </w:tc>
        <w:tc>
          <w:tcPr>
            <w:tcW w:w="354" w:type="pct"/>
            <w:tcBorders>
              <w:top w:val="single" w:sz="4" w:space="0" w:color="auto"/>
              <w:left w:val="single" w:sz="4" w:space="0" w:color="auto"/>
              <w:bottom w:val="single" w:sz="4" w:space="0" w:color="auto"/>
              <w:right w:val="single" w:sz="4" w:space="0" w:color="auto"/>
            </w:tcBorders>
            <w:shd w:val="clear" w:color="000000" w:fill="auto"/>
            <w:vAlign w:val="center"/>
          </w:tcPr>
          <w:p w14:paraId="6954E1DC" w14:textId="77777777" w:rsidR="00FA1109" w:rsidRPr="00FA1109" w:rsidRDefault="00FA1109" w:rsidP="00FA1109">
            <w:pPr>
              <w:jc w:val="both"/>
              <w:rPr>
                <w:rFonts w:ascii="Arial" w:hAnsi="Arial" w:cs="Arial"/>
                <w:color w:val="000000"/>
                <w:sz w:val="20"/>
                <w:lang w:val="es-HN"/>
              </w:rPr>
            </w:pPr>
            <w:r w:rsidRPr="00FA1109">
              <w:rPr>
                <w:rFonts w:ascii="Arial" w:hAnsi="Arial" w:cs="Arial"/>
                <w:color w:val="000000"/>
                <w:sz w:val="20"/>
                <w:lang w:val="es-HN"/>
              </w:rPr>
              <w:t>CO2 ton</w:t>
            </w:r>
          </w:p>
        </w:tc>
        <w:tc>
          <w:tcPr>
            <w:tcW w:w="369" w:type="pct"/>
            <w:tcBorders>
              <w:top w:val="single" w:sz="4" w:space="0" w:color="auto"/>
              <w:left w:val="single" w:sz="4" w:space="0" w:color="auto"/>
              <w:bottom w:val="single" w:sz="4" w:space="0" w:color="auto"/>
              <w:right w:val="single" w:sz="4" w:space="0" w:color="auto"/>
            </w:tcBorders>
            <w:shd w:val="clear" w:color="000000" w:fill="auto"/>
            <w:vAlign w:val="center"/>
          </w:tcPr>
          <w:p w14:paraId="7869A144" w14:textId="77777777" w:rsidR="00FA1109" w:rsidRPr="00FA1109" w:rsidRDefault="00FA1109" w:rsidP="00E102A3">
            <w:pPr>
              <w:jc w:val="center"/>
              <w:rPr>
                <w:rFonts w:ascii="Arial" w:hAnsi="Arial" w:cs="Arial"/>
                <w:bCs/>
                <w:color w:val="000000"/>
                <w:sz w:val="20"/>
                <w:lang w:val="es-HN"/>
              </w:rPr>
            </w:pPr>
            <w:r w:rsidRPr="00FA1109">
              <w:rPr>
                <w:rFonts w:ascii="Arial" w:hAnsi="Arial" w:cs="Arial"/>
                <w:bCs/>
                <w:color w:val="000000"/>
                <w:sz w:val="20"/>
                <w:lang w:val="es-HN"/>
              </w:rPr>
              <w:t>10.900</w:t>
            </w:r>
          </w:p>
        </w:tc>
        <w:tc>
          <w:tcPr>
            <w:tcW w:w="379" w:type="pct"/>
            <w:tcBorders>
              <w:top w:val="single" w:sz="4" w:space="0" w:color="auto"/>
              <w:left w:val="single" w:sz="4" w:space="0" w:color="auto"/>
              <w:bottom w:val="single" w:sz="4" w:space="0" w:color="auto"/>
              <w:right w:val="single" w:sz="4" w:space="0" w:color="auto"/>
            </w:tcBorders>
            <w:shd w:val="clear" w:color="000000" w:fill="auto"/>
            <w:vAlign w:val="center"/>
          </w:tcPr>
          <w:p w14:paraId="075CA092" w14:textId="77777777" w:rsidR="00FA1109" w:rsidRPr="00802C43" w:rsidRDefault="00FA1109" w:rsidP="00E102A3">
            <w:pPr>
              <w:jc w:val="center"/>
              <w:rPr>
                <w:rFonts w:ascii="Arial" w:hAnsi="Arial" w:cs="Arial"/>
                <w:sz w:val="20"/>
              </w:rPr>
            </w:pPr>
            <w:r>
              <w:rPr>
                <w:rFonts w:ascii="Arial" w:hAnsi="Arial" w:cs="Arial"/>
                <w:sz w:val="20"/>
              </w:rPr>
              <w:t>6.095</w:t>
            </w:r>
          </w:p>
        </w:tc>
        <w:tc>
          <w:tcPr>
            <w:tcW w:w="1906" w:type="pct"/>
            <w:tcBorders>
              <w:top w:val="single" w:sz="4" w:space="0" w:color="auto"/>
              <w:left w:val="single" w:sz="4" w:space="0" w:color="auto"/>
              <w:bottom w:val="single" w:sz="4" w:space="0" w:color="auto"/>
              <w:right w:val="single" w:sz="4" w:space="0" w:color="auto"/>
            </w:tcBorders>
            <w:shd w:val="clear" w:color="000000" w:fill="auto"/>
            <w:vAlign w:val="center"/>
          </w:tcPr>
          <w:p w14:paraId="0788C60D" w14:textId="77777777" w:rsidR="00FA1109" w:rsidRPr="00FA1109" w:rsidRDefault="00FA1109" w:rsidP="00FA1109">
            <w:pPr>
              <w:jc w:val="center"/>
              <w:rPr>
                <w:rFonts w:ascii="Arial" w:hAnsi="Arial" w:cs="Arial"/>
                <w:sz w:val="20"/>
              </w:rPr>
            </w:pPr>
            <w:r w:rsidRPr="00FA1109">
              <w:rPr>
                <w:rFonts w:ascii="Arial" w:hAnsi="Arial" w:cs="Arial"/>
                <w:sz w:val="20"/>
              </w:rPr>
              <w:t>Informes anuales estadísticos de la AE sobre generación eléctrica.</w:t>
            </w:r>
          </w:p>
          <w:p w14:paraId="25229F5D" w14:textId="77777777" w:rsidR="00FA1109" w:rsidRPr="00FA1109" w:rsidRDefault="00FA1109" w:rsidP="00FA1109">
            <w:pPr>
              <w:jc w:val="center"/>
              <w:rPr>
                <w:rFonts w:ascii="Arial" w:hAnsi="Arial" w:cs="Arial"/>
                <w:sz w:val="20"/>
              </w:rPr>
            </w:pPr>
          </w:p>
          <w:p w14:paraId="3C4886EE" w14:textId="77777777" w:rsidR="00FA1109" w:rsidRPr="00FA1109" w:rsidRDefault="00FA1109" w:rsidP="00FA1109">
            <w:pPr>
              <w:jc w:val="center"/>
              <w:rPr>
                <w:rFonts w:ascii="Arial" w:hAnsi="Arial" w:cs="Arial"/>
                <w:sz w:val="20"/>
              </w:rPr>
            </w:pPr>
            <w:r w:rsidRPr="00FA1109">
              <w:rPr>
                <w:rFonts w:ascii="Arial" w:hAnsi="Arial" w:cs="Arial"/>
                <w:sz w:val="20"/>
              </w:rPr>
              <w:t>La línea base corresponde a la proyección de emisiones de CO2 para 2024 sin el proyecto.</w:t>
            </w:r>
          </w:p>
        </w:tc>
      </w:tr>
    </w:tbl>
    <w:p w14:paraId="135D97A3" w14:textId="427B2A75" w:rsidR="00A40258" w:rsidRDefault="00FA1109" w:rsidP="00FA1109">
      <w:pPr>
        <w:pStyle w:val="Paragraph"/>
        <w:numPr>
          <w:ilvl w:val="0"/>
          <w:numId w:val="0"/>
        </w:numPr>
        <w:tabs>
          <w:tab w:val="left" w:pos="8810"/>
        </w:tabs>
        <w:rPr>
          <w:b/>
          <w:lang w:val="es-ES_tradnl"/>
        </w:rPr>
      </w:pPr>
      <w:r>
        <w:rPr>
          <w:b/>
          <w:lang w:val="es-ES_tradnl"/>
        </w:rPr>
        <w:tab/>
      </w:r>
    </w:p>
    <w:tbl>
      <w:tblPr>
        <w:tblW w:w="5071" w:type="pct"/>
        <w:tblLayout w:type="fixed"/>
        <w:tblLook w:val="04A0" w:firstRow="1" w:lastRow="0" w:firstColumn="1" w:lastColumn="0" w:noHBand="0" w:noVBand="1"/>
      </w:tblPr>
      <w:tblGrid>
        <w:gridCol w:w="2387"/>
        <w:gridCol w:w="2752"/>
        <w:gridCol w:w="973"/>
        <w:gridCol w:w="973"/>
        <w:gridCol w:w="973"/>
        <w:gridCol w:w="4881"/>
      </w:tblGrid>
      <w:tr w:rsidR="00A40258" w:rsidRPr="003A3B39" w14:paraId="593FB8A9" w14:textId="77777777" w:rsidTr="00890464">
        <w:trPr>
          <w:trHeight w:val="512"/>
          <w:tblHeader/>
        </w:trPr>
        <w:tc>
          <w:tcPr>
            <w:tcW w:w="922"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CC7170B" w14:textId="77777777" w:rsidR="00A40258" w:rsidRPr="003A3B39" w:rsidRDefault="00A40258" w:rsidP="001F3112">
            <w:pPr>
              <w:jc w:val="center"/>
              <w:rPr>
                <w:rFonts w:ascii="Arial" w:hAnsi="Arial" w:cs="Arial"/>
                <w:b/>
                <w:bCs/>
                <w:color w:val="000000"/>
                <w:sz w:val="20"/>
                <w:lang w:val="es-HN"/>
              </w:rPr>
            </w:pPr>
            <w:r w:rsidRPr="003A3B39">
              <w:rPr>
                <w:rFonts w:ascii="Arial" w:hAnsi="Arial" w:cs="Arial"/>
                <w:b/>
                <w:bCs/>
                <w:color w:val="000000"/>
                <w:sz w:val="20"/>
                <w:lang w:val="es-HN"/>
              </w:rPr>
              <w:t>Resultados</w:t>
            </w:r>
          </w:p>
        </w:tc>
        <w:tc>
          <w:tcPr>
            <w:tcW w:w="1063" w:type="pct"/>
            <w:tcBorders>
              <w:top w:val="single" w:sz="4" w:space="0" w:color="auto"/>
              <w:left w:val="nil"/>
              <w:bottom w:val="single" w:sz="4" w:space="0" w:color="auto"/>
              <w:right w:val="single" w:sz="4" w:space="0" w:color="auto"/>
            </w:tcBorders>
            <w:shd w:val="clear" w:color="000000" w:fill="BFBFBF"/>
            <w:vAlign w:val="center"/>
            <w:hideMark/>
          </w:tcPr>
          <w:p w14:paraId="3CCBE63A" w14:textId="77777777" w:rsidR="00A40258" w:rsidRPr="003A3B39" w:rsidRDefault="00A40258" w:rsidP="001F3112">
            <w:pPr>
              <w:jc w:val="center"/>
              <w:rPr>
                <w:rFonts w:ascii="Arial" w:hAnsi="Arial" w:cs="Arial"/>
                <w:b/>
                <w:bCs/>
                <w:color w:val="000000"/>
                <w:sz w:val="20"/>
                <w:lang w:val="es-HN"/>
              </w:rPr>
            </w:pPr>
            <w:r w:rsidRPr="003A3B39">
              <w:rPr>
                <w:rFonts w:ascii="Arial" w:hAnsi="Arial" w:cs="Arial"/>
                <w:b/>
                <w:bCs/>
                <w:color w:val="000000"/>
                <w:sz w:val="20"/>
                <w:lang w:val="es-HN"/>
              </w:rPr>
              <w:t>Indicadores</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754C01C1" w14:textId="77777777" w:rsidR="00A40258" w:rsidRPr="003A3B39" w:rsidRDefault="00A40258" w:rsidP="001F3112">
            <w:pPr>
              <w:jc w:val="center"/>
              <w:rPr>
                <w:rFonts w:ascii="Arial" w:hAnsi="Arial" w:cs="Arial"/>
                <w:b/>
                <w:bCs/>
                <w:color w:val="000000"/>
                <w:sz w:val="20"/>
                <w:lang w:val="es-HN"/>
              </w:rPr>
            </w:pPr>
            <w:r w:rsidRPr="003A3B39">
              <w:rPr>
                <w:rFonts w:ascii="Arial" w:hAnsi="Arial" w:cs="Arial"/>
                <w:b/>
                <w:bCs/>
                <w:color w:val="000000"/>
                <w:sz w:val="20"/>
                <w:lang w:val="es-HN"/>
              </w:rPr>
              <w:t>Unidad</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7FEC3C46" w14:textId="77777777" w:rsidR="00A40258" w:rsidRPr="003A3B39" w:rsidRDefault="00A40258" w:rsidP="001F3112">
            <w:pPr>
              <w:jc w:val="center"/>
              <w:rPr>
                <w:rFonts w:ascii="Arial" w:hAnsi="Arial" w:cs="Arial"/>
                <w:b/>
                <w:bCs/>
                <w:color w:val="000000"/>
                <w:sz w:val="20"/>
                <w:lang w:val="es-HN"/>
              </w:rPr>
            </w:pPr>
            <w:r w:rsidRPr="003A3B39">
              <w:rPr>
                <w:rFonts w:ascii="Arial" w:hAnsi="Arial" w:cs="Arial"/>
                <w:b/>
                <w:bCs/>
                <w:color w:val="000000"/>
                <w:sz w:val="20"/>
                <w:lang w:val="es-HN"/>
              </w:rPr>
              <w:t>Base 2017</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24D150AD" w14:textId="77777777" w:rsidR="00A40258" w:rsidRPr="003A3B39" w:rsidRDefault="00A40258" w:rsidP="001F3112">
            <w:pPr>
              <w:jc w:val="center"/>
              <w:rPr>
                <w:rFonts w:ascii="Arial" w:hAnsi="Arial" w:cs="Arial"/>
                <w:b/>
                <w:bCs/>
                <w:color w:val="000000"/>
                <w:sz w:val="20"/>
                <w:lang w:val="es-HN"/>
              </w:rPr>
            </w:pPr>
            <w:r w:rsidRPr="003A3B39">
              <w:rPr>
                <w:rFonts w:ascii="Arial" w:hAnsi="Arial" w:cs="Arial"/>
                <w:b/>
                <w:bCs/>
                <w:color w:val="000000"/>
                <w:sz w:val="20"/>
                <w:lang w:val="es-HN"/>
              </w:rPr>
              <w:t>Meta Final 2024</w:t>
            </w:r>
          </w:p>
        </w:tc>
        <w:tc>
          <w:tcPr>
            <w:tcW w:w="1886" w:type="pct"/>
            <w:tcBorders>
              <w:top w:val="single" w:sz="4" w:space="0" w:color="auto"/>
              <w:left w:val="nil"/>
              <w:bottom w:val="single" w:sz="4" w:space="0" w:color="auto"/>
              <w:right w:val="single" w:sz="4" w:space="0" w:color="auto"/>
            </w:tcBorders>
            <w:shd w:val="clear" w:color="000000" w:fill="BFBFBF"/>
            <w:vAlign w:val="center"/>
            <w:hideMark/>
          </w:tcPr>
          <w:p w14:paraId="0D10D172" w14:textId="77777777" w:rsidR="00A40258" w:rsidRPr="003A3B39" w:rsidRDefault="00A40258" w:rsidP="001F3112">
            <w:pPr>
              <w:jc w:val="center"/>
              <w:rPr>
                <w:rFonts w:ascii="Arial" w:hAnsi="Arial" w:cs="Arial"/>
                <w:b/>
                <w:bCs/>
                <w:color w:val="000000"/>
                <w:sz w:val="20"/>
                <w:lang w:val="es-HN"/>
              </w:rPr>
            </w:pPr>
            <w:r w:rsidRPr="003A3B39">
              <w:rPr>
                <w:rFonts w:ascii="Arial" w:hAnsi="Arial" w:cs="Arial"/>
                <w:b/>
                <w:bCs/>
                <w:color w:val="000000"/>
                <w:sz w:val="20"/>
                <w:lang w:val="es-HN"/>
              </w:rPr>
              <w:t>Medios de Verificación</w:t>
            </w:r>
            <w:r>
              <w:rPr>
                <w:rFonts w:ascii="Arial" w:hAnsi="Arial" w:cs="Arial"/>
                <w:b/>
                <w:bCs/>
                <w:color w:val="000000"/>
                <w:sz w:val="20"/>
                <w:lang w:val="es-HN"/>
              </w:rPr>
              <w:t xml:space="preserve"> / observaciones</w:t>
            </w:r>
          </w:p>
        </w:tc>
      </w:tr>
      <w:tr w:rsidR="00890464" w:rsidRPr="003A3B39" w14:paraId="7569FA40" w14:textId="77777777" w:rsidTr="00890464">
        <w:trPr>
          <w:trHeight w:val="624"/>
        </w:trPr>
        <w:tc>
          <w:tcPr>
            <w:tcW w:w="922" w:type="pct"/>
            <w:tcBorders>
              <w:left w:val="single" w:sz="4" w:space="0" w:color="auto"/>
              <w:bottom w:val="single" w:sz="4" w:space="0" w:color="auto"/>
              <w:right w:val="single" w:sz="4" w:space="0" w:color="auto"/>
            </w:tcBorders>
            <w:shd w:val="clear" w:color="auto" w:fill="auto"/>
            <w:vAlign w:val="center"/>
          </w:tcPr>
          <w:p w14:paraId="3E8A13F0" w14:textId="77777777" w:rsidR="00890464" w:rsidRPr="003A3B39" w:rsidRDefault="00890464" w:rsidP="00E102A3">
            <w:pPr>
              <w:rPr>
                <w:rFonts w:ascii="Arial" w:hAnsi="Arial" w:cs="Arial"/>
                <w:color w:val="000000"/>
                <w:sz w:val="20"/>
                <w:lang w:val="es-HN"/>
              </w:rPr>
            </w:pPr>
            <w:r>
              <w:rPr>
                <w:rFonts w:ascii="Arial" w:hAnsi="Arial" w:cs="Arial"/>
                <w:color w:val="000000"/>
                <w:sz w:val="20"/>
                <w:lang w:val="es-HN"/>
              </w:rPr>
              <w:t>Incremento de la capacidad de</w:t>
            </w:r>
            <w:r w:rsidRPr="003A3B39">
              <w:rPr>
                <w:rFonts w:ascii="Arial" w:hAnsi="Arial" w:cs="Arial"/>
                <w:color w:val="000000"/>
                <w:sz w:val="20"/>
                <w:lang w:val="es-HN"/>
              </w:rPr>
              <w:t xml:space="preserve"> transmisión </w:t>
            </w:r>
            <w:r>
              <w:rPr>
                <w:rFonts w:ascii="Arial" w:hAnsi="Arial" w:cs="Arial"/>
                <w:color w:val="000000"/>
                <w:sz w:val="20"/>
                <w:lang w:val="es-HN"/>
              </w:rPr>
              <w:t>l</w:t>
            </w:r>
            <w:r w:rsidRPr="003A3B39">
              <w:rPr>
                <w:rFonts w:ascii="Arial" w:hAnsi="Arial" w:cs="Arial"/>
                <w:color w:val="000000"/>
                <w:sz w:val="20"/>
                <w:lang w:val="es-HN"/>
              </w:rPr>
              <w:t>ínea los Troncos-San Ignacio.</w:t>
            </w:r>
          </w:p>
        </w:tc>
        <w:tc>
          <w:tcPr>
            <w:tcW w:w="1063" w:type="pct"/>
            <w:tcBorders>
              <w:top w:val="nil"/>
              <w:left w:val="nil"/>
              <w:bottom w:val="single" w:sz="4" w:space="0" w:color="auto"/>
              <w:right w:val="single" w:sz="4" w:space="0" w:color="auto"/>
            </w:tcBorders>
            <w:shd w:val="clear" w:color="000000" w:fill="FFFFFF"/>
            <w:vAlign w:val="center"/>
          </w:tcPr>
          <w:p w14:paraId="522BA7EB" w14:textId="77777777" w:rsidR="00890464" w:rsidRPr="00890464" w:rsidRDefault="00890464" w:rsidP="00E102A3">
            <w:pPr>
              <w:rPr>
                <w:rFonts w:ascii="Arial" w:hAnsi="Arial" w:cs="Arial"/>
                <w:color w:val="000000"/>
                <w:sz w:val="20"/>
              </w:rPr>
            </w:pPr>
            <w:r w:rsidRPr="00890464">
              <w:rPr>
                <w:rFonts w:ascii="Arial" w:hAnsi="Arial" w:cs="Arial"/>
                <w:color w:val="000000"/>
                <w:sz w:val="20"/>
              </w:rPr>
              <w:t>Capacidad de transmisión línea los Troncos–San Ignacio.</w:t>
            </w:r>
          </w:p>
        </w:tc>
        <w:tc>
          <w:tcPr>
            <w:tcW w:w="376" w:type="pct"/>
            <w:tcBorders>
              <w:top w:val="nil"/>
              <w:left w:val="nil"/>
              <w:bottom w:val="single" w:sz="4" w:space="0" w:color="auto"/>
              <w:right w:val="single" w:sz="4" w:space="0" w:color="auto"/>
            </w:tcBorders>
            <w:shd w:val="clear" w:color="000000" w:fill="FFFFFF"/>
            <w:vAlign w:val="center"/>
          </w:tcPr>
          <w:p w14:paraId="6FD5B204" w14:textId="77777777" w:rsidR="00890464" w:rsidRPr="00890464" w:rsidRDefault="00890464" w:rsidP="00E102A3">
            <w:pPr>
              <w:jc w:val="center"/>
              <w:rPr>
                <w:rFonts w:ascii="Arial" w:hAnsi="Arial" w:cs="Arial"/>
                <w:color w:val="010000"/>
                <w:sz w:val="20"/>
              </w:rPr>
            </w:pPr>
            <w:r w:rsidRPr="00890464">
              <w:rPr>
                <w:rFonts w:ascii="Arial" w:hAnsi="Arial" w:cs="Arial"/>
                <w:color w:val="010000"/>
                <w:sz w:val="20"/>
              </w:rPr>
              <w:t>MW</w:t>
            </w:r>
          </w:p>
        </w:tc>
        <w:tc>
          <w:tcPr>
            <w:tcW w:w="376" w:type="pct"/>
            <w:tcBorders>
              <w:top w:val="nil"/>
              <w:left w:val="nil"/>
              <w:bottom w:val="single" w:sz="4" w:space="0" w:color="auto"/>
              <w:right w:val="single" w:sz="4" w:space="0" w:color="auto"/>
            </w:tcBorders>
            <w:shd w:val="clear" w:color="000000" w:fill="FFFFFF"/>
            <w:vAlign w:val="center"/>
          </w:tcPr>
          <w:p w14:paraId="741B46E0" w14:textId="77777777" w:rsidR="00890464" w:rsidRPr="00890464" w:rsidRDefault="00890464" w:rsidP="00E102A3">
            <w:pPr>
              <w:jc w:val="center"/>
              <w:rPr>
                <w:rFonts w:ascii="Arial" w:hAnsi="Arial" w:cs="Arial"/>
                <w:color w:val="000000"/>
                <w:sz w:val="20"/>
                <w:lang w:val="es-HN"/>
              </w:rPr>
            </w:pPr>
            <w:r w:rsidRPr="00890464">
              <w:rPr>
                <w:rFonts w:ascii="Arial" w:hAnsi="Arial" w:cs="Arial"/>
                <w:color w:val="000000"/>
                <w:sz w:val="20"/>
                <w:lang w:val="es-HN"/>
              </w:rPr>
              <w:t>0</w:t>
            </w:r>
          </w:p>
        </w:tc>
        <w:tc>
          <w:tcPr>
            <w:tcW w:w="376" w:type="pct"/>
            <w:tcBorders>
              <w:top w:val="nil"/>
              <w:left w:val="nil"/>
              <w:bottom w:val="single" w:sz="4" w:space="0" w:color="auto"/>
              <w:right w:val="single" w:sz="4" w:space="0" w:color="auto"/>
            </w:tcBorders>
            <w:shd w:val="clear" w:color="auto" w:fill="auto"/>
            <w:vAlign w:val="center"/>
          </w:tcPr>
          <w:p w14:paraId="557AF04A" w14:textId="77777777" w:rsidR="00890464" w:rsidRPr="00890464" w:rsidRDefault="00890464" w:rsidP="00E102A3">
            <w:pPr>
              <w:jc w:val="center"/>
              <w:rPr>
                <w:rFonts w:ascii="Arial" w:hAnsi="Arial" w:cs="Arial"/>
                <w:color w:val="000000"/>
                <w:sz w:val="20"/>
                <w:lang w:val="es-HN"/>
              </w:rPr>
            </w:pPr>
            <w:r w:rsidRPr="00890464">
              <w:rPr>
                <w:rFonts w:ascii="Arial" w:hAnsi="Arial" w:cs="Arial"/>
                <w:color w:val="000000"/>
                <w:sz w:val="20"/>
                <w:lang w:val="es-HN"/>
              </w:rPr>
              <w:t>50</w:t>
            </w:r>
          </w:p>
        </w:tc>
        <w:tc>
          <w:tcPr>
            <w:tcW w:w="1886" w:type="pct"/>
            <w:tcBorders>
              <w:top w:val="nil"/>
              <w:left w:val="nil"/>
              <w:bottom w:val="single" w:sz="4" w:space="0" w:color="auto"/>
              <w:right w:val="single" w:sz="4" w:space="0" w:color="auto"/>
            </w:tcBorders>
            <w:shd w:val="clear" w:color="000000" w:fill="FFFFFF"/>
            <w:vAlign w:val="center"/>
          </w:tcPr>
          <w:p w14:paraId="68613CE5" w14:textId="77777777" w:rsidR="00890464" w:rsidRPr="00890464" w:rsidRDefault="00890464" w:rsidP="00E102A3">
            <w:pPr>
              <w:rPr>
                <w:rFonts w:ascii="Arial" w:hAnsi="Arial" w:cs="Arial"/>
                <w:color w:val="000000"/>
                <w:sz w:val="20"/>
              </w:rPr>
            </w:pPr>
            <w:r w:rsidRPr="00890464">
              <w:rPr>
                <w:rFonts w:ascii="Arial" w:hAnsi="Arial" w:cs="Arial"/>
                <w:color w:val="000000"/>
                <w:sz w:val="20"/>
              </w:rPr>
              <w:t>Reportes de ejecución de ENDE con información levantada por las empresas supervisoras, en base a los informes de avance de obra.</w:t>
            </w:r>
          </w:p>
        </w:tc>
      </w:tr>
      <w:tr w:rsidR="00890464" w:rsidRPr="003A3B39" w14:paraId="417D4CE2" w14:textId="77777777" w:rsidTr="00890464">
        <w:trPr>
          <w:trHeight w:val="624"/>
        </w:trPr>
        <w:tc>
          <w:tcPr>
            <w:tcW w:w="922" w:type="pct"/>
            <w:tcBorders>
              <w:left w:val="single" w:sz="4" w:space="0" w:color="auto"/>
              <w:bottom w:val="single" w:sz="4" w:space="0" w:color="auto"/>
              <w:right w:val="single" w:sz="4" w:space="0" w:color="auto"/>
            </w:tcBorders>
            <w:shd w:val="clear" w:color="auto" w:fill="auto"/>
            <w:vAlign w:val="center"/>
          </w:tcPr>
          <w:p w14:paraId="7DB25A03" w14:textId="77777777" w:rsidR="00890464" w:rsidRPr="00890464" w:rsidRDefault="00890464" w:rsidP="00E102A3">
            <w:pPr>
              <w:rPr>
                <w:rFonts w:ascii="Arial" w:hAnsi="Arial" w:cs="Arial"/>
                <w:color w:val="000000"/>
                <w:sz w:val="20"/>
                <w:lang w:val="es-HN"/>
              </w:rPr>
            </w:pPr>
            <w:r>
              <w:rPr>
                <w:rFonts w:ascii="Arial" w:hAnsi="Arial" w:cs="Arial"/>
                <w:color w:val="000000"/>
                <w:sz w:val="20"/>
                <w:lang w:val="es-HN"/>
              </w:rPr>
              <w:t>Ahorro en los subsidios al diésel para la generación eléctrica.</w:t>
            </w:r>
          </w:p>
        </w:tc>
        <w:tc>
          <w:tcPr>
            <w:tcW w:w="1063" w:type="pct"/>
            <w:tcBorders>
              <w:top w:val="nil"/>
              <w:left w:val="nil"/>
              <w:bottom w:val="single" w:sz="4" w:space="0" w:color="auto"/>
              <w:right w:val="single" w:sz="4" w:space="0" w:color="auto"/>
            </w:tcBorders>
            <w:shd w:val="clear" w:color="000000" w:fill="FFFFFF"/>
            <w:vAlign w:val="center"/>
          </w:tcPr>
          <w:p w14:paraId="3E343387" w14:textId="77777777" w:rsidR="00890464" w:rsidRPr="00890464" w:rsidRDefault="00890464" w:rsidP="00E102A3">
            <w:pPr>
              <w:rPr>
                <w:rFonts w:ascii="Arial" w:hAnsi="Arial" w:cs="Arial"/>
                <w:color w:val="000000"/>
                <w:sz w:val="20"/>
              </w:rPr>
            </w:pPr>
            <w:r w:rsidRPr="00890464">
              <w:rPr>
                <w:rFonts w:ascii="Arial" w:hAnsi="Arial" w:cs="Arial"/>
                <w:color w:val="000000"/>
                <w:sz w:val="20"/>
              </w:rPr>
              <w:t>Subsidios anuales al diésel en San Ignacio de Velasco</w:t>
            </w:r>
          </w:p>
        </w:tc>
        <w:tc>
          <w:tcPr>
            <w:tcW w:w="376" w:type="pct"/>
            <w:tcBorders>
              <w:top w:val="nil"/>
              <w:left w:val="nil"/>
              <w:bottom w:val="single" w:sz="4" w:space="0" w:color="auto"/>
              <w:right w:val="single" w:sz="4" w:space="0" w:color="auto"/>
            </w:tcBorders>
            <w:shd w:val="clear" w:color="000000" w:fill="FFFFFF"/>
            <w:vAlign w:val="center"/>
          </w:tcPr>
          <w:p w14:paraId="73A9A76B" w14:textId="77777777" w:rsidR="00890464" w:rsidRPr="00890464" w:rsidRDefault="00890464" w:rsidP="00E102A3">
            <w:pPr>
              <w:jc w:val="center"/>
              <w:rPr>
                <w:rFonts w:ascii="Arial" w:hAnsi="Arial" w:cs="Arial"/>
                <w:color w:val="010000"/>
                <w:sz w:val="20"/>
              </w:rPr>
            </w:pPr>
            <w:r w:rsidRPr="00890464">
              <w:rPr>
                <w:rFonts w:ascii="Arial" w:hAnsi="Arial" w:cs="Arial"/>
                <w:color w:val="010000"/>
                <w:sz w:val="20"/>
              </w:rPr>
              <w:t>US$ millones/año</w:t>
            </w:r>
          </w:p>
        </w:tc>
        <w:tc>
          <w:tcPr>
            <w:tcW w:w="376" w:type="pct"/>
            <w:tcBorders>
              <w:top w:val="nil"/>
              <w:left w:val="nil"/>
              <w:bottom w:val="single" w:sz="4" w:space="0" w:color="auto"/>
              <w:right w:val="single" w:sz="4" w:space="0" w:color="auto"/>
            </w:tcBorders>
            <w:shd w:val="clear" w:color="000000" w:fill="FFFFFF"/>
            <w:vAlign w:val="center"/>
          </w:tcPr>
          <w:p w14:paraId="4E88AADB" w14:textId="77777777" w:rsidR="00890464" w:rsidRPr="00890464" w:rsidRDefault="00890464" w:rsidP="00E102A3">
            <w:pPr>
              <w:jc w:val="center"/>
              <w:rPr>
                <w:rFonts w:ascii="Arial" w:hAnsi="Arial" w:cs="Arial"/>
                <w:color w:val="000000"/>
                <w:sz w:val="20"/>
                <w:lang w:val="es-HN"/>
              </w:rPr>
            </w:pPr>
            <w:r w:rsidRPr="00890464">
              <w:rPr>
                <w:rFonts w:ascii="Arial" w:hAnsi="Arial" w:cs="Arial"/>
                <w:color w:val="000000"/>
                <w:sz w:val="20"/>
                <w:lang w:val="es-HN"/>
              </w:rPr>
              <w:t>14.902.600</w:t>
            </w:r>
          </w:p>
        </w:tc>
        <w:tc>
          <w:tcPr>
            <w:tcW w:w="376" w:type="pct"/>
            <w:tcBorders>
              <w:top w:val="nil"/>
              <w:left w:val="nil"/>
              <w:bottom w:val="single" w:sz="4" w:space="0" w:color="auto"/>
              <w:right w:val="single" w:sz="4" w:space="0" w:color="auto"/>
            </w:tcBorders>
            <w:shd w:val="clear" w:color="auto" w:fill="auto"/>
            <w:vAlign w:val="center"/>
          </w:tcPr>
          <w:p w14:paraId="6C0F7E7B" w14:textId="77777777" w:rsidR="00890464" w:rsidRPr="00890464" w:rsidRDefault="00890464" w:rsidP="00E102A3">
            <w:pPr>
              <w:jc w:val="center"/>
              <w:rPr>
                <w:rFonts w:ascii="Arial" w:hAnsi="Arial" w:cs="Arial"/>
                <w:color w:val="000000"/>
                <w:sz w:val="20"/>
                <w:lang w:val="es-HN"/>
              </w:rPr>
            </w:pPr>
            <w:r w:rsidRPr="00890464">
              <w:rPr>
                <w:rFonts w:ascii="Arial" w:hAnsi="Arial" w:cs="Arial"/>
                <w:color w:val="000000"/>
                <w:sz w:val="20"/>
                <w:lang w:val="es-HN"/>
              </w:rPr>
              <w:t>0</w:t>
            </w:r>
          </w:p>
        </w:tc>
        <w:tc>
          <w:tcPr>
            <w:tcW w:w="1886" w:type="pct"/>
            <w:tcBorders>
              <w:top w:val="nil"/>
              <w:left w:val="nil"/>
              <w:bottom w:val="single" w:sz="4" w:space="0" w:color="auto"/>
              <w:right w:val="single" w:sz="4" w:space="0" w:color="auto"/>
            </w:tcBorders>
            <w:shd w:val="clear" w:color="000000" w:fill="FFFFFF"/>
            <w:vAlign w:val="center"/>
          </w:tcPr>
          <w:p w14:paraId="2974163E" w14:textId="77777777" w:rsidR="00890464" w:rsidRPr="00890464" w:rsidRDefault="00890464" w:rsidP="00E102A3">
            <w:pPr>
              <w:rPr>
                <w:rFonts w:ascii="Arial" w:hAnsi="Arial" w:cs="Arial"/>
                <w:color w:val="000000"/>
                <w:sz w:val="20"/>
              </w:rPr>
            </w:pPr>
            <w:r w:rsidRPr="00890464">
              <w:rPr>
                <w:rFonts w:ascii="Arial" w:hAnsi="Arial" w:cs="Arial"/>
                <w:color w:val="000000"/>
                <w:sz w:val="20"/>
              </w:rPr>
              <w:t>Informes anuales estadísticos de la AE sobre el SIN y los SA.</w:t>
            </w:r>
          </w:p>
          <w:p w14:paraId="65860F2E" w14:textId="77777777" w:rsidR="00890464" w:rsidRPr="00890464" w:rsidRDefault="00890464" w:rsidP="00E102A3">
            <w:pPr>
              <w:rPr>
                <w:rFonts w:ascii="Arial" w:hAnsi="Arial" w:cs="Arial"/>
                <w:color w:val="000000"/>
                <w:sz w:val="20"/>
              </w:rPr>
            </w:pPr>
          </w:p>
          <w:p w14:paraId="63013C90" w14:textId="77777777" w:rsidR="00890464" w:rsidRPr="00890464" w:rsidRDefault="00890464" w:rsidP="00E102A3">
            <w:pPr>
              <w:rPr>
                <w:rFonts w:ascii="Arial" w:hAnsi="Arial" w:cs="Arial"/>
                <w:color w:val="000000"/>
                <w:sz w:val="20"/>
              </w:rPr>
            </w:pPr>
            <w:r w:rsidRPr="00890464">
              <w:rPr>
                <w:rFonts w:ascii="Arial" w:hAnsi="Arial" w:cs="Arial"/>
                <w:color w:val="000000"/>
                <w:sz w:val="20"/>
              </w:rPr>
              <w:t>La línea base corresponde a la proyección de los subsidios para 2024 sin el proyecto.</w:t>
            </w:r>
          </w:p>
        </w:tc>
      </w:tr>
      <w:tr w:rsidR="00890464" w:rsidRPr="003A3B39" w14:paraId="61276566" w14:textId="77777777" w:rsidTr="00890464">
        <w:trPr>
          <w:trHeight w:val="624"/>
        </w:trPr>
        <w:tc>
          <w:tcPr>
            <w:tcW w:w="922" w:type="pct"/>
            <w:tcBorders>
              <w:left w:val="single" w:sz="4" w:space="0" w:color="auto"/>
              <w:bottom w:val="single" w:sz="4" w:space="0" w:color="auto"/>
              <w:right w:val="single" w:sz="4" w:space="0" w:color="auto"/>
            </w:tcBorders>
            <w:shd w:val="clear" w:color="auto" w:fill="auto"/>
            <w:vAlign w:val="center"/>
          </w:tcPr>
          <w:p w14:paraId="7EFB5B81" w14:textId="77777777" w:rsidR="00890464" w:rsidRPr="003A3B39" w:rsidRDefault="00890464" w:rsidP="00E102A3">
            <w:pPr>
              <w:rPr>
                <w:rFonts w:ascii="Arial" w:hAnsi="Arial" w:cs="Arial"/>
                <w:color w:val="000000"/>
                <w:sz w:val="20"/>
                <w:lang w:val="es-HN"/>
              </w:rPr>
            </w:pPr>
            <w:r w:rsidRPr="003A3B39">
              <w:rPr>
                <w:rFonts w:ascii="Arial" w:hAnsi="Arial" w:cs="Arial"/>
                <w:color w:val="000000"/>
                <w:sz w:val="20"/>
                <w:lang w:val="es-HN"/>
              </w:rPr>
              <w:t>Reducción en el consumo de diésel</w:t>
            </w:r>
            <w:r>
              <w:rPr>
                <w:rFonts w:ascii="Arial" w:hAnsi="Arial" w:cs="Arial"/>
                <w:color w:val="000000"/>
                <w:sz w:val="20"/>
                <w:lang w:val="es-HN"/>
              </w:rPr>
              <w:t>.</w:t>
            </w:r>
          </w:p>
        </w:tc>
        <w:tc>
          <w:tcPr>
            <w:tcW w:w="1063" w:type="pct"/>
            <w:tcBorders>
              <w:top w:val="nil"/>
              <w:left w:val="nil"/>
              <w:bottom w:val="single" w:sz="4" w:space="0" w:color="auto"/>
              <w:right w:val="single" w:sz="4" w:space="0" w:color="auto"/>
            </w:tcBorders>
            <w:shd w:val="clear" w:color="000000" w:fill="FFFFFF"/>
            <w:vAlign w:val="center"/>
          </w:tcPr>
          <w:p w14:paraId="0BF2692A" w14:textId="77777777" w:rsidR="00890464" w:rsidRPr="003A3B39" w:rsidRDefault="00890464" w:rsidP="00E102A3">
            <w:pPr>
              <w:rPr>
                <w:rFonts w:ascii="Arial" w:hAnsi="Arial" w:cs="Arial"/>
                <w:color w:val="000000"/>
                <w:sz w:val="20"/>
              </w:rPr>
            </w:pPr>
            <w:r w:rsidRPr="003A3B39">
              <w:rPr>
                <w:rFonts w:ascii="Arial" w:hAnsi="Arial" w:cs="Arial"/>
                <w:color w:val="000000"/>
                <w:sz w:val="20"/>
              </w:rPr>
              <w:t xml:space="preserve">Consumo anual de diésel en el </w:t>
            </w:r>
            <w:r>
              <w:rPr>
                <w:rFonts w:ascii="Arial" w:hAnsi="Arial" w:cs="Arial"/>
                <w:color w:val="000000"/>
                <w:sz w:val="20"/>
              </w:rPr>
              <w:t>M</w:t>
            </w:r>
            <w:r w:rsidRPr="003A3B39">
              <w:rPr>
                <w:rFonts w:ascii="Arial" w:hAnsi="Arial" w:cs="Arial"/>
                <w:color w:val="000000"/>
                <w:sz w:val="20"/>
              </w:rPr>
              <w:t>unicipio de San Ignacio de Vela</w:t>
            </w:r>
            <w:r>
              <w:rPr>
                <w:rFonts w:ascii="Arial" w:hAnsi="Arial" w:cs="Arial"/>
                <w:color w:val="000000"/>
                <w:sz w:val="20"/>
              </w:rPr>
              <w:t>s</w:t>
            </w:r>
            <w:r w:rsidRPr="003A3B39">
              <w:rPr>
                <w:rFonts w:ascii="Arial" w:hAnsi="Arial" w:cs="Arial"/>
                <w:color w:val="000000"/>
                <w:sz w:val="20"/>
              </w:rPr>
              <w:t>co</w:t>
            </w:r>
            <w:r>
              <w:rPr>
                <w:rFonts w:ascii="Arial" w:hAnsi="Arial" w:cs="Arial"/>
                <w:color w:val="000000"/>
                <w:sz w:val="20"/>
              </w:rPr>
              <w:t>.</w:t>
            </w:r>
          </w:p>
        </w:tc>
        <w:tc>
          <w:tcPr>
            <w:tcW w:w="376" w:type="pct"/>
            <w:tcBorders>
              <w:top w:val="nil"/>
              <w:left w:val="nil"/>
              <w:bottom w:val="single" w:sz="4" w:space="0" w:color="auto"/>
              <w:right w:val="single" w:sz="4" w:space="0" w:color="auto"/>
            </w:tcBorders>
            <w:shd w:val="clear" w:color="000000" w:fill="FFFFFF"/>
            <w:vAlign w:val="center"/>
          </w:tcPr>
          <w:p w14:paraId="6DB92920" w14:textId="77777777" w:rsidR="00890464" w:rsidRPr="00890464" w:rsidRDefault="00890464" w:rsidP="00E102A3">
            <w:pPr>
              <w:jc w:val="center"/>
              <w:rPr>
                <w:rFonts w:ascii="Arial" w:hAnsi="Arial" w:cs="Arial"/>
                <w:color w:val="010000"/>
                <w:sz w:val="20"/>
              </w:rPr>
            </w:pPr>
            <w:r w:rsidRPr="00890464">
              <w:rPr>
                <w:rFonts w:ascii="Arial" w:hAnsi="Arial" w:cs="Arial"/>
                <w:color w:val="010000"/>
                <w:sz w:val="20"/>
              </w:rPr>
              <w:t>Miles L/año</w:t>
            </w:r>
          </w:p>
        </w:tc>
        <w:tc>
          <w:tcPr>
            <w:tcW w:w="376" w:type="pct"/>
            <w:tcBorders>
              <w:top w:val="nil"/>
              <w:left w:val="nil"/>
              <w:bottom w:val="single" w:sz="4" w:space="0" w:color="auto"/>
              <w:right w:val="single" w:sz="4" w:space="0" w:color="auto"/>
            </w:tcBorders>
            <w:shd w:val="clear" w:color="000000" w:fill="FFFFFF"/>
            <w:vAlign w:val="center"/>
          </w:tcPr>
          <w:p w14:paraId="736BABA8" w14:textId="77777777" w:rsidR="00890464" w:rsidRPr="00890464" w:rsidRDefault="00890464" w:rsidP="00E102A3">
            <w:pPr>
              <w:jc w:val="center"/>
              <w:rPr>
                <w:rFonts w:ascii="Arial" w:hAnsi="Arial" w:cs="Arial"/>
                <w:color w:val="000000"/>
                <w:sz w:val="20"/>
                <w:lang w:val="es-HN"/>
              </w:rPr>
            </w:pPr>
            <w:r w:rsidRPr="00890464">
              <w:rPr>
                <w:rFonts w:ascii="Arial" w:hAnsi="Arial" w:cs="Arial"/>
                <w:color w:val="000000"/>
                <w:sz w:val="20"/>
                <w:lang w:val="es-HN"/>
              </w:rPr>
              <w:t>10.000</w:t>
            </w:r>
          </w:p>
        </w:tc>
        <w:tc>
          <w:tcPr>
            <w:tcW w:w="376" w:type="pct"/>
            <w:tcBorders>
              <w:top w:val="nil"/>
              <w:left w:val="nil"/>
              <w:bottom w:val="single" w:sz="4" w:space="0" w:color="auto"/>
              <w:right w:val="single" w:sz="4" w:space="0" w:color="auto"/>
            </w:tcBorders>
            <w:shd w:val="clear" w:color="auto" w:fill="auto"/>
            <w:vAlign w:val="center"/>
          </w:tcPr>
          <w:p w14:paraId="04A52FC4" w14:textId="77777777" w:rsidR="00890464" w:rsidRPr="00890464" w:rsidRDefault="00890464" w:rsidP="00E102A3">
            <w:pPr>
              <w:jc w:val="center"/>
              <w:rPr>
                <w:rFonts w:ascii="Arial" w:hAnsi="Arial" w:cs="Arial"/>
                <w:color w:val="000000"/>
                <w:sz w:val="20"/>
                <w:lang w:val="es-HN"/>
              </w:rPr>
            </w:pPr>
            <w:r w:rsidRPr="00890464">
              <w:rPr>
                <w:rFonts w:ascii="Arial" w:hAnsi="Arial" w:cs="Arial"/>
                <w:color w:val="000000"/>
                <w:sz w:val="20"/>
                <w:lang w:val="es-HN"/>
              </w:rPr>
              <w:t>0</w:t>
            </w:r>
          </w:p>
        </w:tc>
        <w:tc>
          <w:tcPr>
            <w:tcW w:w="1886" w:type="pct"/>
            <w:tcBorders>
              <w:top w:val="nil"/>
              <w:left w:val="nil"/>
              <w:bottom w:val="single" w:sz="4" w:space="0" w:color="auto"/>
              <w:right w:val="single" w:sz="4" w:space="0" w:color="auto"/>
            </w:tcBorders>
            <w:shd w:val="clear" w:color="000000" w:fill="FFFFFF"/>
            <w:vAlign w:val="center"/>
          </w:tcPr>
          <w:p w14:paraId="50261CB0" w14:textId="77777777" w:rsidR="00890464" w:rsidRPr="00890464" w:rsidRDefault="00890464" w:rsidP="00E102A3">
            <w:pPr>
              <w:rPr>
                <w:rFonts w:ascii="Arial" w:hAnsi="Arial" w:cs="Arial"/>
                <w:color w:val="000000"/>
                <w:sz w:val="20"/>
              </w:rPr>
            </w:pPr>
            <w:r w:rsidRPr="00890464">
              <w:rPr>
                <w:rFonts w:ascii="Arial" w:hAnsi="Arial" w:cs="Arial"/>
                <w:color w:val="000000"/>
                <w:sz w:val="20"/>
              </w:rPr>
              <w:t>Informes anuales estadísticos de la AE sobre generación eléctrica y consumo de electricidad</w:t>
            </w:r>
          </w:p>
        </w:tc>
      </w:tr>
      <w:tr w:rsidR="00890464" w:rsidRPr="003A3B39" w14:paraId="45C86EFC" w14:textId="77777777" w:rsidTr="00890464">
        <w:trPr>
          <w:trHeight w:val="624"/>
        </w:trPr>
        <w:tc>
          <w:tcPr>
            <w:tcW w:w="922" w:type="pct"/>
            <w:tcBorders>
              <w:left w:val="single" w:sz="4" w:space="0" w:color="auto"/>
              <w:bottom w:val="single" w:sz="4" w:space="0" w:color="auto"/>
              <w:right w:val="single" w:sz="4" w:space="0" w:color="auto"/>
            </w:tcBorders>
            <w:shd w:val="clear" w:color="auto" w:fill="auto"/>
            <w:vAlign w:val="center"/>
          </w:tcPr>
          <w:p w14:paraId="3F69F59D" w14:textId="77777777" w:rsidR="00890464" w:rsidRPr="003A3B39" w:rsidRDefault="00890464" w:rsidP="00E102A3">
            <w:pPr>
              <w:rPr>
                <w:rFonts w:ascii="Arial" w:hAnsi="Arial" w:cs="Arial"/>
                <w:color w:val="000000"/>
                <w:sz w:val="20"/>
                <w:lang w:val="es-HN"/>
              </w:rPr>
            </w:pPr>
            <w:r w:rsidRPr="003A3B39">
              <w:rPr>
                <w:rFonts w:ascii="Arial" w:hAnsi="Arial" w:cs="Arial"/>
                <w:color w:val="000000"/>
                <w:sz w:val="20"/>
                <w:lang w:val="es-HN"/>
              </w:rPr>
              <w:t>Reducción en el consumo total de energía eléctrica en la iluminación pública</w:t>
            </w:r>
            <w:r w:rsidRPr="00890464">
              <w:rPr>
                <w:rStyle w:val="FootnoteReference"/>
                <w:rFonts w:ascii="Arial" w:hAnsi="Arial" w:cs="Arial"/>
                <w:color w:val="000000"/>
                <w:sz w:val="20"/>
                <w:vertAlign w:val="baseline"/>
                <w:lang w:val="es-HN"/>
              </w:rPr>
              <w:footnoteReference w:id="2"/>
            </w:r>
            <w:r w:rsidRPr="003A3B39">
              <w:rPr>
                <w:rFonts w:ascii="Arial" w:hAnsi="Arial" w:cs="Arial"/>
                <w:color w:val="000000"/>
                <w:sz w:val="20"/>
                <w:lang w:val="es-HN"/>
              </w:rPr>
              <w:t>.</w:t>
            </w:r>
          </w:p>
        </w:tc>
        <w:tc>
          <w:tcPr>
            <w:tcW w:w="1063" w:type="pct"/>
            <w:tcBorders>
              <w:top w:val="nil"/>
              <w:left w:val="nil"/>
              <w:bottom w:val="single" w:sz="4" w:space="0" w:color="auto"/>
              <w:right w:val="single" w:sz="4" w:space="0" w:color="auto"/>
            </w:tcBorders>
            <w:shd w:val="clear" w:color="000000" w:fill="FFFFFF"/>
            <w:vAlign w:val="center"/>
          </w:tcPr>
          <w:p w14:paraId="5F004FAA" w14:textId="77777777" w:rsidR="00890464" w:rsidRPr="00890464" w:rsidRDefault="00890464" w:rsidP="00E102A3">
            <w:pPr>
              <w:rPr>
                <w:rFonts w:ascii="Arial" w:hAnsi="Arial" w:cs="Arial"/>
                <w:color w:val="000000"/>
                <w:sz w:val="20"/>
              </w:rPr>
            </w:pPr>
            <w:r w:rsidRPr="00890464">
              <w:rPr>
                <w:rFonts w:ascii="Arial" w:hAnsi="Arial" w:cs="Arial"/>
                <w:color w:val="000000"/>
                <w:sz w:val="20"/>
              </w:rPr>
              <w:t>Consumo total de energía eléctrica anual por iluminación pública en Oruro.</w:t>
            </w:r>
          </w:p>
        </w:tc>
        <w:tc>
          <w:tcPr>
            <w:tcW w:w="376" w:type="pct"/>
            <w:tcBorders>
              <w:top w:val="nil"/>
              <w:left w:val="nil"/>
              <w:bottom w:val="single" w:sz="4" w:space="0" w:color="auto"/>
              <w:right w:val="single" w:sz="4" w:space="0" w:color="auto"/>
            </w:tcBorders>
            <w:shd w:val="clear" w:color="000000" w:fill="FFFFFF"/>
            <w:vAlign w:val="center"/>
          </w:tcPr>
          <w:p w14:paraId="29FD1F7A" w14:textId="77777777" w:rsidR="00890464" w:rsidRPr="00890464" w:rsidRDefault="00890464" w:rsidP="00E102A3">
            <w:pPr>
              <w:jc w:val="center"/>
              <w:rPr>
                <w:rFonts w:ascii="Arial" w:hAnsi="Arial" w:cs="Arial"/>
                <w:color w:val="010000"/>
                <w:sz w:val="20"/>
              </w:rPr>
            </w:pPr>
            <w:proofErr w:type="spellStart"/>
            <w:r>
              <w:rPr>
                <w:rFonts w:ascii="Arial" w:hAnsi="Arial" w:cs="Arial"/>
                <w:color w:val="010000"/>
                <w:sz w:val="20"/>
              </w:rPr>
              <w:t>M</w:t>
            </w:r>
            <w:r w:rsidRPr="003A3B39">
              <w:rPr>
                <w:rFonts w:ascii="Arial" w:hAnsi="Arial" w:cs="Arial"/>
                <w:color w:val="010000"/>
                <w:sz w:val="20"/>
              </w:rPr>
              <w:t>Wh</w:t>
            </w:r>
            <w:proofErr w:type="spellEnd"/>
            <w:r w:rsidRPr="003A3B39">
              <w:rPr>
                <w:rFonts w:ascii="Arial" w:hAnsi="Arial" w:cs="Arial"/>
                <w:color w:val="010000"/>
                <w:sz w:val="20"/>
              </w:rPr>
              <w:t>/año</w:t>
            </w:r>
          </w:p>
        </w:tc>
        <w:tc>
          <w:tcPr>
            <w:tcW w:w="376" w:type="pct"/>
            <w:tcBorders>
              <w:top w:val="nil"/>
              <w:left w:val="nil"/>
              <w:bottom w:val="single" w:sz="4" w:space="0" w:color="auto"/>
              <w:right w:val="single" w:sz="4" w:space="0" w:color="auto"/>
            </w:tcBorders>
            <w:shd w:val="clear" w:color="000000" w:fill="FFFFFF"/>
            <w:vAlign w:val="center"/>
          </w:tcPr>
          <w:p w14:paraId="6EAD4251" w14:textId="77777777" w:rsidR="00890464" w:rsidRPr="003A3B39" w:rsidRDefault="00890464" w:rsidP="00E102A3">
            <w:pPr>
              <w:jc w:val="center"/>
              <w:rPr>
                <w:rFonts w:ascii="Arial" w:hAnsi="Arial" w:cs="Arial"/>
                <w:color w:val="000000"/>
                <w:sz w:val="20"/>
                <w:lang w:val="es-HN"/>
              </w:rPr>
            </w:pPr>
            <w:r w:rsidRPr="003A3B39">
              <w:rPr>
                <w:rFonts w:ascii="Arial" w:hAnsi="Arial" w:cs="Arial"/>
                <w:color w:val="000000"/>
                <w:sz w:val="20"/>
                <w:lang w:val="es-HN"/>
              </w:rPr>
              <w:t>26.000</w:t>
            </w:r>
          </w:p>
        </w:tc>
        <w:tc>
          <w:tcPr>
            <w:tcW w:w="376" w:type="pct"/>
            <w:tcBorders>
              <w:top w:val="nil"/>
              <w:left w:val="nil"/>
              <w:bottom w:val="single" w:sz="4" w:space="0" w:color="auto"/>
              <w:right w:val="single" w:sz="4" w:space="0" w:color="auto"/>
            </w:tcBorders>
            <w:shd w:val="clear" w:color="auto" w:fill="auto"/>
            <w:vAlign w:val="center"/>
          </w:tcPr>
          <w:p w14:paraId="07D603B5" w14:textId="77777777" w:rsidR="00890464" w:rsidRPr="003A3B39" w:rsidRDefault="00890464" w:rsidP="00E102A3">
            <w:pPr>
              <w:jc w:val="center"/>
              <w:rPr>
                <w:rFonts w:ascii="Arial" w:hAnsi="Arial" w:cs="Arial"/>
                <w:color w:val="000000"/>
                <w:sz w:val="20"/>
                <w:lang w:val="es-HN"/>
              </w:rPr>
            </w:pPr>
            <w:r w:rsidRPr="003A3B39">
              <w:rPr>
                <w:rFonts w:ascii="Arial" w:hAnsi="Arial" w:cs="Arial"/>
                <w:color w:val="000000"/>
                <w:sz w:val="20"/>
                <w:lang w:val="es-HN"/>
              </w:rPr>
              <w:t>11.600</w:t>
            </w:r>
          </w:p>
        </w:tc>
        <w:tc>
          <w:tcPr>
            <w:tcW w:w="1886" w:type="pct"/>
            <w:tcBorders>
              <w:top w:val="nil"/>
              <w:left w:val="nil"/>
              <w:bottom w:val="single" w:sz="4" w:space="0" w:color="auto"/>
              <w:right w:val="single" w:sz="4" w:space="0" w:color="auto"/>
            </w:tcBorders>
            <w:shd w:val="clear" w:color="000000" w:fill="FFFFFF"/>
            <w:vAlign w:val="center"/>
          </w:tcPr>
          <w:p w14:paraId="3858E7FC" w14:textId="77777777" w:rsidR="00890464" w:rsidRPr="00890464" w:rsidRDefault="00890464" w:rsidP="00E102A3">
            <w:pPr>
              <w:rPr>
                <w:rFonts w:ascii="Arial" w:hAnsi="Arial" w:cs="Arial"/>
                <w:color w:val="000000"/>
                <w:sz w:val="20"/>
              </w:rPr>
            </w:pPr>
            <w:r w:rsidRPr="00890464">
              <w:rPr>
                <w:rFonts w:ascii="Arial" w:hAnsi="Arial" w:cs="Arial"/>
                <w:color w:val="000000"/>
                <w:sz w:val="20"/>
              </w:rPr>
              <w:t>Informes anuales estadísticos de la AE sobre generación eléctrica y consumo de electricidad.</w:t>
            </w:r>
          </w:p>
        </w:tc>
      </w:tr>
      <w:tr w:rsidR="00890464" w:rsidRPr="003A3B39" w14:paraId="1C37ED99" w14:textId="77777777" w:rsidTr="00890464">
        <w:trPr>
          <w:trHeight w:val="624"/>
        </w:trPr>
        <w:tc>
          <w:tcPr>
            <w:tcW w:w="922" w:type="pct"/>
            <w:tcBorders>
              <w:left w:val="single" w:sz="4" w:space="0" w:color="auto"/>
              <w:bottom w:val="single" w:sz="4" w:space="0" w:color="auto"/>
              <w:right w:val="single" w:sz="4" w:space="0" w:color="auto"/>
            </w:tcBorders>
            <w:shd w:val="clear" w:color="auto" w:fill="auto"/>
            <w:vAlign w:val="center"/>
          </w:tcPr>
          <w:p w14:paraId="35569B7B" w14:textId="77777777" w:rsidR="00890464" w:rsidRPr="003A3B39" w:rsidRDefault="00890464" w:rsidP="00E102A3">
            <w:pPr>
              <w:rPr>
                <w:rFonts w:ascii="Arial" w:hAnsi="Arial" w:cs="Arial"/>
                <w:color w:val="000000"/>
                <w:sz w:val="20"/>
                <w:lang w:val="es-HN"/>
              </w:rPr>
            </w:pPr>
          </w:p>
        </w:tc>
        <w:tc>
          <w:tcPr>
            <w:tcW w:w="1063" w:type="pct"/>
            <w:tcBorders>
              <w:top w:val="nil"/>
              <w:left w:val="nil"/>
              <w:bottom w:val="single" w:sz="4" w:space="0" w:color="auto"/>
              <w:right w:val="single" w:sz="4" w:space="0" w:color="auto"/>
            </w:tcBorders>
            <w:shd w:val="clear" w:color="000000" w:fill="FFFFFF"/>
            <w:vAlign w:val="center"/>
          </w:tcPr>
          <w:p w14:paraId="569780AB" w14:textId="77777777" w:rsidR="00890464" w:rsidRPr="00890464" w:rsidRDefault="00890464" w:rsidP="00E102A3">
            <w:pPr>
              <w:rPr>
                <w:rFonts w:ascii="Arial" w:hAnsi="Arial" w:cs="Arial"/>
                <w:color w:val="000000"/>
                <w:sz w:val="20"/>
              </w:rPr>
            </w:pPr>
            <w:r w:rsidRPr="00890464">
              <w:rPr>
                <w:rFonts w:ascii="Arial" w:hAnsi="Arial" w:cs="Arial"/>
                <w:color w:val="000000"/>
                <w:sz w:val="20"/>
              </w:rPr>
              <w:t>Consumo total de energía eléctrica anual por iluminación pública en Potosí.</w:t>
            </w:r>
          </w:p>
        </w:tc>
        <w:tc>
          <w:tcPr>
            <w:tcW w:w="376" w:type="pct"/>
            <w:tcBorders>
              <w:top w:val="nil"/>
              <w:left w:val="nil"/>
              <w:bottom w:val="single" w:sz="4" w:space="0" w:color="auto"/>
              <w:right w:val="single" w:sz="4" w:space="0" w:color="auto"/>
            </w:tcBorders>
            <w:shd w:val="clear" w:color="000000" w:fill="FFFFFF"/>
            <w:vAlign w:val="center"/>
          </w:tcPr>
          <w:p w14:paraId="0D3008CD" w14:textId="77777777" w:rsidR="00890464" w:rsidRPr="003A3B39" w:rsidRDefault="00890464" w:rsidP="00E102A3">
            <w:pPr>
              <w:jc w:val="center"/>
              <w:rPr>
                <w:rFonts w:ascii="Arial" w:hAnsi="Arial" w:cs="Arial"/>
                <w:color w:val="010000"/>
                <w:sz w:val="20"/>
              </w:rPr>
            </w:pPr>
            <w:proofErr w:type="spellStart"/>
            <w:r w:rsidRPr="003A3B39">
              <w:rPr>
                <w:rFonts w:ascii="Arial" w:hAnsi="Arial" w:cs="Arial"/>
                <w:color w:val="010000"/>
                <w:sz w:val="20"/>
              </w:rPr>
              <w:t>MWh</w:t>
            </w:r>
            <w:proofErr w:type="spellEnd"/>
            <w:r w:rsidRPr="003A3B39">
              <w:rPr>
                <w:rFonts w:ascii="Arial" w:hAnsi="Arial" w:cs="Arial"/>
                <w:color w:val="010000"/>
                <w:sz w:val="20"/>
              </w:rPr>
              <w:t>/año</w:t>
            </w:r>
          </w:p>
        </w:tc>
        <w:tc>
          <w:tcPr>
            <w:tcW w:w="376" w:type="pct"/>
            <w:tcBorders>
              <w:top w:val="nil"/>
              <w:left w:val="nil"/>
              <w:bottom w:val="single" w:sz="4" w:space="0" w:color="auto"/>
              <w:right w:val="single" w:sz="4" w:space="0" w:color="auto"/>
            </w:tcBorders>
            <w:shd w:val="clear" w:color="000000" w:fill="FFFFFF"/>
            <w:vAlign w:val="center"/>
          </w:tcPr>
          <w:p w14:paraId="06CE4A70" w14:textId="77777777" w:rsidR="00890464" w:rsidRPr="003A3B39" w:rsidRDefault="00890464" w:rsidP="00E102A3">
            <w:pPr>
              <w:jc w:val="center"/>
              <w:rPr>
                <w:rFonts w:ascii="Arial" w:hAnsi="Arial" w:cs="Arial"/>
                <w:color w:val="000000"/>
                <w:sz w:val="20"/>
                <w:lang w:val="es-HN"/>
              </w:rPr>
            </w:pPr>
            <w:r>
              <w:rPr>
                <w:rFonts w:ascii="Arial" w:hAnsi="Arial" w:cs="Arial"/>
                <w:color w:val="000000"/>
                <w:sz w:val="20"/>
                <w:lang w:val="es-HN"/>
              </w:rPr>
              <w:t>5.033</w:t>
            </w:r>
          </w:p>
        </w:tc>
        <w:tc>
          <w:tcPr>
            <w:tcW w:w="376" w:type="pct"/>
            <w:tcBorders>
              <w:top w:val="nil"/>
              <w:left w:val="nil"/>
              <w:bottom w:val="single" w:sz="4" w:space="0" w:color="auto"/>
              <w:right w:val="single" w:sz="4" w:space="0" w:color="auto"/>
            </w:tcBorders>
            <w:shd w:val="clear" w:color="auto" w:fill="auto"/>
            <w:vAlign w:val="center"/>
          </w:tcPr>
          <w:p w14:paraId="330A5360" w14:textId="77777777" w:rsidR="00890464" w:rsidRPr="003A3B39" w:rsidRDefault="00890464" w:rsidP="00E102A3">
            <w:pPr>
              <w:jc w:val="center"/>
              <w:rPr>
                <w:rFonts w:ascii="Arial" w:hAnsi="Arial" w:cs="Arial"/>
                <w:color w:val="000000"/>
                <w:sz w:val="20"/>
                <w:lang w:val="es-HN"/>
              </w:rPr>
            </w:pPr>
            <w:r>
              <w:rPr>
                <w:rFonts w:ascii="Arial" w:hAnsi="Arial" w:cs="Arial"/>
                <w:color w:val="000000"/>
                <w:sz w:val="20"/>
                <w:lang w:val="es-HN"/>
              </w:rPr>
              <w:t>2.451</w:t>
            </w:r>
          </w:p>
        </w:tc>
        <w:tc>
          <w:tcPr>
            <w:tcW w:w="1886" w:type="pct"/>
            <w:tcBorders>
              <w:top w:val="nil"/>
              <w:left w:val="nil"/>
              <w:bottom w:val="single" w:sz="4" w:space="0" w:color="auto"/>
              <w:right w:val="single" w:sz="4" w:space="0" w:color="auto"/>
            </w:tcBorders>
            <w:shd w:val="clear" w:color="000000" w:fill="FFFFFF"/>
            <w:vAlign w:val="center"/>
          </w:tcPr>
          <w:p w14:paraId="2E2D558E" w14:textId="77777777" w:rsidR="00890464" w:rsidRPr="00890464" w:rsidRDefault="00890464" w:rsidP="00E102A3">
            <w:pPr>
              <w:rPr>
                <w:rFonts w:ascii="Arial" w:hAnsi="Arial" w:cs="Arial"/>
                <w:color w:val="000000"/>
                <w:sz w:val="20"/>
              </w:rPr>
            </w:pPr>
            <w:r w:rsidRPr="00890464">
              <w:rPr>
                <w:rFonts w:ascii="Arial" w:hAnsi="Arial" w:cs="Arial"/>
                <w:color w:val="000000"/>
                <w:sz w:val="20"/>
              </w:rPr>
              <w:t>Informes anuales estadísticos de la AE sobre generación eléctrica y consumo de electricidad.</w:t>
            </w:r>
          </w:p>
        </w:tc>
      </w:tr>
      <w:tr w:rsidR="00890464" w:rsidRPr="003A3B39" w14:paraId="1BC23ABA" w14:textId="77777777" w:rsidTr="00890464">
        <w:trPr>
          <w:trHeight w:val="624"/>
        </w:trPr>
        <w:tc>
          <w:tcPr>
            <w:tcW w:w="922" w:type="pct"/>
            <w:tcBorders>
              <w:left w:val="single" w:sz="4" w:space="0" w:color="auto"/>
              <w:bottom w:val="single" w:sz="4" w:space="0" w:color="auto"/>
              <w:right w:val="single" w:sz="4" w:space="0" w:color="auto"/>
            </w:tcBorders>
            <w:shd w:val="clear" w:color="auto" w:fill="auto"/>
            <w:vAlign w:val="center"/>
          </w:tcPr>
          <w:p w14:paraId="28A2C539" w14:textId="77777777" w:rsidR="00890464" w:rsidRPr="003A3B39" w:rsidRDefault="00890464" w:rsidP="00E102A3">
            <w:pPr>
              <w:rPr>
                <w:rFonts w:ascii="Arial" w:hAnsi="Arial" w:cs="Arial"/>
                <w:color w:val="000000"/>
                <w:sz w:val="20"/>
                <w:lang w:val="es-HN"/>
              </w:rPr>
            </w:pPr>
            <w:r>
              <w:rPr>
                <w:rFonts w:ascii="Arial" w:hAnsi="Arial" w:cs="Arial"/>
                <w:color w:val="000000"/>
                <w:sz w:val="20"/>
                <w:lang w:val="es-HN"/>
              </w:rPr>
              <w:t>Fortalecimiento de capacidades municipales en la implementación de medidas de EE.</w:t>
            </w:r>
          </w:p>
        </w:tc>
        <w:tc>
          <w:tcPr>
            <w:tcW w:w="1063" w:type="pct"/>
            <w:tcBorders>
              <w:top w:val="nil"/>
              <w:left w:val="nil"/>
              <w:bottom w:val="single" w:sz="4" w:space="0" w:color="auto"/>
              <w:right w:val="single" w:sz="4" w:space="0" w:color="auto"/>
            </w:tcBorders>
            <w:shd w:val="clear" w:color="000000" w:fill="FFFFFF"/>
            <w:vAlign w:val="center"/>
          </w:tcPr>
          <w:p w14:paraId="0774EFDB" w14:textId="77777777" w:rsidR="00890464" w:rsidRPr="00890464" w:rsidRDefault="00890464" w:rsidP="00E102A3">
            <w:pPr>
              <w:rPr>
                <w:rFonts w:ascii="Arial" w:hAnsi="Arial" w:cs="Arial"/>
                <w:color w:val="000000"/>
                <w:sz w:val="20"/>
              </w:rPr>
            </w:pPr>
            <w:r w:rsidRPr="00890464">
              <w:rPr>
                <w:rFonts w:ascii="Arial" w:hAnsi="Arial" w:cs="Arial"/>
                <w:color w:val="000000"/>
                <w:sz w:val="20"/>
              </w:rPr>
              <w:t>Municipios fortalecidos en operación y mantenimiento de luminarias LED para AP.</w:t>
            </w:r>
          </w:p>
        </w:tc>
        <w:tc>
          <w:tcPr>
            <w:tcW w:w="376" w:type="pct"/>
            <w:tcBorders>
              <w:top w:val="nil"/>
              <w:left w:val="nil"/>
              <w:bottom w:val="single" w:sz="4" w:space="0" w:color="auto"/>
              <w:right w:val="single" w:sz="4" w:space="0" w:color="auto"/>
            </w:tcBorders>
            <w:shd w:val="clear" w:color="000000" w:fill="FFFFFF"/>
            <w:vAlign w:val="center"/>
          </w:tcPr>
          <w:p w14:paraId="2C22575D" w14:textId="77777777" w:rsidR="00890464" w:rsidRPr="00890464" w:rsidRDefault="00890464" w:rsidP="00E102A3">
            <w:pPr>
              <w:jc w:val="center"/>
              <w:rPr>
                <w:rFonts w:ascii="Arial" w:hAnsi="Arial" w:cs="Arial"/>
                <w:color w:val="010000"/>
                <w:sz w:val="20"/>
              </w:rPr>
            </w:pPr>
            <w:r w:rsidRPr="00890464">
              <w:rPr>
                <w:rFonts w:ascii="Arial" w:hAnsi="Arial" w:cs="Arial"/>
                <w:color w:val="010000"/>
                <w:sz w:val="20"/>
              </w:rPr>
              <w:t>Municipios</w:t>
            </w:r>
          </w:p>
        </w:tc>
        <w:tc>
          <w:tcPr>
            <w:tcW w:w="376" w:type="pct"/>
            <w:tcBorders>
              <w:top w:val="nil"/>
              <w:left w:val="nil"/>
              <w:bottom w:val="single" w:sz="4" w:space="0" w:color="auto"/>
              <w:right w:val="single" w:sz="4" w:space="0" w:color="auto"/>
            </w:tcBorders>
            <w:shd w:val="clear" w:color="000000" w:fill="FFFFFF"/>
            <w:vAlign w:val="center"/>
          </w:tcPr>
          <w:p w14:paraId="3C7E441B" w14:textId="77777777" w:rsidR="00890464" w:rsidRPr="003A3B39" w:rsidRDefault="00890464" w:rsidP="00E102A3">
            <w:pPr>
              <w:jc w:val="center"/>
              <w:rPr>
                <w:rFonts w:ascii="Arial" w:hAnsi="Arial" w:cs="Arial"/>
                <w:color w:val="000000"/>
                <w:sz w:val="20"/>
                <w:lang w:val="es-HN"/>
              </w:rPr>
            </w:pPr>
            <w:r>
              <w:rPr>
                <w:rFonts w:ascii="Arial" w:hAnsi="Arial" w:cs="Arial"/>
                <w:color w:val="000000"/>
                <w:sz w:val="20"/>
                <w:lang w:val="es-HN"/>
              </w:rPr>
              <w:t>0</w:t>
            </w:r>
          </w:p>
        </w:tc>
        <w:tc>
          <w:tcPr>
            <w:tcW w:w="376" w:type="pct"/>
            <w:tcBorders>
              <w:top w:val="nil"/>
              <w:left w:val="nil"/>
              <w:bottom w:val="single" w:sz="4" w:space="0" w:color="auto"/>
              <w:right w:val="single" w:sz="4" w:space="0" w:color="auto"/>
            </w:tcBorders>
            <w:shd w:val="clear" w:color="auto" w:fill="auto"/>
            <w:vAlign w:val="center"/>
          </w:tcPr>
          <w:p w14:paraId="530797EC" w14:textId="77777777" w:rsidR="00890464" w:rsidRPr="003A3B39" w:rsidRDefault="00890464" w:rsidP="00E102A3">
            <w:pPr>
              <w:jc w:val="center"/>
              <w:rPr>
                <w:rFonts w:ascii="Arial" w:hAnsi="Arial" w:cs="Arial"/>
                <w:color w:val="000000"/>
                <w:sz w:val="20"/>
                <w:lang w:val="es-HN"/>
              </w:rPr>
            </w:pPr>
            <w:r>
              <w:rPr>
                <w:rFonts w:ascii="Arial" w:hAnsi="Arial" w:cs="Arial"/>
                <w:color w:val="000000"/>
                <w:sz w:val="20"/>
                <w:lang w:val="es-HN"/>
              </w:rPr>
              <w:t>2</w:t>
            </w:r>
          </w:p>
        </w:tc>
        <w:tc>
          <w:tcPr>
            <w:tcW w:w="1886" w:type="pct"/>
            <w:tcBorders>
              <w:top w:val="nil"/>
              <w:left w:val="nil"/>
              <w:bottom w:val="single" w:sz="4" w:space="0" w:color="auto"/>
              <w:right w:val="single" w:sz="4" w:space="0" w:color="auto"/>
            </w:tcBorders>
            <w:shd w:val="clear" w:color="000000" w:fill="FFFFFF"/>
            <w:vAlign w:val="center"/>
          </w:tcPr>
          <w:p w14:paraId="655C29F3" w14:textId="77777777" w:rsidR="00890464" w:rsidRPr="00890464" w:rsidRDefault="00890464" w:rsidP="00E102A3">
            <w:pPr>
              <w:rPr>
                <w:rFonts w:ascii="Arial" w:hAnsi="Arial" w:cs="Arial"/>
                <w:color w:val="000000"/>
                <w:sz w:val="20"/>
              </w:rPr>
            </w:pPr>
            <w:r w:rsidRPr="00890464">
              <w:rPr>
                <w:rFonts w:ascii="Arial" w:hAnsi="Arial" w:cs="Arial"/>
                <w:color w:val="000000"/>
                <w:sz w:val="20"/>
              </w:rPr>
              <w:t>Las empresas proveedores de las luminarias deberán capacitar a los Municipios de Oruro y Potosí</w:t>
            </w:r>
            <w:r w:rsidRPr="00890464">
              <w:rPr>
                <w:rFonts w:ascii="Arial" w:hAnsi="Arial" w:cs="Arial"/>
                <w:color w:val="000000"/>
                <w:sz w:val="20"/>
              </w:rPr>
              <w:t xml:space="preserve"> </w:t>
            </w:r>
            <w:r w:rsidRPr="00890464">
              <w:rPr>
                <w:rFonts w:ascii="Arial" w:hAnsi="Arial" w:cs="Arial"/>
                <w:color w:val="000000"/>
                <w:sz w:val="20"/>
              </w:rPr>
              <w:t>en su operación y mantenimiento. El desarrollo se corroborará con los informes semestrales presentados por la UE del Componente 2.</w:t>
            </w:r>
          </w:p>
        </w:tc>
      </w:tr>
      <w:tr w:rsidR="00890464" w:rsidRPr="003A3B39" w14:paraId="533DE780" w14:textId="77777777" w:rsidTr="00A965A0">
        <w:trPr>
          <w:trHeight w:val="624"/>
        </w:trPr>
        <w:tc>
          <w:tcPr>
            <w:tcW w:w="922" w:type="pct"/>
            <w:vMerge w:val="restart"/>
            <w:tcBorders>
              <w:left w:val="single" w:sz="4" w:space="0" w:color="auto"/>
              <w:right w:val="single" w:sz="4" w:space="0" w:color="auto"/>
            </w:tcBorders>
            <w:shd w:val="clear" w:color="auto" w:fill="auto"/>
            <w:vAlign w:val="center"/>
          </w:tcPr>
          <w:p w14:paraId="0553B72F" w14:textId="77777777" w:rsidR="00890464" w:rsidRPr="00890464" w:rsidRDefault="00890464" w:rsidP="00E102A3">
            <w:pPr>
              <w:rPr>
                <w:rFonts w:ascii="Arial" w:hAnsi="Arial" w:cs="Arial"/>
                <w:color w:val="000000"/>
                <w:sz w:val="20"/>
                <w:lang w:val="es-HN"/>
              </w:rPr>
            </w:pPr>
            <w:r>
              <w:rPr>
                <w:rFonts w:ascii="Arial" w:hAnsi="Arial" w:cs="Arial"/>
                <w:color w:val="000000"/>
                <w:sz w:val="20"/>
                <w:lang w:val="es-HN"/>
              </w:rPr>
              <w:t>Incremento en la</w:t>
            </w:r>
            <w:r w:rsidRPr="00890464">
              <w:rPr>
                <w:rFonts w:ascii="Arial" w:hAnsi="Arial" w:cs="Arial"/>
                <w:color w:val="000000"/>
                <w:sz w:val="20"/>
                <w:lang w:val="es-HN"/>
              </w:rPr>
              <w:t xml:space="preserve"> percepción de la seguridad en espacios públicos por AP y en espacio privado en las familias de los trabajadores. </w:t>
            </w:r>
          </w:p>
        </w:tc>
        <w:tc>
          <w:tcPr>
            <w:tcW w:w="1063" w:type="pct"/>
            <w:tcBorders>
              <w:top w:val="nil"/>
              <w:left w:val="nil"/>
              <w:bottom w:val="single" w:sz="4" w:space="0" w:color="auto"/>
              <w:right w:val="single" w:sz="4" w:space="0" w:color="auto"/>
            </w:tcBorders>
            <w:shd w:val="clear" w:color="000000" w:fill="FFFFFF"/>
            <w:vAlign w:val="center"/>
          </w:tcPr>
          <w:p w14:paraId="77A72FBB" w14:textId="77777777" w:rsidR="00890464" w:rsidRPr="00BD233F" w:rsidRDefault="00890464" w:rsidP="00E102A3">
            <w:pPr>
              <w:rPr>
                <w:rFonts w:ascii="Arial" w:hAnsi="Arial" w:cs="Arial"/>
                <w:color w:val="000000"/>
                <w:sz w:val="20"/>
              </w:rPr>
            </w:pPr>
            <w:r>
              <w:rPr>
                <w:rFonts w:ascii="Arial" w:hAnsi="Arial" w:cs="Arial"/>
                <w:color w:val="000000"/>
                <w:sz w:val="20"/>
              </w:rPr>
              <w:t>Personas beneficiaras del programa que hacen uso regular de los espacios públicos.</w:t>
            </w:r>
          </w:p>
        </w:tc>
        <w:tc>
          <w:tcPr>
            <w:tcW w:w="376" w:type="pct"/>
            <w:tcBorders>
              <w:top w:val="nil"/>
              <w:left w:val="nil"/>
              <w:bottom w:val="single" w:sz="4" w:space="0" w:color="auto"/>
              <w:right w:val="single" w:sz="4" w:space="0" w:color="auto"/>
            </w:tcBorders>
            <w:shd w:val="clear" w:color="000000" w:fill="FFFFFF"/>
            <w:vAlign w:val="center"/>
          </w:tcPr>
          <w:p w14:paraId="63DF18D6" w14:textId="77777777" w:rsidR="00890464" w:rsidRPr="003A3B39" w:rsidRDefault="00890464" w:rsidP="00E102A3">
            <w:pPr>
              <w:jc w:val="center"/>
              <w:rPr>
                <w:rFonts w:ascii="Arial" w:hAnsi="Arial" w:cs="Arial"/>
                <w:color w:val="010000"/>
                <w:sz w:val="20"/>
              </w:rPr>
            </w:pPr>
            <w:r>
              <w:rPr>
                <w:rFonts w:ascii="Arial" w:hAnsi="Arial" w:cs="Arial"/>
                <w:color w:val="010000"/>
                <w:sz w:val="20"/>
              </w:rPr>
              <w:t>%</w:t>
            </w:r>
          </w:p>
        </w:tc>
        <w:tc>
          <w:tcPr>
            <w:tcW w:w="376" w:type="pct"/>
            <w:tcBorders>
              <w:top w:val="nil"/>
              <w:left w:val="nil"/>
              <w:bottom w:val="single" w:sz="4" w:space="0" w:color="auto"/>
              <w:right w:val="single" w:sz="4" w:space="0" w:color="auto"/>
            </w:tcBorders>
            <w:shd w:val="clear" w:color="000000" w:fill="FFFFFF"/>
            <w:vAlign w:val="center"/>
          </w:tcPr>
          <w:p w14:paraId="00C8A5FC" w14:textId="77777777" w:rsidR="00890464" w:rsidRPr="003A3B39" w:rsidRDefault="00890464" w:rsidP="00E102A3">
            <w:pPr>
              <w:jc w:val="center"/>
              <w:rPr>
                <w:rFonts w:ascii="Arial" w:hAnsi="Arial" w:cs="Arial"/>
                <w:color w:val="000000"/>
                <w:sz w:val="20"/>
                <w:lang w:val="es-HN"/>
              </w:rPr>
            </w:pPr>
            <w:r>
              <w:rPr>
                <w:rFonts w:ascii="Arial" w:hAnsi="Arial" w:cs="Arial"/>
                <w:color w:val="000000"/>
                <w:sz w:val="20"/>
                <w:lang w:val="es-HN"/>
              </w:rPr>
              <w:t>0</w:t>
            </w:r>
          </w:p>
        </w:tc>
        <w:tc>
          <w:tcPr>
            <w:tcW w:w="376" w:type="pct"/>
            <w:tcBorders>
              <w:top w:val="nil"/>
              <w:left w:val="nil"/>
              <w:bottom w:val="single" w:sz="4" w:space="0" w:color="auto"/>
              <w:right w:val="single" w:sz="4" w:space="0" w:color="auto"/>
            </w:tcBorders>
            <w:shd w:val="clear" w:color="auto" w:fill="auto"/>
            <w:vAlign w:val="center"/>
          </w:tcPr>
          <w:p w14:paraId="2C9458AA" w14:textId="77777777" w:rsidR="00890464" w:rsidRPr="003A3B39" w:rsidRDefault="00890464" w:rsidP="00E102A3">
            <w:pPr>
              <w:jc w:val="center"/>
              <w:rPr>
                <w:rFonts w:ascii="Arial" w:hAnsi="Arial" w:cs="Arial"/>
                <w:color w:val="000000"/>
                <w:sz w:val="20"/>
                <w:lang w:val="es-HN"/>
              </w:rPr>
            </w:pPr>
            <w:r>
              <w:rPr>
                <w:rFonts w:ascii="Arial" w:hAnsi="Arial" w:cs="Arial"/>
                <w:color w:val="000000"/>
                <w:sz w:val="20"/>
                <w:lang w:val="es-HN"/>
              </w:rPr>
              <w:t>20</w:t>
            </w:r>
          </w:p>
        </w:tc>
        <w:tc>
          <w:tcPr>
            <w:tcW w:w="1886" w:type="pct"/>
            <w:tcBorders>
              <w:top w:val="nil"/>
              <w:left w:val="nil"/>
              <w:bottom w:val="single" w:sz="4" w:space="0" w:color="auto"/>
              <w:right w:val="single" w:sz="4" w:space="0" w:color="auto"/>
            </w:tcBorders>
            <w:shd w:val="clear" w:color="000000" w:fill="FFFFFF"/>
            <w:vAlign w:val="center"/>
          </w:tcPr>
          <w:p w14:paraId="521A3A5D" w14:textId="77777777" w:rsidR="00890464" w:rsidRPr="00890464" w:rsidRDefault="00890464" w:rsidP="00E102A3">
            <w:pPr>
              <w:rPr>
                <w:rFonts w:ascii="Arial" w:hAnsi="Arial" w:cs="Arial"/>
                <w:color w:val="000000"/>
                <w:sz w:val="20"/>
              </w:rPr>
            </w:pPr>
            <w:r>
              <w:rPr>
                <w:rFonts w:ascii="Arial" w:hAnsi="Arial" w:cs="Arial"/>
                <w:color w:val="000000"/>
                <w:sz w:val="20"/>
              </w:rPr>
              <w:t>Durante el diseño del Programa P se formularán las encuestas sobre percepción de seguridad y violencia intrafamiliar</w:t>
            </w:r>
            <w:r w:rsidRPr="00890464">
              <w:rPr>
                <w:rStyle w:val="FootnoteReference"/>
                <w:rFonts w:ascii="Arial" w:hAnsi="Arial" w:cs="Arial"/>
                <w:color w:val="000000"/>
                <w:sz w:val="20"/>
                <w:vertAlign w:val="baseline"/>
              </w:rPr>
              <w:footnoteReference w:id="3"/>
            </w:r>
            <w:r>
              <w:rPr>
                <w:rFonts w:ascii="Arial" w:hAnsi="Arial" w:cs="Arial"/>
                <w:color w:val="000000"/>
                <w:sz w:val="20"/>
              </w:rPr>
              <w:t>. Dichas preguntas seguirán una metodología de respuestas binarias y se relazarán al inicio y final de la ejecución del programa.</w:t>
            </w:r>
          </w:p>
        </w:tc>
      </w:tr>
      <w:tr w:rsidR="00890464" w14:paraId="3073C1C4" w14:textId="77777777" w:rsidTr="00A965A0">
        <w:trPr>
          <w:trHeight w:val="624"/>
        </w:trPr>
        <w:tc>
          <w:tcPr>
            <w:tcW w:w="922" w:type="pct"/>
            <w:vMerge/>
            <w:tcBorders>
              <w:left w:val="single" w:sz="4" w:space="0" w:color="auto"/>
              <w:right w:val="single" w:sz="4" w:space="0" w:color="auto"/>
            </w:tcBorders>
            <w:shd w:val="clear" w:color="auto" w:fill="auto"/>
            <w:vAlign w:val="center"/>
          </w:tcPr>
          <w:p w14:paraId="08E6F644" w14:textId="77777777" w:rsidR="00890464" w:rsidRDefault="00890464" w:rsidP="00E102A3">
            <w:pPr>
              <w:rPr>
                <w:rFonts w:ascii="Arial" w:hAnsi="Arial" w:cs="Arial"/>
                <w:color w:val="000000"/>
                <w:sz w:val="20"/>
                <w:lang w:val="es-HN"/>
              </w:rPr>
            </w:pPr>
          </w:p>
        </w:tc>
        <w:tc>
          <w:tcPr>
            <w:tcW w:w="1063" w:type="pct"/>
            <w:tcBorders>
              <w:top w:val="nil"/>
              <w:left w:val="nil"/>
              <w:bottom w:val="single" w:sz="4" w:space="0" w:color="auto"/>
              <w:right w:val="single" w:sz="4" w:space="0" w:color="auto"/>
            </w:tcBorders>
            <w:shd w:val="clear" w:color="000000" w:fill="FFFFFF"/>
            <w:vAlign w:val="center"/>
          </w:tcPr>
          <w:p w14:paraId="1F823D3C" w14:textId="77777777" w:rsidR="00890464" w:rsidRDefault="00890464" w:rsidP="00E102A3">
            <w:pPr>
              <w:rPr>
                <w:rFonts w:ascii="Arial" w:hAnsi="Arial" w:cs="Arial"/>
                <w:color w:val="000000"/>
                <w:sz w:val="20"/>
              </w:rPr>
            </w:pPr>
            <w:r>
              <w:rPr>
                <w:rFonts w:ascii="Arial" w:hAnsi="Arial" w:cs="Arial"/>
                <w:color w:val="000000"/>
                <w:sz w:val="20"/>
              </w:rPr>
              <w:t>Mujeres y niñas beneficiaras del programa que hacen uso regular de los espacios públicos.</w:t>
            </w:r>
          </w:p>
        </w:tc>
        <w:tc>
          <w:tcPr>
            <w:tcW w:w="376" w:type="pct"/>
            <w:tcBorders>
              <w:top w:val="nil"/>
              <w:left w:val="nil"/>
              <w:bottom w:val="single" w:sz="4" w:space="0" w:color="auto"/>
              <w:right w:val="single" w:sz="4" w:space="0" w:color="auto"/>
            </w:tcBorders>
            <w:shd w:val="clear" w:color="000000" w:fill="FFFFFF"/>
            <w:vAlign w:val="center"/>
          </w:tcPr>
          <w:p w14:paraId="6273F8EB" w14:textId="77777777" w:rsidR="00890464" w:rsidRDefault="00890464" w:rsidP="00E102A3">
            <w:pPr>
              <w:jc w:val="center"/>
              <w:rPr>
                <w:rFonts w:ascii="Arial" w:hAnsi="Arial" w:cs="Arial"/>
                <w:color w:val="010000"/>
                <w:sz w:val="20"/>
              </w:rPr>
            </w:pPr>
            <w:r>
              <w:rPr>
                <w:rFonts w:ascii="Arial" w:hAnsi="Arial" w:cs="Arial"/>
                <w:color w:val="010000"/>
                <w:sz w:val="20"/>
              </w:rPr>
              <w:t>%</w:t>
            </w:r>
          </w:p>
        </w:tc>
        <w:tc>
          <w:tcPr>
            <w:tcW w:w="376" w:type="pct"/>
            <w:tcBorders>
              <w:top w:val="nil"/>
              <w:left w:val="nil"/>
              <w:bottom w:val="single" w:sz="4" w:space="0" w:color="auto"/>
              <w:right w:val="single" w:sz="4" w:space="0" w:color="auto"/>
            </w:tcBorders>
            <w:shd w:val="clear" w:color="000000" w:fill="FFFFFF"/>
            <w:vAlign w:val="center"/>
          </w:tcPr>
          <w:p w14:paraId="16212C36" w14:textId="77777777" w:rsidR="00890464" w:rsidRDefault="00890464" w:rsidP="00E102A3">
            <w:pPr>
              <w:jc w:val="center"/>
              <w:rPr>
                <w:rFonts w:ascii="Arial" w:hAnsi="Arial" w:cs="Arial"/>
                <w:color w:val="000000"/>
                <w:sz w:val="20"/>
                <w:lang w:val="es-HN"/>
              </w:rPr>
            </w:pPr>
            <w:r>
              <w:rPr>
                <w:rFonts w:ascii="Arial" w:hAnsi="Arial" w:cs="Arial"/>
                <w:color w:val="000000"/>
                <w:sz w:val="20"/>
                <w:lang w:val="es-HN"/>
              </w:rPr>
              <w:t>0</w:t>
            </w:r>
          </w:p>
        </w:tc>
        <w:tc>
          <w:tcPr>
            <w:tcW w:w="376" w:type="pct"/>
            <w:tcBorders>
              <w:top w:val="nil"/>
              <w:left w:val="nil"/>
              <w:bottom w:val="single" w:sz="4" w:space="0" w:color="auto"/>
              <w:right w:val="single" w:sz="4" w:space="0" w:color="auto"/>
            </w:tcBorders>
            <w:shd w:val="clear" w:color="auto" w:fill="auto"/>
            <w:vAlign w:val="center"/>
          </w:tcPr>
          <w:p w14:paraId="11A9C91F" w14:textId="77777777" w:rsidR="00890464" w:rsidRDefault="00890464" w:rsidP="00E102A3">
            <w:pPr>
              <w:jc w:val="center"/>
              <w:rPr>
                <w:rFonts w:ascii="Arial" w:hAnsi="Arial" w:cs="Arial"/>
                <w:color w:val="000000"/>
                <w:sz w:val="20"/>
                <w:lang w:val="es-HN"/>
              </w:rPr>
            </w:pPr>
            <w:r>
              <w:rPr>
                <w:rFonts w:ascii="Arial" w:hAnsi="Arial" w:cs="Arial"/>
                <w:color w:val="000000"/>
                <w:sz w:val="20"/>
                <w:lang w:val="es-HN"/>
              </w:rPr>
              <w:t>20</w:t>
            </w:r>
          </w:p>
        </w:tc>
        <w:tc>
          <w:tcPr>
            <w:tcW w:w="1886" w:type="pct"/>
            <w:tcBorders>
              <w:top w:val="nil"/>
              <w:left w:val="nil"/>
              <w:bottom w:val="single" w:sz="4" w:space="0" w:color="auto"/>
              <w:right w:val="single" w:sz="4" w:space="0" w:color="auto"/>
            </w:tcBorders>
            <w:shd w:val="clear" w:color="000000" w:fill="FFFFFF"/>
            <w:vAlign w:val="center"/>
          </w:tcPr>
          <w:p w14:paraId="399551E6" w14:textId="77777777" w:rsidR="00890464" w:rsidRDefault="00890464" w:rsidP="00E102A3">
            <w:pPr>
              <w:rPr>
                <w:rFonts w:ascii="Arial" w:hAnsi="Arial" w:cs="Arial"/>
                <w:color w:val="000000"/>
                <w:sz w:val="20"/>
              </w:rPr>
            </w:pPr>
          </w:p>
        </w:tc>
      </w:tr>
      <w:tr w:rsidR="00890464" w14:paraId="1C715C62" w14:textId="77777777" w:rsidTr="00A965A0">
        <w:trPr>
          <w:trHeight w:val="624"/>
        </w:trPr>
        <w:tc>
          <w:tcPr>
            <w:tcW w:w="922" w:type="pct"/>
            <w:vMerge/>
            <w:tcBorders>
              <w:left w:val="single" w:sz="4" w:space="0" w:color="auto"/>
              <w:right w:val="single" w:sz="4" w:space="0" w:color="auto"/>
            </w:tcBorders>
            <w:shd w:val="clear" w:color="auto" w:fill="auto"/>
            <w:vAlign w:val="center"/>
          </w:tcPr>
          <w:p w14:paraId="63DD548B" w14:textId="77777777" w:rsidR="00890464" w:rsidRPr="00453596" w:rsidDel="007C3CD2" w:rsidRDefault="00890464" w:rsidP="00E102A3">
            <w:pPr>
              <w:rPr>
                <w:rFonts w:ascii="Arial" w:hAnsi="Arial" w:cs="Arial"/>
                <w:color w:val="000000"/>
                <w:sz w:val="20"/>
                <w:lang w:val="es-HN"/>
              </w:rPr>
            </w:pPr>
          </w:p>
        </w:tc>
        <w:tc>
          <w:tcPr>
            <w:tcW w:w="1063" w:type="pct"/>
            <w:tcBorders>
              <w:top w:val="nil"/>
              <w:left w:val="nil"/>
              <w:bottom w:val="single" w:sz="4" w:space="0" w:color="auto"/>
              <w:right w:val="single" w:sz="4" w:space="0" w:color="auto"/>
            </w:tcBorders>
            <w:shd w:val="clear" w:color="000000" w:fill="FFFFFF"/>
            <w:vAlign w:val="center"/>
          </w:tcPr>
          <w:p w14:paraId="3D013841" w14:textId="77777777" w:rsidR="00890464" w:rsidRPr="00571E8A" w:rsidRDefault="00890464" w:rsidP="00E102A3">
            <w:pPr>
              <w:rPr>
                <w:rFonts w:ascii="Arial" w:hAnsi="Arial" w:cs="Arial"/>
                <w:color w:val="000000"/>
                <w:sz w:val="20"/>
              </w:rPr>
            </w:pPr>
            <w:r>
              <w:rPr>
                <w:rFonts w:ascii="Arial" w:hAnsi="Arial" w:cs="Arial"/>
                <w:color w:val="000000"/>
                <w:sz w:val="20"/>
              </w:rPr>
              <w:t>Personas beneficiarias del programa con prácticas dirigidas a la redacción de la violencia intrafamiliar.</w:t>
            </w:r>
          </w:p>
        </w:tc>
        <w:tc>
          <w:tcPr>
            <w:tcW w:w="376" w:type="pct"/>
            <w:tcBorders>
              <w:top w:val="nil"/>
              <w:left w:val="nil"/>
              <w:bottom w:val="single" w:sz="4" w:space="0" w:color="auto"/>
              <w:right w:val="single" w:sz="4" w:space="0" w:color="auto"/>
            </w:tcBorders>
            <w:shd w:val="clear" w:color="000000" w:fill="FFFFFF"/>
            <w:vAlign w:val="center"/>
          </w:tcPr>
          <w:p w14:paraId="72D7F4B2" w14:textId="77777777" w:rsidR="00890464" w:rsidDel="007C3CD2" w:rsidRDefault="00890464" w:rsidP="00E102A3">
            <w:pPr>
              <w:jc w:val="center"/>
              <w:rPr>
                <w:rFonts w:ascii="Arial" w:hAnsi="Arial" w:cs="Arial"/>
                <w:color w:val="010000"/>
                <w:sz w:val="20"/>
              </w:rPr>
            </w:pPr>
            <w:r>
              <w:rPr>
                <w:rFonts w:ascii="Arial" w:hAnsi="Arial" w:cs="Arial"/>
                <w:color w:val="010000"/>
                <w:sz w:val="20"/>
              </w:rPr>
              <w:t>%</w:t>
            </w:r>
          </w:p>
        </w:tc>
        <w:tc>
          <w:tcPr>
            <w:tcW w:w="376" w:type="pct"/>
            <w:tcBorders>
              <w:top w:val="nil"/>
              <w:left w:val="nil"/>
              <w:bottom w:val="single" w:sz="4" w:space="0" w:color="auto"/>
              <w:right w:val="single" w:sz="4" w:space="0" w:color="auto"/>
            </w:tcBorders>
            <w:shd w:val="clear" w:color="000000" w:fill="FFFFFF"/>
            <w:vAlign w:val="center"/>
          </w:tcPr>
          <w:p w14:paraId="61D33DC2" w14:textId="77777777" w:rsidR="00890464" w:rsidRDefault="00890464" w:rsidP="00E102A3">
            <w:pPr>
              <w:jc w:val="center"/>
              <w:rPr>
                <w:rFonts w:ascii="Arial" w:hAnsi="Arial" w:cs="Arial"/>
                <w:color w:val="000000"/>
                <w:sz w:val="20"/>
                <w:lang w:val="es-HN"/>
              </w:rPr>
            </w:pPr>
            <w:r>
              <w:rPr>
                <w:rFonts w:ascii="Arial" w:hAnsi="Arial" w:cs="Arial"/>
                <w:color w:val="000000"/>
                <w:sz w:val="20"/>
                <w:lang w:val="es-HN"/>
              </w:rPr>
              <w:t>0</w:t>
            </w:r>
          </w:p>
        </w:tc>
        <w:tc>
          <w:tcPr>
            <w:tcW w:w="376" w:type="pct"/>
            <w:tcBorders>
              <w:top w:val="nil"/>
              <w:left w:val="nil"/>
              <w:bottom w:val="single" w:sz="4" w:space="0" w:color="auto"/>
              <w:right w:val="single" w:sz="4" w:space="0" w:color="auto"/>
            </w:tcBorders>
            <w:shd w:val="clear" w:color="auto" w:fill="auto"/>
            <w:vAlign w:val="center"/>
          </w:tcPr>
          <w:p w14:paraId="7FF5274B" w14:textId="77777777" w:rsidR="00890464" w:rsidDel="007C3CD2" w:rsidRDefault="00890464" w:rsidP="00E102A3">
            <w:pPr>
              <w:jc w:val="center"/>
              <w:rPr>
                <w:rFonts w:ascii="Arial" w:hAnsi="Arial" w:cs="Arial"/>
                <w:color w:val="000000"/>
                <w:sz w:val="20"/>
                <w:lang w:val="es-HN"/>
              </w:rPr>
            </w:pPr>
            <w:r>
              <w:rPr>
                <w:rFonts w:ascii="Arial" w:hAnsi="Arial" w:cs="Arial"/>
                <w:color w:val="000000"/>
                <w:sz w:val="20"/>
                <w:lang w:val="es-HN"/>
              </w:rPr>
              <w:t>50</w:t>
            </w:r>
          </w:p>
        </w:tc>
        <w:tc>
          <w:tcPr>
            <w:tcW w:w="1886" w:type="pct"/>
            <w:tcBorders>
              <w:top w:val="nil"/>
              <w:left w:val="nil"/>
              <w:bottom w:val="single" w:sz="4" w:space="0" w:color="auto"/>
              <w:right w:val="single" w:sz="4" w:space="0" w:color="auto"/>
            </w:tcBorders>
            <w:shd w:val="clear" w:color="000000" w:fill="FFFFFF"/>
            <w:vAlign w:val="center"/>
          </w:tcPr>
          <w:p w14:paraId="7AF1770E" w14:textId="77777777" w:rsidR="00890464" w:rsidRDefault="00890464" w:rsidP="00E102A3">
            <w:pPr>
              <w:rPr>
                <w:rFonts w:ascii="Arial" w:hAnsi="Arial" w:cs="Arial"/>
                <w:color w:val="000000"/>
                <w:sz w:val="20"/>
              </w:rPr>
            </w:pPr>
          </w:p>
        </w:tc>
      </w:tr>
      <w:tr w:rsidR="00890464" w14:paraId="4CF0A153" w14:textId="77777777" w:rsidTr="00890464">
        <w:trPr>
          <w:trHeight w:val="624"/>
        </w:trPr>
        <w:tc>
          <w:tcPr>
            <w:tcW w:w="922" w:type="pct"/>
            <w:vMerge/>
            <w:tcBorders>
              <w:left w:val="single" w:sz="4" w:space="0" w:color="auto"/>
              <w:bottom w:val="single" w:sz="4" w:space="0" w:color="auto"/>
              <w:right w:val="single" w:sz="4" w:space="0" w:color="auto"/>
            </w:tcBorders>
            <w:shd w:val="clear" w:color="auto" w:fill="auto"/>
            <w:vAlign w:val="center"/>
          </w:tcPr>
          <w:p w14:paraId="43F1DEAA" w14:textId="77777777" w:rsidR="00890464" w:rsidRPr="00453596" w:rsidDel="007C3CD2" w:rsidRDefault="00890464" w:rsidP="00E102A3">
            <w:pPr>
              <w:rPr>
                <w:rFonts w:ascii="Arial" w:hAnsi="Arial" w:cs="Arial"/>
                <w:color w:val="000000"/>
                <w:sz w:val="20"/>
                <w:lang w:val="es-HN"/>
              </w:rPr>
            </w:pPr>
          </w:p>
        </w:tc>
        <w:tc>
          <w:tcPr>
            <w:tcW w:w="1063" w:type="pct"/>
            <w:tcBorders>
              <w:top w:val="nil"/>
              <w:left w:val="nil"/>
              <w:bottom w:val="single" w:sz="4" w:space="0" w:color="auto"/>
              <w:right w:val="single" w:sz="4" w:space="0" w:color="auto"/>
            </w:tcBorders>
            <w:shd w:val="clear" w:color="000000" w:fill="FFFFFF"/>
            <w:vAlign w:val="center"/>
          </w:tcPr>
          <w:p w14:paraId="30F7E90A" w14:textId="77777777" w:rsidR="00890464" w:rsidRDefault="00890464" w:rsidP="00E102A3">
            <w:pPr>
              <w:rPr>
                <w:rFonts w:ascii="Arial" w:hAnsi="Arial" w:cs="Arial"/>
                <w:color w:val="000000"/>
                <w:sz w:val="20"/>
              </w:rPr>
            </w:pPr>
            <w:r>
              <w:rPr>
                <w:rFonts w:ascii="Arial" w:hAnsi="Arial" w:cs="Arial"/>
                <w:color w:val="000000"/>
                <w:sz w:val="20"/>
              </w:rPr>
              <w:t>Mujeres y niñas beneficiarias del programa con prácticas dirigidas a la redacción de la violencia intrafamiliar.</w:t>
            </w:r>
          </w:p>
        </w:tc>
        <w:tc>
          <w:tcPr>
            <w:tcW w:w="376" w:type="pct"/>
            <w:tcBorders>
              <w:top w:val="nil"/>
              <w:left w:val="nil"/>
              <w:bottom w:val="single" w:sz="4" w:space="0" w:color="auto"/>
              <w:right w:val="single" w:sz="4" w:space="0" w:color="auto"/>
            </w:tcBorders>
            <w:shd w:val="clear" w:color="000000" w:fill="FFFFFF"/>
            <w:vAlign w:val="center"/>
          </w:tcPr>
          <w:p w14:paraId="31B3F0D6" w14:textId="77777777" w:rsidR="00890464" w:rsidRDefault="00890464" w:rsidP="00E102A3">
            <w:pPr>
              <w:jc w:val="center"/>
              <w:rPr>
                <w:rFonts w:ascii="Arial" w:hAnsi="Arial" w:cs="Arial"/>
                <w:color w:val="010000"/>
                <w:sz w:val="20"/>
              </w:rPr>
            </w:pPr>
            <w:r>
              <w:rPr>
                <w:rFonts w:ascii="Arial" w:hAnsi="Arial" w:cs="Arial"/>
                <w:color w:val="010000"/>
                <w:sz w:val="20"/>
              </w:rPr>
              <w:t>%</w:t>
            </w:r>
          </w:p>
        </w:tc>
        <w:tc>
          <w:tcPr>
            <w:tcW w:w="376" w:type="pct"/>
            <w:tcBorders>
              <w:top w:val="nil"/>
              <w:left w:val="nil"/>
              <w:bottom w:val="single" w:sz="4" w:space="0" w:color="auto"/>
              <w:right w:val="single" w:sz="4" w:space="0" w:color="auto"/>
            </w:tcBorders>
            <w:shd w:val="clear" w:color="000000" w:fill="FFFFFF"/>
            <w:vAlign w:val="center"/>
          </w:tcPr>
          <w:p w14:paraId="5F2B112A" w14:textId="77777777" w:rsidR="00890464" w:rsidRDefault="00890464" w:rsidP="00E102A3">
            <w:pPr>
              <w:jc w:val="center"/>
              <w:rPr>
                <w:rFonts w:ascii="Arial" w:hAnsi="Arial" w:cs="Arial"/>
                <w:color w:val="000000"/>
                <w:sz w:val="20"/>
                <w:lang w:val="es-HN"/>
              </w:rPr>
            </w:pPr>
            <w:r>
              <w:rPr>
                <w:rFonts w:ascii="Arial" w:hAnsi="Arial" w:cs="Arial"/>
                <w:color w:val="000000"/>
                <w:sz w:val="20"/>
                <w:lang w:val="es-HN"/>
              </w:rPr>
              <w:t>0</w:t>
            </w:r>
          </w:p>
        </w:tc>
        <w:tc>
          <w:tcPr>
            <w:tcW w:w="376" w:type="pct"/>
            <w:tcBorders>
              <w:top w:val="nil"/>
              <w:left w:val="nil"/>
              <w:bottom w:val="single" w:sz="4" w:space="0" w:color="auto"/>
              <w:right w:val="single" w:sz="4" w:space="0" w:color="auto"/>
            </w:tcBorders>
            <w:shd w:val="clear" w:color="auto" w:fill="auto"/>
            <w:vAlign w:val="center"/>
          </w:tcPr>
          <w:p w14:paraId="123E66C8" w14:textId="77777777" w:rsidR="00890464" w:rsidRDefault="00890464" w:rsidP="00E102A3">
            <w:pPr>
              <w:jc w:val="center"/>
              <w:rPr>
                <w:rFonts w:ascii="Arial" w:hAnsi="Arial" w:cs="Arial"/>
                <w:color w:val="000000"/>
                <w:sz w:val="20"/>
                <w:lang w:val="es-HN"/>
              </w:rPr>
            </w:pPr>
            <w:r>
              <w:rPr>
                <w:rFonts w:ascii="Arial" w:hAnsi="Arial" w:cs="Arial"/>
                <w:color w:val="000000"/>
                <w:sz w:val="20"/>
                <w:lang w:val="es-HN"/>
              </w:rPr>
              <w:t>50</w:t>
            </w:r>
          </w:p>
        </w:tc>
        <w:tc>
          <w:tcPr>
            <w:tcW w:w="1886" w:type="pct"/>
            <w:tcBorders>
              <w:top w:val="nil"/>
              <w:left w:val="nil"/>
              <w:bottom w:val="single" w:sz="4" w:space="0" w:color="auto"/>
              <w:right w:val="single" w:sz="4" w:space="0" w:color="auto"/>
            </w:tcBorders>
            <w:shd w:val="clear" w:color="000000" w:fill="FFFFFF"/>
            <w:vAlign w:val="center"/>
          </w:tcPr>
          <w:p w14:paraId="7EF9B70E" w14:textId="77777777" w:rsidR="00890464" w:rsidRDefault="00890464" w:rsidP="00E102A3">
            <w:pPr>
              <w:rPr>
                <w:rFonts w:ascii="Arial" w:hAnsi="Arial" w:cs="Arial"/>
                <w:color w:val="000000"/>
                <w:sz w:val="20"/>
              </w:rPr>
            </w:pPr>
          </w:p>
        </w:tc>
      </w:tr>
      <w:tr w:rsidR="00890464" w:rsidRPr="003A3B39" w14:paraId="2C7A6A1A" w14:textId="77777777" w:rsidTr="00890464">
        <w:trPr>
          <w:trHeight w:val="624"/>
        </w:trPr>
        <w:tc>
          <w:tcPr>
            <w:tcW w:w="922" w:type="pct"/>
            <w:vMerge/>
            <w:tcBorders>
              <w:left w:val="single" w:sz="4" w:space="0" w:color="auto"/>
              <w:bottom w:val="single" w:sz="4" w:space="0" w:color="auto"/>
              <w:right w:val="single" w:sz="4" w:space="0" w:color="auto"/>
            </w:tcBorders>
            <w:shd w:val="clear" w:color="auto" w:fill="auto"/>
            <w:vAlign w:val="center"/>
          </w:tcPr>
          <w:p w14:paraId="09BB6F53" w14:textId="77777777" w:rsidR="00890464" w:rsidRPr="003A3B39" w:rsidRDefault="00890464" w:rsidP="00E102A3">
            <w:pPr>
              <w:jc w:val="center"/>
              <w:rPr>
                <w:rFonts w:ascii="Arial" w:hAnsi="Arial" w:cs="Arial"/>
                <w:b/>
                <w:bCs/>
                <w:color w:val="000000"/>
                <w:sz w:val="20"/>
                <w:lang w:val="es-HN"/>
              </w:rPr>
            </w:pPr>
            <w:r w:rsidRPr="003A3B39">
              <w:rPr>
                <w:rFonts w:ascii="Arial" w:hAnsi="Arial" w:cs="Arial"/>
                <w:b/>
                <w:bCs/>
                <w:color w:val="000000"/>
                <w:sz w:val="20"/>
                <w:lang w:val="es-HN"/>
              </w:rPr>
              <w:t>Resultados</w:t>
            </w:r>
          </w:p>
        </w:tc>
        <w:tc>
          <w:tcPr>
            <w:tcW w:w="1063" w:type="pct"/>
            <w:tcBorders>
              <w:top w:val="nil"/>
              <w:left w:val="nil"/>
              <w:bottom w:val="single" w:sz="4" w:space="0" w:color="auto"/>
              <w:right w:val="single" w:sz="4" w:space="0" w:color="auto"/>
            </w:tcBorders>
            <w:shd w:val="clear" w:color="000000" w:fill="FFFFFF"/>
            <w:vAlign w:val="center"/>
          </w:tcPr>
          <w:p w14:paraId="76AA7BB8" w14:textId="77777777" w:rsidR="00890464" w:rsidRPr="00890464" w:rsidRDefault="00890464" w:rsidP="00890464">
            <w:pPr>
              <w:rPr>
                <w:rFonts w:ascii="Arial" w:hAnsi="Arial" w:cs="Arial"/>
                <w:color w:val="000000"/>
                <w:sz w:val="20"/>
                <w:lang w:val="es-HN"/>
              </w:rPr>
            </w:pPr>
            <w:r w:rsidRPr="00890464">
              <w:rPr>
                <w:rFonts w:ascii="Arial" w:hAnsi="Arial" w:cs="Arial"/>
                <w:color w:val="000000"/>
                <w:sz w:val="20"/>
                <w:lang w:val="es-HN"/>
              </w:rPr>
              <w:t>Indicadores</w:t>
            </w:r>
          </w:p>
        </w:tc>
        <w:tc>
          <w:tcPr>
            <w:tcW w:w="376" w:type="pct"/>
            <w:tcBorders>
              <w:top w:val="nil"/>
              <w:left w:val="nil"/>
              <w:bottom w:val="single" w:sz="4" w:space="0" w:color="auto"/>
              <w:right w:val="single" w:sz="4" w:space="0" w:color="auto"/>
            </w:tcBorders>
            <w:shd w:val="clear" w:color="000000" w:fill="FFFFFF"/>
            <w:vAlign w:val="center"/>
          </w:tcPr>
          <w:p w14:paraId="0559475F" w14:textId="77777777" w:rsidR="00890464" w:rsidRPr="00890464" w:rsidRDefault="00890464" w:rsidP="00890464">
            <w:pPr>
              <w:rPr>
                <w:rFonts w:ascii="Arial" w:hAnsi="Arial" w:cs="Arial"/>
                <w:color w:val="000000"/>
                <w:sz w:val="20"/>
              </w:rPr>
            </w:pPr>
            <w:r w:rsidRPr="00890464">
              <w:rPr>
                <w:rFonts w:ascii="Arial" w:hAnsi="Arial" w:cs="Arial"/>
                <w:color w:val="000000"/>
                <w:sz w:val="20"/>
              </w:rPr>
              <w:t>Unidad</w:t>
            </w:r>
          </w:p>
        </w:tc>
        <w:tc>
          <w:tcPr>
            <w:tcW w:w="376" w:type="pct"/>
            <w:tcBorders>
              <w:top w:val="nil"/>
              <w:left w:val="nil"/>
              <w:bottom w:val="single" w:sz="4" w:space="0" w:color="auto"/>
              <w:right w:val="single" w:sz="4" w:space="0" w:color="auto"/>
            </w:tcBorders>
            <w:shd w:val="clear" w:color="000000" w:fill="FFFFFF"/>
            <w:vAlign w:val="center"/>
          </w:tcPr>
          <w:p w14:paraId="4D13AF00" w14:textId="77777777" w:rsidR="00890464" w:rsidRPr="00890464" w:rsidRDefault="00890464" w:rsidP="00E102A3">
            <w:pPr>
              <w:jc w:val="center"/>
              <w:rPr>
                <w:rFonts w:ascii="Arial" w:hAnsi="Arial" w:cs="Arial"/>
                <w:color w:val="010000"/>
                <w:sz w:val="20"/>
              </w:rPr>
            </w:pPr>
            <w:r w:rsidRPr="00890464">
              <w:rPr>
                <w:rFonts w:ascii="Arial" w:hAnsi="Arial" w:cs="Arial"/>
                <w:color w:val="010000"/>
                <w:sz w:val="20"/>
              </w:rPr>
              <w:t>Base 2017</w:t>
            </w:r>
          </w:p>
        </w:tc>
        <w:tc>
          <w:tcPr>
            <w:tcW w:w="376" w:type="pct"/>
            <w:tcBorders>
              <w:top w:val="nil"/>
              <w:left w:val="nil"/>
              <w:bottom w:val="single" w:sz="4" w:space="0" w:color="auto"/>
              <w:right w:val="single" w:sz="4" w:space="0" w:color="auto"/>
            </w:tcBorders>
            <w:shd w:val="clear" w:color="auto" w:fill="auto"/>
            <w:vAlign w:val="center"/>
          </w:tcPr>
          <w:p w14:paraId="072D6247" w14:textId="77777777" w:rsidR="00890464" w:rsidRPr="00890464" w:rsidRDefault="00890464" w:rsidP="00E102A3">
            <w:pPr>
              <w:jc w:val="center"/>
              <w:rPr>
                <w:rFonts w:ascii="Arial" w:hAnsi="Arial" w:cs="Arial"/>
                <w:color w:val="000000"/>
                <w:sz w:val="20"/>
                <w:lang w:val="es-HN"/>
              </w:rPr>
            </w:pPr>
            <w:r w:rsidRPr="00890464">
              <w:rPr>
                <w:rFonts w:ascii="Arial" w:hAnsi="Arial" w:cs="Arial"/>
                <w:color w:val="000000"/>
                <w:sz w:val="20"/>
                <w:lang w:val="es-HN"/>
              </w:rPr>
              <w:t>Meta Final 2024</w:t>
            </w:r>
          </w:p>
        </w:tc>
        <w:tc>
          <w:tcPr>
            <w:tcW w:w="1886" w:type="pct"/>
            <w:tcBorders>
              <w:top w:val="nil"/>
              <w:left w:val="nil"/>
              <w:bottom w:val="single" w:sz="4" w:space="0" w:color="auto"/>
              <w:right w:val="single" w:sz="4" w:space="0" w:color="auto"/>
            </w:tcBorders>
            <w:shd w:val="clear" w:color="000000" w:fill="FFFFFF"/>
            <w:vAlign w:val="center"/>
          </w:tcPr>
          <w:p w14:paraId="731FF802" w14:textId="77777777" w:rsidR="00890464" w:rsidRPr="00890464" w:rsidRDefault="00890464" w:rsidP="00E102A3">
            <w:pPr>
              <w:jc w:val="center"/>
              <w:rPr>
                <w:rFonts w:ascii="Arial" w:hAnsi="Arial" w:cs="Arial"/>
                <w:color w:val="000000"/>
                <w:sz w:val="20"/>
                <w:lang w:val="es-HN"/>
              </w:rPr>
            </w:pPr>
            <w:r w:rsidRPr="00890464">
              <w:rPr>
                <w:rFonts w:ascii="Arial" w:hAnsi="Arial" w:cs="Arial"/>
                <w:color w:val="000000"/>
                <w:sz w:val="20"/>
                <w:lang w:val="es-HN"/>
              </w:rPr>
              <w:t>Medios de Verificación/observaciones</w:t>
            </w:r>
          </w:p>
        </w:tc>
      </w:tr>
      <w:tr w:rsidR="00890464" w:rsidRPr="00E102A3" w14:paraId="229B315D" w14:textId="77777777" w:rsidTr="00890464">
        <w:trPr>
          <w:trHeight w:val="624"/>
        </w:trPr>
        <w:tc>
          <w:tcPr>
            <w:tcW w:w="922" w:type="pct"/>
            <w:vMerge/>
            <w:tcBorders>
              <w:left w:val="single" w:sz="4" w:space="0" w:color="auto"/>
              <w:bottom w:val="single" w:sz="4" w:space="0" w:color="auto"/>
              <w:right w:val="single" w:sz="4" w:space="0" w:color="auto"/>
            </w:tcBorders>
            <w:shd w:val="clear" w:color="auto" w:fill="auto"/>
            <w:vAlign w:val="center"/>
          </w:tcPr>
          <w:p w14:paraId="6F452735" w14:textId="77777777" w:rsidR="00890464" w:rsidRPr="003A3B39" w:rsidRDefault="00890464" w:rsidP="00E102A3">
            <w:pPr>
              <w:rPr>
                <w:rFonts w:ascii="Arial" w:hAnsi="Arial" w:cs="Arial"/>
                <w:color w:val="000000"/>
                <w:sz w:val="20"/>
                <w:lang w:val="es-HN"/>
              </w:rPr>
            </w:pPr>
            <w:r>
              <w:rPr>
                <w:rFonts w:ascii="Arial" w:hAnsi="Arial" w:cs="Arial"/>
                <w:color w:val="000000"/>
                <w:sz w:val="20"/>
                <w:lang w:val="es-HN"/>
              </w:rPr>
              <w:t>Incremento de la capacidad de</w:t>
            </w:r>
            <w:r w:rsidRPr="003A3B39">
              <w:rPr>
                <w:rFonts w:ascii="Arial" w:hAnsi="Arial" w:cs="Arial"/>
                <w:color w:val="000000"/>
                <w:sz w:val="20"/>
                <w:lang w:val="es-HN"/>
              </w:rPr>
              <w:t xml:space="preserve"> transmisión </w:t>
            </w:r>
            <w:r>
              <w:rPr>
                <w:rFonts w:ascii="Arial" w:hAnsi="Arial" w:cs="Arial"/>
                <w:color w:val="000000"/>
                <w:sz w:val="20"/>
                <w:lang w:val="es-HN"/>
              </w:rPr>
              <w:t>l</w:t>
            </w:r>
            <w:r w:rsidRPr="003A3B39">
              <w:rPr>
                <w:rFonts w:ascii="Arial" w:hAnsi="Arial" w:cs="Arial"/>
                <w:color w:val="000000"/>
                <w:sz w:val="20"/>
                <w:lang w:val="es-HN"/>
              </w:rPr>
              <w:t>ínea los Troncos-San Ignacio.</w:t>
            </w:r>
          </w:p>
        </w:tc>
        <w:tc>
          <w:tcPr>
            <w:tcW w:w="1063" w:type="pct"/>
            <w:tcBorders>
              <w:top w:val="nil"/>
              <w:left w:val="nil"/>
              <w:bottom w:val="single" w:sz="4" w:space="0" w:color="auto"/>
              <w:right w:val="single" w:sz="4" w:space="0" w:color="auto"/>
            </w:tcBorders>
            <w:shd w:val="clear" w:color="000000" w:fill="FFFFFF"/>
            <w:vAlign w:val="center"/>
          </w:tcPr>
          <w:p w14:paraId="4AFE0C32" w14:textId="77777777" w:rsidR="00890464" w:rsidRPr="003A3B39" w:rsidRDefault="00890464" w:rsidP="00E102A3">
            <w:pPr>
              <w:rPr>
                <w:rFonts w:ascii="Arial" w:hAnsi="Arial" w:cs="Arial"/>
                <w:color w:val="000000"/>
                <w:sz w:val="20"/>
                <w:lang w:val="es-HN"/>
              </w:rPr>
            </w:pPr>
            <w:r w:rsidRPr="003A3B39">
              <w:rPr>
                <w:rFonts w:ascii="Arial" w:hAnsi="Arial" w:cs="Arial"/>
                <w:color w:val="000000"/>
                <w:sz w:val="20"/>
                <w:lang w:val="es-HN"/>
              </w:rPr>
              <w:t>Capacidad de transmisión línea los Troncos–San Ignacio</w:t>
            </w:r>
            <w:r>
              <w:rPr>
                <w:rFonts w:ascii="Arial" w:hAnsi="Arial" w:cs="Arial"/>
                <w:color w:val="000000"/>
                <w:sz w:val="20"/>
                <w:lang w:val="es-HN"/>
              </w:rPr>
              <w:t>.</w:t>
            </w:r>
          </w:p>
        </w:tc>
        <w:tc>
          <w:tcPr>
            <w:tcW w:w="376" w:type="pct"/>
            <w:tcBorders>
              <w:top w:val="nil"/>
              <w:left w:val="nil"/>
              <w:bottom w:val="single" w:sz="4" w:space="0" w:color="auto"/>
              <w:right w:val="single" w:sz="4" w:space="0" w:color="auto"/>
            </w:tcBorders>
            <w:shd w:val="clear" w:color="000000" w:fill="FFFFFF"/>
            <w:vAlign w:val="center"/>
          </w:tcPr>
          <w:p w14:paraId="0F26C265" w14:textId="77777777" w:rsidR="00890464" w:rsidRPr="00890464" w:rsidRDefault="00890464" w:rsidP="00890464">
            <w:pPr>
              <w:rPr>
                <w:rFonts w:ascii="Arial" w:hAnsi="Arial" w:cs="Arial"/>
                <w:color w:val="000000"/>
                <w:sz w:val="20"/>
              </w:rPr>
            </w:pPr>
            <w:r w:rsidRPr="00890464">
              <w:rPr>
                <w:rFonts w:ascii="Arial" w:hAnsi="Arial" w:cs="Arial"/>
                <w:color w:val="000000"/>
                <w:sz w:val="20"/>
              </w:rPr>
              <w:t>MW</w:t>
            </w:r>
          </w:p>
        </w:tc>
        <w:tc>
          <w:tcPr>
            <w:tcW w:w="376" w:type="pct"/>
            <w:tcBorders>
              <w:top w:val="nil"/>
              <w:left w:val="nil"/>
              <w:bottom w:val="single" w:sz="4" w:space="0" w:color="auto"/>
              <w:right w:val="single" w:sz="4" w:space="0" w:color="auto"/>
            </w:tcBorders>
            <w:shd w:val="clear" w:color="000000" w:fill="FFFFFF"/>
            <w:vAlign w:val="center"/>
          </w:tcPr>
          <w:p w14:paraId="5CFC4334" w14:textId="77777777" w:rsidR="00890464" w:rsidRPr="00890464" w:rsidRDefault="00890464" w:rsidP="00E102A3">
            <w:pPr>
              <w:jc w:val="center"/>
              <w:rPr>
                <w:rFonts w:ascii="Arial" w:hAnsi="Arial" w:cs="Arial"/>
                <w:color w:val="010000"/>
                <w:sz w:val="20"/>
              </w:rPr>
            </w:pPr>
            <w:r w:rsidRPr="00890464">
              <w:rPr>
                <w:rFonts w:ascii="Arial" w:hAnsi="Arial" w:cs="Arial"/>
                <w:color w:val="010000"/>
                <w:sz w:val="20"/>
              </w:rPr>
              <w:t>0</w:t>
            </w:r>
          </w:p>
        </w:tc>
        <w:tc>
          <w:tcPr>
            <w:tcW w:w="376" w:type="pct"/>
            <w:tcBorders>
              <w:top w:val="nil"/>
              <w:left w:val="nil"/>
              <w:bottom w:val="single" w:sz="4" w:space="0" w:color="auto"/>
              <w:right w:val="single" w:sz="4" w:space="0" w:color="auto"/>
            </w:tcBorders>
            <w:shd w:val="clear" w:color="auto" w:fill="auto"/>
            <w:vAlign w:val="center"/>
          </w:tcPr>
          <w:p w14:paraId="54AB09AA" w14:textId="77777777" w:rsidR="00890464" w:rsidRPr="00890464" w:rsidRDefault="00890464" w:rsidP="00E102A3">
            <w:pPr>
              <w:jc w:val="center"/>
              <w:rPr>
                <w:rFonts w:ascii="Arial" w:hAnsi="Arial" w:cs="Arial"/>
                <w:color w:val="000000"/>
                <w:sz w:val="20"/>
                <w:lang w:val="es-HN"/>
              </w:rPr>
            </w:pPr>
            <w:r w:rsidRPr="00890464">
              <w:rPr>
                <w:rFonts w:ascii="Arial" w:hAnsi="Arial" w:cs="Arial"/>
                <w:color w:val="000000"/>
                <w:sz w:val="20"/>
                <w:lang w:val="es-HN"/>
              </w:rPr>
              <w:t>50</w:t>
            </w:r>
          </w:p>
        </w:tc>
        <w:tc>
          <w:tcPr>
            <w:tcW w:w="1886" w:type="pct"/>
            <w:tcBorders>
              <w:top w:val="nil"/>
              <w:left w:val="nil"/>
              <w:bottom w:val="single" w:sz="4" w:space="0" w:color="auto"/>
              <w:right w:val="single" w:sz="4" w:space="0" w:color="auto"/>
            </w:tcBorders>
            <w:shd w:val="clear" w:color="000000" w:fill="FFFFFF"/>
            <w:vAlign w:val="center"/>
          </w:tcPr>
          <w:p w14:paraId="409EAE8D" w14:textId="77777777" w:rsidR="00890464" w:rsidRPr="003A3B39" w:rsidRDefault="00890464" w:rsidP="00890464">
            <w:pPr>
              <w:jc w:val="center"/>
              <w:rPr>
                <w:rFonts w:ascii="Arial" w:hAnsi="Arial" w:cs="Arial"/>
                <w:color w:val="000000"/>
                <w:sz w:val="20"/>
                <w:lang w:val="es-HN"/>
              </w:rPr>
            </w:pPr>
            <w:r w:rsidRPr="00890464">
              <w:rPr>
                <w:rFonts w:ascii="Arial" w:hAnsi="Arial" w:cs="Arial"/>
                <w:color w:val="000000"/>
                <w:sz w:val="20"/>
                <w:lang w:val="es-HN"/>
              </w:rPr>
              <w:t>Reportes de ejecución de ENDE con información levantada por las empresas supervisoras, en base a los informes de avance de obra.</w:t>
            </w:r>
          </w:p>
        </w:tc>
      </w:tr>
      <w:tr w:rsidR="00890464" w:rsidRPr="00E102A3" w14:paraId="46C6D2C2" w14:textId="77777777" w:rsidTr="00890464">
        <w:trPr>
          <w:trHeight w:val="624"/>
        </w:trPr>
        <w:tc>
          <w:tcPr>
            <w:tcW w:w="922" w:type="pct"/>
            <w:vMerge/>
            <w:tcBorders>
              <w:left w:val="single" w:sz="4" w:space="0" w:color="auto"/>
              <w:bottom w:val="single" w:sz="4" w:space="0" w:color="auto"/>
              <w:right w:val="single" w:sz="4" w:space="0" w:color="auto"/>
            </w:tcBorders>
            <w:shd w:val="clear" w:color="auto" w:fill="auto"/>
            <w:vAlign w:val="center"/>
          </w:tcPr>
          <w:p w14:paraId="36C183F8" w14:textId="77777777" w:rsidR="00890464" w:rsidRPr="003A3B39" w:rsidRDefault="00890464" w:rsidP="00E102A3">
            <w:pPr>
              <w:rPr>
                <w:rFonts w:ascii="Arial" w:hAnsi="Arial" w:cs="Arial"/>
                <w:b/>
                <w:bCs/>
                <w:color w:val="000000"/>
                <w:sz w:val="20"/>
                <w:lang w:val="es-HN"/>
              </w:rPr>
            </w:pPr>
            <w:r>
              <w:rPr>
                <w:rFonts w:ascii="Arial" w:hAnsi="Arial" w:cs="Arial"/>
                <w:color w:val="000000"/>
                <w:sz w:val="20"/>
                <w:lang w:val="es-HN"/>
              </w:rPr>
              <w:t>Ahorro en los subsidios al diésel para la generación eléctrica.</w:t>
            </w:r>
          </w:p>
        </w:tc>
        <w:tc>
          <w:tcPr>
            <w:tcW w:w="1063" w:type="pct"/>
            <w:tcBorders>
              <w:top w:val="nil"/>
              <w:left w:val="nil"/>
              <w:bottom w:val="single" w:sz="4" w:space="0" w:color="auto"/>
              <w:right w:val="single" w:sz="4" w:space="0" w:color="auto"/>
            </w:tcBorders>
            <w:shd w:val="clear" w:color="000000" w:fill="FFFFFF"/>
            <w:vAlign w:val="center"/>
          </w:tcPr>
          <w:p w14:paraId="38F08A00" w14:textId="77777777" w:rsidR="00890464" w:rsidRPr="00890464" w:rsidRDefault="00890464" w:rsidP="00E102A3">
            <w:pPr>
              <w:rPr>
                <w:rFonts w:ascii="Arial" w:hAnsi="Arial" w:cs="Arial"/>
                <w:color w:val="000000"/>
                <w:sz w:val="20"/>
                <w:lang w:val="es-HN"/>
              </w:rPr>
            </w:pPr>
            <w:r>
              <w:rPr>
                <w:rFonts w:ascii="Arial" w:hAnsi="Arial" w:cs="Arial"/>
                <w:color w:val="000000"/>
                <w:sz w:val="20"/>
                <w:lang w:val="es-HN"/>
              </w:rPr>
              <w:t>Subsidios anuales al diésel en San Ignacio de Velasco</w:t>
            </w:r>
          </w:p>
        </w:tc>
        <w:tc>
          <w:tcPr>
            <w:tcW w:w="376" w:type="pct"/>
            <w:tcBorders>
              <w:top w:val="nil"/>
              <w:left w:val="nil"/>
              <w:bottom w:val="single" w:sz="4" w:space="0" w:color="auto"/>
              <w:right w:val="single" w:sz="4" w:space="0" w:color="auto"/>
            </w:tcBorders>
            <w:shd w:val="clear" w:color="000000" w:fill="FFFFFF"/>
            <w:vAlign w:val="center"/>
          </w:tcPr>
          <w:p w14:paraId="7EEAF1B8" w14:textId="77777777" w:rsidR="00890464" w:rsidRPr="00890464" w:rsidRDefault="00890464" w:rsidP="00890464">
            <w:pPr>
              <w:rPr>
                <w:rFonts w:ascii="Arial" w:hAnsi="Arial" w:cs="Arial"/>
                <w:color w:val="000000"/>
                <w:sz w:val="20"/>
              </w:rPr>
            </w:pPr>
            <w:r w:rsidRPr="00890464">
              <w:rPr>
                <w:rFonts w:ascii="Arial" w:hAnsi="Arial" w:cs="Arial"/>
                <w:color w:val="000000"/>
                <w:sz w:val="20"/>
              </w:rPr>
              <w:t>US$ millones/año</w:t>
            </w:r>
          </w:p>
        </w:tc>
        <w:tc>
          <w:tcPr>
            <w:tcW w:w="376" w:type="pct"/>
            <w:tcBorders>
              <w:top w:val="nil"/>
              <w:left w:val="nil"/>
              <w:bottom w:val="single" w:sz="4" w:space="0" w:color="auto"/>
              <w:right w:val="single" w:sz="4" w:space="0" w:color="auto"/>
            </w:tcBorders>
            <w:shd w:val="clear" w:color="000000" w:fill="FFFFFF"/>
            <w:vAlign w:val="center"/>
          </w:tcPr>
          <w:p w14:paraId="16482A3D" w14:textId="77777777" w:rsidR="00890464" w:rsidRPr="00890464" w:rsidRDefault="00890464" w:rsidP="00E102A3">
            <w:pPr>
              <w:jc w:val="center"/>
              <w:rPr>
                <w:rFonts w:ascii="Arial" w:hAnsi="Arial" w:cs="Arial"/>
                <w:color w:val="010000"/>
                <w:sz w:val="20"/>
              </w:rPr>
            </w:pPr>
            <w:r w:rsidRPr="00890464">
              <w:rPr>
                <w:rFonts w:ascii="Arial" w:hAnsi="Arial" w:cs="Arial"/>
                <w:color w:val="010000"/>
                <w:sz w:val="20"/>
              </w:rPr>
              <w:t>14.902.600</w:t>
            </w:r>
          </w:p>
        </w:tc>
        <w:tc>
          <w:tcPr>
            <w:tcW w:w="376" w:type="pct"/>
            <w:tcBorders>
              <w:top w:val="nil"/>
              <w:left w:val="nil"/>
              <w:bottom w:val="single" w:sz="4" w:space="0" w:color="auto"/>
              <w:right w:val="single" w:sz="4" w:space="0" w:color="auto"/>
            </w:tcBorders>
            <w:shd w:val="clear" w:color="auto" w:fill="auto"/>
            <w:vAlign w:val="center"/>
          </w:tcPr>
          <w:p w14:paraId="69892C84" w14:textId="77777777" w:rsidR="00890464" w:rsidRPr="00890464" w:rsidRDefault="00890464" w:rsidP="00E102A3">
            <w:pPr>
              <w:jc w:val="center"/>
              <w:rPr>
                <w:rFonts w:ascii="Arial" w:hAnsi="Arial" w:cs="Arial"/>
                <w:color w:val="000000"/>
                <w:sz w:val="20"/>
                <w:lang w:val="es-HN"/>
              </w:rPr>
            </w:pPr>
            <w:r w:rsidRPr="00890464">
              <w:rPr>
                <w:rFonts w:ascii="Arial" w:hAnsi="Arial" w:cs="Arial"/>
                <w:color w:val="000000"/>
                <w:sz w:val="20"/>
                <w:lang w:val="es-HN"/>
              </w:rPr>
              <w:t>0</w:t>
            </w:r>
          </w:p>
        </w:tc>
        <w:tc>
          <w:tcPr>
            <w:tcW w:w="1886" w:type="pct"/>
            <w:tcBorders>
              <w:top w:val="nil"/>
              <w:left w:val="nil"/>
              <w:bottom w:val="single" w:sz="4" w:space="0" w:color="auto"/>
              <w:right w:val="single" w:sz="4" w:space="0" w:color="auto"/>
            </w:tcBorders>
            <w:shd w:val="clear" w:color="000000" w:fill="FFFFFF"/>
            <w:vAlign w:val="center"/>
          </w:tcPr>
          <w:p w14:paraId="4E7DB34C" w14:textId="77777777" w:rsidR="00890464" w:rsidRDefault="00890464" w:rsidP="00890464">
            <w:pPr>
              <w:jc w:val="center"/>
              <w:rPr>
                <w:rFonts w:ascii="Arial" w:hAnsi="Arial" w:cs="Arial"/>
                <w:color w:val="000000"/>
                <w:sz w:val="20"/>
                <w:lang w:val="es-HN"/>
              </w:rPr>
            </w:pPr>
            <w:r w:rsidRPr="003A3B39">
              <w:rPr>
                <w:rFonts w:ascii="Arial" w:hAnsi="Arial" w:cs="Arial"/>
                <w:color w:val="000000"/>
                <w:sz w:val="20"/>
                <w:lang w:val="es-HN"/>
              </w:rPr>
              <w:t>Informes anuales estadísticos de la AE sobre el SIN y los SA.</w:t>
            </w:r>
          </w:p>
          <w:p w14:paraId="4754414D" w14:textId="77777777" w:rsidR="00890464" w:rsidRDefault="00890464" w:rsidP="00890464">
            <w:pPr>
              <w:jc w:val="center"/>
              <w:rPr>
                <w:rFonts w:ascii="Arial" w:hAnsi="Arial" w:cs="Arial"/>
                <w:color w:val="000000"/>
                <w:sz w:val="20"/>
                <w:lang w:val="es-HN"/>
              </w:rPr>
            </w:pPr>
          </w:p>
          <w:p w14:paraId="065A06E2" w14:textId="77777777" w:rsidR="00890464" w:rsidRPr="00890464" w:rsidRDefault="00890464" w:rsidP="00890464">
            <w:pPr>
              <w:jc w:val="center"/>
              <w:rPr>
                <w:rFonts w:ascii="Arial" w:hAnsi="Arial" w:cs="Arial"/>
                <w:color w:val="000000"/>
                <w:sz w:val="20"/>
                <w:lang w:val="es-HN"/>
              </w:rPr>
            </w:pPr>
            <w:r>
              <w:rPr>
                <w:rFonts w:ascii="Arial" w:hAnsi="Arial" w:cs="Arial"/>
                <w:color w:val="000000"/>
                <w:sz w:val="20"/>
                <w:lang w:val="es-HN"/>
              </w:rPr>
              <w:t>La línea base corresponde a la proyección de los subsidios para 2024 sin el proyecto.</w:t>
            </w:r>
          </w:p>
        </w:tc>
      </w:tr>
      <w:tr w:rsidR="00890464" w:rsidRPr="00E102A3" w14:paraId="0B097CDD" w14:textId="77777777" w:rsidTr="00890464">
        <w:trPr>
          <w:trHeight w:val="624"/>
        </w:trPr>
        <w:tc>
          <w:tcPr>
            <w:tcW w:w="922" w:type="pct"/>
            <w:vMerge/>
            <w:tcBorders>
              <w:left w:val="single" w:sz="4" w:space="0" w:color="auto"/>
              <w:bottom w:val="single" w:sz="4" w:space="0" w:color="auto"/>
              <w:right w:val="single" w:sz="4" w:space="0" w:color="auto"/>
            </w:tcBorders>
            <w:shd w:val="clear" w:color="auto" w:fill="auto"/>
            <w:vAlign w:val="center"/>
          </w:tcPr>
          <w:p w14:paraId="54904154" w14:textId="77777777" w:rsidR="00890464" w:rsidRPr="003A3B39" w:rsidRDefault="00890464" w:rsidP="00E102A3">
            <w:pPr>
              <w:rPr>
                <w:rFonts w:ascii="Arial" w:hAnsi="Arial" w:cs="Arial"/>
                <w:color w:val="000000"/>
                <w:sz w:val="20"/>
                <w:lang w:val="es-HN"/>
              </w:rPr>
            </w:pPr>
            <w:r w:rsidRPr="003A3B39">
              <w:rPr>
                <w:rFonts w:ascii="Arial" w:hAnsi="Arial" w:cs="Arial"/>
                <w:color w:val="000000"/>
                <w:sz w:val="20"/>
                <w:lang w:val="es-HN"/>
              </w:rPr>
              <w:t>Reducción en el consumo de diésel</w:t>
            </w:r>
            <w:r>
              <w:rPr>
                <w:rFonts w:ascii="Arial" w:hAnsi="Arial" w:cs="Arial"/>
                <w:color w:val="000000"/>
                <w:sz w:val="20"/>
                <w:lang w:val="es-HN"/>
              </w:rPr>
              <w:t>.</w:t>
            </w:r>
          </w:p>
        </w:tc>
        <w:tc>
          <w:tcPr>
            <w:tcW w:w="1063" w:type="pct"/>
            <w:tcBorders>
              <w:top w:val="nil"/>
              <w:left w:val="nil"/>
              <w:bottom w:val="single" w:sz="4" w:space="0" w:color="auto"/>
              <w:right w:val="single" w:sz="4" w:space="0" w:color="auto"/>
            </w:tcBorders>
            <w:shd w:val="clear" w:color="000000" w:fill="FFFFFF"/>
            <w:vAlign w:val="center"/>
          </w:tcPr>
          <w:p w14:paraId="3D272016" w14:textId="77777777" w:rsidR="00890464" w:rsidRPr="00890464" w:rsidRDefault="00890464" w:rsidP="00E102A3">
            <w:pPr>
              <w:rPr>
                <w:rFonts w:ascii="Arial" w:hAnsi="Arial" w:cs="Arial"/>
                <w:color w:val="000000"/>
                <w:sz w:val="20"/>
                <w:lang w:val="es-HN"/>
              </w:rPr>
            </w:pPr>
            <w:r w:rsidRPr="00890464">
              <w:rPr>
                <w:rFonts w:ascii="Arial" w:hAnsi="Arial" w:cs="Arial"/>
                <w:color w:val="000000"/>
                <w:sz w:val="20"/>
                <w:lang w:val="es-HN"/>
              </w:rPr>
              <w:t>Consumo anual de diésel en el Municipio de San Ignacio de Velasco.</w:t>
            </w:r>
          </w:p>
        </w:tc>
        <w:tc>
          <w:tcPr>
            <w:tcW w:w="376" w:type="pct"/>
            <w:tcBorders>
              <w:top w:val="nil"/>
              <w:left w:val="nil"/>
              <w:bottom w:val="single" w:sz="4" w:space="0" w:color="auto"/>
              <w:right w:val="single" w:sz="4" w:space="0" w:color="auto"/>
            </w:tcBorders>
            <w:shd w:val="clear" w:color="000000" w:fill="FFFFFF"/>
            <w:vAlign w:val="center"/>
          </w:tcPr>
          <w:p w14:paraId="2106CD67" w14:textId="77777777" w:rsidR="00890464" w:rsidRPr="00890464" w:rsidRDefault="00890464" w:rsidP="00890464">
            <w:pPr>
              <w:rPr>
                <w:rFonts w:ascii="Arial" w:hAnsi="Arial" w:cs="Arial"/>
                <w:color w:val="000000"/>
                <w:sz w:val="20"/>
              </w:rPr>
            </w:pPr>
            <w:r w:rsidRPr="00890464">
              <w:rPr>
                <w:rFonts w:ascii="Arial" w:hAnsi="Arial" w:cs="Arial"/>
                <w:color w:val="000000"/>
                <w:sz w:val="20"/>
              </w:rPr>
              <w:t>Miles L/año</w:t>
            </w:r>
          </w:p>
        </w:tc>
        <w:tc>
          <w:tcPr>
            <w:tcW w:w="376" w:type="pct"/>
            <w:tcBorders>
              <w:top w:val="nil"/>
              <w:left w:val="nil"/>
              <w:bottom w:val="single" w:sz="4" w:space="0" w:color="auto"/>
              <w:right w:val="single" w:sz="4" w:space="0" w:color="auto"/>
            </w:tcBorders>
            <w:shd w:val="clear" w:color="000000" w:fill="FFFFFF"/>
            <w:vAlign w:val="center"/>
          </w:tcPr>
          <w:p w14:paraId="1D02A0FE" w14:textId="77777777" w:rsidR="00890464" w:rsidRPr="00890464" w:rsidRDefault="00890464" w:rsidP="00E102A3">
            <w:pPr>
              <w:jc w:val="center"/>
              <w:rPr>
                <w:rFonts w:ascii="Arial" w:hAnsi="Arial" w:cs="Arial"/>
                <w:color w:val="010000"/>
                <w:sz w:val="20"/>
              </w:rPr>
            </w:pPr>
            <w:r w:rsidRPr="00890464">
              <w:rPr>
                <w:rFonts w:ascii="Arial" w:hAnsi="Arial" w:cs="Arial"/>
                <w:color w:val="010000"/>
                <w:sz w:val="20"/>
              </w:rPr>
              <w:t>10.000</w:t>
            </w:r>
          </w:p>
        </w:tc>
        <w:tc>
          <w:tcPr>
            <w:tcW w:w="376" w:type="pct"/>
            <w:tcBorders>
              <w:top w:val="nil"/>
              <w:left w:val="nil"/>
              <w:bottom w:val="single" w:sz="4" w:space="0" w:color="auto"/>
              <w:right w:val="single" w:sz="4" w:space="0" w:color="auto"/>
            </w:tcBorders>
            <w:shd w:val="clear" w:color="auto" w:fill="auto"/>
            <w:vAlign w:val="center"/>
          </w:tcPr>
          <w:p w14:paraId="08E6E913" w14:textId="77777777" w:rsidR="00890464" w:rsidRPr="00890464" w:rsidRDefault="00890464" w:rsidP="00E102A3">
            <w:pPr>
              <w:jc w:val="center"/>
              <w:rPr>
                <w:rFonts w:ascii="Arial" w:hAnsi="Arial" w:cs="Arial"/>
                <w:color w:val="000000"/>
                <w:sz w:val="20"/>
                <w:lang w:val="es-HN"/>
              </w:rPr>
            </w:pPr>
            <w:r w:rsidRPr="00890464">
              <w:rPr>
                <w:rFonts w:ascii="Arial" w:hAnsi="Arial" w:cs="Arial"/>
                <w:color w:val="000000"/>
                <w:sz w:val="20"/>
                <w:lang w:val="es-HN"/>
              </w:rPr>
              <w:t>0</w:t>
            </w:r>
          </w:p>
        </w:tc>
        <w:tc>
          <w:tcPr>
            <w:tcW w:w="1886" w:type="pct"/>
            <w:tcBorders>
              <w:top w:val="nil"/>
              <w:left w:val="nil"/>
              <w:bottom w:val="single" w:sz="4" w:space="0" w:color="auto"/>
              <w:right w:val="single" w:sz="4" w:space="0" w:color="auto"/>
            </w:tcBorders>
            <w:shd w:val="clear" w:color="000000" w:fill="FFFFFF"/>
            <w:vAlign w:val="center"/>
          </w:tcPr>
          <w:p w14:paraId="1D88253E" w14:textId="77777777" w:rsidR="00890464" w:rsidRPr="00890464" w:rsidRDefault="00890464" w:rsidP="00890464">
            <w:pPr>
              <w:jc w:val="center"/>
              <w:rPr>
                <w:rFonts w:ascii="Arial" w:hAnsi="Arial" w:cs="Arial"/>
                <w:color w:val="000000"/>
                <w:sz w:val="20"/>
                <w:lang w:val="es-HN"/>
              </w:rPr>
            </w:pPr>
            <w:r w:rsidRPr="003A3B39">
              <w:rPr>
                <w:rFonts w:ascii="Arial" w:hAnsi="Arial" w:cs="Arial"/>
                <w:color w:val="000000"/>
                <w:sz w:val="20"/>
                <w:lang w:val="es-HN"/>
              </w:rPr>
              <w:t>Informes anuales estadísticos de la AE sobre generación eléctrica y consumo de electricidad</w:t>
            </w:r>
          </w:p>
        </w:tc>
      </w:tr>
      <w:tr w:rsidR="00890464" w:rsidRPr="00E102A3" w14:paraId="6C978F61" w14:textId="77777777" w:rsidTr="00890464">
        <w:trPr>
          <w:trHeight w:val="624"/>
        </w:trPr>
        <w:tc>
          <w:tcPr>
            <w:tcW w:w="922" w:type="pct"/>
            <w:vMerge/>
            <w:tcBorders>
              <w:left w:val="single" w:sz="4" w:space="0" w:color="auto"/>
              <w:bottom w:val="single" w:sz="4" w:space="0" w:color="auto"/>
              <w:right w:val="single" w:sz="4" w:space="0" w:color="auto"/>
            </w:tcBorders>
            <w:shd w:val="clear" w:color="auto" w:fill="auto"/>
            <w:vAlign w:val="center"/>
          </w:tcPr>
          <w:p w14:paraId="0607ECC0" w14:textId="77777777" w:rsidR="00890464" w:rsidRPr="003A3B39" w:rsidRDefault="00890464" w:rsidP="00E102A3">
            <w:pPr>
              <w:rPr>
                <w:rFonts w:ascii="Arial" w:hAnsi="Arial" w:cs="Arial"/>
                <w:color w:val="000000"/>
                <w:sz w:val="20"/>
                <w:lang w:val="es-HN"/>
              </w:rPr>
            </w:pPr>
            <w:r w:rsidRPr="003A3B39">
              <w:rPr>
                <w:rFonts w:ascii="Arial" w:hAnsi="Arial" w:cs="Arial"/>
                <w:color w:val="000000"/>
                <w:sz w:val="20"/>
                <w:lang w:val="es-HN"/>
              </w:rPr>
              <w:t>Reducción en el consumo total de energía eléctrica en la iluminación pública</w:t>
            </w:r>
            <w:r w:rsidRPr="003A3B39">
              <w:rPr>
                <w:rStyle w:val="FootnoteReference"/>
                <w:color w:val="000000"/>
                <w:lang w:val="es-HN"/>
              </w:rPr>
              <w:footnoteReference w:id="4"/>
            </w:r>
            <w:r w:rsidRPr="003A3B39">
              <w:rPr>
                <w:rFonts w:ascii="Arial" w:hAnsi="Arial" w:cs="Arial"/>
                <w:color w:val="000000"/>
                <w:sz w:val="20"/>
                <w:lang w:val="es-HN"/>
              </w:rPr>
              <w:t>.</w:t>
            </w:r>
          </w:p>
        </w:tc>
        <w:tc>
          <w:tcPr>
            <w:tcW w:w="1063" w:type="pct"/>
            <w:tcBorders>
              <w:top w:val="nil"/>
              <w:left w:val="nil"/>
              <w:bottom w:val="single" w:sz="4" w:space="0" w:color="auto"/>
              <w:right w:val="single" w:sz="4" w:space="0" w:color="auto"/>
            </w:tcBorders>
            <w:shd w:val="clear" w:color="000000" w:fill="FFFFFF"/>
            <w:vAlign w:val="center"/>
          </w:tcPr>
          <w:p w14:paraId="791239A5" w14:textId="77777777" w:rsidR="00890464" w:rsidRPr="003A3B39" w:rsidRDefault="00890464" w:rsidP="00E102A3">
            <w:pPr>
              <w:rPr>
                <w:rFonts w:ascii="Arial" w:hAnsi="Arial" w:cs="Arial"/>
                <w:color w:val="000000"/>
                <w:sz w:val="20"/>
                <w:lang w:val="es-HN"/>
              </w:rPr>
            </w:pPr>
            <w:r w:rsidRPr="003A3B39">
              <w:rPr>
                <w:rFonts w:ascii="Arial" w:hAnsi="Arial" w:cs="Arial"/>
                <w:color w:val="000000"/>
                <w:sz w:val="20"/>
                <w:lang w:val="es-HN"/>
              </w:rPr>
              <w:t>Consumo total de energía eléctrica anual por iluminación pública en</w:t>
            </w:r>
            <w:r>
              <w:rPr>
                <w:rFonts w:ascii="Arial" w:hAnsi="Arial" w:cs="Arial"/>
                <w:color w:val="000000"/>
                <w:sz w:val="20"/>
                <w:lang w:val="es-HN"/>
              </w:rPr>
              <w:t xml:space="preserve"> </w:t>
            </w:r>
            <w:r w:rsidRPr="003A3B39">
              <w:rPr>
                <w:rFonts w:ascii="Arial" w:hAnsi="Arial" w:cs="Arial"/>
                <w:color w:val="000000"/>
                <w:sz w:val="20"/>
                <w:lang w:val="es-HN"/>
              </w:rPr>
              <w:t>Oruro.</w:t>
            </w:r>
          </w:p>
        </w:tc>
        <w:tc>
          <w:tcPr>
            <w:tcW w:w="376" w:type="pct"/>
            <w:tcBorders>
              <w:top w:val="nil"/>
              <w:left w:val="nil"/>
              <w:bottom w:val="single" w:sz="4" w:space="0" w:color="auto"/>
              <w:right w:val="single" w:sz="4" w:space="0" w:color="auto"/>
            </w:tcBorders>
            <w:shd w:val="clear" w:color="000000" w:fill="FFFFFF"/>
            <w:vAlign w:val="center"/>
          </w:tcPr>
          <w:p w14:paraId="4B3A5C1D" w14:textId="77777777" w:rsidR="00890464" w:rsidRPr="00890464" w:rsidRDefault="00890464" w:rsidP="00890464">
            <w:pPr>
              <w:rPr>
                <w:rFonts w:ascii="Arial" w:hAnsi="Arial" w:cs="Arial"/>
                <w:color w:val="000000"/>
                <w:sz w:val="20"/>
              </w:rPr>
            </w:pPr>
            <w:proofErr w:type="spellStart"/>
            <w:r w:rsidRPr="00890464">
              <w:rPr>
                <w:rFonts w:ascii="Arial" w:hAnsi="Arial" w:cs="Arial"/>
                <w:color w:val="000000"/>
                <w:sz w:val="20"/>
              </w:rPr>
              <w:t>MWh</w:t>
            </w:r>
            <w:proofErr w:type="spellEnd"/>
            <w:r w:rsidRPr="00890464">
              <w:rPr>
                <w:rFonts w:ascii="Arial" w:hAnsi="Arial" w:cs="Arial"/>
                <w:color w:val="000000"/>
                <w:sz w:val="20"/>
              </w:rPr>
              <w:t>/año</w:t>
            </w:r>
          </w:p>
        </w:tc>
        <w:tc>
          <w:tcPr>
            <w:tcW w:w="376" w:type="pct"/>
            <w:tcBorders>
              <w:top w:val="nil"/>
              <w:left w:val="nil"/>
              <w:bottom w:val="single" w:sz="4" w:space="0" w:color="auto"/>
              <w:right w:val="single" w:sz="4" w:space="0" w:color="auto"/>
            </w:tcBorders>
            <w:shd w:val="clear" w:color="000000" w:fill="FFFFFF"/>
            <w:vAlign w:val="center"/>
          </w:tcPr>
          <w:p w14:paraId="18EC910A" w14:textId="77777777" w:rsidR="00890464" w:rsidRPr="00890464" w:rsidRDefault="00890464" w:rsidP="00E102A3">
            <w:pPr>
              <w:jc w:val="center"/>
              <w:rPr>
                <w:rFonts w:ascii="Arial" w:hAnsi="Arial" w:cs="Arial"/>
                <w:color w:val="010000"/>
                <w:sz w:val="20"/>
              </w:rPr>
            </w:pPr>
            <w:r w:rsidRPr="00890464">
              <w:rPr>
                <w:rFonts w:ascii="Arial" w:hAnsi="Arial" w:cs="Arial"/>
                <w:color w:val="010000"/>
                <w:sz w:val="20"/>
              </w:rPr>
              <w:t>26.000</w:t>
            </w:r>
          </w:p>
        </w:tc>
        <w:tc>
          <w:tcPr>
            <w:tcW w:w="376" w:type="pct"/>
            <w:tcBorders>
              <w:top w:val="nil"/>
              <w:left w:val="nil"/>
              <w:bottom w:val="single" w:sz="4" w:space="0" w:color="auto"/>
              <w:right w:val="single" w:sz="4" w:space="0" w:color="auto"/>
            </w:tcBorders>
            <w:shd w:val="clear" w:color="auto" w:fill="auto"/>
            <w:vAlign w:val="center"/>
          </w:tcPr>
          <w:p w14:paraId="4684F191" w14:textId="77777777" w:rsidR="00890464" w:rsidRPr="003A3B39" w:rsidRDefault="00890464" w:rsidP="00E102A3">
            <w:pPr>
              <w:jc w:val="center"/>
              <w:rPr>
                <w:rFonts w:ascii="Arial" w:hAnsi="Arial" w:cs="Arial"/>
                <w:color w:val="000000"/>
                <w:sz w:val="20"/>
                <w:lang w:val="es-HN"/>
              </w:rPr>
            </w:pPr>
            <w:r w:rsidRPr="003A3B39">
              <w:rPr>
                <w:rFonts w:ascii="Arial" w:hAnsi="Arial" w:cs="Arial"/>
                <w:color w:val="000000"/>
                <w:sz w:val="20"/>
                <w:lang w:val="es-HN"/>
              </w:rPr>
              <w:t>11.600</w:t>
            </w:r>
          </w:p>
        </w:tc>
        <w:tc>
          <w:tcPr>
            <w:tcW w:w="1886" w:type="pct"/>
            <w:tcBorders>
              <w:top w:val="nil"/>
              <w:left w:val="nil"/>
              <w:bottom w:val="single" w:sz="4" w:space="0" w:color="auto"/>
              <w:right w:val="single" w:sz="4" w:space="0" w:color="auto"/>
            </w:tcBorders>
            <w:shd w:val="clear" w:color="000000" w:fill="FFFFFF"/>
            <w:vAlign w:val="center"/>
          </w:tcPr>
          <w:p w14:paraId="753425B5" w14:textId="77777777" w:rsidR="00890464" w:rsidRPr="003A3B39" w:rsidRDefault="00890464" w:rsidP="00890464">
            <w:pPr>
              <w:jc w:val="center"/>
              <w:rPr>
                <w:rFonts w:ascii="Arial" w:hAnsi="Arial" w:cs="Arial"/>
                <w:color w:val="000000"/>
                <w:sz w:val="20"/>
                <w:lang w:val="es-HN"/>
              </w:rPr>
            </w:pPr>
            <w:r w:rsidRPr="003A3B39">
              <w:rPr>
                <w:rFonts w:ascii="Arial" w:hAnsi="Arial" w:cs="Arial"/>
                <w:color w:val="000000"/>
                <w:sz w:val="20"/>
                <w:lang w:val="es-HN"/>
              </w:rPr>
              <w:t>Informes anuales estadísticos de la AE sobre generación eléctrica y consumo de electricidad.</w:t>
            </w:r>
          </w:p>
        </w:tc>
      </w:tr>
      <w:tr w:rsidR="00890464" w:rsidRPr="00E102A3" w14:paraId="4427AA39" w14:textId="77777777" w:rsidTr="00890464">
        <w:trPr>
          <w:trHeight w:val="624"/>
        </w:trPr>
        <w:tc>
          <w:tcPr>
            <w:tcW w:w="922" w:type="pct"/>
            <w:vMerge/>
            <w:tcBorders>
              <w:left w:val="single" w:sz="4" w:space="0" w:color="auto"/>
              <w:bottom w:val="single" w:sz="4" w:space="0" w:color="auto"/>
              <w:right w:val="single" w:sz="4" w:space="0" w:color="auto"/>
            </w:tcBorders>
            <w:shd w:val="clear" w:color="auto" w:fill="auto"/>
            <w:vAlign w:val="center"/>
          </w:tcPr>
          <w:p w14:paraId="0D647B8B" w14:textId="77777777" w:rsidR="00890464" w:rsidRPr="003A3B39" w:rsidRDefault="00890464" w:rsidP="00E102A3">
            <w:pPr>
              <w:rPr>
                <w:rFonts w:ascii="Arial" w:hAnsi="Arial" w:cs="Arial"/>
                <w:color w:val="000000"/>
                <w:sz w:val="20"/>
                <w:lang w:val="es-HN"/>
              </w:rPr>
            </w:pPr>
          </w:p>
        </w:tc>
        <w:tc>
          <w:tcPr>
            <w:tcW w:w="1063" w:type="pct"/>
            <w:tcBorders>
              <w:top w:val="nil"/>
              <w:left w:val="nil"/>
              <w:bottom w:val="single" w:sz="4" w:space="0" w:color="auto"/>
              <w:right w:val="single" w:sz="4" w:space="0" w:color="auto"/>
            </w:tcBorders>
            <w:shd w:val="clear" w:color="000000" w:fill="FFFFFF"/>
            <w:vAlign w:val="center"/>
          </w:tcPr>
          <w:p w14:paraId="62E44E59" w14:textId="77777777" w:rsidR="00890464" w:rsidRPr="003A3B39" w:rsidRDefault="00890464" w:rsidP="00E102A3">
            <w:pPr>
              <w:rPr>
                <w:rFonts w:ascii="Arial" w:hAnsi="Arial" w:cs="Arial"/>
                <w:color w:val="000000"/>
                <w:sz w:val="20"/>
                <w:lang w:val="es-HN"/>
              </w:rPr>
            </w:pPr>
            <w:r w:rsidRPr="003A3B39">
              <w:rPr>
                <w:rFonts w:ascii="Arial" w:hAnsi="Arial" w:cs="Arial"/>
                <w:color w:val="000000"/>
                <w:sz w:val="20"/>
                <w:lang w:val="es-HN"/>
              </w:rPr>
              <w:t xml:space="preserve">Consumo total de energía eléctrica anual por iluminación pública en </w:t>
            </w:r>
            <w:r>
              <w:rPr>
                <w:rFonts w:ascii="Arial" w:hAnsi="Arial" w:cs="Arial"/>
                <w:color w:val="000000"/>
                <w:sz w:val="20"/>
                <w:lang w:val="es-HN"/>
              </w:rPr>
              <w:t>Potosí.</w:t>
            </w:r>
          </w:p>
        </w:tc>
        <w:tc>
          <w:tcPr>
            <w:tcW w:w="376" w:type="pct"/>
            <w:tcBorders>
              <w:top w:val="nil"/>
              <w:left w:val="nil"/>
              <w:bottom w:val="single" w:sz="4" w:space="0" w:color="auto"/>
              <w:right w:val="single" w:sz="4" w:space="0" w:color="auto"/>
            </w:tcBorders>
            <w:shd w:val="clear" w:color="000000" w:fill="FFFFFF"/>
            <w:vAlign w:val="center"/>
          </w:tcPr>
          <w:p w14:paraId="6B9E97C7" w14:textId="77777777" w:rsidR="00890464" w:rsidRPr="00890464" w:rsidRDefault="00890464" w:rsidP="00890464">
            <w:pPr>
              <w:rPr>
                <w:rFonts w:ascii="Arial" w:hAnsi="Arial" w:cs="Arial"/>
                <w:color w:val="000000"/>
                <w:sz w:val="20"/>
              </w:rPr>
            </w:pPr>
            <w:proofErr w:type="spellStart"/>
            <w:r w:rsidRPr="00890464">
              <w:rPr>
                <w:rFonts w:ascii="Arial" w:hAnsi="Arial" w:cs="Arial"/>
                <w:color w:val="000000"/>
                <w:sz w:val="20"/>
              </w:rPr>
              <w:t>MWh</w:t>
            </w:r>
            <w:proofErr w:type="spellEnd"/>
            <w:r w:rsidRPr="00890464">
              <w:rPr>
                <w:rFonts w:ascii="Arial" w:hAnsi="Arial" w:cs="Arial"/>
                <w:color w:val="000000"/>
                <w:sz w:val="20"/>
              </w:rPr>
              <w:t>/año</w:t>
            </w:r>
          </w:p>
        </w:tc>
        <w:tc>
          <w:tcPr>
            <w:tcW w:w="376" w:type="pct"/>
            <w:tcBorders>
              <w:top w:val="nil"/>
              <w:left w:val="nil"/>
              <w:bottom w:val="single" w:sz="4" w:space="0" w:color="auto"/>
              <w:right w:val="single" w:sz="4" w:space="0" w:color="auto"/>
            </w:tcBorders>
            <w:shd w:val="clear" w:color="000000" w:fill="FFFFFF"/>
            <w:vAlign w:val="center"/>
          </w:tcPr>
          <w:p w14:paraId="3E319944" w14:textId="77777777" w:rsidR="00890464" w:rsidRPr="00890464" w:rsidRDefault="00890464" w:rsidP="00E102A3">
            <w:pPr>
              <w:jc w:val="center"/>
              <w:rPr>
                <w:rFonts w:ascii="Arial" w:hAnsi="Arial" w:cs="Arial"/>
                <w:color w:val="010000"/>
                <w:sz w:val="20"/>
              </w:rPr>
            </w:pPr>
            <w:r w:rsidRPr="00890464">
              <w:rPr>
                <w:rFonts w:ascii="Arial" w:hAnsi="Arial" w:cs="Arial"/>
                <w:color w:val="010000"/>
                <w:sz w:val="20"/>
              </w:rPr>
              <w:t>5.033</w:t>
            </w:r>
          </w:p>
        </w:tc>
        <w:tc>
          <w:tcPr>
            <w:tcW w:w="376" w:type="pct"/>
            <w:tcBorders>
              <w:top w:val="nil"/>
              <w:left w:val="nil"/>
              <w:bottom w:val="single" w:sz="4" w:space="0" w:color="auto"/>
              <w:right w:val="single" w:sz="4" w:space="0" w:color="auto"/>
            </w:tcBorders>
            <w:shd w:val="clear" w:color="auto" w:fill="auto"/>
            <w:vAlign w:val="center"/>
          </w:tcPr>
          <w:p w14:paraId="0FD195CE" w14:textId="77777777" w:rsidR="00890464" w:rsidRPr="003A3B39" w:rsidRDefault="00890464" w:rsidP="00E102A3">
            <w:pPr>
              <w:jc w:val="center"/>
              <w:rPr>
                <w:rFonts w:ascii="Arial" w:hAnsi="Arial" w:cs="Arial"/>
                <w:color w:val="000000"/>
                <w:sz w:val="20"/>
                <w:lang w:val="es-HN"/>
              </w:rPr>
            </w:pPr>
            <w:r>
              <w:rPr>
                <w:rFonts w:ascii="Arial" w:hAnsi="Arial" w:cs="Arial"/>
                <w:color w:val="000000"/>
                <w:sz w:val="20"/>
                <w:lang w:val="es-HN"/>
              </w:rPr>
              <w:t>2.451</w:t>
            </w:r>
          </w:p>
        </w:tc>
        <w:tc>
          <w:tcPr>
            <w:tcW w:w="1886" w:type="pct"/>
            <w:tcBorders>
              <w:top w:val="nil"/>
              <w:left w:val="nil"/>
              <w:bottom w:val="single" w:sz="4" w:space="0" w:color="auto"/>
              <w:right w:val="single" w:sz="4" w:space="0" w:color="auto"/>
            </w:tcBorders>
            <w:shd w:val="clear" w:color="000000" w:fill="FFFFFF"/>
            <w:vAlign w:val="center"/>
          </w:tcPr>
          <w:p w14:paraId="766CB9FA" w14:textId="77777777" w:rsidR="00890464" w:rsidRPr="003A3B39" w:rsidRDefault="00890464" w:rsidP="00890464">
            <w:pPr>
              <w:jc w:val="center"/>
              <w:rPr>
                <w:rFonts w:ascii="Arial" w:hAnsi="Arial" w:cs="Arial"/>
                <w:color w:val="000000"/>
                <w:sz w:val="20"/>
                <w:lang w:val="es-HN"/>
              </w:rPr>
            </w:pPr>
            <w:r w:rsidRPr="003A3B39">
              <w:rPr>
                <w:rFonts w:ascii="Arial" w:hAnsi="Arial" w:cs="Arial"/>
                <w:color w:val="000000"/>
                <w:sz w:val="20"/>
                <w:lang w:val="es-HN"/>
              </w:rPr>
              <w:t>Informes anuales estadísticos de la AE sobre generación eléctrica y consumo de electricidad.</w:t>
            </w:r>
          </w:p>
        </w:tc>
      </w:tr>
      <w:tr w:rsidR="00890464" w:rsidRPr="00E102A3" w14:paraId="19E3ADE7" w14:textId="77777777" w:rsidTr="00890464">
        <w:trPr>
          <w:trHeight w:val="624"/>
        </w:trPr>
        <w:tc>
          <w:tcPr>
            <w:tcW w:w="922" w:type="pct"/>
            <w:vMerge/>
            <w:tcBorders>
              <w:left w:val="single" w:sz="4" w:space="0" w:color="auto"/>
              <w:bottom w:val="single" w:sz="4" w:space="0" w:color="auto"/>
              <w:right w:val="single" w:sz="4" w:space="0" w:color="auto"/>
            </w:tcBorders>
            <w:shd w:val="clear" w:color="auto" w:fill="auto"/>
            <w:vAlign w:val="center"/>
          </w:tcPr>
          <w:p w14:paraId="40BA3708" w14:textId="77777777" w:rsidR="00890464" w:rsidRPr="003A3B39" w:rsidRDefault="00890464" w:rsidP="00E102A3">
            <w:pPr>
              <w:rPr>
                <w:rFonts w:ascii="Arial" w:hAnsi="Arial" w:cs="Arial"/>
                <w:color w:val="000000"/>
                <w:sz w:val="20"/>
                <w:lang w:val="es-HN"/>
              </w:rPr>
            </w:pPr>
            <w:r>
              <w:rPr>
                <w:rFonts w:ascii="Arial" w:hAnsi="Arial" w:cs="Arial"/>
                <w:color w:val="000000"/>
                <w:sz w:val="20"/>
                <w:lang w:val="es-HN"/>
              </w:rPr>
              <w:t>Fortalecimiento de capacidades municipales en la implementación de medidas de EE.</w:t>
            </w:r>
          </w:p>
        </w:tc>
        <w:tc>
          <w:tcPr>
            <w:tcW w:w="1063" w:type="pct"/>
            <w:tcBorders>
              <w:top w:val="nil"/>
              <w:left w:val="nil"/>
              <w:bottom w:val="single" w:sz="4" w:space="0" w:color="auto"/>
              <w:right w:val="single" w:sz="4" w:space="0" w:color="auto"/>
            </w:tcBorders>
            <w:shd w:val="clear" w:color="000000" w:fill="FFFFFF"/>
            <w:vAlign w:val="center"/>
          </w:tcPr>
          <w:p w14:paraId="42DDFE14" w14:textId="77777777" w:rsidR="00890464" w:rsidRPr="003A3B39" w:rsidRDefault="00890464" w:rsidP="00E102A3">
            <w:pPr>
              <w:rPr>
                <w:rFonts w:ascii="Arial" w:hAnsi="Arial" w:cs="Arial"/>
                <w:color w:val="000000"/>
                <w:sz w:val="20"/>
                <w:lang w:val="es-HN"/>
              </w:rPr>
            </w:pPr>
            <w:r>
              <w:rPr>
                <w:rFonts w:ascii="Arial" w:hAnsi="Arial" w:cs="Arial"/>
                <w:color w:val="000000"/>
                <w:sz w:val="20"/>
                <w:lang w:val="es-HN"/>
              </w:rPr>
              <w:t>Municipios fortalecidos en operación y mantenimiento de luminarias LED para AP.</w:t>
            </w:r>
          </w:p>
        </w:tc>
        <w:tc>
          <w:tcPr>
            <w:tcW w:w="376" w:type="pct"/>
            <w:tcBorders>
              <w:top w:val="nil"/>
              <w:left w:val="nil"/>
              <w:bottom w:val="single" w:sz="4" w:space="0" w:color="auto"/>
              <w:right w:val="single" w:sz="4" w:space="0" w:color="auto"/>
            </w:tcBorders>
            <w:shd w:val="clear" w:color="000000" w:fill="FFFFFF"/>
            <w:vAlign w:val="center"/>
          </w:tcPr>
          <w:p w14:paraId="59692CBE" w14:textId="77777777" w:rsidR="00890464" w:rsidRPr="00890464" w:rsidRDefault="00890464" w:rsidP="00890464">
            <w:pPr>
              <w:rPr>
                <w:rFonts w:ascii="Arial" w:hAnsi="Arial" w:cs="Arial"/>
                <w:color w:val="000000"/>
                <w:sz w:val="20"/>
              </w:rPr>
            </w:pPr>
            <w:r w:rsidRPr="00890464">
              <w:rPr>
                <w:rFonts w:ascii="Arial" w:hAnsi="Arial" w:cs="Arial"/>
                <w:color w:val="000000"/>
                <w:sz w:val="20"/>
              </w:rPr>
              <w:t>Municipios</w:t>
            </w:r>
          </w:p>
        </w:tc>
        <w:tc>
          <w:tcPr>
            <w:tcW w:w="376" w:type="pct"/>
            <w:tcBorders>
              <w:top w:val="nil"/>
              <w:left w:val="nil"/>
              <w:bottom w:val="single" w:sz="4" w:space="0" w:color="auto"/>
              <w:right w:val="single" w:sz="4" w:space="0" w:color="auto"/>
            </w:tcBorders>
            <w:shd w:val="clear" w:color="000000" w:fill="FFFFFF"/>
            <w:vAlign w:val="center"/>
          </w:tcPr>
          <w:p w14:paraId="32E648F2" w14:textId="77777777" w:rsidR="00890464" w:rsidRPr="00890464" w:rsidRDefault="00890464" w:rsidP="00E102A3">
            <w:pPr>
              <w:jc w:val="center"/>
              <w:rPr>
                <w:rFonts w:ascii="Arial" w:hAnsi="Arial" w:cs="Arial"/>
                <w:color w:val="010000"/>
                <w:sz w:val="20"/>
              </w:rPr>
            </w:pPr>
            <w:r w:rsidRPr="00890464">
              <w:rPr>
                <w:rFonts w:ascii="Arial" w:hAnsi="Arial" w:cs="Arial"/>
                <w:color w:val="010000"/>
                <w:sz w:val="20"/>
              </w:rPr>
              <w:t>0</w:t>
            </w:r>
          </w:p>
        </w:tc>
        <w:tc>
          <w:tcPr>
            <w:tcW w:w="376" w:type="pct"/>
            <w:tcBorders>
              <w:top w:val="nil"/>
              <w:left w:val="nil"/>
              <w:bottom w:val="single" w:sz="4" w:space="0" w:color="auto"/>
              <w:right w:val="single" w:sz="4" w:space="0" w:color="auto"/>
            </w:tcBorders>
            <w:shd w:val="clear" w:color="auto" w:fill="auto"/>
            <w:vAlign w:val="center"/>
          </w:tcPr>
          <w:p w14:paraId="4789302C" w14:textId="77777777" w:rsidR="00890464" w:rsidRPr="003A3B39" w:rsidRDefault="00890464" w:rsidP="00E102A3">
            <w:pPr>
              <w:jc w:val="center"/>
              <w:rPr>
                <w:rFonts w:ascii="Arial" w:hAnsi="Arial" w:cs="Arial"/>
                <w:color w:val="000000"/>
                <w:sz w:val="20"/>
                <w:lang w:val="es-HN"/>
              </w:rPr>
            </w:pPr>
            <w:r>
              <w:rPr>
                <w:rFonts w:ascii="Arial" w:hAnsi="Arial" w:cs="Arial"/>
                <w:color w:val="000000"/>
                <w:sz w:val="20"/>
                <w:lang w:val="es-HN"/>
              </w:rPr>
              <w:t>2</w:t>
            </w:r>
          </w:p>
        </w:tc>
        <w:tc>
          <w:tcPr>
            <w:tcW w:w="1886" w:type="pct"/>
            <w:tcBorders>
              <w:top w:val="nil"/>
              <w:left w:val="nil"/>
              <w:bottom w:val="single" w:sz="4" w:space="0" w:color="auto"/>
              <w:right w:val="single" w:sz="4" w:space="0" w:color="auto"/>
            </w:tcBorders>
            <w:shd w:val="clear" w:color="000000" w:fill="FFFFFF"/>
            <w:vAlign w:val="center"/>
          </w:tcPr>
          <w:p w14:paraId="7509F407" w14:textId="77777777" w:rsidR="00890464" w:rsidRPr="003A3B39" w:rsidRDefault="00890464" w:rsidP="00890464">
            <w:pPr>
              <w:jc w:val="center"/>
              <w:rPr>
                <w:rFonts w:ascii="Arial" w:hAnsi="Arial" w:cs="Arial"/>
                <w:color w:val="000000"/>
                <w:sz w:val="20"/>
                <w:lang w:val="es-HN"/>
              </w:rPr>
            </w:pPr>
            <w:r>
              <w:rPr>
                <w:rFonts w:ascii="Arial" w:hAnsi="Arial" w:cs="Arial"/>
                <w:color w:val="000000"/>
                <w:sz w:val="20"/>
                <w:lang w:val="es-HN"/>
              </w:rPr>
              <w:t>Las empresas proveedores de las luminarias deberán capacitar a los Municipios de Oruro y Potosí</w:t>
            </w:r>
            <w:r>
              <w:rPr>
                <w:rFonts w:ascii="Arial" w:hAnsi="Arial" w:cs="Arial"/>
                <w:color w:val="000000"/>
                <w:sz w:val="20"/>
                <w:lang w:val="es-HN"/>
              </w:rPr>
              <w:t xml:space="preserve"> </w:t>
            </w:r>
            <w:r>
              <w:rPr>
                <w:rFonts w:ascii="Arial" w:hAnsi="Arial" w:cs="Arial"/>
                <w:color w:val="000000"/>
                <w:sz w:val="20"/>
                <w:lang w:val="es-HN"/>
              </w:rPr>
              <w:t>en su operación y mantenimiento. El desarrollo se corroborará con los informes semestrales presentados por la UE del Componente 2.</w:t>
            </w:r>
          </w:p>
        </w:tc>
      </w:tr>
      <w:tr w:rsidR="00890464" w:rsidRPr="00E102A3" w14:paraId="0DB6036E" w14:textId="77777777" w:rsidTr="00890464">
        <w:trPr>
          <w:trHeight w:val="624"/>
        </w:trPr>
        <w:tc>
          <w:tcPr>
            <w:tcW w:w="922" w:type="pct"/>
            <w:vMerge/>
            <w:tcBorders>
              <w:left w:val="single" w:sz="4" w:space="0" w:color="auto"/>
              <w:bottom w:val="single" w:sz="4" w:space="0" w:color="auto"/>
              <w:right w:val="single" w:sz="4" w:space="0" w:color="auto"/>
            </w:tcBorders>
            <w:shd w:val="clear" w:color="auto" w:fill="auto"/>
            <w:vAlign w:val="center"/>
          </w:tcPr>
          <w:p w14:paraId="4E93260C" w14:textId="77777777" w:rsidR="00890464" w:rsidRPr="00BD233F" w:rsidRDefault="00890464" w:rsidP="00E102A3">
            <w:pPr>
              <w:rPr>
                <w:rFonts w:ascii="Arial" w:hAnsi="Arial" w:cs="Arial"/>
                <w:color w:val="000000"/>
                <w:sz w:val="20"/>
              </w:rPr>
            </w:pPr>
            <w:r>
              <w:rPr>
                <w:rFonts w:ascii="Arial" w:hAnsi="Arial" w:cs="Arial"/>
                <w:color w:val="000000"/>
                <w:sz w:val="20"/>
                <w:lang w:val="es-HN"/>
              </w:rPr>
              <w:t>Incremento en la</w:t>
            </w:r>
            <w:r w:rsidRPr="00453596">
              <w:rPr>
                <w:rFonts w:ascii="Arial" w:hAnsi="Arial" w:cs="Arial"/>
                <w:color w:val="000000"/>
                <w:sz w:val="20"/>
              </w:rPr>
              <w:t xml:space="preserve"> percepción de la seguridad en espacios públicos por AP y en espacio privado en las familias de los trabajadores. </w:t>
            </w:r>
          </w:p>
        </w:tc>
        <w:tc>
          <w:tcPr>
            <w:tcW w:w="1063" w:type="pct"/>
            <w:tcBorders>
              <w:top w:val="nil"/>
              <w:left w:val="nil"/>
              <w:bottom w:val="single" w:sz="4" w:space="0" w:color="auto"/>
              <w:right w:val="single" w:sz="4" w:space="0" w:color="auto"/>
            </w:tcBorders>
            <w:shd w:val="clear" w:color="000000" w:fill="FFFFFF"/>
            <w:vAlign w:val="center"/>
          </w:tcPr>
          <w:p w14:paraId="7E277DDC" w14:textId="77777777" w:rsidR="00890464" w:rsidRPr="00890464" w:rsidRDefault="00890464" w:rsidP="00E102A3">
            <w:pPr>
              <w:rPr>
                <w:rFonts w:ascii="Arial" w:hAnsi="Arial" w:cs="Arial"/>
                <w:color w:val="000000"/>
                <w:sz w:val="20"/>
                <w:lang w:val="es-HN"/>
              </w:rPr>
            </w:pPr>
            <w:r w:rsidRPr="00890464">
              <w:rPr>
                <w:rFonts w:ascii="Arial" w:hAnsi="Arial" w:cs="Arial"/>
                <w:color w:val="000000"/>
                <w:sz w:val="20"/>
                <w:lang w:val="es-HN"/>
              </w:rPr>
              <w:t>Personas beneficiaras del programa que hacen uso regular de los espacios públicos.</w:t>
            </w:r>
          </w:p>
        </w:tc>
        <w:tc>
          <w:tcPr>
            <w:tcW w:w="376" w:type="pct"/>
            <w:tcBorders>
              <w:top w:val="nil"/>
              <w:left w:val="nil"/>
              <w:bottom w:val="single" w:sz="4" w:space="0" w:color="auto"/>
              <w:right w:val="single" w:sz="4" w:space="0" w:color="auto"/>
            </w:tcBorders>
            <w:shd w:val="clear" w:color="000000" w:fill="FFFFFF"/>
            <w:vAlign w:val="center"/>
          </w:tcPr>
          <w:p w14:paraId="4C146984" w14:textId="77777777" w:rsidR="00890464" w:rsidRPr="00890464" w:rsidRDefault="00890464" w:rsidP="00890464">
            <w:pPr>
              <w:rPr>
                <w:rFonts w:ascii="Arial" w:hAnsi="Arial" w:cs="Arial"/>
                <w:color w:val="000000"/>
                <w:sz w:val="20"/>
              </w:rPr>
            </w:pPr>
            <w:r w:rsidRPr="00890464">
              <w:rPr>
                <w:rFonts w:ascii="Arial" w:hAnsi="Arial" w:cs="Arial"/>
                <w:color w:val="000000"/>
                <w:sz w:val="20"/>
              </w:rPr>
              <w:t>%</w:t>
            </w:r>
          </w:p>
        </w:tc>
        <w:tc>
          <w:tcPr>
            <w:tcW w:w="376" w:type="pct"/>
            <w:tcBorders>
              <w:top w:val="nil"/>
              <w:left w:val="nil"/>
              <w:bottom w:val="single" w:sz="4" w:space="0" w:color="auto"/>
              <w:right w:val="single" w:sz="4" w:space="0" w:color="auto"/>
            </w:tcBorders>
            <w:shd w:val="clear" w:color="000000" w:fill="FFFFFF"/>
            <w:vAlign w:val="center"/>
          </w:tcPr>
          <w:p w14:paraId="4620CBE3" w14:textId="77777777" w:rsidR="00890464" w:rsidRPr="00890464" w:rsidRDefault="00890464" w:rsidP="00E102A3">
            <w:pPr>
              <w:jc w:val="center"/>
              <w:rPr>
                <w:rFonts w:ascii="Arial" w:hAnsi="Arial" w:cs="Arial"/>
                <w:color w:val="010000"/>
                <w:sz w:val="20"/>
              </w:rPr>
            </w:pPr>
            <w:r w:rsidRPr="00890464">
              <w:rPr>
                <w:rFonts w:ascii="Arial" w:hAnsi="Arial" w:cs="Arial"/>
                <w:color w:val="010000"/>
                <w:sz w:val="20"/>
              </w:rPr>
              <w:t>0</w:t>
            </w:r>
          </w:p>
        </w:tc>
        <w:tc>
          <w:tcPr>
            <w:tcW w:w="376" w:type="pct"/>
            <w:tcBorders>
              <w:top w:val="nil"/>
              <w:left w:val="nil"/>
              <w:bottom w:val="single" w:sz="4" w:space="0" w:color="auto"/>
              <w:right w:val="single" w:sz="4" w:space="0" w:color="auto"/>
            </w:tcBorders>
            <w:shd w:val="clear" w:color="auto" w:fill="auto"/>
            <w:vAlign w:val="center"/>
          </w:tcPr>
          <w:p w14:paraId="733AA29F" w14:textId="77777777" w:rsidR="00890464" w:rsidRPr="003A3B39" w:rsidRDefault="00890464" w:rsidP="00E102A3">
            <w:pPr>
              <w:jc w:val="center"/>
              <w:rPr>
                <w:rFonts w:ascii="Arial" w:hAnsi="Arial" w:cs="Arial"/>
                <w:color w:val="000000"/>
                <w:sz w:val="20"/>
                <w:lang w:val="es-HN"/>
              </w:rPr>
            </w:pPr>
            <w:r>
              <w:rPr>
                <w:rFonts w:ascii="Arial" w:hAnsi="Arial" w:cs="Arial"/>
                <w:color w:val="000000"/>
                <w:sz w:val="20"/>
                <w:lang w:val="es-HN"/>
              </w:rPr>
              <w:t>20</w:t>
            </w:r>
          </w:p>
        </w:tc>
        <w:tc>
          <w:tcPr>
            <w:tcW w:w="1886" w:type="pct"/>
            <w:tcBorders>
              <w:top w:val="nil"/>
              <w:left w:val="nil"/>
              <w:bottom w:val="single" w:sz="4" w:space="0" w:color="auto"/>
              <w:right w:val="single" w:sz="4" w:space="0" w:color="auto"/>
            </w:tcBorders>
            <w:shd w:val="clear" w:color="000000" w:fill="FFFFFF"/>
            <w:vAlign w:val="center"/>
          </w:tcPr>
          <w:p w14:paraId="2B7DA1D4" w14:textId="77777777" w:rsidR="00890464" w:rsidRPr="003A3B39" w:rsidRDefault="00890464" w:rsidP="00890464">
            <w:pPr>
              <w:jc w:val="center"/>
              <w:rPr>
                <w:rFonts w:ascii="Arial" w:hAnsi="Arial" w:cs="Arial"/>
                <w:color w:val="000000"/>
                <w:sz w:val="20"/>
                <w:lang w:val="es-HN"/>
              </w:rPr>
            </w:pPr>
            <w:r w:rsidRPr="00890464">
              <w:rPr>
                <w:rFonts w:ascii="Arial" w:hAnsi="Arial" w:cs="Arial"/>
                <w:color w:val="000000"/>
                <w:sz w:val="20"/>
                <w:lang w:val="es-HN"/>
              </w:rPr>
              <w:t>Durante el diseño del Programa P se formularán las encuestas sobre percepción de seguridad y violencia intrafamiliar</w:t>
            </w:r>
            <w:r w:rsidRPr="00890464">
              <w:rPr>
                <w:rStyle w:val="FootnoteReference"/>
                <w:rFonts w:ascii="Arial" w:hAnsi="Arial" w:cs="Arial"/>
                <w:color w:val="000000"/>
                <w:sz w:val="20"/>
                <w:vertAlign w:val="baseline"/>
                <w:lang w:val="es-HN"/>
              </w:rPr>
              <w:footnoteReference w:id="5"/>
            </w:r>
            <w:r w:rsidRPr="00890464">
              <w:rPr>
                <w:rFonts w:ascii="Arial" w:hAnsi="Arial" w:cs="Arial"/>
                <w:color w:val="000000"/>
                <w:sz w:val="20"/>
                <w:lang w:val="es-HN"/>
              </w:rPr>
              <w:t>. Dichas preguntas seguirán una metodología de respuestas binarias y se relazarán al inicio y final de la ejecución del programa.</w:t>
            </w:r>
          </w:p>
        </w:tc>
      </w:tr>
      <w:tr w:rsidR="00890464" w:rsidRPr="00AE3AC5" w14:paraId="1702D671" w14:textId="77777777" w:rsidTr="00890464">
        <w:trPr>
          <w:trHeight w:val="624"/>
        </w:trPr>
        <w:tc>
          <w:tcPr>
            <w:tcW w:w="922" w:type="pct"/>
            <w:vMerge/>
            <w:tcBorders>
              <w:left w:val="single" w:sz="4" w:space="0" w:color="auto"/>
              <w:bottom w:val="single" w:sz="4" w:space="0" w:color="auto"/>
              <w:right w:val="single" w:sz="4" w:space="0" w:color="auto"/>
            </w:tcBorders>
            <w:shd w:val="clear" w:color="auto" w:fill="auto"/>
            <w:vAlign w:val="center"/>
          </w:tcPr>
          <w:p w14:paraId="1AAE5C65" w14:textId="77777777" w:rsidR="00890464" w:rsidRDefault="00890464" w:rsidP="00E102A3">
            <w:pPr>
              <w:rPr>
                <w:rFonts w:ascii="Arial" w:hAnsi="Arial" w:cs="Arial"/>
                <w:color w:val="000000"/>
                <w:sz w:val="20"/>
                <w:lang w:val="es-HN"/>
              </w:rPr>
            </w:pPr>
          </w:p>
        </w:tc>
        <w:tc>
          <w:tcPr>
            <w:tcW w:w="1063" w:type="pct"/>
            <w:tcBorders>
              <w:top w:val="nil"/>
              <w:left w:val="nil"/>
              <w:bottom w:val="single" w:sz="4" w:space="0" w:color="auto"/>
              <w:right w:val="single" w:sz="4" w:space="0" w:color="auto"/>
            </w:tcBorders>
            <w:shd w:val="clear" w:color="000000" w:fill="FFFFFF"/>
            <w:vAlign w:val="center"/>
          </w:tcPr>
          <w:p w14:paraId="2E1B4278" w14:textId="77777777" w:rsidR="00890464" w:rsidRPr="00890464" w:rsidRDefault="00890464" w:rsidP="00E102A3">
            <w:pPr>
              <w:rPr>
                <w:rFonts w:ascii="Arial" w:hAnsi="Arial" w:cs="Arial"/>
                <w:color w:val="000000"/>
                <w:sz w:val="20"/>
                <w:lang w:val="es-HN"/>
              </w:rPr>
            </w:pPr>
            <w:r w:rsidRPr="00890464">
              <w:rPr>
                <w:rFonts w:ascii="Arial" w:hAnsi="Arial" w:cs="Arial"/>
                <w:color w:val="000000"/>
                <w:sz w:val="20"/>
                <w:lang w:val="es-HN"/>
              </w:rPr>
              <w:t>Mujeres y niñas beneficiaras del programa que hacen uso regular de los espacios públicos.</w:t>
            </w:r>
          </w:p>
        </w:tc>
        <w:tc>
          <w:tcPr>
            <w:tcW w:w="376" w:type="pct"/>
            <w:tcBorders>
              <w:top w:val="nil"/>
              <w:left w:val="nil"/>
              <w:bottom w:val="single" w:sz="4" w:space="0" w:color="auto"/>
              <w:right w:val="single" w:sz="4" w:space="0" w:color="auto"/>
            </w:tcBorders>
            <w:shd w:val="clear" w:color="000000" w:fill="FFFFFF"/>
            <w:vAlign w:val="center"/>
          </w:tcPr>
          <w:p w14:paraId="66D1BCC6" w14:textId="77777777" w:rsidR="00890464" w:rsidRPr="00890464" w:rsidRDefault="00890464" w:rsidP="00890464">
            <w:pPr>
              <w:rPr>
                <w:rFonts w:ascii="Arial" w:hAnsi="Arial" w:cs="Arial"/>
                <w:color w:val="000000"/>
                <w:sz w:val="20"/>
              </w:rPr>
            </w:pPr>
            <w:r w:rsidRPr="00890464">
              <w:rPr>
                <w:rFonts w:ascii="Arial" w:hAnsi="Arial" w:cs="Arial"/>
                <w:color w:val="000000"/>
                <w:sz w:val="20"/>
              </w:rPr>
              <w:t>%</w:t>
            </w:r>
          </w:p>
        </w:tc>
        <w:tc>
          <w:tcPr>
            <w:tcW w:w="376" w:type="pct"/>
            <w:tcBorders>
              <w:top w:val="nil"/>
              <w:left w:val="nil"/>
              <w:bottom w:val="single" w:sz="4" w:space="0" w:color="auto"/>
              <w:right w:val="single" w:sz="4" w:space="0" w:color="auto"/>
            </w:tcBorders>
            <w:shd w:val="clear" w:color="000000" w:fill="FFFFFF"/>
            <w:vAlign w:val="center"/>
          </w:tcPr>
          <w:p w14:paraId="1743E733" w14:textId="77777777" w:rsidR="00890464" w:rsidRPr="00890464" w:rsidRDefault="00890464" w:rsidP="00E102A3">
            <w:pPr>
              <w:jc w:val="center"/>
              <w:rPr>
                <w:rFonts w:ascii="Arial" w:hAnsi="Arial" w:cs="Arial"/>
                <w:color w:val="010000"/>
                <w:sz w:val="20"/>
              </w:rPr>
            </w:pPr>
            <w:r w:rsidRPr="00890464">
              <w:rPr>
                <w:rFonts w:ascii="Arial" w:hAnsi="Arial" w:cs="Arial"/>
                <w:color w:val="010000"/>
                <w:sz w:val="20"/>
              </w:rPr>
              <w:t>0</w:t>
            </w:r>
          </w:p>
        </w:tc>
        <w:tc>
          <w:tcPr>
            <w:tcW w:w="376" w:type="pct"/>
            <w:tcBorders>
              <w:top w:val="nil"/>
              <w:left w:val="nil"/>
              <w:bottom w:val="single" w:sz="4" w:space="0" w:color="auto"/>
              <w:right w:val="single" w:sz="4" w:space="0" w:color="auto"/>
            </w:tcBorders>
            <w:shd w:val="clear" w:color="auto" w:fill="auto"/>
            <w:vAlign w:val="center"/>
          </w:tcPr>
          <w:p w14:paraId="23095F41" w14:textId="77777777" w:rsidR="00890464" w:rsidRDefault="00890464" w:rsidP="00E102A3">
            <w:pPr>
              <w:jc w:val="center"/>
              <w:rPr>
                <w:rFonts w:ascii="Arial" w:hAnsi="Arial" w:cs="Arial"/>
                <w:color w:val="000000"/>
                <w:sz w:val="20"/>
                <w:lang w:val="es-HN"/>
              </w:rPr>
            </w:pPr>
            <w:r>
              <w:rPr>
                <w:rFonts w:ascii="Arial" w:hAnsi="Arial" w:cs="Arial"/>
                <w:color w:val="000000"/>
                <w:sz w:val="20"/>
                <w:lang w:val="es-HN"/>
              </w:rPr>
              <w:t>20</w:t>
            </w:r>
          </w:p>
        </w:tc>
        <w:tc>
          <w:tcPr>
            <w:tcW w:w="1886" w:type="pct"/>
            <w:tcBorders>
              <w:top w:val="nil"/>
              <w:left w:val="nil"/>
              <w:bottom w:val="single" w:sz="4" w:space="0" w:color="auto"/>
              <w:right w:val="single" w:sz="4" w:space="0" w:color="auto"/>
            </w:tcBorders>
            <w:shd w:val="clear" w:color="000000" w:fill="FFFFFF"/>
            <w:vAlign w:val="center"/>
          </w:tcPr>
          <w:p w14:paraId="3997FE48" w14:textId="77777777" w:rsidR="00890464" w:rsidRPr="00890464" w:rsidRDefault="00890464" w:rsidP="00890464">
            <w:pPr>
              <w:jc w:val="center"/>
              <w:rPr>
                <w:rFonts w:ascii="Arial" w:hAnsi="Arial" w:cs="Arial"/>
                <w:color w:val="000000"/>
                <w:sz w:val="20"/>
                <w:lang w:val="es-HN"/>
              </w:rPr>
            </w:pPr>
          </w:p>
        </w:tc>
      </w:tr>
      <w:tr w:rsidR="00890464" w:rsidRPr="00231722" w14:paraId="72EAA343" w14:textId="77777777" w:rsidTr="00890464">
        <w:trPr>
          <w:trHeight w:val="624"/>
        </w:trPr>
        <w:tc>
          <w:tcPr>
            <w:tcW w:w="922" w:type="pct"/>
            <w:vMerge/>
            <w:tcBorders>
              <w:left w:val="single" w:sz="4" w:space="0" w:color="auto"/>
              <w:bottom w:val="single" w:sz="4" w:space="0" w:color="auto"/>
              <w:right w:val="single" w:sz="4" w:space="0" w:color="auto"/>
            </w:tcBorders>
            <w:shd w:val="clear" w:color="auto" w:fill="auto"/>
            <w:vAlign w:val="center"/>
          </w:tcPr>
          <w:p w14:paraId="62E96F10" w14:textId="77777777" w:rsidR="00890464" w:rsidRPr="00453596" w:rsidDel="007C3CD2" w:rsidRDefault="00890464" w:rsidP="00E102A3">
            <w:pPr>
              <w:rPr>
                <w:rFonts w:ascii="Arial" w:hAnsi="Arial" w:cs="Arial"/>
                <w:color w:val="000000"/>
                <w:sz w:val="20"/>
                <w:lang w:val="es-HN"/>
              </w:rPr>
            </w:pPr>
          </w:p>
        </w:tc>
        <w:tc>
          <w:tcPr>
            <w:tcW w:w="1063" w:type="pct"/>
            <w:tcBorders>
              <w:top w:val="nil"/>
              <w:left w:val="nil"/>
              <w:bottom w:val="single" w:sz="4" w:space="0" w:color="auto"/>
              <w:right w:val="single" w:sz="4" w:space="0" w:color="auto"/>
            </w:tcBorders>
            <w:shd w:val="clear" w:color="000000" w:fill="FFFFFF"/>
            <w:vAlign w:val="center"/>
          </w:tcPr>
          <w:p w14:paraId="305693A0" w14:textId="77777777" w:rsidR="00890464" w:rsidRPr="00890464" w:rsidRDefault="00890464" w:rsidP="00E102A3">
            <w:pPr>
              <w:rPr>
                <w:rFonts w:ascii="Arial" w:hAnsi="Arial" w:cs="Arial"/>
                <w:color w:val="000000"/>
                <w:sz w:val="20"/>
                <w:lang w:val="es-HN"/>
              </w:rPr>
            </w:pPr>
            <w:r w:rsidRPr="00890464">
              <w:rPr>
                <w:rFonts w:ascii="Arial" w:hAnsi="Arial" w:cs="Arial"/>
                <w:color w:val="000000"/>
                <w:sz w:val="20"/>
                <w:lang w:val="es-HN"/>
              </w:rPr>
              <w:t>Personas beneficiarias del programa con prácticas dirigidas a la redacción de la violencia intrafamiliar.</w:t>
            </w:r>
          </w:p>
        </w:tc>
        <w:tc>
          <w:tcPr>
            <w:tcW w:w="376" w:type="pct"/>
            <w:tcBorders>
              <w:top w:val="nil"/>
              <w:left w:val="nil"/>
              <w:bottom w:val="single" w:sz="4" w:space="0" w:color="auto"/>
              <w:right w:val="single" w:sz="4" w:space="0" w:color="auto"/>
            </w:tcBorders>
            <w:shd w:val="clear" w:color="000000" w:fill="FFFFFF"/>
            <w:vAlign w:val="center"/>
          </w:tcPr>
          <w:p w14:paraId="046A40AA" w14:textId="77777777" w:rsidR="00890464" w:rsidRPr="00890464" w:rsidDel="007C3CD2" w:rsidRDefault="00890464" w:rsidP="00890464">
            <w:pPr>
              <w:rPr>
                <w:rFonts w:ascii="Arial" w:hAnsi="Arial" w:cs="Arial"/>
                <w:color w:val="000000"/>
                <w:sz w:val="20"/>
              </w:rPr>
            </w:pPr>
            <w:r w:rsidRPr="00890464">
              <w:rPr>
                <w:rFonts w:ascii="Arial" w:hAnsi="Arial" w:cs="Arial"/>
                <w:color w:val="000000"/>
                <w:sz w:val="20"/>
              </w:rPr>
              <w:t>%</w:t>
            </w:r>
          </w:p>
        </w:tc>
        <w:tc>
          <w:tcPr>
            <w:tcW w:w="376" w:type="pct"/>
            <w:tcBorders>
              <w:top w:val="nil"/>
              <w:left w:val="nil"/>
              <w:bottom w:val="single" w:sz="4" w:space="0" w:color="auto"/>
              <w:right w:val="single" w:sz="4" w:space="0" w:color="auto"/>
            </w:tcBorders>
            <w:shd w:val="clear" w:color="000000" w:fill="FFFFFF"/>
            <w:vAlign w:val="center"/>
          </w:tcPr>
          <w:p w14:paraId="7B3F5D92" w14:textId="77777777" w:rsidR="00890464" w:rsidRPr="00890464" w:rsidRDefault="00890464" w:rsidP="00E102A3">
            <w:pPr>
              <w:jc w:val="center"/>
              <w:rPr>
                <w:rFonts w:ascii="Arial" w:hAnsi="Arial" w:cs="Arial"/>
                <w:color w:val="010000"/>
                <w:sz w:val="20"/>
              </w:rPr>
            </w:pPr>
            <w:r w:rsidRPr="00890464">
              <w:rPr>
                <w:rFonts w:ascii="Arial" w:hAnsi="Arial" w:cs="Arial"/>
                <w:color w:val="010000"/>
                <w:sz w:val="20"/>
              </w:rPr>
              <w:t>0</w:t>
            </w:r>
          </w:p>
        </w:tc>
        <w:tc>
          <w:tcPr>
            <w:tcW w:w="376" w:type="pct"/>
            <w:tcBorders>
              <w:top w:val="nil"/>
              <w:left w:val="nil"/>
              <w:bottom w:val="single" w:sz="4" w:space="0" w:color="auto"/>
              <w:right w:val="single" w:sz="4" w:space="0" w:color="auto"/>
            </w:tcBorders>
            <w:shd w:val="clear" w:color="auto" w:fill="auto"/>
            <w:vAlign w:val="center"/>
          </w:tcPr>
          <w:p w14:paraId="48F5A37F" w14:textId="77777777" w:rsidR="00890464" w:rsidDel="007C3CD2" w:rsidRDefault="00890464" w:rsidP="00E102A3">
            <w:pPr>
              <w:jc w:val="center"/>
              <w:rPr>
                <w:rFonts w:ascii="Arial" w:hAnsi="Arial" w:cs="Arial"/>
                <w:color w:val="000000"/>
                <w:sz w:val="20"/>
                <w:lang w:val="es-HN"/>
              </w:rPr>
            </w:pPr>
            <w:r>
              <w:rPr>
                <w:rFonts w:ascii="Arial" w:hAnsi="Arial" w:cs="Arial"/>
                <w:color w:val="000000"/>
                <w:sz w:val="20"/>
                <w:lang w:val="es-HN"/>
              </w:rPr>
              <w:t>50</w:t>
            </w:r>
          </w:p>
        </w:tc>
        <w:tc>
          <w:tcPr>
            <w:tcW w:w="1886" w:type="pct"/>
            <w:tcBorders>
              <w:top w:val="nil"/>
              <w:left w:val="nil"/>
              <w:bottom w:val="single" w:sz="4" w:space="0" w:color="auto"/>
              <w:right w:val="single" w:sz="4" w:space="0" w:color="auto"/>
            </w:tcBorders>
            <w:shd w:val="clear" w:color="000000" w:fill="FFFFFF"/>
            <w:vAlign w:val="center"/>
          </w:tcPr>
          <w:p w14:paraId="128E29EA" w14:textId="77777777" w:rsidR="00890464" w:rsidRPr="00890464" w:rsidRDefault="00890464" w:rsidP="00890464">
            <w:pPr>
              <w:jc w:val="center"/>
              <w:rPr>
                <w:rFonts w:ascii="Arial" w:hAnsi="Arial" w:cs="Arial"/>
                <w:color w:val="000000"/>
                <w:sz w:val="20"/>
                <w:lang w:val="es-HN"/>
              </w:rPr>
            </w:pPr>
          </w:p>
        </w:tc>
      </w:tr>
      <w:tr w:rsidR="00890464" w:rsidRPr="00AE3AC5" w14:paraId="44672B46" w14:textId="77777777" w:rsidTr="00890464">
        <w:trPr>
          <w:trHeight w:val="624"/>
        </w:trPr>
        <w:tc>
          <w:tcPr>
            <w:tcW w:w="922" w:type="pct"/>
            <w:vMerge/>
            <w:tcBorders>
              <w:left w:val="single" w:sz="4" w:space="0" w:color="auto"/>
              <w:bottom w:val="single" w:sz="4" w:space="0" w:color="auto"/>
              <w:right w:val="single" w:sz="4" w:space="0" w:color="auto"/>
            </w:tcBorders>
            <w:shd w:val="clear" w:color="auto" w:fill="auto"/>
            <w:vAlign w:val="center"/>
          </w:tcPr>
          <w:p w14:paraId="2E863674" w14:textId="77777777" w:rsidR="00890464" w:rsidRPr="00453596" w:rsidDel="007C3CD2" w:rsidRDefault="00890464" w:rsidP="00E102A3">
            <w:pPr>
              <w:rPr>
                <w:rFonts w:ascii="Arial" w:hAnsi="Arial" w:cs="Arial"/>
                <w:color w:val="000000"/>
                <w:sz w:val="20"/>
                <w:lang w:val="es-HN"/>
              </w:rPr>
            </w:pPr>
          </w:p>
        </w:tc>
        <w:tc>
          <w:tcPr>
            <w:tcW w:w="1063" w:type="pct"/>
            <w:tcBorders>
              <w:top w:val="nil"/>
              <w:left w:val="nil"/>
              <w:bottom w:val="single" w:sz="4" w:space="0" w:color="auto"/>
              <w:right w:val="single" w:sz="4" w:space="0" w:color="auto"/>
            </w:tcBorders>
            <w:shd w:val="clear" w:color="000000" w:fill="FFFFFF"/>
            <w:vAlign w:val="center"/>
          </w:tcPr>
          <w:p w14:paraId="6DE3D661" w14:textId="77777777" w:rsidR="00890464" w:rsidRPr="00890464" w:rsidRDefault="00890464" w:rsidP="00E102A3">
            <w:pPr>
              <w:rPr>
                <w:rFonts w:ascii="Arial" w:hAnsi="Arial" w:cs="Arial"/>
                <w:color w:val="000000"/>
                <w:sz w:val="20"/>
                <w:lang w:val="es-HN"/>
              </w:rPr>
            </w:pPr>
            <w:r w:rsidRPr="00890464">
              <w:rPr>
                <w:rFonts w:ascii="Arial" w:hAnsi="Arial" w:cs="Arial"/>
                <w:color w:val="000000"/>
                <w:sz w:val="20"/>
                <w:lang w:val="es-HN"/>
              </w:rPr>
              <w:t>Mujeres y niñas beneficiarias del programa con prácticas dirigidas a la redacción de la violencia intrafamiliar.</w:t>
            </w:r>
          </w:p>
        </w:tc>
        <w:tc>
          <w:tcPr>
            <w:tcW w:w="376" w:type="pct"/>
            <w:tcBorders>
              <w:top w:val="nil"/>
              <w:left w:val="nil"/>
              <w:bottom w:val="single" w:sz="4" w:space="0" w:color="auto"/>
              <w:right w:val="single" w:sz="4" w:space="0" w:color="auto"/>
            </w:tcBorders>
            <w:shd w:val="clear" w:color="000000" w:fill="FFFFFF"/>
            <w:vAlign w:val="center"/>
          </w:tcPr>
          <w:p w14:paraId="58A44A10" w14:textId="77777777" w:rsidR="00890464" w:rsidRPr="00890464" w:rsidRDefault="00890464" w:rsidP="00890464">
            <w:pPr>
              <w:rPr>
                <w:rFonts w:ascii="Arial" w:hAnsi="Arial" w:cs="Arial"/>
                <w:color w:val="000000"/>
                <w:sz w:val="20"/>
              </w:rPr>
            </w:pPr>
            <w:r w:rsidRPr="00890464">
              <w:rPr>
                <w:rFonts w:ascii="Arial" w:hAnsi="Arial" w:cs="Arial"/>
                <w:color w:val="000000"/>
                <w:sz w:val="20"/>
              </w:rPr>
              <w:t>%</w:t>
            </w:r>
          </w:p>
        </w:tc>
        <w:tc>
          <w:tcPr>
            <w:tcW w:w="376" w:type="pct"/>
            <w:tcBorders>
              <w:top w:val="nil"/>
              <w:left w:val="nil"/>
              <w:bottom w:val="single" w:sz="4" w:space="0" w:color="auto"/>
              <w:right w:val="single" w:sz="4" w:space="0" w:color="auto"/>
            </w:tcBorders>
            <w:shd w:val="clear" w:color="000000" w:fill="FFFFFF"/>
            <w:vAlign w:val="center"/>
          </w:tcPr>
          <w:p w14:paraId="31BA2759" w14:textId="77777777" w:rsidR="00890464" w:rsidRPr="00890464" w:rsidRDefault="00890464" w:rsidP="00E102A3">
            <w:pPr>
              <w:jc w:val="center"/>
              <w:rPr>
                <w:rFonts w:ascii="Arial" w:hAnsi="Arial" w:cs="Arial"/>
                <w:color w:val="010000"/>
                <w:sz w:val="20"/>
              </w:rPr>
            </w:pPr>
            <w:r w:rsidRPr="00890464">
              <w:rPr>
                <w:rFonts w:ascii="Arial" w:hAnsi="Arial" w:cs="Arial"/>
                <w:color w:val="010000"/>
                <w:sz w:val="20"/>
              </w:rPr>
              <w:t>0</w:t>
            </w:r>
          </w:p>
        </w:tc>
        <w:tc>
          <w:tcPr>
            <w:tcW w:w="376" w:type="pct"/>
            <w:tcBorders>
              <w:top w:val="nil"/>
              <w:left w:val="nil"/>
              <w:bottom w:val="single" w:sz="4" w:space="0" w:color="auto"/>
              <w:right w:val="single" w:sz="4" w:space="0" w:color="auto"/>
            </w:tcBorders>
            <w:shd w:val="clear" w:color="auto" w:fill="auto"/>
            <w:vAlign w:val="center"/>
          </w:tcPr>
          <w:p w14:paraId="4D844B83" w14:textId="77777777" w:rsidR="00890464" w:rsidRDefault="00890464" w:rsidP="00E102A3">
            <w:pPr>
              <w:jc w:val="center"/>
              <w:rPr>
                <w:rFonts w:ascii="Arial" w:hAnsi="Arial" w:cs="Arial"/>
                <w:color w:val="000000"/>
                <w:sz w:val="20"/>
                <w:lang w:val="es-HN"/>
              </w:rPr>
            </w:pPr>
            <w:r>
              <w:rPr>
                <w:rFonts w:ascii="Arial" w:hAnsi="Arial" w:cs="Arial"/>
                <w:color w:val="000000"/>
                <w:sz w:val="20"/>
                <w:lang w:val="es-HN"/>
              </w:rPr>
              <w:t>50</w:t>
            </w:r>
          </w:p>
        </w:tc>
        <w:tc>
          <w:tcPr>
            <w:tcW w:w="1886" w:type="pct"/>
            <w:tcBorders>
              <w:top w:val="nil"/>
              <w:left w:val="nil"/>
              <w:bottom w:val="single" w:sz="4" w:space="0" w:color="auto"/>
              <w:right w:val="single" w:sz="4" w:space="0" w:color="auto"/>
            </w:tcBorders>
            <w:shd w:val="clear" w:color="000000" w:fill="FFFFFF"/>
            <w:vAlign w:val="center"/>
          </w:tcPr>
          <w:p w14:paraId="6751B3AF" w14:textId="77777777" w:rsidR="00890464" w:rsidRPr="00890464" w:rsidRDefault="00890464" w:rsidP="00890464">
            <w:pPr>
              <w:jc w:val="center"/>
              <w:rPr>
                <w:rFonts w:ascii="Arial" w:hAnsi="Arial" w:cs="Arial"/>
                <w:color w:val="000000"/>
                <w:sz w:val="20"/>
                <w:lang w:val="es-HN"/>
              </w:rPr>
            </w:pPr>
          </w:p>
        </w:tc>
      </w:tr>
    </w:tbl>
    <w:p w14:paraId="4AF7E512" w14:textId="720F1079" w:rsidR="00890464" w:rsidRDefault="00890464" w:rsidP="00A66653">
      <w:pPr>
        <w:pStyle w:val="Paragraph"/>
        <w:numPr>
          <w:ilvl w:val="0"/>
          <w:numId w:val="0"/>
        </w:numPr>
        <w:rPr>
          <w:b/>
          <w:lang w:val="es-ES_tradnl"/>
        </w:rPr>
      </w:pPr>
    </w:p>
    <w:tbl>
      <w:tblPr>
        <w:tblW w:w="5221" w:type="pct"/>
        <w:tblBorders>
          <w:top w:val="single" w:sz="4" w:space="0" w:color="auto"/>
          <w:left w:val="single" w:sz="4" w:space="0" w:color="auto"/>
          <w:bottom w:val="single" w:sz="4" w:space="0" w:color="auto"/>
          <w:right w:val="single" w:sz="4" w:space="0" w:color="auto"/>
          <w:insideH w:val="single" w:sz="4" w:space="0" w:color="auto"/>
        </w:tblBorders>
        <w:tblLayout w:type="fixed"/>
        <w:tblLook w:val="04A0" w:firstRow="1" w:lastRow="0" w:firstColumn="1" w:lastColumn="0" w:noHBand="0" w:noVBand="1"/>
      </w:tblPr>
      <w:tblGrid>
        <w:gridCol w:w="4171"/>
        <w:gridCol w:w="1473"/>
        <w:gridCol w:w="1489"/>
        <w:gridCol w:w="1588"/>
        <w:gridCol w:w="1644"/>
        <w:gridCol w:w="1409"/>
        <w:gridCol w:w="1548"/>
      </w:tblGrid>
      <w:tr w:rsidR="00452843" w:rsidRPr="00452843" w14:paraId="6DC90820" w14:textId="77777777" w:rsidTr="00890464">
        <w:trPr>
          <w:trHeight w:val="288"/>
        </w:trPr>
        <w:tc>
          <w:tcPr>
            <w:tcW w:w="1565" w:type="pct"/>
            <w:tcBorders>
              <w:bottom w:val="single" w:sz="4" w:space="0" w:color="auto"/>
            </w:tcBorders>
            <w:shd w:val="clear" w:color="D9E1F2" w:fill="D9E1F2"/>
            <w:noWrap/>
            <w:vAlign w:val="bottom"/>
            <w:hideMark/>
          </w:tcPr>
          <w:p w14:paraId="2641CB2D" w14:textId="40A4CBE6" w:rsidR="00452843" w:rsidRPr="00452843" w:rsidRDefault="00452843" w:rsidP="00452843">
            <w:pPr>
              <w:rPr>
                <w:sz w:val="19"/>
                <w:szCs w:val="19"/>
                <w:lang w:val="en-US"/>
              </w:rPr>
            </w:pPr>
            <w:r w:rsidRPr="00452843">
              <w:rPr>
                <w:rFonts w:ascii="Calibri" w:hAnsi="Calibri"/>
                <w:b/>
                <w:bCs/>
                <w:color w:val="000000"/>
                <w:sz w:val="19"/>
                <w:szCs w:val="19"/>
              </w:rPr>
              <w:t>Costos por producto</w:t>
            </w:r>
          </w:p>
        </w:tc>
        <w:tc>
          <w:tcPr>
            <w:tcW w:w="553" w:type="pct"/>
            <w:tcBorders>
              <w:bottom w:val="single" w:sz="4" w:space="0" w:color="auto"/>
            </w:tcBorders>
            <w:shd w:val="clear" w:color="D9E1F2" w:fill="D9E1F2"/>
            <w:noWrap/>
            <w:vAlign w:val="bottom"/>
            <w:hideMark/>
          </w:tcPr>
          <w:p w14:paraId="451C364B"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2019</w:t>
            </w:r>
          </w:p>
        </w:tc>
        <w:tc>
          <w:tcPr>
            <w:tcW w:w="559" w:type="pct"/>
            <w:tcBorders>
              <w:bottom w:val="single" w:sz="4" w:space="0" w:color="auto"/>
            </w:tcBorders>
            <w:shd w:val="clear" w:color="D9E1F2" w:fill="D9E1F2"/>
            <w:noWrap/>
            <w:vAlign w:val="bottom"/>
            <w:hideMark/>
          </w:tcPr>
          <w:p w14:paraId="665BB6E2"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2020</w:t>
            </w:r>
          </w:p>
        </w:tc>
        <w:tc>
          <w:tcPr>
            <w:tcW w:w="596" w:type="pct"/>
            <w:tcBorders>
              <w:bottom w:val="single" w:sz="4" w:space="0" w:color="auto"/>
            </w:tcBorders>
            <w:shd w:val="clear" w:color="D9E1F2" w:fill="D9E1F2"/>
            <w:noWrap/>
            <w:vAlign w:val="bottom"/>
            <w:hideMark/>
          </w:tcPr>
          <w:p w14:paraId="6783DB8F"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2021</w:t>
            </w:r>
          </w:p>
        </w:tc>
        <w:tc>
          <w:tcPr>
            <w:tcW w:w="617" w:type="pct"/>
            <w:tcBorders>
              <w:bottom w:val="single" w:sz="4" w:space="0" w:color="auto"/>
            </w:tcBorders>
            <w:shd w:val="clear" w:color="D9E1F2" w:fill="D9E1F2"/>
            <w:noWrap/>
            <w:vAlign w:val="bottom"/>
            <w:hideMark/>
          </w:tcPr>
          <w:p w14:paraId="488AE686"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2022</w:t>
            </w:r>
          </w:p>
        </w:tc>
        <w:tc>
          <w:tcPr>
            <w:tcW w:w="529" w:type="pct"/>
            <w:tcBorders>
              <w:bottom w:val="single" w:sz="4" w:space="0" w:color="auto"/>
            </w:tcBorders>
            <w:shd w:val="clear" w:color="D9E1F2" w:fill="D9E1F2"/>
            <w:noWrap/>
            <w:vAlign w:val="bottom"/>
            <w:hideMark/>
          </w:tcPr>
          <w:p w14:paraId="13BA79E6"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2023</w:t>
            </w:r>
          </w:p>
        </w:tc>
        <w:tc>
          <w:tcPr>
            <w:tcW w:w="581" w:type="pct"/>
            <w:tcBorders>
              <w:bottom w:val="single" w:sz="4" w:space="0" w:color="auto"/>
            </w:tcBorders>
            <w:shd w:val="clear" w:color="D9E1F2" w:fill="D9E1F2"/>
            <w:noWrap/>
            <w:vAlign w:val="bottom"/>
            <w:hideMark/>
          </w:tcPr>
          <w:p w14:paraId="73E33083" w14:textId="235D1A49" w:rsidR="00452843" w:rsidRPr="00452843" w:rsidRDefault="00452843" w:rsidP="00452843">
            <w:pPr>
              <w:rPr>
                <w:rFonts w:ascii="Calibri" w:hAnsi="Calibri"/>
                <w:b/>
                <w:bCs/>
                <w:color w:val="000000"/>
                <w:sz w:val="19"/>
                <w:szCs w:val="19"/>
                <w:lang w:val="en-US"/>
              </w:rPr>
            </w:pPr>
            <w:r w:rsidRPr="00452843">
              <w:rPr>
                <w:rFonts w:ascii="Calibri" w:hAnsi="Calibri"/>
                <w:b/>
                <w:bCs/>
                <w:color w:val="000000"/>
                <w:sz w:val="19"/>
                <w:szCs w:val="19"/>
                <w:lang w:val="en-US"/>
              </w:rPr>
              <w:t>Total</w:t>
            </w:r>
          </w:p>
        </w:tc>
      </w:tr>
      <w:tr w:rsidR="00452843" w:rsidRPr="00452843" w14:paraId="2145FEA5" w14:textId="77777777" w:rsidTr="00890464">
        <w:trPr>
          <w:trHeight w:val="288"/>
        </w:trPr>
        <w:tc>
          <w:tcPr>
            <w:tcW w:w="1565" w:type="pct"/>
            <w:tcBorders>
              <w:top w:val="single" w:sz="4" w:space="0" w:color="auto"/>
              <w:left w:val="single" w:sz="4" w:space="0" w:color="auto"/>
              <w:bottom w:val="single" w:sz="4" w:space="0" w:color="auto"/>
              <w:right w:val="single" w:sz="4" w:space="0" w:color="auto"/>
            </w:tcBorders>
            <w:shd w:val="clear" w:color="D9E1F2" w:fill="auto"/>
            <w:noWrap/>
            <w:vAlign w:val="bottom"/>
            <w:hideMark/>
          </w:tcPr>
          <w:p w14:paraId="7CA22D9E" w14:textId="77777777" w:rsidR="00452843" w:rsidRPr="00452843" w:rsidRDefault="00452843" w:rsidP="00452843">
            <w:pPr>
              <w:rPr>
                <w:rFonts w:ascii="Calibri" w:hAnsi="Calibri"/>
                <w:b/>
                <w:bCs/>
                <w:color w:val="000000"/>
                <w:sz w:val="19"/>
                <w:szCs w:val="19"/>
              </w:rPr>
            </w:pPr>
            <w:r w:rsidRPr="00452843">
              <w:rPr>
                <w:rFonts w:ascii="Calibri" w:hAnsi="Calibri"/>
                <w:b/>
                <w:bCs/>
                <w:color w:val="000000"/>
                <w:sz w:val="19"/>
                <w:szCs w:val="19"/>
              </w:rPr>
              <w:t>Componente 1. Línea de Transmisión Los Troncos-San Ignacio</w:t>
            </w:r>
          </w:p>
        </w:tc>
        <w:tc>
          <w:tcPr>
            <w:tcW w:w="553" w:type="pct"/>
            <w:tcBorders>
              <w:top w:val="single" w:sz="4" w:space="0" w:color="auto"/>
              <w:bottom w:val="single" w:sz="4" w:space="0" w:color="auto"/>
              <w:right w:val="single" w:sz="4" w:space="0" w:color="auto"/>
            </w:tcBorders>
            <w:shd w:val="clear" w:color="D9E1F2" w:fill="auto"/>
            <w:noWrap/>
            <w:vAlign w:val="bottom"/>
            <w:hideMark/>
          </w:tcPr>
          <w:p w14:paraId="74BCF374" w14:textId="77777777" w:rsidR="00452843" w:rsidRPr="00452843" w:rsidRDefault="00452843" w:rsidP="00452843">
            <w:pPr>
              <w:jc w:val="right"/>
              <w:rPr>
                <w:rFonts w:ascii="Calibri" w:hAnsi="Calibri"/>
                <w:b/>
                <w:bCs/>
                <w:color w:val="000000"/>
                <w:sz w:val="19"/>
                <w:szCs w:val="19"/>
              </w:rPr>
            </w:pPr>
          </w:p>
        </w:tc>
        <w:tc>
          <w:tcPr>
            <w:tcW w:w="559" w:type="pct"/>
            <w:tcBorders>
              <w:top w:val="single" w:sz="4" w:space="0" w:color="auto"/>
              <w:bottom w:val="single" w:sz="4" w:space="0" w:color="auto"/>
              <w:right w:val="single" w:sz="4" w:space="0" w:color="auto"/>
            </w:tcBorders>
            <w:shd w:val="clear" w:color="D9E1F2" w:fill="auto"/>
            <w:noWrap/>
            <w:vAlign w:val="bottom"/>
            <w:hideMark/>
          </w:tcPr>
          <w:p w14:paraId="0FD4A4B3"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31,087,147</w:t>
            </w:r>
          </w:p>
        </w:tc>
        <w:tc>
          <w:tcPr>
            <w:tcW w:w="596" w:type="pct"/>
            <w:tcBorders>
              <w:top w:val="single" w:sz="4" w:space="0" w:color="auto"/>
              <w:bottom w:val="single" w:sz="4" w:space="0" w:color="auto"/>
              <w:right w:val="single" w:sz="4" w:space="0" w:color="auto"/>
            </w:tcBorders>
            <w:shd w:val="clear" w:color="D9E1F2" w:fill="auto"/>
            <w:noWrap/>
            <w:vAlign w:val="bottom"/>
            <w:hideMark/>
          </w:tcPr>
          <w:p w14:paraId="6BBF2EBB"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15,536,320</w:t>
            </w:r>
          </w:p>
        </w:tc>
        <w:tc>
          <w:tcPr>
            <w:tcW w:w="617" w:type="pct"/>
            <w:tcBorders>
              <w:top w:val="single" w:sz="4" w:space="0" w:color="auto"/>
              <w:bottom w:val="single" w:sz="4" w:space="0" w:color="auto"/>
              <w:right w:val="single" w:sz="4" w:space="0" w:color="auto"/>
            </w:tcBorders>
            <w:shd w:val="clear" w:color="D9E1F2" w:fill="auto"/>
            <w:noWrap/>
            <w:vAlign w:val="bottom"/>
            <w:hideMark/>
          </w:tcPr>
          <w:p w14:paraId="2070B59F"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3,856,533</w:t>
            </w:r>
          </w:p>
        </w:tc>
        <w:tc>
          <w:tcPr>
            <w:tcW w:w="529" w:type="pct"/>
            <w:tcBorders>
              <w:top w:val="single" w:sz="4" w:space="0" w:color="auto"/>
              <w:bottom w:val="single" w:sz="4" w:space="0" w:color="auto"/>
              <w:right w:val="single" w:sz="4" w:space="0" w:color="auto"/>
            </w:tcBorders>
            <w:shd w:val="clear" w:color="D9E1F2" w:fill="auto"/>
            <w:noWrap/>
            <w:vAlign w:val="bottom"/>
            <w:hideMark/>
          </w:tcPr>
          <w:p w14:paraId="1EF447A4" w14:textId="77777777" w:rsidR="00452843" w:rsidRPr="00452843" w:rsidRDefault="00452843" w:rsidP="00452843">
            <w:pPr>
              <w:jc w:val="right"/>
              <w:rPr>
                <w:rFonts w:ascii="Calibri" w:hAnsi="Calibri"/>
                <w:b/>
                <w:bCs/>
                <w:color w:val="000000"/>
                <w:sz w:val="19"/>
                <w:szCs w:val="19"/>
                <w:lang w:val="en-US"/>
              </w:rPr>
            </w:pPr>
          </w:p>
        </w:tc>
        <w:tc>
          <w:tcPr>
            <w:tcW w:w="581" w:type="pct"/>
            <w:tcBorders>
              <w:top w:val="single" w:sz="4" w:space="0" w:color="auto"/>
              <w:bottom w:val="single" w:sz="4" w:space="0" w:color="auto"/>
              <w:right w:val="single" w:sz="4" w:space="0" w:color="auto"/>
            </w:tcBorders>
            <w:shd w:val="clear" w:color="D9E1F2" w:fill="auto"/>
            <w:noWrap/>
            <w:vAlign w:val="bottom"/>
            <w:hideMark/>
          </w:tcPr>
          <w:p w14:paraId="1C6D1EDE" w14:textId="77777777" w:rsidR="00452843" w:rsidRPr="00452843" w:rsidRDefault="00452843" w:rsidP="00452843">
            <w:pPr>
              <w:rPr>
                <w:rFonts w:ascii="Calibri" w:hAnsi="Calibri"/>
                <w:b/>
                <w:bCs/>
                <w:color w:val="000000"/>
                <w:sz w:val="19"/>
                <w:szCs w:val="19"/>
                <w:lang w:val="en-US"/>
              </w:rPr>
            </w:pPr>
            <w:r w:rsidRPr="00452843">
              <w:rPr>
                <w:rFonts w:ascii="Calibri" w:hAnsi="Calibri"/>
                <w:b/>
                <w:bCs/>
                <w:color w:val="000000"/>
                <w:sz w:val="19"/>
                <w:szCs w:val="19"/>
                <w:lang w:val="en-US"/>
              </w:rPr>
              <w:t>50,480,000</w:t>
            </w:r>
          </w:p>
        </w:tc>
      </w:tr>
      <w:tr w:rsidR="00452843" w:rsidRPr="00452843" w14:paraId="35040ACF" w14:textId="77777777" w:rsidTr="00890464">
        <w:trPr>
          <w:trHeight w:val="288"/>
        </w:trPr>
        <w:tc>
          <w:tcPr>
            <w:tcW w:w="1565" w:type="pct"/>
            <w:tcBorders>
              <w:top w:val="single" w:sz="4" w:space="0" w:color="auto"/>
              <w:left w:val="single" w:sz="4" w:space="0" w:color="auto"/>
              <w:bottom w:val="single" w:sz="4" w:space="0" w:color="auto"/>
              <w:right w:val="single" w:sz="4" w:space="0" w:color="auto"/>
            </w:tcBorders>
            <w:shd w:val="clear" w:color="D9E1F2" w:fill="auto"/>
            <w:noWrap/>
            <w:vAlign w:val="bottom"/>
            <w:hideMark/>
          </w:tcPr>
          <w:p w14:paraId="1546CB2C" w14:textId="77777777" w:rsidR="00452843" w:rsidRPr="00452843" w:rsidRDefault="00452843" w:rsidP="00452843">
            <w:pPr>
              <w:rPr>
                <w:rFonts w:ascii="Calibri" w:hAnsi="Calibri"/>
                <w:bCs/>
                <w:color w:val="000000"/>
                <w:sz w:val="19"/>
                <w:szCs w:val="19"/>
              </w:rPr>
            </w:pPr>
            <w:r w:rsidRPr="00452843">
              <w:rPr>
                <w:rFonts w:ascii="Calibri" w:hAnsi="Calibri"/>
                <w:bCs/>
                <w:color w:val="000000"/>
                <w:sz w:val="19"/>
                <w:szCs w:val="19"/>
              </w:rPr>
              <w:t>Producto 1. Kilómetros (km) de LT Los Troncos-San Ignacio, construidos</w:t>
            </w:r>
          </w:p>
        </w:tc>
        <w:tc>
          <w:tcPr>
            <w:tcW w:w="553" w:type="pct"/>
            <w:tcBorders>
              <w:top w:val="single" w:sz="4" w:space="0" w:color="auto"/>
              <w:bottom w:val="single" w:sz="4" w:space="0" w:color="auto"/>
              <w:right w:val="single" w:sz="4" w:space="0" w:color="auto"/>
            </w:tcBorders>
            <w:shd w:val="clear" w:color="D9E1F2" w:fill="auto"/>
            <w:noWrap/>
            <w:vAlign w:val="bottom"/>
            <w:hideMark/>
          </w:tcPr>
          <w:p w14:paraId="57ED188C" w14:textId="77777777" w:rsidR="00452843" w:rsidRPr="00452843" w:rsidRDefault="00452843" w:rsidP="00452843">
            <w:pPr>
              <w:jc w:val="right"/>
              <w:rPr>
                <w:rFonts w:ascii="Calibri" w:hAnsi="Calibri"/>
                <w:bCs/>
                <w:color w:val="000000"/>
                <w:sz w:val="19"/>
                <w:szCs w:val="19"/>
              </w:rPr>
            </w:pPr>
          </w:p>
        </w:tc>
        <w:tc>
          <w:tcPr>
            <w:tcW w:w="559" w:type="pct"/>
            <w:tcBorders>
              <w:top w:val="single" w:sz="4" w:space="0" w:color="auto"/>
              <w:bottom w:val="single" w:sz="4" w:space="0" w:color="auto"/>
              <w:right w:val="single" w:sz="4" w:space="0" w:color="auto"/>
            </w:tcBorders>
            <w:shd w:val="clear" w:color="D9E1F2" w:fill="auto"/>
            <w:noWrap/>
            <w:vAlign w:val="bottom"/>
            <w:hideMark/>
          </w:tcPr>
          <w:p w14:paraId="3DD38A3A" w14:textId="77777777" w:rsidR="00452843" w:rsidRPr="00452843" w:rsidRDefault="00452843" w:rsidP="00452843">
            <w:pPr>
              <w:jc w:val="right"/>
              <w:rPr>
                <w:rFonts w:ascii="Calibri" w:hAnsi="Calibri"/>
                <w:bCs/>
                <w:color w:val="000000"/>
                <w:sz w:val="19"/>
                <w:szCs w:val="19"/>
                <w:lang w:val="en-US"/>
              </w:rPr>
            </w:pPr>
            <w:r w:rsidRPr="00452843">
              <w:rPr>
                <w:rFonts w:ascii="Calibri" w:hAnsi="Calibri"/>
                <w:bCs/>
                <w:color w:val="000000"/>
                <w:sz w:val="19"/>
                <w:szCs w:val="19"/>
                <w:lang w:val="en-US"/>
              </w:rPr>
              <w:t>24,980,480</w:t>
            </w:r>
          </w:p>
        </w:tc>
        <w:tc>
          <w:tcPr>
            <w:tcW w:w="596" w:type="pct"/>
            <w:tcBorders>
              <w:top w:val="single" w:sz="4" w:space="0" w:color="auto"/>
              <w:bottom w:val="single" w:sz="4" w:space="0" w:color="auto"/>
              <w:right w:val="single" w:sz="4" w:space="0" w:color="auto"/>
            </w:tcBorders>
            <w:shd w:val="clear" w:color="D9E1F2" w:fill="auto"/>
            <w:noWrap/>
            <w:vAlign w:val="bottom"/>
            <w:hideMark/>
          </w:tcPr>
          <w:p w14:paraId="776AA4F7" w14:textId="77777777" w:rsidR="00452843" w:rsidRPr="00452843" w:rsidRDefault="00452843" w:rsidP="00452843">
            <w:pPr>
              <w:jc w:val="right"/>
              <w:rPr>
                <w:rFonts w:ascii="Calibri" w:hAnsi="Calibri"/>
                <w:bCs/>
                <w:color w:val="000000"/>
                <w:sz w:val="19"/>
                <w:szCs w:val="19"/>
                <w:lang w:val="en-US"/>
              </w:rPr>
            </w:pPr>
            <w:r w:rsidRPr="00452843">
              <w:rPr>
                <w:rFonts w:ascii="Calibri" w:hAnsi="Calibri"/>
                <w:bCs/>
                <w:color w:val="000000"/>
                <w:sz w:val="19"/>
                <w:szCs w:val="19"/>
                <w:lang w:val="en-US"/>
              </w:rPr>
              <w:t>11,576,320</w:t>
            </w:r>
          </w:p>
        </w:tc>
        <w:tc>
          <w:tcPr>
            <w:tcW w:w="617" w:type="pct"/>
            <w:tcBorders>
              <w:top w:val="single" w:sz="4" w:space="0" w:color="auto"/>
              <w:bottom w:val="single" w:sz="4" w:space="0" w:color="auto"/>
              <w:right w:val="single" w:sz="4" w:space="0" w:color="auto"/>
            </w:tcBorders>
            <w:shd w:val="clear" w:color="D9E1F2" w:fill="auto"/>
            <w:noWrap/>
            <w:vAlign w:val="bottom"/>
            <w:hideMark/>
          </w:tcPr>
          <w:p w14:paraId="51478606" w14:textId="77777777" w:rsidR="00452843" w:rsidRPr="00452843" w:rsidRDefault="00452843" w:rsidP="00452843">
            <w:pPr>
              <w:jc w:val="right"/>
              <w:rPr>
                <w:rFonts w:ascii="Calibri" w:hAnsi="Calibri"/>
                <w:bCs/>
                <w:color w:val="000000"/>
                <w:sz w:val="19"/>
                <w:szCs w:val="19"/>
                <w:lang w:val="en-US"/>
              </w:rPr>
            </w:pPr>
            <w:r w:rsidRPr="00452843">
              <w:rPr>
                <w:rFonts w:ascii="Calibri" w:hAnsi="Calibri"/>
                <w:bCs/>
                <w:color w:val="000000"/>
                <w:sz w:val="19"/>
                <w:szCs w:val="19"/>
                <w:lang w:val="en-US"/>
              </w:rPr>
              <w:t>1,523,200</w:t>
            </w:r>
          </w:p>
        </w:tc>
        <w:tc>
          <w:tcPr>
            <w:tcW w:w="529" w:type="pct"/>
            <w:tcBorders>
              <w:top w:val="single" w:sz="4" w:space="0" w:color="auto"/>
              <w:bottom w:val="single" w:sz="4" w:space="0" w:color="auto"/>
              <w:right w:val="single" w:sz="4" w:space="0" w:color="auto"/>
            </w:tcBorders>
            <w:shd w:val="clear" w:color="D9E1F2" w:fill="auto"/>
            <w:noWrap/>
            <w:vAlign w:val="bottom"/>
            <w:hideMark/>
          </w:tcPr>
          <w:p w14:paraId="3FED7C68" w14:textId="77777777" w:rsidR="00452843" w:rsidRPr="00452843" w:rsidRDefault="00452843" w:rsidP="00452843">
            <w:pPr>
              <w:jc w:val="right"/>
              <w:rPr>
                <w:rFonts w:ascii="Calibri" w:hAnsi="Calibri"/>
                <w:bCs/>
                <w:color w:val="000000"/>
                <w:sz w:val="19"/>
                <w:szCs w:val="19"/>
                <w:lang w:val="en-US"/>
              </w:rPr>
            </w:pPr>
          </w:p>
        </w:tc>
        <w:tc>
          <w:tcPr>
            <w:tcW w:w="581" w:type="pct"/>
            <w:tcBorders>
              <w:top w:val="single" w:sz="4" w:space="0" w:color="auto"/>
              <w:bottom w:val="single" w:sz="4" w:space="0" w:color="auto"/>
              <w:right w:val="single" w:sz="4" w:space="0" w:color="auto"/>
            </w:tcBorders>
            <w:shd w:val="clear" w:color="D9E1F2" w:fill="auto"/>
            <w:noWrap/>
            <w:vAlign w:val="bottom"/>
            <w:hideMark/>
          </w:tcPr>
          <w:p w14:paraId="14CA6EA9" w14:textId="77777777" w:rsidR="00452843" w:rsidRPr="00452843" w:rsidRDefault="00452843" w:rsidP="00452843">
            <w:pPr>
              <w:rPr>
                <w:rFonts w:ascii="Calibri" w:hAnsi="Calibri"/>
                <w:bCs/>
                <w:color w:val="000000"/>
                <w:sz w:val="19"/>
                <w:szCs w:val="19"/>
                <w:lang w:val="en-US"/>
              </w:rPr>
            </w:pPr>
            <w:r w:rsidRPr="00452843">
              <w:rPr>
                <w:rFonts w:ascii="Calibri" w:hAnsi="Calibri"/>
                <w:bCs/>
                <w:color w:val="000000"/>
                <w:sz w:val="19"/>
                <w:szCs w:val="19"/>
                <w:lang w:val="en-US"/>
              </w:rPr>
              <w:t>38,080,000</w:t>
            </w:r>
          </w:p>
        </w:tc>
      </w:tr>
      <w:tr w:rsidR="00452843" w:rsidRPr="00452843" w14:paraId="09552DFA" w14:textId="77777777" w:rsidTr="00890464">
        <w:trPr>
          <w:trHeight w:val="288"/>
        </w:trPr>
        <w:tc>
          <w:tcPr>
            <w:tcW w:w="1565" w:type="pct"/>
            <w:tcBorders>
              <w:top w:val="single" w:sz="4" w:space="0" w:color="auto"/>
              <w:left w:val="single" w:sz="4" w:space="0" w:color="auto"/>
              <w:bottom w:val="single" w:sz="4" w:space="0" w:color="auto"/>
              <w:right w:val="single" w:sz="4" w:space="0" w:color="auto"/>
            </w:tcBorders>
            <w:shd w:val="clear" w:color="D9E1F2" w:fill="auto"/>
            <w:noWrap/>
            <w:vAlign w:val="bottom"/>
            <w:hideMark/>
          </w:tcPr>
          <w:p w14:paraId="771F70A0" w14:textId="77777777" w:rsidR="00452843" w:rsidRPr="00452843" w:rsidRDefault="00452843" w:rsidP="00452843">
            <w:pPr>
              <w:rPr>
                <w:rFonts w:ascii="Calibri" w:hAnsi="Calibri"/>
                <w:bCs/>
                <w:color w:val="000000"/>
                <w:sz w:val="19"/>
                <w:szCs w:val="19"/>
              </w:rPr>
            </w:pPr>
            <w:r w:rsidRPr="00452843">
              <w:rPr>
                <w:rFonts w:ascii="Calibri" w:hAnsi="Calibri"/>
                <w:bCs/>
                <w:color w:val="000000"/>
                <w:sz w:val="19"/>
                <w:szCs w:val="19"/>
              </w:rPr>
              <w:t xml:space="preserve">Producto 2. Bahía de salida de línea-Subestación Los Troncos, </w:t>
            </w:r>
            <w:proofErr w:type="spellStart"/>
            <w:r w:rsidRPr="00452843">
              <w:rPr>
                <w:rFonts w:ascii="Calibri" w:hAnsi="Calibri"/>
                <w:bCs/>
                <w:color w:val="000000"/>
                <w:sz w:val="19"/>
                <w:szCs w:val="19"/>
              </w:rPr>
              <w:t>construída</w:t>
            </w:r>
            <w:proofErr w:type="spellEnd"/>
          </w:p>
        </w:tc>
        <w:tc>
          <w:tcPr>
            <w:tcW w:w="553" w:type="pct"/>
            <w:tcBorders>
              <w:top w:val="single" w:sz="4" w:space="0" w:color="auto"/>
              <w:bottom w:val="single" w:sz="4" w:space="0" w:color="auto"/>
              <w:right w:val="single" w:sz="4" w:space="0" w:color="auto"/>
            </w:tcBorders>
            <w:shd w:val="clear" w:color="D9E1F2" w:fill="auto"/>
            <w:noWrap/>
            <w:vAlign w:val="bottom"/>
            <w:hideMark/>
          </w:tcPr>
          <w:p w14:paraId="0C30AAA1" w14:textId="77777777" w:rsidR="00452843" w:rsidRPr="00452843" w:rsidRDefault="00452843" w:rsidP="00452843">
            <w:pPr>
              <w:jc w:val="right"/>
              <w:rPr>
                <w:rFonts w:ascii="Calibri" w:hAnsi="Calibri"/>
                <w:bCs/>
                <w:color w:val="000000"/>
                <w:sz w:val="19"/>
                <w:szCs w:val="19"/>
              </w:rPr>
            </w:pPr>
          </w:p>
        </w:tc>
        <w:tc>
          <w:tcPr>
            <w:tcW w:w="559" w:type="pct"/>
            <w:tcBorders>
              <w:top w:val="single" w:sz="4" w:space="0" w:color="auto"/>
              <w:bottom w:val="single" w:sz="4" w:space="0" w:color="auto"/>
              <w:right w:val="single" w:sz="4" w:space="0" w:color="auto"/>
            </w:tcBorders>
            <w:shd w:val="clear" w:color="D9E1F2" w:fill="auto"/>
            <w:noWrap/>
            <w:vAlign w:val="bottom"/>
            <w:hideMark/>
          </w:tcPr>
          <w:p w14:paraId="420EA9BF" w14:textId="77777777" w:rsidR="00452843" w:rsidRPr="00452843" w:rsidRDefault="00452843" w:rsidP="00452843">
            <w:pPr>
              <w:jc w:val="right"/>
              <w:rPr>
                <w:rFonts w:ascii="Calibri" w:hAnsi="Calibri"/>
                <w:bCs/>
                <w:color w:val="000000"/>
                <w:sz w:val="19"/>
                <w:szCs w:val="19"/>
                <w:lang w:val="en-US"/>
              </w:rPr>
            </w:pPr>
            <w:r w:rsidRPr="00452843">
              <w:rPr>
                <w:rFonts w:ascii="Calibri" w:hAnsi="Calibri"/>
                <w:bCs/>
                <w:color w:val="000000"/>
                <w:sz w:val="19"/>
                <w:szCs w:val="19"/>
                <w:lang w:val="en-US"/>
              </w:rPr>
              <w:t>2,280,000</w:t>
            </w:r>
          </w:p>
        </w:tc>
        <w:tc>
          <w:tcPr>
            <w:tcW w:w="596" w:type="pct"/>
            <w:tcBorders>
              <w:top w:val="single" w:sz="4" w:space="0" w:color="auto"/>
              <w:bottom w:val="single" w:sz="4" w:space="0" w:color="auto"/>
              <w:right w:val="single" w:sz="4" w:space="0" w:color="auto"/>
            </w:tcBorders>
            <w:shd w:val="clear" w:color="D9E1F2" w:fill="auto"/>
            <w:noWrap/>
            <w:vAlign w:val="bottom"/>
            <w:hideMark/>
          </w:tcPr>
          <w:p w14:paraId="4792D443" w14:textId="77777777" w:rsidR="00452843" w:rsidRPr="00452843" w:rsidRDefault="00452843" w:rsidP="00452843">
            <w:pPr>
              <w:jc w:val="right"/>
              <w:rPr>
                <w:rFonts w:ascii="Calibri" w:hAnsi="Calibri"/>
                <w:bCs/>
                <w:color w:val="000000"/>
                <w:sz w:val="19"/>
                <w:szCs w:val="19"/>
                <w:lang w:val="en-US"/>
              </w:rPr>
            </w:pPr>
            <w:r w:rsidRPr="00452843">
              <w:rPr>
                <w:rFonts w:ascii="Calibri" w:hAnsi="Calibri"/>
                <w:bCs/>
                <w:color w:val="000000"/>
                <w:sz w:val="19"/>
                <w:szCs w:val="19"/>
                <w:lang w:val="en-US"/>
              </w:rPr>
              <w:t>1,500,000</w:t>
            </w:r>
          </w:p>
        </w:tc>
        <w:tc>
          <w:tcPr>
            <w:tcW w:w="617" w:type="pct"/>
            <w:tcBorders>
              <w:top w:val="single" w:sz="4" w:space="0" w:color="auto"/>
              <w:bottom w:val="single" w:sz="4" w:space="0" w:color="auto"/>
              <w:right w:val="single" w:sz="4" w:space="0" w:color="auto"/>
            </w:tcBorders>
            <w:shd w:val="clear" w:color="D9E1F2" w:fill="auto"/>
            <w:noWrap/>
            <w:vAlign w:val="bottom"/>
            <w:hideMark/>
          </w:tcPr>
          <w:p w14:paraId="66E5D9F1" w14:textId="77777777" w:rsidR="00452843" w:rsidRPr="00452843" w:rsidRDefault="00452843" w:rsidP="00452843">
            <w:pPr>
              <w:jc w:val="right"/>
              <w:rPr>
                <w:rFonts w:ascii="Calibri" w:hAnsi="Calibri"/>
                <w:bCs/>
                <w:color w:val="000000"/>
                <w:sz w:val="19"/>
                <w:szCs w:val="19"/>
                <w:lang w:val="en-US"/>
              </w:rPr>
            </w:pPr>
            <w:r w:rsidRPr="00452843">
              <w:rPr>
                <w:rFonts w:ascii="Calibri" w:hAnsi="Calibri"/>
                <w:bCs/>
                <w:color w:val="000000"/>
                <w:sz w:val="19"/>
                <w:szCs w:val="19"/>
                <w:lang w:val="en-US"/>
              </w:rPr>
              <w:t>420,000</w:t>
            </w:r>
          </w:p>
        </w:tc>
        <w:tc>
          <w:tcPr>
            <w:tcW w:w="529" w:type="pct"/>
            <w:tcBorders>
              <w:top w:val="single" w:sz="4" w:space="0" w:color="auto"/>
              <w:bottom w:val="single" w:sz="4" w:space="0" w:color="auto"/>
              <w:right w:val="single" w:sz="4" w:space="0" w:color="auto"/>
            </w:tcBorders>
            <w:shd w:val="clear" w:color="D9E1F2" w:fill="auto"/>
            <w:noWrap/>
            <w:vAlign w:val="bottom"/>
            <w:hideMark/>
          </w:tcPr>
          <w:p w14:paraId="1AE6D6F5" w14:textId="77777777" w:rsidR="00452843" w:rsidRPr="00452843" w:rsidRDefault="00452843" w:rsidP="00452843">
            <w:pPr>
              <w:jc w:val="right"/>
              <w:rPr>
                <w:rFonts w:ascii="Calibri" w:hAnsi="Calibri"/>
                <w:bCs/>
                <w:color w:val="000000"/>
                <w:sz w:val="19"/>
                <w:szCs w:val="19"/>
                <w:lang w:val="en-US"/>
              </w:rPr>
            </w:pPr>
          </w:p>
        </w:tc>
        <w:tc>
          <w:tcPr>
            <w:tcW w:w="581" w:type="pct"/>
            <w:tcBorders>
              <w:top w:val="single" w:sz="4" w:space="0" w:color="auto"/>
              <w:bottom w:val="single" w:sz="4" w:space="0" w:color="auto"/>
              <w:right w:val="single" w:sz="4" w:space="0" w:color="auto"/>
            </w:tcBorders>
            <w:shd w:val="clear" w:color="D9E1F2" w:fill="auto"/>
            <w:noWrap/>
            <w:vAlign w:val="bottom"/>
            <w:hideMark/>
          </w:tcPr>
          <w:p w14:paraId="24D137C4" w14:textId="77777777" w:rsidR="00452843" w:rsidRPr="00452843" w:rsidRDefault="00452843" w:rsidP="00452843">
            <w:pPr>
              <w:rPr>
                <w:rFonts w:ascii="Calibri" w:hAnsi="Calibri"/>
                <w:bCs/>
                <w:color w:val="000000"/>
                <w:sz w:val="19"/>
                <w:szCs w:val="19"/>
                <w:lang w:val="en-US"/>
              </w:rPr>
            </w:pPr>
            <w:r w:rsidRPr="00452843">
              <w:rPr>
                <w:rFonts w:ascii="Calibri" w:hAnsi="Calibri"/>
                <w:bCs/>
                <w:color w:val="000000"/>
                <w:sz w:val="19"/>
                <w:szCs w:val="19"/>
                <w:lang w:val="en-US"/>
              </w:rPr>
              <w:t>4,200,000</w:t>
            </w:r>
          </w:p>
        </w:tc>
      </w:tr>
      <w:tr w:rsidR="00452843" w:rsidRPr="00452843" w14:paraId="5CD71C03" w14:textId="77777777" w:rsidTr="00890464">
        <w:trPr>
          <w:trHeight w:val="288"/>
        </w:trPr>
        <w:tc>
          <w:tcPr>
            <w:tcW w:w="1565" w:type="pct"/>
            <w:tcBorders>
              <w:top w:val="single" w:sz="4" w:space="0" w:color="auto"/>
              <w:left w:val="single" w:sz="4" w:space="0" w:color="auto"/>
              <w:bottom w:val="single" w:sz="4" w:space="0" w:color="auto"/>
              <w:right w:val="single" w:sz="4" w:space="0" w:color="auto"/>
            </w:tcBorders>
            <w:shd w:val="clear" w:color="D9E1F2" w:fill="auto"/>
            <w:noWrap/>
            <w:vAlign w:val="bottom"/>
            <w:hideMark/>
          </w:tcPr>
          <w:p w14:paraId="23D18625" w14:textId="77777777" w:rsidR="00452843" w:rsidRPr="00452843" w:rsidRDefault="00452843" w:rsidP="00452843">
            <w:pPr>
              <w:rPr>
                <w:rFonts w:ascii="Calibri" w:hAnsi="Calibri"/>
                <w:bCs/>
                <w:color w:val="000000"/>
                <w:sz w:val="19"/>
                <w:szCs w:val="19"/>
              </w:rPr>
            </w:pPr>
            <w:r w:rsidRPr="00452843">
              <w:rPr>
                <w:rFonts w:ascii="Calibri" w:hAnsi="Calibri"/>
                <w:bCs/>
                <w:color w:val="000000"/>
                <w:sz w:val="19"/>
                <w:szCs w:val="19"/>
              </w:rPr>
              <w:t>Producto 3. Subestación San Ignacio de Velasco construida</w:t>
            </w:r>
          </w:p>
        </w:tc>
        <w:tc>
          <w:tcPr>
            <w:tcW w:w="553" w:type="pct"/>
            <w:tcBorders>
              <w:top w:val="single" w:sz="4" w:space="0" w:color="auto"/>
              <w:bottom w:val="single" w:sz="4" w:space="0" w:color="auto"/>
              <w:right w:val="single" w:sz="4" w:space="0" w:color="auto"/>
            </w:tcBorders>
            <w:shd w:val="clear" w:color="D9E1F2" w:fill="auto"/>
            <w:noWrap/>
            <w:vAlign w:val="bottom"/>
            <w:hideMark/>
          </w:tcPr>
          <w:p w14:paraId="3814075E" w14:textId="77777777" w:rsidR="00452843" w:rsidRPr="00452843" w:rsidRDefault="00452843" w:rsidP="00452843">
            <w:pPr>
              <w:jc w:val="right"/>
              <w:rPr>
                <w:rFonts w:ascii="Calibri" w:hAnsi="Calibri"/>
                <w:bCs/>
                <w:color w:val="000000"/>
                <w:sz w:val="19"/>
                <w:szCs w:val="19"/>
              </w:rPr>
            </w:pPr>
          </w:p>
        </w:tc>
        <w:tc>
          <w:tcPr>
            <w:tcW w:w="559" w:type="pct"/>
            <w:tcBorders>
              <w:top w:val="single" w:sz="4" w:space="0" w:color="auto"/>
              <w:bottom w:val="single" w:sz="4" w:space="0" w:color="auto"/>
              <w:right w:val="single" w:sz="4" w:space="0" w:color="auto"/>
            </w:tcBorders>
            <w:shd w:val="clear" w:color="D9E1F2" w:fill="auto"/>
            <w:noWrap/>
            <w:vAlign w:val="bottom"/>
            <w:hideMark/>
          </w:tcPr>
          <w:p w14:paraId="736B7763" w14:textId="77777777" w:rsidR="00452843" w:rsidRPr="00452843" w:rsidRDefault="00452843" w:rsidP="00452843">
            <w:pPr>
              <w:jc w:val="right"/>
              <w:rPr>
                <w:rFonts w:ascii="Calibri" w:hAnsi="Calibri"/>
                <w:bCs/>
                <w:color w:val="000000"/>
                <w:sz w:val="19"/>
                <w:szCs w:val="19"/>
                <w:lang w:val="en-US"/>
              </w:rPr>
            </w:pPr>
            <w:r w:rsidRPr="00452843">
              <w:rPr>
                <w:rFonts w:ascii="Calibri" w:hAnsi="Calibri"/>
                <w:bCs/>
                <w:color w:val="000000"/>
                <w:sz w:val="19"/>
                <w:szCs w:val="19"/>
                <w:lang w:val="en-US"/>
              </w:rPr>
              <w:t>3,826,667</w:t>
            </w:r>
          </w:p>
        </w:tc>
        <w:tc>
          <w:tcPr>
            <w:tcW w:w="596" w:type="pct"/>
            <w:tcBorders>
              <w:top w:val="single" w:sz="4" w:space="0" w:color="auto"/>
              <w:bottom w:val="single" w:sz="4" w:space="0" w:color="auto"/>
              <w:right w:val="single" w:sz="4" w:space="0" w:color="auto"/>
            </w:tcBorders>
            <w:shd w:val="clear" w:color="D9E1F2" w:fill="auto"/>
            <w:noWrap/>
            <w:vAlign w:val="bottom"/>
            <w:hideMark/>
          </w:tcPr>
          <w:p w14:paraId="7CD013C9" w14:textId="77777777" w:rsidR="00452843" w:rsidRPr="00452843" w:rsidRDefault="00452843" w:rsidP="00452843">
            <w:pPr>
              <w:jc w:val="right"/>
              <w:rPr>
                <w:rFonts w:ascii="Calibri" w:hAnsi="Calibri"/>
                <w:bCs/>
                <w:color w:val="000000"/>
                <w:sz w:val="19"/>
                <w:szCs w:val="19"/>
                <w:lang w:val="en-US"/>
              </w:rPr>
            </w:pPr>
            <w:r w:rsidRPr="00452843">
              <w:rPr>
                <w:rFonts w:ascii="Calibri" w:hAnsi="Calibri"/>
                <w:bCs/>
                <w:color w:val="000000"/>
                <w:sz w:val="19"/>
                <w:szCs w:val="19"/>
                <w:lang w:val="en-US"/>
              </w:rPr>
              <w:t>2,460,000</w:t>
            </w:r>
          </w:p>
        </w:tc>
        <w:tc>
          <w:tcPr>
            <w:tcW w:w="617" w:type="pct"/>
            <w:tcBorders>
              <w:top w:val="single" w:sz="4" w:space="0" w:color="auto"/>
              <w:bottom w:val="single" w:sz="4" w:space="0" w:color="auto"/>
              <w:right w:val="single" w:sz="4" w:space="0" w:color="auto"/>
            </w:tcBorders>
            <w:shd w:val="clear" w:color="D9E1F2" w:fill="auto"/>
            <w:noWrap/>
            <w:vAlign w:val="bottom"/>
            <w:hideMark/>
          </w:tcPr>
          <w:p w14:paraId="55940BEA" w14:textId="77777777" w:rsidR="00452843" w:rsidRPr="00452843" w:rsidRDefault="00452843" w:rsidP="00452843">
            <w:pPr>
              <w:jc w:val="right"/>
              <w:rPr>
                <w:rFonts w:ascii="Calibri" w:hAnsi="Calibri"/>
                <w:bCs/>
                <w:color w:val="000000"/>
                <w:sz w:val="19"/>
                <w:szCs w:val="19"/>
                <w:lang w:val="en-US"/>
              </w:rPr>
            </w:pPr>
            <w:r w:rsidRPr="00452843">
              <w:rPr>
                <w:rFonts w:ascii="Calibri" w:hAnsi="Calibri"/>
                <w:bCs/>
                <w:color w:val="000000"/>
                <w:sz w:val="19"/>
                <w:szCs w:val="19"/>
                <w:lang w:val="en-US"/>
              </w:rPr>
              <w:t>1,913,333</w:t>
            </w:r>
          </w:p>
        </w:tc>
        <w:tc>
          <w:tcPr>
            <w:tcW w:w="529" w:type="pct"/>
            <w:tcBorders>
              <w:top w:val="single" w:sz="4" w:space="0" w:color="auto"/>
              <w:bottom w:val="single" w:sz="4" w:space="0" w:color="auto"/>
              <w:right w:val="single" w:sz="4" w:space="0" w:color="auto"/>
            </w:tcBorders>
            <w:shd w:val="clear" w:color="D9E1F2" w:fill="auto"/>
            <w:noWrap/>
            <w:vAlign w:val="bottom"/>
            <w:hideMark/>
          </w:tcPr>
          <w:p w14:paraId="2B9A00A0" w14:textId="77777777" w:rsidR="00452843" w:rsidRPr="00452843" w:rsidRDefault="00452843" w:rsidP="00452843">
            <w:pPr>
              <w:jc w:val="right"/>
              <w:rPr>
                <w:rFonts w:ascii="Calibri" w:hAnsi="Calibri"/>
                <w:bCs/>
                <w:color w:val="000000"/>
                <w:sz w:val="19"/>
                <w:szCs w:val="19"/>
                <w:lang w:val="en-US"/>
              </w:rPr>
            </w:pPr>
          </w:p>
        </w:tc>
        <w:tc>
          <w:tcPr>
            <w:tcW w:w="581" w:type="pct"/>
            <w:tcBorders>
              <w:top w:val="single" w:sz="4" w:space="0" w:color="auto"/>
              <w:bottom w:val="single" w:sz="4" w:space="0" w:color="auto"/>
              <w:right w:val="single" w:sz="4" w:space="0" w:color="auto"/>
            </w:tcBorders>
            <w:shd w:val="clear" w:color="D9E1F2" w:fill="auto"/>
            <w:noWrap/>
            <w:vAlign w:val="bottom"/>
            <w:hideMark/>
          </w:tcPr>
          <w:p w14:paraId="4E16D430" w14:textId="77777777" w:rsidR="00452843" w:rsidRPr="00452843" w:rsidRDefault="00452843" w:rsidP="00452843">
            <w:pPr>
              <w:rPr>
                <w:rFonts w:ascii="Calibri" w:hAnsi="Calibri"/>
                <w:bCs/>
                <w:color w:val="000000"/>
                <w:sz w:val="19"/>
                <w:szCs w:val="19"/>
                <w:lang w:val="en-US"/>
              </w:rPr>
            </w:pPr>
            <w:r w:rsidRPr="00452843">
              <w:rPr>
                <w:rFonts w:ascii="Calibri" w:hAnsi="Calibri"/>
                <w:bCs/>
                <w:color w:val="000000"/>
                <w:sz w:val="19"/>
                <w:szCs w:val="19"/>
                <w:lang w:val="en-US"/>
              </w:rPr>
              <w:t>8,200,000</w:t>
            </w:r>
          </w:p>
        </w:tc>
      </w:tr>
      <w:tr w:rsidR="00452843" w:rsidRPr="00452843" w14:paraId="5C8EE1B5" w14:textId="77777777" w:rsidTr="00890464">
        <w:trPr>
          <w:trHeight w:val="288"/>
        </w:trPr>
        <w:tc>
          <w:tcPr>
            <w:tcW w:w="1565" w:type="pct"/>
            <w:tcBorders>
              <w:top w:val="single" w:sz="4" w:space="0" w:color="auto"/>
              <w:left w:val="single" w:sz="4" w:space="0" w:color="auto"/>
              <w:bottom w:val="single" w:sz="4" w:space="0" w:color="auto"/>
              <w:right w:val="single" w:sz="4" w:space="0" w:color="auto"/>
            </w:tcBorders>
            <w:shd w:val="clear" w:color="D9E1F2" w:fill="auto"/>
            <w:noWrap/>
            <w:vAlign w:val="bottom"/>
            <w:hideMark/>
          </w:tcPr>
          <w:p w14:paraId="435A927B" w14:textId="77777777" w:rsidR="00452843" w:rsidRPr="00452843" w:rsidRDefault="00452843" w:rsidP="00452843">
            <w:pPr>
              <w:rPr>
                <w:rFonts w:ascii="Calibri" w:hAnsi="Calibri"/>
                <w:b/>
                <w:bCs/>
                <w:color w:val="000000"/>
                <w:sz w:val="19"/>
                <w:szCs w:val="19"/>
              </w:rPr>
            </w:pPr>
            <w:r w:rsidRPr="00452843">
              <w:rPr>
                <w:rFonts w:ascii="Calibri" w:hAnsi="Calibri"/>
                <w:b/>
                <w:bCs/>
                <w:color w:val="000000"/>
                <w:sz w:val="19"/>
                <w:szCs w:val="19"/>
              </w:rPr>
              <w:t>Componente 2. Eficiencia Energética en Alumbrado Público</w:t>
            </w:r>
          </w:p>
        </w:tc>
        <w:tc>
          <w:tcPr>
            <w:tcW w:w="553" w:type="pct"/>
            <w:tcBorders>
              <w:top w:val="single" w:sz="4" w:space="0" w:color="auto"/>
              <w:bottom w:val="single" w:sz="4" w:space="0" w:color="auto"/>
              <w:right w:val="single" w:sz="4" w:space="0" w:color="auto"/>
            </w:tcBorders>
            <w:shd w:val="clear" w:color="D9E1F2" w:fill="auto"/>
            <w:noWrap/>
            <w:vAlign w:val="bottom"/>
            <w:hideMark/>
          </w:tcPr>
          <w:p w14:paraId="04B24809"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6,512,000</w:t>
            </w:r>
          </w:p>
        </w:tc>
        <w:tc>
          <w:tcPr>
            <w:tcW w:w="559" w:type="pct"/>
            <w:tcBorders>
              <w:top w:val="single" w:sz="4" w:space="0" w:color="auto"/>
              <w:bottom w:val="single" w:sz="4" w:space="0" w:color="auto"/>
              <w:right w:val="single" w:sz="4" w:space="0" w:color="auto"/>
            </w:tcBorders>
            <w:shd w:val="clear" w:color="D9E1F2" w:fill="auto"/>
            <w:noWrap/>
            <w:vAlign w:val="bottom"/>
            <w:hideMark/>
          </w:tcPr>
          <w:p w14:paraId="46824275"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80,000</w:t>
            </w:r>
          </w:p>
        </w:tc>
        <w:tc>
          <w:tcPr>
            <w:tcW w:w="596" w:type="pct"/>
            <w:tcBorders>
              <w:top w:val="single" w:sz="4" w:space="0" w:color="auto"/>
              <w:bottom w:val="single" w:sz="4" w:space="0" w:color="auto"/>
              <w:right w:val="single" w:sz="4" w:space="0" w:color="auto"/>
            </w:tcBorders>
            <w:shd w:val="clear" w:color="D9E1F2" w:fill="auto"/>
            <w:noWrap/>
            <w:vAlign w:val="bottom"/>
            <w:hideMark/>
          </w:tcPr>
          <w:p w14:paraId="0E3C5D65"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5,748,000</w:t>
            </w:r>
          </w:p>
        </w:tc>
        <w:tc>
          <w:tcPr>
            <w:tcW w:w="617" w:type="pct"/>
            <w:tcBorders>
              <w:top w:val="single" w:sz="4" w:space="0" w:color="auto"/>
              <w:bottom w:val="single" w:sz="4" w:space="0" w:color="auto"/>
              <w:right w:val="single" w:sz="4" w:space="0" w:color="auto"/>
            </w:tcBorders>
            <w:shd w:val="clear" w:color="D9E1F2" w:fill="auto"/>
            <w:noWrap/>
            <w:vAlign w:val="bottom"/>
            <w:hideMark/>
          </w:tcPr>
          <w:p w14:paraId="3CD7ABD5"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4,140,000</w:t>
            </w:r>
          </w:p>
        </w:tc>
        <w:tc>
          <w:tcPr>
            <w:tcW w:w="529" w:type="pct"/>
            <w:tcBorders>
              <w:top w:val="single" w:sz="4" w:space="0" w:color="auto"/>
              <w:bottom w:val="single" w:sz="4" w:space="0" w:color="auto"/>
              <w:right w:val="single" w:sz="4" w:space="0" w:color="auto"/>
            </w:tcBorders>
            <w:shd w:val="clear" w:color="D9E1F2" w:fill="auto"/>
            <w:noWrap/>
            <w:vAlign w:val="bottom"/>
            <w:hideMark/>
          </w:tcPr>
          <w:p w14:paraId="38E7D070" w14:textId="77777777" w:rsidR="00452843" w:rsidRPr="00452843" w:rsidRDefault="00452843" w:rsidP="00452843">
            <w:pPr>
              <w:jc w:val="right"/>
              <w:rPr>
                <w:rFonts w:ascii="Calibri" w:hAnsi="Calibri"/>
                <w:b/>
                <w:bCs/>
                <w:color w:val="000000"/>
                <w:sz w:val="19"/>
                <w:szCs w:val="19"/>
                <w:lang w:val="en-US"/>
              </w:rPr>
            </w:pPr>
          </w:p>
        </w:tc>
        <w:tc>
          <w:tcPr>
            <w:tcW w:w="581" w:type="pct"/>
            <w:tcBorders>
              <w:top w:val="single" w:sz="4" w:space="0" w:color="auto"/>
              <w:bottom w:val="single" w:sz="4" w:space="0" w:color="auto"/>
              <w:right w:val="single" w:sz="4" w:space="0" w:color="auto"/>
            </w:tcBorders>
            <w:shd w:val="clear" w:color="D9E1F2" w:fill="auto"/>
            <w:noWrap/>
            <w:vAlign w:val="bottom"/>
            <w:hideMark/>
          </w:tcPr>
          <w:p w14:paraId="30342C29" w14:textId="77777777" w:rsidR="00452843" w:rsidRPr="00452843" w:rsidRDefault="00452843" w:rsidP="00452843">
            <w:pPr>
              <w:rPr>
                <w:rFonts w:ascii="Calibri" w:hAnsi="Calibri"/>
                <w:b/>
                <w:bCs/>
                <w:color w:val="000000"/>
                <w:sz w:val="19"/>
                <w:szCs w:val="19"/>
                <w:lang w:val="en-US"/>
              </w:rPr>
            </w:pPr>
            <w:r w:rsidRPr="00452843">
              <w:rPr>
                <w:rFonts w:ascii="Calibri" w:hAnsi="Calibri"/>
                <w:b/>
                <w:bCs/>
                <w:color w:val="000000"/>
                <w:sz w:val="19"/>
                <w:szCs w:val="19"/>
                <w:lang w:val="en-US"/>
              </w:rPr>
              <w:t>16,480,000</w:t>
            </w:r>
          </w:p>
        </w:tc>
      </w:tr>
      <w:tr w:rsidR="00452843" w:rsidRPr="00452843" w14:paraId="3CB45E76" w14:textId="77777777" w:rsidTr="00890464">
        <w:trPr>
          <w:trHeight w:val="288"/>
        </w:trPr>
        <w:tc>
          <w:tcPr>
            <w:tcW w:w="1565" w:type="pct"/>
            <w:tcBorders>
              <w:top w:val="single" w:sz="4" w:space="0" w:color="auto"/>
              <w:left w:val="single" w:sz="4" w:space="0" w:color="auto"/>
              <w:bottom w:val="single" w:sz="4" w:space="0" w:color="auto"/>
              <w:right w:val="single" w:sz="4" w:space="0" w:color="auto"/>
            </w:tcBorders>
            <w:shd w:val="clear" w:color="D9E1F2" w:fill="auto"/>
            <w:noWrap/>
            <w:vAlign w:val="bottom"/>
            <w:hideMark/>
          </w:tcPr>
          <w:p w14:paraId="7075BB29" w14:textId="0CFC1C45" w:rsidR="00452843" w:rsidRPr="00452843" w:rsidRDefault="00452843" w:rsidP="00452843">
            <w:pPr>
              <w:rPr>
                <w:rFonts w:ascii="Calibri" w:hAnsi="Calibri"/>
                <w:bCs/>
                <w:color w:val="000000"/>
                <w:sz w:val="19"/>
                <w:szCs w:val="19"/>
              </w:rPr>
            </w:pPr>
            <w:r w:rsidRPr="00452843">
              <w:rPr>
                <w:rFonts w:ascii="Calibri" w:hAnsi="Calibri"/>
                <w:bCs/>
                <w:color w:val="000000"/>
                <w:sz w:val="19"/>
                <w:szCs w:val="19"/>
              </w:rPr>
              <w:t xml:space="preserve">Producto 1. Luminarias LED instaladas en </w:t>
            </w:r>
            <w:r w:rsidR="004B498B">
              <w:rPr>
                <w:rFonts w:ascii="Calibri" w:hAnsi="Calibri"/>
                <w:bCs/>
                <w:color w:val="000000"/>
                <w:sz w:val="19"/>
                <w:szCs w:val="19"/>
              </w:rPr>
              <w:t>Oruro</w:t>
            </w:r>
          </w:p>
        </w:tc>
        <w:tc>
          <w:tcPr>
            <w:tcW w:w="553" w:type="pct"/>
            <w:tcBorders>
              <w:top w:val="single" w:sz="4" w:space="0" w:color="auto"/>
              <w:bottom w:val="single" w:sz="4" w:space="0" w:color="auto"/>
              <w:right w:val="single" w:sz="4" w:space="0" w:color="auto"/>
            </w:tcBorders>
            <w:shd w:val="clear" w:color="D9E1F2" w:fill="auto"/>
            <w:noWrap/>
            <w:vAlign w:val="bottom"/>
            <w:hideMark/>
          </w:tcPr>
          <w:p w14:paraId="6F9A0F00" w14:textId="77777777" w:rsidR="00452843" w:rsidRPr="00452843" w:rsidRDefault="00452843" w:rsidP="00452843">
            <w:pPr>
              <w:jc w:val="right"/>
              <w:rPr>
                <w:rFonts w:ascii="Calibri" w:hAnsi="Calibri"/>
                <w:bCs/>
                <w:color w:val="000000"/>
                <w:sz w:val="19"/>
                <w:szCs w:val="19"/>
                <w:lang w:val="en-US"/>
              </w:rPr>
            </w:pPr>
            <w:r w:rsidRPr="00452843">
              <w:rPr>
                <w:rFonts w:ascii="Calibri" w:hAnsi="Calibri"/>
                <w:bCs/>
                <w:color w:val="000000"/>
                <w:sz w:val="19"/>
                <w:szCs w:val="19"/>
                <w:lang w:val="en-US"/>
              </w:rPr>
              <w:t>5,520,000</w:t>
            </w:r>
          </w:p>
        </w:tc>
        <w:tc>
          <w:tcPr>
            <w:tcW w:w="559" w:type="pct"/>
            <w:tcBorders>
              <w:top w:val="single" w:sz="4" w:space="0" w:color="auto"/>
              <w:bottom w:val="single" w:sz="4" w:space="0" w:color="auto"/>
              <w:right w:val="single" w:sz="4" w:space="0" w:color="auto"/>
            </w:tcBorders>
            <w:shd w:val="clear" w:color="D9E1F2" w:fill="auto"/>
            <w:noWrap/>
            <w:vAlign w:val="bottom"/>
            <w:hideMark/>
          </w:tcPr>
          <w:p w14:paraId="043E5DA0" w14:textId="77777777" w:rsidR="00452843" w:rsidRPr="00452843" w:rsidRDefault="00452843" w:rsidP="00452843">
            <w:pPr>
              <w:jc w:val="right"/>
              <w:rPr>
                <w:rFonts w:ascii="Calibri" w:hAnsi="Calibri"/>
                <w:bCs/>
                <w:color w:val="000000"/>
                <w:sz w:val="19"/>
                <w:szCs w:val="19"/>
                <w:lang w:val="en-US"/>
              </w:rPr>
            </w:pPr>
          </w:p>
        </w:tc>
        <w:tc>
          <w:tcPr>
            <w:tcW w:w="596" w:type="pct"/>
            <w:tcBorders>
              <w:top w:val="single" w:sz="4" w:space="0" w:color="auto"/>
              <w:bottom w:val="single" w:sz="4" w:space="0" w:color="auto"/>
              <w:right w:val="single" w:sz="4" w:space="0" w:color="auto"/>
            </w:tcBorders>
            <w:shd w:val="clear" w:color="D9E1F2" w:fill="auto"/>
            <w:noWrap/>
            <w:vAlign w:val="bottom"/>
            <w:hideMark/>
          </w:tcPr>
          <w:p w14:paraId="679A88E2" w14:textId="77777777" w:rsidR="00452843" w:rsidRPr="00452843" w:rsidRDefault="00452843" w:rsidP="00452843">
            <w:pPr>
              <w:jc w:val="right"/>
              <w:rPr>
                <w:rFonts w:ascii="Calibri" w:hAnsi="Calibri"/>
                <w:bCs/>
                <w:color w:val="000000"/>
                <w:sz w:val="19"/>
                <w:szCs w:val="19"/>
                <w:lang w:val="en-US"/>
              </w:rPr>
            </w:pPr>
            <w:r w:rsidRPr="00452843">
              <w:rPr>
                <w:rFonts w:ascii="Calibri" w:hAnsi="Calibri"/>
                <w:bCs/>
                <w:color w:val="000000"/>
                <w:sz w:val="19"/>
                <w:szCs w:val="19"/>
                <w:lang w:val="en-US"/>
              </w:rPr>
              <w:t>4,140,000</w:t>
            </w:r>
          </w:p>
        </w:tc>
        <w:tc>
          <w:tcPr>
            <w:tcW w:w="617" w:type="pct"/>
            <w:tcBorders>
              <w:top w:val="single" w:sz="4" w:space="0" w:color="auto"/>
              <w:bottom w:val="single" w:sz="4" w:space="0" w:color="auto"/>
              <w:right w:val="single" w:sz="4" w:space="0" w:color="auto"/>
            </w:tcBorders>
            <w:shd w:val="clear" w:color="D9E1F2" w:fill="auto"/>
            <w:noWrap/>
            <w:vAlign w:val="bottom"/>
            <w:hideMark/>
          </w:tcPr>
          <w:p w14:paraId="2E822410" w14:textId="77777777" w:rsidR="00452843" w:rsidRPr="00452843" w:rsidRDefault="00452843" w:rsidP="00452843">
            <w:pPr>
              <w:jc w:val="right"/>
              <w:rPr>
                <w:rFonts w:ascii="Calibri" w:hAnsi="Calibri"/>
                <w:bCs/>
                <w:color w:val="000000"/>
                <w:sz w:val="19"/>
                <w:szCs w:val="19"/>
                <w:lang w:val="en-US"/>
              </w:rPr>
            </w:pPr>
            <w:r w:rsidRPr="00452843">
              <w:rPr>
                <w:rFonts w:ascii="Calibri" w:hAnsi="Calibri"/>
                <w:bCs/>
                <w:color w:val="000000"/>
                <w:sz w:val="19"/>
                <w:szCs w:val="19"/>
                <w:lang w:val="en-US"/>
              </w:rPr>
              <w:t>4,140,000</w:t>
            </w:r>
          </w:p>
        </w:tc>
        <w:tc>
          <w:tcPr>
            <w:tcW w:w="529" w:type="pct"/>
            <w:tcBorders>
              <w:top w:val="single" w:sz="4" w:space="0" w:color="auto"/>
              <w:bottom w:val="single" w:sz="4" w:space="0" w:color="auto"/>
              <w:right w:val="single" w:sz="4" w:space="0" w:color="auto"/>
            </w:tcBorders>
            <w:shd w:val="clear" w:color="D9E1F2" w:fill="auto"/>
            <w:noWrap/>
            <w:vAlign w:val="bottom"/>
            <w:hideMark/>
          </w:tcPr>
          <w:p w14:paraId="51AE4B1C" w14:textId="77777777" w:rsidR="00452843" w:rsidRPr="00452843" w:rsidRDefault="00452843" w:rsidP="00452843">
            <w:pPr>
              <w:jc w:val="right"/>
              <w:rPr>
                <w:rFonts w:ascii="Calibri" w:hAnsi="Calibri"/>
                <w:bCs/>
                <w:color w:val="000000"/>
                <w:sz w:val="19"/>
                <w:szCs w:val="19"/>
                <w:lang w:val="en-US"/>
              </w:rPr>
            </w:pPr>
          </w:p>
        </w:tc>
        <w:tc>
          <w:tcPr>
            <w:tcW w:w="581" w:type="pct"/>
            <w:tcBorders>
              <w:top w:val="single" w:sz="4" w:space="0" w:color="auto"/>
              <w:bottom w:val="single" w:sz="4" w:space="0" w:color="auto"/>
              <w:right w:val="single" w:sz="4" w:space="0" w:color="auto"/>
            </w:tcBorders>
            <w:shd w:val="clear" w:color="D9E1F2" w:fill="auto"/>
            <w:noWrap/>
            <w:vAlign w:val="bottom"/>
            <w:hideMark/>
          </w:tcPr>
          <w:p w14:paraId="26844E16" w14:textId="77777777" w:rsidR="00452843" w:rsidRPr="00452843" w:rsidRDefault="00452843" w:rsidP="00452843">
            <w:pPr>
              <w:rPr>
                <w:rFonts w:ascii="Calibri" w:hAnsi="Calibri"/>
                <w:bCs/>
                <w:color w:val="000000"/>
                <w:sz w:val="19"/>
                <w:szCs w:val="19"/>
                <w:lang w:val="en-US"/>
              </w:rPr>
            </w:pPr>
            <w:r w:rsidRPr="00452843">
              <w:rPr>
                <w:rFonts w:ascii="Calibri" w:hAnsi="Calibri"/>
                <w:bCs/>
                <w:color w:val="000000"/>
                <w:sz w:val="19"/>
                <w:szCs w:val="19"/>
                <w:lang w:val="en-US"/>
              </w:rPr>
              <w:t>13,800,000</w:t>
            </w:r>
          </w:p>
        </w:tc>
      </w:tr>
      <w:tr w:rsidR="00452843" w:rsidRPr="00452843" w14:paraId="3CDF76C7" w14:textId="77777777" w:rsidTr="00890464">
        <w:trPr>
          <w:trHeight w:val="288"/>
        </w:trPr>
        <w:tc>
          <w:tcPr>
            <w:tcW w:w="1565" w:type="pct"/>
            <w:tcBorders>
              <w:top w:val="single" w:sz="4" w:space="0" w:color="auto"/>
              <w:left w:val="single" w:sz="4" w:space="0" w:color="auto"/>
              <w:bottom w:val="single" w:sz="4" w:space="0" w:color="auto"/>
              <w:right w:val="single" w:sz="4" w:space="0" w:color="auto"/>
            </w:tcBorders>
            <w:shd w:val="clear" w:color="D9E1F2" w:fill="auto"/>
            <w:noWrap/>
            <w:vAlign w:val="bottom"/>
            <w:hideMark/>
          </w:tcPr>
          <w:p w14:paraId="6E989EBE" w14:textId="0489ACEE" w:rsidR="00452843" w:rsidRPr="00452843" w:rsidRDefault="00452843" w:rsidP="00452843">
            <w:pPr>
              <w:rPr>
                <w:rFonts w:ascii="Calibri" w:hAnsi="Calibri"/>
                <w:bCs/>
                <w:color w:val="000000"/>
                <w:sz w:val="19"/>
                <w:szCs w:val="19"/>
              </w:rPr>
            </w:pPr>
            <w:r w:rsidRPr="00452843">
              <w:rPr>
                <w:rFonts w:ascii="Calibri" w:hAnsi="Calibri"/>
                <w:bCs/>
                <w:color w:val="000000"/>
                <w:sz w:val="19"/>
                <w:szCs w:val="19"/>
              </w:rPr>
              <w:t xml:space="preserve">Producto </w:t>
            </w:r>
            <w:r w:rsidR="004B498B">
              <w:rPr>
                <w:rFonts w:ascii="Calibri" w:hAnsi="Calibri"/>
                <w:bCs/>
                <w:color w:val="000000"/>
                <w:sz w:val="19"/>
                <w:szCs w:val="19"/>
              </w:rPr>
              <w:t>2. Luminarias LED instaladas en Potosí</w:t>
            </w:r>
          </w:p>
        </w:tc>
        <w:tc>
          <w:tcPr>
            <w:tcW w:w="553" w:type="pct"/>
            <w:tcBorders>
              <w:top w:val="single" w:sz="4" w:space="0" w:color="auto"/>
              <w:bottom w:val="single" w:sz="4" w:space="0" w:color="auto"/>
              <w:right w:val="single" w:sz="4" w:space="0" w:color="auto"/>
            </w:tcBorders>
            <w:shd w:val="clear" w:color="D9E1F2" w:fill="auto"/>
            <w:noWrap/>
            <w:vAlign w:val="bottom"/>
            <w:hideMark/>
          </w:tcPr>
          <w:p w14:paraId="700EE2F8" w14:textId="77777777" w:rsidR="00452843" w:rsidRPr="00452843" w:rsidRDefault="00452843" w:rsidP="00452843">
            <w:pPr>
              <w:jc w:val="right"/>
              <w:rPr>
                <w:rFonts w:ascii="Calibri" w:hAnsi="Calibri"/>
                <w:bCs/>
                <w:color w:val="000000"/>
                <w:sz w:val="19"/>
                <w:szCs w:val="19"/>
                <w:lang w:val="en-US"/>
              </w:rPr>
            </w:pPr>
            <w:r w:rsidRPr="00452843">
              <w:rPr>
                <w:rFonts w:ascii="Calibri" w:hAnsi="Calibri"/>
                <w:bCs/>
                <w:color w:val="000000"/>
                <w:sz w:val="19"/>
                <w:szCs w:val="19"/>
                <w:lang w:val="en-US"/>
              </w:rPr>
              <w:t>992,000</w:t>
            </w:r>
          </w:p>
        </w:tc>
        <w:tc>
          <w:tcPr>
            <w:tcW w:w="559" w:type="pct"/>
            <w:tcBorders>
              <w:top w:val="single" w:sz="4" w:space="0" w:color="auto"/>
              <w:bottom w:val="single" w:sz="4" w:space="0" w:color="auto"/>
              <w:right w:val="single" w:sz="4" w:space="0" w:color="auto"/>
            </w:tcBorders>
            <w:shd w:val="clear" w:color="D9E1F2" w:fill="auto"/>
            <w:noWrap/>
            <w:vAlign w:val="bottom"/>
            <w:hideMark/>
          </w:tcPr>
          <w:p w14:paraId="06263F5B" w14:textId="77777777" w:rsidR="00452843" w:rsidRPr="00452843" w:rsidRDefault="00452843" w:rsidP="00452843">
            <w:pPr>
              <w:jc w:val="right"/>
              <w:rPr>
                <w:rFonts w:ascii="Calibri" w:hAnsi="Calibri"/>
                <w:bCs/>
                <w:color w:val="000000"/>
                <w:sz w:val="19"/>
                <w:szCs w:val="19"/>
                <w:lang w:val="en-US"/>
              </w:rPr>
            </w:pPr>
          </w:p>
        </w:tc>
        <w:tc>
          <w:tcPr>
            <w:tcW w:w="596" w:type="pct"/>
            <w:tcBorders>
              <w:top w:val="single" w:sz="4" w:space="0" w:color="auto"/>
              <w:bottom w:val="single" w:sz="4" w:space="0" w:color="auto"/>
              <w:right w:val="single" w:sz="4" w:space="0" w:color="auto"/>
            </w:tcBorders>
            <w:shd w:val="clear" w:color="D9E1F2" w:fill="auto"/>
            <w:noWrap/>
            <w:vAlign w:val="bottom"/>
            <w:hideMark/>
          </w:tcPr>
          <w:p w14:paraId="045931E5" w14:textId="77777777" w:rsidR="00452843" w:rsidRPr="00452843" w:rsidRDefault="00452843" w:rsidP="00452843">
            <w:pPr>
              <w:jc w:val="right"/>
              <w:rPr>
                <w:rFonts w:ascii="Calibri" w:hAnsi="Calibri"/>
                <w:bCs/>
                <w:color w:val="000000"/>
                <w:sz w:val="19"/>
                <w:szCs w:val="19"/>
                <w:lang w:val="en-US"/>
              </w:rPr>
            </w:pPr>
            <w:r w:rsidRPr="00452843">
              <w:rPr>
                <w:rFonts w:ascii="Calibri" w:hAnsi="Calibri"/>
                <w:bCs/>
                <w:color w:val="000000"/>
                <w:sz w:val="19"/>
                <w:szCs w:val="19"/>
                <w:lang w:val="en-US"/>
              </w:rPr>
              <w:t>1,488,000</w:t>
            </w:r>
          </w:p>
        </w:tc>
        <w:tc>
          <w:tcPr>
            <w:tcW w:w="617" w:type="pct"/>
            <w:tcBorders>
              <w:top w:val="single" w:sz="4" w:space="0" w:color="auto"/>
              <w:bottom w:val="single" w:sz="4" w:space="0" w:color="auto"/>
              <w:right w:val="single" w:sz="4" w:space="0" w:color="auto"/>
            </w:tcBorders>
            <w:shd w:val="clear" w:color="D9E1F2" w:fill="auto"/>
            <w:noWrap/>
            <w:vAlign w:val="bottom"/>
            <w:hideMark/>
          </w:tcPr>
          <w:p w14:paraId="6CDBDBA1" w14:textId="77777777" w:rsidR="00452843" w:rsidRPr="00452843" w:rsidRDefault="00452843" w:rsidP="00452843">
            <w:pPr>
              <w:jc w:val="right"/>
              <w:rPr>
                <w:rFonts w:ascii="Calibri" w:hAnsi="Calibri"/>
                <w:bCs/>
                <w:color w:val="000000"/>
                <w:sz w:val="19"/>
                <w:szCs w:val="19"/>
                <w:lang w:val="en-US"/>
              </w:rPr>
            </w:pPr>
          </w:p>
        </w:tc>
        <w:tc>
          <w:tcPr>
            <w:tcW w:w="529" w:type="pct"/>
            <w:tcBorders>
              <w:top w:val="single" w:sz="4" w:space="0" w:color="auto"/>
              <w:bottom w:val="single" w:sz="4" w:space="0" w:color="auto"/>
              <w:right w:val="single" w:sz="4" w:space="0" w:color="auto"/>
            </w:tcBorders>
            <w:shd w:val="clear" w:color="D9E1F2" w:fill="auto"/>
            <w:noWrap/>
            <w:vAlign w:val="bottom"/>
            <w:hideMark/>
          </w:tcPr>
          <w:p w14:paraId="4985AD98" w14:textId="77777777" w:rsidR="00452843" w:rsidRPr="00452843" w:rsidRDefault="00452843" w:rsidP="00452843">
            <w:pPr>
              <w:jc w:val="right"/>
              <w:rPr>
                <w:rFonts w:ascii="Calibri" w:hAnsi="Calibri"/>
                <w:bCs/>
                <w:color w:val="000000"/>
                <w:sz w:val="19"/>
                <w:szCs w:val="19"/>
                <w:lang w:val="en-US"/>
              </w:rPr>
            </w:pPr>
          </w:p>
        </w:tc>
        <w:tc>
          <w:tcPr>
            <w:tcW w:w="581" w:type="pct"/>
            <w:tcBorders>
              <w:top w:val="single" w:sz="4" w:space="0" w:color="auto"/>
              <w:bottom w:val="single" w:sz="4" w:space="0" w:color="auto"/>
              <w:right w:val="single" w:sz="4" w:space="0" w:color="auto"/>
            </w:tcBorders>
            <w:shd w:val="clear" w:color="D9E1F2" w:fill="auto"/>
            <w:noWrap/>
            <w:vAlign w:val="bottom"/>
            <w:hideMark/>
          </w:tcPr>
          <w:p w14:paraId="28616EAC" w14:textId="77777777" w:rsidR="00452843" w:rsidRPr="00452843" w:rsidRDefault="00452843" w:rsidP="00452843">
            <w:pPr>
              <w:rPr>
                <w:rFonts w:ascii="Calibri" w:hAnsi="Calibri"/>
                <w:bCs/>
                <w:color w:val="000000"/>
                <w:sz w:val="19"/>
                <w:szCs w:val="19"/>
                <w:lang w:val="en-US"/>
              </w:rPr>
            </w:pPr>
            <w:r w:rsidRPr="00452843">
              <w:rPr>
                <w:rFonts w:ascii="Calibri" w:hAnsi="Calibri"/>
                <w:bCs/>
                <w:color w:val="000000"/>
                <w:sz w:val="19"/>
                <w:szCs w:val="19"/>
                <w:lang w:val="en-US"/>
              </w:rPr>
              <w:t>2,480,000</w:t>
            </w:r>
          </w:p>
        </w:tc>
      </w:tr>
      <w:tr w:rsidR="00452843" w:rsidRPr="00452843" w14:paraId="1C936DBD" w14:textId="77777777" w:rsidTr="00890464">
        <w:trPr>
          <w:trHeight w:val="288"/>
        </w:trPr>
        <w:tc>
          <w:tcPr>
            <w:tcW w:w="1565" w:type="pct"/>
            <w:tcBorders>
              <w:top w:val="single" w:sz="4" w:space="0" w:color="auto"/>
              <w:left w:val="single" w:sz="4" w:space="0" w:color="auto"/>
              <w:bottom w:val="single" w:sz="4" w:space="0" w:color="auto"/>
              <w:right w:val="single" w:sz="4" w:space="0" w:color="auto"/>
            </w:tcBorders>
            <w:shd w:val="clear" w:color="D9E1F2" w:fill="auto"/>
            <w:noWrap/>
            <w:vAlign w:val="bottom"/>
            <w:hideMark/>
          </w:tcPr>
          <w:p w14:paraId="63DC9645" w14:textId="77777777" w:rsidR="00452843" w:rsidRPr="00452843" w:rsidRDefault="00452843" w:rsidP="00452843">
            <w:pPr>
              <w:rPr>
                <w:rFonts w:ascii="Calibri" w:hAnsi="Calibri"/>
                <w:bCs/>
                <w:color w:val="000000"/>
                <w:sz w:val="19"/>
                <w:szCs w:val="19"/>
              </w:rPr>
            </w:pPr>
            <w:r w:rsidRPr="00452843">
              <w:rPr>
                <w:rFonts w:ascii="Calibri" w:hAnsi="Calibri"/>
                <w:bCs/>
                <w:color w:val="000000"/>
                <w:sz w:val="19"/>
                <w:szCs w:val="19"/>
              </w:rPr>
              <w:t>Producto 3. Familias graduadas del Programa P</w:t>
            </w:r>
          </w:p>
        </w:tc>
        <w:tc>
          <w:tcPr>
            <w:tcW w:w="553" w:type="pct"/>
            <w:tcBorders>
              <w:top w:val="single" w:sz="4" w:space="0" w:color="auto"/>
              <w:bottom w:val="single" w:sz="4" w:space="0" w:color="auto"/>
              <w:right w:val="single" w:sz="4" w:space="0" w:color="auto"/>
            </w:tcBorders>
            <w:shd w:val="clear" w:color="D9E1F2" w:fill="auto"/>
            <w:noWrap/>
            <w:vAlign w:val="bottom"/>
            <w:hideMark/>
          </w:tcPr>
          <w:p w14:paraId="207DB713" w14:textId="77777777" w:rsidR="00452843" w:rsidRPr="00452843" w:rsidRDefault="00452843" w:rsidP="00452843">
            <w:pPr>
              <w:jc w:val="right"/>
              <w:rPr>
                <w:rFonts w:ascii="Calibri" w:hAnsi="Calibri"/>
                <w:bCs/>
                <w:color w:val="000000"/>
                <w:sz w:val="19"/>
                <w:szCs w:val="19"/>
              </w:rPr>
            </w:pPr>
          </w:p>
        </w:tc>
        <w:tc>
          <w:tcPr>
            <w:tcW w:w="559" w:type="pct"/>
            <w:tcBorders>
              <w:top w:val="single" w:sz="4" w:space="0" w:color="auto"/>
              <w:bottom w:val="single" w:sz="4" w:space="0" w:color="auto"/>
              <w:right w:val="single" w:sz="4" w:space="0" w:color="auto"/>
            </w:tcBorders>
            <w:shd w:val="clear" w:color="D9E1F2" w:fill="auto"/>
            <w:noWrap/>
            <w:vAlign w:val="bottom"/>
            <w:hideMark/>
          </w:tcPr>
          <w:p w14:paraId="11E51DDC" w14:textId="77777777" w:rsidR="00452843" w:rsidRPr="00452843" w:rsidRDefault="00452843" w:rsidP="00452843">
            <w:pPr>
              <w:jc w:val="right"/>
              <w:rPr>
                <w:rFonts w:ascii="Calibri" w:hAnsi="Calibri"/>
                <w:bCs/>
                <w:color w:val="000000"/>
                <w:sz w:val="19"/>
                <w:szCs w:val="19"/>
                <w:lang w:val="en-US"/>
              </w:rPr>
            </w:pPr>
            <w:r w:rsidRPr="00452843">
              <w:rPr>
                <w:rFonts w:ascii="Calibri" w:hAnsi="Calibri"/>
                <w:bCs/>
                <w:color w:val="000000"/>
                <w:sz w:val="19"/>
                <w:szCs w:val="19"/>
                <w:lang w:val="en-US"/>
              </w:rPr>
              <w:t>80,000</w:t>
            </w:r>
          </w:p>
        </w:tc>
        <w:tc>
          <w:tcPr>
            <w:tcW w:w="596" w:type="pct"/>
            <w:tcBorders>
              <w:top w:val="single" w:sz="4" w:space="0" w:color="auto"/>
              <w:bottom w:val="single" w:sz="4" w:space="0" w:color="auto"/>
              <w:right w:val="single" w:sz="4" w:space="0" w:color="auto"/>
            </w:tcBorders>
            <w:shd w:val="clear" w:color="D9E1F2" w:fill="auto"/>
            <w:noWrap/>
            <w:vAlign w:val="bottom"/>
            <w:hideMark/>
          </w:tcPr>
          <w:p w14:paraId="1DB73F1D" w14:textId="77777777" w:rsidR="00452843" w:rsidRPr="00452843" w:rsidRDefault="00452843" w:rsidP="00452843">
            <w:pPr>
              <w:jc w:val="right"/>
              <w:rPr>
                <w:rFonts w:ascii="Calibri" w:hAnsi="Calibri"/>
                <w:bCs/>
                <w:color w:val="000000"/>
                <w:sz w:val="19"/>
                <w:szCs w:val="19"/>
                <w:lang w:val="en-US"/>
              </w:rPr>
            </w:pPr>
            <w:r w:rsidRPr="00452843">
              <w:rPr>
                <w:rFonts w:ascii="Calibri" w:hAnsi="Calibri"/>
                <w:bCs/>
                <w:color w:val="000000"/>
                <w:sz w:val="19"/>
                <w:szCs w:val="19"/>
                <w:lang w:val="en-US"/>
              </w:rPr>
              <w:t>120,000</w:t>
            </w:r>
          </w:p>
        </w:tc>
        <w:tc>
          <w:tcPr>
            <w:tcW w:w="617" w:type="pct"/>
            <w:tcBorders>
              <w:top w:val="single" w:sz="4" w:space="0" w:color="auto"/>
              <w:bottom w:val="single" w:sz="4" w:space="0" w:color="auto"/>
              <w:right w:val="single" w:sz="4" w:space="0" w:color="auto"/>
            </w:tcBorders>
            <w:shd w:val="clear" w:color="D9E1F2" w:fill="auto"/>
            <w:noWrap/>
            <w:vAlign w:val="bottom"/>
            <w:hideMark/>
          </w:tcPr>
          <w:p w14:paraId="19FD0C3C" w14:textId="77777777" w:rsidR="00452843" w:rsidRPr="00452843" w:rsidRDefault="00452843" w:rsidP="00452843">
            <w:pPr>
              <w:jc w:val="right"/>
              <w:rPr>
                <w:rFonts w:ascii="Calibri" w:hAnsi="Calibri"/>
                <w:bCs/>
                <w:color w:val="000000"/>
                <w:sz w:val="19"/>
                <w:szCs w:val="19"/>
                <w:lang w:val="en-US"/>
              </w:rPr>
            </w:pPr>
          </w:p>
        </w:tc>
        <w:tc>
          <w:tcPr>
            <w:tcW w:w="529" w:type="pct"/>
            <w:tcBorders>
              <w:top w:val="single" w:sz="4" w:space="0" w:color="auto"/>
              <w:bottom w:val="single" w:sz="4" w:space="0" w:color="auto"/>
              <w:right w:val="single" w:sz="4" w:space="0" w:color="auto"/>
            </w:tcBorders>
            <w:shd w:val="clear" w:color="D9E1F2" w:fill="auto"/>
            <w:noWrap/>
            <w:vAlign w:val="bottom"/>
            <w:hideMark/>
          </w:tcPr>
          <w:p w14:paraId="1BCB2554" w14:textId="77777777" w:rsidR="00452843" w:rsidRPr="00452843" w:rsidRDefault="00452843" w:rsidP="00452843">
            <w:pPr>
              <w:jc w:val="right"/>
              <w:rPr>
                <w:rFonts w:ascii="Calibri" w:hAnsi="Calibri"/>
                <w:bCs/>
                <w:color w:val="000000"/>
                <w:sz w:val="19"/>
                <w:szCs w:val="19"/>
                <w:lang w:val="en-US"/>
              </w:rPr>
            </w:pPr>
          </w:p>
        </w:tc>
        <w:tc>
          <w:tcPr>
            <w:tcW w:w="581" w:type="pct"/>
            <w:tcBorders>
              <w:top w:val="single" w:sz="4" w:space="0" w:color="auto"/>
              <w:bottom w:val="single" w:sz="4" w:space="0" w:color="auto"/>
              <w:right w:val="single" w:sz="4" w:space="0" w:color="auto"/>
            </w:tcBorders>
            <w:shd w:val="clear" w:color="D9E1F2" w:fill="auto"/>
            <w:noWrap/>
            <w:vAlign w:val="bottom"/>
            <w:hideMark/>
          </w:tcPr>
          <w:p w14:paraId="5B63BE96" w14:textId="77777777" w:rsidR="00452843" w:rsidRPr="00452843" w:rsidRDefault="00452843" w:rsidP="00452843">
            <w:pPr>
              <w:rPr>
                <w:rFonts w:ascii="Calibri" w:hAnsi="Calibri"/>
                <w:bCs/>
                <w:color w:val="000000"/>
                <w:sz w:val="19"/>
                <w:szCs w:val="19"/>
                <w:lang w:val="en-US"/>
              </w:rPr>
            </w:pPr>
            <w:r w:rsidRPr="00452843">
              <w:rPr>
                <w:rFonts w:ascii="Calibri" w:hAnsi="Calibri"/>
                <w:bCs/>
                <w:color w:val="000000"/>
                <w:sz w:val="19"/>
                <w:szCs w:val="19"/>
                <w:lang w:val="en-US"/>
              </w:rPr>
              <w:t>200,000</w:t>
            </w:r>
          </w:p>
        </w:tc>
      </w:tr>
      <w:tr w:rsidR="00452843" w:rsidRPr="00452843" w14:paraId="1377C986" w14:textId="77777777" w:rsidTr="00890464">
        <w:trPr>
          <w:trHeight w:val="288"/>
        </w:trPr>
        <w:tc>
          <w:tcPr>
            <w:tcW w:w="1565" w:type="pct"/>
            <w:tcBorders>
              <w:top w:val="single" w:sz="4" w:space="0" w:color="auto"/>
              <w:left w:val="single" w:sz="4" w:space="0" w:color="auto"/>
              <w:bottom w:val="single" w:sz="4" w:space="0" w:color="auto"/>
              <w:right w:val="single" w:sz="4" w:space="0" w:color="auto"/>
            </w:tcBorders>
            <w:shd w:val="clear" w:color="D9E1F2" w:fill="auto"/>
            <w:noWrap/>
            <w:vAlign w:val="bottom"/>
            <w:hideMark/>
          </w:tcPr>
          <w:p w14:paraId="5EE5BF0E" w14:textId="77777777" w:rsidR="00452843" w:rsidRPr="00452843" w:rsidRDefault="00452843" w:rsidP="00452843">
            <w:pPr>
              <w:rPr>
                <w:rFonts w:ascii="Calibri" w:hAnsi="Calibri"/>
                <w:b/>
                <w:bCs/>
                <w:color w:val="000000"/>
                <w:sz w:val="19"/>
                <w:szCs w:val="19"/>
              </w:rPr>
            </w:pPr>
            <w:r w:rsidRPr="00452843">
              <w:rPr>
                <w:rFonts w:ascii="Calibri" w:hAnsi="Calibri"/>
                <w:b/>
                <w:bCs/>
                <w:color w:val="000000"/>
                <w:sz w:val="19"/>
                <w:szCs w:val="19"/>
              </w:rPr>
              <w:t>Gestión y Administración del Programa</w:t>
            </w:r>
          </w:p>
        </w:tc>
        <w:tc>
          <w:tcPr>
            <w:tcW w:w="553" w:type="pct"/>
            <w:tcBorders>
              <w:top w:val="single" w:sz="4" w:space="0" w:color="auto"/>
              <w:bottom w:val="single" w:sz="4" w:space="0" w:color="auto"/>
              <w:right w:val="single" w:sz="4" w:space="0" w:color="auto"/>
            </w:tcBorders>
            <w:shd w:val="clear" w:color="D9E1F2" w:fill="auto"/>
            <w:noWrap/>
            <w:vAlign w:val="bottom"/>
            <w:hideMark/>
          </w:tcPr>
          <w:p w14:paraId="2EDF5C4C"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2,640,000</w:t>
            </w:r>
          </w:p>
        </w:tc>
        <w:tc>
          <w:tcPr>
            <w:tcW w:w="559" w:type="pct"/>
            <w:tcBorders>
              <w:top w:val="single" w:sz="4" w:space="0" w:color="auto"/>
              <w:bottom w:val="single" w:sz="4" w:space="0" w:color="auto"/>
              <w:right w:val="single" w:sz="4" w:space="0" w:color="auto"/>
            </w:tcBorders>
            <w:shd w:val="clear" w:color="D9E1F2" w:fill="auto"/>
            <w:noWrap/>
            <w:vAlign w:val="bottom"/>
            <w:hideMark/>
          </w:tcPr>
          <w:p w14:paraId="49E48BC7"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2,801,552</w:t>
            </w:r>
          </w:p>
        </w:tc>
        <w:tc>
          <w:tcPr>
            <w:tcW w:w="596" w:type="pct"/>
            <w:tcBorders>
              <w:top w:val="single" w:sz="4" w:space="0" w:color="auto"/>
              <w:bottom w:val="single" w:sz="4" w:space="0" w:color="auto"/>
              <w:right w:val="single" w:sz="4" w:space="0" w:color="auto"/>
            </w:tcBorders>
            <w:shd w:val="clear" w:color="D9E1F2" w:fill="auto"/>
            <w:noWrap/>
            <w:vAlign w:val="bottom"/>
            <w:hideMark/>
          </w:tcPr>
          <w:p w14:paraId="5FD325A9"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2,720,341</w:t>
            </w:r>
          </w:p>
        </w:tc>
        <w:tc>
          <w:tcPr>
            <w:tcW w:w="617" w:type="pct"/>
            <w:tcBorders>
              <w:top w:val="single" w:sz="4" w:space="0" w:color="auto"/>
              <w:bottom w:val="single" w:sz="4" w:space="0" w:color="auto"/>
              <w:right w:val="single" w:sz="4" w:space="0" w:color="auto"/>
            </w:tcBorders>
            <w:shd w:val="clear" w:color="D9E1F2" w:fill="auto"/>
            <w:noWrap/>
            <w:vAlign w:val="bottom"/>
            <w:hideMark/>
          </w:tcPr>
          <w:p w14:paraId="4258B277"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2,718,107</w:t>
            </w:r>
          </w:p>
        </w:tc>
        <w:tc>
          <w:tcPr>
            <w:tcW w:w="529" w:type="pct"/>
            <w:tcBorders>
              <w:top w:val="single" w:sz="4" w:space="0" w:color="auto"/>
              <w:bottom w:val="single" w:sz="4" w:space="0" w:color="auto"/>
              <w:right w:val="single" w:sz="4" w:space="0" w:color="auto"/>
            </w:tcBorders>
            <w:shd w:val="clear" w:color="D9E1F2" w:fill="auto"/>
            <w:noWrap/>
            <w:vAlign w:val="bottom"/>
            <w:hideMark/>
          </w:tcPr>
          <w:p w14:paraId="5FC3528D"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160,000</w:t>
            </w:r>
          </w:p>
        </w:tc>
        <w:tc>
          <w:tcPr>
            <w:tcW w:w="581" w:type="pct"/>
            <w:tcBorders>
              <w:top w:val="single" w:sz="4" w:space="0" w:color="auto"/>
              <w:bottom w:val="single" w:sz="4" w:space="0" w:color="auto"/>
              <w:right w:val="single" w:sz="4" w:space="0" w:color="auto"/>
            </w:tcBorders>
            <w:shd w:val="clear" w:color="D9E1F2" w:fill="auto"/>
            <w:noWrap/>
            <w:vAlign w:val="bottom"/>
            <w:hideMark/>
          </w:tcPr>
          <w:p w14:paraId="6342C476" w14:textId="77777777" w:rsidR="00452843" w:rsidRPr="00452843" w:rsidRDefault="00452843" w:rsidP="00452843">
            <w:pPr>
              <w:rPr>
                <w:rFonts w:ascii="Calibri" w:hAnsi="Calibri"/>
                <w:b/>
                <w:bCs/>
                <w:color w:val="000000"/>
                <w:sz w:val="19"/>
                <w:szCs w:val="19"/>
                <w:lang w:val="en-US"/>
              </w:rPr>
            </w:pPr>
            <w:r w:rsidRPr="00452843">
              <w:rPr>
                <w:rFonts w:ascii="Calibri" w:hAnsi="Calibri"/>
                <w:b/>
                <w:bCs/>
                <w:color w:val="000000"/>
                <w:sz w:val="19"/>
                <w:szCs w:val="19"/>
                <w:lang w:val="en-US"/>
              </w:rPr>
              <w:t>11,040,000</w:t>
            </w:r>
          </w:p>
        </w:tc>
      </w:tr>
      <w:tr w:rsidR="00452843" w:rsidRPr="00452843" w14:paraId="775C2822" w14:textId="77777777" w:rsidTr="00890464">
        <w:trPr>
          <w:trHeight w:val="288"/>
        </w:trPr>
        <w:tc>
          <w:tcPr>
            <w:tcW w:w="1565" w:type="pct"/>
            <w:tcBorders>
              <w:top w:val="single" w:sz="4" w:space="0" w:color="auto"/>
              <w:left w:val="single" w:sz="4" w:space="0" w:color="auto"/>
              <w:bottom w:val="single" w:sz="4" w:space="0" w:color="auto"/>
              <w:right w:val="single" w:sz="4" w:space="0" w:color="auto"/>
            </w:tcBorders>
            <w:shd w:val="clear" w:color="D9E1F2" w:fill="auto"/>
            <w:noWrap/>
            <w:vAlign w:val="bottom"/>
            <w:hideMark/>
          </w:tcPr>
          <w:p w14:paraId="757AC74F" w14:textId="77777777" w:rsidR="00452843" w:rsidRPr="00452843" w:rsidRDefault="00452843" w:rsidP="00452843">
            <w:pPr>
              <w:rPr>
                <w:rFonts w:ascii="Calibri" w:hAnsi="Calibri"/>
                <w:b/>
                <w:bCs/>
                <w:color w:val="000000"/>
                <w:sz w:val="19"/>
                <w:szCs w:val="19"/>
              </w:rPr>
            </w:pPr>
            <w:r w:rsidRPr="00452843">
              <w:rPr>
                <w:rFonts w:ascii="Calibri" w:hAnsi="Calibri"/>
                <w:b/>
                <w:bCs/>
                <w:color w:val="000000"/>
                <w:sz w:val="19"/>
                <w:szCs w:val="19"/>
              </w:rPr>
              <w:t>Gestión y Administración Componente 1</w:t>
            </w:r>
          </w:p>
        </w:tc>
        <w:tc>
          <w:tcPr>
            <w:tcW w:w="553" w:type="pct"/>
            <w:tcBorders>
              <w:top w:val="single" w:sz="4" w:space="0" w:color="auto"/>
              <w:bottom w:val="single" w:sz="4" w:space="0" w:color="auto"/>
              <w:right w:val="single" w:sz="4" w:space="0" w:color="auto"/>
            </w:tcBorders>
            <w:shd w:val="clear" w:color="D9E1F2" w:fill="auto"/>
            <w:noWrap/>
            <w:vAlign w:val="bottom"/>
            <w:hideMark/>
          </w:tcPr>
          <w:p w14:paraId="023D134B"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2,115,000</w:t>
            </w:r>
          </w:p>
        </w:tc>
        <w:tc>
          <w:tcPr>
            <w:tcW w:w="559" w:type="pct"/>
            <w:tcBorders>
              <w:top w:val="single" w:sz="4" w:space="0" w:color="auto"/>
              <w:bottom w:val="single" w:sz="4" w:space="0" w:color="auto"/>
              <w:right w:val="single" w:sz="4" w:space="0" w:color="auto"/>
            </w:tcBorders>
            <w:shd w:val="clear" w:color="D9E1F2" w:fill="auto"/>
            <w:noWrap/>
            <w:vAlign w:val="bottom"/>
            <w:hideMark/>
          </w:tcPr>
          <w:p w14:paraId="7C19E5CE"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2,205,000</w:t>
            </w:r>
          </w:p>
        </w:tc>
        <w:tc>
          <w:tcPr>
            <w:tcW w:w="596" w:type="pct"/>
            <w:tcBorders>
              <w:top w:val="single" w:sz="4" w:space="0" w:color="auto"/>
              <w:bottom w:val="single" w:sz="4" w:space="0" w:color="auto"/>
              <w:right w:val="single" w:sz="4" w:space="0" w:color="auto"/>
            </w:tcBorders>
            <w:shd w:val="clear" w:color="D9E1F2" w:fill="auto"/>
            <w:noWrap/>
            <w:vAlign w:val="bottom"/>
            <w:hideMark/>
          </w:tcPr>
          <w:p w14:paraId="08920D92"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2,165,000</w:t>
            </w:r>
          </w:p>
        </w:tc>
        <w:tc>
          <w:tcPr>
            <w:tcW w:w="617" w:type="pct"/>
            <w:tcBorders>
              <w:top w:val="single" w:sz="4" w:space="0" w:color="auto"/>
              <w:bottom w:val="single" w:sz="4" w:space="0" w:color="auto"/>
              <w:right w:val="single" w:sz="4" w:space="0" w:color="auto"/>
            </w:tcBorders>
            <w:shd w:val="clear" w:color="D9E1F2" w:fill="auto"/>
            <w:noWrap/>
            <w:vAlign w:val="bottom"/>
            <w:hideMark/>
          </w:tcPr>
          <w:p w14:paraId="661F5CA6"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2,165,000</w:t>
            </w:r>
          </w:p>
        </w:tc>
        <w:tc>
          <w:tcPr>
            <w:tcW w:w="529" w:type="pct"/>
            <w:tcBorders>
              <w:top w:val="single" w:sz="4" w:space="0" w:color="auto"/>
              <w:bottom w:val="single" w:sz="4" w:space="0" w:color="auto"/>
              <w:right w:val="single" w:sz="4" w:space="0" w:color="auto"/>
            </w:tcBorders>
            <w:shd w:val="clear" w:color="D9E1F2" w:fill="auto"/>
            <w:noWrap/>
            <w:vAlign w:val="bottom"/>
            <w:hideMark/>
          </w:tcPr>
          <w:p w14:paraId="5C323880"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90,000</w:t>
            </w:r>
          </w:p>
        </w:tc>
        <w:tc>
          <w:tcPr>
            <w:tcW w:w="581" w:type="pct"/>
            <w:tcBorders>
              <w:top w:val="single" w:sz="4" w:space="0" w:color="auto"/>
              <w:bottom w:val="single" w:sz="4" w:space="0" w:color="auto"/>
              <w:right w:val="single" w:sz="4" w:space="0" w:color="auto"/>
            </w:tcBorders>
            <w:shd w:val="clear" w:color="D9E1F2" w:fill="auto"/>
            <w:noWrap/>
            <w:vAlign w:val="bottom"/>
            <w:hideMark/>
          </w:tcPr>
          <w:p w14:paraId="0DAE6B6F" w14:textId="77777777" w:rsidR="00452843" w:rsidRPr="00452843" w:rsidRDefault="00452843" w:rsidP="00452843">
            <w:pPr>
              <w:rPr>
                <w:rFonts w:ascii="Calibri" w:hAnsi="Calibri"/>
                <w:b/>
                <w:bCs/>
                <w:color w:val="000000"/>
                <w:sz w:val="19"/>
                <w:szCs w:val="19"/>
                <w:lang w:val="en-US"/>
              </w:rPr>
            </w:pPr>
            <w:r w:rsidRPr="00452843">
              <w:rPr>
                <w:rFonts w:ascii="Calibri" w:hAnsi="Calibri"/>
                <w:b/>
                <w:bCs/>
                <w:color w:val="000000"/>
                <w:sz w:val="19"/>
                <w:szCs w:val="19"/>
                <w:lang w:val="en-US"/>
              </w:rPr>
              <w:t>8,740,000</w:t>
            </w:r>
          </w:p>
        </w:tc>
      </w:tr>
      <w:tr w:rsidR="00452843" w:rsidRPr="00452843" w14:paraId="3C27D174" w14:textId="77777777" w:rsidTr="00890464">
        <w:trPr>
          <w:trHeight w:val="288"/>
        </w:trPr>
        <w:tc>
          <w:tcPr>
            <w:tcW w:w="1565" w:type="pct"/>
            <w:tcBorders>
              <w:top w:val="single" w:sz="4" w:space="0" w:color="auto"/>
              <w:left w:val="single" w:sz="4" w:space="0" w:color="auto"/>
              <w:bottom w:val="single" w:sz="4" w:space="0" w:color="auto"/>
              <w:right w:val="single" w:sz="4" w:space="0" w:color="auto"/>
            </w:tcBorders>
            <w:shd w:val="clear" w:color="D9E1F2" w:fill="auto"/>
            <w:noWrap/>
            <w:vAlign w:val="bottom"/>
            <w:hideMark/>
          </w:tcPr>
          <w:p w14:paraId="257CA401" w14:textId="77777777" w:rsidR="00452843" w:rsidRPr="00452843" w:rsidRDefault="00452843" w:rsidP="00452843">
            <w:pPr>
              <w:rPr>
                <w:rFonts w:ascii="Calibri" w:hAnsi="Calibri"/>
                <w:b/>
                <w:bCs/>
                <w:color w:val="000000"/>
                <w:sz w:val="19"/>
                <w:szCs w:val="19"/>
              </w:rPr>
            </w:pPr>
            <w:r w:rsidRPr="00452843">
              <w:rPr>
                <w:rFonts w:ascii="Calibri" w:hAnsi="Calibri"/>
                <w:b/>
                <w:bCs/>
                <w:color w:val="000000"/>
                <w:sz w:val="19"/>
                <w:szCs w:val="19"/>
              </w:rPr>
              <w:t>Gestión y Administración Componente 2</w:t>
            </w:r>
          </w:p>
        </w:tc>
        <w:tc>
          <w:tcPr>
            <w:tcW w:w="553" w:type="pct"/>
            <w:tcBorders>
              <w:top w:val="single" w:sz="4" w:space="0" w:color="auto"/>
              <w:bottom w:val="single" w:sz="4" w:space="0" w:color="auto"/>
              <w:right w:val="single" w:sz="4" w:space="0" w:color="auto"/>
            </w:tcBorders>
            <w:shd w:val="clear" w:color="D9E1F2" w:fill="auto"/>
            <w:noWrap/>
            <w:vAlign w:val="bottom"/>
            <w:hideMark/>
          </w:tcPr>
          <w:p w14:paraId="39AC7362"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525,000</w:t>
            </w:r>
          </w:p>
        </w:tc>
        <w:tc>
          <w:tcPr>
            <w:tcW w:w="559" w:type="pct"/>
            <w:tcBorders>
              <w:top w:val="single" w:sz="4" w:space="0" w:color="auto"/>
              <w:bottom w:val="single" w:sz="4" w:space="0" w:color="auto"/>
              <w:right w:val="single" w:sz="4" w:space="0" w:color="auto"/>
            </w:tcBorders>
            <w:shd w:val="clear" w:color="D9E1F2" w:fill="auto"/>
            <w:noWrap/>
            <w:vAlign w:val="bottom"/>
            <w:hideMark/>
          </w:tcPr>
          <w:p w14:paraId="27D35936"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596,552</w:t>
            </w:r>
          </w:p>
        </w:tc>
        <w:tc>
          <w:tcPr>
            <w:tcW w:w="596" w:type="pct"/>
            <w:tcBorders>
              <w:top w:val="single" w:sz="4" w:space="0" w:color="auto"/>
              <w:bottom w:val="single" w:sz="4" w:space="0" w:color="auto"/>
              <w:right w:val="single" w:sz="4" w:space="0" w:color="auto"/>
            </w:tcBorders>
            <w:shd w:val="clear" w:color="D9E1F2" w:fill="auto"/>
            <w:noWrap/>
            <w:vAlign w:val="bottom"/>
            <w:hideMark/>
          </w:tcPr>
          <w:p w14:paraId="72122197"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555,341</w:t>
            </w:r>
          </w:p>
        </w:tc>
        <w:tc>
          <w:tcPr>
            <w:tcW w:w="617" w:type="pct"/>
            <w:tcBorders>
              <w:top w:val="single" w:sz="4" w:space="0" w:color="auto"/>
              <w:bottom w:val="single" w:sz="4" w:space="0" w:color="auto"/>
              <w:right w:val="single" w:sz="4" w:space="0" w:color="auto"/>
            </w:tcBorders>
            <w:shd w:val="clear" w:color="D9E1F2" w:fill="auto"/>
            <w:noWrap/>
            <w:vAlign w:val="bottom"/>
            <w:hideMark/>
          </w:tcPr>
          <w:p w14:paraId="3C9F87CE"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553,107</w:t>
            </w:r>
          </w:p>
        </w:tc>
        <w:tc>
          <w:tcPr>
            <w:tcW w:w="529" w:type="pct"/>
            <w:tcBorders>
              <w:top w:val="single" w:sz="4" w:space="0" w:color="auto"/>
              <w:bottom w:val="single" w:sz="4" w:space="0" w:color="auto"/>
              <w:right w:val="single" w:sz="4" w:space="0" w:color="auto"/>
            </w:tcBorders>
            <w:shd w:val="clear" w:color="D9E1F2" w:fill="auto"/>
            <w:noWrap/>
            <w:vAlign w:val="bottom"/>
            <w:hideMark/>
          </w:tcPr>
          <w:p w14:paraId="4F29BDAE"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70,000</w:t>
            </w:r>
          </w:p>
        </w:tc>
        <w:tc>
          <w:tcPr>
            <w:tcW w:w="581" w:type="pct"/>
            <w:tcBorders>
              <w:top w:val="single" w:sz="4" w:space="0" w:color="auto"/>
              <w:bottom w:val="single" w:sz="4" w:space="0" w:color="auto"/>
              <w:right w:val="single" w:sz="4" w:space="0" w:color="auto"/>
            </w:tcBorders>
            <w:shd w:val="clear" w:color="D9E1F2" w:fill="auto"/>
            <w:noWrap/>
            <w:vAlign w:val="bottom"/>
            <w:hideMark/>
          </w:tcPr>
          <w:p w14:paraId="0F5E9FDE" w14:textId="77777777" w:rsidR="00452843" w:rsidRPr="00452843" w:rsidRDefault="00452843" w:rsidP="00452843">
            <w:pPr>
              <w:rPr>
                <w:rFonts w:ascii="Calibri" w:hAnsi="Calibri"/>
                <w:b/>
                <w:bCs/>
                <w:color w:val="000000"/>
                <w:sz w:val="19"/>
                <w:szCs w:val="19"/>
                <w:lang w:val="en-US"/>
              </w:rPr>
            </w:pPr>
            <w:r w:rsidRPr="00452843">
              <w:rPr>
                <w:rFonts w:ascii="Calibri" w:hAnsi="Calibri"/>
                <w:b/>
                <w:bCs/>
                <w:color w:val="000000"/>
                <w:sz w:val="19"/>
                <w:szCs w:val="19"/>
                <w:lang w:val="en-US"/>
              </w:rPr>
              <w:t>2,300,000</w:t>
            </w:r>
          </w:p>
        </w:tc>
      </w:tr>
      <w:tr w:rsidR="00452843" w:rsidRPr="00452843" w14:paraId="164CD57C" w14:textId="77777777" w:rsidTr="00890464">
        <w:trPr>
          <w:trHeight w:val="288"/>
        </w:trPr>
        <w:tc>
          <w:tcPr>
            <w:tcW w:w="1565" w:type="pct"/>
            <w:tcBorders>
              <w:top w:val="single" w:sz="4" w:space="0" w:color="auto"/>
              <w:left w:val="single" w:sz="4" w:space="0" w:color="auto"/>
              <w:bottom w:val="single" w:sz="4" w:space="0" w:color="auto"/>
              <w:right w:val="single" w:sz="4" w:space="0" w:color="auto"/>
            </w:tcBorders>
            <w:shd w:val="clear" w:color="D9E1F2" w:fill="auto"/>
            <w:noWrap/>
            <w:vAlign w:val="bottom"/>
            <w:hideMark/>
          </w:tcPr>
          <w:p w14:paraId="5E9B25C2" w14:textId="77777777" w:rsidR="00452843" w:rsidRPr="00452843" w:rsidRDefault="00452843" w:rsidP="00452843">
            <w:pPr>
              <w:rPr>
                <w:rFonts w:ascii="Calibri" w:hAnsi="Calibri"/>
                <w:b/>
                <w:bCs/>
                <w:color w:val="000000"/>
                <w:sz w:val="19"/>
                <w:szCs w:val="19"/>
              </w:rPr>
            </w:pPr>
            <w:r w:rsidRPr="00452843">
              <w:rPr>
                <w:rFonts w:ascii="Calibri" w:hAnsi="Calibri"/>
                <w:b/>
                <w:bCs/>
                <w:color w:val="000000"/>
                <w:sz w:val="19"/>
                <w:szCs w:val="19"/>
              </w:rPr>
              <w:t>Grand Total</w:t>
            </w:r>
          </w:p>
        </w:tc>
        <w:tc>
          <w:tcPr>
            <w:tcW w:w="553" w:type="pct"/>
            <w:tcBorders>
              <w:top w:val="single" w:sz="4" w:space="0" w:color="auto"/>
              <w:bottom w:val="single" w:sz="4" w:space="0" w:color="auto"/>
              <w:right w:val="single" w:sz="4" w:space="0" w:color="auto"/>
            </w:tcBorders>
            <w:shd w:val="clear" w:color="D9E1F2" w:fill="auto"/>
            <w:noWrap/>
            <w:vAlign w:val="bottom"/>
            <w:hideMark/>
          </w:tcPr>
          <w:p w14:paraId="01045C6C"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9,152,000</w:t>
            </w:r>
          </w:p>
        </w:tc>
        <w:tc>
          <w:tcPr>
            <w:tcW w:w="559" w:type="pct"/>
            <w:tcBorders>
              <w:top w:val="single" w:sz="4" w:space="0" w:color="auto"/>
              <w:bottom w:val="single" w:sz="4" w:space="0" w:color="auto"/>
              <w:right w:val="single" w:sz="4" w:space="0" w:color="auto"/>
            </w:tcBorders>
            <w:shd w:val="clear" w:color="D9E1F2" w:fill="auto"/>
            <w:noWrap/>
            <w:vAlign w:val="bottom"/>
            <w:hideMark/>
          </w:tcPr>
          <w:p w14:paraId="1F5A3FA7"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33,968,698</w:t>
            </w:r>
          </w:p>
        </w:tc>
        <w:tc>
          <w:tcPr>
            <w:tcW w:w="596" w:type="pct"/>
            <w:tcBorders>
              <w:top w:val="single" w:sz="4" w:space="0" w:color="auto"/>
              <w:bottom w:val="single" w:sz="4" w:space="0" w:color="auto"/>
              <w:right w:val="single" w:sz="4" w:space="0" w:color="auto"/>
            </w:tcBorders>
            <w:shd w:val="clear" w:color="D9E1F2" w:fill="auto"/>
            <w:noWrap/>
            <w:vAlign w:val="bottom"/>
            <w:hideMark/>
          </w:tcPr>
          <w:p w14:paraId="6448A7C8"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24,004,661</w:t>
            </w:r>
          </w:p>
        </w:tc>
        <w:tc>
          <w:tcPr>
            <w:tcW w:w="617" w:type="pct"/>
            <w:tcBorders>
              <w:top w:val="single" w:sz="4" w:space="0" w:color="auto"/>
              <w:bottom w:val="single" w:sz="4" w:space="0" w:color="auto"/>
              <w:right w:val="single" w:sz="4" w:space="0" w:color="auto"/>
            </w:tcBorders>
            <w:shd w:val="clear" w:color="D9E1F2" w:fill="auto"/>
            <w:noWrap/>
            <w:vAlign w:val="bottom"/>
            <w:hideMark/>
          </w:tcPr>
          <w:p w14:paraId="52599F40"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10,714,641</w:t>
            </w:r>
          </w:p>
        </w:tc>
        <w:tc>
          <w:tcPr>
            <w:tcW w:w="529" w:type="pct"/>
            <w:tcBorders>
              <w:top w:val="single" w:sz="4" w:space="0" w:color="auto"/>
              <w:bottom w:val="single" w:sz="4" w:space="0" w:color="auto"/>
              <w:right w:val="single" w:sz="4" w:space="0" w:color="auto"/>
            </w:tcBorders>
            <w:shd w:val="clear" w:color="D9E1F2" w:fill="auto"/>
            <w:noWrap/>
            <w:vAlign w:val="bottom"/>
            <w:hideMark/>
          </w:tcPr>
          <w:p w14:paraId="533F3882" w14:textId="77777777" w:rsidR="00452843" w:rsidRPr="00452843" w:rsidRDefault="00452843" w:rsidP="00452843">
            <w:pPr>
              <w:jc w:val="right"/>
              <w:rPr>
                <w:rFonts w:ascii="Calibri" w:hAnsi="Calibri"/>
                <w:b/>
                <w:bCs/>
                <w:color w:val="000000"/>
                <w:sz w:val="19"/>
                <w:szCs w:val="19"/>
                <w:lang w:val="en-US"/>
              </w:rPr>
            </w:pPr>
            <w:r w:rsidRPr="00452843">
              <w:rPr>
                <w:rFonts w:ascii="Calibri" w:hAnsi="Calibri"/>
                <w:b/>
                <w:bCs/>
                <w:color w:val="000000"/>
                <w:sz w:val="19"/>
                <w:szCs w:val="19"/>
                <w:lang w:val="en-US"/>
              </w:rPr>
              <w:t>160,000</w:t>
            </w:r>
          </w:p>
        </w:tc>
        <w:tc>
          <w:tcPr>
            <w:tcW w:w="581" w:type="pct"/>
            <w:tcBorders>
              <w:top w:val="single" w:sz="4" w:space="0" w:color="auto"/>
              <w:bottom w:val="single" w:sz="4" w:space="0" w:color="auto"/>
              <w:right w:val="single" w:sz="4" w:space="0" w:color="auto"/>
            </w:tcBorders>
            <w:shd w:val="clear" w:color="D9E1F2" w:fill="auto"/>
            <w:noWrap/>
            <w:vAlign w:val="bottom"/>
            <w:hideMark/>
          </w:tcPr>
          <w:p w14:paraId="3B67C066" w14:textId="77777777" w:rsidR="00452843" w:rsidRPr="00452843" w:rsidRDefault="00452843" w:rsidP="00452843">
            <w:pPr>
              <w:rPr>
                <w:rFonts w:ascii="Calibri" w:hAnsi="Calibri"/>
                <w:b/>
                <w:bCs/>
                <w:color w:val="000000"/>
                <w:sz w:val="19"/>
                <w:szCs w:val="19"/>
                <w:lang w:val="en-US"/>
              </w:rPr>
            </w:pPr>
            <w:r w:rsidRPr="00452843">
              <w:rPr>
                <w:rFonts w:ascii="Calibri" w:hAnsi="Calibri"/>
                <w:b/>
                <w:bCs/>
                <w:color w:val="000000"/>
                <w:sz w:val="19"/>
                <w:szCs w:val="19"/>
                <w:lang w:val="en-US"/>
              </w:rPr>
              <w:t>78,000,000</w:t>
            </w:r>
          </w:p>
        </w:tc>
      </w:tr>
    </w:tbl>
    <w:p w14:paraId="576A8C79" w14:textId="77777777" w:rsidR="00411F51" w:rsidRDefault="00411F51" w:rsidP="00A66653">
      <w:pPr>
        <w:pStyle w:val="Paragraph"/>
        <w:numPr>
          <w:ilvl w:val="0"/>
          <w:numId w:val="0"/>
        </w:numPr>
        <w:rPr>
          <w:b/>
        </w:rPr>
        <w:sectPr w:rsidR="00411F51" w:rsidSect="00B07C60">
          <w:pgSz w:w="15840" w:h="12240" w:orient="landscape"/>
          <w:pgMar w:top="1440" w:right="1632" w:bottom="1440" w:left="1440" w:header="0" w:footer="986" w:gutter="0"/>
          <w:cols w:space="708"/>
          <w:docGrid w:linePitch="326"/>
        </w:sectPr>
      </w:pPr>
    </w:p>
    <w:p w14:paraId="231BAD7F" w14:textId="77777777" w:rsidR="00A66653" w:rsidRDefault="00A66653" w:rsidP="00411F51">
      <w:pPr>
        <w:pStyle w:val="FirstHeading"/>
      </w:pPr>
      <w:bookmarkStart w:id="17" w:name="_Toc513537395"/>
      <w:r>
        <w:t>Cronograma y Presupuesto del Relevamiento de los Indicadores de Resultados</w:t>
      </w:r>
      <w:bookmarkEnd w:id="17"/>
    </w:p>
    <w:p w14:paraId="77DB9F53" w14:textId="77777777" w:rsidR="00CE1304" w:rsidRPr="00CE1304" w:rsidRDefault="00A66653" w:rsidP="00411F51">
      <w:pPr>
        <w:pStyle w:val="Paragraph"/>
        <w:rPr>
          <w:szCs w:val="24"/>
        </w:rPr>
      </w:pPr>
      <w:r>
        <w:t>El cronograma de levantamiento de los indicadores de resultado está directamente relacionado con las actividades de seguimiento d</w:t>
      </w:r>
      <w:r w:rsidR="00CE1304">
        <w:t>escritas en la sección anterior</w:t>
      </w:r>
      <w:r>
        <w:t xml:space="preserve">. De la misma manera, el presupuesto para el relevamiento de los indicadores de resultados, </w:t>
      </w:r>
      <w:proofErr w:type="spellStart"/>
      <w:r>
        <w:t>esta</w:t>
      </w:r>
      <w:proofErr w:type="spellEnd"/>
      <w:r>
        <w:t xml:space="preserve"> incluido dentro del presupuesto de seguimiento del Programa, a ser financiado por el componente de Administración, y que se muestra en el Cuadro 2.</w:t>
      </w:r>
    </w:p>
    <w:p w14:paraId="3F7C2A37" w14:textId="77777777" w:rsidR="00DE4BE6" w:rsidRDefault="00DE4BE6" w:rsidP="00411F51">
      <w:pPr>
        <w:pStyle w:val="FirstHeading"/>
      </w:pPr>
      <w:bookmarkStart w:id="18" w:name="_Toc513537396"/>
      <w:r w:rsidRPr="002776C8">
        <w:t>Metodología</w:t>
      </w:r>
      <w:r w:rsidR="00CE1304">
        <w:t xml:space="preserve"> de evaluación ex post.</w:t>
      </w:r>
      <w:bookmarkEnd w:id="18"/>
    </w:p>
    <w:p w14:paraId="196C4B96" w14:textId="55283A7F" w:rsidR="00C15C47" w:rsidRPr="00AB4D5D" w:rsidRDefault="00C15C47" w:rsidP="00411F51">
      <w:pPr>
        <w:pStyle w:val="Paragraph"/>
      </w:pPr>
      <w:r>
        <w:t>En el</w:t>
      </w:r>
      <w:r w:rsidR="00EB6E1F" w:rsidRPr="00AB4D5D">
        <w:t xml:space="preserve"> ACB </w:t>
      </w:r>
      <w:r>
        <w:t>ex</w:t>
      </w:r>
      <w:r w:rsidR="00D21FC4">
        <w:t xml:space="preserve"> </w:t>
      </w:r>
      <w:r w:rsidR="00EB6E1F" w:rsidRPr="00AB4D5D">
        <w:t>post</w:t>
      </w:r>
      <w:r w:rsidR="00471D5D">
        <w:t xml:space="preserve"> confirmar</w:t>
      </w:r>
      <w:r w:rsidR="00471D5D" w:rsidRPr="00AB4D5D">
        <w:t>á</w:t>
      </w:r>
      <w:r w:rsidR="00471D5D">
        <w:t xml:space="preserve"> la </w:t>
      </w:r>
      <w:r w:rsidR="00E97E41">
        <w:t>rentabilidad</w:t>
      </w:r>
      <w:r w:rsidR="00471D5D">
        <w:t xml:space="preserve"> </w:t>
      </w:r>
      <w:r w:rsidR="00E97E41">
        <w:t>económica</w:t>
      </w:r>
      <w:r w:rsidR="00471D5D">
        <w:t xml:space="preserve"> y financiera de las intervenciones. Para ello, </w:t>
      </w:r>
      <w:r w:rsidR="00EB6E1F" w:rsidRPr="00AB4D5D">
        <w:t xml:space="preserve">se </w:t>
      </w:r>
      <w:r w:rsidR="00D21FC4">
        <w:t>replicará</w:t>
      </w:r>
      <w:r w:rsidR="00471D5D">
        <w:t xml:space="preserve"> </w:t>
      </w:r>
      <w:r w:rsidR="00EB6E1F" w:rsidRPr="00AB4D5D">
        <w:t>el modelo utilizado</w:t>
      </w:r>
      <w:r>
        <w:t xml:space="preserve"> en </w:t>
      </w:r>
      <w:r w:rsidR="00EB6E1F" w:rsidRPr="00AB4D5D">
        <w:t xml:space="preserve">la ACB </w:t>
      </w:r>
      <w:r>
        <w:t>ex</w:t>
      </w:r>
      <w:r w:rsidR="00E97E41">
        <w:t xml:space="preserve"> </w:t>
      </w:r>
      <w:r w:rsidR="00EB6E1F" w:rsidRPr="00AB4D5D">
        <w:t>ante</w:t>
      </w:r>
      <w:r w:rsidR="00471D5D">
        <w:t xml:space="preserve">, usando valores y parámetros efectivamente realizados. </w:t>
      </w:r>
      <w:r>
        <w:t>Dicho análisis se efectuar</w:t>
      </w:r>
      <w:r w:rsidRPr="00AB4D5D">
        <w:t>á</w:t>
      </w:r>
      <w:r>
        <w:t xml:space="preserve"> bajo </w:t>
      </w:r>
      <w:r w:rsidR="00EB6E1F" w:rsidRPr="00AB4D5D">
        <w:t xml:space="preserve">dos escenarios: (i) se medirán y actualizarán los beneficios esperados de la intervención, manteniendo constantes las condiciones y precios tenidos </w:t>
      </w:r>
      <w:r>
        <w:t xml:space="preserve">previstos </w:t>
      </w:r>
      <w:r w:rsidR="00EB6E1F" w:rsidRPr="00AB4D5D">
        <w:t xml:space="preserve">en </w:t>
      </w:r>
      <w:r w:rsidR="00471D5D">
        <w:t>el</w:t>
      </w:r>
      <w:r w:rsidR="00EB6E1F" w:rsidRPr="00AB4D5D">
        <w:t xml:space="preserve"> </w:t>
      </w:r>
      <w:r w:rsidR="00471D5D">
        <w:t>ACB</w:t>
      </w:r>
      <w:r w:rsidR="00EB6E1F" w:rsidRPr="00AB4D5D">
        <w:t xml:space="preserve"> ex</w:t>
      </w:r>
      <w:r w:rsidR="00D21FC4">
        <w:t xml:space="preserve"> </w:t>
      </w:r>
      <w:r w:rsidR="00EB6E1F" w:rsidRPr="00AB4D5D">
        <w:t>ante</w:t>
      </w:r>
      <w:r>
        <w:t xml:space="preserve">. Este escenario </w:t>
      </w:r>
      <w:r w:rsidR="00EB6E1F" w:rsidRPr="00AB4D5D">
        <w:t xml:space="preserve">permite medir si con los costos reales incurridos, los beneficios efectivamente realizados y medidos a precios constantes son suficientes para justificar la inversión en términos económicos; y (ii) </w:t>
      </w:r>
      <w:r w:rsidR="00D21FC4">
        <w:t>Además</w:t>
      </w:r>
      <w:r w:rsidR="00471D5D">
        <w:t xml:space="preserve"> de </w:t>
      </w:r>
      <w:r w:rsidR="00EB6E1F" w:rsidRPr="00AB4D5D">
        <w:t>los beneficios</w:t>
      </w:r>
      <w:r w:rsidR="00471D5D">
        <w:t xml:space="preserve"> reales, se usaran también </w:t>
      </w:r>
      <w:r w:rsidR="00EB6E1F" w:rsidRPr="00AB4D5D">
        <w:t>los costos</w:t>
      </w:r>
      <w:r w:rsidR="00471D5D">
        <w:t xml:space="preserve"> incurridos durante la implementación </w:t>
      </w:r>
      <w:r w:rsidR="00EB6E1F" w:rsidRPr="00AB4D5D">
        <w:t xml:space="preserve">del proyecto </w:t>
      </w:r>
      <w:r w:rsidR="00471D5D">
        <w:t xml:space="preserve">(a </w:t>
      </w:r>
      <w:r w:rsidR="00EB6E1F" w:rsidRPr="00AB4D5D">
        <w:t>precios vigentes</w:t>
      </w:r>
      <w:r w:rsidR="00471D5D">
        <w:t>)</w:t>
      </w:r>
      <w:r w:rsidR="00EB6E1F" w:rsidRPr="00AB4D5D">
        <w:t>, obteniéndose así una medida actualizada de si el proyecto resulta en una inversión rentable económicamente dados los costos y beneficios que ef</w:t>
      </w:r>
      <w:bookmarkStart w:id="19" w:name="_GoBack"/>
      <w:bookmarkEnd w:id="19"/>
      <w:r w:rsidR="00EB6E1F" w:rsidRPr="00AB4D5D">
        <w:t>ectivamente se materializaron. Este análisis</w:t>
      </w:r>
      <w:r w:rsidR="00471D5D">
        <w:t xml:space="preserve"> </w:t>
      </w:r>
      <w:r w:rsidR="00EB6E1F" w:rsidRPr="00AB4D5D">
        <w:t xml:space="preserve">permitirá aislar el efecto de </w:t>
      </w:r>
      <w:r w:rsidR="00471D5D">
        <w:t xml:space="preserve">posibles cambios </w:t>
      </w:r>
      <w:r w:rsidR="00EB6E1F" w:rsidRPr="00AB4D5D">
        <w:t>exógeno</w:t>
      </w:r>
      <w:r w:rsidR="00471D5D">
        <w:t>s</w:t>
      </w:r>
      <w:r w:rsidR="00EB6E1F" w:rsidRPr="00AB4D5D">
        <w:t xml:space="preserve"> </w:t>
      </w:r>
      <w:r w:rsidR="00471D5D">
        <w:t xml:space="preserve">en </w:t>
      </w:r>
      <w:r w:rsidR="00EB6E1F" w:rsidRPr="00AB4D5D">
        <w:t>costos</w:t>
      </w:r>
      <w:r w:rsidR="00471D5D">
        <w:t xml:space="preserve"> (primer escenario) de los c</w:t>
      </w:r>
      <w:r w:rsidR="00EB6E1F" w:rsidRPr="00AB4D5D">
        <w:t>ambios en los beneficios</w:t>
      </w:r>
      <w:r w:rsidR="00471D5D">
        <w:t xml:space="preserve"> totales</w:t>
      </w:r>
      <w:r w:rsidR="00EB6E1F" w:rsidRPr="00AB4D5D">
        <w:t xml:space="preserve"> realizados</w:t>
      </w:r>
      <w:r w:rsidR="00471D5D">
        <w:t xml:space="preserve"> (segundo escenario)</w:t>
      </w:r>
      <w:r w:rsidR="00EB6E1F" w:rsidRPr="00AB4D5D">
        <w:t xml:space="preserve">. Adicionalmente, </w:t>
      </w:r>
      <w:r>
        <w:t>la evaluación tomar</w:t>
      </w:r>
      <w:r w:rsidRPr="00AB4D5D">
        <w:t>á</w:t>
      </w:r>
      <w:r>
        <w:t xml:space="preserve"> en cuenta </w:t>
      </w:r>
      <w:r w:rsidR="00EB6E1F" w:rsidRPr="00AB4D5D">
        <w:t xml:space="preserve">la contribución del Proyecto a la reducción de emisiones de </w:t>
      </w:r>
      <w:proofErr w:type="spellStart"/>
      <w:r w:rsidR="00EB6E1F" w:rsidRPr="00AB4D5D">
        <w:t>CO2e</w:t>
      </w:r>
      <w:proofErr w:type="spellEnd"/>
      <w:r w:rsidR="00EB6E1F" w:rsidRPr="00AB4D5D">
        <w:t xml:space="preserve">. </w:t>
      </w:r>
      <w:r>
        <w:t>Para ello se usar</w:t>
      </w:r>
      <w:r w:rsidRPr="00AB4D5D">
        <w:t>á</w:t>
      </w:r>
      <w:r>
        <w:t xml:space="preserve"> </w:t>
      </w:r>
      <w:r w:rsidRPr="00C15C47">
        <w:t>el factor de emisión actualizad</w:t>
      </w:r>
      <w:r>
        <w:t xml:space="preserve">o, tal que </w:t>
      </w:r>
      <w:r w:rsidRPr="00C15C47">
        <w:t>la reducción de emisiones se calculará como el producto del ahorro de energía eléctrica alcanzado (</w:t>
      </w:r>
      <w:proofErr w:type="spellStart"/>
      <w:r>
        <w:t>M</w:t>
      </w:r>
      <w:r w:rsidRPr="00C15C47">
        <w:t>Wh</w:t>
      </w:r>
      <w:proofErr w:type="spellEnd"/>
      <w:r w:rsidRPr="00C15C47">
        <w:t xml:space="preserve">), por el factor </w:t>
      </w:r>
      <w:proofErr w:type="spellStart"/>
      <w:r w:rsidRPr="00C15C47">
        <w:t>factor</w:t>
      </w:r>
      <w:proofErr w:type="spellEnd"/>
      <w:r w:rsidRPr="00C15C47">
        <w:t xml:space="preserve"> de emisiones (</w:t>
      </w:r>
      <w:proofErr w:type="spellStart"/>
      <w:r w:rsidRPr="00C15C47">
        <w:t>GWh</w:t>
      </w:r>
      <w:proofErr w:type="spellEnd"/>
      <w:r w:rsidRPr="00C15C47">
        <w:t>/</w:t>
      </w:r>
      <w:proofErr w:type="spellStart"/>
      <w:r w:rsidRPr="00C15C47">
        <w:t>tCO2e</w:t>
      </w:r>
      <w:proofErr w:type="spellEnd"/>
      <w:r w:rsidRPr="00C15C47">
        <w:t>),</w:t>
      </w:r>
      <w:r>
        <w:t xml:space="preserve"> equivalente a </w:t>
      </w:r>
      <w:r w:rsidRPr="00C15C47">
        <w:t>las toneladas de bióxido de carbono que se dejarán de emitir.</w:t>
      </w:r>
    </w:p>
    <w:p w14:paraId="0FA28589" w14:textId="77777777" w:rsidR="00A34EC6" w:rsidRPr="002776C8" w:rsidRDefault="00A34EC6" w:rsidP="00411F51">
      <w:pPr>
        <w:pStyle w:val="FirstHeading"/>
      </w:pPr>
      <w:bookmarkStart w:id="20" w:name="_Toc513537397"/>
      <w:r w:rsidRPr="002776C8">
        <w:t>Presupuesto indicativo</w:t>
      </w:r>
      <w:bookmarkEnd w:id="20"/>
    </w:p>
    <w:p w14:paraId="68E9862D" w14:textId="77777777" w:rsidR="00DF0454" w:rsidRDefault="00DF0454" w:rsidP="00411F51">
      <w:pPr>
        <w:pStyle w:val="Paragraph"/>
      </w:pPr>
      <w:r w:rsidRPr="002776C8">
        <w:t xml:space="preserve">A </w:t>
      </w:r>
      <w:proofErr w:type="gramStart"/>
      <w:r w:rsidRPr="002776C8">
        <w:t>continuación</w:t>
      </w:r>
      <w:proofErr w:type="gramEnd"/>
      <w:r w:rsidR="00D537D0" w:rsidRPr="002776C8">
        <w:t xml:space="preserve"> se presenta</w:t>
      </w:r>
      <w:r w:rsidRPr="002776C8">
        <w:t xml:space="preserve"> una proyección preliminar del presupuesto global para la evaluación del proyecto</w:t>
      </w:r>
      <w:r w:rsidR="00D537D0" w:rsidRPr="002776C8">
        <w:t>, en dólares</w:t>
      </w:r>
      <w:r w:rsidRPr="002776C8">
        <w:t xml:space="preserve">. Se debe resaltar dos aspectos. Primero, los costos unitarios reportados son referenciales y deberán ser actualizados con un debido proceso de cotización y contacto con empresas y consultores locales. Segundo, el presupuesto presenta los costos de levantamiento de datos tanto para la línea de base como para la línea de seguimiento, misma que se realizará una vez </w:t>
      </w:r>
      <w:r w:rsidR="003756C5" w:rsidRPr="002776C8">
        <w:t>haya concluido la intervención.</w:t>
      </w:r>
    </w:p>
    <w:p w14:paraId="61CD4908" w14:textId="77777777" w:rsidR="00A34EC6" w:rsidRPr="002776C8" w:rsidRDefault="00A34EC6" w:rsidP="00411F51">
      <w:pPr>
        <w:pStyle w:val="FirstHeading"/>
      </w:pPr>
      <w:bookmarkStart w:id="21" w:name="_Toc418615776"/>
      <w:bookmarkStart w:id="22" w:name="_Toc513537398"/>
      <w:r w:rsidRPr="002776C8">
        <w:t>Equipo de Evaluación</w:t>
      </w:r>
      <w:bookmarkEnd w:id="21"/>
      <w:bookmarkEnd w:id="22"/>
    </w:p>
    <w:p w14:paraId="1B77AC33" w14:textId="74C8C486" w:rsidR="00A34EC6" w:rsidRPr="001C2EE1" w:rsidRDefault="00636CA3" w:rsidP="00411F51">
      <w:pPr>
        <w:pStyle w:val="Paragraph"/>
      </w:pPr>
      <w:r w:rsidRPr="002776C8">
        <w:t xml:space="preserve">La evaluación se realizará con supervisión del BID. </w:t>
      </w:r>
      <w:r w:rsidR="00A34EC6" w:rsidRPr="002776C8">
        <w:t xml:space="preserve">El equipo de </w:t>
      </w:r>
      <w:r w:rsidR="005E105B" w:rsidRPr="002776C8">
        <w:t>energía</w:t>
      </w:r>
      <w:r w:rsidR="00A34EC6" w:rsidRPr="002776C8">
        <w:t>, compuesto por e</w:t>
      </w:r>
      <w:r w:rsidR="00B04758" w:rsidRPr="002776C8">
        <w:t xml:space="preserve">l </w:t>
      </w:r>
      <w:r w:rsidR="00A34EC6" w:rsidRPr="002776C8">
        <w:t xml:space="preserve">jefe de proyecto </w:t>
      </w:r>
      <w:r w:rsidR="00045B34">
        <w:t xml:space="preserve">Sergio </w:t>
      </w:r>
      <w:r w:rsidR="00D21FC4">
        <w:t>Ballón</w:t>
      </w:r>
      <w:r w:rsidR="001C2EE1" w:rsidRPr="002776C8">
        <w:t xml:space="preserve"> (</w:t>
      </w:r>
      <w:r w:rsidR="00045B34">
        <w:t>INE</w:t>
      </w:r>
      <w:r w:rsidR="00207019">
        <w:t>/</w:t>
      </w:r>
      <w:r w:rsidR="00045B34">
        <w:t>ENE</w:t>
      </w:r>
      <w:r w:rsidR="001C2EE1" w:rsidRPr="002776C8">
        <w:t>) y la contraparte, compuesto por personal del VMEEA</w:t>
      </w:r>
      <w:r w:rsidR="00045B34">
        <w:t>, ENDE y PEVD</w:t>
      </w:r>
      <w:r w:rsidR="001C2EE1">
        <w:t xml:space="preserve"> y personal que esté a cargo de la evaluación</w:t>
      </w:r>
      <w:r w:rsidR="001C2EE1" w:rsidRPr="002776C8">
        <w:t>, monitorearán y participarán en las discusiones metodológicas para llevar ad</w:t>
      </w:r>
      <w:r w:rsidR="001C2EE1">
        <w:t>elante la evaluación de impacto.</w:t>
      </w:r>
    </w:p>
    <w:p w14:paraId="5915D068" w14:textId="77777777" w:rsidR="00DE4BE6" w:rsidRPr="002776C8" w:rsidRDefault="00DE4BE6" w:rsidP="00411F51">
      <w:pPr>
        <w:pStyle w:val="FirstHeading"/>
      </w:pPr>
      <w:bookmarkStart w:id="23" w:name="_Toc513537399"/>
      <w:r w:rsidRPr="002776C8">
        <w:t>Cronograma</w:t>
      </w:r>
      <w:bookmarkEnd w:id="23"/>
    </w:p>
    <w:p w14:paraId="34E9023E" w14:textId="77777777" w:rsidR="00DE4BE6" w:rsidRPr="002776C8" w:rsidRDefault="00274F7F" w:rsidP="00411F51">
      <w:pPr>
        <w:pStyle w:val="Paragraph"/>
      </w:pPr>
      <w:r w:rsidRPr="002776C8">
        <w:t>Se planea que pasará</w:t>
      </w:r>
      <w:r w:rsidR="002F1238" w:rsidRPr="002776C8">
        <w:t xml:space="preserve"> un año y medio</w:t>
      </w:r>
      <w:r w:rsidR="00DE4BE6" w:rsidRPr="002776C8">
        <w:t xml:space="preserve"> antes de la llegada de las primeras redes. La propuesta es generar los insumos para la evaluación en</w:t>
      </w:r>
      <w:r w:rsidR="00045B34">
        <w:t xml:space="preserve"> el 2024</w:t>
      </w:r>
      <w:r w:rsidR="002F1238" w:rsidRPr="002776C8">
        <w:t xml:space="preserve">. </w:t>
      </w:r>
    </w:p>
    <w:p w14:paraId="6A07E3E8" w14:textId="77777777" w:rsidR="00A34EC6" w:rsidRPr="002776C8" w:rsidRDefault="00A34EC6" w:rsidP="00575E4F">
      <w:pPr>
        <w:pStyle w:val="Paragraph"/>
        <w:rPr>
          <w:szCs w:val="24"/>
        </w:rPr>
        <w:sectPr w:rsidR="00A34EC6" w:rsidRPr="002776C8" w:rsidSect="00411F51">
          <w:pgSz w:w="12240" w:h="15840"/>
          <w:pgMar w:top="1632" w:right="1440" w:bottom="1440" w:left="1440" w:header="0" w:footer="986" w:gutter="0"/>
          <w:cols w:space="708"/>
          <w:docGrid w:linePitch="326"/>
        </w:sectPr>
      </w:pPr>
    </w:p>
    <w:tbl>
      <w:tblPr>
        <w:tblpPr w:leftFromText="180" w:rightFromText="180" w:vertAnchor="page" w:horzAnchor="margin" w:tblpXSpec="center" w:tblpY="1508"/>
        <w:tblW w:w="5625" w:type="pct"/>
        <w:tblLayout w:type="fixed"/>
        <w:tblLook w:val="04A0" w:firstRow="1" w:lastRow="0" w:firstColumn="1" w:lastColumn="0" w:noHBand="0" w:noVBand="1"/>
      </w:tblPr>
      <w:tblGrid>
        <w:gridCol w:w="1800"/>
        <w:gridCol w:w="720"/>
        <w:gridCol w:w="450"/>
        <w:gridCol w:w="450"/>
        <w:gridCol w:w="450"/>
        <w:gridCol w:w="450"/>
        <w:gridCol w:w="450"/>
        <w:gridCol w:w="450"/>
        <w:gridCol w:w="450"/>
        <w:gridCol w:w="450"/>
        <w:gridCol w:w="450"/>
        <w:gridCol w:w="450"/>
        <w:gridCol w:w="450"/>
        <w:gridCol w:w="450"/>
        <w:gridCol w:w="450"/>
        <w:gridCol w:w="450"/>
        <w:gridCol w:w="450"/>
        <w:gridCol w:w="450"/>
        <w:gridCol w:w="450"/>
        <w:gridCol w:w="450"/>
        <w:gridCol w:w="450"/>
        <w:gridCol w:w="450"/>
        <w:gridCol w:w="450"/>
        <w:gridCol w:w="990"/>
        <w:gridCol w:w="810"/>
        <w:gridCol w:w="810"/>
      </w:tblGrid>
      <w:tr w:rsidR="00046DE1" w:rsidRPr="00E164FA" w14:paraId="7DEA68CD" w14:textId="77777777" w:rsidTr="00B71B48">
        <w:trPr>
          <w:trHeight w:val="465"/>
        </w:trPr>
        <w:tc>
          <w:tcPr>
            <w:tcW w:w="14580" w:type="dxa"/>
            <w:gridSpan w:val="26"/>
            <w:tcBorders>
              <w:bottom w:val="single" w:sz="4" w:space="0" w:color="auto"/>
            </w:tcBorders>
            <w:shd w:val="clear" w:color="auto" w:fill="auto"/>
            <w:vAlign w:val="center"/>
          </w:tcPr>
          <w:p w14:paraId="4BBF1DE3" w14:textId="77777777" w:rsidR="00046DE1" w:rsidRPr="009F53F5" w:rsidRDefault="00046DE1" w:rsidP="00046DE1">
            <w:pPr>
              <w:jc w:val="center"/>
              <w:rPr>
                <w:rFonts w:ascii="Arial" w:hAnsi="Arial" w:cs="Arial"/>
                <w:b/>
                <w:bCs/>
                <w:sz w:val="20"/>
                <w:lang w:val="es-CR"/>
              </w:rPr>
            </w:pPr>
            <w:r w:rsidRPr="009F53F5">
              <w:rPr>
                <w:rFonts w:ascii="Arial" w:hAnsi="Arial" w:cs="Arial"/>
                <w:b/>
                <w:bCs/>
                <w:sz w:val="20"/>
                <w:lang w:val="es-CR"/>
              </w:rPr>
              <w:t>Costos del Plan de Evaluación</w:t>
            </w:r>
          </w:p>
        </w:tc>
      </w:tr>
      <w:tr w:rsidR="00E164FA" w:rsidRPr="00E164FA" w14:paraId="3C6EFBD4" w14:textId="77777777" w:rsidTr="004A35FE">
        <w:trPr>
          <w:trHeight w:val="465"/>
        </w:trPr>
        <w:tc>
          <w:tcPr>
            <w:tcW w:w="18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4C36A6C" w14:textId="77777777" w:rsidR="00046DE1" w:rsidRPr="00E164FA" w:rsidRDefault="00046DE1" w:rsidP="00046DE1">
            <w:pPr>
              <w:jc w:val="center"/>
              <w:rPr>
                <w:rFonts w:ascii="Arial" w:hAnsi="Arial" w:cs="Arial"/>
                <w:b/>
                <w:bCs/>
                <w:sz w:val="16"/>
                <w:szCs w:val="16"/>
                <w:lang w:val="es-CR"/>
              </w:rPr>
            </w:pPr>
            <w:r w:rsidRPr="00E164FA">
              <w:rPr>
                <w:rFonts w:ascii="Arial" w:hAnsi="Arial" w:cs="Arial"/>
                <w:b/>
                <w:bCs/>
                <w:sz w:val="16"/>
                <w:szCs w:val="16"/>
                <w:lang w:val="es-CR"/>
              </w:rPr>
              <w:t>Principales actividades de evaluación</w:t>
            </w:r>
          </w:p>
        </w:tc>
        <w:tc>
          <w:tcPr>
            <w:tcW w:w="1170" w:type="dxa"/>
            <w:gridSpan w:val="2"/>
            <w:tcBorders>
              <w:top w:val="single" w:sz="4" w:space="0" w:color="auto"/>
              <w:left w:val="nil"/>
              <w:bottom w:val="single" w:sz="4" w:space="0" w:color="auto"/>
              <w:right w:val="single" w:sz="4" w:space="0" w:color="auto"/>
            </w:tcBorders>
            <w:shd w:val="clear" w:color="000000" w:fill="D9D9D9"/>
            <w:vAlign w:val="center"/>
            <w:hideMark/>
          </w:tcPr>
          <w:p w14:paraId="77D68513" w14:textId="77777777" w:rsidR="00046DE1" w:rsidRPr="00E164FA" w:rsidRDefault="00046DE1" w:rsidP="00046DE1">
            <w:pPr>
              <w:jc w:val="center"/>
              <w:rPr>
                <w:rFonts w:ascii="Arial" w:hAnsi="Arial" w:cs="Arial"/>
                <w:b/>
                <w:bCs/>
                <w:sz w:val="16"/>
                <w:szCs w:val="16"/>
                <w:lang w:val="es-CR"/>
              </w:rPr>
            </w:pPr>
            <w:r w:rsidRPr="00E164FA">
              <w:rPr>
                <w:rFonts w:ascii="Arial" w:hAnsi="Arial" w:cs="Arial"/>
                <w:b/>
                <w:bCs/>
                <w:sz w:val="16"/>
                <w:szCs w:val="16"/>
                <w:lang w:val="es-CR"/>
              </w:rPr>
              <w:t>2019</w:t>
            </w:r>
          </w:p>
        </w:tc>
        <w:tc>
          <w:tcPr>
            <w:tcW w:w="1800" w:type="dxa"/>
            <w:gridSpan w:val="4"/>
            <w:tcBorders>
              <w:top w:val="single" w:sz="4" w:space="0" w:color="auto"/>
              <w:left w:val="nil"/>
              <w:bottom w:val="single" w:sz="4" w:space="0" w:color="auto"/>
              <w:right w:val="single" w:sz="4" w:space="0" w:color="auto"/>
            </w:tcBorders>
            <w:shd w:val="clear" w:color="000000" w:fill="D9D9D9"/>
            <w:vAlign w:val="center"/>
            <w:hideMark/>
          </w:tcPr>
          <w:p w14:paraId="7BBC33EB" w14:textId="77777777" w:rsidR="00046DE1" w:rsidRPr="00E164FA" w:rsidRDefault="00046DE1" w:rsidP="00046DE1">
            <w:pPr>
              <w:jc w:val="center"/>
              <w:rPr>
                <w:rFonts w:ascii="Arial" w:hAnsi="Arial" w:cs="Arial"/>
                <w:b/>
                <w:bCs/>
                <w:sz w:val="16"/>
                <w:szCs w:val="16"/>
                <w:lang w:val="es-CR"/>
              </w:rPr>
            </w:pPr>
            <w:r w:rsidRPr="00E164FA">
              <w:rPr>
                <w:rFonts w:ascii="Arial" w:hAnsi="Arial" w:cs="Arial"/>
                <w:b/>
                <w:bCs/>
                <w:sz w:val="16"/>
                <w:szCs w:val="16"/>
                <w:lang w:val="es-CR"/>
              </w:rPr>
              <w:t>2020</w:t>
            </w:r>
          </w:p>
        </w:tc>
        <w:tc>
          <w:tcPr>
            <w:tcW w:w="1800" w:type="dxa"/>
            <w:gridSpan w:val="4"/>
            <w:tcBorders>
              <w:top w:val="single" w:sz="4" w:space="0" w:color="auto"/>
              <w:left w:val="nil"/>
              <w:bottom w:val="single" w:sz="4" w:space="0" w:color="auto"/>
              <w:right w:val="single" w:sz="4" w:space="0" w:color="auto"/>
            </w:tcBorders>
            <w:shd w:val="clear" w:color="000000" w:fill="D9D9D9"/>
            <w:vAlign w:val="center"/>
            <w:hideMark/>
          </w:tcPr>
          <w:p w14:paraId="7E20AEAF" w14:textId="77777777" w:rsidR="00046DE1" w:rsidRPr="00E164FA" w:rsidRDefault="00046DE1" w:rsidP="00046DE1">
            <w:pPr>
              <w:jc w:val="center"/>
              <w:rPr>
                <w:rFonts w:ascii="Arial" w:hAnsi="Arial" w:cs="Arial"/>
                <w:b/>
                <w:bCs/>
                <w:sz w:val="16"/>
                <w:szCs w:val="16"/>
                <w:lang w:val="es-CR"/>
              </w:rPr>
            </w:pPr>
            <w:r w:rsidRPr="00E164FA">
              <w:rPr>
                <w:rFonts w:ascii="Arial" w:hAnsi="Arial" w:cs="Arial"/>
                <w:b/>
                <w:bCs/>
                <w:sz w:val="16"/>
                <w:szCs w:val="16"/>
                <w:lang w:val="es-CR"/>
              </w:rPr>
              <w:t>2021</w:t>
            </w:r>
          </w:p>
        </w:tc>
        <w:tc>
          <w:tcPr>
            <w:tcW w:w="1800" w:type="dxa"/>
            <w:gridSpan w:val="4"/>
            <w:tcBorders>
              <w:top w:val="single" w:sz="4" w:space="0" w:color="auto"/>
              <w:left w:val="nil"/>
              <w:bottom w:val="single" w:sz="4" w:space="0" w:color="auto"/>
              <w:right w:val="single" w:sz="4" w:space="0" w:color="auto"/>
            </w:tcBorders>
            <w:shd w:val="clear" w:color="000000" w:fill="D9D9D9"/>
            <w:vAlign w:val="center"/>
            <w:hideMark/>
          </w:tcPr>
          <w:p w14:paraId="46DA7A91" w14:textId="77777777" w:rsidR="00046DE1" w:rsidRPr="00E164FA" w:rsidRDefault="00046DE1" w:rsidP="00046DE1">
            <w:pPr>
              <w:jc w:val="center"/>
              <w:rPr>
                <w:rFonts w:ascii="Arial" w:hAnsi="Arial" w:cs="Arial"/>
                <w:b/>
                <w:bCs/>
                <w:sz w:val="16"/>
                <w:szCs w:val="16"/>
                <w:lang w:val="es-CR"/>
              </w:rPr>
            </w:pPr>
            <w:r w:rsidRPr="00E164FA">
              <w:rPr>
                <w:rFonts w:ascii="Arial" w:hAnsi="Arial" w:cs="Arial"/>
                <w:b/>
                <w:bCs/>
                <w:sz w:val="16"/>
                <w:szCs w:val="16"/>
                <w:lang w:val="es-CR"/>
              </w:rPr>
              <w:t>2022</w:t>
            </w:r>
          </w:p>
        </w:tc>
        <w:tc>
          <w:tcPr>
            <w:tcW w:w="1800" w:type="dxa"/>
            <w:gridSpan w:val="4"/>
            <w:tcBorders>
              <w:top w:val="single" w:sz="4" w:space="0" w:color="auto"/>
              <w:left w:val="nil"/>
              <w:bottom w:val="single" w:sz="4" w:space="0" w:color="auto"/>
              <w:right w:val="single" w:sz="4" w:space="0" w:color="auto"/>
            </w:tcBorders>
            <w:shd w:val="clear" w:color="000000" w:fill="D9D9D9"/>
            <w:vAlign w:val="center"/>
            <w:hideMark/>
          </w:tcPr>
          <w:p w14:paraId="469CE46B" w14:textId="77777777" w:rsidR="00046DE1" w:rsidRPr="00E164FA" w:rsidRDefault="00046DE1" w:rsidP="00046DE1">
            <w:pPr>
              <w:jc w:val="center"/>
              <w:rPr>
                <w:rFonts w:ascii="Arial" w:hAnsi="Arial" w:cs="Arial"/>
                <w:b/>
                <w:bCs/>
                <w:sz w:val="16"/>
                <w:szCs w:val="16"/>
                <w:lang w:val="es-CR"/>
              </w:rPr>
            </w:pPr>
            <w:r w:rsidRPr="00E164FA">
              <w:rPr>
                <w:rFonts w:ascii="Arial" w:hAnsi="Arial" w:cs="Arial"/>
                <w:b/>
                <w:bCs/>
                <w:sz w:val="16"/>
                <w:szCs w:val="16"/>
                <w:lang w:val="es-CR"/>
              </w:rPr>
              <w:t>2023</w:t>
            </w:r>
          </w:p>
        </w:tc>
        <w:tc>
          <w:tcPr>
            <w:tcW w:w="1800" w:type="dxa"/>
            <w:gridSpan w:val="4"/>
            <w:tcBorders>
              <w:top w:val="single" w:sz="4" w:space="0" w:color="auto"/>
              <w:left w:val="nil"/>
              <w:bottom w:val="single" w:sz="4" w:space="0" w:color="auto"/>
              <w:right w:val="single" w:sz="4" w:space="0" w:color="auto"/>
            </w:tcBorders>
            <w:shd w:val="clear" w:color="000000" w:fill="D9D9D9"/>
            <w:vAlign w:val="center"/>
            <w:hideMark/>
          </w:tcPr>
          <w:p w14:paraId="0BF3AB40" w14:textId="77777777" w:rsidR="00046DE1" w:rsidRPr="00E164FA" w:rsidRDefault="00046DE1" w:rsidP="00046DE1">
            <w:pPr>
              <w:jc w:val="center"/>
              <w:rPr>
                <w:rFonts w:ascii="Arial" w:hAnsi="Arial" w:cs="Arial"/>
                <w:b/>
                <w:bCs/>
                <w:sz w:val="16"/>
                <w:szCs w:val="16"/>
                <w:lang w:val="es-CR"/>
              </w:rPr>
            </w:pPr>
            <w:r w:rsidRPr="00E164FA">
              <w:rPr>
                <w:rFonts w:ascii="Arial" w:hAnsi="Arial" w:cs="Arial"/>
                <w:b/>
                <w:bCs/>
                <w:sz w:val="16"/>
                <w:szCs w:val="16"/>
                <w:lang w:val="es-CR"/>
              </w:rPr>
              <w:t>2024</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DFD6994" w14:textId="77777777" w:rsidR="00046DE1" w:rsidRPr="00E164FA" w:rsidRDefault="00046DE1" w:rsidP="00046DE1">
            <w:pPr>
              <w:jc w:val="center"/>
              <w:rPr>
                <w:rFonts w:ascii="Arial" w:hAnsi="Arial" w:cs="Arial"/>
                <w:b/>
                <w:bCs/>
                <w:i/>
                <w:iCs/>
                <w:sz w:val="16"/>
                <w:szCs w:val="16"/>
                <w:lang w:val="es-CR"/>
              </w:rPr>
            </w:pPr>
            <w:r w:rsidRPr="00E164FA">
              <w:rPr>
                <w:rFonts w:ascii="Arial" w:hAnsi="Arial" w:cs="Arial"/>
                <w:b/>
                <w:bCs/>
                <w:i/>
                <w:iCs/>
                <w:sz w:val="16"/>
                <w:szCs w:val="16"/>
                <w:lang w:val="es-CR"/>
              </w:rPr>
              <w:t>Responsable</w:t>
            </w:r>
          </w:p>
        </w:tc>
        <w:tc>
          <w:tcPr>
            <w:tcW w:w="810" w:type="dxa"/>
            <w:tcBorders>
              <w:top w:val="single" w:sz="4" w:space="0" w:color="auto"/>
              <w:left w:val="nil"/>
              <w:bottom w:val="single" w:sz="4" w:space="0" w:color="auto"/>
              <w:right w:val="single" w:sz="4" w:space="0" w:color="auto"/>
            </w:tcBorders>
            <w:shd w:val="clear" w:color="000000" w:fill="D9D9D9"/>
            <w:vAlign w:val="center"/>
            <w:hideMark/>
          </w:tcPr>
          <w:p w14:paraId="1DC81681" w14:textId="77777777" w:rsidR="00046DE1" w:rsidRPr="00E164FA" w:rsidRDefault="00046DE1" w:rsidP="00046DE1">
            <w:pPr>
              <w:jc w:val="center"/>
              <w:rPr>
                <w:rFonts w:ascii="Arial" w:hAnsi="Arial" w:cs="Arial"/>
                <w:b/>
                <w:bCs/>
                <w:sz w:val="16"/>
                <w:szCs w:val="16"/>
                <w:lang w:val="es-CR"/>
              </w:rPr>
            </w:pPr>
            <w:r w:rsidRPr="00E164FA">
              <w:rPr>
                <w:rFonts w:ascii="Arial" w:hAnsi="Arial" w:cs="Arial"/>
                <w:b/>
                <w:bCs/>
                <w:sz w:val="16"/>
                <w:szCs w:val="16"/>
                <w:lang w:val="es-CR"/>
              </w:rPr>
              <w:t>Costo</w:t>
            </w:r>
          </w:p>
        </w:tc>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0140E22" w14:textId="77777777" w:rsidR="00046DE1" w:rsidRPr="00E164FA" w:rsidRDefault="00046DE1" w:rsidP="00046DE1">
            <w:pPr>
              <w:jc w:val="center"/>
              <w:rPr>
                <w:rFonts w:ascii="Arial" w:hAnsi="Arial" w:cs="Arial"/>
                <w:b/>
                <w:bCs/>
                <w:sz w:val="16"/>
                <w:szCs w:val="16"/>
                <w:lang w:val="es-CR"/>
              </w:rPr>
            </w:pPr>
            <w:r w:rsidRPr="00E164FA">
              <w:rPr>
                <w:rFonts w:ascii="Arial" w:hAnsi="Arial" w:cs="Arial"/>
                <w:b/>
                <w:bCs/>
                <w:sz w:val="16"/>
                <w:szCs w:val="16"/>
                <w:lang w:val="es-CR"/>
              </w:rPr>
              <w:t>Fuente</w:t>
            </w:r>
          </w:p>
        </w:tc>
      </w:tr>
      <w:tr w:rsidR="004A35FE" w:rsidRPr="00E164FA" w14:paraId="315D523C" w14:textId="77777777" w:rsidTr="004A35FE">
        <w:trPr>
          <w:trHeight w:val="480"/>
        </w:trPr>
        <w:tc>
          <w:tcPr>
            <w:tcW w:w="1800" w:type="dxa"/>
            <w:vMerge/>
            <w:tcBorders>
              <w:top w:val="single" w:sz="4" w:space="0" w:color="auto"/>
              <w:left w:val="single" w:sz="4" w:space="0" w:color="auto"/>
              <w:bottom w:val="single" w:sz="4" w:space="0" w:color="auto"/>
              <w:right w:val="single" w:sz="4" w:space="0" w:color="auto"/>
            </w:tcBorders>
            <w:vAlign w:val="center"/>
            <w:hideMark/>
          </w:tcPr>
          <w:p w14:paraId="08BFC6D1" w14:textId="77777777" w:rsidR="00046DE1" w:rsidRPr="00E164FA" w:rsidRDefault="00046DE1" w:rsidP="00046DE1">
            <w:pPr>
              <w:rPr>
                <w:rFonts w:ascii="Arial" w:hAnsi="Arial" w:cs="Arial"/>
                <w:b/>
                <w:bCs/>
                <w:sz w:val="16"/>
                <w:szCs w:val="16"/>
                <w:lang w:val="es-CR"/>
              </w:rPr>
            </w:pPr>
          </w:p>
        </w:tc>
        <w:tc>
          <w:tcPr>
            <w:tcW w:w="720" w:type="dxa"/>
            <w:tcBorders>
              <w:top w:val="nil"/>
              <w:left w:val="nil"/>
              <w:bottom w:val="single" w:sz="4" w:space="0" w:color="auto"/>
              <w:right w:val="single" w:sz="4" w:space="0" w:color="auto"/>
            </w:tcBorders>
            <w:shd w:val="clear" w:color="000000" w:fill="D9D9D9"/>
            <w:vAlign w:val="center"/>
            <w:hideMark/>
          </w:tcPr>
          <w:p w14:paraId="403AE863" w14:textId="77777777" w:rsidR="00046DE1" w:rsidRPr="00E164FA" w:rsidRDefault="00046DE1" w:rsidP="00046DE1">
            <w:pPr>
              <w:jc w:val="center"/>
              <w:rPr>
                <w:rFonts w:ascii="Arial" w:hAnsi="Arial" w:cs="Arial"/>
                <w:b/>
                <w:bCs/>
                <w:sz w:val="16"/>
                <w:szCs w:val="16"/>
                <w:lang w:val="es-CR"/>
              </w:rPr>
            </w:pPr>
            <w:proofErr w:type="spellStart"/>
            <w:r w:rsidRPr="00E164FA">
              <w:rPr>
                <w:rFonts w:ascii="Arial" w:hAnsi="Arial" w:cs="Arial"/>
                <w:b/>
                <w:bCs/>
                <w:sz w:val="16"/>
                <w:szCs w:val="16"/>
                <w:lang w:val="es-CR"/>
              </w:rPr>
              <w:t>T3</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2EF1FB1A" w14:textId="77777777" w:rsidR="00046DE1" w:rsidRPr="00E164FA" w:rsidRDefault="00046DE1" w:rsidP="00046DE1">
            <w:pPr>
              <w:rPr>
                <w:rFonts w:ascii="Arial" w:hAnsi="Arial" w:cs="Arial"/>
                <w:b/>
                <w:bCs/>
                <w:sz w:val="16"/>
                <w:szCs w:val="16"/>
                <w:lang w:val="es-CR"/>
              </w:rPr>
            </w:pPr>
            <w:proofErr w:type="spellStart"/>
            <w:r w:rsidRPr="00E164FA">
              <w:rPr>
                <w:rFonts w:ascii="Arial" w:hAnsi="Arial" w:cs="Arial"/>
                <w:b/>
                <w:bCs/>
                <w:sz w:val="16"/>
                <w:szCs w:val="16"/>
                <w:lang w:val="es-CR"/>
              </w:rPr>
              <w:t>T4</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143AE5D2" w14:textId="77777777" w:rsidR="00046DE1" w:rsidRPr="00E164FA" w:rsidRDefault="00046DE1" w:rsidP="00046DE1">
            <w:pPr>
              <w:jc w:val="center"/>
              <w:rPr>
                <w:rFonts w:ascii="Arial" w:hAnsi="Arial" w:cs="Arial"/>
                <w:b/>
                <w:bCs/>
                <w:sz w:val="16"/>
                <w:szCs w:val="16"/>
                <w:lang w:val="es-CR"/>
              </w:rPr>
            </w:pPr>
            <w:proofErr w:type="spellStart"/>
            <w:r w:rsidRPr="00E164FA">
              <w:rPr>
                <w:rFonts w:ascii="Arial" w:hAnsi="Arial" w:cs="Arial"/>
                <w:b/>
                <w:bCs/>
                <w:sz w:val="16"/>
                <w:szCs w:val="16"/>
                <w:lang w:val="es-CR"/>
              </w:rPr>
              <w:t>T1</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328F66CE" w14:textId="77777777" w:rsidR="00046DE1" w:rsidRPr="00E164FA" w:rsidRDefault="00046DE1" w:rsidP="00046DE1">
            <w:pPr>
              <w:jc w:val="center"/>
              <w:rPr>
                <w:rFonts w:ascii="Arial" w:hAnsi="Arial" w:cs="Arial"/>
                <w:b/>
                <w:bCs/>
                <w:sz w:val="16"/>
                <w:szCs w:val="16"/>
                <w:lang w:val="es-CR"/>
              </w:rPr>
            </w:pPr>
            <w:proofErr w:type="spellStart"/>
            <w:r w:rsidRPr="00E164FA">
              <w:rPr>
                <w:rFonts w:ascii="Arial" w:hAnsi="Arial" w:cs="Arial"/>
                <w:b/>
                <w:bCs/>
                <w:sz w:val="16"/>
                <w:szCs w:val="16"/>
                <w:lang w:val="es-CR"/>
              </w:rPr>
              <w:t>T2</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4267CB8C" w14:textId="77777777" w:rsidR="00046DE1" w:rsidRPr="00E164FA" w:rsidRDefault="00046DE1" w:rsidP="00046DE1">
            <w:pPr>
              <w:jc w:val="center"/>
              <w:rPr>
                <w:rFonts w:ascii="Arial" w:hAnsi="Arial" w:cs="Arial"/>
                <w:b/>
                <w:bCs/>
                <w:sz w:val="16"/>
                <w:szCs w:val="16"/>
                <w:lang w:val="es-CR"/>
              </w:rPr>
            </w:pPr>
            <w:proofErr w:type="spellStart"/>
            <w:r w:rsidRPr="00E164FA">
              <w:rPr>
                <w:rFonts w:ascii="Arial" w:hAnsi="Arial" w:cs="Arial"/>
                <w:b/>
                <w:bCs/>
                <w:sz w:val="16"/>
                <w:szCs w:val="16"/>
                <w:lang w:val="es-CR"/>
              </w:rPr>
              <w:t>T3</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22F8841E" w14:textId="77777777" w:rsidR="00046DE1" w:rsidRPr="00E164FA" w:rsidRDefault="00046DE1" w:rsidP="00046DE1">
            <w:pPr>
              <w:rPr>
                <w:rFonts w:ascii="Arial" w:hAnsi="Arial" w:cs="Arial"/>
                <w:b/>
                <w:bCs/>
                <w:sz w:val="16"/>
                <w:szCs w:val="16"/>
                <w:lang w:val="es-CR"/>
              </w:rPr>
            </w:pPr>
            <w:proofErr w:type="spellStart"/>
            <w:r w:rsidRPr="00E164FA">
              <w:rPr>
                <w:rFonts w:ascii="Arial" w:hAnsi="Arial" w:cs="Arial"/>
                <w:b/>
                <w:bCs/>
                <w:sz w:val="16"/>
                <w:szCs w:val="16"/>
                <w:lang w:val="es-CR"/>
              </w:rPr>
              <w:t>T4</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32F1269A" w14:textId="77777777" w:rsidR="00046DE1" w:rsidRPr="00E164FA" w:rsidRDefault="00046DE1" w:rsidP="00046DE1">
            <w:pPr>
              <w:jc w:val="center"/>
              <w:rPr>
                <w:rFonts w:ascii="Arial" w:hAnsi="Arial" w:cs="Arial"/>
                <w:b/>
                <w:bCs/>
                <w:sz w:val="16"/>
                <w:szCs w:val="16"/>
                <w:lang w:val="es-CR"/>
              </w:rPr>
            </w:pPr>
            <w:proofErr w:type="spellStart"/>
            <w:r w:rsidRPr="00E164FA">
              <w:rPr>
                <w:rFonts w:ascii="Arial" w:hAnsi="Arial" w:cs="Arial"/>
                <w:b/>
                <w:bCs/>
                <w:sz w:val="16"/>
                <w:szCs w:val="16"/>
                <w:lang w:val="es-CR"/>
              </w:rPr>
              <w:t>T1</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6862A228" w14:textId="77777777" w:rsidR="00046DE1" w:rsidRPr="00E164FA" w:rsidRDefault="00046DE1" w:rsidP="00046DE1">
            <w:pPr>
              <w:jc w:val="center"/>
              <w:rPr>
                <w:rFonts w:ascii="Arial" w:hAnsi="Arial" w:cs="Arial"/>
                <w:b/>
                <w:bCs/>
                <w:sz w:val="16"/>
                <w:szCs w:val="16"/>
                <w:lang w:val="es-CR"/>
              </w:rPr>
            </w:pPr>
            <w:proofErr w:type="spellStart"/>
            <w:r w:rsidRPr="00E164FA">
              <w:rPr>
                <w:rFonts w:ascii="Arial" w:hAnsi="Arial" w:cs="Arial"/>
                <w:b/>
                <w:bCs/>
                <w:sz w:val="16"/>
                <w:szCs w:val="16"/>
                <w:lang w:val="es-CR"/>
              </w:rPr>
              <w:t>T2</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2AF3CBEC" w14:textId="77777777" w:rsidR="00046DE1" w:rsidRPr="00E164FA" w:rsidRDefault="00046DE1" w:rsidP="00046DE1">
            <w:pPr>
              <w:jc w:val="center"/>
              <w:rPr>
                <w:rFonts w:ascii="Arial" w:hAnsi="Arial" w:cs="Arial"/>
                <w:b/>
                <w:bCs/>
                <w:sz w:val="16"/>
                <w:szCs w:val="16"/>
                <w:lang w:val="es-CR"/>
              </w:rPr>
            </w:pPr>
            <w:proofErr w:type="spellStart"/>
            <w:r w:rsidRPr="00E164FA">
              <w:rPr>
                <w:rFonts w:ascii="Arial" w:hAnsi="Arial" w:cs="Arial"/>
                <w:b/>
                <w:bCs/>
                <w:sz w:val="16"/>
                <w:szCs w:val="16"/>
                <w:lang w:val="es-CR"/>
              </w:rPr>
              <w:t>T3</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65E2EC15" w14:textId="77777777" w:rsidR="00046DE1" w:rsidRPr="00E164FA" w:rsidRDefault="00046DE1" w:rsidP="00046DE1">
            <w:pPr>
              <w:rPr>
                <w:rFonts w:ascii="Arial" w:hAnsi="Arial" w:cs="Arial"/>
                <w:b/>
                <w:bCs/>
                <w:sz w:val="16"/>
                <w:szCs w:val="16"/>
                <w:lang w:val="es-CR"/>
              </w:rPr>
            </w:pPr>
            <w:proofErr w:type="spellStart"/>
            <w:r w:rsidRPr="00E164FA">
              <w:rPr>
                <w:rFonts w:ascii="Arial" w:hAnsi="Arial" w:cs="Arial"/>
                <w:b/>
                <w:bCs/>
                <w:sz w:val="16"/>
                <w:szCs w:val="16"/>
                <w:lang w:val="es-CR"/>
              </w:rPr>
              <w:t>T4</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4D87C92E" w14:textId="77777777" w:rsidR="00046DE1" w:rsidRPr="00E164FA" w:rsidRDefault="00046DE1" w:rsidP="00046DE1">
            <w:pPr>
              <w:jc w:val="center"/>
              <w:rPr>
                <w:rFonts w:ascii="Arial" w:hAnsi="Arial" w:cs="Arial"/>
                <w:b/>
                <w:bCs/>
                <w:sz w:val="16"/>
                <w:szCs w:val="16"/>
                <w:lang w:val="es-CR"/>
              </w:rPr>
            </w:pPr>
            <w:proofErr w:type="spellStart"/>
            <w:r w:rsidRPr="00E164FA">
              <w:rPr>
                <w:rFonts w:ascii="Arial" w:hAnsi="Arial" w:cs="Arial"/>
                <w:b/>
                <w:bCs/>
                <w:sz w:val="16"/>
                <w:szCs w:val="16"/>
                <w:lang w:val="es-CR"/>
              </w:rPr>
              <w:t>T1</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6D3DC499" w14:textId="77777777" w:rsidR="00046DE1" w:rsidRPr="00E164FA" w:rsidRDefault="00046DE1" w:rsidP="00046DE1">
            <w:pPr>
              <w:jc w:val="center"/>
              <w:rPr>
                <w:rFonts w:ascii="Arial" w:hAnsi="Arial" w:cs="Arial"/>
                <w:b/>
                <w:bCs/>
                <w:sz w:val="16"/>
                <w:szCs w:val="16"/>
                <w:lang w:val="es-CR"/>
              </w:rPr>
            </w:pPr>
            <w:proofErr w:type="spellStart"/>
            <w:r w:rsidRPr="00E164FA">
              <w:rPr>
                <w:rFonts w:ascii="Arial" w:hAnsi="Arial" w:cs="Arial"/>
                <w:b/>
                <w:bCs/>
                <w:sz w:val="16"/>
                <w:szCs w:val="16"/>
                <w:lang w:val="es-CR"/>
              </w:rPr>
              <w:t>T2</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75AC0815" w14:textId="77777777" w:rsidR="00046DE1" w:rsidRPr="00E164FA" w:rsidRDefault="00046DE1" w:rsidP="00046DE1">
            <w:pPr>
              <w:jc w:val="center"/>
              <w:rPr>
                <w:rFonts w:ascii="Arial" w:hAnsi="Arial" w:cs="Arial"/>
                <w:b/>
                <w:bCs/>
                <w:sz w:val="16"/>
                <w:szCs w:val="16"/>
                <w:lang w:val="es-CR"/>
              </w:rPr>
            </w:pPr>
            <w:proofErr w:type="spellStart"/>
            <w:r w:rsidRPr="00E164FA">
              <w:rPr>
                <w:rFonts w:ascii="Arial" w:hAnsi="Arial" w:cs="Arial"/>
                <w:b/>
                <w:bCs/>
                <w:sz w:val="16"/>
                <w:szCs w:val="16"/>
                <w:lang w:val="es-CR"/>
              </w:rPr>
              <w:t>T3</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63BEFA0C" w14:textId="77777777" w:rsidR="00046DE1" w:rsidRPr="00E164FA" w:rsidRDefault="00046DE1" w:rsidP="00046DE1">
            <w:pPr>
              <w:rPr>
                <w:rFonts w:ascii="Arial" w:hAnsi="Arial" w:cs="Arial"/>
                <w:b/>
                <w:bCs/>
                <w:sz w:val="16"/>
                <w:szCs w:val="16"/>
                <w:lang w:val="es-CR"/>
              </w:rPr>
            </w:pPr>
            <w:proofErr w:type="spellStart"/>
            <w:r w:rsidRPr="00E164FA">
              <w:rPr>
                <w:rFonts w:ascii="Arial" w:hAnsi="Arial" w:cs="Arial"/>
                <w:b/>
                <w:bCs/>
                <w:sz w:val="16"/>
                <w:szCs w:val="16"/>
                <w:lang w:val="es-CR"/>
              </w:rPr>
              <w:t>T4</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308B9845" w14:textId="77777777" w:rsidR="00046DE1" w:rsidRPr="00E164FA" w:rsidRDefault="00046DE1" w:rsidP="00046DE1">
            <w:pPr>
              <w:jc w:val="center"/>
              <w:rPr>
                <w:rFonts w:ascii="Arial" w:hAnsi="Arial" w:cs="Arial"/>
                <w:b/>
                <w:bCs/>
                <w:sz w:val="16"/>
                <w:szCs w:val="16"/>
                <w:lang w:val="es-CR"/>
              </w:rPr>
            </w:pPr>
            <w:proofErr w:type="spellStart"/>
            <w:r w:rsidRPr="00E164FA">
              <w:rPr>
                <w:rFonts w:ascii="Arial" w:hAnsi="Arial" w:cs="Arial"/>
                <w:b/>
                <w:bCs/>
                <w:sz w:val="16"/>
                <w:szCs w:val="16"/>
                <w:lang w:val="es-CR"/>
              </w:rPr>
              <w:t>T1</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765D56D8" w14:textId="77777777" w:rsidR="00046DE1" w:rsidRPr="00E164FA" w:rsidRDefault="00046DE1" w:rsidP="00046DE1">
            <w:pPr>
              <w:jc w:val="center"/>
              <w:rPr>
                <w:rFonts w:ascii="Arial" w:hAnsi="Arial" w:cs="Arial"/>
                <w:b/>
                <w:bCs/>
                <w:sz w:val="16"/>
                <w:szCs w:val="16"/>
                <w:lang w:val="es-CR"/>
              </w:rPr>
            </w:pPr>
            <w:proofErr w:type="spellStart"/>
            <w:r w:rsidRPr="00E164FA">
              <w:rPr>
                <w:rFonts w:ascii="Arial" w:hAnsi="Arial" w:cs="Arial"/>
                <w:b/>
                <w:bCs/>
                <w:sz w:val="16"/>
                <w:szCs w:val="16"/>
                <w:lang w:val="es-CR"/>
              </w:rPr>
              <w:t>T2</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75D99D1E" w14:textId="77777777" w:rsidR="00046DE1" w:rsidRPr="00E164FA" w:rsidRDefault="00046DE1" w:rsidP="00046DE1">
            <w:pPr>
              <w:jc w:val="center"/>
              <w:rPr>
                <w:rFonts w:ascii="Arial" w:hAnsi="Arial" w:cs="Arial"/>
                <w:b/>
                <w:bCs/>
                <w:sz w:val="16"/>
                <w:szCs w:val="16"/>
                <w:lang w:val="es-CR"/>
              </w:rPr>
            </w:pPr>
            <w:proofErr w:type="spellStart"/>
            <w:r w:rsidRPr="00E164FA">
              <w:rPr>
                <w:rFonts w:ascii="Arial" w:hAnsi="Arial" w:cs="Arial"/>
                <w:b/>
                <w:bCs/>
                <w:sz w:val="16"/>
                <w:szCs w:val="16"/>
                <w:lang w:val="es-CR"/>
              </w:rPr>
              <w:t>T3</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386D8375" w14:textId="77777777" w:rsidR="00046DE1" w:rsidRPr="00E164FA" w:rsidRDefault="00046DE1" w:rsidP="00046DE1">
            <w:pPr>
              <w:rPr>
                <w:rFonts w:ascii="Arial" w:hAnsi="Arial" w:cs="Arial"/>
                <w:b/>
                <w:bCs/>
                <w:sz w:val="16"/>
                <w:szCs w:val="16"/>
                <w:lang w:val="es-CR"/>
              </w:rPr>
            </w:pPr>
            <w:proofErr w:type="spellStart"/>
            <w:r w:rsidRPr="00E164FA">
              <w:rPr>
                <w:rFonts w:ascii="Arial" w:hAnsi="Arial" w:cs="Arial"/>
                <w:b/>
                <w:bCs/>
                <w:sz w:val="16"/>
                <w:szCs w:val="16"/>
                <w:lang w:val="es-CR"/>
              </w:rPr>
              <w:t>T4</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5C58E735" w14:textId="77777777" w:rsidR="00046DE1" w:rsidRPr="00E164FA" w:rsidRDefault="00046DE1" w:rsidP="00046DE1">
            <w:pPr>
              <w:jc w:val="center"/>
              <w:rPr>
                <w:rFonts w:ascii="Arial" w:hAnsi="Arial" w:cs="Arial"/>
                <w:b/>
                <w:bCs/>
                <w:sz w:val="16"/>
                <w:szCs w:val="16"/>
                <w:lang w:val="es-CR"/>
              </w:rPr>
            </w:pPr>
            <w:proofErr w:type="spellStart"/>
            <w:r w:rsidRPr="00E164FA">
              <w:rPr>
                <w:rFonts w:ascii="Arial" w:hAnsi="Arial" w:cs="Arial"/>
                <w:b/>
                <w:bCs/>
                <w:sz w:val="16"/>
                <w:szCs w:val="16"/>
                <w:lang w:val="es-CR"/>
              </w:rPr>
              <w:t>T1</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59AAD5F0" w14:textId="77777777" w:rsidR="00046DE1" w:rsidRPr="00E164FA" w:rsidRDefault="00046DE1" w:rsidP="00046DE1">
            <w:pPr>
              <w:jc w:val="center"/>
              <w:rPr>
                <w:rFonts w:ascii="Arial" w:hAnsi="Arial" w:cs="Arial"/>
                <w:b/>
                <w:bCs/>
                <w:sz w:val="16"/>
                <w:szCs w:val="16"/>
                <w:lang w:val="es-CR"/>
              </w:rPr>
            </w:pPr>
            <w:proofErr w:type="spellStart"/>
            <w:r w:rsidRPr="00E164FA">
              <w:rPr>
                <w:rFonts w:ascii="Arial" w:hAnsi="Arial" w:cs="Arial"/>
                <w:b/>
                <w:bCs/>
                <w:sz w:val="16"/>
                <w:szCs w:val="16"/>
                <w:lang w:val="es-CR"/>
              </w:rPr>
              <w:t>T2</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09DE316E" w14:textId="77777777" w:rsidR="00046DE1" w:rsidRPr="00E164FA" w:rsidRDefault="00046DE1" w:rsidP="00046DE1">
            <w:pPr>
              <w:jc w:val="center"/>
              <w:rPr>
                <w:rFonts w:ascii="Arial" w:hAnsi="Arial" w:cs="Arial"/>
                <w:b/>
                <w:bCs/>
                <w:sz w:val="16"/>
                <w:szCs w:val="16"/>
                <w:lang w:val="es-CR"/>
              </w:rPr>
            </w:pPr>
            <w:proofErr w:type="spellStart"/>
            <w:r w:rsidRPr="00E164FA">
              <w:rPr>
                <w:rFonts w:ascii="Arial" w:hAnsi="Arial" w:cs="Arial"/>
                <w:b/>
                <w:bCs/>
                <w:sz w:val="16"/>
                <w:szCs w:val="16"/>
                <w:lang w:val="es-CR"/>
              </w:rPr>
              <w:t>T3</w:t>
            </w:r>
            <w:proofErr w:type="spellEnd"/>
          </w:p>
        </w:tc>
        <w:tc>
          <w:tcPr>
            <w:tcW w:w="450" w:type="dxa"/>
            <w:tcBorders>
              <w:top w:val="nil"/>
              <w:left w:val="nil"/>
              <w:bottom w:val="single" w:sz="4" w:space="0" w:color="auto"/>
              <w:right w:val="single" w:sz="4" w:space="0" w:color="auto"/>
            </w:tcBorders>
            <w:shd w:val="clear" w:color="000000" w:fill="D9D9D9"/>
            <w:vAlign w:val="center"/>
            <w:hideMark/>
          </w:tcPr>
          <w:p w14:paraId="2C1B0940" w14:textId="77777777" w:rsidR="00046DE1" w:rsidRPr="00E164FA" w:rsidRDefault="00046DE1" w:rsidP="00046DE1">
            <w:pPr>
              <w:rPr>
                <w:rFonts w:ascii="Arial" w:hAnsi="Arial" w:cs="Arial"/>
                <w:b/>
                <w:bCs/>
                <w:sz w:val="16"/>
                <w:szCs w:val="16"/>
                <w:lang w:val="es-CR"/>
              </w:rPr>
            </w:pPr>
            <w:proofErr w:type="spellStart"/>
            <w:r w:rsidRPr="00E164FA">
              <w:rPr>
                <w:rFonts w:ascii="Arial" w:hAnsi="Arial" w:cs="Arial"/>
                <w:b/>
                <w:bCs/>
                <w:sz w:val="16"/>
                <w:szCs w:val="16"/>
                <w:lang w:val="es-CR"/>
              </w:rPr>
              <w:t>T4</w:t>
            </w:r>
            <w:proofErr w:type="spellEnd"/>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243EB03F" w14:textId="77777777" w:rsidR="00046DE1" w:rsidRPr="00E164FA" w:rsidRDefault="00046DE1" w:rsidP="00046DE1">
            <w:pPr>
              <w:rPr>
                <w:rFonts w:ascii="Arial" w:hAnsi="Arial" w:cs="Arial"/>
                <w:b/>
                <w:bCs/>
                <w:i/>
                <w:iCs/>
                <w:sz w:val="16"/>
                <w:szCs w:val="16"/>
                <w:lang w:val="es-CR"/>
              </w:rPr>
            </w:pPr>
          </w:p>
        </w:tc>
        <w:tc>
          <w:tcPr>
            <w:tcW w:w="810" w:type="dxa"/>
            <w:tcBorders>
              <w:top w:val="nil"/>
              <w:left w:val="nil"/>
              <w:bottom w:val="single" w:sz="4" w:space="0" w:color="auto"/>
              <w:right w:val="single" w:sz="4" w:space="0" w:color="auto"/>
            </w:tcBorders>
            <w:shd w:val="clear" w:color="000000" w:fill="D9D9D9"/>
            <w:vAlign w:val="center"/>
            <w:hideMark/>
          </w:tcPr>
          <w:p w14:paraId="13FC2C1E" w14:textId="77777777" w:rsidR="00046DE1" w:rsidRPr="00E164FA" w:rsidRDefault="00046DE1" w:rsidP="00046DE1">
            <w:pPr>
              <w:jc w:val="center"/>
              <w:rPr>
                <w:rFonts w:ascii="Arial" w:hAnsi="Arial" w:cs="Arial"/>
                <w:b/>
                <w:bCs/>
                <w:sz w:val="16"/>
                <w:szCs w:val="16"/>
                <w:lang w:val="es-CR"/>
              </w:rPr>
            </w:pPr>
            <w:r w:rsidRPr="00E164FA">
              <w:rPr>
                <w:rFonts w:ascii="Arial" w:hAnsi="Arial" w:cs="Arial"/>
                <w:b/>
                <w:bCs/>
                <w:sz w:val="16"/>
                <w:szCs w:val="16"/>
                <w:lang w:val="es-CR"/>
              </w:rPr>
              <w:t>(US$ miles)</w:t>
            </w: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4C353C76" w14:textId="77777777" w:rsidR="00046DE1" w:rsidRPr="00E164FA" w:rsidRDefault="00046DE1" w:rsidP="00046DE1">
            <w:pPr>
              <w:rPr>
                <w:rFonts w:ascii="Arial" w:hAnsi="Arial" w:cs="Arial"/>
                <w:b/>
                <w:bCs/>
                <w:sz w:val="16"/>
                <w:szCs w:val="16"/>
                <w:lang w:val="es-CR"/>
              </w:rPr>
            </w:pPr>
          </w:p>
        </w:tc>
      </w:tr>
      <w:tr w:rsidR="004A35FE" w:rsidRPr="00E164FA" w14:paraId="508E1DB8" w14:textId="77777777" w:rsidTr="004A35FE">
        <w:trPr>
          <w:trHeight w:val="640"/>
        </w:trPr>
        <w:tc>
          <w:tcPr>
            <w:tcW w:w="1800" w:type="dxa"/>
            <w:tcBorders>
              <w:top w:val="nil"/>
              <w:left w:val="single" w:sz="4" w:space="0" w:color="auto"/>
              <w:bottom w:val="single" w:sz="4" w:space="0" w:color="auto"/>
              <w:right w:val="single" w:sz="4" w:space="0" w:color="auto"/>
            </w:tcBorders>
            <w:shd w:val="clear" w:color="000000" w:fill="4F81BD"/>
            <w:vAlign w:val="center"/>
            <w:hideMark/>
          </w:tcPr>
          <w:p w14:paraId="642899B1" w14:textId="77777777" w:rsidR="00046DE1" w:rsidRPr="00E164FA" w:rsidRDefault="00046DE1" w:rsidP="00046DE1">
            <w:pPr>
              <w:rPr>
                <w:rFonts w:ascii="Arial" w:hAnsi="Arial" w:cs="Arial"/>
                <w:b/>
                <w:color w:val="FFFFFF"/>
                <w:sz w:val="16"/>
                <w:szCs w:val="16"/>
                <w:lang w:val="es-CR"/>
              </w:rPr>
            </w:pPr>
            <w:r w:rsidRPr="00E164FA">
              <w:rPr>
                <w:rFonts w:ascii="Arial" w:hAnsi="Arial" w:cs="Arial"/>
                <w:b/>
                <w:color w:val="FFFFFF"/>
                <w:sz w:val="16"/>
                <w:szCs w:val="16"/>
                <w:lang w:val="es-CR"/>
              </w:rPr>
              <w:t xml:space="preserve">Actividades de </w:t>
            </w:r>
            <w:proofErr w:type="gramStart"/>
            <w:r w:rsidRPr="00E164FA">
              <w:rPr>
                <w:rFonts w:ascii="Arial" w:hAnsi="Arial" w:cs="Arial"/>
                <w:b/>
                <w:color w:val="FFFFFF"/>
                <w:sz w:val="16"/>
                <w:szCs w:val="16"/>
                <w:lang w:val="es-CR"/>
              </w:rPr>
              <w:t>Evacuación</w:t>
            </w:r>
            <w:r w:rsidRPr="00E164FA">
              <w:rPr>
                <w:rFonts w:ascii="Arial" w:hAnsi="Arial" w:cs="Arial"/>
                <w:b/>
                <w:color w:val="FFFFFF"/>
                <w:sz w:val="16"/>
                <w:szCs w:val="16"/>
                <w:vertAlign w:val="superscript"/>
                <w:lang w:val="es-CR"/>
              </w:rPr>
              <w:t>[</w:t>
            </w:r>
            <w:proofErr w:type="gramEnd"/>
            <w:r w:rsidRPr="00E164FA">
              <w:rPr>
                <w:rFonts w:ascii="Arial" w:hAnsi="Arial" w:cs="Arial"/>
                <w:b/>
                <w:color w:val="FFFFFF"/>
                <w:sz w:val="16"/>
                <w:szCs w:val="16"/>
                <w:vertAlign w:val="superscript"/>
                <w:lang w:val="es-CR"/>
              </w:rPr>
              <w:t>1]</w:t>
            </w:r>
          </w:p>
        </w:tc>
        <w:tc>
          <w:tcPr>
            <w:tcW w:w="720" w:type="dxa"/>
            <w:tcBorders>
              <w:top w:val="nil"/>
              <w:left w:val="nil"/>
              <w:bottom w:val="single" w:sz="4" w:space="0" w:color="auto"/>
              <w:right w:val="single" w:sz="4" w:space="0" w:color="auto"/>
            </w:tcBorders>
            <w:shd w:val="clear" w:color="000000" w:fill="4F81BD"/>
            <w:vAlign w:val="center"/>
            <w:hideMark/>
          </w:tcPr>
          <w:p w14:paraId="049D0999" w14:textId="77777777" w:rsidR="00046DE1" w:rsidRPr="00E164FA" w:rsidRDefault="00046DE1" w:rsidP="00046DE1">
            <w:pPr>
              <w:rPr>
                <w:rFonts w:ascii="Arial" w:hAnsi="Arial" w:cs="Arial"/>
                <w:color w:val="FFFFFF"/>
                <w:sz w:val="16"/>
                <w:szCs w:val="16"/>
                <w:u w:val="single"/>
                <w:lang w:val="es-CR"/>
              </w:rPr>
            </w:pPr>
            <w:r w:rsidRPr="00E164FA">
              <w:rPr>
                <w:rFonts w:ascii="Arial" w:hAnsi="Arial" w:cs="Arial"/>
                <w:color w:val="FFFFFF"/>
                <w:sz w:val="16"/>
                <w:szCs w:val="16"/>
                <w:u w:val="single"/>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1785F472" w14:textId="77777777" w:rsidR="00046DE1" w:rsidRPr="00E164FA" w:rsidRDefault="00046DE1" w:rsidP="00046DE1">
            <w:pPr>
              <w:rPr>
                <w:rFonts w:ascii="Arial" w:hAnsi="Arial" w:cs="Arial"/>
                <w:color w:val="FFFFFF"/>
                <w:sz w:val="16"/>
                <w:szCs w:val="16"/>
                <w:u w:val="single"/>
                <w:lang w:val="es-CR"/>
              </w:rPr>
            </w:pPr>
            <w:r w:rsidRPr="00E164FA">
              <w:rPr>
                <w:rFonts w:ascii="Arial" w:hAnsi="Arial" w:cs="Arial"/>
                <w:color w:val="FFFFFF"/>
                <w:sz w:val="16"/>
                <w:szCs w:val="16"/>
                <w:u w:val="single"/>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08FF864B" w14:textId="77777777" w:rsidR="00046DE1" w:rsidRPr="00E164FA" w:rsidRDefault="00046DE1" w:rsidP="00046DE1">
            <w:pPr>
              <w:rPr>
                <w:rFonts w:ascii="Arial" w:hAnsi="Arial" w:cs="Arial"/>
                <w:color w:val="FFFFFF"/>
                <w:sz w:val="16"/>
                <w:szCs w:val="16"/>
                <w:u w:val="single"/>
                <w:lang w:val="es-CR"/>
              </w:rPr>
            </w:pPr>
            <w:r w:rsidRPr="00E164FA">
              <w:rPr>
                <w:rFonts w:ascii="Arial" w:hAnsi="Arial" w:cs="Arial"/>
                <w:color w:val="FFFFFF"/>
                <w:sz w:val="16"/>
                <w:szCs w:val="16"/>
                <w:u w:val="single"/>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4DCFACA8" w14:textId="77777777" w:rsidR="00046DE1" w:rsidRPr="00E164FA" w:rsidRDefault="00046DE1" w:rsidP="00046DE1">
            <w:pPr>
              <w:rPr>
                <w:rFonts w:ascii="Arial" w:hAnsi="Arial" w:cs="Arial"/>
                <w:color w:val="FFFFFF"/>
                <w:sz w:val="16"/>
                <w:szCs w:val="16"/>
                <w:u w:val="single"/>
                <w:lang w:val="es-CR"/>
              </w:rPr>
            </w:pPr>
            <w:r w:rsidRPr="00E164FA">
              <w:rPr>
                <w:rFonts w:ascii="Arial" w:hAnsi="Arial" w:cs="Arial"/>
                <w:color w:val="FFFFFF"/>
                <w:sz w:val="16"/>
                <w:szCs w:val="16"/>
                <w:u w:val="single"/>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331F98D3" w14:textId="77777777" w:rsidR="00046DE1" w:rsidRPr="00E164FA" w:rsidRDefault="00046DE1" w:rsidP="00046DE1">
            <w:pPr>
              <w:jc w:val="center"/>
              <w:rPr>
                <w:rFonts w:ascii="Arial" w:hAnsi="Arial" w:cs="Arial"/>
                <w:color w:val="FFFFFF"/>
                <w:sz w:val="16"/>
                <w:szCs w:val="16"/>
                <w:lang w:val="es-CR"/>
              </w:rPr>
            </w:pPr>
            <w:r w:rsidRPr="00E164FA">
              <w:rPr>
                <w:rFonts w:ascii="Arial" w:hAnsi="Arial" w:cs="Arial"/>
                <w:color w:val="FFFFFF"/>
                <w:sz w:val="16"/>
                <w:szCs w:val="16"/>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5E36B0CA" w14:textId="77777777" w:rsidR="00046DE1" w:rsidRPr="00E164FA" w:rsidRDefault="00046DE1" w:rsidP="00046DE1">
            <w:pPr>
              <w:rPr>
                <w:rFonts w:ascii="Arial" w:hAnsi="Arial" w:cs="Arial"/>
                <w:color w:val="FFFFFF"/>
                <w:sz w:val="16"/>
                <w:szCs w:val="16"/>
                <w:lang w:val="es-CR"/>
              </w:rPr>
            </w:pPr>
            <w:r w:rsidRPr="00E164FA">
              <w:rPr>
                <w:rFonts w:ascii="Arial" w:hAnsi="Arial" w:cs="Arial"/>
                <w:color w:val="FFFFFF"/>
                <w:sz w:val="16"/>
                <w:szCs w:val="16"/>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732922ED" w14:textId="77777777" w:rsidR="00046DE1" w:rsidRPr="00E164FA" w:rsidRDefault="00046DE1" w:rsidP="00046DE1">
            <w:pPr>
              <w:rPr>
                <w:rFonts w:ascii="Arial" w:hAnsi="Arial" w:cs="Arial"/>
                <w:color w:val="FFFFFF"/>
                <w:sz w:val="16"/>
                <w:szCs w:val="16"/>
                <w:u w:val="single"/>
                <w:lang w:val="es-CR"/>
              </w:rPr>
            </w:pPr>
            <w:r w:rsidRPr="00E164FA">
              <w:rPr>
                <w:rFonts w:ascii="Arial" w:hAnsi="Arial" w:cs="Arial"/>
                <w:color w:val="FFFFFF"/>
                <w:sz w:val="16"/>
                <w:szCs w:val="16"/>
                <w:u w:val="single"/>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0C2DCD5F" w14:textId="77777777" w:rsidR="00046DE1" w:rsidRPr="00E164FA" w:rsidRDefault="00046DE1" w:rsidP="00046DE1">
            <w:pPr>
              <w:rPr>
                <w:rFonts w:ascii="Arial" w:hAnsi="Arial" w:cs="Arial"/>
                <w:color w:val="FFFFFF"/>
                <w:sz w:val="16"/>
                <w:szCs w:val="16"/>
                <w:u w:val="single"/>
                <w:lang w:val="es-CR"/>
              </w:rPr>
            </w:pPr>
            <w:r w:rsidRPr="00E164FA">
              <w:rPr>
                <w:rFonts w:ascii="Arial" w:hAnsi="Arial" w:cs="Arial"/>
                <w:color w:val="FFFFFF"/>
                <w:sz w:val="16"/>
                <w:szCs w:val="16"/>
                <w:u w:val="single"/>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542C5EF2" w14:textId="77777777" w:rsidR="00046DE1" w:rsidRPr="00E164FA" w:rsidRDefault="00046DE1" w:rsidP="00046DE1">
            <w:pPr>
              <w:jc w:val="center"/>
              <w:rPr>
                <w:rFonts w:ascii="Arial" w:hAnsi="Arial" w:cs="Arial"/>
                <w:color w:val="FFFFFF"/>
                <w:sz w:val="16"/>
                <w:szCs w:val="16"/>
                <w:lang w:val="es-CR"/>
              </w:rPr>
            </w:pPr>
            <w:r w:rsidRPr="00E164FA">
              <w:rPr>
                <w:rFonts w:ascii="Arial" w:hAnsi="Arial" w:cs="Arial"/>
                <w:color w:val="FFFFFF"/>
                <w:sz w:val="16"/>
                <w:szCs w:val="16"/>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454354E9" w14:textId="77777777" w:rsidR="00046DE1" w:rsidRPr="00E164FA" w:rsidRDefault="00046DE1" w:rsidP="00046DE1">
            <w:pPr>
              <w:rPr>
                <w:rFonts w:ascii="Arial" w:hAnsi="Arial" w:cs="Arial"/>
                <w:color w:val="FFFFFF"/>
                <w:sz w:val="16"/>
                <w:szCs w:val="16"/>
                <w:lang w:val="es-CR"/>
              </w:rPr>
            </w:pPr>
            <w:r w:rsidRPr="00E164FA">
              <w:rPr>
                <w:rFonts w:ascii="Arial" w:hAnsi="Arial" w:cs="Arial"/>
                <w:color w:val="FFFFFF"/>
                <w:sz w:val="16"/>
                <w:szCs w:val="16"/>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431D572B" w14:textId="77777777" w:rsidR="00046DE1" w:rsidRPr="00E164FA" w:rsidRDefault="00046DE1" w:rsidP="00046DE1">
            <w:pPr>
              <w:rPr>
                <w:rFonts w:ascii="Arial" w:hAnsi="Arial" w:cs="Arial"/>
                <w:color w:val="FFFFFF"/>
                <w:sz w:val="16"/>
                <w:szCs w:val="16"/>
                <w:u w:val="single"/>
                <w:lang w:val="es-CR"/>
              </w:rPr>
            </w:pPr>
            <w:r w:rsidRPr="00E164FA">
              <w:rPr>
                <w:rFonts w:ascii="Arial" w:hAnsi="Arial" w:cs="Arial"/>
                <w:color w:val="FFFFFF"/>
                <w:sz w:val="16"/>
                <w:szCs w:val="16"/>
                <w:u w:val="single"/>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57A5F55F" w14:textId="77777777" w:rsidR="00046DE1" w:rsidRPr="00E164FA" w:rsidRDefault="00046DE1" w:rsidP="00046DE1">
            <w:pPr>
              <w:rPr>
                <w:rFonts w:ascii="Arial" w:hAnsi="Arial" w:cs="Arial"/>
                <w:color w:val="FFFFFF"/>
                <w:sz w:val="16"/>
                <w:szCs w:val="16"/>
                <w:u w:val="single"/>
                <w:lang w:val="es-CR"/>
              </w:rPr>
            </w:pPr>
            <w:r w:rsidRPr="00E164FA">
              <w:rPr>
                <w:rFonts w:ascii="Arial" w:hAnsi="Arial" w:cs="Arial"/>
                <w:color w:val="FFFFFF"/>
                <w:sz w:val="16"/>
                <w:szCs w:val="16"/>
                <w:u w:val="single"/>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14C314CE" w14:textId="77777777" w:rsidR="00046DE1" w:rsidRPr="00E164FA" w:rsidRDefault="00046DE1" w:rsidP="00046DE1">
            <w:pPr>
              <w:jc w:val="center"/>
              <w:rPr>
                <w:rFonts w:ascii="Arial" w:hAnsi="Arial" w:cs="Arial"/>
                <w:color w:val="FFFFFF"/>
                <w:sz w:val="16"/>
                <w:szCs w:val="16"/>
                <w:lang w:val="es-CR"/>
              </w:rPr>
            </w:pPr>
            <w:r w:rsidRPr="00E164FA">
              <w:rPr>
                <w:rFonts w:ascii="Arial" w:hAnsi="Arial" w:cs="Arial"/>
                <w:color w:val="FFFFFF"/>
                <w:sz w:val="16"/>
                <w:szCs w:val="16"/>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1B01EDC4" w14:textId="77777777" w:rsidR="00046DE1" w:rsidRPr="00E164FA" w:rsidRDefault="00046DE1" w:rsidP="00046DE1">
            <w:pPr>
              <w:rPr>
                <w:rFonts w:ascii="Arial" w:hAnsi="Arial" w:cs="Arial"/>
                <w:color w:val="FFFFFF"/>
                <w:sz w:val="16"/>
                <w:szCs w:val="16"/>
                <w:lang w:val="es-CR"/>
              </w:rPr>
            </w:pPr>
            <w:r w:rsidRPr="00E164FA">
              <w:rPr>
                <w:rFonts w:ascii="Arial" w:hAnsi="Arial" w:cs="Arial"/>
                <w:color w:val="FFFFFF"/>
                <w:sz w:val="16"/>
                <w:szCs w:val="16"/>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340B4442" w14:textId="77777777" w:rsidR="00046DE1" w:rsidRPr="00E164FA" w:rsidRDefault="00046DE1" w:rsidP="00046DE1">
            <w:pPr>
              <w:rPr>
                <w:rFonts w:ascii="Arial" w:hAnsi="Arial" w:cs="Arial"/>
                <w:color w:val="FFFFFF"/>
                <w:sz w:val="16"/>
                <w:szCs w:val="16"/>
                <w:u w:val="single"/>
                <w:lang w:val="es-CR"/>
              </w:rPr>
            </w:pPr>
            <w:r w:rsidRPr="00E164FA">
              <w:rPr>
                <w:rFonts w:ascii="Arial" w:hAnsi="Arial" w:cs="Arial"/>
                <w:color w:val="FFFFFF"/>
                <w:sz w:val="16"/>
                <w:szCs w:val="16"/>
                <w:u w:val="single"/>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2F465977" w14:textId="77777777" w:rsidR="00046DE1" w:rsidRPr="00E164FA" w:rsidRDefault="00046DE1" w:rsidP="00046DE1">
            <w:pPr>
              <w:rPr>
                <w:rFonts w:ascii="Arial" w:hAnsi="Arial" w:cs="Arial"/>
                <w:color w:val="FFFFFF"/>
                <w:sz w:val="16"/>
                <w:szCs w:val="16"/>
                <w:u w:val="single"/>
                <w:lang w:val="es-CR"/>
              </w:rPr>
            </w:pPr>
            <w:r w:rsidRPr="00E164FA">
              <w:rPr>
                <w:rFonts w:ascii="Arial" w:hAnsi="Arial" w:cs="Arial"/>
                <w:color w:val="FFFFFF"/>
                <w:sz w:val="16"/>
                <w:szCs w:val="16"/>
                <w:u w:val="single"/>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38E2FAA1" w14:textId="77777777" w:rsidR="00046DE1" w:rsidRPr="00E164FA" w:rsidRDefault="00046DE1" w:rsidP="00046DE1">
            <w:pPr>
              <w:jc w:val="center"/>
              <w:rPr>
                <w:rFonts w:ascii="Arial" w:hAnsi="Arial" w:cs="Arial"/>
                <w:color w:val="FFFFFF"/>
                <w:sz w:val="16"/>
                <w:szCs w:val="16"/>
                <w:lang w:val="es-CR"/>
              </w:rPr>
            </w:pPr>
            <w:r w:rsidRPr="00E164FA">
              <w:rPr>
                <w:rFonts w:ascii="Arial" w:hAnsi="Arial" w:cs="Arial"/>
                <w:color w:val="FFFFFF"/>
                <w:sz w:val="16"/>
                <w:szCs w:val="16"/>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76B5C881" w14:textId="77777777" w:rsidR="00046DE1" w:rsidRPr="00E164FA" w:rsidRDefault="00046DE1" w:rsidP="00046DE1">
            <w:pPr>
              <w:rPr>
                <w:rFonts w:ascii="Arial" w:hAnsi="Arial" w:cs="Arial"/>
                <w:color w:val="FFFFFF"/>
                <w:sz w:val="16"/>
                <w:szCs w:val="16"/>
                <w:lang w:val="es-CR"/>
              </w:rPr>
            </w:pPr>
            <w:r w:rsidRPr="00E164FA">
              <w:rPr>
                <w:rFonts w:ascii="Arial" w:hAnsi="Arial" w:cs="Arial"/>
                <w:color w:val="FFFFFF"/>
                <w:sz w:val="16"/>
                <w:szCs w:val="16"/>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36D9EAC9" w14:textId="77777777" w:rsidR="00046DE1" w:rsidRPr="00E164FA" w:rsidRDefault="00046DE1" w:rsidP="00046DE1">
            <w:pPr>
              <w:rPr>
                <w:rFonts w:ascii="Arial" w:hAnsi="Arial" w:cs="Arial"/>
                <w:color w:val="FFFFFF"/>
                <w:sz w:val="16"/>
                <w:szCs w:val="16"/>
                <w:u w:val="single"/>
                <w:lang w:val="es-CR"/>
              </w:rPr>
            </w:pPr>
            <w:r w:rsidRPr="00E164FA">
              <w:rPr>
                <w:rFonts w:ascii="Arial" w:hAnsi="Arial" w:cs="Arial"/>
                <w:color w:val="FFFFFF"/>
                <w:sz w:val="16"/>
                <w:szCs w:val="16"/>
                <w:u w:val="single"/>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6110E67A" w14:textId="77777777" w:rsidR="00046DE1" w:rsidRPr="00E164FA" w:rsidRDefault="00046DE1" w:rsidP="00046DE1">
            <w:pPr>
              <w:rPr>
                <w:rFonts w:ascii="Arial" w:hAnsi="Arial" w:cs="Arial"/>
                <w:color w:val="FFFFFF"/>
                <w:sz w:val="16"/>
                <w:szCs w:val="16"/>
                <w:u w:val="single"/>
                <w:lang w:val="es-CR"/>
              </w:rPr>
            </w:pPr>
            <w:r w:rsidRPr="00E164FA">
              <w:rPr>
                <w:rFonts w:ascii="Arial" w:hAnsi="Arial" w:cs="Arial"/>
                <w:color w:val="FFFFFF"/>
                <w:sz w:val="16"/>
                <w:szCs w:val="16"/>
                <w:u w:val="single"/>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6066BEC5" w14:textId="77777777" w:rsidR="00046DE1" w:rsidRPr="00E164FA" w:rsidRDefault="00046DE1" w:rsidP="00046DE1">
            <w:pPr>
              <w:jc w:val="center"/>
              <w:rPr>
                <w:rFonts w:ascii="Arial" w:hAnsi="Arial" w:cs="Arial"/>
                <w:color w:val="FFFFFF"/>
                <w:sz w:val="16"/>
                <w:szCs w:val="16"/>
                <w:lang w:val="es-CR"/>
              </w:rPr>
            </w:pPr>
            <w:r w:rsidRPr="00E164FA">
              <w:rPr>
                <w:rFonts w:ascii="Arial" w:hAnsi="Arial" w:cs="Arial"/>
                <w:color w:val="FFFFFF"/>
                <w:sz w:val="16"/>
                <w:szCs w:val="16"/>
                <w:lang w:val="es-CR"/>
              </w:rPr>
              <w:t> </w:t>
            </w:r>
          </w:p>
        </w:tc>
        <w:tc>
          <w:tcPr>
            <w:tcW w:w="450" w:type="dxa"/>
            <w:tcBorders>
              <w:top w:val="nil"/>
              <w:left w:val="nil"/>
              <w:bottom w:val="single" w:sz="4" w:space="0" w:color="auto"/>
              <w:right w:val="single" w:sz="4" w:space="0" w:color="auto"/>
            </w:tcBorders>
            <w:shd w:val="clear" w:color="000000" w:fill="4F81BD"/>
            <w:vAlign w:val="center"/>
            <w:hideMark/>
          </w:tcPr>
          <w:p w14:paraId="60B16D59" w14:textId="77777777" w:rsidR="00046DE1" w:rsidRPr="00E164FA" w:rsidRDefault="00046DE1" w:rsidP="00046DE1">
            <w:pPr>
              <w:rPr>
                <w:rFonts w:ascii="Arial" w:hAnsi="Arial" w:cs="Arial"/>
                <w:color w:val="FFFFFF"/>
                <w:sz w:val="16"/>
                <w:szCs w:val="16"/>
                <w:lang w:val="es-CR"/>
              </w:rPr>
            </w:pPr>
            <w:r w:rsidRPr="00E164FA">
              <w:rPr>
                <w:rFonts w:ascii="Arial" w:hAnsi="Arial" w:cs="Arial"/>
                <w:color w:val="FFFFFF"/>
                <w:sz w:val="16"/>
                <w:szCs w:val="16"/>
                <w:lang w:val="es-CR"/>
              </w:rPr>
              <w:t> </w:t>
            </w:r>
          </w:p>
        </w:tc>
        <w:tc>
          <w:tcPr>
            <w:tcW w:w="990" w:type="dxa"/>
            <w:tcBorders>
              <w:top w:val="nil"/>
              <w:left w:val="nil"/>
              <w:bottom w:val="single" w:sz="4" w:space="0" w:color="auto"/>
              <w:right w:val="single" w:sz="4" w:space="0" w:color="auto"/>
            </w:tcBorders>
            <w:shd w:val="clear" w:color="000000" w:fill="4F81BD"/>
            <w:vAlign w:val="center"/>
            <w:hideMark/>
          </w:tcPr>
          <w:p w14:paraId="11BCCABF" w14:textId="77777777" w:rsidR="00046DE1" w:rsidRPr="00E164FA" w:rsidRDefault="00046DE1" w:rsidP="00046DE1">
            <w:pPr>
              <w:rPr>
                <w:rFonts w:ascii="Arial" w:hAnsi="Arial" w:cs="Arial"/>
                <w:color w:val="FFFFFF"/>
                <w:sz w:val="16"/>
                <w:szCs w:val="16"/>
                <w:lang w:val="es-CR"/>
              </w:rPr>
            </w:pPr>
            <w:r w:rsidRPr="00E164FA">
              <w:rPr>
                <w:rFonts w:ascii="Arial" w:hAnsi="Arial" w:cs="Arial"/>
                <w:color w:val="FFFFFF"/>
                <w:sz w:val="16"/>
                <w:szCs w:val="16"/>
                <w:lang w:val="es-CR"/>
              </w:rPr>
              <w:t> </w:t>
            </w:r>
          </w:p>
        </w:tc>
        <w:tc>
          <w:tcPr>
            <w:tcW w:w="810" w:type="dxa"/>
            <w:tcBorders>
              <w:top w:val="nil"/>
              <w:left w:val="nil"/>
              <w:bottom w:val="single" w:sz="4" w:space="0" w:color="auto"/>
              <w:right w:val="single" w:sz="4" w:space="0" w:color="auto"/>
            </w:tcBorders>
            <w:shd w:val="clear" w:color="000000" w:fill="4F81BD"/>
            <w:vAlign w:val="center"/>
            <w:hideMark/>
          </w:tcPr>
          <w:p w14:paraId="12BACBF2" w14:textId="77777777" w:rsidR="00046DE1" w:rsidRPr="00E164FA" w:rsidRDefault="00046DE1" w:rsidP="00046DE1">
            <w:pPr>
              <w:rPr>
                <w:rFonts w:ascii="Arial" w:hAnsi="Arial" w:cs="Arial"/>
                <w:color w:val="FFFFFF"/>
                <w:sz w:val="16"/>
                <w:szCs w:val="16"/>
                <w:lang w:val="es-CR"/>
              </w:rPr>
            </w:pPr>
            <w:r w:rsidRPr="00E164FA">
              <w:rPr>
                <w:rFonts w:ascii="Arial" w:hAnsi="Arial" w:cs="Arial"/>
                <w:color w:val="FFFFFF"/>
                <w:sz w:val="16"/>
                <w:szCs w:val="16"/>
                <w:lang w:val="es-CR"/>
              </w:rPr>
              <w:t> </w:t>
            </w:r>
          </w:p>
        </w:tc>
        <w:tc>
          <w:tcPr>
            <w:tcW w:w="810" w:type="dxa"/>
            <w:tcBorders>
              <w:top w:val="nil"/>
              <w:left w:val="nil"/>
              <w:bottom w:val="single" w:sz="4" w:space="0" w:color="auto"/>
              <w:right w:val="single" w:sz="4" w:space="0" w:color="auto"/>
            </w:tcBorders>
            <w:shd w:val="clear" w:color="000000" w:fill="4F81BD"/>
            <w:vAlign w:val="center"/>
            <w:hideMark/>
          </w:tcPr>
          <w:p w14:paraId="232EAC20" w14:textId="77777777" w:rsidR="00046DE1" w:rsidRPr="00E164FA" w:rsidRDefault="00046DE1" w:rsidP="00046DE1">
            <w:pPr>
              <w:rPr>
                <w:rFonts w:ascii="Arial" w:hAnsi="Arial" w:cs="Arial"/>
                <w:color w:val="FFFFFF"/>
                <w:sz w:val="16"/>
                <w:szCs w:val="16"/>
                <w:lang w:val="es-CR"/>
              </w:rPr>
            </w:pPr>
            <w:r w:rsidRPr="00E164FA">
              <w:rPr>
                <w:rFonts w:ascii="Arial" w:hAnsi="Arial" w:cs="Arial"/>
                <w:color w:val="FFFFFF"/>
                <w:sz w:val="16"/>
                <w:szCs w:val="16"/>
                <w:lang w:val="es-CR"/>
              </w:rPr>
              <w:t> </w:t>
            </w:r>
          </w:p>
        </w:tc>
      </w:tr>
      <w:tr w:rsidR="004A35FE" w:rsidRPr="00E164FA" w14:paraId="78E01C4C" w14:textId="77777777" w:rsidTr="004A35FE">
        <w:trPr>
          <w:trHeight w:val="300"/>
        </w:trPr>
        <w:tc>
          <w:tcPr>
            <w:tcW w:w="1800" w:type="dxa"/>
            <w:tcBorders>
              <w:top w:val="nil"/>
              <w:left w:val="single" w:sz="4" w:space="0" w:color="auto"/>
              <w:bottom w:val="single" w:sz="4" w:space="0" w:color="auto"/>
              <w:right w:val="single" w:sz="4" w:space="0" w:color="auto"/>
            </w:tcBorders>
            <w:shd w:val="clear" w:color="auto" w:fill="auto"/>
            <w:vAlign w:val="center"/>
            <w:hideMark/>
          </w:tcPr>
          <w:p w14:paraId="7716EA5E"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Evaluación Intermedia</w:t>
            </w:r>
          </w:p>
        </w:tc>
        <w:tc>
          <w:tcPr>
            <w:tcW w:w="720" w:type="dxa"/>
            <w:tcBorders>
              <w:top w:val="nil"/>
              <w:left w:val="nil"/>
              <w:bottom w:val="single" w:sz="4" w:space="0" w:color="auto"/>
              <w:right w:val="single" w:sz="4" w:space="0" w:color="auto"/>
            </w:tcBorders>
            <w:shd w:val="clear" w:color="auto" w:fill="auto"/>
            <w:vAlign w:val="center"/>
            <w:hideMark/>
          </w:tcPr>
          <w:p w14:paraId="4529FFC6"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74630DC"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5ACD5145"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1B3ACE5"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4FC8517"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568A8A29"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BE339B0"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728D2E6"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42FCA12"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86812F1"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BAB91DF"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0080E8D"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5022F87C"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8A38EE7"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5AE23EF"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4A576DE"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ACE03D5"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C75CC69"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E2F9D4E"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3B285EA"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2C82DEA"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4961D8F"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990" w:type="dxa"/>
            <w:tcBorders>
              <w:top w:val="nil"/>
              <w:left w:val="nil"/>
              <w:bottom w:val="single" w:sz="4" w:space="0" w:color="auto"/>
              <w:right w:val="single" w:sz="4" w:space="0" w:color="auto"/>
            </w:tcBorders>
            <w:shd w:val="clear" w:color="auto" w:fill="auto"/>
            <w:vAlign w:val="center"/>
            <w:hideMark/>
          </w:tcPr>
          <w:p w14:paraId="2DF8CF97"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810" w:type="dxa"/>
            <w:tcBorders>
              <w:top w:val="nil"/>
              <w:left w:val="nil"/>
              <w:bottom w:val="single" w:sz="4" w:space="0" w:color="auto"/>
              <w:right w:val="single" w:sz="4" w:space="0" w:color="auto"/>
            </w:tcBorders>
            <w:shd w:val="clear" w:color="auto" w:fill="auto"/>
            <w:vAlign w:val="center"/>
            <w:hideMark/>
          </w:tcPr>
          <w:p w14:paraId="3D40A920"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810" w:type="dxa"/>
            <w:tcBorders>
              <w:top w:val="nil"/>
              <w:left w:val="nil"/>
              <w:bottom w:val="single" w:sz="4" w:space="0" w:color="auto"/>
              <w:right w:val="single" w:sz="4" w:space="0" w:color="auto"/>
            </w:tcBorders>
            <w:shd w:val="clear" w:color="auto" w:fill="auto"/>
            <w:vAlign w:val="center"/>
            <w:hideMark/>
          </w:tcPr>
          <w:p w14:paraId="74A4FF39"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r>
      <w:tr w:rsidR="004A35FE" w:rsidRPr="00E164FA" w14:paraId="1128B608" w14:textId="77777777" w:rsidTr="004A35FE">
        <w:trPr>
          <w:trHeight w:val="300"/>
        </w:trPr>
        <w:tc>
          <w:tcPr>
            <w:tcW w:w="1800" w:type="dxa"/>
            <w:tcBorders>
              <w:top w:val="nil"/>
              <w:left w:val="single" w:sz="4" w:space="0" w:color="auto"/>
              <w:bottom w:val="single" w:sz="4" w:space="0" w:color="auto"/>
              <w:right w:val="single" w:sz="4" w:space="0" w:color="auto"/>
            </w:tcBorders>
            <w:shd w:val="clear" w:color="auto" w:fill="auto"/>
            <w:vAlign w:val="center"/>
            <w:hideMark/>
          </w:tcPr>
          <w:p w14:paraId="48AA93B5"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Recopilación de información</w:t>
            </w:r>
          </w:p>
        </w:tc>
        <w:tc>
          <w:tcPr>
            <w:tcW w:w="720" w:type="dxa"/>
            <w:tcBorders>
              <w:top w:val="nil"/>
              <w:left w:val="nil"/>
              <w:bottom w:val="single" w:sz="4" w:space="0" w:color="auto"/>
              <w:right w:val="single" w:sz="4" w:space="0" w:color="auto"/>
            </w:tcBorders>
            <w:shd w:val="clear" w:color="auto" w:fill="auto"/>
            <w:vAlign w:val="center"/>
            <w:hideMark/>
          </w:tcPr>
          <w:p w14:paraId="52F16995" w14:textId="77777777" w:rsidR="00046DE1" w:rsidRPr="00E164FA" w:rsidRDefault="00046DE1" w:rsidP="00046DE1">
            <w:pPr>
              <w:jc w:val="right"/>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26C6960" w14:textId="77777777" w:rsidR="00046DE1" w:rsidRPr="00E164FA" w:rsidRDefault="00046DE1" w:rsidP="00046DE1">
            <w:pPr>
              <w:jc w:val="right"/>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4133F18"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516876E6"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FA64713"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19015E80"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493099F"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77E510A5"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9BC7BC2"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3EE49805"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2A8C9C9"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0521949"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8A0C342"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A6FAE97"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989C97F"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603E3AE"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E425C2E"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52D745F9"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7A445A3"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410526F"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1374C75"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17D0012"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990" w:type="dxa"/>
            <w:tcBorders>
              <w:top w:val="nil"/>
              <w:left w:val="nil"/>
              <w:bottom w:val="single" w:sz="4" w:space="0" w:color="auto"/>
              <w:right w:val="single" w:sz="4" w:space="0" w:color="auto"/>
            </w:tcBorders>
            <w:shd w:val="clear" w:color="auto" w:fill="auto"/>
            <w:vAlign w:val="center"/>
            <w:hideMark/>
          </w:tcPr>
          <w:p w14:paraId="537864AA"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UEP</w:t>
            </w:r>
          </w:p>
        </w:tc>
        <w:tc>
          <w:tcPr>
            <w:tcW w:w="810" w:type="dxa"/>
            <w:tcBorders>
              <w:top w:val="nil"/>
              <w:left w:val="nil"/>
              <w:bottom w:val="single" w:sz="4" w:space="0" w:color="auto"/>
              <w:right w:val="single" w:sz="4" w:space="0" w:color="auto"/>
            </w:tcBorders>
            <w:shd w:val="clear" w:color="auto" w:fill="auto"/>
            <w:vAlign w:val="center"/>
            <w:hideMark/>
          </w:tcPr>
          <w:p w14:paraId="4CBABB74"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15,000</w:t>
            </w:r>
          </w:p>
        </w:tc>
        <w:tc>
          <w:tcPr>
            <w:tcW w:w="810" w:type="dxa"/>
            <w:tcBorders>
              <w:top w:val="nil"/>
              <w:left w:val="nil"/>
              <w:bottom w:val="single" w:sz="4" w:space="0" w:color="auto"/>
              <w:right w:val="single" w:sz="4" w:space="0" w:color="auto"/>
            </w:tcBorders>
            <w:shd w:val="clear" w:color="auto" w:fill="auto"/>
            <w:vAlign w:val="center"/>
            <w:hideMark/>
          </w:tcPr>
          <w:p w14:paraId="32B627FC"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UEP</w:t>
            </w:r>
          </w:p>
        </w:tc>
      </w:tr>
      <w:tr w:rsidR="004A35FE" w:rsidRPr="00E164FA" w14:paraId="26A4D2AC" w14:textId="77777777" w:rsidTr="004A35FE">
        <w:trPr>
          <w:trHeight w:val="300"/>
        </w:trPr>
        <w:tc>
          <w:tcPr>
            <w:tcW w:w="1800" w:type="dxa"/>
            <w:tcBorders>
              <w:top w:val="nil"/>
              <w:left w:val="single" w:sz="4" w:space="0" w:color="auto"/>
              <w:bottom w:val="single" w:sz="4" w:space="0" w:color="auto"/>
              <w:right w:val="single" w:sz="4" w:space="0" w:color="auto"/>
            </w:tcBorders>
            <w:shd w:val="clear" w:color="auto" w:fill="auto"/>
            <w:vAlign w:val="center"/>
            <w:hideMark/>
          </w:tcPr>
          <w:p w14:paraId="61DC0F52"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Preparación de la evaluación</w:t>
            </w:r>
          </w:p>
        </w:tc>
        <w:tc>
          <w:tcPr>
            <w:tcW w:w="720" w:type="dxa"/>
            <w:tcBorders>
              <w:top w:val="nil"/>
              <w:left w:val="nil"/>
              <w:bottom w:val="single" w:sz="4" w:space="0" w:color="auto"/>
              <w:right w:val="single" w:sz="4" w:space="0" w:color="auto"/>
            </w:tcBorders>
            <w:shd w:val="clear" w:color="auto" w:fill="auto"/>
            <w:vAlign w:val="center"/>
            <w:hideMark/>
          </w:tcPr>
          <w:p w14:paraId="5244A264" w14:textId="77777777" w:rsidR="00046DE1" w:rsidRPr="00E164FA" w:rsidRDefault="00046DE1" w:rsidP="00046DE1">
            <w:pPr>
              <w:jc w:val="right"/>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E16BBDB" w14:textId="77777777" w:rsidR="00046DE1" w:rsidRPr="00E164FA" w:rsidRDefault="00046DE1" w:rsidP="00046DE1">
            <w:pPr>
              <w:jc w:val="right"/>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9319F1E"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FB22494"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0322413"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E9EAC5F"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8476637"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629448A"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58374603"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5B85BFCC"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51BE5BA"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A48EAA3"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A5E2F6E"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A4E5BFC"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B2BC843"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9AE739A"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495BCCD"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F78E6DB"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C3D25FE"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0E75138"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523CA46"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913E639"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990" w:type="dxa"/>
            <w:tcBorders>
              <w:top w:val="nil"/>
              <w:left w:val="nil"/>
              <w:bottom w:val="single" w:sz="4" w:space="0" w:color="auto"/>
              <w:right w:val="single" w:sz="4" w:space="0" w:color="auto"/>
            </w:tcBorders>
            <w:shd w:val="clear" w:color="auto" w:fill="auto"/>
            <w:vAlign w:val="center"/>
            <w:hideMark/>
          </w:tcPr>
          <w:p w14:paraId="0B741039"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UEP</w:t>
            </w:r>
          </w:p>
        </w:tc>
        <w:tc>
          <w:tcPr>
            <w:tcW w:w="810" w:type="dxa"/>
            <w:tcBorders>
              <w:top w:val="nil"/>
              <w:left w:val="nil"/>
              <w:bottom w:val="single" w:sz="4" w:space="0" w:color="auto"/>
              <w:right w:val="single" w:sz="4" w:space="0" w:color="auto"/>
            </w:tcBorders>
            <w:shd w:val="clear" w:color="auto" w:fill="auto"/>
            <w:vAlign w:val="center"/>
            <w:hideMark/>
          </w:tcPr>
          <w:p w14:paraId="7E9F0364"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20,000</w:t>
            </w:r>
          </w:p>
        </w:tc>
        <w:tc>
          <w:tcPr>
            <w:tcW w:w="810" w:type="dxa"/>
            <w:tcBorders>
              <w:top w:val="nil"/>
              <w:left w:val="nil"/>
              <w:bottom w:val="single" w:sz="4" w:space="0" w:color="auto"/>
              <w:right w:val="single" w:sz="4" w:space="0" w:color="auto"/>
            </w:tcBorders>
            <w:shd w:val="clear" w:color="auto" w:fill="auto"/>
            <w:vAlign w:val="center"/>
            <w:hideMark/>
          </w:tcPr>
          <w:p w14:paraId="3552055F"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UEP</w:t>
            </w:r>
          </w:p>
        </w:tc>
      </w:tr>
      <w:tr w:rsidR="004A35FE" w:rsidRPr="00E164FA" w14:paraId="50C47250" w14:textId="77777777" w:rsidTr="004A35FE">
        <w:trPr>
          <w:trHeight w:val="300"/>
        </w:trPr>
        <w:tc>
          <w:tcPr>
            <w:tcW w:w="1800" w:type="dxa"/>
            <w:tcBorders>
              <w:top w:val="nil"/>
              <w:left w:val="single" w:sz="4" w:space="0" w:color="auto"/>
              <w:bottom w:val="single" w:sz="4" w:space="0" w:color="auto"/>
              <w:right w:val="single" w:sz="4" w:space="0" w:color="auto"/>
            </w:tcBorders>
            <w:shd w:val="clear" w:color="auto" w:fill="auto"/>
            <w:vAlign w:val="center"/>
            <w:hideMark/>
          </w:tcPr>
          <w:p w14:paraId="1C32DD10"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Publicación de resultados</w:t>
            </w:r>
          </w:p>
        </w:tc>
        <w:tc>
          <w:tcPr>
            <w:tcW w:w="720" w:type="dxa"/>
            <w:tcBorders>
              <w:top w:val="nil"/>
              <w:left w:val="nil"/>
              <w:bottom w:val="single" w:sz="4" w:space="0" w:color="auto"/>
              <w:right w:val="single" w:sz="4" w:space="0" w:color="auto"/>
            </w:tcBorders>
            <w:shd w:val="clear" w:color="auto" w:fill="auto"/>
            <w:vAlign w:val="center"/>
            <w:hideMark/>
          </w:tcPr>
          <w:p w14:paraId="66577AB6" w14:textId="77777777" w:rsidR="00046DE1" w:rsidRPr="00E164FA" w:rsidRDefault="00046DE1" w:rsidP="00046DE1">
            <w:pPr>
              <w:jc w:val="right"/>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50B9865" w14:textId="77777777" w:rsidR="00046DE1" w:rsidRPr="00E164FA" w:rsidRDefault="00046DE1" w:rsidP="00046DE1">
            <w:pPr>
              <w:jc w:val="right"/>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8E23354"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8D81926"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5499568"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2F57F04"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F1673D3"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B664868"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DF4A735"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DBF6589"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52A704F9"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C7693E1"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C140D43"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84D73D1"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5E6106C5"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B4D9858"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ADA4D91"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3DEBF92"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367FC50"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7474C59"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548D084"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5743E29"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990" w:type="dxa"/>
            <w:tcBorders>
              <w:top w:val="nil"/>
              <w:left w:val="nil"/>
              <w:bottom w:val="single" w:sz="4" w:space="0" w:color="auto"/>
              <w:right w:val="single" w:sz="4" w:space="0" w:color="auto"/>
            </w:tcBorders>
            <w:shd w:val="clear" w:color="auto" w:fill="auto"/>
            <w:vAlign w:val="center"/>
            <w:hideMark/>
          </w:tcPr>
          <w:p w14:paraId="27815515"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UEP</w:t>
            </w:r>
          </w:p>
        </w:tc>
        <w:tc>
          <w:tcPr>
            <w:tcW w:w="810" w:type="dxa"/>
            <w:tcBorders>
              <w:top w:val="nil"/>
              <w:left w:val="nil"/>
              <w:bottom w:val="single" w:sz="4" w:space="0" w:color="auto"/>
              <w:right w:val="single" w:sz="4" w:space="0" w:color="auto"/>
            </w:tcBorders>
            <w:shd w:val="clear" w:color="auto" w:fill="auto"/>
            <w:vAlign w:val="center"/>
            <w:hideMark/>
          </w:tcPr>
          <w:p w14:paraId="27A9C439"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810" w:type="dxa"/>
            <w:tcBorders>
              <w:top w:val="nil"/>
              <w:left w:val="nil"/>
              <w:bottom w:val="single" w:sz="4" w:space="0" w:color="auto"/>
              <w:right w:val="single" w:sz="4" w:space="0" w:color="auto"/>
            </w:tcBorders>
            <w:shd w:val="clear" w:color="auto" w:fill="auto"/>
            <w:vAlign w:val="center"/>
            <w:hideMark/>
          </w:tcPr>
          <w:p w14:paraId="36D97E06"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r>
      <w:tr w:rsidR="004A35FE" w:rsidRPr="00E164FA" w14:paraId="62ED7614" w14:textId="77777777" w:rsidTr="004A35FE">
        <w:trPr>
          <w:trHeight w:val="300"/>
        </w:trPr>
        <w:tc>
          <w:tcPr>
            <w:tcW w:w="1800" w:type="dxa"/>
            <w:tcBorders>
              <w:top w:val="nil"/>
              <w:left w:val="single" w:sz="4" w:space="0" w:color="auto"/>
              <w:bottom w:val="single" w:sz="4" w:space="0" w:color="auto"/>
              <w:right w:val="single" w:sz="4" w:space="0" w:color="auto"/>
            </w:tcBorders>
            <w:shd w:val="clear" w:color="auto" w:fill="auto"/>
            <w:vAlign w:val="center"/>
            <w:hideMark/>
          </w:tcPr>
          <w:p w14:paraId="1B624181"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Evaluación Final PCR</w:t>
            </w:r>
          </w:p>
        </w:tc>
        <w:tc>
          <w:tcPr>
            <w:tcW w:w="720" w:type="dxa"/>
            <w:tcBorders>
              <w:top w:val="nil"/>
              <w:left w:val="nil"/>
              <w:bottom w:val="single" w:sz="4" w:space="0" w:color="auto"/>
              <w:right w:val="single" w:sz="4" w:space="0" w:color="auto"/>
            </w:tcBorders>
            <w:shd w:val="clear" w:color="auto" w:fill="auto"/>
            <w:vAlign w:val="center"/>
            <w:hideMark/>
          </w:tcPr>
          <w:p w14:paraId="2377AE8F"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1705C5F"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E9479BD"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10EF73D"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62FC61C"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51D01030"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609F07B"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65B7FDE"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F4531AD"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C8FA55F"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DC7FA2A"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BD4F021"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30CF7C7"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538A8CAC"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543743C"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7CEDBCC"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5D2C4DA"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1D6AB53"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377579C"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5468C7F3"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52CB8BAB"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5BA0984"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990" w:type="dxa"/>
            <w:tcBorders>
              <w:top w:val="nil"/>
              <w:left w:val="nil"/>
              <w:bottom w:val="single" w:sz="4" w:space="0" w:color="auto"/>
              <w:right w:val="single" w:sz="4" w:space="0" w:color="auto"/>
            </w:tcBorders>
            <w:shd w:val="clear" w:color="auto" w:fill="auto"/>
            <w:vAlign w:val="center"/>
            <w:hideMark/>
          </w:tcPr>
          <w:p w14:paraId="2D0C0A76"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810" w:type="dxa"/>
            <w:tcBorders>
              <w:top w:val="nil"/>
              <w:left w:val="nil"/>
              <w:bottom w:val="single" w:sz="4" w:space="0" w:color="auto"/>
              <w:right w:val="single" w:sz="4" w:space="0" w:color="auto"/>
            </w:tcBorders>
            <w:shd w:val="clear" w:color="auto" w:fill="auto"/>
            <w:vAlign w:val="center"/>
            <w:hideMark/>
          </w:tcPr>
          <w:p w14:paraId="41FA0DDC"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810" w:type="dxa"/>
            <w:tcBorders>
              <w:top w:val="nil"/>
              <w:left w:val="nil"/>
              <w:bottom w:val="single" w:sz="4" w:space="0" w:color="auto"/>
              <w:right w:val="single" w:sz="4" w:space="0" w:color="auto"/>
            </w:tcBorders>
            <w:shd w:val="clear" w:color="auto" w:fill="auto"/>
            <w:vAlign w:val="center"/>
            <w:hideMark/>
          </w:tcPr>
          <w:p w14:paraId="30F28538"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r>
      <w:tr w:rsidR="00DE04C7" w:rsidRPr="00E164FA" w14:paraId="20F36E7F" w14:textId="77777777" w:rsidTr="004A35FE">
        <w:trPr>
          <w:trHeight w:val="300"/>
        </w:trPr>
        <w:tc>
          <w:tcPr>
            <w:tcW w:w="1800" w:type="dxa"/>
            <w:tcBorders>
              <w:top w:val="nil"/>
              <w:left w:val="single" w:sz="4" w:space="0" w:color="auto"/>
              <w:bottom w:val="single" w:sz="4" w:space="0" w:color="auto"/>
              <w:right w:val="single" w:sz="4" w:space="0" w:color="auto"/>
            </w:tcBorders>
            <w:shd w:val="clear" w:color="auto" w:fill="auto"/>
            <w:vAlign w:val="center"/>
            <w:hideMark/>
          </w:tcPr>
          <w:p w14:paraId="4AD7DB12"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xml:space="preserve">Recopilación de información </w:t>
            </w:r>
          </w:p>
        </w:tc>
        <w:tc>
          <w:tcPr>
            <w:tcW w:w="720" w:type="dxa"/>
            <w:tcBorders>
              <w:top w:val="nil"/>
              <w:left w:val="nil"/>
              <w:bottom w:val="single" w:sz="4" w:space="0" w:color="auto"/>
              <w:right w:val="single" w:sz="4" w:space="0" w:color="auto"/>
            </w:tcBorders>
            <w:shd w:val="clear" w:color="auto" w:fill="auto"/>
            <w:vAlign w:val="center"/>
            <w:hideMark/>
          </w:tcPr>
          <w:p w14:paraId="55FC1A67" w14:textId="77777777" w:rsidR="00046DE1" w:rsidRPr="00E164FA" w:rsidRDefault="00046DE1" w:rsidP="00046DE1">
            <w:pPr>
              <w:jc w:val="right"/>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38DCB97" w14:textId="77777777" w:rsidR="00046DE1" w:rsidRPr="00E164FA" w:rsidRDefault="00046DE1" w:rsidP="00046DE1">
            <w:pPr>
              <w:jc w:val="right"/>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1C84875"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6B9079DB"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09FC018"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2B99242C"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D0D8274"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7A526724"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64BC976"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647C9798"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AD0995B"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4F980A8E"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6D9C2E7"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3B16DF2D"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77C9138"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00DC0350"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377D22E"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76C6F870"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A35E233"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1033AA5A"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91B00C9"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BF9DA71"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990" w:type="dxa"/>
            <w:tcBorders>
              <w:top w:val="nil"/>
              <w:left w:val="nil"/>
              <w:bottom w:val="single" w:sz="4" w:space="0" w:color="auto"/>
              <w:right w:val="single" w:sz="4" w:space="0" w:color="auto"/>
            </w:tcBorders>
            <w:shd w:val="clear" w:color="auto" w:fill="auto"/>
            <w:vAlign w:val="center"/>
            <w:hideMark/>
          </w:tcPr>
          <w:p w14:paraId="0B3DD61B"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UEP</w:t>
            </w:r>
          </w:p>
        </w:tc>
        <w:tc>
          <w:tcPr>
            <w:tcW w:w="810" w:type="dxa"/>
            <w:tcBorders>
              <w:top w:val="nil"/>
              <w:left w:val="nil"/>
              <w:bottom w:val="single" w:sz="4" w:space="0" w:color="auto"/>
              <w:right w:val="single" w:sz="4" w:space="0" w:color="auto"/>
            </w:tcBorders>
            <w:shd w:val="clear" w:color="auto" w:fill="auto"/>
            <w:vAlign w:val="center"/>
            <w:hideMark/>
          </w:tcPr>
          <w:p w14:paraId="5E4B6DFF"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15,000</w:t>
            </w:r>
          </w:p>
        </w:tc>
        <w:tc>
          <w:tcPr>
            <w:tcW w:w="810" w:type="dxa"/>
            <w:tcBorders>
              <w:top w:val="nil"/>
              <w:left w:val="nil"/>
              <w:bottom w:val="single" w:sz="4" w:space="0" w:color="auto"/>
              <w:right w:val="single" w:sz="4" w:space="0" w:color="auto"/>
            </w:tcBorders>
            <w:shd w:val="clear" w:color="auto" w:fill="auto"/>
            <w:vAlign w:val="center"/>
            <w:hideMark/>
          </w:tcPr>
          <w:p w14:paraId="0EC7C594"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UEP</w:t>
            </w:r>
          </w:p>
        </w:tc>
      </w:tr>
      <w:tr w:rsidR="004A35FE" w:rsidRPr="00E164FA" w14:paraId="53B1246F" w14:textId="77777777" w:rsidTr="004A35FE">
        <w:trPr>
          <w:trHeight w:val="300"/>
        </w:trPr>
        <w:tc>
          <w:tcPr>
            <w:tcW w:w="1800" w:type="dxa"/>
            <w:tcBorders>
              <w:top w:val="nil"/>
              <w:left w:val="single" w:sz="4" w:space="0" w:color="auto"/>
              <w:bottom w:val="single" w:sz="4" w:space="0" w:color="auto"/>
              <w:right w:val="single" w:sz="4" w:space="0" w:color="auto"/>
            </w:tcBorders>
            <w:shd w:val="clear" w:color="auto" w:fill="auto"/>
            <w:vAlign w:val="center"/>
          </w:tcPr>
          <w:p w14:paraId="35E2CCAA" w14:textId="77777777" w:rsidR="00046DE1" w:rsidRPr="00E164FA" w:rsidRDefault="00046DE1" w:rsidP="00046DE1">
            <w:pPr>
              <w:rPr>
                <w:rFonts w:ascii="Arial" w:hAnsi="Arial" w:cs="Arial"/>
                <w:b/>
                <w:sz w:val="16"/>
                <w:szCs w:val="16"/>
                <w:lang w:val="es-CR"/>
              </w:rPr>
            </w:pPr>
            <w:r w:rsidRPr="00E164FA">
              <w:rPr>
                <w:rFonts w:ascii="Arial" w:hAnsi="Arial" w:cs="Arial"/>
                <w:sz w:val="16"/>
                <w:szCs w:val="16"/>
                <w:lang w:val="es-CR"/>
              </w:rPr>
              <w:t>Preparación del PCR</w:t>
            </w:r>
          </w:p>
        </w:tc>
        <w:tc>
          <w:tcPr>
            <w:tcW w:w="720" w:type="dxa"/>
            <w:tcBorders>
              <w:top w:val="nil"/>
              <w:left w:val="nil"/>
              <w:bottom w:val="single" w:sz="4" w:space="0" w:color="auto"/>
              <w:right w:val="single" w:sz="4" w:space="0" w:color="auto"/>
            </w:tcBorders>
            <w:shd w:val="clear" w:color="auto" w:fill="auto"/>
            <w:vAlign w:val="center"/>
          </w:tcPr>
          <w:p w14:paraId="58D25705" w14:textId="77777777" w:rsidR="00046DE1" w:rsidRPr="00E164FA" w:rsidRDefault="00046DE1" w:rsidP="00046DE1">
            <w:pPr>
              <w:jc w:val="right"/>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18613CAD" w14:textId="77777777" w:rsidR="00046DE1" w:rsidRPr="00E164FA" w:rsidRDefault="00046DE1" w:rsidP="00046DE1">
            <w:pPr>
              <w:jc w:val="right"/>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656174DD"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66CD2F14"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68940893" w14:textId="77777777" w:rsidR="00046DE1" w:rsidRPr="00E164FA" w:rsidRDefault="00046DE1" w:rsidP="00046DE1">
            <w:pPr>
              <w:jc w:val="cente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1219E857"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06F30B87"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350DFD2E"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74B69DF5" w14:textId="77777777" w:rsidR="00046DE1" w:rsidRPr="00E164FA" w:rsidRDefault="00046DE1" w:rsidP="00046DE1">
            <w:pPr>
              <w:jc w:val="cente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1CD6AE73"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72EF41B9"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5FB94F24"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631DF882" w14:textId="77777777" w:rsidR="00046DE1" w:rsidRPr="00E164FA" w:rsidRDefault="00046DE1" w:rsidP="00046DE1">
            <w:pPr>
              <w:jc w:val="cente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0FD38AAA"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417B63C4"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35AF1F09"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1A466507" w14:textId="77777777" w:rsidR="00046DE1" w:rsidRPr="00E164FA" w:rsidRDefault="00046DE1" w:rsidP="00046DE1">
            <w:pPr>
              <w:jc w:val="cente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199E7F55"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7087A5C9"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1EEFFBEB"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000000" w:fill="92D050"/>
            <w:vAlign w:val="center"/>
          </w:tcPr>
          <w:p w14:paraId="77A02F6C"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57484642" w14:textId="77777777" w:rsidR="00046DE1" w:rsidRPr="00E164FA" w:rsidRDefault="00046DE1" w:rsidP="00046DE1">
            <w:pPr>
              <w:rPr>
                <w:rFonts w:ascii="Arial" w:hAnsi="Arial" w:cs="Arial"/>
                <w:sz w:val="16"/>
                <w:szCs w:val="16"/>
                <w:lang w:val="es-CR"/>
              </w:rPr>
            </w:pPr>
          </w:p>
        </w:tc>
        <w:tc>
          <w:tcPr>
            <w:tcW w:w="990" w:type="dxa"/>
            <w:tcBorders>
              <w:top w:val="nil"/>
              <w:left w:val="nil"/>
              <w:bottom w:val="single" w:sz="4" w:space="0" w:color="auto"/>
              <w:right w:val="single" w:sz="4" w:space="0" w:color="auto"/>
            </w:tcBorders>
            <w:shd w:val="clear" w:color="auto" w:fill="auto"/>
            <w:vAlign w:val="center"/>
          </w:tcPr>
          <w:p w14:paraId="0ABC2DEB"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BID</w:t>
            </w:r>
          </w:p>
        </w:tc>
        <w:tc>
          <w:tcPr>
            <w:tcW w:w="810" w:type="dxa"/>
            <w:tcBorders>
              <w:top w:val="nil"/>
              <w:left w:val="nil"/>
              <w:bottom w:val="single" w:sz="4" w:space="0" w:color="auto"/>
              <w:right w:val="single" w:sz="4" w:space="0" w:color="auto"/>
            </w:tcBorders>
            <w:shd w:val="clear" w:color="auto" w:fill="auto"/>
            <w:vAlign w:val="center"/>
          </w:tcPr>
          <w:p w14:paraId="703A3EF9"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20,000</w:t>
            </w:r>
          </w:p>
        </w:tc>
        <w:tc>
          <w:tcPr>
            <w:tcW w:w="810" w:type="dxa"/>
            <w:tcBorders>
              <w:top w:val="nil"/>
              <w:left w:val="nil"/>
              <w:bottom w:val="single" w:sz="4" w:space="0" w:color="auto"/>
              <w:right w:val="single" w:sz="4" w:space="0" w:color="auto"/>
            </w:tcBorders>
            <w:shd w:val="clear" w:color="auto" w:fill="auto"/>
            <w:vAlign w:val="center"/>
          </w:tcPr>
          <w:p w14:paraId="058ED5EA"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BID</w:t>
            </w:r>
          </w:p>
        </w:tc>
      </w:tr>
      <w:tr w:rsidR="004A35FE" w:rsidRPr="00E164FA" w14:paraId="6C88B146" w14:textId="77777777" w:rsidTr="004A35FE">
        <w:trPr>
          <w:trHeight w:val="300"/>
        </w:trPr>
        <w:tc>
          <w:tcPr>
            <w:tcW w:w="1800" w:type="dxa"/>
            <w:tcBorders>
              <w:top w:val="nil"/>
              <w:left w:val="single" w:sz="4" w:space="0" w:color="auto"/>
              <w:bottom w:val="single" w:sz="4" w:space="0" w:color="auto"/>
              <w:right w:val="single" w:sz="4" w:space="0" w:color="auto"/>
            </w:tcBorders>
            <w:shd w:val="clear" w:color="auto" w:fill="auto"/>
            <w:vAlign w:val="center"/>
            <w:hideMark/>
          </w:tcPr>
          <w:p w14:paraId="4DCF9987" w14:textId="77777777" w:rsidR="00046DE1" w:rsidRPr="00E164FA" w:rsidRDefault="00046DE1" w:rsidP="00046DE1">
            <w:pPr>
              <w:rPr>
                <w:rFonts w:ascii="Arial" w:hAnsi="Arial" w:cs="Arial"/>
                <w:b/>
                <w:sz w:val="16"/>
                <w:szCs w:val="16"/>
                <w:lang w:val="es-CR"/>
              </w:rPr>
            </w:pPr>
            <w:r w:rsidRPr="00E164FA">
              <w:rPr>
                <w:rFonts w:ascii="Arial" w:hAnsi="Arial" w:cs="Arial"/>
                <w:b/>
                <w:sz w:val="16"/>
                <w:szCs w:val="16"/>
                <w:lang w:val="es-CR"/>
              </w:rPr>
              <w:t>Análisis Costo-Beneficio ex post</w:t>
            </w:r>
          </w:p>
        </w:tc>
        <w:tc>
          <w:tcPr>
            <w:tcW w:w="720" w:type="dxa"/>
            <w:tcBorders>
              <w:top w:val="nil"/>
              <w:left w:val="nil"/>
              <w:bottom w:val="single" w:sz="4" w:space="0" w:color="auto"/>
              <w:right w:val="single" w:sz="4" w:space="0" w:color="auto"/>
            </w:tcBorders>
            <w:shd w:val="clear" w:color="auto" w:fill="auto"/>
            <w:vAlign w:val="center"/>
            <w:hideMark/>
          </w:tcPr>
          <w:p w14:paraId="3041BCC4" w14:textId="77777777" w:rsidR="00046DE1" w:rsidRPr="00E164FA" w:rsidRDefault="00046DE1" w:rsidP="00046DE1">
            <w:pPr>
              <w:jc w:val="right"/>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4F3742E" w14:textId="77777777" w:rsidR="00046DE1" w:rsidRPr="00E164FA" w:rsidRDefault="00046DE1" w:rsidP="00046DE1">
            <w:pPr>
              <w:jc w:val="right"/>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ABD05C4"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093101C"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54DDEF31"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12E0FBA"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F1E461C"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7747D76"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AFDD0D1"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6409734"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6F55EFC"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E49D31F"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135237B"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E9EE9A4"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1762F1D"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DFA5E8E"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590A1A18"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397E082"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48CDA9B"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AAB3E0E"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6787F72"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92D050"/>
            <w:vAlign w:val="center"/>
            <w:hideMark/>
          </w:tcPr>
          <w:p w14:paraId="77BE0284"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990" w:type="dxa"/>
            <w:tcBorders>
              <w:top w:val="nil"/>
              <w:left w:val="nil"/>
              <w:bottom w:val="single" w:sz="4" w:space="0" w:color="auto"/>
              <w:right w:val="single" w:sz="4" w:space="0" w:color="auto"/>
            </w:tcBorders>
            <w:shd w:val="clear" w:color="auto" w:fill="auto"/>
            <w:vAlign w:val="center"/>
            <w:hideMark/>
          </w:tcPr>
          <w:p w14:paraId="4F737471"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UEP/BID</w:t>
            </w:r>
          </w:p>
        </w:tc>
        <w:tc>
          <w:tcPr>
            <w:tcW w:w="810" w:type="dxa"/>
            <w:tcBorders>
              <w:top w:val="nil"/>
              <w:left w:val="nil"/>
              <w:bottom w:val="single" w:sz="4" w:space="0" w:color="auto"/>
              <w:right w:val="single" w:sz="4" w:space="0" w:color="auto"/>
            </w:tcBorders>
            <w:shd w:val="clear" w:color="auto" w:fill="auto"/>
            <w:vAlign w:val="center"/>
            <w:hideMark/>
          </w:tcPr>
          <w:p w14:paraId="1B4701DF"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20,000</w:t>
            </w:r>
          </w:p>
        </w:tc>
        <w:tc>
          <w:tcPr>
            <w:tcW w:w="810" w:type="dxa"/>
            <w:tcBorders>
              <w:top w:val="nil"/>
              <w:left w:val="nil"/>
              <w:bottom w:val="single" w:sz="4" w:space="0" w:color="auto"/>
              <w:right w:val="single" w:sz="4" w:space="0" w:color="auto"/>
            </w:tcBorders>
            <w:shd w:val="clear" w:color="auto" w:fill="auto"/>
            <w:vAlign w:val="center"/>
            <w:hideMark/>
          </w:tcPr>
          <w:p w14:paraId="0E1F944B"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BID</w:t>
            </w:r>
          </w:p>
        </w:tc>
      </w:tr>
      <w:tr w:rsidR="004A35FE" w:rsidRPr="00E164FA" w14:paraId="2356D0DD" w14:textId="77777777" w:rsidTr="004A35FE">
        <w:trPr>
          <w:trHeight w:val="300"/>
        </w:trPr>
        <w:tc>
          <w:tcPr>
            <w:tcW w:w="1800" w:type="dxa"/>
            <w:tcBorders>
              <w:top w:val="nil"/>
              <w:left w:val="single" w:sz="4" w:space="0" w:color="auto"/>
              <w:bottom w:val="single" w:sz="4" w:space="0" w:color="auto"/>
              <w:right w:val="single" w:sz="4" w:space="0" w:color="auto"/>
            </w:tcBorders>
            <w:shd w:val="clear" w:color="auto" w:fill="auto"/>
            <w:vAlign w:val="center"/>
            <w:hideMark/>
          </w:tcPr>
          <w:p w14:paraId="5305B4D4"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xml:space="preserve">Preparación </w:t>
            </w:r>
            <w:proofErr w:type="spellStart"/>
            <w:r w:rsidRPr="00E164FA">
              <w:rPr>
                <w:rFonts w:ascii="Arial" w:hAnsi="Arial" w:cs="Arial"/>
                <w:sz w:val="16"/>
                <w:szCs w:val="16"/>
                <w:lang w:val="es-CR"/>
              </w:rPr>
              <w:t>TdR</w:t>
            </w:r>
            <w:proofErr w:type="spellEnd"/>
          </w:p>
        </w:tc>
        <w:tc>
          <w:tcPr>
            <w:tcW w:w="720" w:type="dxa"/>
            <w:tcBorders>
              <w:top w:val="nil"/>
              <w:left w:val="nil"/>
              <w:bottom w:val="single" w:sz="4" w:space="0" w:color="auto"/>
              <w:right w:val="single" w:sz="4" w:space="0" w:color="auto"/>
            </w:tcBorders>
            <w:shd w:val="clear" w:color="auto" w:fill="auto"/>
            <w:vAlign w:val="center"/>
            <w:hideMark/>
          </w:tcPr>
          <w:p w14:paraId="1CF70029" w14:textId="77777777" w:rsidR="00046DE1" w:rsidRPr="00E164FA" w:rsidRDefault="00046DE1" w:rsidP="00046DE1">
            <w:pPr>
              <w:jc w:val="right"/>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ACDE1E3" w14:textId="77777777" w:rsidR="00046DE1" w:rsidRPr="00E164FA" w:rsidRDefault="00046DE1" w:rsidP="00046DE1">
            <w:pPr>
              <w:jc w:val="right"/>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575F95C2"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9011A95"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A657736"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19B051E"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3203A12"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660AD36"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5E1E74E"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6736A62"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4C523A4"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9F535F3"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5F23905B"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265CE2B"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6A34307"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04F43AE"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BE41F68"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995D7A2"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47E5E03"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EE94BD0"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570E69A4"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5EF794D0"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990" w:type="dxa"/>
            <w:tcBorders>
              <w:top w:val="nil"/>
              <w:left w:val="nil"/>
              <w:bottom w:val="single" w:sz="4" w:space="0" w:color="auto"/>
              <w:right w:val="single" w:sz="4" w:space="0" w:color="auto"/>
            </w:tcBorders>
            <w:shd w:val="clear" w:color="auto" w:fill="auto"/>
            <w:vAlign w:val="center"/>
          </w:tcPr>
          <w:p w14:paraId="5B14E067"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UEP/BID</w:t>
            </w:r>
          </w:p>
        </w:tc>
        <w:tc>
          <w:tcPr>
            <w:tcW w:w="810" w:type="dxa"/>
            <w:tcBorders>
              <w:top w:val="nil"/>
              <w:left w:val="nil"/>
              <w:bottom w:val="single" w:sz="4" w:space="0" w:color="auto"/>
              <w:right w:val="single" w:sz="4" w:space="0" w:color="auto"/>
            </w:tcBorders>
            <w:shd w:val="clear" w:color="auto" w:fill="auto"/>
            <w:vAlign w:val="center"/>
          </w:tcPr>
          <w:p w14:paraId="4AF1BE63" w14:textId="77777777" w:rsidR="00046DE1" w:rsidRPr="00E164FA" w:rsidRDefault="00046DE1" w:rsidP="00046DE1">
            <w:pPr>
              <w:jc w:val="center"/>
              <w:rPr>
                <w:rFonts w:ascii="Arial" w:hAnsi="Arial" w:cs="Arial"/>
                <w:sz w:val="16"/>
                <w:szCs w:val="16"/>
                <w:lang w:val="es-CR"/>
              </w:rPr>
            </w:pPr>
          </w:p>
        </w:tc>
        <w:tc>
          <w:tcPr>
            <w:tcW w:w="810" w:type="dxa"/>
            <w:tcBorders>
              <w:top w:val="nil"/>
              <w:left w:val="nil"/>
              <w:bottom w:val="single" w:sz="4" w:space="0" w:color="auto"/>
              <w:right w:val="single" w:sz="4" w:space="0" w:color="auto"/>
            </w:tcBorders>
            <w:shd w:val="clear" w:color="auto" w:fill="auto"/>
            <w:vAlign w:val="center"/>
          </w:tcPr>
          <w:p w14:paraId="3721B62E" w14:textId="77777777" w:rsidR="00046DE1" w:rsidRPr="00E164FA" w:rsidRDefault="00046DE1" w:rsidP="00046DE1">
            <w:pPr>
              <w:jc w:val="center"/>
              <w:rPr>
                <w:rFonts w:ascii="Arial" w:hAnsi="Arial" w:cs="Arial"/>
                <w:sz w:val="16"/>
                <w:szCs w:val="16"/>
                <w:lang w:val="es-CR"/>
              </w:rPr>
            </w:pPr>
          </w:p>
        </w:tc>
      </w:tr>
      <w:tr w:rsidR="004A35FE" w:rsidRPr="00E164FA" w14:paraId="07781E68" w14:textId="77777777" w:rsidTr="004A35FE">
        <w:trPr>
          <w:trHeight w:val="532"/>
        </w:trPr>
        <w:tc>
          <w:tcPr>
            <w:tcW w:w="1800" w:type="dxa"/>
            <w:tcBorders>
              <w:top w:val="nil"/>
              <w:left w:val="single" w:sz="4" w:space="0" w:color="auto"/>
              <w:bottom w:val="single" w:sz="4" w:space="0" w:color="auto"/>
              <w:right w:val="single" w:sz="4" w:space="0" w:color="auto"/>
            </w:tcBorders>
            <w:shd w:val="clear" w:color="auto" w:fill="auto"/>
            <w:vAlign w:val="center"/>
            <w:hideMark/>
          </w:tcPr>
          <w:p w14:paraId="54977312"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Preparación Informe</w:t>
            </w:r>
          </w:p>
        </w:tc>
        <w:tc>
          <w:tcPr>
            <w:tcW w:w="720" w:type="dxa"/>
            <w:tcBorders>
              <w:top w:val="nil"/>
              <w:left w:val="nil"/>
              <w:bottom w:val="single" w:sz="4" w:space="0" w:color="auto"/>
              <w:right w:val="single" w:sz="4" w:space="0" w:color="auto"/>
            </w:tcBorders>
            <w:shd w:val="clear" w:color="auto" w:fill="auto"/>
            <w:vAlign w:val="center"/>
            <w:hideMark/>
          </w:tcPr>
          <w:p w14:paraId="512649A3" w14:textId="77777777" w:rsidR="00046DE1" w:rsidRPr="00E164FA" w:rsidRDefault="00046DE1" w:rsidP="00046DE1">
            <w:pPr>
              <w:jc w:val="right"/>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4E3D2B9" w14:textId="77777777" w:rsidR="00046DE1" w:rsidRPr="00E164FA" w:rsidRDefault="00046DE1" w:rsidP="00046DE1">
            <w:pPr>
              <w:jc w:val="right"/>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317DB3F"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7542EA22"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31D0A12"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C1827C9"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5BB1C4B"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6392DA7"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A9959A7"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8112A6B"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595210A"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35215221"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5A587921"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0F2BC939"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DD34835"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D85CB15"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0CCB674"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6880411A"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1B4E6ECB"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2AFD2E40" w14:textId="77777777" w:rsidR="00046DE1" w:rsidRPr="00E164FA" w:rsidRDefault="00046DE1" w:rsidP="00046DE1">
            <w:pPr>
              <w:rPr>
                <w:rFonts w:ascii="Arial" w:hAnsi="Arial" w:cs="Arial"/>
                <w:b/>
                <w:bCs/>
                <w:sz w:val="16"/>
                <w:szCs w:val="16"/>
                <w:lang w:val="es-CR"/>
              </w:rPr>
            </w:pPr>
            <w:r w:rsidRPr="00E164FA">
              <w:rPr>
                <w:rFonts w:ascii="Arial" w:hAnsi="Arial" w:cs="Arial"/>
                <w:b/>
                <w:bCs/>
                <w:sz w:val="16"/>
                <w:szCs w:val="16"/>
                <w:lang w:val="es-CR"/>
              </w:rPr>
              <w:t> </w:t>
            </w:r>
          </w:p>
        </w:tc>
        <w:tc>
          <w:tcPr>
            <w:tcW w:w="450" w:type="dxa"/>
            <w:tcBorders>
              <w:top w:val="nil"/>
              <w:left w:val="nil"/>
              <w:bottom w:val="single" w:sz="4" w:space="0" w:color="auto"/>
              <w:right w:val="single" w:sz="4" w:space="0" w:color="auto"/>
            </w:tcBorders>
            <w:shd w:val="clear" w:color="auto" w:fill="auto"/>
            <w:vAlign w:val="center"/>
            <w:hideMark/>
          </w:tcPr>
          <w:p w14:paraId="4DE4122F"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450" w:type="dxa"/>
            <w:tcBorders>
              <w:top w:val="nil"/>
              <w:left w:val="nil"/>
              <w:bottom w:val="single" w:sz="4" w:space="0" w:color="auto"/>
              <w:right w:val="single" w:sz="4" w:space="0" w:color="auto"/>
            </w:tcBorders>
            <w:shd w:val="clear" w:color="000000" w:fill="92D050"/>
            <w:vAlign w:val="center"/>
            <w:hideMark/>
          </w:tcPr>
          <w:p w14:paraId="419A731C"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 </w:t>
            </w:r>
          </w:p>
        </w:tc>
        <w:tc>
          <w:tcPr>
            <w:tcW w:w="990" w:type="dxa"/>
            <w:tcBorders>
              <w:top w:val="nil"/>
              <w:left w:val="nil"/>
              <w:bottom w:val="single" w:sz="4" w:space="0" w:color="auto"/>
              <w:right w:val="single" w:sz="4" w:space="0" w:color="auto"/>
            </w:tcBorders>
            <w:shd w:val="clear" w:color="auto" w:fill="auto"/>
            <w:vAlign w:val="center"/>
            <w:hideMark/>
          </w:tcPr>
          <w:p w14:paraId="5D3ED170"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BID</w:t>
            </w:r>
          </w:p>
        </w:tc>
        <w:tc>
          <w:tcPr>
            <w:tcW w:w="810" w:type="dxa"/>
            <w:tcBorders>
              <w:top w:val="nil"/>
              <w:left w:val="nil"/>
              <w:bottom w:val="single" w:sz="4" w:space="0" w:color="auto"/>
              <w:right w:val="single" w:sz="4" w:space="0" w:color="auto"/>
            </w:tcBorders>
            <w:shd w:val="clear" w:color="auto" w:fill="auto"/>
            <w:vAlign w:val="center"/>
            <w:hideMark/>
          </w:tcPr>
          <w:p w14:paraId="4DF58E7A"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c>
          <w:tcPr>
            <w:tcW w:w="810" w:type="dxa"/>
            <w:tcBorders>
              <w:top w:val="nil"/>
              <w:left w:val="nil"/>
              <w:bottom w:val="single" w:sz="4" w:space="0" w:color="auto"/>
              <w:right w:val="single" w:sz="4" w:space="0" w:color="auto"/>
            </w:tcBorders>
            <w:shd w:val="clear" w:color="auto" w:fill="auto"/>
            <w:vAlign w:val="center"/>
            <w:hideMark/>
          </w:tcPr>
          <w:p w14:paraId="6067C186"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r>
      <w:tr w:rsidR="004A35FE" w:rsidRPr="00E164FA" w14:paraId="3C60F723" w14:textId="77777777" w:rsidTr="004A35FE">
        <w:trPr>
          <w:trHeight w:val="532"/>
        </w:trPr>
        <w:tc>
          <w:tcPr>
            <w:tcW w:w="1800" w:type="dxa"/>
            <w:tcBorders>
              <w:top w:val="nil"/>
              <w:left w:val="single" w:sz="4" w:space="0" w:color="auto"/>
              <w:bottom w:val="single" w:sz="4" w:space="0" w:color="auto"/>
              <w:right w:val="single" w:sz="4" w:space="0" w:color="auto"/>
            </w:tcBorders>
            <w:shd w:val="clear" w:color="auto" w:fill="auto"/>
            <w:vAlign w:val="center"/>
          </w:tcPr>
          <w:p w14:paraId="26331E66" w14:textId="77777777" w:rsidR="00046DE1" w:rsidRPr="00E164FA" w:rsidRDefault="00046DE1" w:rsidP="00046DE1">
            <w:pPr>
              <w:rPr>
                <w:rFonts w:ascii="Arial" w:hAnsi="Arial" w:cs="Arial"/>
                <w:sz w:val="16"/>
                <w:szCs w:val="16"/>
                <w:lang w:val="es-CR"/>
              </w:rPr>
            </w:pPr>
            <w:r w:rsidRPr="00E164FA">
              <w:rPr>
                <w:rFonts w:ascii="Arial" w:hAnsi="Arial" w:cs="Arial"/>
                <w:sz w:val="16"/>
                <w:szCs w:val="16"/>
                <w:lang w:val="es-CR"/>
              </w:rPr>
              <w:t>Publicación de Informe</w:t>
            </w:r>
          </w:p>
        </w:tc>
        <w:tc>
          <w:tcPr>
            <w:tcW w:w="720" w:type="dxa"/>
            <w:tcBorders>
              <w:top w:val="nil"/>
              <w:left w:val="nil"/>
              <w:bottom w:val="single" w:sz="4" w:space="0" w:color="auto"/>
              <w:right w:val="single" w:sz="4" w:space="0" w:color="auto"/>
            </w:tcBorders>
            <w:shd w:val="clear" w:color="auto" w:fill="auto"/>
            <w:vAlign w:val="center"/>
          </w:tcPr>
          <w:p w14:paraId="122205C0" w14:textId="77777777" w:rsidR="00046DE1" w:rsidRPr="00E164FA" w:rsidRDefault="00046DE1" w:rsidP="00046DE1">
            <w:pPr>
              <w:jc w:val="right"/>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3E43504C" w14:textId="77777777" w:rsidR="00046DE1" w:rsidRPr="00E164FA" w:rsidRDefault="00046DE1" w:rsidP="00046DE1">
            <w:pPr>
              <w:jc w:val="right"/>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376C3A45" w14:textId="77777777" w:rsidR="00046DE1" w:rsidRPr="00E164FA" w:rsidRDefault="00046DE1" w:rsidP="00046DE1">
            <w:pPr>
              <w:rPr>
                <w:rFonts w:ascii="Arial" w:hAnsi="Arial" w:cs="Arial"/>
                <w:b/>
                <w:bCs/>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4E04278E" w14:textId="77777777" w:rsidR="00046DE1" w:rsidRPr="00E164FA" w:rsidRDefault="00046DE1" w:rsidP="00046DE1">
            <w:pPr>
              <w:rPr>
                <w:rFonts w:ascii="Arial" w:hAnsi="Arial" w:cs="Arial"/>
                <w:b/>
                <w:bCs/>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106E5F29" w14:textId="77777777" w:rsidR="00046DE1" w:rsidRPr="00E164FA" w:rsidRDefault="00046DE1" w:rsidP="00046DE1">
            <w:pPr>
              <w:jc w:val="cente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754562EF"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01F17020" w14:textId="77777777" w:rsidR="00046DE1" w:rsidRPr="00E164FA" w:rsidRDefault="00046DE1" w:rsidP="00046DE1">
            <w:pPr>
              <w:rPr>
                <w:rFonts w:ascii="Arial" w:hAnsi="Arial" w:cs="Arial"/>
                <w:b/>
                <w:bCs/>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2667347F" w14:textId="77777777" w:rsidR="00046DE1" w:rsidRPr="00E164FA" w:rsidRDefault="00046DE1" w:rsidP="00046DE1">
            <w:pPr>
              <w:rPr>
                <w:rFonts w:ascii="Arial" w:hAnsi="Arial" w:cs="Arial"/>
                <w:b/>
                <w:bCs/>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6055C0CE" w14:textId="77777777" w:rsidR="00046DE1" w:rsidRPr="00E164FA" w:rsidRDefault="00046DE1" w:rsidP="00046DE1">
            <w:pPr>
              <w:jc w:val="cente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54D2996B"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2E547E01" w14:textId="77777777" w:rsidR="00046DE1" w:rsidRPr="00E164FA" w:rsidRDefault="00046DE1" w:rsidP="00046DE1">
            <w:pPr>
              <w:rPr>
                <w:rFonts w:ascii="Arial" w:hAnsi="Arial" w:cs="Arial"/>
                <w:b/>
                <w:bCs/>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7A72C7EC" w14:textId="77777777" w:rsidR="00046DE1" w:rsidRPr="00E164FA" w:rsidRDefault="00046DE1" w:rsidP="00046DE1">
            <w:pPr>
              <w:rPr>
                <w:rFonts w:ascii="Arial" w:hAnsi="Arial" w:cs="Arial"/>
                <w:b/>
                <w:bCs/>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206CA797" w14:textId="77777777" w:rsidR="00046DE1" w:rsidRPr="00E164FA" w:rsidRDefault="00046DE1" w:rsidP="00046DE1">
            <w:pPr>
              <w:jc w:val="cente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03661344"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7DFDCF26" w14:textId="77777777" w:rsidR="00046DE1" w:rsidRPr="00E164FA" w:rsidRDefault="00046DE1" w:rsidP="00046DE1">
            <w:pPr>
              <w:rPr>
                <w:rFonts w:ascii="Arial" w:hAnsi="Arial" w:cs="Arial"/>
                <w:b/>
                <w:bCs/>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0D00CE88" w14:textId="77777777" w:rsidR="00046DE1" w:rsidRPr="00E164FA" w:rsidRDefault="00046DE1" w:rsidP="00046DE1">
            <w:pPr>
              <w:rPr>
                <w:rFonts w:ascii="Arial" w:hAnsi="Arial" w:cs="Arial"/>
                <w:b/>
                <w:bCs/>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72FFF645" w14:textId="77777777" w:rsidR="00046DE1" w:rsidRPr="00E164FA" w:rsidRDefault="00046DE1" w:rsidP="00046DE1">
            <w:pPr>
              <w:jc w:val="cente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60979E1D" w14:textId="77777777" w:rsidR="00046DE1" w:rsidRPr="00E164FA" w:rsidRDefault="00046DE1" w:rsidP="00046DE1">
            <w:pP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3399B1DA" w14:textId="77777777" w:rsidR="00046DE1" w:rsidRPr="00E164FA" w:rsidRDefault="00046DE1" w:rsidP="00046DE1">
            <w:pPr>
              <w:rPr>
                <w:rFonts w:ascii="Arial" w:hAnsi="Arial" w:cs="Arial"/>
                <w:b/>
                <w:bCs/>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2A48C094" w14:textId="77777777" w:rsidR="00046DE1" w:rsidRPr="00E164FA" w:rsidRDefault="00046DE1" w:rsidP="00046DE1">
            <w:pPr>
              <w:rPr>
                <w:rFonts w:ascii="Arial" w:hAnsi="Arial" w:cs="Arial"/>
                <w:b/>
                <w:bCs/>
                <w:sz w:val="16"/>
                <w:szCs w:val="16"/>
                <w:lang w:val="es-CR"/>
              </w:rPr>
            </w:pPr>
          </w:p>
        </w:tc>
        <w:tc>
          <w:tcPr>
            <w:tcW w:w="450" w:type="dxa"/>
            <w:tcBorders>
              <w:top w:val="nil"/>
              <w:left w:val="nil"/>
              <w:bottom w:val="single" w:sz="4" w:space="0" w:color="auto"/>
              <w:right w:val="single" w:sz="4" w:space="0" w:color="auto"/>
            </w:tcBorders>
            <w:shd w:val="clear" w:color="auto" w:fill="auto"/>
            <w:vAlign w:val="center"/>
          </w:tcPr>
          <w:p w14:paraId="4410B313" w14:textId="77777777" w:rsidR="00046DE1" w:rsidRPr="00E164FA" w:rsidRDefault="00046DE1" w:rsidP="00046DE1">
            <w:pPr>
              <w:jc w:val="center"/>
              <w:rPr>
                <w:rFonts w:ascii="Arial" w:hAnsi="Arial" w:cs="Arial"/>
                <w:sz w:val="16"/>
                <w:szCs w:val="16"/>
                <w:lang w:val="es-CR"/>
              </w:rPr>
            </w:pPr>
          </w:p>
        </w:tc>
        <w:tc>
          <w:tcPr>
            <w:tcW w:w="450" w:type="dxa"/>
            <w:tcBorders>
              <w:top w:val="nil"/>
              <w:left w:val="nil"/>
              <w:bottom w:val="single" w:sz="4" w:space="0" w:color="auto"/>
              <w:right w:val="single" w:sz="4" w:space="0" w:color="auto"/>
            </w:tcBorders>
            <w:shd w:val="clear" w:color="000000" w:fill="92D050"/>
            <w:vAlign w:val="center"/>
          </w:tcPr>
          <w:p w14:paraId="4FB2BA6A" w14:textId="77777777" w:rsidR="00046DE1" w:rsidRPr="00E164FA" w:rsidRDefault="00046DE1" w:rsidP="00046DE1">
            <w:pPr>
              <w:rPr>
                <w:rFonts w:ascii="Arial" w:hAnsi="Arial" w:cs="Arial"/>
                <w:sz w:val="16"/>
                <w:szCs w:val="16"/>
                <w:lang w:val="es-CR"/>
              </w:rPr>
            </w:pPr>
          </w:p>
        </w:tc>
        <w:tc>
          <w:tcPr>
            <w:tcW w:w="990" w:type="dxa"/>
            <w:tcBorders>
              <w:top w:val="nil"/>
              <w:left w:val="nil"/>
              <w:bottom w:val="single" w:sz="4" w:space="0" w:color="auto"/>
              <w:right w:val="single" w:sz="4" w:space="0" w:color="auto"/>
            </w:tcBorders>
            <w:shd w:val="clear" w:color="auto" w:fill="auto"/>
            <w:vAlign w:val="center"/>
          </w:tcPr>
          <w:p w14:paraId="16A65E89" w14:textId="77777777" w:rsidR="00046DE1" w:rsidRPr="00E164FA" w:rsidRDefault="00046DE1" w:rsidP="00046DE1">
            <w:pPr>
              <w:jc w:val="center"/>
              <w:rPr>
                <w:rFonts w:ascii="Arial" w:hAnsi="Arial" w:cs="Arial"/>
                <w:sz w:val="16"/>
                <w:szCs w:val="16"/>
                <w:lang w:val="es-CR"/>
              </w:rPr>
            </w:pPr>
          </w:p>
        </w:tc>
        <w:tc>
          <w:tcPr>
            <w:tcW w:w="810" w:type="dxa"/>
            <w:tcBorders>
              <w:top w:val="nil"/>
              <w:left w:val="nil"/>
              <w:bottom w:val="single" w:sz="4" w:space="0" w:color="auto"/>
              <w:right w:val="single" w:sz="4" w:space="0" w:color="auto"/>
            </w:tcBorders>
            <w:shd w:val="clear" w:color="auto" w:fill="auto"/>
            <w:vAlign w:val="center"/>
          </w:tcPr>
          <w:p w14:paraId="07856213" w14:textId="77777777" w:rsidR="00046DE1" w:rsidRPr="00E164FA" w:rsidRDefault="00046DE1" w:rsidP="00046DE1">
            <w:pPr>
              <w:jc w:val="center"/>
              <w:rPr>
                <w:rFonts w:ascii="Arial" w:hAnsi="Arial" w:cs="Arial"/>
                <w:sz w:val="16"/>
                <w:szCs w:val="16"/>
                <w:lang w:val="es-CR"/>
              </w:rPr>
            </w:pPr>
          </w:p>
        </w:tc>
        <w:tc>
          <w:tcPr>
            <w:tcW w:w="810" w:type="dxa"/>
            <w:tcBorders>
              <w:top w:val="nil"/>
              <w:left w:val="nil"/>
              <w:bottom w:val="single" w:sz="4" w:space="0" w:color="auto"/>
              <w:right w:val="single" w:sz="4" w:space="0" w:color="auto"/>
            </w:tcBorders>
            <w:shd w:val="clear" w:color="auto" w:fill="auto"/>
            <w:vAlign w:val="center"/>
          </w:tcPr>
          <w:p w14:paraId="23101E23" w14:textId="77777777" w:rsidR="00046DE1" w:rsidRPr="00E164FA" w:rsidRDefault="00046DE1" w:rsidP="00046DE1">
            <w:pPr>
              <w:jc w:val="center"/>
              <w:rPr>
                <w:rFonts w:ascii="Arial" w:hAnsi="Arial" w:cs="Arial"/>
                <w:sz w:val="16"/>
                <w:szCs w:val="16"/>
                <w:lang w:val="es-CR"/>
              </w:rPr>
            </w:pPr>
          </w:p>
        </w:tc>
      </w:tr>
      <w:tr w:rsidR="00046DE1" w:rsidRPr="00E164FA" w14:paraId="4A81B8D7" w14:textId="77777777" w:rsidTr="004A35FE">
        <w:trPr>
          <w:trHeight w:val="300"/>
        </w:trPr>
        <w:tc>
          <w:tcPr>
            <w:tcW w:w="12960" w:type="dxa"/>
            <w:gridSpan w:val="24"/>
            <w:tcBorders>
              <w:top w:val="single" w:sz="4" w:space="0" w:color="auto"/>
              <w:left w:val="single" w:sz="4" w:space="0" w:color="auto"/>
              <w:bottom w:val="single" w:sz="4" w:space="0" w:color="auto"/>
              <w:right w:val="single" w:sz="4" w:space="0" w:color="000000"/>
            </w:tcBorders>
            <w:shd w:val="clear" w:color="auto" w:fill="auto"/>
            <w:vAlign w:val="center"/>
            <w:hideMark/>
          </w:tcPr>
          <w:p w14:paraId="6EF5CC0F" w14:textId="77777777" w:rsidR="00046DE1" w:rsidRPr="00E164FA" w:rsidRDefault="00046DE1" w:rsidP="00110BE7">
            <w:pPr>
              <w:jc w:val="right"/>
              <w:rPr>
                <w:rFonts w:ascii="Arial" w:hAnsi="Arial" w:cs="Arial"/>
                <w:b/>
                <w:bCs/>
                <w:sz w:val="16"/>
                <w:szCs w:val="16"/>
                <w:lang w:val="es-CR"/>
              </w:rPr>
            </w:pPr>
            <w:r w:rsidRPr="00E164FA">
              <w:rPr>
                <w:rFonts w:ascii="Arial" w:hAnsi="Arial" w:cs="Arial"/>
                <w:b/>
                <w:bCs/>
                <w:sz w:val="16"/>
                <w:szCs w:val="16"/>
                <w:lang w:val="es-CR"/>
              </w:rPr>
              <w:t>TOTAL</w:t>
            </w:r>
          </w:p>
        </w:tc>
        <w:tc>
          <w:tcPr>
            <w:tcW w:w="810" w:type="dxa"/>
            <w:tcBorders>
              <w:top w:val="nil"/>
              <w:left w:val="nil"/>
              <w:bottom w:val="single" w:sz="4" w:space="0" w:color="auto"/>
              <w:right w:val="single" w:sz="4" w:space="0" w:color="auto"/>
            </w:tcBorders>
            <w:shd w:val="clear" w:color="auto" w:fill="auto"/>
            <w:vAlign w:val="center"/>
            <w:hideMark/>
          </w:tcPr>
          <w:p w14:paraId="66A24D30" w14:textId="77777777" w:rsidR="00046DE1" w:rsidRPr="00110BE7" w:rsidRDefault="00046DE1" w:rsidP="00046DE1">
            <w:pPr>
              <w:jc w:val="right"/>
              <w:rPr>
                <w:rFonts w:ascii="Arial" w:hAnsi="Arial" w:cs="Arial"/>
                <w:b/>
                <w:sz w:val="16"/>
                <w:szCs w:val="16"/>
                <w:lang w:val="es-CR"/>
              </w:rPr>
            </w:pPr>
            <w:r w:rsidRPr="00110BE7">
              <w:rPr>
                <w:rFonts w:ascii="Arial" w:hAnsi="Arial" w:cs="Arial"/>
                <w:b/>
                <w:sz w:val="16"/>
                <w:szCs w:val="16"/>
                <w:lang w:val="es-CR"/>
              </w:rPr>
              <w:t>90,000</w:t>
            </w:r>
          </w:p>
        </w:tc>
        <w:tc>
          <w:tcPr>
            <w:tcW w:w="810" w:type="dxa"/>
            <w:tcBorders>
              <w:top w:val="nil"/>
              <w:left w:val="nil"/>
              <w:bottom w:val="single" w:sz="4" w:space="0" w:color="auto"/>
              <w:right w:val="single" w:sz="4" w:space="0" w:color="auto"/>
            </w:tcBorders>
            <w:shd w:val="clear" w:color="auto" w:fill="auto"/>
            <w:vAlign w:val="center"/>
            <w:hideMark/>
          </w:tcPr>
          <w:p w14:paraId="7B782072" w14:textId="77777777" w:rsidR="00046DE1" w:rsidRPr="00E164FA" w:rsidRDefault="00046DE1" w:rsidP="00046DE1">
            <w:pPr>
              <w:jc w:val="center"/>
              <w:rPr>
                <w:rFonts w:ascii="Arial" w:hAnsi="Arial" w:cs="Arial"/>
                <w:sz w:val="16"/>
                <w:szCs w:val="16"/>
                <w:lang w:val="es-CR"/>
              </w:rPr>
            </w:pPr>
            <w:r w:rsidRPr="00E164FA">
              <w:rPr>
                <w:rFonts w:ascii="Arial" w:hAnsi="Arial" w:cs="Arial"/>
                <w:sz w:val="16"/>
                <w:szCs w:val="16"/>
                <w:lang w:val="es-CR"/>
              </w:rPr>
              <w:t> </w:t>
            </w:r>
          </w:p>
        </w:tc>
      </w:tr>
    </w:tbl>
    <w:p w14:paraId="6D9CDAA8" w14:textId="77777777" w:rsidR="00A34EC6" w:rsidRPr="002776C8" w:rsidRDefault="00A34EC6" w:rsidP="00A34EC6">
      <w:pPr>
        <w:rPr>
          <w:szCs w:val="24"/>
          <w:lang w:val="es-ES"/>
        </w:rPr>
      </w:pPr>
    </w:p>
    <w:sectPr w:rsidR="00A34EC6" w:rsidRPr="002776C8" w:rsidSect="00046DE1">
      <w:headerReference w:type="even" r:id="rId17"/>
      <w:headerReference w:type="default" r:id="rId18"/>
      <w:headerReference w:type="first" r:id="rId19"/>
      <w:pgSz w:w="15840" w:h="12240" w:orient="landscape" w:code="1"/>
      <w:pgMar w:top="1800" w:right="1440" w:bottom="1800" w:left="1440" w:header="706" w:footer="706"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3112" w:rsidP="00ED751C" w:rsidRDefault="001F3112" w14:paraId="72DF7C46" w14:textId="77777777">
      <w:r>
        <w:separator/>
      </w:r>
    </w:p>
  </w:endnote>
  <w:endnote w:type="continuationSeparator" w:id="0">
    <w:p w:rsidR="001F3112" w:rsidP="00ED751C" w:rsidRDefault="001F3112" w14:paraId="218DD10E" w14:textId="77777777">
      <w:r>
        <w:continuationSeparator/>
      </w:r>
    </w:p>
  </w:endnote>
  <w:endnote w:type="continuationNotice" w:id="1">
    <w:p w:rsidR="00FA1109" w:rsidRDefault="00FA1109" w14:paraId="1DA4442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D6471" w14:textId="77777777" w:rsidR="001F3112" w:rsidRDefault="001F3112" w:rsidP="004B570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3112" w:rsidP="00ED751C" w:rsidRDefault="001F3112" w14:paraId="1759F9F5" w14:textId="77777777">
      <w:r>
        <w:separator/>
      </w:r>
    </w:p>
  </w:footnote>
  <w:footnote w:type="continuationSeparator" w:id="0">
    <w:p w:rsidR="001F3112" w:rsidP="00ED751C" w:rsidRDefault="001F3112" w14:paraId="5DEEA4D5" w14:textId="77777777">
      <w:r>
        <w:continuationSeparator/>
      </w:r>
    </w:p>
  </w:footnote>
  <w:footnote w:type="continuationNotice" w:id="1">
    <w:p w:rsidR="00FA1109" w:rsidRDefault="00FA1109" w14:paraId="6EB86098" w14:textId="77777777"/>
  </w:footnote>
  <w:footnote w:id="2">
    <w:p w:rsidRPr="00885944" w:rsidR="00890464" w:rsidP="00890464" w:rsidRDefault="00890464" w14:paraId="4669D620" w14:textId="77777777">
      <w:pPr>
        <w:pStyle w:val="FootnoteText"/>
        <w:ind w:left="216" w:hanging="216"/>
        <w:rPr>
          <w:sz w:val="18"/>
          <w:szCs w:val="18"/>
        </w:rPr>
      </w:pPr>
      <w:r w:rsidRPr="00885944">
        <w:rPr>
          <w:rStyle w:val="FootnoteReference"/>
          <w:sz w:val="18"/>
          <w:szCs w:val="18"/>
        </w:rPr>
        <w:footnoteRef/>
      </w:r>
      <w:r w:rsidRPr="00885944">
        <w:rPr>
          <w:sz w:val="18"/>
          <w:szCs w:val="18"/>
        </w:rPr>
        <w:t xml:space="preserve"> </w:t>
      </w:r>
      <w:r>
        <w:rPr>
          <w:sz w:val="18"/>
          <w:szCs w:val="18"/>
        </w:rPr>
        <w:tab/>
      </w:r>
      <w:r w:rsidRPr="00885944">
        <w:rPr>
          <w:sz w:val="18"/>
          <w:szCs w:val="18"/>
        </w:rPr>
        <w:t>La línea de base se calcula a partir del análisis técnico del componente.</w:t>
      </w:r>
    </w:p>
  </w:footnote>
  <w:footnote w:id="3">
    <w:p w:rsidRPr="00885944" w:rsidR="00890464" w:rsidP="00890464" w:rsidRDefault="00890464" w14:paraId="654875D2" w14:textId="77777777">
      <w:pPr>
        <w:pStyle w:val="FootnoteText"/>
        <w:ind w:left="216" w:hanging="216"/>
        <w:rPr>
          <w:sz w:val="18"/>
          <w:szCs w:val="18"/>
        </w:rPr>
      </w:pPr>
      <w:r w:rsidRPr="00885944">
        <w:rPr>
          <w:rStyle w:val="FootnoteReference"/>
          <w:sz w:val="18"/>
          <w:szCs w:val="18"/>
        </w:rPr>
        <w:footnoteRef/>
      </w:r>
      <w:r w:rsidRPr="00885944">
        <w:rPr>
          <w:sz w:val="18"/>
          <w:szCs w:val="18"/>
        </w:rPr>
        <w:t xml:space="preserve"> </w:t>
      </w:r>
      <w:r>
        <w:rPr>
          <w:sz w:val="18"/>
          <w:szCs w:val="18"/>
        </w:rPr>
        <w:tab/>
      </w:r>
      <w:r w:rsidRPr="00885944">
        <w:rPr>
          <w:sz w:val="18"/>
          <w:szCs w:val="18"/>
        </w:rPr>
        <w:t>Al inicio de ejecución del programa se realizarán encuestas para determinar la línea de base.</w:t>
      </w:r>
    </w:p>
  </w:footnote>
  <w:footnote w:id="4">
    <w:p w:rsidRPr="00885944" w:rsidR="00890464" w:rsidP="00890464" w:rsidRDefault="00890464" w14:paraId="44F3E915" w14:textId="77777777">
      <w:pPr>
        <w:pStyle w:val="FootnoteText"/>
        <w:ind w:left="216" w:hanging="216"/>
        <w:rPr>
          <w:sz w:val="18"/>
          <w:szCs w:val="18"/>
        </w:rPr>
      </w:pPr>
      <w:r w:rsidRPr="00885944">
        <w:rPr>
          <w:rStyle w:val="FootnoteReference"/>
          <w:sz w:val="18"/>
          <w:szCs w:val="18"/>
        </w:rPr>
        <w:footnoteRef/>
      </w:r>
      <w:r w:rsidRPr="00885944">
        <w:rPr>
          <w:sz w:val="18"/>
          <w:szCs w:val="18"/>
        </w:rPr>
        <w:t xml:space="preserve"> </w:t>
      </w:r>
      <w:r>
        <w:rPr>
          <w:sz w:val="18"/>
          <w:szCs w:val="18"/>
        </w:rPr>
        <w:tab/>
      </w:r>
      <w:r w:rsidRPr="00885944">
        <w:rPr>
          <w:sz w:val="18"/>
          <w:szCs w:val="18"/>
        </w:rPr>
        <w:t>La línea de base se calcula a partir del análisis técnico del componente.</w:t>
      </w:r>
    </w:p>
  </w:footnote>
  <w:footnote w:id="5">
    <w:p w:rsidRPr="00885944" w:rsidR="00890464" w:rsidP="00890464" w:rsidRDefault="00890464" w14:paraId="5C419D80" w14:textId="77777777">
      <w:pPr>
        <w:pStyle w:val="FootnoteText"/>
        <w:ind w:left="216" w:hanging="216"/>
        <w:rPr>
          <w:sz w:val="18"/>
          <w:szCs w:val="18"/>
        </w:rPr>
      </w:pPr>
      <w:r w:rsidRPr="00885944">
        <w:rPr>
          <w:rStyle w:val="FootnoteReference"/>
          <w:sz w:val="18"/>
          <w:szCs w:val="18"/>
        </w:rPr>
        <w:footnoteRef/>
      </w:r>
      <w:r w:rsidRPr="00885944">
        <w:rPr>
          <w:sz w:val="18"/>
          <w:szCs w:val="18"/>
        </w:rPr>
        <w:t xml:space="preserve"> </w:t>
      </w:r>
      <w:r>
        <w:rPr>
          <w:sz w:val="18"/>
          <w:szCs w:val="18"/>
        </w:rPr>
        <w:tab/>
      </w:r>
      <w:r w:rsidRPr="00885944">
        <w:rPr>
          <w:sz w:val="18"/>
          <w:szCs w:val="18"/>
        </w:rPr>
        <w:t>Al inicio de ejecución del programa se realizarán encuestas para determinar la línea de base.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7602246"/>
      <w:docPartObj>
        <w:docPartGallery w:val="Page Numbers (Top of Page)"/>
        <w:docPartUnique/>
      </w:docPartObj>
    </w:sdtPr>
    <w:sdtEndPr>
      <w:rPr>
        <w:noProof/>
      </w:rPr>
    </w:sdtEndPr>
    <w:sdtContent>
      <w:p w14:paraId="041C388E" w14:textId="77777777" w:rsidR="001F3112" w:rsidRDefault="001F3112">
        <w:pPr>
          <w:pStyle w:val="Header"/>
          <w:jc w:val="center"/>
        </w:pPr>
      </w:p>
      <w:p w14:paraId="240920B1" w14:textId="77777777" w:rsidR="001F3112" w:rsidRDefault="001F3112">
        <w:pPr>
          <w:pStyle w:val="Header"/>
          <w:jc w:val="center"/>
          <w:rPr>
            <w:rFonts w:ascii="Arial" w:hAnsi="Arial" w:cs="Arial"/>
            <w:sz w:val="18"/>
            <w:szCs w:val="18"/>
          </w:rPr>
        </w:pPr>
      </w:p>
      <w:p w14:paraId="618FF480" w14:textId="56F9B13A" w:rsidR="001F3112" w:rsidRDefault="001F3112">
        <w:pPr>
          <w:pStyle w:val="Header"/>
          <w:jc w:val="center"/>
        </w:pPr>
        <w:r>
          <w:rPr>
            <w:rFonts w:ascii="Arial" w:hAnsi="Arial" w:cs="Arial"/>
            <w:sz w:val="18"/>
            <w:szCs w:val="18"/>
          </w:rPr>
          <w:t>-</w:t>
        </w:r>
        <w:r w:rsidRPr="000A5DEC">
          <w:rPr>
            <w:rFonts w:ascii="Arial" w:hAnsi="Arial" w:cs="Arial"/>
            <w:sz w:val="18"/>
            <w:szCs w:val="18"/>
          </w:rPr>
          <w:fldChar w:fldCharType="begin"/>
        </w:r>
        <w:r w:rsidRPr="000A5DEC">
          <w:rPr>
            <w:rFonts w:ascii="Arial" w:hAnsi="Arial" w:cs="Arial"/>
            <w:sz w:val="18"/>
            <w:szCs w:val="18"/>
          </w:rPr>
          <w:instrText xml:space="preserve"> PAGE   \* MERGEFORMAT </w:instrText>
        </w:r>
        <w:r w:rsidRPr="000A5DEC">
          <w:rPr>
            <w:rFonts w:ascii="Arial" w:hAnsi="Arial" w:cs="Arial"/>
            <w:sz w:val="18"/>
            <w:szCs w:val="18"/>
          </w:rPr>
          <w:fldChar w:fldCharType="separate"/>
        </w:r>
        <w:r w:rsidR="00064A2E">
          <w:rPr>
            <w:rFonts w:ascii="Arial" w:hAnsi="Arial" w:cs="Arial"/>
            <w:noProof/>
            <w:sz w:val="18"/>
            <w:szCs w:val="18"/>
          </w:rPr>
          <w:t>17</w:t>
        </w:r>
        <w:r w:rsidRPr="000A5DEC">
          <w:rPr>
            <w:rFonts w:ascii="Arial" w:hAnsi="Arial" w:cs="Arial"/>
            <w:noProof/>
            <w:sz w:val="18"/>
            <w:szCs w:val="18"/>
          </w:rPr>
          <w:fldChar w:fldCharType="end"/>
        </w:r>
        <w:r>
          <w:rPr>
            <w:rFonts w:ascii="Arial" w:hAnsi="Arial" w:cs="Arial"/>
            <w:noProof/>
            <w:sz w:val="18"/>
            <w:szCs w:val="18"/>
          </w:rPr>
          <w:t>-</w:t>
        </w:r>
      </w:p>
    </w:sdtContent>
  </w:sdt>
  <w:p w14:paraId="627359BE" w14:textId="77777777" w:rsidR="001F3112" w:rsidRDefault="001F31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0326282"/>
      <w:docPartObj>
        <w:docPartGallery w:val="Page Numbers (Top of Page)"/>
        <w:docPartUnique/>
      </w:docPartObj>
    </w:sdtPr>
    <w:sdtEndPr>
      <w:rPr>
        <w:rFonts w:ascii="Arial" w:hAnsi="Arial" w:cs="Arial"/>
        <w:noProof/>
        <w:sz w:val="18"/>
        <w:szCs w:val="18"/>
      </w:rPr>
    </w:sdtEndPr>
    <w:sdtContent>
      <w:p w14:paraId="73DAF4CC" w14:textId="77777777" w:rsidR="001F3112" w:rsidRDefault="001F3112">
        <w:pPr>
          <w:pStyle w:val="Header"/>
          <w:jc w:val="center"/>
        </w:pPr>
      </w:p>
      <w:p w14:paraId="3141AA44" w14:textId="77777777" w:rsidR="001F3112" w:rsidRDefault="001F3112">
        <w:pPr>
          <w:pStyle w:val="Header"/>
          <w:jc w:val="center"/>
          <w:rPr>
            <w:rFonts w:ascii="Arial" w:hAnsi="Arial" w:cs="Arial"/>
            <w:sz w:val="18"/>
            <w:szCs w:val="18"/>
          </w:rPr>
        </w:pPr>
      </w:p>
      <w:p w14:paraId="09C88945" w14:textId="1E4BF0D3" w:rsidR="001F3112" w:rsidRDefault="001F3112">
        <w:pPr>
          <w:pStyle w:val="Header"/>
          <w:jc w:val="center"/>
          <w:rPr>
            <w:rFonts w:ascii="Arial" w:hAnsi="Arial" w:cs="Arial"/>
            <w:sz w:val="18"/>
            <w:szCs w:val="18"/>
          </w:rPr>
        </w:pPr>
      </w:p>
      <w:p w14:paraId="308B7C90" w14:textId="10E39C21" w:rsidR="001F3112" w:rsidRPr="00B904B8" w:rsidRDefault="001F3112" w:rsidP="00B904B8">
        <w:pPr>
          <w:pStyle w:val="Header"/>
          <w:tabs>
            <w:tab w:val="clear" w:pos="8640"/>
          </w:tabs>
          <w:jc w:val="center"/>
          <w:rPr>
            <w:rFonts w:ascii="Arial" w:hAnsi="Arial" w:cs="Arial"/>
            <w:sz w:val="18"/>
            <w:szCs w:val="18"/>
          </w:rPr>
        </w:pPr>
        <w:r>
          <w:rPr>
            <w:rFonts w:ascii="Arial" w:hAnsi="Arial" w:cs="Arial"/>
            <w:sz w:val="18"/>
            <w:szCs w:val="18"/>
          </w:rPr>
          <w:t>-</w:t>
        </w:r>
        <w:r w:rsidRPr="00B904B8">
          <w:rPr>
            <w:rFonts w:ascii="Arial" w:hAnsi="Arial" w:cs="Arial"/>
            <w:sz w:val="18"/>
            <w:szCs w:val="18"/>
          </w:rPr>
          <w:fldChar w:fldCharType="begin"/>
        </w:r>
        <w:r w:rsidRPr="00B904B8">
          <w:rPr>
            <w:rFonts w:ascii="Arial" w:hAnsi="Arial" w:cs="Arial"/>
            <w:sz w:val="18"/>
            <w:szCs w:val="18"/>
          </w:rPr>
          <w:instrText xml:space="preserve"> PAGE   \* MERGEFORMAT </w:instrText>
        </w:r>
        <w:r w:rsidRPr="00B904B8">
          <w:rPr>
            <w:rFonts w:ascii="Arial" w:hAnsi="Arial" w:cs="Arial"/>
            <w:sz w:val="18"/>
            <w:szCs w:val="18"/>
          </w:rPr>
          <w:fldChar w:fldCharType="separate"/>
        </w:r>
        <w:r w:rsidR="00064A2E">
          <w:rPr>
            <w:rFonts w:ascii="Arial" w:hAnsi="Arial" w:cs="Arial"/>
            <w:noProof/>
            <w:sz w:val="18"/>
            <w:szCs w:val="18"/>
          </w:rPr>
          <w:t>1</w:t>
        </w:r>
        <w:r w:rsidRPr="00B904B8">
          <w:rPr>
            <w:rFonts w:ascii="Arial" w:hAnsi="Arial" w:cs="Arial"/>
            <w:noProof/>
            <w:sz w:val="18"/>
            <w:szCs w:val="18"/>
          </w:rPr>
          <w:fldChar w:fldCharType="end"/>
        </w:r>
        <w:r>
          <w:rPr>
            <w:rFonts w:ascii="Arial" w:hAnsi="Arial" w:cs="Arial"/>
            <w:noProof/>
            <w:sz w:val="18"/>
            <w:szCs w:val="18"/>
          </w:rPr>
          <w:t>-</w:t>
        </w:r>
      </w:p>
    </w:sdtContent>
  </w:sdt>
  <w:p w14:paraId="3B157C08" w14:textId="77777777" w:rsidR="001F3112" w:rsidRDefault="001F31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18457" w14:textId="77777777" w:rsidR="001F3112" w:rsidRDefault="001F3112">
    <w:pPr>
      <w:pStyle w:val="Header"/>
      <w:ind w:right="360"/>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0DFC6" w14:textId="77777777" w:rsidR="001F3112" w:rsidRPr="00EB0154" w:rsidRDefault="001F3112" w:rsidP="00EB0154">
    <w:pPr>
      <w:pStyle w:val="Header"/>
      <w:tabs>
        <w:tab w:val="left" w:pos="3840"/>
        <w:tab w:val="center" w:pos="4140"/>
      </w:tabs>
      <w:ind w:right="360"/>
      <w:rPr>
        <w:rFonts w:ascii="Arial" w:hAnsi="Arial" w:cs="Arial"/>
        <w:snapToGrid w:val="0"/>
      </w:rPr>
    </w:pPr>
    <w:r>
      <w:rPr>
        <w:snapToGrid w:val="0"/>
      </w:rPr>
      <w:tab/>
    </w:r>
    <w:r w:rsidRPr="00706FA8">
      <w:rPr>
        <w:rFonts w:ascii="Arial" w:hAnsi="Arial" w:cs="Arial"/>
        <w:snapToGrid w:val="0"/>
        <w:sz w:val="18"/>
      </w:rPr>
      <w:tab/>
    </w:r>
    <w:r w:rsidRPr="00706FA8">
      <w:rPr>
        <w:rFonts w:ascii="Arial" w:hAnsi="Arial" w:cs="Arial"/>
        <w:snapToGrid w:val="0"/>
        <w:sz w:val="18"/>
      </w:rPr>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Pr>
        <w:rFonts w:ascii="Arial" w:hAnsi="Arial" w:cs="Arial"/>
        <w:noProof/>
        <w:snapToGrid w:val="0"/>
        <w:sz w:val="18"/>
      </w:rPr>
      <w:t>17</w:t>
    </w:r>
    <w:r w:rsidRPr="00706FA8">
      <w:rPr>
        <w:rFonts w:ascii="Arial" w:hAnsi="Arial" w:cs="Arial"/>
        <w:snapToGrid w:val="0"/>
        <w:sz w:val="18"/>
      </w:rPr>
      <w:fldChar w:fldCharType="end"/>
    </w:r>
    <w:r w:rsidRPr="00706FA8">
      <w:rPr>
        <w:rFonts w:ascii="Arial" w:hAnsi="Arial" w:cs="Arial"/>
        <w:snapToGrid w:val="0"/>
        <w:sz w:val="18"/>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074E4" w14:textId="5690C7CC" w:rsidR="001F3112" w:rsidRPr="00BE7DA9" w:rsidRDefault="001F3112">
    <w:pPr>
      <w:pStyle w:val="Header"/>
      <w:jc w:val="center"/>
      <w:rPr>
        <w:rFonts w:ascii="Arial" w:hAnsi="Arial" w:cs="Arial"/>
        <w:sz w:val="18"/>
        <w:szCs w:val="18"/>
      </w:rPr>
    </w:pPr>
    <w:r w:rsidRPr="00BE7DA9">
      <w:rPr>
        <w:rFonts w:ascii="Arial" w:hAnsi="Arial" w:cs="Arial"/>
        <w:sz w:val="18"/>
        <w:szCs w:val="18"/>
      </w:rPr>
      <w:t>-</w:t>
    </w:r>
    <w:sdt>
      <w:sdtPr>
        <w:rPr>
          <w:rFonts w:ascii="Arial" w:hAnsi="Arial" w:cs="Arial"/>
          <w:sz w:val="18"/>
          <w:szCs w:val="18"/>
        </w:rPr>
        <w:id w:val="-283424467"/>
        <w:docPartObj>
          <w:docPartGallery w:val="Page Numbers (Top of Page)"/>
          <w:docPartUnique/>
        </w:docPartObj>
      </w:sdtPr>
      <w:sdtEndPr>
        <w:rPr>
          <w:noProof/>
        </w:rPr>
      </w:sdtEndPr>
      <w:sdtContent>
        <w:r w:rsidRPr="00BE7DA9">
          <w:rPr>
            <w:rFonts w:ascii="Arial" w:hAnsi="Arial" w:cs="Arial"/>
            <w:sz w:val="18"/>
            <w:szCs w:val="18"/>
          </w:rPr>
          <w:fldChar w:fldCharType="begin"/>
        </w:r>
        <w:r w:rsidRPr="00BE7DA9">
          <w:rPr>
            <w:rFonts w:ascii="Arial" w:hAnsi="Arial" w:cs="Arial"/>
            <w:sz w:val="18"/>
            <w:szCs w:val="18"/>
          </w:rPr>
          <w:instrText xml:space="preserve"> PAGE   \* MERGEFORMAT </w:instrText>
        </w:r>
        <w:r w:rsidRPr="00BE7DA9">
          <w:rPr>
            <w:rFonts w:ascii="Arial" w:hAnsi="Arial" w:cs="Arial"/>
            <w:sz w:val="18"/>
            <w:szCs w:val="18"/>
          </w:rPr>
          <w:fldChar w:fldCharType="separate"/>
        </w:r>
        <w:r w:rsidR="00064A2E">
          <w:rPr>
            <w:rFonts w:ascii="Arial" w:hAnsi="Arial" w:cs="Arial"/>
            <w:noProof/>
            <w:sz w:val="18"/>
            <w:szCs w:val="18"/>
          </w:rPr>
          <w:t>18</w:t>
        </w:r>
        <w:r w:rsidRPr="00BE7DA9">
          <w:rPr>
            <w:rFonts w:ascii="Arial" w:hAnsi="Arial" w:cs="Arial"/>
            <w:noProof/>
            <w:sz w:val="18"/>
            <w:szCs w:val="18"/>
          </w:rPr>
          <w:fldChar w:fldCharType="end"/>
        </w:r>
        <w:r w:rsidRPr="00BE7DA9">
          <w:rPr>
            <w:rFonts w:ascii="Arial" w:hAnsi="Arial" w:cs="Arial"/>
            <w:noProof/>
            <w:sz w:val="18"/>
            <w:szCs w:val="18"/>
          </w:rPr>
          <w:t>-</w:t>
        </w:r>
      </w:sdtContent>
    </w:sdt>
  </w:p>
  <w:p w14:paraId="39AD101C" w14:textId="77777777" w:rsidR="001F3112" w:rsidRDefault="001F311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5D76"/>
    <w:multiLevelType w:val="multilevel"/>
    <w:tmpl w:val="FEBE76AC"/>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 w15:restartNumberingAfterBreak="0">
    <w:nsid w:val="02FD567A"/>
    <w:multiLevelType w:val="multilevel"/>
    <w:tmpl w:val="7A7C7EC6"/>
    <w:lvl w:ilvl="0">
      <w:start w:val="1"/>
      <w:numFmt w:val="upperLetter"/>
      <w:lvlRestart w:val="0"/>
      <w:pStyle w:val="FirstHeading"/>
      <w:lvlText w:val="%1."/>
      <w:lvlJc w:val="left"/>
      <w:pPr>
        <w:ind w:left="720" w:hanging="720"/>
      </w:pPr>
      <w:rPr>
        <w:b/>
      </w:rPr>
    </w:lvl>
    <w:lvl w:ilvl="1">
      <w:start w:val="1"/>
      <w:numFmt w:val="decimal"/>
      <w:pStyle w:val="SecHeading"/>
      <w:lvlText w:val="%2."/>
      <w:lvlJc w:val="left"/>
      <w:pPr>
        <w:tabs>
          <w:tab w:val="num" w:pos="1296"/>
        </w:tabs>
        <w:ind w:left="1296" w:hanging="576"/>
      </w:pPr>
      <w:rPr>
        <w:b/>
      </w:rPr>
    </w:lvl>
    <w:lvl w:ilvl="2">
      <w:start w:val="1"/>
      <w:numFmt w:val="lowerLetter"/>
      <w:pStyle w:val="SubHeading1"/>
      <w:lvlText w:val="%3)"/>
      <w:lvlJc w:val="left"/>
      <w:pPr>
        <w:tabs>
          <w:tab w:val="num" w:pos="1872"/>
        </w:tabs>
        <w:ind w:left="1872" w:hanging="576"/>
      </w:pPr>
      <w:rPr>
        <w:b/>
      </w:rPr>
    </w:lvl>
    <w:lvl w:ilvl="3">
      <w:start w:val="1"/>
      <w:numFmt w:val="lowerRoman"/>
      <w:pStyle w:val="Subheading2"/>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2" w15:restartNumberingAfterBreak="0">
    <w:nsid w:val="06006475"/>
    <w:multiLevelType w:val="multilevel"/>
    <w:tmpl w:val="4B64C42E"/>
    <w:lvl w:ilvl="0">
      <w:start w:val="1"/>
      <w:numFmt w:val="lowerLetter"/>
      <w:lvlText w:val="%1."/>
      <w:lvlJc w:val="left"/>
      <w:pPr>
        <w:tabs>
          <w:tab w:val="num" w:pos="666"/>
        </w:tabs>
        <w:ind w:left="18" w:firstLine="288"/>
      </w:pPr>
      <w:rPr>
        <w:b/>
        <w:i w:val="0"/>
      </w:rPr>
    </w:lvl>
    <w:lvl w:ilvl="1">
      <w:start w:val="1"/>
      <w:numFmt w:val="upperRoman"/>
      <w:lvlText w:val="%2."/>
      <w:lvlJc w:val="right"/>
      <w:pPr>
        <w:tabs>
          <w:tab w:val="num" w:pos="1314"/>
        </w:tabs>
        <w:ind w:left="1314" w:hanging="1296"/>
      </w:pPr>
      <w:rPr>
        <w:b w:val="0"/>
      </w:rPr>
    </w:lvl>
    <w:lvl w:ilvl="2">
      <w:start w:val="1"/>
      <w:numFmt w:val="lowerLetter"/>
      <w:lvlText w:val="%3."/>
      <w:lvlJc w:val="left"/>
      <w:pPr>
        <w:tabs>
          <w:tab w:val="num" w:pos="1170"/>
        </w:tabs>
        <w:ind w:left="1170" w:hanging="432"/>
      </w:pPr>
    </w:lvl>
    <w:lvl w:ilvl="3">
      <w:start w:val="1"/>
      <w:numFmt w:val="lowerRoman"/>
      <w:lvlText w:val="%4."/>
      <w:lvlJc w:val="right"/>
      <w:pPr>
        <w:tabs>
          <w:tab w:val="num" w:pos="1602"/>
        </w:tabs>
        <w:ind w:left="1602" w:hanging="288"/>
      </w:pPr>
    </w:lvl>
    <w:lvl w:ilvl="4">
      <w:start w:val="1"/>
      <w:numFmt w:val="decimal"/>
      <w:lvlText w:val="%1.%2.%3.%4.%5"/>
      <w:lvlJc w:val="left"/>
      <w:pPr>
        <w:ind w:left="1026" w:hanging="1008"/>
      </w:pPr>
    </w:lvl>
    <w:lvl w:ilvl="5">
      <w:start w:val="1"/>
      <w:numFmt w:val="decimal"/>
      <w:lvlText w:val="%1.%2.%3.%4.%5.%6"/>
      <w:lvlJc w:val="left"/>
      <w:pPr>
        <w:ind w:left="1170" w:hanging="1152"/>
      </w:pPr>
    </w:lvl>
    <w:lvl w:ilvl="6">
      <w:start w:val="1"/>
      <w:numFmt w:val="decimal"/>
      <w:lvlText w:val="%1.%2.%3.%4.%5.%6.%7"/>
      <w:lvlJc w:val="left"/>
      <w:pPr>
        <w:ind w:left="1314" w:hanging="1296"/>
      </w:pPr>
    </w:lvl>
    <w:lvl w:ilvl="7">
      <w:start w:val="1"/>
      <w:numFmt w:val="decimal"/>
      <w:lvlText w:val="%1.%2.%3.%4.%5.%6.%7.%8"/>
      <w:lvlJc w:val="left"/>
      <w:pPr>
        <w:ind w:left="1458" w:hanging="1440"/>
      </w:pPr>
    </w:lvl>
    <w:lvl w:ilvl="8">
      <w:start w:val="1"/>
      <w:numFmt w:val="decimal"/>
      <w:lvlText w:val="%1.%2.%3.%4.%5.%6.%7.%8.%9"/>
      <w:lvlJc w:val="left"/>
      <w:pPr>
        <w:ind w:left="1602" w:hanging="1584"/>
      </w:pPr>
    </w:lvl>
  </w:abstractNum>
  <w:abstractNum w:abstractNumId="3" w15:restartNumberingAfterBreak="0">
    <w:nsid w:val="0911751A"/>
    <w:multiLevelType w:val="hybridMultilevel"/>
    <w:tmpl w:val="5776C330"/>
    <w:lvl w:ilvl="0" w:tplc="440A0001">
      <w:start w:val="1"/>
      <w:numFmt w:val="bullet"/>
      <w:lvlText w:val=""/>
      <w:lvlJc w:val="left"/>
      <w:pPr>
        <w:ind w:left="720" w:hanging="360"/>
      </w:pPr>
      <w:rPr>
        <w:rFonts w:hint="default" w:ascii="Symbol" w:hAnsi="Symbol"/>
      </w:rPr>
    </w:lvl>
    <w:lvl w:ilvl="1" w:tplc="440A0003" w:tentative="1">
      <w:start w:val="1"/>
      <w:numFmt w:val="bullet"/>
      <w:lvlText w:val="o"/>
      <w:lvlJc w:val="left"/>
      <w:pPr>
        <w:ind w:left="1440" w:hanging="360"/>
      </w:pPr>
      <w:rPr>
        <w:rFonts w:hint="default" w:ascii="Courier New" w:hAnsi="Courier New" w:cs="Courier New"/>
      </w:rPr>
    </w:lvl>
    <w:lvl w:ilvl="2" w:tplc="440A0005" w:tentative="1">
      <w:start w:val="1"/>
      <w:numFmt w:val="bullet"/>
      <w:lvlText w:val=""/>
      <w:lvlJc w:val="left"/>
      <w:pPr>
        <w:ind w:left="2160" w:hanging="360"/>
      </w:pPr>
      <w:rPr>
        <w:rFonts w:hint="default" w:ascii="Wingdings" w:hAnsi="Wingdings"/>
      </w:rPr>
    </w:lvl>
    <w:lvl w:ilvl="3" w:tplc="440A0001" w:tentative="1">
      <w:start w:val="1"/>
      <w:numFmt w:val="bullet"/>
      <w:lvlText w:val=""/>
      <w:lvlJc w:val="left"/>
      <w:pPr>
        <w:ind w:left="2880" w:hanging="360"/>
      </w:pPr>
      <w:rPr>
        <w:rFonts w:hint="default" w:ascii="Symbol" w:hAnsi="Symbol"/>
      </w:rPr>
    </w:lvl>
    <w:lvl w:ilvl="4" w:tplc="440A0003" w:tentative="1">
      <w:start w:val="1"/>
      <w:numFmt w:val="bullet"/>
      <w:lvlText w:val="o"/>
      <w:lvlJc w:val="left"/>
      <w:pPr>
        <w:ind w:left="3600" w:hanging="360"/>
      </w:pPr>
      <w:rPr>
        <w:rFonts w:hint="default" w:ascii="Courier New" w:hAnsi="Courier New" w:cs="Courier New"/>
      </w:rPr>
    </w:lvl>
    <w:lvl w:ilvl="5" w:tplc="440A0005" w:tentative="1">
      <w:start w:val="1"/>
      <w:numFmt w:val="bullet"/>
      <w:lvlText w:val=""/>
      <w:lvlJc w:val="left"/>
      <w:pPr>
        <w:ind w:left="4320" w:hanging="360"/>
      </w:pPr>
      <w:rPr>
        <w:rFonts w:hint="default" w:ascii="Wingdings" w:hAnsi="Wingdings"/>
      </w:rPr>
    </w:lvl>
    <w:lvl w:ilvl="6" w:tplc="440A0001" w:tentative="1">
      <w:start w:val="1"/>
      <w:numFmt w:val="bullet"/>
      <w:lvlText w:val=""/>
      <w:lvlJc w:val="left"/>
      <w:pPr>
        <w:ind w:left="5040" w:hanging="360"/>
      </w:pPr>
      <w:rPr>
        <w:rFonts w:hint="default" w:ascii="Symbol" w:hAnsi="Symbol"/>
      </w:rPr>
    </w:lvl>
    <w:lvl w:ilvl="7" w:tplc="440A0003" w:tentative="1">
      <w:start w:val="1"/>
      <w:numFmt w:val="bullet"/>
      <w:lvlText w:val="o"/>
      <w:lvlJc w:val="left"/>
      <w:pPr>
        <w:ind w:left="5760" w:hanging="360"/>
      </w:pPr>
      <w:rPr>
        <w:rFonts w:hint="default" w:ascii="Courier New" w:hAnsi="Courier New" w:cs="Courier New"/>
      </w:rPr>
    </w:lvl>
    <w:lvl w:ilvl="8" w:tplc="440A0005" w:tentative="1">
      <w:start w:val="1"/>
      <w:numFmt w:val="bullet"/>
      <w:lvlText w:val=""/>
      <w:lvlJc w:val="left"/>
      <w:pPr>
        <w:ind w:left="6480" w:hanging="360"/>
      </w:pPr>
      <w:rPr>
        <w:rFonts w:hint="default" w:ascii="Wingdings" w:hAnsi="Wingdings"/>
      </w:rPr>
    </w:lvl>
  </w:abstractNum>
  <w:abstractNum w:abstractNumId="4" w15:restartNumberingAfterBreak="0">
    <w:nsid w:val="0A6917C1"/>
    <w:multiLevelType w:val="multilevel"/>
    <w:tmpl w:val="30209D7E"/>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rPr>
        <w:rFonts w:hint="default" w:ascii="Arial" w:hAnsi="Arial" w:cs="Arial"/>
        <w:sz w:val="22"/>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15:restartNumberingAfterBreak="0">
    <w:nsid w:val="13A13E4F"/>
    <w:multiLevelType w:val="hybridMultilevel"/>
    <w:tmpl w:val="1FC64F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1F327F"/>
    <w:multiLevelType w:val="multilevel"/>
    <w:tmpl w:val="17C68CC6"/>
    <w:lvl w:ilvl="0">
      <w:start w:val="1"/>
      <w:numFmt w:val="upperLetter"/>
      <w:lvlRestart w:val="0"/>
      <w:lvlText w:val="%1."/>
      <w:lvlJc w:val="left"/>
      <w:pPr>
        <w:ind w:left="720" w:hanging="720"/>
      </w:pPr>
      <w:rPr>
        <w:b/>
      </w:r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7" w15:restartNumberingAfterBreak="0">
    <w:nsid w:val="18ED71F1"/>
    <w:multiLevelType w:val="hybridMultilevel"/>
    <w:tmpl w:val="D536F93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9D36202"/>
    <w:multiLevelType w:val="multilevel"/>
    <w:tmpl w:val="2088883A"/>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hint="default" w:ascii="Arial" w:hAnsi="Arial" w:cs="Arial"/>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1A207D60"/>
    <w:multiLevelType w:val="multilevel"/>
    <w:tmpl w:val="663A3922"/>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0" w15:restartNumberingAfterBreak="0">
    <w:nsid w:val="1E6D01D0"/>
    <w:multiLevelType w:val="hybridMultilevel"/>
    <w:tmpl w:val="10585658"/>
    <w:lvl w:ilvl="0" w:tplc="14DEE92E">
      <w:numFmt w:val="bullet"/>
      <w:lvlText w:val="-"/>
      <w:lvlJc w:val="left"/>
      <w:pPr>
        <w:ind w:left="720" w:hanging="36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12" w15:restartNumberingAfterBreak="0">
    <w:nsid w:val="316370BB"/>
    <w:multiLevelType w:val="multilevel"/>
    <w:tmpl w:val="E0908D90"/>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rPr>
        <w:b/>
      </w:rPr>
    </w:lvl>
    <w:lvl w:ilvl="2">
      <w:start w:val="1"/>
      <w:numFmt w:val="lowerLetter"/>
      <w:lvlText w:val="%3."/>
      <w:lvlJc w:val="left"/>
      <w:pPr>
        <w:tabs>
          <w:tab w:val="num" w:pos="1152"/>
        </w:tabs>
        <w:ind w:left="1152" w:hanging="432"/>
      </w:pPr>
      <w:rPr>
        <w:b/>
      </w:rPr>
    </w:lvl>
    <w:lvl w:ilvl="3">
      <w:start w:val="1"/>
      <w:numFmt w:val="lowerRoman"/>
      <w:lvlText w:val="%4."/>
      <w:lvlJc w:val="right"/>
      <w:pPr>
        <w:tabs>
          <w:tab w:val="num" w:pos="1584"/>
        </w:tabs>
        <w:ind w:left="1584" w:hanging="288"/>
      </w:pPr>
      <w:rPr>
        <w:b/>
      </w:rPr>
    </w:lvl>
    <w:lvl w:ilvl="4">
      <w:start w:val="1"/>
      <w:numFmt w:val="decimal"/>
      <w:lvlText w:val="%5)"/>
      <w:lvlJc w:val="left"/>
      <w:pPr>
        <w:ind w:left="5112" w:hanging="432"/>
      </w:pPr>
      <w:rPr>
        <w:rFonts w:hint="default"/>
      </w:r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3" w15:restartNumberingAfterBreak="0">
    <w:nsid w:val="359B4991"/>
    <w:multiLevelType w:val="multilevel"/>
    <w:tmpl w:val="ACA00A2A"/>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b w:val="0"/>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4" w15:restartNumberingAfterBreak="0">
    <w:nsid w:val="3EE061B3"/>
    <w:multiLevelType w:val="multilevel"/>
    <w:tmpl w:val="492211C8"/>
    <w:lvl w:ilvl="0">
      <w:start w:val="1"/>
      <w:numFmt w:val="upperLetter"/>
      <w:lvlRestart w:val="0"/>
      <w:lvlText w:val="%1."/>
      <w:lvlJc w:val="left"/>
      <w:pPr>
        <w:ind w:left="720" w:hanging="720"/>
      </w:pPr>
      <w:rPr>
        <w:b/>
      </w:r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5" w15:restartNumberingAfterBreak="0">
    <w:nsid w:val="485238B2"/>
    <w:multiLevelType w:val="multilevel"/>
    <w:tmpl w:val="BACE172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6" w15:restartNumberingAfterBreak="0">
    <w:nsid w:val="561D66A5"/>
    <w:multiLevelType w:val="hybridMultilevel"/>
    <w:tmpl w:val="D388C5CA"/>
    <w:lvl w:ilvl="0" w:tplc="EF4485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AE21A0"/>
    <w:multiLevelType w:val="multilevel"/>
    <w:tmpl w:val="F41EC804"/>
    <w:lvl w:ilvl="0">
      <w:start w:val="1"/>
      <w:numFmt w:val="upperLetter"/>
      <w:lvlRestart w:val="0"/>
      <w:lvlText w:val="%1."/>
      <w:lvlJc w:val="left"/>
      <w:pPr>
        <w:ind w:left="720" w:hanging="720"/>
      </w:pPr>
      <w:rPr>
        <w:b/>
      </w:r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8" w15:restartNumberingAfterBreak="0">
    <w:nsid w:val="5F503804"/>
    <w:multiLevelType w:val="hybridMultilevel"/>
    <w:tmpl w:val="D996D07A"/>
    <w:lvl w:ilvl="0" w:tplc="C764D9AE">
      <w:start w:val="1"/>
      <w:numFmt w:val="upperRoman"/>
      <w:lvlText w:val="%1."/>
      <w:lvlJc w:val="left"/>
      <w:pPr>
        <w:ind w:left="1080" w:hanging="720"/>
      </w:pPr>
      <w:rPr>
        <w:rFonts w:hint="default"/>
        <w:b/>
      </w:rPr>
    </w:lvl>
    <w:lvl w:ilvl="1" w:tplc="992E266C" w:tentative="1">
      <w:start w:val="1"/>
      <w:numFmt w:val="lowerLetter"/>
      <w:lvlText w:val="%2."/>
      <w:lvlJc w:val="left"/>
      <w:pPr>
        <w:ind w:left="1440" w:hanging="360"/>
      </w:pPr>
    </w:lvl>
    <w:lvl w:ilvl="2" w:tplc="870E8D7A" w:tentative="1">
      <w:start w:val="1"/>
      <w:numFmt w:val="lowerRoman"/>
      <w:lvlText w:val="%3."/>
      <w:lvlJc w:val="right"/>
      <w:pPr>
        <w:ind w:left="2160" w:hanging="180"/>
      </w:pPr>
    </w:lvl>
    <w:lvl w:ilvl="3" w:tplc="1C8CA434" w:tentative="1">
      <w:start w:val="1"/>
      <w:numFmt w:val="decimal"/>
      <w:lvlText w:val="%4."/>
      <w:lvlJc w:val="left"/>
      <w:pPr>
        <w:ind w:left="2880" w:hanging="360"/>
      </w:pPr>
    </w:lvl>
    <w:lvl w:ilvl="4" w:tplc="E982E508" w:tentative="1">
      <w:start w:val="1"/>
      <w:numFmt w:val="lowerLetter"/>
      <w:lvlText w:val="%5."/>
      <w:lvlJc w:val="left"/>
      <w:pPr>
        <w:ind w:left="3600" w:hanging="360"/>
      </w:pPr>
    </w:lvl>
    <w:lvl w:ilvl="5" w:tplc="1D361A52" w:tentative="1">
      <w:start w:val="1"/>
      <w:numFmt w:val="lowerRoman"/>
      <w:lvlText w:val="%6."/>
      <w:lvlJc w:val="right"/>
      <w:pPr>
        <w:ind w:left="4320" w:hanging="180"/>
      </w:pPr>
    </w:lvl>
    <w:lvl w:ilvl="6" w:tplc="167C1608" w:tentative="1">
      <w:start w:val="1"/>
      <w:numFmt w:val="decimal"/>
      <w:lvlText w:val="%7."/>
      <w:lvlJc w:val="left"/>
      <w:pPr>
        <w:ind w:left="5040" w:hanging="360"/>
      </w:pPr>
    </w:lvl>
    <w:lvl w:ilvl="7" w:tplc="7610B3C6" w:tentative="1">
      <w:start w:val="1"/>
      <w:numFmt w:val="lowerLetter"/>
      <w:lvlText w:val="%8."/>
      <w:lvlJc w:val="left"/>
      <w:pPr>
        <w:ind w:left="5760" w:hanging="360"/>
      </w:pPr>
    </w:lvl>
    <w:lvl w:ilvl="8" w:tplc="31644D32" w:tentative="1">
      <w:start w:val="1"/>
      <w:numFmt w:val="lowerRoman"/>
      <w:lvlText w:val="%9."/>
      <w:lvlJc w:val="right"/>
      <w:pPr>
        <w:ind w:left="6480" w:hanging="180"/>
      </w:pPr>
    </w:lvl>
  </w:abstractNum>
  <w:abstractNum w:abstractNumId="19" w15:restartNumberingAfterBreak="0">
    <w:nsid w:val="67E17804"/>
    <w:multiLevelType w:val="hybridMultilevel"/>
    <w:tmpl w:val="F804487E"/>
    <w:lvl w:ilvl="0" w:tplc="BCEE6A62">
      <w:start w:val="1"/>
      <w:numFmt w:val="upperLetter"/>
      <w:pStyle w:val="Heading2"/>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F35709"/>
    <w:multiLevelType w:val="hybridMultilevel"/>
    <w:tmpl w:val="E7B0D368"/>
    <w:lvl w:ilvl="0" w:tplc="E244D270">
      <w:numFmt w:val="none"/>
      <w:lvlText w:val=""/>
      <w:lvlJc w:val="left"/>
      <w:pPr>
        <w:tabs>
          <w:tab w:val="num" w:pos="360"/>
        </w:tabs>
      </w:pPr>
    </w:lvl>
    <w:lvl w:ilvl="1" w:tplc="A98AA072">
      <w:start w:val="1"/>
      <w:numFmt w:val="lowerLetter"/>
      <w:lvlText w:val="%2."/>
      <w:lvlJc w:val="left"/>
      <w:pPr>
        <w:ind w:left="1440" w:hanging="360"/>
      </w:pPr>
    </w:lvl>
    <w:lvl w:ilvl="2" w:tplc="D8D4BF4C">
      <w:start w:val="1"/>
      <w:numFmt w:val="lowerRoman"/>
      <w:lvlText w:val="%3."/>
      <w:lvlJc w:val="right"/>
      <w:pPr>
        <w:ind w:left="2160" w:hanging="180"/>
      </w:pPr>
    </w:lvl>
    <w:lvl w:ilvl="3" w:tplc="4B2AE9FC">
      <w:start w:val="1"/>
      <w:numFmt w:val="decimal"/>
      <w:lvlText w:val="%4."/>
      <w:lvlJc w:val="left"/>
      <w:pPr>
        <w:ind w:left="2880" w:hanging="360"/>
      </w:pPr>
    </w:lvl>
    <w:lvl w:ilvl="4" w:tplc="FD1EEB72">
      <w:start w:val="1"/>
      <w:numFmt w:val="lowerLetter"/>
      <w:lvlText w:val="%5."/>
      <w:lvlJc w:val="left"/>
      <w:pPr>
        <w:ind w:left="3600" w:hanging="360"/>
      </w:pPr>
    </w:lvl>
    <w:lvl w:ilvl="5" w:tplc="3B2A2F14">
      <w:start w:val="1"/>
      <w:numFmt w:val="lowerRoman"/>
      <w:lvlText w:val="%6."/>
      <w:lvlJc w:val="right"/>
      <w:pPr>
        <w:ind w:left="4320" w:hanging="180"/>
      </w:pPr>
    </w:lvl>
    <w:lvl w:ilvl="6" w:tplc="A080FE8E">
      <w:start w:val="1"/>
      <w:numFmt w:val="decimal"/>
      <w:lvlText w:val="%7."/>
      <w:lvlJc w:val="left"/>
      <w:pPr>
        <w:ind w:left="5040" w:hanging="360"/>
      </w:pPr>
    </w:lvl>
    <w:lvl w:ilvl="7" w:tplc="4D1A4CEA">
      <w:start w:val="1"/>
      <w:numFmt w:val="lowerLetter"/>
      <w:lvlText w:val="%8."/>
      <w:lvlJc w:val="left"/>
      <w:pPr>
        <w:ind w:left="5760" w:hanging="360"/>
      </w:pPr>
    </w:lvl>
    <w:lvl w:ilvl="8" w:tplc="04C66CFE">
      <w:start w:val="1"/>
      <w:numFmt w:val="lowerRoman"/>
      <w:lvlText w:val="%9."/>
      <w:lvlJc w:val="right"/>
      <w:pPr>
        <w:ind w:left="6480" w:hanging="180"/>
      </w:pPr>
    </w:lvl>
  </w:abstractNum>
  <w:abstractNum w:abstractNumId="21" w15:restartNumberingAfterBreak="0">
    <w:nsid w:val="77D20AB1"/>
    <w:multiLevelType w:val="multilevel"/>
    <w:tmpl w:val="0ED0BE58"/>
    <w:lvl w:ilvl="0">
      <w:start w:val="1"/>
      <w:numFmt w:val="upperLetter"/>
      <w:lvlRestart w:val="0"/>
      <w:lvlText w:val="%1."/>
      <w:lvlJc w:val="left"/>
      <w:pPr>
        <w:ind w:left="720" w:hanging="720"/>
      </w:pPr>
      <w:rPr>
        <w:b/>
      </w:r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22" w15:restartNumberingAfterBreak="0">
    <w:nsid w:val="7AE316F0"/>
    <w:multiLevelType w:val="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23" w15:restartNumberingAfterBreak="0">
    <w:nsid w:val="7E345591"/>
    <w:multiLevelType w:val="hybridMultilevel"/>
    <w:tmpl w:val="2838507C"/>
    <w:lvl w:ilvl="0" w:tplc="D5E099D6">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7F5079FF"/>
    <w:multiLevelType w:val="hybridMultilevel"/>
    <w:tmpl w:val="5742E8D0"/>
    <w:lvl w:ilvl="0" w:tplc="F63C0300">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19"/>
  </w:num>
  <w:num w:numId="4">
    <w:abstractNumId w:val="16"/>
  </w:num>
  <w:num w:numId="5">
    <w:abstractNumId w:val="22"/>
  </w:num>
  <w:num w:numId="6">
    <w:abstractNumId w:val="24"/>
  </w:num>
  <w:num w:numId="7">
    <w:abstractNumId w:val="18"/>
  </w:num>
  <w:num w:numId="8">
    <w:abstractNumId w:val="3"/>
  </w:num>
  <w:num w:numId="9">
    <w:abstractNumId w:val="2"/>
  </w:num>
  <w:num w:numId="10">
    <w:abstractNumId w:val="11"/>
  </w:num>
  <w:num w:numId="11">
    <w:abstractNumId w:val="4"/>
  </w:num>
  <w:num w:numId="12">
    <w:abstractNumId w:val="19"/>
    <w:lvlOverride w:ilvl="0">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num>
  <w:num w:numId="16">
    <w:abstractNumId w:val="19"/>
  </w:num>
  <w:num w:numId="17">
    <w:abstractNumId w:val="13"/>
  </w:num>
  <w:num w:numId="18">
    <w:abstractNumId w:val="13"/>
  </w:num>
  <w:num w:numId="19">
    <w:abstractNumId w:val="13"/>
  </w:num>
  <w:num w:numId="20">
    <w:abstractNumId w:val="13"/>
  </w:num>
  <w:num w:numId="21">
    <w:abstractNumId w:val="13"/>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20"/>
  </w:num>
  <w:num w:numId="33">
    <w:abstractNumId w:val="13"/>
  </w:num>
  <w:num w:numId="34">
    <w:abstractNumId w:val="13"/>
  </w:num>
  <w:num w:numId="35">
    <w:abstractNumId w:val="13"/>
  </w:num>
  <w:num w:numId="36">
    <w:abstractNumId w:val="15"/>
  </w:num>
  <w:num w:numId="37">
    <w:abstractNumId w:val="14"/>
  </w:num>
  <w:num w:numId="38">
    <w:abstractNumId w:val="0"/>
  </w:num>
  <w:num w:numId="39">
    <w:abstractNumId w:val="17"/>
  </w:num>
  <w:num w:numId="40">
    <w:abstractNumId w:val="1"/>
  </w:num>
  <w:num w:numId="41">
    <w:abstractNumId w:val="9"/>
  </w:num>
  <w:num w:numId="42">
    <w:abstractNumId w:val="6"/>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 w:numId="47">
    <w:abstractNumId w:val="10"/>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20"/>
  <w:hideSpellingErrors/>
  <w:hideGrammaticalErrors/>
  <w:proofState w:spelling="clean" w:grammar="clean"/>
  <w:defaultTabStop w:val="720"/>
  <w:drawingGridHorizontalSpacing w:val="120"/>
  <w:drawingGridVerticalSpacing w:val="163"/>
  <w:displayHorizontalDrawingGridEvery w:val="2"/>
  <w:displayVertic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51C"/>
    <w:rsid w:val="000014CA"/>
    <w:rsid w:val="00002E14"/>
    <w:rsid w:val="00003613"/>
    <w:rsid w:val="00003B36"/>
    <w:rsid w:val="00005BE6"/>
    <w:rsid w:val="0001006A"/>
    <w:rsid w:val="000101FB"/>
    <w:rsid w:val="0002020D"/>
    <w:rsid w:val="0002021A"/>
    <w:rsid w:val="00020AB7"/>
    <w:rsid w:val="0002556C"/>
    <w:rsid w:val="00025F9F"/>
    <w:rsid w:val="00026B8D"/>
    <w:rsid w:val="00027D3F"/>
    <w:rsid w:val="00031679"/>
    <w:rsid w:val="00034A37"/>
    <w:rsid w:val="00034B0A"/>
    <w:rsid w:val="000354ED"/>
    <w:rsid w:val="00035ED6"/>
    <w:rsid w:val="00036128"/>
    <w:rsid w:val="00036843"/>
    <w:rsid w:val="00040043"/>
    <w:rsid w:val="00040633"/>
    <w:rsid w:val="00040F34"/>
    <w:rsid w:val="000415F0"/>
    <w:rsid w:val="00041B48"/>
    <w:rsid w:val="000420CC"/>
    <w:rsid w:val="00042FA9"/>
    <w:rsid w:val="00045B34"/>
    <w:rsid w:val="00046DE1"/>
    <w:rsid w:val="00046E14"/>
    <w:rsid w:val="00050F1C"/>
    <w:rsid w:val="00052D8D"/>
    <w:rsid w:val="00055E21"/>
    <w:rsid w:val="00055F69"/>
    <w:rsid w:val="00057A4A"/>
    <w:rsid w:val="00057C11"/>
    <w:rsid w:val="00060BE1"/>
    <w:rsid w:val="0006112F"/>
    <w:rsid w:val="000636B9"/>
    <w:rsid w:val="00064A2E"/>
    <w:rsid w:val="00065094"/>
    <w:rsid w:val="0006616B"/>
    <w:rsid w:val="00067023"/>
    <w:rsid w:val="000705F5"/>
    <w:rsid w:val="00070B8F"/>
    <w:rsid w:val="00072449"/>
    <w:rsid w:val="00072504"/>
    <w:rsid w:val="00074238"/>
    <w:rsid w:val="000765F1"/>
    <w:rsid w:val="00077821"/>
    <w:rsid w:val="00077D75"/>
    <w:rsid w:val="000839F7"/>
    <w:rsid w:val="00084081"/>
    <w:rsid w:val="00084EC7"/>
    <w:rsid w:val="00086B78"/>
    <w:rsid w:val="00090951"/>
    <w:rsid w:val="0009312F"/>
    <w:rsid w:val="000936C2"/>
    <w:rsid w:val="00093ABC"/>
    <w:rsid w:val="000A3533"/>
    <w:rsid w:val="000A3685"/>
    <w:rsid w:val="000A3ABD"/>
    <w:rsid w:val="000A5425"/>
    <w:rsid w:val="000A57EB"/>
    <w:rsid w:val="000A5DEC"/>
    <w:rsid w:val="000A7458"/>
    <w:rsid w:val="000B4434"/>
    <w:rsid w:val="000B4720"/>
    <w:rsid w:val="000B4E62"/>
    <w:rsid w:val="000B67EF"/>
    <w:rsid w:val="000B7AF4"/>
    <w:rsid w:val="000C22B1"/>
    <w:rsid w:val="000C239E"/>
    <w:rsid w:val="000C3B42"/>
    <w:rsid w:val="000C42F4"/>
    <w:rsid w:val="000C58FD"/>
    <w:rsid w:val="000C6BE2"/>
    <w:rsid w:val="000C6FE1"/>
    <w:rsid w:val="000D039E"/>
    <w:rsid w:val="000D0C96"/>
    <w:rsid w:val="000D1A41"/>
    <w:rsid w:val="000D2C1F"/>
    <w:rsid w:val="000D4266"/>
    <w:rsid w:val="000D4844"/>
    <w:rsid w:val="000D50F3"/>
    <w:rsid w:val="000E0350"/>
    <w:rsid w:val="000E05AC"/>
    <w:rsid w:val="000E193B"/>
    <w:rsid w:val="000E26B6"/>
    <w:rsid w:val="000E2AEA"/>
    <w:rsid w:val="000E2F15"/>
    <w:rsid w:val="000E4A38"/>
    <w:rsid w:val="000E578D"/>
    <w:rsid w:val="000E6405"/>
    <w:rsid w:val="000E73FF"/>
    <w:rsid w:val="000F1239"/>
    <w:rsid w:val="000F1BD9"/>
    <w:rsid w:val="000F1C95"/>
    <w:rsid w:val="000F3059"/>
    <w:rsid w:val="000F5472"/>
    <w:rsid w:val="000F6493"/>
    <w:rsid w:val="000F699A"/>
    <w:rsid w:val="000F6A8F"/>
    <w:rsid w:val="00103AF7"/>
    <w:rsid w:val="001101FD"/>
    <w:rsid w:val="00110BE7"/>
    <w:rsid w:val="00112DFA"/>
    <w:rsid w:val="00114BEC"/>
    <w:rsid w:val="00115081"/>
    <w:rsid w:val="001162B9"/>
    <w:rsid w:val="00120128"/>
    <w:rsid w:val="00120A7E"/>
    <w:rsid w:val="00121F14"/>
    <w:rsid w:val="001237DA"/>
    <w:rsid w:val="0012542C"/>
    <w:rsid w:val="00125E64"/>
    <w:rsid w:val="00131403"/>
    <w:rsid w:val="00134D63"/>
    <w:rsid w:val="001362A2"/>
    <w:rsid w:val="001362B3"/>
    <w:rsid w:val="00137915"/>
    <w:rsid w:val="001452D2"/>
    <w:rsid w:val="001459F3"/>
    <w:rsid w:val="001469BA"/>
    <w:rsid w:val="0015041B"/>
    <w:rsid w:val="0015155C"/>
    <w:rsid w:val="00153752"/>
    <w:rsid w:val="00163041"/>
    <w:rsid w:val="00165527"/>
    <w:rsid w:val="00165C47"/>
    <w:rsid w:val="0017014E"/>
    <w:rsid w:val="00172F53"/>
    <w:rsid w:val="001756BD"/>
    <w:rsid w:val="00175C6F"/>
    <w:rsid w:val="00176024"/>
    <w:rsid w:val="00177ABA"/>
    <w:rsid w:val="0018004B"/>
    <w:rsid w:val="001805E6"/>
    <w:rsid w:val="001813ED"/>
    <w:rsid w:val="00181F04"/>
    <w:rsid w:val="00182D05"/>
    <w:rsid w:val="00183139"/>
    <w:rsid w:val="00183D72"/>
    <w:rsid w:val="00184BD7"/>
    <w:rsid w:val="001870DE"/>
    <w:rsid w:val="00187543"/>
    <w:rsid w:val="001A1738"/>
    <w:rsid w:val="001A3DE8"/>
    <w:rsid w:val="001A46A4"/>
    <w:rsid w:val="001A4D8E"/>
    <w:rsid w:val="001A7ADF"/>
    <w:rsid w:val="001B30FF"/>
    <w:rsid w:val="001B502A"/>
    <w:rsid w:val="001B5DF4"/>
    <w:rsid w:val="001B6CB4"/>
    <w:rsid w:val="001C2EE1"/>
    <w:rsid w:val="001C3038"/>
    <w:rsid w:val="001C33EE"/>
    <w:rsid w:val="001C78D1"/>
    <w:rsid w:val="001D1CB3"/>
    <w:rsid w:val="001D3475"/>
    <w:rsid w:val="001E024E"/>
    <w:rsid w:val="001E20AB"/>
    <w:rsid w:val="001E3D18"/>
    <w:rsid w:val="001E5553"/>
    <w:rsid w:val="001F3112"/>
    <w:rsid w:val="001F3D46"/>
    <w:rsid w:val="002003BA"/>
    <w:rsid w:val="00200FA4"/>
    <w:rsid w:val="00201038"/>
    <w:rsid w:val="00201FB4"/>
    <w:rsid w:val="00202FD9"/>
    <w:rsid w:val="002053DC"/>
    <w:rsid w:val="00207019"/>
    <w:rsid w:val="00207AEA"/>
    <w:rsid w:val="0021034F"/>
    <w:rsid w:val="002105DC"/>
    <w:rsid w:val="00214404"/>
    <w:rsid w:val="00214AD8"/>
    <w:rsid w:val="00214F10"/>
    <w:rsid w:val="00216DC8"/>
    <w:rsid w:val="0022458D"/>
    <w:rsid w:val="00224F5B"/>
    <w:rsid w:val="00230A54"/>
    <w:rsid w:val="00231A1F"/>
    <w:rsid w:val="0023376A"/>
    <w:rsid w:val="00233BD1"/>
    <w:rsid w:val="002346DA"/>
    <w:rsid w:val="00235356"/>
    <w:rsid w:val="00240095"/>
    <w:rsid w:val="00240429"/>
    <w:rsid w:val="00246B1F"/>
    <w:rsid w:val="00246FA4"/>
    <w:rsid w:val="00247C06"/>
    <w:rsid w:val="00250BBD"/>
    <w:rsid w:val="00250CDB"/>
    <w:rsid w:val="002534D5"/>
    <w:rsid w:val="002551F4"/>
    <w:rsid w:val="00255626"/>
    <w:rsid w:val="00257B3A"/>
    <w:rsid w:val="002610FC"/>
    <w:rsid w:val="00262B5D"/>
    <w:rsid w:val="00263BED"/>
    <w:rsid w:val="0026560B"/>
    <w:rsid w:val="00265826"/>
    <w:rsid w:val="00267008"/>
    <w:rsid w:val="0026711A"/>
    <w:rsid w:val="002672F3"/>
    <w:rsid w:val="00270ABF"/>
    <w:rsid w:val="0027257F"/>
    <w:rsid w:val="00274067"/>
    <w:rsid w:val="00274A53"/>
    <w:rsid w:val="00274F7F"/>
    <w:rsid w:val="002753C5"/>
    <w:rsid w:val="002776C8"/>
    <w:rsid w:val="00277AC8"/>
    <w:rsid w:val="00277C59"/>
    <w:rsid w:val="00282CC0"/>
    <w:rsid w:val="00284FD4"/>
    <w:rsid w:val="00285E70"/>
    <w:rsid w:val="00287710"/>
    <w:rsid w:val="00290D32"/>
    <w:rsid w:val="002916B4"/>
    <w:rsid w:val="002960A5"/>
    <w:rsid w:val="00296191"/>
    <w:rsid w:val="00297387"/>
    <w:rsid w:val="002A0030"/>
    <w:rsid w:val="002A3B1C"/>
    <w:rsid w:val="002A6F44"/>
    <w:rsid w:val="002B0FC5"/>
    <w:rsid w:val="002B42C1"/>
    <w:rsid w:val="002B4CF0"/>
    <w:rsid w:val="002B4D63"/>
    <w:rsid w:val="002B50F6"/>
    <w:rsid w:val="002B6AB1"/>
    <w:rsid w:val="002B76CB"/>
    <w:rsid w:val="002C01D2"/>
    <w:rsid w:val="002C05D3"/>
    <w:rsid w:val="002C119D"/>
    <w:rsid w:val="002C1F9C"/>
    <w:rsid w:val="002C39EE"/>
    <w:rsid w:val="002C4C03"/>
    <w:rsid w:val="002D1B2E"/>
    <w:rsid w:val="002D5913"/>
    <w:rsid w:val="002D5CB6"/>
    <w:rsid w:val="002D7DCB"/>
    <w:rsid w:val="002E0032"/>
    <w:rsid w:val="002E065E"/>
    <w:rsid w:val="002E09EF"/>
    <w:rsid w:val="002E234F"/>
    <w:rsid w:val="002E3603"/>
    <w:rsid w:val="002E66B7"/>
    <w:rsid w:val="002E6FDE"/>
    <w:rsid w:val="002E71C0"/>
    <w:rsid w:val="002F03E5"/>
    <w:rsid w:val="002F1238"/>
    <w:rsid w:val="002F2E55"/>
    <w:rsid w:val="002F677E"/>
    <w:rsid w:val="002F69AD"/>
    <w:rsid w:val="00300080"/>
    <w:rsid w:val="00301C84"/>
    <w:rsid w:val="003029DF"/>
    <w:rsid w:val="0030483C"/>
    <w:rsid w:val="00304935"/>
    <w:rsid w:val="0030569B"/>
    <w:rsid w:val="00311735"/>
    <w:rsid w:val="0031205F"/>
    <w:rsid w:val="00312C7C"/>
    <w:rsid w:val="003146AC"/>
    <w:rsid w:val="003168D8"/>
    <w:rsid w:val="00316DB4"/>
    <w:rsid w:val="00320C3F"/>
    <w:rsid w:val="00321456"/>
    <w:rsid w:val="003224B7"/>
    <w:rsid w:val="00331F46"/>
    <w:rsid w:val="00334467"/>
    <w:rsid w:val="00334B91"/>
    <w:rsid w:val="003352B2"/>
    <w:rsid w:val="00337ADC"/>
    <w:rsid w:val="003414E3"/>
    <w:rsid w:val="00342094"/>
    <w:rsid w:val="0034312B"/>
    <w:rsid w:val="00343219"/>
    <w:rsid w:val="00343D84"/>
    <w:rsid w:val="00344301"/>
    <w:rsid w:val="00344457"/>
    <w:rsid w:val="003474DA"/>
    <w:rsid w:val="00347DFA"/>
    <w:rsid w:val="00350C22"/>
    <w:rsid w:val="00350C39"/>
    <w:rsid w:val="00350DA7"/>
    <w:rsid w:val="00352369"/>
    <w:rsid w:val="0035258C"/>
    <w:rsid w:val="00353EC0"/>
    <w:rsid w:val="00356743"/>
    <w:rsid w:val="003577B0"/>
    <w:rsid w:val="0036172D"/>
    <w:rsid w:val="00362220"/>
    <w:rsid w:val="003625BF"/>
    <w:rsid w:val="00362CCD"/>
    <w:rsid w:val="00363C51"/>
    <w:rsid w:val="00365D27"/>
    <w:rsid w:val="00367227"/>
    <w:rsid w:val="00370D6D"/>
    <w:rsid w:val="0037226C"/>
    <w:rsid w:val="003749D5"/>
    <w:rsid w:val="00374D52"/>
    <w:rsid w:val="003756C5"/>
    <w:rsid w:val="003761F7"/>
    <w:rsid w:val="00377ECF"/>
    <w:rsid w:val="0038109A"/>
    <w:rsid w:val="00381B93"/>
    <w:rsid w:val="00382BA1"/>
    <w:rsid w:val="00382FEA"/>
    <w:rsid w:val="00384D62"/>
    <w:rsid w:val="00385807"/>
    <w:rsid w:val="00385E80"/>
    <w:rsid w:val="00386FF1"/>
    <w:rsid w:val="00391302"/>
    <w:rsid w:val="003A0486"/>
    <w:rsid w:val="003A2FA5"/>
    <w:rsid w:val="003A4102"/>
    <w:rsid w:val="003A5863"/>
    <w:rsid w:val="003B0022"/>
    <w:rsid w:val="003B1B94"/>
    <w:rsid w:val="003B2507"/>
    <w:rsid w:val="003B46AC"/>
    <w:rsid w:val="003B50E7"/>
    <w:rsid w:val="003B5A2A"/>
    <w:rsid w:val="003B7CEE"/>
    <w:rsid w:val="003C5A00"/>
    <w:rsid w:val="003D2300"/>
    <w:rsid w:val="003D5631"/>
    <w:rsid w:val="003D66FF"/>
    <w:rsid w:val="003E5C50"/>
    <w:rsid w:val="003F26F5"/>
    <w:rsid w:val="003F7184"/>
    <w:rsid w:val="00402AC6"/>
    <w:rsid w:val="00403FF0"/>
    <w:rsid w:val="00404425"/>
    <w:rsid w:val="004045EC"/>
    <w:rsid w:val="00404C38"/>
    <w:rsid w:val="00404E56"/>
    <w:rsid w:val="00407024"/>
    <w:rsid w:val="00411AFB"/>
    <w:rsid w:val="00411F51"/>
    <w:rsid w:val="00413345"/>
    <w:rsid w:val="004155AB"/>
    <w:rsid w:val="00417A06"/>
    <w:rsid w:val="00417FF9"/>
    <w:rsid w:val="00420961"/>
    <w:rsid w:val="00420B90"/>
    <w:rsid w:val="00424ED7"/>
    <w:rsid w:val="00425ED8"/>
    <w:rsid w:val="004264C7"/>
    <w:rsid w:val="00427B5E"/>
    <w:rsid w:val="004303CC"/>
    <w:rsid w:val="00430F4E"/>
    <w:rsid w:val="00432226"/>
    <w:rsid w:val="0043233A"/>
    <w:rsid w:val="00434AB4"/>
    <w:rsid w:val="00436108"/>
    <w:rsid w:val="00442AEE"/>
    <w:rsid w:val="00447AEA"/>
    <w:rsid w:val="0045099F"/>
    <w:rsid w:val="00450D90"/>
    <w:rsid w:val="00452843"/>
    <w:rsid w:val="00453AAF"/>
    <w:rsid w:val="0045438B"/>
    <w:rsid w:val="00454C52"/>
    <w:rsid w:val="00461357"/>
    <w:rsid w:val="0046144F"/>
    <w:rsid w:val="00462F7B"/>
    <w:rsid w:val="00463E09"/>
    <w:rsid w:val="00463E1A"/>
    <w:rsid w:val="00465A6A"/>
    <w:rsid w:val="00466C51"/>
    <w:rsid w:val="00467365"/>
    <w:rsid w:val="004676E9"/>
    <w:rsid w:val="00471D5D"/>
    <w:rsid w:val="00472276"/>
    <w:rsid w:val="00472E37"/>
    <w:rsid w:val="00473621"/>
    <w:rsid w:val="004756C5"/>
    <w:rsid w:val="00477789"/>
    <w:rsid w:val="004800F2"/>
    <w:rsid w:val="00482825"/>
    <w:rsid w:val="00482D05"/>
    <w:rsid w:val="00483AC5"/>
    <w:rsid w:val="00490524"/>
    <w:rsid w:val="004946E9"/>
    <w:rsid w:val="004955E5"/>
    <w:rsid w:val="004958A9"/>
    <w:rsid w:val="004974CE"/>
    <w:rsid w:val="004A0D49"/>
    <w:rsid w:val="004A2874"/>
    <w:rsid w:val="004A2D28"/>
    <w:rsid w:val="004A35FE"/>
    <w:rsid w:val="004A5AAD"/>
    <w:rsid w:val="004B280F"/>
    <w:rsid w:val="004B3293"/>
    <w:rsid w:val="004B498B"/>
    <w:rsid w:val="004B4E44"/>
    <w:rsid w:val="004B570C"/>
    <w:rsid w:val="004B6177"/>
    <w:rsid w:val="004B710A"/>
    <w:rsid w:val="004B743C"/>
    <w:rsid w:val="004C069E"/>
    <w:rsid w:val="004C1DB1"/>
    <w:rsid w:val="004C7EE0"/>
    <w:rsid w:val="004D00ED"/>
    <w:rsid w:val="004D21CF"/>
    <w:rsid w:val="004D3933"/>
    <w:rsid w:val="004E11FF"/>
    <w:rsid w:val="004E153A"/>
    <w:rsid w:val="004E35AD"/>
    <w:rsid w:val="004E36E4"/>
    <w:rsid w:val="004E3C30"/>
    <w:rsid w:val="004E3E24"/>
    <w:rsid w:val="004E3EE8"/>
    <w:rsid w:val="004E5268"/>
    <w:rsid w:val="004E59E1"/>
    <w:rsid w:val="004E7CB5"/>
    <w:rsid w:val="004F0BD1"/>
    <w:rsid w:val="004F3071"/>
    <w:rsid w:val="004F3B01"/>
    <w:rsid w:val="004F3DD4"/>
    <w:rsid w:val="00501B69"/>
    <w:rsid w:val="00503EC7"/>
    <w:rsid w:val="0050795C"/>
    <w:rsid w:val="005139C9"/>
    <w:rsid w:val="00515059"/>
    <w:rsid w:val="00516187"/>
    <w:rsid w:val="00520AAC"/>
    <w:rsid w:val="00520F07"/>
    <w:rsid w:val="0052133D"/>
    <w:rsid w:val="005220B8"/>
    <w:rsid w:val="00524DCC"/>
    <w:rsid w:val="00525921"/>
    <w:rsid w:val="00526E4E"/>
    <w:rsid w:val="005324A3"/>
    <w:rsid w:val="00535970"/>
    <w:rsid w:val="0053638D"/>
    <w:rsid w:val="00540432"/>
    <w:rsid w:val="00540E9C"/>
    <w:rsid w:val="00540ED9"/>
    <w:rsid w:val="00544C7D"/>
    <w:rsid w:val="00545910"/>
    <w:rsid w:val="00545A16"/>
    <w:rsid w:val="00545CAA"/>
    <w:rsid w:val="00547157"/>
    <w:rsid w:val="00547CB8"/>
    <w:rsid w:val="00551224"/>
    <w:rsid w:val="005525E9"/>
    <w:rsid w:val="0055657A"/>
    <w:rsid w:val="0055718B"/>
    <w:rsid w:val="005635F5"/>
    <w:rsid w:val="0056711E"/>
    <w:rsid w:val="0056775B"/>
    <w:rsid w:val="00567968"/>
    <w:rsid w:val="00572496"/>
    <w:rsid w:val="0057314E"/>
    <w:rsid w:val="005738B4"/>
    <w:rsid w:val="00574551"/>
    <w:rsid w:val="00575E4F"/>
    <w:rsid w:val="00576079"/>
    <w:rsid w:val="00576C2C"/>
    <w:rsid w:val="00576EEA"/>
    <w:rsid w:val="005771F5"/>
    <w:rsid w:val="00577683"/>
    <w:rsid w:val="00577688"/>
    <w:rsid w:val="00577709"/>
    <w:rsid w:val="00580688"/>
    <w:rsid w:val="00580A29"/>
    <w:rsid w:val="00582F49"/>
    <w:rsid w:val="00583720"/>
    <w:rsid w:val="005908AD"/>
    <w:rsid w:val="005910CE"/>
    <w:rsid w:val="0059175F"/>
    <w:rsid w:val="00592A81"/>
    <w:rsid w:val="0059780D"/>
    <w:rsid w:val="005A02DD"/>
    <w:rsid w:val="005A10C6"/>
    <w:rsid w:val="005A33C0"/>
    <w:rsid w:val="005A40C1"/>
    <w:rsid w:val="005A4682"/>
    <w:rsid w:val="005A5057"/>
    <w:rsid w:val="005A6758"/>
    <w:rsid w:val="005A799F"/>
    <w:rsid w:val="005B0265"/>
    <w:rsid w:val="005B0DBF"/>
    <w:rsid w:val="005B1809"/>
    <w:rsid w:val="005B304E"/>
    <w:rsid w:val="005B532B"/>
    <w:rsid w:val="005B669F"/>
    <w:rsid w:val="005B71AC"/>
    <w:rsid w:val="005B73E3"/>
    <w:rsid w:val="005C2D07"/>
    <w:rsid w:val="005C52F9"/>
    <w:rsid w:val="005C763C"/>
    <w:rsid w:val="005C7725"/>
    <w:rsid w:val="005C7D91"/>
    <w:rsid w:val="005D0FC3"/>
    <w:rsid w:val="005D11EB"/>
    <w:rsid w:val="005D6E69"/>
    <w:rsid w:val="005D7533"/>
    <w:rsid w:val="005E105B"/>
    <w:rsid w:val="005E5E9E"/>
    <w:rsid w:val="005E7ABC"/>
    <w:rsid w:val="005F35F7"/>
    <w:rsid w:val="005F3EC9"/>
    <w:rsid w:val="005F3F4C"/>
    <w:rsid w:val="005F463B"/>
    <w:rsid w:val="005F663B"/>
    <w:rsid w:val="005F71FD"/>
    <w:rsid w:val="005F7974"/>
    <w:rsid w:val="006007B0"/>
    <w:rsid w:val="00603440"/>
    <w:rsid w:val="0060383A"/>
    <w:rsid w:val="006059BF"/>
    <w:rsid w:val="00605CB6"/>
    <w:rsid w:val="00606827"/>
    <w:rsid w:val="006076F7"/>
    <w:rsid w:val="00610E7F"/>
    <w:rsid w:val="00611233"/>
    <w:rsid w:val="00611FAD"/>
    <w:rsid w:val="00613741"/>
    <w:rsid w:val="00622005"/>
    <w:rsid w:val="00622D26"/>
    <w:rsid w:val="00623467"/>
    <w:rsid w:val="0062667F"/>
    <w:rsid w:val="00627939"/>
    <w:rsid w:val="00634052"/>
    <w:rsid w:val="00636CA3"/>
    <w:rsid w:val="00636D8A"/>
    <w:rsid w:val="00641391"/>
    <w:rsid w:val="0064158B"/>
    <w:rsid w:val="006419D3"/>
    <w:rsid w:val="00644480"/>
    <w:rsid w:val="00644EBD"/>
    <w:rsid w:val="00645D89"/>
    <w:rsid w:val="0065362C"/>
    <w:rsid w:val="006551DF"/>
    <w:rsid w:val="00657CC9"/>
    <w:rsid w:val="006629E2"/>
    <w:rsid w:val="00664BF9"/>
    <w:rsid w:val="00665A66"/>
    <w:rsid w:val="00666534"/>
    <w:rsid w:val="006677C0"/>
    <w:rsid w:val="00667E0D"/>
    <w:rsid w:val="00670017"/>
    <w:rsid w:val="00671F1C"/>
    <w:rsid w:val="00673242"/>
    <w:rsid w:val="00675F26"/>
    <w:rsid w:val="00676487"/>
    <w:rsid w:val="0068323B"/>
    <w:rsid w:val="00683DA9"/>
    <w:rsid w:val="00685643"/>
    <w:rsid w:val="006923CB"/>
    <w:rsid w:val="0069325E"/>
    <w:rsid w:val="00695498"/>
    <w:rsid w:val="00695E68"/>
    <w:rsid w:val="0069663A"/>
    <w:rsid w:val="006A2AA4"/>
    <w:rsid w:val="006A6580"/>
    <w:rsid w:val="006A7171"/>
    <w:rsid w:val="006B2979"/>
    <w:rsid w:val="006B5733"/>
    <w:rsid w:val="006B7393"/>
    <w:rsid w:val="006C14FE"/>
    <w:rsid w:val="006C2A1D"/>
    <w:rsid w:val="006C2F2D"/>
    <w:rsid w:val="006C5BC6"/>
    <w:rsid w:val="006D168A"/>
    <w:rsid w:val="006D3105"/>
    <w:rsid w:val="006D49DA"/>
    <w:rsid w:val="006E0C0D"/>
    <w:rsid w:val="006E1CDD"/>
    <w:rsid w:val="006E49B6"/>
    <w:rsid w:val="006E7410"/>
    <w:rsid w:val="006F48E2"/>
    <w:rsid w:val="006F51F8"/>
    <w:rsid w:val="006F5DE4"/>
    <w:rsid w:val="006F71C3"/>
    <w:rsid w:val="006F7E6A"/>
    <w:rsid w:val="007004F6"/>
    <w:rsid w:val="00701C9E"/>
    <w:rsid w:val="00701E88"/>
    <w:rsid w:val="00704610"/>
    <w:rsid w:val="00704998"/>
    <w:rsid w:val="00705A85"/>
    <w:rsid w:val="00706C47"/>
    <w:rsid w:val="00706FA8"/>
    <w:rsid w:val="0070777A"/>
    <w:rsid w:val="0071101E"/>
    <w:rsid w:val="00711E37"/>
    <w:rsid w:val="00711E53"/>
    <w:rsid w:val="007121B1"/>
    <w:rsid w:val="0071296D"/>
    <w:rsid w:val="00712A60"/>
    <w:rsid w:val="00713A5F"/>
    <w:rsid w:val="0071522F"/>
    <w:rsid w:val="00715643"/>
    <w:rsid w:val="0072090B"/>
    <w:rsid w:val="00721CE2"/>
    <w:rsid w:val="007273B1"/>
    <w:rsid w:val="007323A4"/>
    <w:rsid w:val="00736E37"/>
    <w:rsid w:val="0074038E"/>
    <w:rsid w:val="007407FA"/>
    <w:rsid w:val="00744344"/>
    <w:rsid w:val="0074591E"/>
    <w:rsid w:val="00747EFD"/>
    <w:rsid w:val="00750971"/>
    <w:rsid w:val="00753F8B"/>
    <w:rsid w:val="007561DB"/>
    <w:rsid w:val="0075718B"/>
    <w:rsid w:val="00762B48"/>
    <w:rsid w:val="007638CA"/>
    <w:rsid w:val="00765EC7"/>
    <w:rsid w:val="00770056"/>
    <w:rsid w:val="00770D36"/>
    <w:rsid w:val="00770F3C"/>
    <w:rsid w:val="00771190"/>
    <w:rsid w:val="0077420C"/>
    <w:rsid w:val="0078396F"/>
    <w:rsid w:val="007868A4"/>
    <w:rsid w:val="00790599"/>
    <w:rsid w:val="00790C2E"/>
    <w:rsid w:val="00790CF0"/>
    <w:rsid w:val="00792F64"/>
    <w:rsid w:val="007950B8"/>
    <w:rsid w:val="007A00EA"/>
    <w:rsid w:val="007A0482"/>
    <w:rsid w:val="007A18D0"/>
    <w:rsid w:val="007A2D92"/>
    <w:rsid w:val="007A5473"/>
    <w:rsid w:val="007A56D3"/>
    <w:rsid w:val="007A7B27"/>
    <w:rsid w:val="007A7CC6"/>
    <w:rsid w:val="007A7EC1"/>
    <w:rsid w:val="007B20BD"/>
    <w:rsid w:val="007B229E"/>
    <w:rsid w:val="007B2D8D"/>
    <w:rsid w:val="007B4CC7"/>
    <w:rsid w:val="007B740F"/>
    <w:rsid w:val="007B768A"/>
    <w:rsid w:val="007C2AD7"/>
    <w:rsid w:val="007C2EAA"/>
    <w:rsid w:val="007C5D6C"/>
    <w:rsid w:val="007D2DB7"/>
    <w:rsid w:val="007D319E"/>
    <w:rsid w:val="007D3788"/>
    <w:rsid w:val="007E15EF"/>
    <w:rsid w:val="007E1E09"/>
    <w:rsid w:val="007E3C7D"/>
    <w:rsid w:val="007E4A4C"/>
    <w:rsid w:val="007E7576"/>
    <w:rsid w:val="007F0522"/>
    <w:rsid w:val="007F149F"/>
    <w:rsid w:val="007F23F1"/>
    <w:rsid w:val="007F44C2"/>
    <w:rsid w:val="007F47A3"/>
    <w:rsid w:val="007F577F"/>
    <w:rsid w:val="007F57FB"/>
    <w:rsid w:val="00800C13"/>
    <w:rsid w:val="00801982"/>
    <w:rsid w:val="00801D1B"/>
    <w:rsid w:val="00803850"/>
    <w:rsid w:val="00805842"/>
    <w:rsid w:val="008058B3"/>
    <w:rsid w:val="00814B55"/>
    <w:rsid w:val="00814BC8"/>
    <w:rsid w:val="008175A8"/>
    <w:rsid w:val="00817B08"/>
    <w:rsid w:val="00817BC4"/>
    <w:rsid w:val="008206A5"/>
    <w:rsid w:val="008206E5"/>
    <w:rsid w:val="00824FA2"/>
    <w:rsid w:val="00825262"/>
    <w:rsid w:val="00827A50"/>
    <w:rsid w:val="00831836"/>
    <w:rsid w:val="00832240"/>
    <w:rsid w:val="0083371A"/>
    <w:rsid w:val="00834772"/>
    <w:rsid w:val="00835C44"/>
    <w:rsid w:val="00836F8D"/>
    <w:rsid w:val="008376F1"/>
    <w:rsid w:val="008409F2"/>
    <w:rsid w:val="008447DF"/>
    <w:rsid w:val="00846B1F"/>
    <w:rsid w:val="00846C61"/>
    <w:rsid w:val="00847CB6"/>
    <w:rsid w:val="00853381"/>
    <w:rsid w:val="008558B8"/>
    <w:rsid w:val="00857070"/>
    <w:rsid w:val="00857BAF"/>
    <w:rsid w:val="0086051E"/>
    <w:rsid w:val="00860AB9"/>
    <w:rsid w:val="00861CF4"/>
    <w:rsid w:val="00866CC6"/>
    <w:rsid w:val="00866E5E"/>
    <w:rsid w:val="008674B9"/>
    <w:rsid w:val="00867B75"/>
    <w:rsid w:val="00867D55"/>
    <w:rsid w:val="00870374"/>
    <w:rsid w:val="0087155C"/>
    <w:rsid w:val="00873C2E"/>
    <w:rsid w:val="00873F19"/>
    <w:rsid w:val="00874C3F"/>
    <w:rsid w:val="0087680D"/>
    <w:rsid w:val="00880078"/>
    <w:rsid w:val="008839BC"/>
    <w:rsid w:val="008846A7"/>
    <w:rsid w:val="00884897"/>
    <w:rsid w:val="00884953"/>
    <w:rsid w:val="0088560A"/>
    <w:rsid w:val="00885799"/>
    <w:rsid w:val="00890464"/>
    <w:rsid w:val="008906F2"/>
    <w:rsid w:val="008911A5"/>
    <w:rsid w:val="00894D6D"/>
    <w:rsid w:val="00895008"/>
    <w:rsid w:val="00895CD2"/>
    <w:rsid w:val="008A0059"/>
    <w:rsid w:val="008A1639"/>
    <w:rsid w:val="008A1D05"/>
    <w:rsid w:val="008A2079"/>
    <w:rsid w:val="008A231A"/>
    <w:rsid w:val="008A39F3"/>
    <w:rsid w:val="008A53F2"/>
    <w:rsid w:val="008A5AFA"/>
    <w:rsid w:val="008A61D9"/>
    <w:rsid w:val="008B047E"/>
    <w:rsid w:val="008B20FD"/>
    <w:rsid w:val="008B57E8"/>
    <w:rsid w:val="008B61FF"/>
    <w:rsid w:val="008B6E3C"/>
    <w:rsid w:val="008C2BCB"/>
    <w:rsid w:val="008C5B70"/>
    <w:rsid w:val="008C7CDE"/>
    <w:rsid w:val="008D0FD6"/>
    <w:rsid w:val="008D2DEC"/>
    <w:rsid w:val="008D3C1A"/>
    <w:rsid w:val="008D3DE5"/>
    <w:rsid w:val="008D3F6A"/>
    <w:rsid w:val="008D70BE"/>
    <w:rsid w:val="008D7C6A"/>
    <w:rsid w:val="008E022F"/>
    <w:rsid w:val="008E202D"/>
    <w:rsid w:val="008E2A0C"/>
    <w:rsid w:val="008F1BAF"/>
    <w:rsid w:val="008F4672"/>
    <w:rsid w:val="008F53B3"/>
    <w:rsid w:val="008F6C6A"/>
    <w:rsid w:val="008F6DB8"/>
    <w:rsid w:val="0090053E"/>
    <w:rsid w:val="009013CA"/>
    <w:rsid w:val="00912449"/>
    <w:rsid w:val="009125F6"/>
    <w:rsid w:val="00912728"/>
    <w:rsid w:val="009128D2"/>
    <w:rsid w:val="00913EBE"/>
    <w:rsid w:val="00914273"/>
    <w:rsid w:val="00914F35"/>
    <w:rsid w:val="00917534"/>
    <w:rsid w:val="009214F1"/>
    <w:rsid w:val="0092211B"/>
    <w:rsid w:val="00922AAE"/>
    <w:rsid w:val="009240EF"/>
    <w:rsid w:val="00932237"/>
    <w:rsid w:val="00932893"/>
    <w:rsid w:val="009357C3"/>
    <w:rsid w:val="00936A77"/>
    <w:rsid w:val="00941CA0"/>
    <w:rsid w:val="00942072"/>
    <w:rsid w:val="0094556D"/>
    <w:rsid w:val="00946C5D"/>
    <w:rsid w:val="009472C5"/>
    <w:rsid w:val="009518F9"/>
    <w:rsid w:val="00951B88"/>
    <w:rsid w:val="0095322F"/>
    <w:rsid w:val="00955288"/>
    <w:rsid w:val="00957DE9"/>
    <w:rsid w:val="00961808"/>
    <w:rsid w:val="00961822"/>
    <w:rsid w:val="0096506E"/>
    <w:rsid w:val="00971B64"/>
    <w:rsid w:val="00972402"/>
    <w:rsid w:val="00972CEF"/>
    <w:rsid w:val="009745CB"/>
    <w:rsid w:val="00983C4D"/>
    <w:rsid w:val="00987566"/>
    <w:rsid w:val="0099204D"/>
    <w:rsid w:val="009959A9"/>
    <w:rsid w:val="00995C0B"/>
    <w:rsid w:val="00997BAD"/>
    <w:rsid w:val="009A1212"/>
    <w:rsid w:val="009A42A0"/>
    <w:rsid w:val="009A5684"/>
    <w:rsid w:val="009A7236"/>
    <w:rsid w:val="009B163A"/>
    <w:rsid w:val="009B2777"/>
    <w:rsid w:val="009B5D6F"/>
    <w:rsid w:val="009B6845"/>
    <w:rsid w:val="009C063B"/>
    <w:rsid w:val="009C2D84"/>
    <w:rsid w:val="009C319A"/>
    <w:rsid w:val="009C31C3"/>
    <w:rsid w:val="009C31DB"/>
    <w:rsid w:val="009C6B17"/>
    <w:rsid w:val="009D319D"/>
    <w:rsid w:val="009D543F"/>
    <w:rsid w:val="009D578D"/>
    <w:rsid w:val="009D6155"/>
    <w:rsid w:val="009D7280"/>
    <w:rsid w:val="009E119E"/>
    <w:rsid w:val="009E2B7E"/>
    <w:rsid w:val="009E5EE7"/>
    <w:rsid w:val="009F123D"/>
    <w:rsid w:val="009F4DAD"/>
    <w:rsid w:val="009F53F5"/>
    <w:rsid w:val="009F5F60"/>
    <w:rsid w:val="009F69EF"/>
    <w:rsid w:val="009F7507"/>
    <w:rsid w:val="00A00BF7"/>
    <w:rsid w:val="00A03099"/>
    <w:rsid w:val="00A03A9E"/>
    <w:rsid w:val="00A069E9"/>
    <w:rsid w:val="00A10165"/>
    <w:rsid w:val="00A12228"/>
    <w:rsid w:val="00A1459F"/>
    <w:rsid w:val="00A148AE"/>
    <w:rsid w:val="00A16202"/>
    <w:rsid w:val="00A1674D"/>
    <w:rsid w:val="00A1704E"/>
    <w:rsid w:val="00A201C3"/>
    <w:rsid w:val="00A204A9"/>
    <w:rsid w:val="00A20844"/>
    <w:rsid w:val="00A25887"/>
    <w:rsid w:val="00A25974"/>
    <w:rsid w:val="00A267B8"/>
    <w:rsid w:val="00A26C91"/>
    <w:rsid w:val="00A31FBE"/>
    <w:rsid w:val="00A34044"/>
    <w:rsid w:val="00A34EC6"/>
    <w:rsid w:val="00A3688E"/>
    <w:rsid w:val="00A40258"/>
    <w:rsid w:val="00A402B4"/>
    <w:rsid w:val="00A40A0B"/>
    <w:rsid w:val="00A4199F"/>
    <w:rsid w:val="00A42943"/>
    <w:rsid w:val="00A441BE"/>
    <w:rsid w:val="00A445B0"/>
    <w:rsid w:val="00A47FDA"/>
    <w:rsid w:val="00A502D9"/>
    <w:rsid w:val="00A5065D"/>
    <w:rsid w:val="00A53A21"/>
    <w:rsid w:val="00A554B2"/>
    <w:rsid w:val="00A56B3A"/>
    <w:rsid w:val="00A56E1C"/>
    <w:rsid w:val="00A57109"/>
    <w:rsid w:val="00A578D0"/>
    <w:rsid w:val="00A61F56"/>
    <w:rsid w:val="00A64DEB"/>
    <w:rsid w:val="00A65C4A"/>
    <w:rsid w:val="00A66653"/>
    <w:rsid w:val="00A7147D"/>
    <w:rsid w:val="00A7454D"/>
    <w:rsid w:val="00A764C1"/>
    <w:rsid w:val="00A76B37"/>
    <w:rsid w:val="00A83EFF"/>
    <w:rsid w:val="00A852A2"/>
    <w:rsid w:val="00A8696F"/>
    <w:rsid w:val="00A94E59"/>
    <w:rsid w:val="00A96255"/>
    <w:rsid w:val="00AA1A82"/>
    <w:rsid w:val="00AA1D28"/>
    <w:rsid w:val="00AA2F64"/>
    <w:rsid w:val="00AA38A4"/>
    <w:rsid w:val="00AA7B0C"/>
    <w:rsid w:val="00AB0D6B"/>
    <w:rsid w:val="00AB1836"/>
    <w:rsid w:val="00AB1C99"/>
    <w:rsid w:val="00AB6801"/>
    <w:rsid w:val="00AB714F"/>
    <w:rsid w:val="00AB7335"/>
    <w:rsid w:val="00AC0EDC"/>
    <w:rsid w:val="00AC3766"/>
    <w:rsid w:val="00AC47C3"/>
    <w:rsid w:val="00AC69D9"/>
    <w:rsid w:val="00AC6F57"/>
    <w:rsid w:val="00AD41E9"/>
    <w:rsid w:val="00AD4404"/>
    <w:rsid w:val="00AD5CF3"/>
    <w:rsid w:val="00AD6A96"/>
    <w:rsid w:val="00AD79AE"/>
    <w:rsid w:val="00AE27CD"/>
    <w:rsid w:val="00AE3AA3"/>
    <w:rsid w:val="00AE3CCF"/>
    <w:rsid w:val="00AE656A"/>
    <w:rsid w:val="00AE780E"/>
    <w:rsid w:val="00AE7D7D"/>
    <w:rsid w:val="00AF0228"/>
    <w:rsid w:val="00AF166F"/>
    <w:rsid w:val="00AF24CD"/>
    <w:rsid w:val="00AF627A"/>
    <w:rsid w:val="00B01DC9"/>
    <w:rsid w:val="00B04758"/>
    <w:rsid w:val="00B05228"/>
    <w:rsid w:val="00B06183"/>
    <w:rsid w:val="00B07933"/>
    <w:rsid w:val="00B07C60"/>
    <w:rsid w:val="00B10074"/>
    <w:rsid w:val="00B107BF"/>
    <w:rsid w:val="00B12070"/>
    <w:rsid w:val="00B12AE4"/>
    <w:rsid w:val="00B12E1C"/>
    <w:rsid w:val="00B13477"/>
    <w:rsid w:val="00B1558B"/>
    <w:rsid w:val="00B17B2B"/>
    <w:rsid w:val="00B17FF2"/>
    <w:rsid w:val="00B211A0"/>
    <w:rsid w:val="00B232CA"/>
    <w:rsid w:val="00B2373B"/>
    <w:rsid w:val="00B238B3"/>
    <w:rsid w:val="00B27267"/>
    <w:rsid w:val="00B276ED"/>
    <w:rsid w:val="00B27BD6"/>
    <w:rsid w:val="00B30E8B"/>
    <w:rsid w:val="00B32C96"/>
    <w:rsid w:val="00B406C2"/>
    <w:rsid w:val="00B434A4"/>
    <w:rsid w:val="00B463F7"/>
    <w:rsid w:val="00B46AE3"/>
    <w:rsid w:val="00B51622"/>
    <w:rsid w:val="00B51EB7"/>
    <w:rsid w:val="00B55A40"/>
    <w:rsid w:val="00B560C7"/>
    <w:rsid w:val="00B57C65"/>
    <w:rsid w:val="00B57C67"/>
    <w:rsid w:val="00B63471"/>
    <w:rsid w:val="00B6386D"/>
    <w:rsid w:val="00B646D5"/>
    <w:rsid w:val="00B64D7B"/>
    <w:rsid w:val="00B6512D"/>
    <w:rsid w:val="00B6767C"/>
    <w:rsid w:val="00B67B13"/>
    <w:rsid w:val="00B71B48"/>
    <w:rsid w:val="00B72996"/>
    <w:rsid w:val="00B755F8"/>
    <w:rsid w:val="00B83868"/>
    <w:rsid w:val="00B861A4"/>
    <w:rsid w:val="00B86F82"/>
    <w:rsid w:val="00B904B8"/>
    <w:rsid w:val="00B904BD"/>
    <w:rsid w:val="00B90CBA"/>
    <w:rsid w:val="00B90F32"/>
    <w:rsid w:val="00B92E60"/>
    <w:rsid w:val="00B94705"/>
    <w:rsid w:val="00B96E3B"/>
    <w:rsid w:val="00BA2AFD"/>
    <w:rsid w:val="00BB3799"/>
    <w:rsid w:val="00BC1545"/>
    <w:rsid w:val="00BC301F"/>
    <w:rsid w:val="00BC48B1"/>
    <w:rsid w:val="00BC4EA7"/>
    <w:rsid w:val="00BC4F31"/>
    <w:rsid w:val="00BC5D95"/>
    <w:rsid w:val="00BC6088"/>
    <w:rsid w:val="00BC7F02"/>
    <w:rsid w:val="00BD11CC"/>
    <w:rsid w:val="00BD3530"/>
    <w:rsid w:val="00BD50FD"/>
    <w:rsid w:val="00BD59AA"/>
    <w:rsid w:val="00BE1A82"/>
    <w:rsid w:val="00BE3AE8"/>
    <w:rsid w:val="00BE4C0A"/>
    <w:rsid w:val="00BE5F07"/>
    <w:rsid w:val="00BE6933"/>
    <w:rsid w:val="00BE7DA9"/>
    <w:rsid w:val="00BF1275"/>
    <w:rsid w:val="00BF2845"/>
    <w:rsid w:val="00BF3559"/>
    <w:rsid w:val="00BF4E02"/>
    <w:rsid w:val="00BF54DC"/>
    <w:rsid w:val="00BF5E46"/>
    <w:rsid w:val="00BF5ED8"/>
    <w:rsid w:val="00BF69A1"/>
    <w:rsid w:val="00BF6ECD"/>
    <w:rsid w:val="00BF7C96"/>
    <w:rsid w:val="00C002E1"/>
    <w:rsid w:val="00C025D2"/>
    <w:rsid w:val="00C03061"/>
    <w:rsid w:val="00C036A3"/>
    <w:rsid w:val="00C0447D"/>
    <w:rsid w:val="00C045E9"/>
    <w:rsid w:val="00C04ACF"/>
    <w:rsid w:val="00C04C66"/>
    <w:rsid w:val="00C07015"/>
    <w:rsid w:val="00C10133"/>
    <w:rsid w:val="00C1154C"/>
    <w:rsid w:val="00C15C47"/>
    <w:rsid w:val="00C17309"/>
    <w:rsid w:val="00C2131F"/>
    <w:rsid w:val="00C223FF"/>
    <w:rsid w:val="00C23360"/>
    <w:rsid w:val="00C23872"/>
    <w:rsid w:val="00C23A62"/>
    <w:rsid w:val="00C304B9"/>
    <w:rsid w:val="00C31189"/>
    <w:rsid w:val="00C32FAA"/>
    <w:rsid w:val="00C3377C"/>
    <w:rsid w:val="00C34954"/>
    <w:rsid w:val="00C41A15"/>
    <w:rsid w:val="00C4639D"/>
    <w:rsid w:val="00C51650"/>
    <w:rsid w:val="00C521EE"/>
    <w:rsid w:val="00C57468"/>
    <w:rsid w:val="00C578FF"/>
    <w:rsid w:val="00C57BC6"/>
    <w:rsid w:val="00C605C6"/>
    <w:rsid w:val="00C6173E"/>
    <w:rsid w:val="00C618F6"/>
    <w:rsid w:val="00C62367"/>
    <w:rsid w:val="00C64669"/>
    <w:rsid w:val="00C65D0A"/>
    <w:rsid w:val="00C65E0B"/>
    <w:rsid w:val="00C71559"/>
    <w:rsid w:val="00C71FD6"/>
    <w:rsid w:val="00C726CC"/>
    <w:rsid w:val="00C7448F"/>
    <w:rsid w:val="00C747F2"/>
    <w:rsid w:val="00C76318"/>
    <w:rsid w:val="00C824A4"/>
    <w:rsid w:val="00C863EC"/>
    <w:rsid w:val="00C86E76"/>
    <w:rsid w:val="00C871D0"/>
    <w:rsid w:val="00C9183E"/>
    <w:rsid w:val="00C92327"/>
    <w:rsid w:val="00C9258C"/>
    <w:rsid w:val="00C94EA0"/>
    <w:rsid w:val="00C9553E"/>
    <w:rsid w:val="00C95573"/>
    <w:rsid w:val="00C97B5F"/>
    <w:rsid w:val="00CA2E68"/>
    <w:rsid w:val="00CA42F9"/>
    <w:rsid w:val="00CA6D7B"/>
    <w:rsid w:val="00CB01CF"/>
    <w:rsid w:val="00CB0E3B"/>
    <w:rsid w:val="00CB1C6F"/>
    <w:rsid w:val="00CB43BF"/>
    <w:rsid w:val="00CB6210"/>
    <w:rsid w:val="00CB629F"/>
    <w:rsid w:val="00CB7C70"/>
    <w:rsid w:val="00CC5D1D"/>
    <w:rsid w:val="00CC6EB0"/>
    <w:rsid w:val="00CD74C2"/>
    <w:rsid w:val="00CD7B96"/>
    <w:rsid w:val="00CE1304"/>
    <w:rsid w:val="00CE233B"/>
    <w:rsid w:val="00CE3992"/>
    <w:rsid w:val="00CE63C1"/>
    <w:rsid w:val="00CF116A"/>
    <w:rsid w:val="00CF2045"/>
    <w:rsid w:val="00CF6854"/>
    <w:rsid w:val="00CF744C"/>
    <w:rsid w:val="00D01932"/>
    <w:rsid w:val="00D06B78"/>
    <w:rsid w:val="00D079F1"/>
    <w:rsid w:val="00D1041B"/>
    <w:rsid w:val="00D168C5"/>
    <w:rsid w:val="00D21FC4"/>
    <w:rsid w:val="00D239E9"/>
    <w:rsid w:val="00D24C3E"/>
    <w:rsid w:val="00D35D87"/>
    <w:rsid w:val="00D36ADF"/>
    <w:rsid w:val="00D36B56"/>
    <w:rsid w:val="00D3710A"/>
    <w:rsid w:val="00D37A40"/>
    <w:rsid w:val="00D41336"/>
    <w:rsid w:val="00D43F4B"/>
    <w:rsid w:val="00D44BC6"/>
    <w:rsid w:val="00D45D8B"/>
    <w:rsid w:val="00D50161"/>
    <w:rsid w:val="00D50387"/>
    <w:rsid w:val="00D50648"/>
    <w:rsid w:val="00D50942"/>
    <w:rsid w:val="00D50DC1"/>
    <w:rsid w:val="00D51DB2"/>
    <w:rsid w:val="00D537D0"/>
    <w:rsid w:val="00D56F94"/>
    <w:rsid w:val="00D61C06"/>
    <w:rsid w:val="00D62091"/>
    <w:rsid w:val="00D62362"/>
    <w:rsid w:val="00D632E0"/>
    <w:rsid w:val="00D64396"/>
    <w:rsid w:val="00D661F7"/>
    <w:rsid w:val="00D700F0"/>
    <w:rsid w:val="00D710B8"/>
    <w:rsid w:val="00D71CF1"/>
    <w:rsid w:val="00D73283"/>
    <w:rsid w:val="00D76020"/>
    <w:rsid w:val="00D7683B"/>
    <w:rsid w:val="00D772A3"/>
    <w:rsid w:val="00D80770"/>
    <w:rsid w:val="00D80E91"/>
    <w:rsid w:val="00D80EF1"/>
    <w:rsid w:val="00D843E3"/>
    <w:rsid w:val="00D85538"/>
    <w:rsid w:val="00D866B9"/>
    <w:rsid w:val="00D867BC"/>
    <w:rsid w:val="00D9109C"/>
    <w:rsid w:val="00D917E4"/>
    <w:rsid w:val="00D918DC"/>
    <w:rsid w:val="00D92D26"/>
    <w:rsid w:val="00D931D5"/>
    <w:rsid w:val="00D93913"/>
    <w:rsid w:val="00D93B54"/>
    <w:rsid w:val="00D952A7"/>
    <w:rsid w:val="00D968D6"/>
    <w:rsid w:val="00D97376"/>
    <w:rsid w:val="00D97576"/>
    <w:rsid w:val="00DA237C"/>
    <w:rsid w:val="00DA5179"/>
    <w:rsid w:val="00DB2423"/>
    <w:rsid w:val="00DB2995"/>
    <w:rsid w:val="00DB2FD2"/>
    <w:rsid w:val="00DB375F"/>
    <w:rsid w:val="00DB67E3"/>
    <w:rsid w:val="00DC1556"/>
    <w:rsid w:val="00DC1DDD"/>
    <w:rsid w:val="00DC355A"/>
    <w:rsid w:val="00DC563A"/>
    <w:rsid w:val="00DC67AA"/>
    <w:rsid w:val="00DD17C3"/>
    <w:rsid w:val="00DD4701"/>
    <w:rsid w:val="00DD52E3"/>
    <w:rsid w:val="00DE04C7"/>
    <w:rsid w:val="00DE1B12"/>
    <w:rsid w:val="00DE4965"/>
    <w:rsid w:val="00DE4BE6"/>
    <w:rsid w:val="00DE4DD3"/>
    <w:rsid w:val="00DF0439"/>
    <w:rsid w:val="00DF0454"/>
    <w:rsid w:val="00DF068B"/>
    <w:rsid w:val="00DF102F"/>
    <w:rsid w:val="00DF3ABC"/>
    <w:rsid w:val="00DF3E94"/>
    <w:rsid w:val="00DF4086"/>
    <w:rsid w:val="00DF66CC"/>
    <w:rsid w:val="00E012B5"/>
    <w:rsid w:val="00E03BAC"/>
    <w:rsid w:val="00E04D9C"/>
    <w:rsid w:val="00E05144"/>
    <w:rsid w:val="00E05DA1"/>
    <w:rsid w:val="00E060BB"/>
    <w:rsid w:val="00E063F9"/>
    <w:rsid w:val="00E0663E"/>
    <w:rsid w:val="00E11652"/>
    <w:rsid w:val="00E119B4"/>
    <w:rsid w:val="00E13C71"/>
    <w:rsid w:val="00E140BD"/>
    <w:rsid w:val="00E1601E"/>
    <w:rsid w:val="00E164FA"/>
    <w:rsid w:val="00E2009D"/>
    <w:rsid w:val="00E23C36"/>
    <w:rsid w:val="00E32639"/>
    <w:rsid w:val="00E328B3"/>
    <w:rsid w:val="00E3347F"/>
    <w:rsid w:val="00E403F9"/>
    <w:rsid w:val="00E41145"/>
    <w:rsid w:val="00E4478E"/>
    <w:rsid w:val="00E45BDA"/>
    <w:rsid w:val="00E50732"/>
    <w:rsid w:val="00E50BE1"/>
    <w:rsid w:val="00E5148B"/>
    <w:rsid w:val="00E55F38"/>
    <w:rsid w:val="00E56646"/>
    <w:rsid w:val="00E61648"/>
    <w:rsid w:val="00E61D5D"/>
    <w:rsid w:val="00E63203"/>
    <w:rsid w:val="00E665B8"/>
    <w:rsid w:val="00E67F6B"/>
    <w:rsid w:val="00E705EE"/>
    <w:rsid w:val="00E709FF"/>
    <w:rsid w:val="00E710BA"/>
    <w:rsid w:val="00E73FD4"/>
    <w:rsid w:val="00E7734D"/>
    <w:rsid w:val="00E77E74"/>
    <w:rsid w:val="00E836E2"/>
    <w:rsid w:val="00E86E19"/>
    <w:rsid w:val="00E90E4C"/>
    <w:rsid w:val="00E90F09"/>
    <w:rsid w:val="00E9144C"/>
    <w:rsid w:val="00E918C2"/>
    <w:rsid w:val="00E92B28"/>
    <w:rsid w:val="00E94EA2"/>
    <w:rsid w:val="00E95554"/>
    <w:rsid w:val="00E96162"/>
    <w:rsid w:val="00E9638A"/>
    <w:rsid w:val="00E97921"/>
    <w:rsid w:val="00E97E41"/>
    <w:rsid w:val="00EA0BC9"/>
    <w:rsid w:val="00EA368F"/>
    <w:rsid w:val="00EA3AFE"/>
    <w:rsid w:val="00EA4952"/>
    <w:rsid w:val="00EA581C"/>
    <w:rsid w:val="00EA5A3A"/>
    <w:rsid w:val="00EA5C4D"/>
    <w:rsid w:val="00EA6A54"/>
    <w:rsid w:val="00EB0154"/>
    <w:rsid w:val="00EB4543"/>
    <w:rsid w:val="00EB50F8"/>
    <w:rsid w:val="00EB57C0"/>
    <w:rsid w:val="00EB63B4"/>
    <w:rsid w:val="00EB6E1F"/>
    <w:rsid w:val="00EC32AA"/>
    <w:rsid w:val="00EC4CA9"/>
    <w:rsid w:val="00EC5ED4"/>
    <w:rsid w:val="00ED3BB9"/>
    <w:rsid w:val="00ED46CD"/>
    <w:rsid w:val="00ED738C"/>
    <w:rsid w:val="00ED751C"/>
    <w:rsid w:val="00EE0798"/>
    <w:rsid w:val="00EE5802"/>
    <w:rsid w:val="00EE6154"/>
    <w:rsid w:val="00EE66F0"/>
    <w:rsid w:val="00EE7012"/>
    <w:rsid w:val="00EF2501"/>
    <w:rsid w:val="00EF67CA"/>
    <w:rsid w:val="00EF6CBB"/>
    <w:rsid w:val="00F04740"/>
    <w:rsid w:val="00F11379"/>
    <w:rsid w:val="00F138F1"/>
    <w:rsid w:val="00F16FFC"/>
    <w:rsid w:val="00F20554"/>
    <w:rsid w:val="00F229AD"/>
    <w:rsid w:val="00F25E94"/>
    <w:rsid w:val="00F30D0E"/>
    <w:rsid w:val="00F3108E"/>
    <w:rsid w:val="00F32B53"/>
    <w:rsid w:val="00F34562"/>
    <w:rsid w:val="00F40C4B"/>
    <w:rsid w:val="00F423EA"/>
    <w:rsid w:val="00F470FB"/>
    <w:rsid w:val="00F54182"/>
    <w:rsid w:val="00F54AAD"/>
    <w:rsid w:val="00F610CE"/>
    <w:rsid w:val="00F63D31"/>
    <w:rsid w:val="00F66EF3"/>
    <w:rsid w:val="00F67E81"/>
    <w:rsid w:val="00F70430"/>
    <w:rsid w:val="00F70781"/>
    <w:rsid w:val="00F70B7C"/>
    <w:rsid w:val="00F7171D"/>
    <w:rsid w:val="00F736EF"/>
    <w:rsid w:val="00F74320"/>
    <w:rsid w:val="00F777ED"/>
    <w:rsid w:val="00F80D35"/>
    <w:rsid w:val="00F841BC"/>
    <w:rsid w:val="00F841FC"/>
    <w:rsid w:val="00F86ACC"/>
    <w:rsid w:val="00F87442"/>
    <w:rsid w:val="00F90272"/>
    <w:rsid w:val="00F95245"/>
    <w:rsid w:val="00F96132"/>
    <w:rsid w:val="00F97225"/>
    <w:rsid w:val="00F97B4A"/>
    <w:rsid w:val="00FA1109"/>
    <w:rsid w:val="00FA1E45"/>
    <w:rsid w:val="00FA1F4A"/>
    <w:rsid w:val="00FA2F58"/>
    <w:rsid w:val="00FA4999"/>
    <w:rsid w:val="00FA4B07"/>
    <w:rsid w:val="00FA4D9F"/>
    <w:rsid w:val="00FA7B8B"/>
    <w:rsid w:val="00FB1BEE"/>
    <w:rsid w:val="00FB20E5"/>
    <w:rsid w:val="00FB28F2"/>
    <w:rsid w:val="00FB43BB"/>
    <w:rsid w:val="00FB7420"/>
    <w:rsid w:val="00FC0C95"/>
    <w:rsid w:val="00FC0DF7"/>
    <w:rsid w:val="00FC1A3E"/>
    <w:rsid w:val="00FC1FFD"/>
    <w:rsid w:val="00FD27E3"/>
    <w:rsid w:val="00FD2B0C"/>
    <w:rsid w:val="00FD4096"/>
    <w:rsid w:val="00FD6D3D"/>
    <w:rsid w:val="00FD71F5"/>
    <w:rsid w:val="00FE0334"/>
    <w:rsid w:val="00FE23B8"/>
    <w:rsid w:val="00FE29AB"/>
    <w:rsid w:val="00FF07A9"/>
    <w:rsid w:val="00FF1ECA"/>
    <w:rsid w:val="00FF6600"/>
    <w:rsid w:val="00FF6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48ABD3"/>
  <w15:docId w15:val="{FCCAAFD8-8C62-4B65-9F10-77AEA8EF920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ED751C"/>
    <w:pPr>
      <w:spacing w:after="0" w:line="240" w:lineRule="auto"/>
    </w:pPr>
    <w:rPr>
      <w:rFonts w:ascii="Times New Roman" w:hAnsi="Times New Roman" w:eastAsia="Times New Roman" w:cs="Times New Roman"/>
      <w:sz w:val="24"/>
      <w:szCs w:val="20"/>
      <w:lang w:val="es-ES_tradnl"/>
    </w:rPr>
  </w:style>
  <w:style w:type="paragraph" w:styleId="Heading1">
    <w:name w:val="heading 1"/>
    <w:basedOn w:val="Normal"/>
    <w:next w:val="Normal"/>
    <w:link w:val="Heading1Char"/>
    <w:uiPriority w:val="9"/>
    <w:qFormat/>
    <w:rsid w:val="00DD17C3"/>
    <w:pPr>
      <w:keepNext/>
      <w:tabs>
        <w:tab w:val="num" w:pos="360"/>
      </w:tabs>
      <w:spacing w:before="240" w:after="60"/>
      <w:outlineLvl w:val="0"/>
    </w:pPr>
    <w:rPr>
      <w:rFonts w:ascii="Arial" w:hAnsi="Arial"/>
      <w:b/>
      <w:kern w:val="28"/>
      <w:sz w:val="28"/>
    </w:rPr>
  </w:style>
  <w:style w:type="paragraph" w:styleId="Heading2">
    <w:name w:val="heading 2"/>
    <w:basedOn w:val="Paragraph"/>
    <w:next w:val="Normal"/>
    <w:link w:val="Heading2Char"/>
    <w:qFormat/>
    <w:rsid w:val="001B502A"/>
    <w:pPr>
      <w:numPr>
        <w:ilvl w:val="0"/>
        <w:numId w:val="3"/>
      </w:numPr>
    </w:pPr>
    <w:rPr>
      <w:b/>
      <w:szCs w:val="22"/>
    </w:rPr>
  </w:style>
  <w:style w:type="paragraph" w:styleId="Heading3">
    <w:name w:val="heading 3"/>
    <w:basedOn w:val="Heading5"/>
    <w:next w:val="Normal"/>
    <w:link w:val="Heading3Char"/>
    <w:qFormat/>
    <w:rsid w:val="001B502A"/>
    <w:pPr>
      <w:numPr>
        <w:ilvl w:val="0"/>
        <w:numId w:val="0"/>
      </w:numPr>
      <w:outlineLvl w:val="2"/>
    </w:pPr>
    <w:rPr>
      <w:sz w:val="22"/>
      <w:szCs w:val="22"/>
    </w:rPr>
  </w:style>
  <w:style w:type="paragraph" w:styleId="Heading4">
    <w:name w:val="heading 4"/>
    <w:basedOn w:val="Normal"/>
    <w:next w:val="Normal"/>
    <w:link w:val="Heading4Char"/>
    <w:qFormat/>
    <w:rsid w:val="003474DA"/>
    <w:pPr>
      <w:keepNext/>
      <w:spacing w:before="240" w:after="60"/>
      <w:outlineLvl w:val="3"/>
    </w:pPr>
    <w:rPr>
      <w:rFonts w:ascii="Arial" w:hAnsi="Arial"/>
      <w:b/>
    </w:rPr>
  </w:style>
  <w:style w:type="paragraph" w:styleId="Heading5">
    <w:name w:val="heading 5"/>
    <w:aliases w:val="Heading 5.(i)"/>
    <w:basedOn w:val="Normal"/>
    <w:next w:val="Normal"/>
    <w:link w:val="Heading5Char"/>
    <w:unhideWhenUsed/>
    <w:qFormat/>
    <w:rsid w:val="0099204D"/>
    <w:pPr>
      <w:keepNext/>
      <w:keepLines/>
      <w:numPr>
        <w:ilvl w:val="4"/>
        <w:numId w:val="2"/>
      </w:numPr>
      <w:spacing w:before="120" w:after="120"/>
      <w:outlineLvl w:val="4"/>
    </w:pPr>
    <w:rPr>
      <w:szCs w:val="24"/>
      <w:u w:val="single"/>
      <w:lang w:val="es-ES"/>
    </w:rPr>
  </w:style>
  <w:style w:type="paragraph" w:styleId="Heading6">
    <w:name w:val="heading 6"/>
    <w:basedOn w:val="Normal"/>
    <w:next w:val="Normal"/>
    <w:link w:val="Heading6Char"/>
    <w:unhideWhenUsed/>
    <w:qFormat/>
    <w:rsid w:val="00EB0154"/>
    <w:pPr>
      <w:keepNext/>
      <w:keepLines/>
      <w:numPr>
        <w:ilvl w:val="5"/>
        <w:numId w:val="2"/>
      </w:numPr>
      <w:spacing w:before="200"/>
      <w:outlineLvl w:val="5"/>
    </w:pPr>
    <w:rPr>
      <w:rFonts w:asciiTheme="majorHAnsi" w:hAnsiTheme="majorHAnsi" w:eastAsiaTheme="majorEastAsia" w:cstheme="majorBidi"/>
      <w:i/>
      <w:iCs/>
      <w:color w:val="243F60" w:themeColor="accent1" w:themeShade="7F"/>
    </w:rPr>
  </w:style>
  <w:style w:type="paragraph" w:styleId="Heading7">
    <w:name w:val="heading 7"/>
    <w:basedOn w:val="Normal"/>
    <w:next w:val="Normal"/>
    <w:link w:val="Heading7Char"/>
    <w:unhideWhenUsed/>
    <w:qFormat/>
    <w:rsid w:val="00EB0154"/>
    <w:pPr>
      <w:keepNext/>
      <w:keepLines/>
      <w:numPr>
        <w:ilvl w:val="6"/>
        <w:numId w:val="2"/>
      </w:numPr>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nhideWhenUsed/>
    <w:qFormat/>
    <w:rsid w:val="00EB0154"/>
    <w:pPr>
      <w:keepNext/>
      <w:keepLines/>
      <w:numPr>
        <w:ilvl w:val="7"/>
        <w:numId w:val="2"/>
      </w:numPr>
      <w:spacing w:before="200"/>
      <w:outlineLvl w:val="7"/>
    </w:pPr>
    <w:rPr>
      <w:rFonts w:asciiTheme="majorHAnsi" w:hAnsiTheme="majorHAnsi" w:eastAsiaTheme="majorEastAsia" w:cstheme="majorBidi"/>
      <w:color w:val="404040" w:themeColor="text1" w:themeTint="BF"/>
      <w:sz w:val="20"/>
    </w:rPr>
  </w:style>
  <w:style w:type="paragraph" w:styleId="Heading9">
    <w:name w:val="heading 9"/>
    <w:basedOn w:val="Normal"/>
    <w:next w:val="Normal"/>
    <w:link w:val="Heading9Char"/>
    <w:unhideWhenUsed/>
    <w:qFormat/>
    <w:rsid w:val="00EB0154"/>
    <w:pPr>
      <w:keepNext/>
      <w:keepLines/>
      <w:numPr>
        <w:ilvl w:val="8"/>
        <w:numId w:val="2"/>
      </w:numPr>
      <w:spacing w:before="200"/>
      <w:outlineLvl w:val="8"/>
    </w:pPr>
    <w:rPr>
      <w:rFonts w:asciiTheme="majorHAnsi" w:hAnsiTheme="majorHAnsi" w:eastAsiaTheme="majorEastAsia" w:cstheme="majorBidi"/>
      <w:i/>
      <w:iCs/>
      <w:color w:val="404040" w:themeColor="text1" w:themeTint="BF"/>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nnex" w:customStyle="1">
    <w:name w:val="Annex"/>
    <w:basedOn w:val="Normal"/>
    <w:rsid w:val="00ED751C"/>
    <w:rPr>
      <w:caps/>
    </w:rPr>
  </w:style>
  <w:style w:type="paragraph" w:styleId="ABBR" w:customStyle="1">
    <w:name w:val="ABBR"/>
    <w:basedOn w:val="Annex"/>
    <w:rsid w:val="00ED751C"/>
  </w:style>
  <w:style w:type="paragraph" w:styleId="AbbrDesc" w:customStyle="1">
    <w:name w:val="AbbrDesc"/>
    <w:basedOn w:val="Normal"/>
    <w:rsid w:val="00ED751C"/>
    <w:pPr>
      <w:tabs>
        <w:tab w:val="left" w:pos="3060"/>
      </w:tabs>
      <w:jc w:val="both"/>
    </w:pPr>
  </w:style>
  <w:style w:type="paragraph" w:styleId="BodyText">
    <w:name w:val="Body Text"/>
    <w:basedOn w:val="Normal"/>
    <w:link w:val="BodyTextChar"/>
    <w:rsid w:val="00C03061"/>
    <w:pPr>
      <w:tabs>
        <w:tab w:val="left" w:pos="3060"/>
      </w:tabs>
      <w:jc w:val="both"/>
    </w:pPr>
  </w:style>
  <w:style w:type="character" w:styleId="BodyTextChar" w:customStyle="1">
    <w:name w:val="Body Text Char"/>
    <w:basedOn w:val="DefaultParagraphFont"/>
    <w:link w:val="BodyText"/>
    <w:rsid w:val="00C03061"/>
    <w:rPr>
      <w:rFonts w:ascii="Times New Roman" w:hAnsi="Times New Roman" w:eastAsia="Times New Roman" w:cs="Times New Roman"/>
      <w:sz w:val="24"/>
      <w:szCs w:val="20"/>
      <w:lang w:val="es-ES_tradnl"/>
    </w:rPr>
  </w:style>
  <w:style w:type="paragraph" w:styleId="Chapter" w:customStyle="1">
    <w:name w:val="Chapter"/>
    <w:basedOn w:val="Normal"/>
    <w:next w:val="Normal"/>
    <w:rsid w:val="0035258C"/>
    <w:pPr>
      <w:keepNext/>
      <w:numPr>
        <w:numId w:val="2"/>
      </w:numPr>
      <w:tabs>
        <w:tab w:val="left" w:pos="1440"/>
      </w:tabs>
      <w:spacing w:before="240" w:after="240"/>
      <w:jc w:val="center"/>
    </w:pPr>
    <w:rPr>
      <w:rFonts w:ascii="Arial" w:hAnsi="Arial" w:cs="Arial"/>
      <w:b/>
      <w:smallCaps/>
      <w:lang w:val="es-ES"/>
    </w:rPr>
  </w:style>
  <w:style w:type="paragraph" w:styleId="FirstHeading" w:customStyle="1">
    <w:name w:val="FirstHeading"/>
    <w:basedOn w:val="Normal"/>
    <w:next w:val="Normal"/>
    <w:rsid w:val="00EB0154"/>
    <w:pPr>
      <w:keepNext/>
      <w:numPr>
        <w:numId w:val="40"/>
      </w:numPr>
      <w:tabs>
        <w:tab w:val="left" w:pos="0"/>
        <w:tab w:val="left" w:pos="86"/>
      </w:tabs>
      <w:spacing w:before="120" w:after="120"/>
    </w:pPr>
    <w:rPr>
      <w:rFonts w:ascii="Arial" w:hAnsi="Arial" w:cs="Arial"/>
      <w:b/>
      <w:sz w:val="22"/>
      <w:lang w:val="es-ES"/>
    </w:rPr>
  </w:style>
  <w:style w:type="paragraph" w:styleId="Footer">
    <w:name w:val="footer"/>
    <w:basedOn w:val="Normal"/>
    <w:link w:val="FooterChar"/>
    <w:uiPriority w:val="99"/>
    <w:rsid w:val="00ED751C"/>
    <w:pPr>
      <w:tabs>
        <w:tab w:val="center" w:pos="4320"/>
        <w:tab w:val="right" w:pos="8640"/>
      </w:tabs>
    </w:pPr>
  </w:style>
  <w:style w:type="character" w:styleId="FooterChar" w:customStyle="1">
    <w:name w:val="Footer Char"/>
    <w:basedOn w:val="DefaultParagraphFont"/>
    <w:link w:val="Footer"/>
    <w:uiPriority w:val="99"/>
    <w:rsid w:val="00ED751C"/>
    <w:rPr>
      <w:rFonts w:ascii="Times New Roman" w:hAnsi="Times New Roman" w:eastAsia="Times New Roman" w:cs="Times New Roman"/>
      <w:sz w:val="24"/>
      <w:szCs w:val="20"/>
    </w:rPr>
  </w:style>
  <w:style w:type="paragraph" w:styleId="FootnoteText">
    <w:name w:val="footnote text"/>
    <w:aliases w:val="fn,Texto de rodapé,nota_rodapé,nota de rodapé,footnote,single space,FOOTNOTES,footnote text,Footnote Text Char Char,foottextfra,ADB,Footnote Text Char Char Char Char Char Char Char,Footnote Text Char Char Char Char Char,F,Style 25,ft,f"/>
    <w:basedOn w:val="Normal"/>
    <w:link w:val="FootnoteTextChar"/>
    <w:uiPriority w:val="99"/>
    <w:qFormat/>
    <w:rsid w:val="00ED751C"/>
    <w:pPr>
      <w:keepNext/>
      <w:keepLines/>
      <w:spacing w:after="120"/>
      <w:ind w:left="288" w:hanging="288"/>
      <w:jc w:val="both"/>
    </w:pPr>
    <w:rPr>
      <w:rFonts w:ascii="Arial" w:hAnsi="Arial" w:cs="Arial"/>
      <w:spacing w:val="-3"/>
      <w:sz w:val="20"/>
    </w:rPr>
  </w:style>
  <w:style w:type="character" w:styleId="FootnoteTextChar" w:customStyle="1">
    <w:name w:val="Footnote Text Char"/>
    <w:aliases w:val="fn Char,Texto de rodapé Char,nota_rodapé Char,nota de rodapé Char,footnote Char,single space Char,FOOTNOTES Char,footnote text Char,Footnote Text Char Char Char,foottextfra Char,ADB Char,Footnote Text Char Char Char Char Char Char"/>
    <w:basedOn w:val="DefaultParagraphFont"/>
    <w:link w:val="FootnoteText"/>
    <w:uiPriority w:val="99"/>
    <w:rsid w:val="00ED751C"/>
    <w:rPr>
      <w:rFonts w:ascii="Arial" w:hAnsi="Arial" w:eastAsia="Times New Roman" w:cs="Arial"/>
      <w:spacing w:val="-3"/>
      <w:sz w:val="20"/>
      <w:szCs w:val="20"/>
      <w:lang w:val="es-ES_tradnl"/>
    </w:rPr>
  </w:style>
  <w:style w:type="paragraph" w:styleId="Header">
    <w:name w:val="header"/>
    <w:basedOn w:val="Normal"/>
    <w:link w:val="HeaderChar"/>
    <w:uiPriority w:val="99"/>
    <w:rsid w:val="00ED751C"/>
    <w:pPr>
      <w:tabs>
        <w:tab w:val="center" w:pos="4320"/>
        <w:tab w:val="right" w:pos="8640"/>
      </w:tabs>
    </w:pPr>
  </w:style>
  <w:style w:type="character" w:styleId="HeaderChar" w:customStyle="1">
    <w:name w:val="Header Char"/>
    <w:basedOn w:val="DefaultParagraphFont"/>
    <w:link w:val="Header"/>
    <w:uiPriority w:val="99"/>
    <w:rsid w:val="00ED751C"/>
    <w:rPr>
      <w:rFonts w:ascii="Times New Roman" w:hAnsi="Times New Roman" w:eastAsia="Times New Roman" w:cs="Times New Roman"/>
      <w:sz w:val="24"/>
      <w:szCs w:val="20"/>
    </w:rPr>
  </w:style>
  <w:style w:type="paragraph" w:styleId="Newpage" w:customStyle="1">
    <w:name w:val="Newpage"/>
    <w:basedOn w:val="Chapter"/>
    <w:rsid w:val="00ED751C"/>
    <w:pPr>
      <w:numPr>
        <w:numId w:val="0"/>
      </w:numPr>
      <w:tabs>
        <w:tab w:val="clear" w:pos="1440"/>
        <w:tab w:val="left" w:pos="3060"/>
      </w:tabs>
      <w:spacing w:after="0"/>
    </w:pPr>
  </w:style>
  <w:style w:type="character" w:styleId="PageNumber">
    <w:name w:val="page number"/>
    <w:basedOn w:val="DefaultParagraphFont"/>
    <w:rsid w:val="00ED751C"/>
  </w:style>
  <w:style w:type="paragraph" w:styleId="Paragraph" w:customStyle="1">
    <w:name w:val="Paragraph"/>
    <w:aliases w:val="paragraph,p,PARAGRAPH,PG,pa,at"/>
    <w:basedOn w:val="BodyTextIndent"/>
    <w:link w:val="ParagraphChar"/>
    <w:qFormat/>
    <w:rsid w:val="00EB0154"/>
    <w:pPr>
      <w:numPr>
        <w:ilvl w:val="1"/>
        <w:numId w:val="2"/>
      </w:numPr>
      <w:tabs>
        <w:tab w:val="clear" w:pos="1296"/>
        <w:tab w:val="num" w:pos="720"/>
      </w:tabs>
      <w:spacing w:before="120"/>
      <w:ind w:left="720" w:hanging="720"/>
      <w:jc w:val="both"/>
      <w:outlineLvl w:val="1"/>
    </w:pPr>
    <w:rPr>
      <w:sz w:val="22"/>
      <w:lang w:val="es-ES"/>
    </w:rPr>
  </w:style>
  <w:style w:type="paragraph" w:styleId="RegheadTab" w:customStyle="1">
    <w:name w:val="RegheadTab"/>
    <w:basedOn w:val="FirstHeading"/>
    <w:rsid w:val="00ED751C"/>
    <w:pPr>
      <w:numPr>
        <w:numId w:val="0"/>
      </w:numPr>
      <w:tabs>
        <w:tab w:val="num" w:pos="504"/>
      </w:tabs>
      <w:spacing w:after="0"/>
      <w:ind w:left="504" w:hanging="504"/>
      <w:jc w:val="center"/>
    </w:pPr>
  </w:style>
  <w:style w:type="paragraph" w:styleId="SecHeading" w:customStyle="1">
    <w:name w:val="SecHeading"/>
    <w:basedOn w:val="Normal"/>
    <w:next w:val="Paragraph"/>
    <w:rsid w:val="00EB0154"/>
    <w:pPr>
      <w:keepNext/>
      <w:numPr>
        <w:ilvl w:val="1"/>
        <w:numId w:val="40"/>
      </w:numPr>
      <w:spacing w:before="120" w:after="120"/>
    </w:pPr>
    <w:rPr>
      <w:rFonts w:ascii="Arial" w:hAnsi="Arial" w:cs="Arial"/>
      <w:b/>
      <w:sz w:val="22"/>
    </w:rPr>
  </w:style>
  <w:style w:type="paragraph" w:styleId="SubHeading1" w:customStyle="1">
    <w:name w:val="SubHeading1"/>
    <w:basedOn w:val="SecHeading"/>
    <w:rsid w:val="00EB0154"/>
    <w:pPr>
      <w:numPr>
        <w:ilvl w:val="2"/>
      </w:numPr>
    </w:pPr>
  </w:style>
  <w:style w:type="paragraph" w:styleId="Subheading2" w:customStyle="1">
    <w:name w:val="Subheading2"/>
    <w:basedOn w:val="SecHeading"/>
    <w:rsid w:val="00EB0154"/>
    <w:pPr>
      <w:numPr>
        <w:ilvl w:val="3"/>
      </w:numPr>
      <w:tabs>
        <w:tab w:val="clear" w:pos="6480"/>
        <w:tab w:val="num" w:pos="2376"/>
      </w:tabs>
      <w:ind w:left="2376"/>
    </w:pPr>
  </w:style>
  <w:style w:type="paragraph" w:styleId="subpar" w:customStyle="1">
    <w:name w:val="subpar"/>
    <w:basedOn w:val="BodyTextIndent3"/>
    <w:rsid w:val="00EB0154"/>
    <w:pPr>
      <w:numPr>
        <w:ilvl w:val="2"/>
        <w:numId w:val="2"/>
      </w:numPr>
      <w:spacing w:before="120"/>
      <w:jc w:val="both"/>
      <w:outlineLvl w:val="2"/>
    </w:pPr>
    <w:rPr>
      <w:szCs w:val="20"/>
    </w:rPr>
  </w:style>
  <w:style w:type="paragraph" w:styleId="SubSubPar" w:customStyle="1">
    <w:name w:val="SubSubPar"/>
    <w:basedOn w:val="subpar"/>
    <w:rsid w:val="00EB0154"/>
    <w:pPr>
      <w:numPr>
        <w:ilvl w:val="3"/>
      </w:numPr>
      <w:tabs>
        <w:tab w:val="clear" w:pos="1584"/>
        <w:tab w:val="left" w:pos="0"/>
        <w:tab w:val="num" w:pos="1296"/>
      </w:tabs>
      <w:ind w:left="1296"/>
    </w:pPr>
  </w:style>
  <w:style w:type="paragraph" w:styleId="TOC1">
    <w:name w:val="toc 1"/>
    <w:basedOn w:val="Normal"/>
    <w:next w:val="Normal"/>
    <w:autoRedefine/>
    <w:uiPriority w:val="39"/>
    <w:rsid w:val="00721CE2"/>
    <w:pPr>
      <w:tabs>
        <w:tab w:val="left" w:pos="720"/>
        <w:tab w:val="right" w:leader="dot" w:pos="9350"/>
      </w:tabs>
      <w:spacing w:before="120" w:after="120"/>
    </w:pPr>
    <w:rPr>
      <w:rFonts w:asciiTheme="minorHAnsi" w:hAnsiTheme="minorHAnsi"/>
      <w:b/>
      <w:bCs/>
      <w:szCs w:val="24"/>
    </w:rPr>
  </w:style>
  <w:style w:type="paragraph" w:styleId="TOC2">
    <w:name w:val="toc 2"/>
    <w:basedOn w:val="Normal"/>
    <w:next w:val="Normal"/>
    <w:autoRedefine/>
    <w:uiPriority w:val="39"/>
    <w:rsid w:val="00ED751C"/>
    <w:pPr>
      <w:ind w:left="240"/>
    </w:pPr>
    <w:rPr>
      <w:rFonts w:asciiTheme="minorHAnsi" w:hAnsiTheme="minorHAnsi"/>
      <w:b/>
      <w:bCs/>
      <w:sz w:val="22"/>
      <w:szCs w:val="22"/>
    </w:rPr>
  </w:style>
  <w:style w:type="paragraph" w:styleId="TOC3">
    <w:name w:val="toc 3"/>
    <w:basedOn w:val="Normal"/>
    <w:next w:val="Normal"/>
    <w:autoRedefine/>
    <w:uiPriority w:val="39"/>
    <w:rsid w:val="008B57E8"/>
    <w:rPr>
      <w:rFonts w:asciiTheme="minorHAnsi" w:hAnsiTheme="minorHAnsi"/>
      <w:sz w:val="22"/>
      <w:szCs w:val="22"/>
    </w:rPr>
  </w:style>
  <w:style w:type="character" w:styleId="Hyperlink">
    <w:name w:val="Hyperlink"/>
    <w:basedOn w:val="DefaultParagraphFont"/>
    <w:rsid w:val="00ED751C"/>
    <w:rPr>
      <w:color w:val="0000FF"/>
      <w:u w:val="single"/>
    </w:rPr>
  </w:style>
  <w:style w:type="character" w:styleId="FootnoteReference">
    <w:name w:val="footnote reference"/>
    <w:aliases w:val="Footnote Referencefra,16 Point,Superscript 6 Point,Footnote Referencefr,FC,ftref,Ref,de nota al pie,(Ref. de nota al pie),titulo 2,Style 24,pie pddes,referencia nota al pie,Fußnotenzeichen DISS,Ref. de nota al pie.,BVI fnr,Nota de pie"/>
    <w:basedOn w:val="DefaultParagraphFont"/>
    <w:link w:val="Char2"/>
    <w:uiPriority w:val="99"/>
    <w:qFormat/>
    <w:rsid w:val="00ED751C"/>
    <w:rPr>
      <w:vertAlign w:val="superscript"/>
    </w:rPr>
  </w:style>
  <w:style w:type="paragraph" w:styleId="BodyTextIndent">
    <w:name w:val="Body Text Indent"/>
    <w:basedOn w:val="Normal"/>
    <w:link w:val="BodyTextIndentChar"/>
    <w:uiPriority w:val="99"/>
    <w:semiHidden/>
    <w:unhideWhenUsed/>
    <w:rsid w:val="00ED751C"/>
    <w:pPr>
      <w:spacing w:after="120"/>
      <w:ind w:left="360"/>
    </w:pPr>
    <w:rPr>
      <w:rFonts w:ascii="Arial" w:hAnsi="Arial" w:cs="Arial"/>
    </w:rPr>
  </w:style>
  <w:style w:type="character" w:styleId="BodyTextIndentChar" w:customStyle="1">
    <w:name w:val="Body Text Indent Char"/>
    <w:basedOn w:val="DefaultParagraphFont"/>
    <w:link w:val="BodyTextIndent"/>
    <w:uiPriority w:val="99"/>
    <w:semiHidden/>
    <w:rsid w:val="00ED751C"/>
    <w:rPr>
      <w:rFonts w:ascii="Arial" w:hAnsi="Arial" w:eastAsia="Times New Roman" w:cs="Arial"/>
      <w:sz w:val="24"/>
      <w:szCs w:val="20"/>
      <w:lang w:val="es-ES_tradnl"/>
    </w:rPr>
  </w:style>
  <w:style w:type="paragraph" w:styleId="BodyTextIndent3">
    <w:name w:val="Body Text Indent 3"/>
    <w:basedOn w:val="Normal"/>
    <w:link w:val="BodyTextIndent3Char"/>
    <w:uiPriority w:val="99"/>
    <w:semiHidden/>
    <w:unhideWhenUsed/>
    <w:rsid w:val="00ED751C"/>
    <w:pPr>
      <w:spacing w:after="120"/>
      <w:ind w:left="360"/>
    </w:pPr>
    <w:rPr>
      <w:rFonts w:ascii="Arial" w:hAnsi="Arial" w:cs="Arial"/>
      <w:sz w:val="22"/>
      <w:szCs w:val="16"/>
    </w:rPr>
  </w:style>
  <w:style w:type="character" w:styleId="BodyTextIndent3Char" w:customStyle="1">
    <w:name w:val="Body Text Indent 3 Char"/>
    <w:basedOn w:val="DefaultParagraphFont"/>
    <w:link w:val="BodyTextIndent3"/>
    <w:uiPriority w:val="99"/>
    <w:semiHidden/>
    <w:rsid w:val="00ED751C"/>
    <w:rPr>
      <w:rFonts w:ascii="Arial" w:hAnsi="Arial" w:eastAsia="Times New Roman" w:cs="Arial"/>
      <w:szCs w:val="16"/>
      <w:lang w:val="es-ES_tradnl"/>
    </w:rPr>
  </w:style>
  <w:style w:type="paragraph" w:styleId="Regtable" w:customStyle="1">
    <w:name w:val="Regtable"/>
    <w:basedOn w:val="Normal"/>
    <w:link w:val="RegtableChar"/>
    <w:rsid w:val="00957DE9"/>
    <w:pPr>
      <w:keepLines/>
      <w:framePr w:wrap="around" w:hAnchor="text" w:vAnchor="text" w:y="1"/>
      <w:spacing w:before="20" w:after="20"/>
    </w:pPr>
    <w:rPr>
      <w:rFonts w:ascii="Arial" w:hAnsi="Arial" w:cs="Arial"/>
      <w:sz w:val="20"/>
    </w:rPr>
  </w:style>
  <w:style w:type="character" w:styleId="RegtableChar" w:customStyle="1">
    <w:name w:val="Regtable Char"/>
    <w:basedOn w:val="DefaultParagraphFont"/>
    <w:link w:val="Regtable"/>
    <w:rsid w:val="00957DE9"/>
    <w:rPr>
      <w:rFonts w:ascii="Arial" w:hAnsi="Arial" w:eastAsia="Times New Roman" w:cs="Arial"/>
      <w:sz w:val="20"/>
      <w:szCs w:val="20"/>
      <w:lang w:val="es-ES_tradnl"/>
    </w:rPr>
  </w:style>
  <w:style w:type="paragraph" w:styleId="TableTitle" w:customStyle="1">
    <w:name w:val="TableTitle"/>
    <w:basedOn w:val="Normal"/>
    <w:link w:val="TableTitleChar"/>
    <w:rsid w:val="00957DE9"/>
    <w:pPr>
      <w:keepNext/>
      <w:framePr w:wrap="around" w:hAnchor="text" w:vAnchor="text" w:y="1"/>
      <w:spacing w:before="20" w:after="20"/>
      <w:jc w:val="center"/>
    </w:pPr>
    <w:rPr>
      <w:rFonts w:ascii="Arial" w:hAnsi="Arial" w:cs="Arial"/>
      <w:b/>
      <w:spacing w:val="-3"/>
      <w:sz w:val="20"/>
    </w:rPr>
  </w:style>
  <w:style w:type="character" w:styleId="TableTitleChar" w:customStyle="1">
    <w:name w:val="TableTitle Char"/>
    <w:basedOn w:val="DefaultParagraphFont"/>
    <w:link w:val="TableTitle"/>
    <w:rsid w:val="00957DE9"/>
    <w:rPr>
      <w:rFonts w:ascii="Arial" w:hAnsi="Arial" w:eastAsia="Times New Roman" w:cs="Arial"/>
      <w:b/>
      <w:spacing w:val="-3"/>
      <w:sz w:val="20"/>
      <w:szCs w:val="20"/>
      <w:lang w:val="es-ES_tradnl"/>
    </w:rPr>
  </w:style>
  <w:style w:type="character" w:styleId="Heading5Char" w:customStyle="1">
    <w:name w:val="Heading 5 Char"/>
    <w:aliases w:val="Heading 5.(i) Char"/>
    <w:basedOn w:val="DefaultParagraphFont"/>
    <w:link w:val="Heading5"/>
    <w:rsid w:val="0099204D"/>
    <w:rPr>
      <w:rFonts w:ascii="Times New Roman" w:hAnsi="Times New Roman" w:eastAsia="Times New Roman" w:cs="Times New Roman"/>
      <w:sz w:val="24"/>
      <w:szCs w:val="24"/>
      <w:u w:val="single"/>
      <w:lang w:val="es-ES"/>
    </w:rPr>
  </w:style>
  <w:style w:type="character" w:styleId="Heading6Char" w:customStyle="1">
    <w:name w:val="Heading 6 Char"/>
    <w:basedOn w:val="DefaultParagraphFont"/>
    <w:link w:val="Heading6"/>
    <w:rsid w:val="00EB0154"/>
    <w:rPr>
      <w:rFonts w:asciiTheme="majorHAnsi" w:hAnsiTheme="majorHAnsi" w:eastAsiaTheme="majorEastAsia" w:cstheme="majorBidi"/>
      <w:i/>
      <w:iCs/>
      <w:color w:val="243F60" w:themeColor="accent1" w:themeShade="7F"/>
      <w:sz w:val="24"/>
      <w:szCs w:val="20"/>
      <w:lang w:val="es-ES_tradnl"/>
    </w:rPr>
  </w:style>
  <w:style w:type="character" w:styleId="Heading7Char" w:customStyle="1">
    <w:name w:val="Heading 7 Char"/>
    <w:basedOn w:val="DefaultParagraphFont"/>
    <w:link w:val="Heading7"/>
    <w:rsid w:val="00EB0154"/>
    <w:rPr>
      <w:rFonts w:asciiTheme="majorHAnsi" w:hAnsiTheme="majorHAnsi" w:eastAsiaTheme="majorEastAsia" w:cstheme="majorBidi"/>
      <w:i/>
      <w:iCs/>
      <w:color w:val="404040" w:themeColor="text1" w:themeTint="BF"/>
      <w:sz w:val="24"/>
      <w:szCs w:val="20"/>
      <w:lang w:val="es-ES_tradnl"/>
    </w:rPr>
  </w:style>
  <w:style w:type="character" w:styleId="Heading8Char" w:customStyle="1">
    <w:name w:val="Heading 8 Char"/>
    <w:basedOn w:val="DefaultParagraphFont"/>
    <w:link w:val="Heading8"/>
    <w:rsid w:val="00EB0154"/>
    <w:rPr>
      <w:rFonts w:asciiTheme="majorHAnsi" w:hAnsiTheme="majorHAnsi" w:eastAsiaTheme="majorEastAsia" w:cstheme="majorBidi"/>
      <w:color w:val="404040" w:themeColor="text1" w:themeTint="BF"/>
      <w:sz w:val="20"/>
      <w:szCs w:val="20"/>
      <w:lang w:val="es-ES_tradnl"/>
    </w:rPr>
  </w:style>
  <w:style w:type="character" w:styleId="Heading9Char" w:customStyle="1">
    <w:name w:val="Heading 9 Char"/>
    <w:basedOn w:val="DefaultParagraphFont"/>
    <w:link w:val="Heading9"/>
    <w:rsid w:val="00EB0154"/>
    <w:rPr>
      <w:rFonts w:asciiTheme="majorHAnsi" w:hAnsiTheme="majorHAnsi" w:eastAsiaTheme="majorEastAsia" w:cstheme="majorBidi"/>
      <w:i/>
      <w:iCs/>
      <w:color w:val="404040" w:themeColor="text1" w:themeTint="BF"/>
      <w:sz w:val="20"/>
      <w:szCs w:val="20"/>
      <w:lang w:val="es-ES_tradnl"/>
    </w:rPr>
  </w:style>
  <w:style w:type="character" w:styleId="Heading1Char" w:customStyle="1">
    <w:name w:val="Heading 1 Char"/>
    <w:basedOn w:val="DefaultParagraphFont"/>
    <w:link w:val="Heading1"/>
    <w:uiPriority w:val="9"/>
    <w:rsid w:val="00DD17C3"/>
    <w:rPr>
      <w:rFonts w:ascii="Arial" w:hAnsi="Arial" w:eastAsia="Times New Roman" w:cs="Times New Roman"/>
      <w:b/>
      <w:kern w:val="28"/>
      <w:sz w:val="28"/>
      <w:szCs w:val="20"/>
    </w:rPr>
  </w:style>
  <w:style w:type="character" w:styleId="Heading2Char" w:customStyle="1">
    <w:name w:val="Heading 2 Char"/>
    <w:basedOn w:val="DefaultParagraphFont"/>
    <w:link w:val="Heading2"/>
    <w:rsid w:val="001B502A"/>
    <w:rPr>
      <w:rFonts w:ascii="Times New Roman" w:hAnsi="Times New Roman" w:eastAsia="Times New Roman" w:cs="Times New Roman"/>
      <w:b/>
      <w:lang w:val="es-ES"/>
    </w:rPr>
  </w:style>
  <w:style w:type="character" w:styleId="Heading3Char" w:customStyle="1">
    <w:name w:val="Heading 3 Char"/>
    <w:basedOn w:val="DefaultParagraphFont"/>
    <w:link w:val="Heading3"/>
    <w:rsid w:val="001B502A"/>
    <w:rPr>
      <w:rFonts w:ascii="Times New Roman" w:hAnsi="Times New Roman" w:eastAsia="Times New Roman" w:cs="Times New Roman"/>
      <w:u w:val="single"/>
      <w:lang w:val="es-ES"/>
    </w:rPr>
  </w:style>
  <w:style w:type="character" w:styleId="Heading4Char" w:customStyle="1">
    <w:name w:val="Heading 4 Char"/>
    <w:basedOn w:val="DefaultParagraphFont"/>
    <w:link w:val="Heading4"/>
    <w:rsid w:val="003474DA"/>
    <w:rPr>
      <w:rFonts w:ascii="Arial" w:hAnsi="Arial" w:eastAsia="Times New Roman" w:cs="Times New Roman"/>
      <w:b/>
      <w:sz w:val="24"/>
      <w:szCs w:val="20"/>
      <w:lang w:val="es-ES_tradnl"/>
    </w:rPr>
  </w:style>
  <w:style w:type="paragraph" w:styleId="ListParagraph">
    <w:name w:val="List Paragraph"/>
    <w:basedOn w:val="Normal"/>
    <w:link w:val="ListParagraphChar"/>
    <w:uiPriority w:val="34"/>
    <w:qFormat/>
    <w:rsid w:val="00F138F1"/>
    <w:pPr>
      <w:ind w:left="720"/>
      <w:contextualSpacing/>
    </w:pPr>
  </w:style>
  <w:style w:type="paragraph" w:styleId="xl29" w:customStyle="1">
    <w:name w:val="xl29"/>
    <w:basedOn w:val="Normal"/>
    <w:rsid w:val="00E50BE1"/>
    <w:pPr>
      <w:pBdr>
        <w:left w:val="single" w:color="auto" w:sz="4" w:space="0"/>
        <w:bottom w:val="single" w:color="auto" w:sz="4" w:space="0"/>
      </w:pBdr>
      <w:spacing w:before="100" w:beforeAutospacing="1" w:after="100" w:afterAutospacing="1"/>
      <w:jc w:val="center"/>
    </w:pPr>
    <w:rPr>
      <w:rFonts w:ascii="Arial" w:hAnsi="Arial" w:eastAsia="Arial Unicode MS" w:cs="Arial"/>
      <w:b/>
      <w:bCs/>
      <w:szCs w:val="24"/>
      <w:lang w:val="en-US"/>
    </w:rPr>
  </w:style>
  <w:style w:type="table" w:styleId="TableGrid">
    <w:name w:val="Table Grid"/>
    <w:basedOn w:val="TableNormal"/>
    <w:uiPriority w:val="39"/>
    <w:rsid w:val="0051618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3414E3"/>
    <w:rPr>
      <w:rFonts w:ascii="Tahoma" w:hAnsi="Tahoma" w:cs="Tahoma"/>
      <w:sz w:val="16"/>
      <w:szCs w:val="16"/>
    </w:rPr>
  </w:style>
  <w:style w:type="character" w:styleId="BalloonTextChar" w:customStyle="1">
    <w:name w:val="Balloon Text Char"/>
    <w:basedOn w:val="DefaultParagraphFont"/>
    <w:link w:val="BalloonText"/>
    <w:uiPriority w:val="99"/>
    <w:semiHidden/>
    <w:rsid w:val="003414E3"/>
    <w:rPr>
      <w:rFonts w:ascii="Tahoma" w:hAnsi="Tahoma" w:eastAsia="Times New Roman" w:cs="Tahoma"/>
      <w:sz w:val="16"/>
      <w:szCs w:val="16"/>
      <w:lang w:val="es-ES_tradnl"/>
    </w:rPr>
  </w:style>
  <w:style w:type="character" w:styleId="ParagraphChar" w:customStyle="1">
    <w:name w:val="Paragraph Char"/>
    <w:aliases w:val="paragraph Char,p Char,PARAGRAPH Char,PG Char,pa Char,at Char,Paragraph Char1"/>
    <w:link w:val="Paragraph"/>
    <w:locked/>
    <w:rsid w:val="009B6845"/>
    <w:rPr>
      <w:rFonts w:ascii="Arial" w:hAnsi="Arial" w:eastAsia="Times New Roman" w:cs="Arial"/>
      <w:szCs w:val="20"/>
      <w:lang w:val="es-ES"/>
    </w:rPr>
  </w:style>
  <w:style w:type="paragraph" w:styleId="Caption">
    <w:name w:val="caption"/>
    <w:basedOn w:val="Normal"/>
    <w:next w:val="Normal"/>
    <w:uiPriority w:val="35"/>
    <w:unhideWhenUsed/>
    <w:qFormat/>
    <w:rsid w:val="00C34954"/>
    <w:pPr>
      <w:spacing w:after="200"/>
    </w:pPr>
    <w:rPr>
      <w:b/>
      <w:bCs/>
      <w:color w:val="4F81BD" w:themeColor="accent1"/>
      <w:sz w:val="18"/>
      <w:szCs w:val="18"/>
    </w:rPr>
  </w:style>
  <w:style w:type="character" w:styleId="CommentReference">
    <w:name w:val="annotation reference"/>
    <w:basedOn w:val="DefaultParagraphFont"/>
    <w:uiPriority w:val="99"/>
    <w:semiHidden/>
    <w:unhideWhenUsed/>
    <w:rsid w:val="009125F6"/>
    <w:rPr>
      <w:sz w:val="16"/>
      <w:szCs w:val="16"/>
    </w:rPr>
  </w:style>
  <w:style w:type="paragraph" w:styleId="CommentText">
    <w:name w:val="annotation text"/>
    <w:basedOn w:val="Normal"/>
    <w:link w:val="CommentTextChar"/>
    <w:uiPriority w:val="99"/>
    <w:semiHidden/>
    <w:unhideWhenUsed/>
    <w:rsid w:val="009125F6"/>
    <w:rPr>
      <w:sz w:val="20"/>
    </w:rPr>
  </w:style>
  <w:style w:type="character" w:styleId="CommentTextChar" w:customStyle="1">
    <w:name w:val="Comment Text Char"/>
    <w:basedOn w:val="DefaultParagraphFont"/>
    <w:link w:val="CommentText"/>
    <w:uiPriority w:val="99"/>
    <w:semiHidden/>
    <w:rsid w:val="009125F6"/>
    <w:rPr>
      <w:rFonts w:ascii="Times New Roman" w:hAnsi="Times New Roman" w:eastAsia="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9125F6"/>
    <w:rPr>
      <w:b/>
      <w:bCs/>
    </w:rPr>
  </w:style>
  <w:style w:type="character" w:styleId="CommentSubjectChar" w:customStyle="1">
    <w:name w:val="Comment Subject Char"/>
    <w:basedOn w:val="CommentTextChar"/>
    <w:link w:val="CommentSubject"/>
    <w:uiPriority w:val="99"/>
    <w:semiHidden/>
    <w:rsid w:val="009125F6"/>
    <w:rPr>
      <w:rFonts w:ascii="Times New Roman" w:hAnsi="Times New Roman" w:eastAsia="Times New Roman" w:cs="Times New Roman"/>
      <w:b/>
      <w:bCs/>
      <w:sz w:val="20"/>
      <w:szCs w:val="20"/>
      <w:lang w:val="es-ES_tradnl"/>
    </w:rPr>
  </w:style>
  <w:style w:type="character" w:styleId="ListParagraphChar" w:customStyle="1">
    <w:name w:val="List Paragraph Char"/>
    <w:link w:val="ListParagraph"/>
    <w:uiPriority w:val="34"/>
    <w:locked/>
    <w:rsid w:val="00870374"/>
    <w:rPr>
      <w:rFonts w:ascii="Times New Roman" w:hAnsi="Times New Roman" w:eastAsia="Times New Roman" w:cs="Times New Roman"/>
      <w:sz w:val="24"/>
      <w:szCs w:val="20"/>
      <w:lang w:val="es-ES_tradnl"/>
    </w:rPr>
  </w:style>
  <w:style w:type="paragraph" w:styleId="TOCHeading">
    <w:name w:val="TOC Heading"/>
    <w:basedOn w:val="Heading1"/>
    <w:next w:val="Normal"/>
    <w:uiPriority w:val="39"/>
    <w:unhideWhenUsed/>
    <w:qFormat/>
    <w:rsid w:val="00A34EC6"/>
    <w:pPr>
      <w:keepLines/>
      <w:tabs>
        <w:tab w:val="clear" w:pos="360"/>
      </w:tabs>
      <w:spacing w:before="480" w:after="0" w:line="276" w:lineRule="auto"/>
      <w:outlineLvl w:val="9"/>
    </w:pPr>
    <w:rPr>
      <w:rFonts w:asciiTheme="majorHAnsi" w:hAnsiTheme="majorHAnsi" w:eastAsiaTheme="majorEastAsia" w:cstheme="majorBidi"/>
      <w:bCs/>
      <w:color w:val="365F91" w:themeColor="accent1" w:themeShade="BF"/>
      <w:kern w:val="0"/>
      <w:szCs w:val="28"/>
      <w:lang w:val="en-US"/>
    </w:rPr>
  </w:style>
  <w:style w:type="paragraph" w:styleId="yiv1352101618msonormal" w:customStyle="1">
    <w:name w:val="yiv1352101618msonormal"/>
    <w:basedOn w:val="Normal"/>
    <w:rsid w:val="00A34EC6"/>
    <w:pPr>
      <w:spacing w:before="100" w:beforeAutospacing="1" w:after="100" w:afterAutospacing="1"/>
    </w:pPr>
    <w:rPr>
      <w:szCs w:val="24"/>
      <w:lang w:val="en-US"/>
    </w:rPr>
  </w:style>
  <w:style w:type="paragraph" w:styleId="Default" w:customStyle="1">
    <w:name w:val="Default"/>
    <w:rsid w:val="00A34EC6"/>
    <w:pPr>
      <w:autoSpaceDE w:val="0"/>
      <w:autoSpaceDN w:val="0"/>
      <w:adjustRightInd w:val="0"/>
      <w:spacing w:after="0" w:line="240" w:lineRule="auto"/>
    </w:pPr>
    <w:rPr>
      <w:rFonts w:ascii="Times New Roman" w:hAnsi="Times New Roman" w:eastAsia="Cambria" w:cs="Times New Roman"/>
      <w:color w:val="000000"/>
      <w:sz w:val="24"/>
      <w:szCs w:val="24"/>
    </w:rPr>
  </w:style>
  <w:style w:type="character" w:styleId="PlaceholderText">
    <w:name w:val="Placeholder Text"/>
    <w:basedOn w:val="DefaultParagraphFont"/>
    <w:uiPriority w:val="99"/>
    <w:semiHidden/>
    <w:rsid w:val="00A34EC6"/>
    <w:rPr>
      <w:color w:val="808080"/>
    </w:rPr>
  </w:style>
  <w:style w:type="paragraph" w:styleId="NormalWeb">
    <w:name w:val="Normal (Web)"/>
    <w:basedOn w:val="Normal"/>
    <w:uiPriority w:val="99"/>
    <w:semiHidden/>
    <w:unhideWhenUsed/>
    <w:rsid w:val="00C726CC"/>
    <w:pPr>
      <w:spacing w:before="100" w:beforeAutospacing="1" w:after="100" w:afterAutospacing="1"/>
    </w:pPr>
    <w:rPr>
      <w:rFonts w:eastAsiaTheme="minorHAnsi"/>
      <w:szCs w:val="24"/>
      <w:lang w:val="en-US"/>
    </w:rPr>
  </w:style>
  <w:style w:type="paragraph" w:styleId="TOC4">
    <w:name w:val="toc 4"/>
    <w:basedOn w:val="Normal"/>
    <w:next w:val="Normal"/>
    <w:autoRedefine/>
    <w:uiPriority w:val="39"/>
    <w:unhideWhenUsed/>
    <w:rsid w:val="005A5057"/>
    <w:pPr>
      <w:ind w:left="720"/>
    </w:pPr>
    <w:rPr>
      <w:rFonts w:asciiTheme="minorHAnsi" w:hAnsiTheme="minorHAnsi"/>
      <w:sz w:val="20"/>
    </w:rPr>
  </w:style>
  <w:style w:type="paragraph" w:styleId="TOC5">
    <w:name w:val="toc 5"/>
    <w:basedOn w:val="Normal"/>
    <w:next w:val="Normal"/>
    <w:autoRedefine/>
    <w:uiPriority w:val="39"/>
    <w:unhideWhenUsed/>
    <w:rsid w:val="005A5057"/>
    <w:pPr>
      <w:ind w:left="960"/>
    </w:pPr>
    <w:rPr>
      <w:rFonts w:asciiTheme="minorHAnsi" w:hAnsiTheme="minorHAnsi"/>
      <w:sz w:val="20"/>
    </w:rPr>
  </w:style>
  <w:style w:type="paragraph" w:styleId="TOC6">
    <w:name w:val="toc 6"/>
    <w:basedOn w:val="Normal"/>
    <w:next w:val="Normal"/>
    <w:autoRedefine/>
    <w:uiPriority w:val="39"/>
    <w:unhideWhenUsed/>
    <w:rsid w:val="005A5057"/>
    <w:pPr>
      <w:ind w:left="1200"/>
    </w:pPr>
    <w:rPr>
      <w:rFonts w:asciiTheme="minorHAnsi" w:hAnsiTheme="minorHAnsi"/>
      <w:sz w:val="20"/>
    </w:rPr>
  </w:style>
  <w:style w:type="paragraph" w:styleId="TOC7">
    <w:name w:val="toc 7"/>
    <w:basedOn w:val="Normal"/>
    <w:next w:val="Normal"/>
    <w:autoRedefine/>
    <w:uiPriority w:val="39"/>
    <w:unhideWhenUsed/>
    <w:rsid w:val="005A5057"/>
    <w:pPr>
      <w:ind w:left="1440"/>
    </w:pPr>
    <w:rPr>
      <w:rFonts w:asciiTheme="minorHAnsi" w:hAnsiTheme="minorHAnsi"/>
      <w:sz w:val="20"/>
    </w:rPr>
  </w:style>
  <w:style w:type="paragraph" w:styleId="TOC8">
    <w:name w:val="toc 8"/>
    <w:basedOn w:val="Normal"/>
    <w:next w:val="Normal"/>
    <w:autoRedefine/>
    <w:uiPriority w:val="39"/>
    <w:unhideWhenUsed/>
    <w:rsid w:val="005A5057"/>
    <w:pPr>
      <w:ind w:left="1680"/>
    </w:pPr>
    <w:rPr>
      <w:rFonts w:asciiTheme="minorHAnsi" w:hAnsiTheme="minorHAnsi"/>
      <w:sz w:val="20"/>
    </w:rPr>
  </w:style>
  <w:style w:type="paragraph" w:styleId="TOC9">
    <w:name w:val="toc 9"/>
    <w:basedOn w:val="Normal"/>
    <w:next w:val="Normal"/>
    <w:autoRedefine/>
    <w:uiPriority w:val="39"/>
    <w:unhideWhenUsed/>
    <w:rsid w:val="005A5057"/>
    <w:pPr>
      <w:ind w:left="1920"/>
    </w:pPr>
    <w:rPr>
      <w:rFonts w:asciiTheme="minorHAnsi" w:hAnsiTheme="minorHAnsi"/>
      <w:sz w:val="20"/>
    </w:rPr>
  </w:style>
  <w:style w:type="character" w:styleId="apple-converted-space" w:customStyle="1">
    <w:name w:val="apple-converted-space"/>
    <w:basedOn w:val="DefaultParagraphFont"/>
    <w:rsid w:val="00C747F2"/>
  </w:style>
  <w:style w:type="paragraph" w:styleId="Style1" w:customStyle="1">
    <w:name w:val="Style1"/>
    <w:basedOn w:val="Paragraph"/>
    <w:qFormat/>
    <w:rsid w:val="00C03061"/>
    <w:pPr>
      <w:numPr>
        <w:ilvl w:val="0"/>
        <w:numId w:val="0"/>
      </w:numPr>
    </w:pPr>
    <w:rPr>
      <w:noProof/>
      <w:szCs w:val="22"/>
      <w:lang w:val="en-US"/>
    </w:rPr>
  </w:style>
  <w:style w:type="paragraph" w:styleId="ColorfulList-Accent11" w:customStyle="1">
    <w:name w:val="Colorful List - Accent 11"/>
    <w:basedOn w:val="Normal"/>
    <w:link w:val="ColorfulList-Accent1Char"/>
    <w:uiPriority w:val="99"/>
    <w:rsid w:val="00E56646"/>
    <w:pPr>
      <w:ind w:left="720"/>
      <w:contextualSpacing/>
    </w:pPr>
    <w:rPr>
      <w:rFonts w:ascii="Calibri" w:hAnsi="Calibri" w:eastAsia="Calibri"/>
      <w:sz w:val="22"/>
      <w:szCs w:val="22"/>
      <w:lang w:val="en-US"/>
    </w:rPr>
  </w:style>
  <w:style w:type="character" w:styleId="ColorfulList-Accent1Char" w:customStyle="1">
    <w:name w:val="Colorful List - Accent 1 Char"/>
    <w:link w:val="ColorfulList-Accent11"/>
    <w:uiPriority w:val="99"/>
    <w:locked/>
    <w:rsid w:val="00E56646"/>
    <w:rPr>
      <w:rFonts w:ascii="Calibri" w:hAnsi="Calibri" w:eastAsia="Calibri" w:cs="Times New Roman"/>
    </w:rPr>
  </w:style>
  <w:style w:type="paragraph" w:styleId="TableText" w:customStyle="1">
    <w:name w:val="Table Text"/>
    <w:basedOn w:val="Normal"/>
    <w:rsid w:val="00C4639D"/>
    <w:pPr>
      <w:spacing w:line="280" w:lineRule="atLeast"/>
      <w:jc w:val="both"/>
    </w:pPr>
    <w:rPr>
      <w:rFonts w:ascii="Arial" w:hAnsi="Arial"/>
      <w:sz w:val="16"/>
      <w:lang w:val="en-GB" w:eastAsia="fr-FR"/>
    </w:rPr>
  </w:style>
  <w:style w:type="paragraph" w:styleId="Char2" w:customStyle="1">
    <w:name w:val="Char2"/>
    <w:basedOn w:val="Normal"/>
    <w:link w:val="FootnoteReference"/>
    <w:uiPriority w:val="99"/>
    <w:rsid w:val="00477789"/>
    <w:pPr>
      <w:spacing w:after="160" w:line="240" w:lineRule="exact"/>
    </w:pPr>
    <w:rPr>
      <w:rFonts w:asciiTheme="minorHAnsi" w:hAnsiTheme="minorHAnsi" w:eastAsiaTheme="minorHAnsi" w:cstheme="minorBidi"/>
      <w:sz w:val="22"/>
      <w:szCs w:val="22"/>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209606">
      <w:bodyDiv w:val="1"/>
      <w:marLeft w:val="0"/>
      <w:marRight w:val="0"/>
      <w:marTop w:val="0"/>
      <w:marBottom w:val="0"/>
      <w:divBdr>
        <w:top w:val="none" w:sz="0" w:space="0" w:color="auto"/>
        <w:left w:val="none" w:sz="0" w:space="0" w:color="auto"/>
        <w:bottom w:val="none" w:sz="0" w:space="0" w:color="auto"/>
        <w:right w:val="none" w:sz="0" w:space="0" w:color="auto"/>
      </w:divBdr>
    </w:div>
    <w:div w:id="187375697">
      <w:bodyDiv w:val="1"/>
      <w:marLeft w:val="0"/>
      <w:marRight w:val="0"/>
      <w:marTop w:val="0"/>
      <w:marBottom w:val="0"/>
      <w:divBdr>
        <w:top w:val="none" w:sz="0" w:space="0" w:color="auto"/>
        <w:left w:val="none" w:sz="0" w:space="0" w:color="auto"/>
        <w:bottom w:val="none" w:sz="0" w:space="0" w:color="auto"/>
        <w:right w:val="none" w:sz="0" w:space="0" w:color="auto"/>
      </w:divBdr>
    </w:div>
    <w:div w:id="364216007">
      <w:bodyDiv w:val="1"/>
      <w:marLeft w:val="0"/>
      <w:marRight w:val="0"/>
      <w:marTop w:val="0"/>
      <w:marBottom w:val="0"/>
      <w:divBdr>
        <w:top w:val="none" w:sz="0" w:space="0" w:color="auto"/>
        <w:left w:val="none" w:sz="0" w:space="0" w:color="auto"/>
        <w:bottom w:val="none" w:sz="0" w:space="0" w:color="auto"/>
        <w:right w:val="none" w:sz="0" w:space="0" w:color="auto"/>
      </w:divBdr>
    </w:div>
    <w:div w:id="449738995">
      <w:bodyDiv w:val="1"/>
      <w:marLeft w:val="0"/>
      <w:marRight w:val="0"/>
      <w:marTop w:val="0"/>
      <w:marBottom w:val="0"/>
      <w:divBdr>
        <w:top w:val="none" w:sz="0" w:space="0" w:color="auto"/>
        <w:left w:val="none" w:sz="0" w:space="0" w:color="auto"/>
        <w:bottom w:val="none" w:sz="0" w:space="0" w:color="auto"/>
        <w:right w:val="none" w:sz="0" w:space="0" w:color="auto"/>
      </w:divBdr>
    </w:div>
    <w:div w:id="450050988">
      <w:bodyDiv w:val="1"/>
      <w:marLeft w:val="0"/>
      <w:marRight w:val="0"/>
      <w:marTop w:val="0"/>
      <w:marBottom w:val="0"/>
      <w:divBdr>
        <w:top w:val="none" w:sz="0" w:space="0" w:color="auto"/>
        <w:left w:val="none" w:sz="0" w:space="0" w:color="auto"/>
        <w:bottom w:val="none" w:sz="0" w:space="0" w:color="auto"/>
        <w:right w:val="none" w:sz="0" w:space="0" w:color="auto"/>
      </w:divBdr>
    </w:div>
    <w:div w:id="507913880">
      <w:bodyDiv w:val="1"/>
      <w:marLeft w:val="0"/>
      <w:marRight w:val="0"/>
      <w:marTop w:val="0"/>
      <w:marBottom w:val="0"/>
      <w:divBdr>
        <w:top w:val="none" w:sz="0" w:space="0" w:color="auto"/>
        <w:left w:val="none" w:sz="0" w:space="0" w:color="auto"/>
        <w:bottom w:val="none" w:sz="0" w:space="0" w:color="auto"/>
        <w:right w:val="none" w:sz="0" w:space="0" w:color="auto"/>
      </w:divBdr>
      <w:divsChild>
        <w:div w:id="375008961">
          <w:marLeft w:val="0"/>
          <w:marRight w:val="0"/>
          <w:marTop w:val="0"/>
          <w:marBottom w:val="0"/>
          <w:divBdr>
            <w:top w:val="none" w:sz="0" w:space="0" w:color="000000"/>
            <w:left w:val="none" w:sz="0" w:space="0" w:color="000000"/>
            <w:bottom w:val="none" w:sz="0" w:space="7" w:color="000000"/>
            <w:right w:val="none" w:sz="0" w:space="0" w:color="000000"/>
          </w:divBdr>
          <w:divsChild>
            <w:div w:id="816339825">
              <w:marLeft w:val="0"/>
              <w:marRight w:val="0"/>
              <w:marTop w:val="0"/>
              <w:marBottom w:val="0"/>
              <w:divBdr>
                <w:top w:val="none" w:sz="0" w:space="0" w:color="auto"/>
                <w:left w:val="none" w:sz="0" w:space="0" w:color="auto"/>
                <w:bottom w:val="none" w:sz="0" w:space="0" w:color="auto"/>
                <w:right w:val="none" w:sz="0" w:space="0" w:color="auto"/>
              </w:divBdr>
            </w:div>
          </w:divsChild>
        </w:div>
        <w:div w:id="1243946704">
          <w:marLeft w:val="0"/>
          <w:marRight w:val="-18928"/>
          <w:marTop w:val="510"/>
          <w:marBottom w:val="0"/>
          <w:divBdr>
            <w:top w:val="none" w:sz="0" w:space="0" w:color="auto"/>
            <w:left w:val="none" w:sz="0" w:space="0" w:color="auto"/>
            <w:bottom w:val="none" w:sz="0" w:space="0" w:color="auto"/>
            <w:right w:val="none" w:sz="0" w:space="0" w:color="auto"/>
          </w:divBdr>
        </w:div>
      </w:divsChild>
    </w:div>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587270">
      <w:bodyDiv w:val="1"/>
      <w:marLeft w:val="0"/>
      <w:marRight w:val="0"/>
      <w:marTop w:val="0"/>
      <w:marBottom w:val="0"/>
      <w:divBdr>
        <w:top w:val="none" w:sz="0" w:space="0" w:color="auto"/>
        <w:left w:val="none" w:sz="0" w:space="0" w:color="auto"/>
        <w:bottom w:val="none" w:sz="0" w:space="0" w:color="auto"/>
        <w:right w:val="none" w:sz="0" w:space="0" w:color="auto"/>
      </w:divBdr>
    </w:div>
    <w:div w:id="788858139">
      <w:bodyDiv w:val="1"/>
      <w:marLeft w:val="0"/>
      <w:marRight w:val="0"/>
      <w:marTop w:val="0"/>
      <w:marBottom w:val="0"/>
      <w:divBdr>
        <w:top w:val="none" w:sz="0" w:space="0" w:color="auto"/>
        <w:left w:val="none" w:sz="0" w:space="0" w:color="auto"/>
        <w:bottom w:val="none" w:sz="0" w:space="0" w:color="auto"/>
        <w:right w:val="none" w:sz="0" w:space="0" w:color="auto"/>
      </w:divBdr>
    </w:div>
    <w:div w:id="1210723939">
      <w:bodyDiv w:val="1"/>
      <w:marLeft w:val="0"/>
      <w:marRight w:val="0"/>
      <w:marTop w:val="0"/>
      <w:marBottom w:val="0"/>
      <w:divBdr>
        <w:top w:val="none" w:sz="0" w:space="0" w:color="auto"/>
        <w:left w:val="none" w:sz="0" w:space="0" w:color="auto"/>
        <w:bottom w:val="none" w:sz="0" w:space="0" w:color="auto"/>
        <w:right w:val="none" w:sz="0" w:space="0" w:color="auto"/>
      </w:divBdr>
    </w:div>
    <w:div w:id="1242253544">
      <w:bodyDiv w:val="1"/>
      <w:marLeft w:val="0"/>
      <w:marRight w:val="0"/>
      <w:marTop w:val="0"/>
      <w:marBottom w:val="0"/>
      <w:divBdr>
        <w:top w:val="none" w:sz="0" w:space="0" w:color="auto"/>
        <w:left w:val="none" w:sz="0" w:space="0" w:color="auto"/>
        <w:bottom w:val="none" w:sz="0" w:space="0" w:color="auto"/>
        <w:right w:val="none" w:sz="0" w:space="0" w:color="auto"/>
      </w:divBdr>
    </w:div>
    <w:div w:id="1250188715">
      <w:bodyDiv w:val="1"/>
      <w:marLeft w:val="0"/>
      <w:marRight w:val="0"/>
      <w:marTop w:val="0"/>
      <w:marBottom w:val="0"/>
      <w:divBdr>
        <w:top w:val="none" w:sz="0" w:space="0" w:color="auto"/>
        <w:left w:val="none" w:sz="0" w:space="0" w:color="auto"/>
        <w:bottom w:val="none" w:sz="0" w:space="0" w:color="auto"/>
        <w:right w:val="none" w:sz="0" w:space="0" w:color="auto"/>
      </w:divBdr>
    </w:div>
    <w:div w:id="1364015717">
      <w:bodyDiv w:val="1"/>
      <w:marLeft w:val="0"/>
      <w:marRight w:val="0"/>
      <w:marTop w:val="0"/>
      <w:marBottom w:val="0"/>
      <w:divBdr>
        <w:top w:val="none" w:sz="0" w:space="0" w:color="auto"/>
        <w:left w:val="none" w:sz="0" w:space="0" w:color="auto"/>
        <w:bottom w:val="none" w:sz="0" w:space="0" w:color="auto"/>
        <w:right w:val="none" w:sz="0" w:space="0" w:color="auto"/>
      </w:divBdr>
    </w:div>
    <w:div w:id="1472862092">
      <w:bodyDiv w:val="1"/>
      <w:marLeft w:val="0"/>
      <w:marRight w:val="0"/>
      <w:marTop w:val="0"/>
      <w:marBottom w:val="0"/>
      <w:divBdr>
        <w:top w:val="none" w:sz="0" w:space="0" w:color="auto"/>
        <w:left w:val="none" w:sz="0" w:space="0" w:color="auto"/>
        <w:bottom w:val="none" w:sz="0" w:space="0" w:color="auto"/>
        <w:right w:val="none" w:sz="0" w:space="0" w:color="auto"/>
      </w:divBdr>
    </w:div>
    <w:div w:id="1544557450">
      <w:bodyDiv w:val="1"/>
      <w:marLeft w:val="0"/>
      <w:marRight w:val="0"/>
      <w:marTop w:val="0"/>
      <w:marBottom w:val="0"/>
      <w:divBdr>
        <w:top w:val="none" w:sz="0" w:space="0" w:color="auto"/>
        <w:left w:val="none" w:sz="0" w:space="0" w:color="auto"/>
        <w:bottom w:val="none" w:sz="0" w:space="0" w:color="auto"/>
        <w:right w:val="none" w:sz="0" w:space="0" w:color="auto"/>
      </w:divBdr>
    </w:div>
    <w:div w:id="1643997560">
      <w:bodyDiv w:val="1"/>
      <w:marLeft w:val="0"/>
      <w:marRight w:val="0"/>
      <w:marTop w:val="0"/>
      <w:marBottom w:val="0"/>
      <w:divBdr>
        <w:top w:val="none" w:sz="0" w:space="0" w:color="auto"/>
        <w:left w:val="none" w:sz="0" w:space="0" w:color="auto"/>
        <w:bottom w:val="none" w:sz="0" w:space="0" w:color="auto"/>
        <w:right w:val="none" w:sz="0" w:space="0" w:color="auto"/>
      </w:divBdr>
    </w:div>
    <w:div w:id="1666083148">
      <w:bodyDiv w:val="1"/>
      <w:marLeft w:val="0"/>
      <w:marRight w:val="0"/>
      <w:marTop w:val="0"/>
      <w:marBottom w:val="0"/>
      <w:divBdr>
        <w:top w:val="none" w:sz="0" w:space="0" w:color="auto"/>
        <w:left w:val="none" w:sz="0" w:space="0" w:color="auto"/>
        <w:bottom w:val="none" w:sz="0" w:space="0" w:color="auto"/>
        <w:right w:val="none" w:sz="0" w:space="0" w:color="auto"/>
      </w:divBdr>
    </w:div>
    <w:div w:id="1772236011">
      <w:bodyDiv w:val="1"/>
      <w:marLeft w:val="0"/>
      <w:marRight w:val="0"/>
      <w:marTop w:val="0"/>
      <w:marBottom w:val="0"/>
      <w:divBdr>
        <w:top w:val="none" w:sz="0" w:space="0" w:color="auto"/>
        <w:left w:val="none" w:sz="0" w:space="0" w:color="auto"/>
        <w:bottom w:val="none" w:sz="0" w:space="0" w:color="auto"/>
        <w:right w:val="none" w:sz="0" w:space="0" w:color="auto"/>
      </w:divBdr>
    </w:div>
    <w:div w:id="2049329532">
      <w:bodyDiv w:val="1"/>
      <w:marLeft w:val="0"/>
      <w:marRight w:val="0"/>
      <w:marTop w:val="0"/>
      <w:marBottom w:val="0"/>
      <w:divBdr>
        <w:top w:val="none" w:sz="0" w:space="0" w:color="auto"/>
        <w:left w:val="none" w:sz="0" w:space="0" w:color="auto"/>
        <w:bottom w:val="none" w:sz="0" w:space="0" w:color="auto"/>
        <w:right w:val="none" w:sz="0" w:space="0" w:color="auto"/>
      </w:divBdr>
    </w:div>
    <w:div w:id="2056007739">
      <w:bodyDiv w:val="1"/>
      <w:marLeft w:val="0"/>
      <w:marRight w:val="0"/>
      <w:marTop w:val="0"/>
      <w:marBottom w:val="0"/>
      <w:divBdr>
        <w:top w:val="none" w:sz="0" w:space="0" w:color="auto"/>
        <w:left w:val="none" w:sz="0" w:space="0" w:color="auto"/>
        <w:bottom w:val="none" w:sz="0" w:space="0" w:color="auto"/>
        <w:right w:val="none" w:sz="0" w:space="0" w:color="auto"/>
      </w:divBdr>
    </w:div>
    <w:div w:id="212338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idbg.sharepoint.com/teams/EZ-BO-LON/BO-L1190/_layouts/15/DocIdRedir.aspx?ID=EZSHARE-1809111286-4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INE/ENE</Division_x0020_or_x0020_Unit>
    <Other_x0020_Author xmlns="cdc7663a-08f0-4737-9e8c-148ce897a09c" xsi:nil="true"/>
    <IDBDocs_x0020_Number xmlns="cdc7663a-08f0-4737-9e8c-148ce897a09c">40282056</IDBDocs_x0020_Number>
    <Document_x0020_Author xmlns="cdc7663a-08f0-4737-9e8c-148ce897a09c">Alarcon, Arturo</Document_x0020_Author>
    <Operation_x0020_Type xmlns="cdc7663a-08f0-4737-9e8c-148ce897a09c" xsi:nil="true"/>
    <TaxCatchAll xmlns="cdc7663a-08f0-4737-9e8c-148ce897a09c">
      <Value>26</Value>
      <Value>124</Value>
      <Value>10</Value>
      <Value>29</Value>
      <Value>35</Value>
    </TaxCatchAll>
    <Fiscal_x0020_Year_x0020_IDB xmlns="cdc7663a-08f0-4737-9e8c-148ce897a09c">2018</Fiscal_x0020_Year_x0020_IDB>
    <Project_x0020_Number xmlns="cdc7663a-08f0-4737-9e8c-148ce897a09c">BO-L1190;</Project_x0020_Number>
    <Package_x0020_Code xmlns="cdc7663a-08f0-4737-9e8c-148ce897a09c" xsi:nil="true"/>
    <Migration_x0020_Info xmlns="cdc7663a-08f0-4737-9e8c-148ce897a09c">MS WORDLoan ProposalDEBoard of Executive Directors0N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o_x003a_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R0002196093</Record_x0020_Number>
    <_dlc_DocId xmlns="cdc7663a-08f0-4737-9e8c-148ce897a09c">EZSHARE-1809111286-49</_dlc_DocId>
    <_dlc_DocIdUrl xmlns="cdc7663a-08f0-4737-9e8c-148ce897a09c">
      <Url>https://idbg.sharepoint.com/teams/EZ-BO-LON/BO-L1190/_layouts/15/DocIdRedir.aspx?ID=EZSHARE-1809111286-49</Url>
      <Description>EZSHARE-1809111286-49</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EAD6073BCC504443AE1A08D5FD7C6828" ma:contentTypeVersion="1949" ma:contentTypeDescription="The base project type from which other project content types inherit their information." ma:contentTypeScope="" ma:versionID="7c239fe6775106af55e2a42ae69f5a46">
  <xsd:schema xmlns:xsd="http://www.w3.org/2001/XMLSchema" xmlns:xs="http://www.w3.org/2001/XMLSchema" xmlns:p="http://schemas.microsoft.com/office/2006/metadata/properties" xmlns:ns2="cdc7663a-08f0-4737-9e8c-148ce897a09c" targetNamespace="http://schemas.microsoft.com/office/2006/metadata/properties" ma:root="true" ma:fieldsID="9f30761d32f639d6a8cd01073ec38b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O-L119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418E5F36-FC27-44B3-BD3F-1E044A7FE036}">
  <ds:schemaRefs>
    <ds:schemaRef ds:uri="http://schemas.microsoft.com/sharepoint/v3/contenttype/forms"/>
  </ds:schemaRefs>
</ds:datastoreItem>
</file>

<file path=customXml/itemProps2.xml><?xml version="1.0" encoding="utf-8"?>
<ds:datastoreItem xmlns:ds="http://schemas.openxmlformats.org/officeDocument/2006/customXml" ds:itemID="{023DFBFA-0AA6-4A86-9EB4-CD1D927B61A6}">
  <ds:schemaRefs>
    <ds:schemaRef ds:uri="http://schemas.microsoft.com/sharepoint/events"/>
  </ds:schemaRefs>
</ds:datastoreItem>
</file>

<file path=customXml/itemProps3.xml><?xml version="1.0" encoding="utf-8"?>
<ds:datastoreItem xmlns:ds="http://schemas.openxmlformats.org/officeDocument/2006/customXml" ds:itemID="{0FAFCF31-FC66-452A-998D-9ED79E489C23}">
  <ds:schemaRefs>
    <ds:schemaRef ds:uri="Microsoft.SharePoint.Taxonomy.ContentTypeSync"/>
  </ds:schemaRefs>
</ds:datastoreItem>
</file>

<file path=customXml/itemProps4.xml><?xml version="1.0" encoding="utf-8"?>
<ds:datastoreItem xmlns:ds="http://schemas.openxmlformats.org/officeDocument/2006/customXml" ds:itemID="{F78A39BF-56B2-4779-ACBB-7C36D565E1AA}">
  <ds:schemaRefs>
    <ds:schemaRef ds:uri="http://www.w3.org/XML/1998/namespace"/>
    <ds:schemaRef ds:uri="http://purl.org/dc/dcmitype/"/>
    <ds:schemaRef ds:uri="http://purl.org/dc/elements/1.1/"/>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cdc7663a-08f0-4737-9e8c-148ce897a09c"/>
  </ds:schemaRefs>
</ds:datastoreItem>
</file>

<file path=customXml/itemProps5.xml><?xml version="1.0" encoding="utf-8"?>
<ds:datastoreItem xmlns:ds="http://schemas.openxmlformats.org/officeDocument/2006/customXml" ds:itemID="{78A79107-501C-4BAB-9E1C-7D13610F9347}"/>
</file>

<file path=customXml/itemProps6.xml><?xml version="1.0" encoding="utf-8"?>
<ds:datastoreItem xmlns:ds="http://schemas.openxmlformats.org/officeDocument/2006/customXml" ds:itemID="{8E11A06D-58EF-477C-A32F-89C126794A89}">
  <ds:schemaRefs>
    <ds:schemaRef ds:uri="http://schemas.openxmlformats.org/officeDocument/2006/bibliography"/>
  </ds:schemaRefs>
</ds:datastoreItem>
</file>

<file path=customXml/itemProps7.xml><?xml version="1.0" encoding="utf-8"?>
<ds:datastoreItem xmlns:ds="http://schemas.openxmlformats.org/officeDocument/2006/customXml" ds:itemID="{AAE2F322-0A95-4916-BCE3-05BA526AC9B2}"/>
</file>

<file path=docProps/app.xml><?xml version="1.0" encoding="utf-8"?>
<Properties xmlns="http://schemas.openxmlformats.org/officeDocument/2006/extended-properties" xmlns:vt="http://schemas.openxmlformats.org/officeDocument/2006/docPropsVTypes">
  <Template>Normal.dotm</Template>
  <TotalTime>125</TotalTime>
  <Pages>20</Pages>
  <Words>5865</Words>
  <Characters>33437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BO-L1117 Anexo PME</vt:lpstr>
    </vt:vector>
  </TitlesOfParts>
  <Company>Inter-American Development Bank</Company>
  <LinksUpToDate>false</LinksUpToDate>
  <CharactersWithSpaces>39224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BO-L1117 Anexo PME</dc:title>
  <dc:creator>claudiacox</dc:creator>
  <cp:keywords/>
  <cp:lastModifiedBy>Vanegas Rico, Wilkferg</cp:lastModifiedBy>
  <cp:revision>105</cp:revision>
  <cp:lastPrinted>2016-05-09T21:04:00Z</cp:lastPrinted>
  <dcterms:created xsi:type="dcterms:W3CDTF">2018-04-09T16:15:00Z</dcterms:created>
  <dcterms:modified xsi:type="dcterms:W3CDTF">2018-09-12T16:18:00Z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0x010100ACF722E9F6B0B149B0CD8BE2560A667200EAD6073BCC504443AE1A08D5FD7C6828</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124;#ENERGY EFFICIENCY AND RENEWABLE ENERGY IN END USE|ab88142a-aa14-42df-80f4-969425d6f976</vt:lpwstr>
  </property>
  <property fmtid="{D5CDD505-2E9C-101B-9397-08002B2CF9AE}" pid="8" name="Country">
    <vt:lpwstr>26;#Bolivia|6445a937-aea4-4907-9f24-bff96a7c61c8</vt:lpwstr>
  </property>
  <property fmtid="{D5CDD505-2E9C-101B-9397-08002B2CF9AE}" pid="9" name="Fund IDB">
    <vt:lpwstr>29;#BLD|60acb4c1-0ef3-40ba-9d70-f741cd9e6c23</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35;#ENERGY|4fed196a-cd0b-4970-87de-42da17f9b203</vt:lpwstr>
  </property>
  <property fmtid="{D5CDD505-2E9C-101B-9397-08002B2CF9AE}" pid="14" name="Function Operations IDB">
    <vt:lpwstr>10;#IDBDocs|cca77002-e150-4b2d-ab1f-1d7a7cdcae16</vt:lpwstr>
  </property>
  <property fmtid="{D5CDD505-2E9C-101B-9397-08002B2CF9AE}" pid="15" name="_dlc_DocIdItemGuid">
    <vt:lpwstr>974d7e3b-b7f4-4469-9b00-741253f4ca04</vt:lpwstr>
  </property>
  <property fmtid="{D5CDD505-2E9C-101B-9397-08002B2CF9AE}" pid="17" name="RecordStorageActiveId">
    <vt:lpwstr>6dd8e3f7-eea8-4b57-af84-fa4bab19b3fd</vt:lpwstr>
  </property>
  <property fmtid="{D5CDD505-2E9C-101B-9397-08002B2CF9AE}" pid="18" name="Disclosed">
    <vt:bool>true</vt:bool>
  </property>
</Properties>
</file>