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73" w:rsidRP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>BRASIL</w:t>
      </w:r>
    </w:p>
    <w:p w:rsid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</w:p>
    <w:p w:rsidR="00824973" w:rsidRP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>PROGRAMA DE RECUPERACIÓN AMBIENTAL DE BELO HORIZONTE (DRENURBS) – FASE 1</w:t>
      </w:r>
    </w:p>
    <w:p w:rsidR="00824973" w:rsidRP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>FINANCIAMIENTO SUPLEMENTARIO</w:t>
      </w:r>
    </w:p>
    <w:p w:rsid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>BR-L1335</w:t>
      </w:r>
    </w:p>
    <w:p w:rsid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</w:p>
    <w:p w:rsid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</w:p>
    <w:p w:rsid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 xml:space="preserve">Justificación para el Pedido de Excepción a la </w:t>
      </w:r>
      <w:r w:rsidR="001F26E3"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 xml:space="preserve"> </w:t>
      </w: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 xml:space="preserve">Política sobre reconocimiento de gastos, financiamiento retroactivo y adquisiciones anticipadas </w:t>
      </w:r>
    </w:p>
    <w:p w:rsidR="00824973" w:rsidRPr="00824973" w:rsidRDefault="00824973" w:rsidP="00824973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</w:pPr>
      <w:r w:rsidRPr="00824973">
        <w:rPr>
          <w:rFonts w:ascii="Times New Roman Bold" w:hAnsi="Times New Roman Bold" w:cs="Times New Roman"/>
          <w:b/>
          <w:smallCaps/>
          <w:sz w:val="24"/>
          <w:szCs w:val="24"/>
          <w:lang w:val="es-ES"/>
        </w:rPr>
        <w:t>(GN-2259-1/ OP-504)</w:t>
      </w:r>
    </w:p>
    <w:p w:rsidR="00824973" w:rsidRDefault="00824973" w:rsidP="001F26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824973" w:rsidRDefault="00824973" w:rsidP="001F26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824973" w:rsidRDefault="001F26E3" w:rsidP="00824973">
      <w:pPr>
        <w:pStyle w:val="Paragraph"/>
        <w:tabs>
          <w:tab w:val="clear" w:pos="2448"/>
        </w:tabs>
        <w:ind w:left="720" w:hanging="720"/>
        <w:rPr>
          <w:szCs w:val="24"/>
          <w:lang w:val="es-ES"/>
        </w:rPr>
      </w:pPr>
      <w:r w:rsidRPr="001F26E3">
        <w:rPr>
          <w:szCs w:val="24"/>
          <w:lang w:val="es-ES"/>
        </w:rPr>
        <w:t>El  prestatario solicitó al Banco una excepción a la Política sobre reconocimiento de gastos, financiamiento retroactivo y adquisiciones anticipadas (GN-2259-1/ OP-504), a fin de que sea reconocido a débito del financiamiento del Banco los gastos realizados por el MBH, hasta por un valor de US$18 millones</w:t>
      </w:r>
      <w:r w:rsidR="00CA3B88">
        <w:rPr>
          <w:szCs w:val="24"/>
          <w:lang w:val="es-ES"/>
        </w:rPr>
        <w:t xml:space="preserve"> (33% del Financiamiento BID)</w:t>
      </w:r>
      <w:r w:rsidRPr="001F26E3">
        <w:rPr>
          <w:szCs w:val="24"/>
          <w:lang w:val="es-ES"/>
        </w:rPr>
        <w:t>, incurridos antes de la fecha de aprobación del  Perfil del Programa (22 de mayo de 2012) y después del 1 de enero de 2011.</w:t>
      </w:r>
      <w:r w:rsidR="00824973">
        <w:rPr>
          <w:szCs w:val="24"/>
          <w:lang w:val="es-ES"/>
        </w:rPr>
        <w:t xml:space="preserve"> El Cuadro 1 muestra el desglose de los gastos que el MBH pide sean reconocidos a débito del financiamiento del Banco.</w:t>
      </w:r>
    </w:p>
    <w:p w:rsidR="00824973" w:rsidRDefault="00824973" w:rsidP="00824973">
      <w:pPr>
        <w:pStyle w:val="Paragraph"/>
        <w:tabs>
          <w:tab w:val="clear" w:pos="2448"/>
        </w:tabs>
        <w:ind w:left="720" w:hanging="720"/>
        <w:rPr>
          <w:szCs w:val="24"/>
          <w:lang w:val="es-ES"/>
        </w:rPr>
      </w:pPr>
      <w:r>
        <w:rPr>
          <w:szCs w:val="24"/>
          <w:lang w:val="es-ES"/>
        </w:rPr>
        <w:t>L</w:t>
      </w:r>
      <w:r w:rsidRPr="00824973">
        <w:rPr>
          <w:szCs w:val="24"/>
          <w:lang w:val="es-ES"/>
        </w:rPr>
        <w:t>os sobrecostos del programa original resultaran mayoritariamente de factores macroeconómicos exógenos al control del MBH. Asimismo, el MBH incurrió en costos adicionales para continuar la ejecución del programa y no perjudicar sus metas y beneficiarios.</w:t>
      </w:r>
      <w:r w:rsidR="00CA3B88">
        <w:rPr>
          <w:szCs w:val="24"/>
          <w:lang w:val="es-ES"/>
        </w:rPr>
        <w:t xml:space="preserve"> </w:t>
      </w:r>
    </w:p>
    <w:p w:rsidR="001F26E3" w:rsidRDefault="002B64BA" w:rsidP="00824973">
      <w:pPr>
        <w:pStyle w:val="Paragraph"/>
        <w:tabs>
          <w:tab w:val="clear" w:pos="2448"/>
        </w:tabs>
        <w:ind w:left="720" w:hanging="720"/>
        <w:rPr>
          <w:szCs w:val="24"/>
          <w:lang w:val="es-ES"/>
        </w:rPr>
      </w:pPr>
      <w:r w:rsidRPr="001F26E3">
        <w:rPr>
          <w:szCs w:val="24"/>
          <w:lang w:val="es-ES"/>
        </w:rPr>
        <w:t xml:space="preserve">Los gastos </w:t>
      </w:r>
      <w:r w:rsidR="00CA3B88">
        <w:rPr>
          <w:szCs w:val="24"/>
          <w:lang w:val="es-ES"/>
        </w:rPr>
        <w:t>a ser reconocidos como</w:t>
      </w:r>
      <w:r w:rsidR="00CA3B88" w:rsidRPr="001F26E3">
        <w:rPr>
          <w:szCs w:val="24"/>
          <w:lang w:val="es-ES"/>
        </w:rPr>
        <w:t xml:space="preserve"> </w:t>
      </w:r>
      <w:r w:rsidRPr="001F26E3">
        <w:rPr>
          <w:szCs w:val="24"/>
          <w:lang w:val="es-ES"/>
        </w:rPr>
        <w:t xml:space="preserve">financiamiento retroactivo fueron realizados por el MBH </w:t>
      </w:r>
      <w:r w:rsidR="00CA3B88">
        <w:rPr>
          <w:szCs w:val="24"/>
          <w:lang w:val="es-ES"/>
        </w:rPr>
        <w:t xml:space="preserve">esencialmente </w:t>
      </w:r>
      <w:r w:rsidRPr="001F26E3">
        <w:rPr>
          <w:szCs w:val="24"/>
          <w:lang w:val="es-ES"/>
        </w:rPr>
        <w:t xml:space="preserve">para la construcción de </w:t>
      </w:r>
      <w:r>
        <w:rPr>
          <w:szCs w:val="24"/>
          <w:lang w:val="es-ES"/>
        </w:rPr>
        <w:t>tres conjuntos de habitaciones,</w:t>
      </w:r>
      <w:r w:rsidRPr="001F26E3">
        <w:rPr>
          <w:szCs w:val="24"/>
          <w:lang w:val="es-ES"/>
        </w:rPr>
        <w:t xml:space="preserve"> posibilitando el  reasentamiento de aproximadamente 728 familias residentes en las áreas de ri</w:t>
      </w:r>
      <w:r>
        <w:rPr>
          <w:szCs w:val="24"/>
          <w:lang w:val="es-ES"/>
        </w:rPr>
        <w:t xml:space="preserve">esgo de </w:t>
      </w:r>
      <w:r w:rsidRPr="00824973">
        <w:rPr>
          <w:lang w:val="es-ES"/>
        </w:rPr>
        <w:t>inundaciones</w:t>
      </w:r>
      <w:r w:rsidRPr="001F26E3">
        <w:rPr>
          <w:szCs w:val="24"/>
          <w:lang w:val="es-ES"/>
        </w:rPr>
        <w:t xml:space="preserve">. Adicionalmente, el Municipio hizo inversiones para la contratación y conclusión de las obras de: (i) redes de alcantarillado en las áreas de </w:t>
      </w:r>
      <w:r w:rsidRPr="00B3752E">
        <w:rPr>
          <w:i/>
          <w:szCs w:val="24"/>
          <w:lang w:val="es-ES"/>
        </w:rPr>
        <w:t>Hosana</w:t>
      </w:r>
      <w:r w:rsidRPr="001F26E3">
        <w:rPr>
          <w:szCs w:val="24"/>
          <w:lang w:val="es-ES"/>
        </w:rPr>
        <w:t xml:space="preserve"> e </w:t>
      </w:r>
      <w:r w:rsidRPr="00B3752E">
        <w:rPr>
          <w:i/>
          <w:szCs w:val="24"/>
          <w:lang w:val="es-ES"/>
        </w:rPr>
        <w:t>Liberdade</w:t>
      </w:r>
      <w:r w:rsidR="002C7974">
        <w:rPr>
          <w:szCs w:val="24"/>
          <w:lang w:val="es-ES"/>
        </w:rPr>
        <w:t xml:space="preserve">; (ii) de </w:t>
      </w:r>
      <w:r w:rsidRPr="001F26E3">
        <w:rPr>
          <w:szCs w:val="24"/>
          <w:lang w:val="es-ES"/>
        </w:rPr>
        <w:t xml:space="preserve">contención de inundaciones; </w:t>
      </w:r>
      <w:proofErr w:type="gramStart"/>
      <w:r w:rsidRPr="001F26E3">
        <w:rPr>
          <w:szCs w:val="24"/>
          <w:lang w:val="es-ES"/>
        </w:rPr>
        <w:t>y</w:t>
      </w:r>
      <w:proofErr w:type="gramEnd"/>
      <w:r w:rsidRPr="001F26E3">
        <w:rPr>
          <w:szCs w:val="24"/>
          <w:lang w:val="es-ES"/>
        </w:rPr>
        <w:t xml:space="preserve"> (iii) </w:t>
      </w:r>
      <w:r>
        <w:rPr>
          <w:szCs w:val="24"/>
          <w:lang w:val="es-ES"/>
        </w:rPr>
        <w:t>infraestructura de uso social</w:t>
      </w:r>
      <w:r w:rsidRPr="001F26E3">
        <w:rPr>
          <w:szCs w:val="24"/>
          <w:lang w:val="es-ES"/>
        </w:rPr>
        <w:t xml:space="preserve">. Esas obras </w:t>
      </w:r>
      <w:r w:rsidR="00B3752E">
        <w:rPr>
          <w:szCs w:val="24"/>
          <w:lang w:val="es-ES"/>
        </w:rPr>
        <w:t>mejoran la calidad ambiental y de salubridad y solucionan</w:t>
      </w:r>
      <w:r w:rsidRPr="001F26E3">
        <w:rPr>
          <w:szCs w:val="24"/>
          <w:lang w:val="es-ES"/>
        </w:rPr>
        <w:t xml:space="preserve"> los problemas de inundaciones en las áreas de intervenciones</w:t>
      </w:r>
      <w:r w:rsidR="00B3752E">
        <w:rPr>
          <w:szCs w:val="24"/>
          <w:lang w:val="es-ES"/>
        </w:rPr>
        <w:t>.</w:t>
      </w:r>
      <w:r w:rsidR="00CA3B88">
        <w:rPr>
          <w:szCs w:val="24"/>
          <w:lang w:val="es-ES"/>
        </w:rPr>
        <w:t xml:space="preserve"> </w:t>
      </w:r>
    </w:p>
    <w:p w:rsidR="00CA3B88" w:rsidRPr="00824973" w:rsidRDefault="00CA3B88" w:rsidP="00824973">
      <w:pPr>
        <w:pStyle w:val="Paragraph"/>
        <w:tabs>
          <w:tab w:val="clear" w:pos="2448"/>
        </w:tabs>
        <w:ind w:left="720" w:hanging="720"/>
        <w:rPr>
          <w:szCs w:val="24"/>
          <w:lang w:val="es-ES"/>
        </w:rPr>
      </w:pPr>
      <w:r>
        <w:rPr>
          <w:szCs w:val="24"/>
          <w:lang w:val="es-ES"/>
        </w:rPr>
        <w:t>Es importante resaltar que la totalidad de los gastos que ser</w:t>
      </w:r>
      <w:r w:rsidR="002C7974">
        <w:rPr>
          <w:szCs w:val="24"/>
          <w:lang w:val="es-ES"/>
        </w:rPr>
        <w:t>í</w:t>
      </w:r>
      <w:r>
        <w:rPr>
          <w:szCs w:val="24"/>
          <w:lang w:val="es-ES"/>
        </w:rPr>
        <w:t xml:space="preserve">an reconocidos como financiamiento retroactivo corresponden a procesos contractuales realizados en el marco del Programa original, </w:t>
      </w:r>
      <w:r w:rsidR="004A7D92">
        <w:rPr>
          <w:szCs w:val="24"/>
          <w:lang w:val="es-ES"/>
        </w:rPr>
        <w:t>en conformidad con las políticas de adquisiciones del Banco</w:t>
      </w:r>
      <w:r w:rsidR="00864E4B">
        <w:rPr>
          <w:szCs w:val="24"/>
          <w:lang w:val="es-ES"/>
        </w:rPr>
        <w:t>.</w:t>
      </w:r>
      <w:r w:rsidR="004A7D92">
        <w:rPr>
          <w:szCs w:val="24"/>
          <w:lang w:val="es-ES"/>
        </w:rPr>
        <w:t xml:space="preserve">   </w:t>
      </w:r>
    </w:p>
    <w:p w:rsidR="001F26E3" w:rsidRPr="00824973" w:rsidRDefault="001F26E3" w:rsidP="00824973">
      <w:pPr>
        <w:pStyle w:val="Paragraph"/>
        <w:tabs>
          <w:tab w:val="clear" w:pos="2448"/>
        </w:tabs>
        <w:ind w:left="720" w:hanging="720"/>
        <w:rPr>
          <w:szCs w:val="24"/>
          <w:lang w:val="es-ES"/>
        </w:rPr>
      </w:pPr>
      <w:r w:rsidRPr="00824973">
        <w:rPr>
          <w:szCs w:val="24"/>
          <w:lang w:val="es-ES"/>
        </w:rPr>
        <w:t>La solicitud se justifica tomado en</w:t>
      </w:r>
      <w:r w:rsidR="002C7974">
        <w:rPr>
          <w:szCs w:val="24"/>
          <w:lang w:val="es-ES"/>
        </w:rPr>
        <w:t xml:space="preserve"> consideración el esfuerzo que </w:t>
      </w:r>
      <w:r w:rsidRPr="00824973">
        <w:rPr>
          <w:szCs w:val="24"/>
          <w:lang w:val="es-ES"/>
        </w:rPr>
        <w:t xml:space="preserve">el MBH viene realizando para dar continuidad a la ejecución del DRENURBS 1ª Fase, debido a la imposibilidad de parar la </w:t>
      </w:r>
      <w:r w:rsidRPr="00824973">
        <w:rPr>
          <w:lang w:val="es-ES"/>
        </w:rPr>
        <w:t>ejecución</w:t>
      </w:r>
      <w:r w:rsidRPr="00824973">
        <w:rPr>
          <w:szCs w:val="24"/>
          <w:lang w:val="es-ES"/>
        </w:rPr>
        <w:t xml:space="preserve"> de la obras en la cuenca del Buensucesso debido a: </w:t>
      </w:r>
      <w:r w:rsidR="002C7974">
        <w:rPr>
          <w:szCs w:val="24"/>
          <w:lang w:val="es-ES"/>
        </w:rPr>
        <w:br/>
      </w:r>
      <w:r w:rsidRPr="00824973">
        <w:rPr>
          <w:szCs w:val="24"/>
          <w:lang w:val="es-ES"/>
        </w:rPr>
        <w:t>1) los compromisos asumidos con los beneficiarios; 2) los riesgos de insalubridad y de inundaciones a los que estarían expuestos los beneficiarios; 3) la posibilidad de perder tod</w:t>
      </w:r>
      <w:r w:rsidR="002B64BA" w:rsidRPr="00824973">
        <w:rPr>
          <w:szCs w:val="24"/>
          <w:lang w:val="es-ES"/>
        </w:rPr>
        <w:t>a</w:t>
      </w:r>
      <w:r w:rsidRPr="00824973">
        <w:rPr>
          <w:szCs w:val="24"/>
          <w:lang w:val="es-ES"/>
        </w:rPr>
        <w:t xml:space="preserve"> la infraestructura ya construida ante inundaciones; 4) el riesgo de reocupación de </w:t>
      </w:r>
      <w:r w:rsidR="002C7974">
        <w:rPr>
          <w:szCs w:val="24"/>
          <w:lang w:val="es-ES"/>
        </w:rPr>
        <w:t xml:space="preserve">las zonas saneadas, 5) </w:t>
      </w:r>
      <w:r w:rsidRPr="00824973">
        <w:rPr>
          <w:szCs w:val="24"/>
          <w:lang w:val="es-ES"/>
        </w:rPr>
        <w:t xml:space="preserve">el riesgo que presenta aguas debajo de la cuenca el colapso de la infraestructura no terminada;  6) el riesgo ambiental que presenta la no continuidad de las acciones, teniendo en cuenta que la cuenca del </w:t>
      </w:r>
      <w:r w:rsidRPr="00824973">
        <w:rPr>
          <w:i/>
          <w:szCs w:val="24"/>
          <w:lang w:val="es-ES"/>
        </w:rPr>
        <w:t>B</w:t>
      </w:r>
      <w:r w:rsidR="002B64BA" w:rsidRPr="00824973">
        <w:rPr>
          <w:i/>
          <w:szCs w:val="24"/>
          <w:lang w:val="es-ES"/>
        </w:rPr>
        <w:t>o</w:t>
      </w:r>
      <w:r w:rsidRPr="00824973">
        <w:rPr>
          <w:i/>
          <w:szCs w:val="24"/>
          <w:lang w:val="es-ES"/>
        </w:rPr>
        <w:t>nsucesso</w:t>
      </w:r>
      <w:r w:rsidRPr="00824973">
        <w:rPr>
          <w:szCs w:val="24"/>
          <w:lang w:val="es-ES"/>
        </w:rPr>
        <w:t xml:space="preserve"> presenta áreas verdes de </w:t>
      </w:r>
      <w:r w:rsidRPr="00824973">
        <w:rPr>
          <w:szCs w:val="24"/>
          <w:lang w:val="es-ES"/>
        </w:rPr>
        <w:lastRenderedPageBreak/>
        <w:t>significativa relevancia ambiental para el MBH</w:t>
      </w:r>
      <w:r w:rsidR="004A5A57">
        <w:rPr>
          <w:szCs w:val="24"/>
          <w:lang w:val="es-ES"/>
        </w:rPr>
        <w:t>; y 7) los costos asociados con la terminación de contratos en ejecución, los contratos correspondientes son resultados de procesos contractuales realizados en los años 2007-2008</w:t>
      </w:r>
      <w:r w:rsidRPr="00824973">
        <w:rPr>
          <w:szCs w:val="24"/>
          <w:lang w:val="es-ES"/>
        </w:rPr>
        <w:t>.</w:t>
      </w:r>
    </w:p>
    <w:p w:rsidR="00824973" w:rsidRDefault="00824973" w:rsidP="00824973">
      <w:pPr>
        <w:pStyle w:val="Paragraph"/>
        <w:tabs>
          <w:tab w:val="clear" w:pos="2448"/>
        </w:tabs>
        <w:ind w:left="720" w:hanging="720"/>
        <w:rPr>
          <w:lang w:val="es-ES"/>
        </w:rPr>
      </w:pPr>
      <w:r w:rsidRPr="00824973">
        <w:rPr>
          <w:lang w:val="es-ES"/>
        </w:rPr>
        <w:t>Cabe aclarar que el MBH presentó solicitud para la contratación del financiamiento suplementar</w:t>
      </w:r>
      <w:r w:rsidR="002C7974">
        <w:rPr>
          <w:lang w:val="es-ES"/>
        </w:rPr>
        <w:t>io a la Secretarí</w:t>
      </w:r>
      <w:r w:rsidRPr="00824973">
        <w:rPr>
          <w:lang w:val="es-ES"/>
        </w:rPr>
        <w:t>a de Asuntos Internacionales (SEAIN) del Ministerio de Planif</w:t>
      </w:r>
      <w:r w:rsidR="002C7974">
        <w:rPr>
          <w:lang w:val="es-ES"/>
        </w:rPr>
        <w:t xml:space="preserve">icación del Gobierno Brasileño </w:t>
      </w:r>
      <w:r w:rsidRPr="00824973">
        <w:rPr>
          <w:lang w:val="es-ES"/>
        </w:rPr>
        <w:t xml:space="preserve">en Noviembre de 2010, pues el Municipio ya estaba invirtiendo  recursos adicionales a la contrapartida local para la ejecución </w:t>
      </w:r>
      <w:r w:rsidR="002C7974">
        <w:rPr>
          <w:lang w:val="es-ES"/>
        </w:rPr>
        <w:t xml:space="preserve">del DRENURBS 1ª Fase. Pero, la </w:t>
      </w:r>
      <w:r w:rsidRPr="00824973">
        <w:rPr>
          <w:lang w:val="es-ES"/>
        </w:rPr>
        <w:t>solicitud del MBH solamente fue aprobada por el Gobierno Brasileño en 17/06/2011 y la operación de financiamiento suplementar</w:t>
      </w:r>
      <w:r w:rsidR="002C7974">
        <w:rPr>
          <w:lang w:val="es-ES"/>
        </w:rPr>
        <w:t>io</w:t>
      </w:r>
      <w:r w:rsidRPr="00824973">
        <w:rPr>
          <w:lang w:val="es-ES"/>
        </w:rPr>
        <w:t xml:space="preserve"> fue declarada elegible por el Banco en 22/05/2012, razón por la cual el MBH tiene que solicitar una excepción al plazo para financiamiento retroactivo mencionado en la </w:t>
      </w:r>
      <w:r w:rsidR="002C7974">
        <w:rPr>
          <w:lang w:val="es-ES"/>
        </w:rPr>
        <w:br/>
      </w:r>
      <w:r w:rsidRPr="00824973">
        <w:rPr>
          <w:lang w:val="es-ES"/>
        </w:rPr>
        <w:t xml:space="preserve">GN-2259-1, que prevé hasta 18 meses.  </w:t>
      </w:r>
    </w:p>
    <w:p w:rsidR="00C64A1A" w:rsidRPr="00824973" w:rsidRDefault="00C64A1A" w:rsidP="00824973">
      <w:pPr>
        <w:pStyle w:val="Paragraph"/>
        <w:tabs>
          <w:tab w:val="clear" w:pos="2448"/>
        </w:tabs>
        <w:ind w:left="720" w:hanging="720"/>
        <w:rPr>
          <w:lang w:val="es-ES"/>
        </w:rPr>
      </w:pPr>
      <w:r>
        <w:rPr>
          <w:lang w:val="es-ES"/>
        </w:rPr>
        <w:t>En este sentido, la excepción a la Política de Financiamiento Retroactivo se justifica por el tipo de instrumento de financiamiento: el Financiamiento Suplementar</w:t>
      </w:r>
      <w:r w:rsidR="002C7974">
        <w:rPr>
          <w:lang w:val="es-ES"/>
        </w:rPr>
        <w:t>io</w:t>
      </w:r>
      <w:r w:rsidR="003C1C2C">
        <w:rPr>
          <w:lang w:val="es-ES"/>
        </w:rPr>
        <w:t>,</w:t>
      </w:r>
      <w:r>
        <w:rPr>
          <w:lang w:val="es-ES"/>
        </w:rPr>
        <w:t xml:space="preserve"> que supone una continuidad de acciones</w:t>
      </w:r>
      <w:r w:rsidR="003C1C2C">
        <w:rPr>
          <w:lang w:val="es-ES"/>
        </w:rPr>
        <w:t xml:space="preserve"> que permite</w:t>
      </w:r>
      <w:r>
        <w:rPr>
          <w:lang w:val="es-ES"/>
        </w:rPr>
        <w:t xml:space="preserve"> liberarse de la preocupación que embaza la Política OP-504</w:t>
      </w:r>
      <w:r w:rsidR="003C1C2C">
        <w:rPr>
          <w:lang w:val="es-ES"/>
        </w:rPr>
        <w:t>,</w:t>
      </w:r>
      <w:r>
        <w:rPr>
          <w:lang w:val="es-ES"/>
        </w:rPr>
        <w:t xml:space="preserve"> que es de evitar que fondos</w:t>
      </w:r>
      <w:r w:rsidR="003C1C2C">
        <w:rPr>
          <w:lang w:val="es-ES"/>
        </w:rPr>
        <w:t xml:space="preserve"> del B</w:t>
      </w:r>
      <w:r w:rsidR="002C7974">
        <w:rPr>
          <w:lang w:val="es-ES"/>
        </w:rPr>
        <w:t>anco cubra</w:t>
      </w:r>
      <w:r>
        <w:rPr>
          <w:lang w:val="es-ES"/>
        </w:rPr>
        <w:t xml:space="preserve">n inversiones </w:t>
      </w:r>
      <w:r w:rsidR="003C1C2C">
        <w:rPr>
          <w:lang w:val="es-ES"/>
        </w:rPr>
        <w:t>planificadas y ejecutadas</w:t>
      </w:r>
      <w:r>
        <w:rPr>
          <w:lang w:val="es-ES"/>
        </w:rPr>
        <w:t xml:space="preserve"> sin </w:t>
      </w:r>
      <w:r w:rsidR="003C1C2C">
        <w:rPr>
          <w:lang w:val="es-ES"/>
        </w:rPr>
        <w:t>revisión y control del Banco, tanto a los niveles técnicos, como fiduciarios.</w:t>
      </w:r>
      <w:r>
        <w:rPr>
          <w:lang w:val="es-ES"/>
        </w:rPr>
        <w:t xml:space="preserve">  </w:t>
      </w:r>
    </w:p>
    <w:p w:rsidR="00824973" w:rsidRPr="00824973" w:rsidRDefault="00824973" w:rsidP="00824973">
      <w:pPr>
        <w:pStyle w:val="Paragraph"/>
        <w:tabs>
          <w:tab w:val="clear" w:pos="2448"/>
        </w:tabs>
        <w:ind w:left="720" w:hanging="720"/>
        <w:rPr>
          <w:lang w:val="es-ES"/>
        </w:rPr>
      </w:pPr>
      <w:r w:rsidRPr="00824973">
        <w:rPr>
          <w:lang w:val="es-ES"/>
        </w:rPr>
        <w:t xml:space="preserve">Además, el MBH está realizando inversiones considerables para las obras y servicios referentes al Mundial de Futbol de 2014, lo que puede limitar su flujo de recursos para los próximos dos años y, por consiguiente, el financiamiento retroactivo de los US$18 millones es importante para que el MBH pueda cumplir los compromisos para la Copa de 2014. </w:t>
      </w:r>
    </w:p>
    <w:p w:rsidR="00824973" w:rsidRPr="00824973" w:rsidRDefault="00824973" w:rsidP="00824973">
      <w:pPr>
        <w:pStyle w:val="Paragraph"/>
        <w:tabs>
          <w:tab w:val="clear" w:pos="2448"/>
        </w:tabs>
        <w:ind w:left="720" w:hanging="720"/>
        <w:rPr>
          <w:lang w:val="es-ES"/>
        </w:rPr>
      </w:pPr>
      <w:r w:rsidRPr="00824973">
        <w:rPr>
          <w:lang w:val="es-ES"/>
        </w:rPr>
        <w:t xml:space="preserve">Con base en lo expuesto, el Municipio no puede ser perjudicado por sus acciones realizadas de forma diligente y tempestiva para la ejecución y continuidad de las intervenciones del programa original. En este sentido, la continuidad de la ejecución de las acciones en la cuenca del </w:t>
      </w:r>
      <w:r w:rsidRPr="00824973">
        <w:rPr>
          <w:i/>
          <w:lang w:val="es-ES"/>
        </w:rPr>
        <w:t xml:space="preserve">Buensucesso </w:t>
      </w:r>
      <w:r w:rsidRPr="00824973">
        <w:rPr>
          <w:lang w:val="es-ES"/>
        </w:rPr>
        <w:t>fue fundamental para garantizar la continua ejecución del programa DRENURBS 1ª Fase, a fin de implementar el incremento: (i) de la calidad de vida de la población carente que vive en las áreas de intervención y está expues</w:t>
      </w:r>
      <w:r w:rsidR="002C7974">
        <w:rPr>
          <w:lang w:val="es-ES"/>
        </w:rPr>
        <w:t>ta a los riesgos de inundación e</w:t>
      </w:r>
      <w:r w:rsidRPr="00824973">
        <w:rPr>
          <w:lang w:val="es-ES"/>
        </w:rPr>
        <w:t xml:space="preserve"> insalubridad; y (ii) de  las condiciones ambientales y sanitarias del MBH.  </w:t>
      </w:r>
    </w:p>
    <w:p w:rsidR="00824973" w:rsidRDefault="00824973" w:rsidP="00824973">
      <w:pPr>
        <w:pStyle w:val="Paragraph"/>
        <w:tabs>
          <w:tab w:val="clear" w:pos="2448"/>
        </w:tabs>
        <w:ind w:left="720" w:hanging="720"/>
        <w:rPr>
          <w:lang w:val="es-ES"/>
        </w:rPr>
        <w:sectPr w:rsidR="0082497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24973">
        <w:rPr>
          <w:szCs w:val="24"/>
          <w:lang w:val="es-ES"/>
        </w:rPr>
        <w:t xml:space="preserve">Adicionalmente, el MBH ha solicitado </w:t>
      </w:r>
      <w:r w:rsidRPr="00824973">
        <w:rPr>
          <w:lang w:val="es-ES"/>
        </w:rPr>
        <w:t>al Banco que se reconozcan como contrapartida local del programa los gastos</w:t>
      </w:r>
      <w:r w:rsidRPr="00226401">
        <w:rPr>
          <w:lang w:val="es-ES"/>
        </w:rPr>
        <w:t xml:space="preserve"> incurridos por un valor de US$15 millones, que corresponden a obras y proyectos elegibles de la operación</w:t>
      </w:r>
      <w:r w:rsidRPr="00861CAE">
        <w:rPr>
          <w:lang w:val="es-ES"/>
        </w:rPr>
        <w:t xml:space="preserve">. Únicamente serán reconocidos retroactivamente los gastos de contrapartida local realizados </w:t>
      </w:r>
      <w:r w:rsidRPr="006371BF">
        <w:rPr>
          <w:lang w:val="es-ES"/>
        </w:rPr>
        <w:t>posteriores a la fecha de aprobación del Perfil del programa (22/05/2012). La contratación de los mismos siguieron las normas establecidas en la legislación local y serán reconocidas en la medida en que cumplan con lo dispuesto por las políticas de adquisiciones del Banco (Documentos GN-2349-9 y GN-2350-9). Estas actividades son consistentes con las disposiciones de la política que regula los gastos retroactivos (GN-2259-1 y OP-504).</w:t>
      </w:r>
    </w:p>
    <w:tbl>
      <w:tblPr>
        <w:tblW w:w="21441" w:type="dxa"/>
        <w:tblInd w:w="93" w:type="dxa"/>
        <w:tblLook w:val="04A0" w:firstRow="1" w:lastRow="0" w:firstColumn="1" w:lastColumn="0" w:noHBand="0" w:noVBand="1"/>
      </w:tblPr>
      <w:tblGrid>
        <w:gridCol w:w="456"/>
        <w:gridCol w:w="2489"/>
        <w:gridCol w:w="2397"/>
        <w:gridCol w:w="926"/>
        <w:gridCol w:w="972"/>
        <w:gridCol w:w="796"/>
        <w:gridCol w:w="1772"/>
        <w:gridCol w:w="1128"/>
        <w:gridCol w:w="1366"/>
        <w:gridCol w:w="1743"/>
        <w:gridCol w:w="1266"/>
        <w:gridCol w:w="1266"/>
        <w:gridCol w:w="1076"/>
        <w:gridCol w:w="1366"/>
        <w:gridCol w:w="1266"/>
        <w:gridCol w:w="1156"/>
      </w:tblGrid>
      <w:tr w:rsidR="00824973" w:rsidRPr="00BE51DE" w:rsidTr="00BE51DE">
        <w:trPr>
          <w:trHeight w:val="1080"/>
        </w:trPr>
        <w:tc>
          <w:tcPr>
            <w:tcW w:w="214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824973" w:rsidRPr="0099613D" w:rsidRDefault="00824973" w:rsidP="000F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</w:pPr>
            <w:bookmarkStart w:id="0" w:name="RANGE!A1:P38"/>
            <w:r w:rsidRPr="009961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lastRenderedPageBreak/>
              <w:t>PROGRAMA DE RECUPERA</w:t>
            </w:r>
            <w:r w:rsidR="000F30EF" w:rsidRPr="009961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CIÓN</w:t>
            </w:r>
            <w:r w:rsidRPr="009961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 xml:space="preserve"> AMBIENTAL DE BELO HORIZONTE - DRENURBS SUPLEMENTAR - BR-L1335</w:t>
            </w:r>
            <w:bookmarkEnd w:id="0"/>
          </w:p>
          <w:p w:rsidR="000F30EF" w:rsidRPr="000F30EF" w:rsidRDefault="000F30EF" w:rsidP="000F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lang w:val="es-ES"/>
              </w:rPr>
            </w:pPr>
            <w:r w:rsidRPr="000F30EF">
              <w:rPr>
                <w:rFonts w:ascii="Times New Roman" w:hAnsi="Times New Roman" w:cs="Times New Roman"/>
                <w:b/>
                <w:smallCaps/>
                <w:lang w:val="es-ES"/>
              </w:rPr>
              <w:t>desglose de los gastos que el MBH pide sean reconocidos a débito del financiamiento del Banco</w:t>
            </w:r>
          </w:p>
        </w:tc>
      </w:tr>
      <w:tr w:rsidR="00824973" w:rsidRPr="000F30EF" w:rsidTr="00BE51DE">
        <w:trPr>
          <w:trHeight w:val="971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Componente / Subcomponente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Objeto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Licitação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Contrato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PRISM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Fornecedor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Data Assinatura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Valor Contratado (R$)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Nota Fiscal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Valor Faturado (R$)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Valor Pago (R$)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Data do Pagamento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Taxa de Câmbio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Valor Pago (US$)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Justificativa</w:t>
            </w: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5,325,663.86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00000349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101,140.45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97,745.15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1.6693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58,554.57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5,325,663.86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00000349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101,140.45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2,022.80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1.6693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1,211.77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5,325,663.86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00000349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101,140.45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1,372.50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1.6693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822.20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5,325,663.86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00000271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100,199.30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96,822.82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1.6835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57,512.81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5,325,663.86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00000271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100,199.30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2,003.98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1.6835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1,190.37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00000271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100,199.30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1,372.50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1.6835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815.27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91,500.08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1,830.00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24/01/11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1.6723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1,094.30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91,500.08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1,372.50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1.6723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820.73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91,500.08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88,297.58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1.6723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52,800.08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00000601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133,286.76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128,720.85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80,144.98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00000601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133,286.76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2,665.73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1,659.75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00000601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133,286.76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1,900.18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1,183.10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00000550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156,415.58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151,102.29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94,080.25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00000550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156,415.58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3,128.31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1,947.77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00000550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156,415.58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2,184.98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1,360.43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00000479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108,233.48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104,570.59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65,108.39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00000479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108,233.48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2,164.66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1,347.77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00000479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108,233.48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1,498.24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932.84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5,754.27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5,639.19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3,481.20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5,754.27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115.08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71.04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135,188.93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2,703.77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07/07/11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1,736.19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135,188.93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1,916.30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07/07/11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1,230.53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135,188.93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130,568.86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07/07/11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83,843.10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118,406.65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1,848.55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1,181.33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118,406.65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2,368.13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1,513.38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118,406.65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114,189.97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72,974.16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135,616.38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1,896.96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1,212.27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5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135,616.38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2,712.32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1,733.33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135,616.38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131,007.10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83,721.31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3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</w:t>
            </w: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lastRenderedPageBreak/>
              <w:t>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113,462.98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2,269.25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1,295.97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3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113,462.98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1,572.40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898.00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3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113,462.98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109,621.33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62,604.99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3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39,138.76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782.77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447.04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3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39,138.76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430.45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245.83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Unidade Exexutora/Supervisão de Obras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Prestação de serviços técnicos especializados de supervisão, apoio técnico e controle tecnológico de obras de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SDP-099/06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SC-084/2008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Tecnosolo - Engenharia e Tecnologia de Solos e Materiais S.A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3/14/2008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5,325,663.86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39,138.76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37,925.54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21,659.36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642"/>
        </w:trPr>
        <w:tc>
          <w:tcPr>
            <w:tcW w:w="16577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– Componente 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762,436.41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32,789.07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459.04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1.6737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274.27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5,817.65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1.6516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5,817.65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80,642.72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80,642.72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33.05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5,853.91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81.95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51.60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5,853.91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4,542.64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2,860.24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10,634.40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148.88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91.91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10,634.40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8,252.30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5,094.33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6,726.19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48.04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1.6159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29.73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6,726.19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2,315.64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1,432.86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1,620.31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552.89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347.69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1,620.31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16.52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10.39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2,561.47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51.22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32.28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2,561.47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1,741.81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1,097.62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345,198.43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20,748.89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1.6765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12,376.31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345,198.43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419.43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1.6765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250.18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2,847,064.94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20,744.95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12,427.33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2,847,064.94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423.37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253.62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20,744.96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12,427.34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423.36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253.62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2,219,507.70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29,659.87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17,777.43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2,219,507.70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1,428,263.22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856,067.62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2,610,769.04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875.36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524.67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2,610,769.04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45,061.25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27,008.66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5,796,674.69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592.03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354.85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5,796,674.69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29,242.04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17,527.00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2,797,656.19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26,324.89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15,778.52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2,797,656.19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1,290,870.12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773,717.41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2,847,064.94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1,318.12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836.69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2,847,064.94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30,407.99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19,301.76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423.40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268.03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9,738.20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6,164.59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511,615.12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37,192.19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23,417.83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149,840.22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3,350.96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2,109.91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511,615.12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1,617.05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1,009.27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149,840.22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145.69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90.93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511,615.12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389.49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244.03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1,404,173.40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8,568.84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5,368.61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Devolução da retenção, conforme cláusula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48.1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613,752.88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613,752.88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1.8283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335,695.94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Devolução da retenção, conforme cláusula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48.1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38,355.56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38,355.56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1.8283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20,978.81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15,644.71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9,063.09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1,092.50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632.89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Diretos/Drenagem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37,888.18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21,948.89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642"/>
        </w:trPr>
        <w:tc>
          <w:tcPr>
            <w:tcW w:w="16577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– Componente 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2,205,223.38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49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307,486.19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184,200.68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6,486.76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3,885.92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2,219,507.70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202,343.47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121,279.95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2,610,769.04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44,927.79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26,928.67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2,610,769.04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199,527.67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119,592.23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5,796,674.69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84,872.88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50,870.82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5,796,674.69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4,193,037.81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2,513,208.95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2,797,656.19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17,560.95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10,525.62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2,797,656.19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917,073.06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549,672.18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5017DB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2,847,064.94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48,600.86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5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30,849.85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2,847,064.94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1,045,521.72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663,654.79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43,755.44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27,698.58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511,615.12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182,802.32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115,100.31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511,615.12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8,615.25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5,377.14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149,840.22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2,851.11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1,779.50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511,615.12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2,075.12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1,300.12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1,404,173.40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41,955.74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26,286.41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25,070.92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501.42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315.32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25,070.92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120.77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75.95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6,791.72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3,934.49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216,163.67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125,225.16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2,101,453.86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41,631.88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1.7642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23,598.16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2,101,453.86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1,976,918.75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1.7642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1,120,575.19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1,404,173.40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28,083.47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15,214.80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Custos Diretos/Recuperação e Proteção de Área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78,062,210.39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1,404,173.40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1,333,964.73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722,702.75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642"/>
        </w:trPr>
        <w:tc>
          <w:tcPr>
            <w:tcW w:w="16577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– Componente 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6,463,853.54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101,446.00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97,895.39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58,827.83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101,446.00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2,028.92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1,219.23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101,446.00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1,521.69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915.41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43,410.00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41,890.65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26,015.81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43,410.00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868.20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539.19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43,410.00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651.15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404.39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88,706.00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1,330.59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826.35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88,706.00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1,774.12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1,101.80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88,706.00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85,601.29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53,161.90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88,386.00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1,325.79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823.37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88,386.00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1,767.72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1,097.83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4,182,943.57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88,386.00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85,292.49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52,970.12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61,554.82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923.32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573.42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61,554.82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1,231.09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764.56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61,554.82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59,400.41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36,890.08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126,520.17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1,897.80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1,178.61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126,520.17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2,530.40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1,571.48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126,520.17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122,091.97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75,824.10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103,616.26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1,554.24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965.25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103,616.26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2,072.32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1,287.00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103,616.26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99,989.70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62,097.69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54,036.91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810.55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503.38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54,036.91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1,080.73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671.18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54,036.91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52,145.63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32,384.57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17,198.68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16,596.73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10,481.70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17,198.68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257.98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162.93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17,198.68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343.97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217.24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17,260.95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16,656.83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10,519.66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17,260.95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258.91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163.52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17,260.95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345.21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218.02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8,446.98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8,151.35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5,148.00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8,446.98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168.93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106.69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000566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8,446.98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126.70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80.02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185,424.35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2,781.37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1,769.99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185,424.35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3,708.48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2,359.98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185,424.35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178,934.51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113,869.49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97,398.18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1,947.96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1,205.35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97,398.18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1,460.97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904.01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97,398.18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93,989.25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58,158.07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19,739.97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394.79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248.76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19,739.97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296.10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186.58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19,739.97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19,049.08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12,003.20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00002592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116,965.50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1,754.48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1,105.53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00002592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116,965.50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2,339.31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1,474.05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00002592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116,965.50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112,871.71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71,122.69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84,956.57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1,699.13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1,085.84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84,956.57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1,274.35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814.39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84,956.57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81,983.09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52,392.06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56,270.35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1,142.55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730.16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Implantação e monitoramento do PDR nas Sub-bacias do Bonsucesso, Engenho Nogueira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Piedade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 -021/06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SC-225/2007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COBRAPE - Cia. Brasileira de Projetos e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Empreendimentos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11/27/2007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4,182,943.57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56,270.35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55,127.80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35,229.93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05/50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403,961.85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5,963.71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3,574.51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05/50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103,766.71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1,371.23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821.88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462,379.56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8,163.83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4,893.21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232,977.58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3,763.63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2,255.83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343,510.66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3,570.70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2,140.19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184,131.37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2,704.43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1,620.97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232,977.58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138,408.89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82,959.06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403,961.85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240,349.33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144,059.78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462,379.56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273,817.95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164,120.09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103,766.71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61,879.92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37,089.38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343,510.66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205,866.18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123,391.38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184,131.37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162,592.01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97,453.85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7,548.95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7,252.68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1.6585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4,373.04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7,548.95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69.80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1.6584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42.09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24,104.67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69.16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24,104.67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23,312.37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14,797.75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10,381.40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28.62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18.17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10,381.40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10,041.34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6,373.84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57,384.18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159.75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101.40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57,384.18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55,502.90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35,230.99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Devolução da retenção, conforme cláusula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48.1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161,681.58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161,681.58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1.5337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105,419.30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970,752.16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19,415.04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12,110.18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970,752.16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951,337.12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593,398.90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</w:rPr>
              <w:t>Custos Diretos/Reassentamento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Construção de Unidades Habitacionais na Sub-Bacia do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LI-248/07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SC-181/2008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Residencial Bonsucesso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4/25/2008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29,972,485.03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Devolução da retenção, conforme cláusula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48.1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161,681.58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479,101.17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1.8721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255,916.44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642"/>
        </w:trPr>
        <w:tc>
          <w:tcPr>
            <w:tcW w:w="16577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– Componente 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2,486,578.54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28,568.47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6,583.91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3,944.11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28,568.47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4,177.99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2,502.84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28,568.47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246.71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147.79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2010346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28,568.47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153.24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91.80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5,817.65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5,549.78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1.6537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3,355.98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5,817.65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81.20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1.6538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49.10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80,642.72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7,587.39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4,828.43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80,642.72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1,053.45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670.39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80,642.72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64,168.09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40,834.98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19,671,481.11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6,726.19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6,726.19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250.89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155.24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1,620.31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60.04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37.76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da Sub-Bacia do Engenho Nogueira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LI-250/07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SC-158/2008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A6144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Vilasa Construtora Ltda.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4/10/2008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19,671,481.11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2011206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1,620.31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2,219,507.70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3,282.76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1,967.61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2,219,507.70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165,448.01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99,165.67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5,796,674.69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28,299.41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16,962.01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5,796,674.69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1,398,093.79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837,984.77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2,797,656.19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6,986.81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4,187.73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000047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2,797,656.19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364,887.05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218,704.78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11/04/11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2,554,455.29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4.38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149,840.22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149,840.22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1.7317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Diretos/Coletores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Interceptores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Obras da Sub-Bacia do Córrego Bonsucesso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LI-249/07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SC-180/2008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A8427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Consórcio Galvão/Carioca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4/22/2008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78,062,210.39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201117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491,834.05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104.77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60.69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642"/>
        </w:trPr>
        <w:tc>
          <w:tcPr>
            <w:tcW w:w="16577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– Componente 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1,235,659.01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CELSO VITOR DE LIMA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10783.38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10,783.38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1.6548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6,516.42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EDMAR ANTONIO DA SILVA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06/01/11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1.6849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11,870.14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IBI IMOBILIARIA BRASIL ITALIA LTDA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901.39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9247.8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9,247.80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16/03/11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1.6666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5,548.90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ERLENE RODRIGUES DA SILVA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21103.81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21,103.81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13,444.49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ADRIANA NUNES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15723.64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15,723.64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29/04/11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9,999.14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LINDALVA DE OLIVEIRA PIRES LIRA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235,000.00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145,935.54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LUIZ GOMES DE LIRA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235000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235,000.00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145,935.54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DO I OFICIO DE NOTAS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1221.44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1,221.44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12/05/11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1.6199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754.02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DO I OFICIO DE NOTAS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9202.68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9,202.68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5,681.02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DO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6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. OFICIO REG.IMOVEIS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140.87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140.87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1.6320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86.32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GERALDO JOSE FERREIRA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5,500.00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3,404.10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ESTER VIEIRA DA SILVA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50124.27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50,124.27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31,015.57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CASSIA APARECIDA SILVA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19773.31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19,773.31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12,235.20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VANTUIL FALCAO DE MOURA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4611.58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4,611.58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1.6331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2,823.82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TRATORK MÁQUINAS E EQUIPAMENTOS LTDA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5700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5,700.00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23/05/11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1.6331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3,490.29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ROSEMAR BARBOSA LOMBARDI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14916.15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14,916.15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1.6289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9,157.19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DAVID FRANCISCO COSTA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10306.53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10,306.53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25/05/11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1.6289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6,327.29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ALVES DOS SANTOS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11281.19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11,281.19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7,108.50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ALVES DOS SANTOS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23734.89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23,734.89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14,955.82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DAS GRASSAS FERREIRA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3268.71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3,268.71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2,059.68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OMAR TORQUATO MACIEL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1340.35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1,340.35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848.22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CLAUDIOMAR CAETANO MACIEL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2439.77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2,439.77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06/06/11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1,543.96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IZAQUE MUNIZ PEREIRA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4066.1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4,066.10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2,573.16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RICARDO CANABRAVA OLIVEIRA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495750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495,750.00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312,401.54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THOMAS HENRIQUE VILACA CORREIA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5095.56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5,095.56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3,194.31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AUXILIADORA MARIA DE CARVALHO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3158.83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3,158.83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1,962.01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THEREZINHA MARTINS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18,784.05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MARILEIA CHAVES MELO DE SOUZA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18,784.05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1813.31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1,813.31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20/06/11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1,136.09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CAMILA CAUS MOREIRA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4359.3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4,359.30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2,741.35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JUVENILA LOPES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10249.8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10,249.80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6,445.60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JOÃO CARLOS REIS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116935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116,935.00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73,687.69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MARCIO LANES GONCALVES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2339.55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2,339.55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1,474.29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ERLENE RODRIGUES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3237.85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3,237.85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1.5961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2,028.60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JOSE ANTONIO PEREIRA FIGUEIREDO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2726.05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2,726.05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1,722.62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EMPRESA RURAL BAIURU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1004445.6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1,004,445.60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28/06/11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1.5825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634,720.76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WALTAIR CANDIDO DE ASSIS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2955.68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2,955.68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1,879.96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GILVAN OLIVEIRA LISBOA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227.94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227.94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146.09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GILVAN OLIVEIRA LISBOA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2351.49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2,351.49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30/06/11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1,507.08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JOSE ROBERTO SILVA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2908.04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2,908.04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1,867.48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VILMARIO DOS SANTOS LIMA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4377.37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4,377.37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2,811.05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MARIA DA PENHA OTACILIO DA SILVA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2477.04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2,477.04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04/07/11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1,590.70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ROGERIO INACIO DOS REIS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1982.4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1,982.40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05/07/11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1,268.41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PINTO DE PAULA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10134.13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10,134.13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07/07/11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6,507.50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FABIANA PEREIRA RIBEIRO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242.16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242.16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154.97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NACIP JOSE GOMES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608000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608,000.00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389,095.10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JACKSON XAVIER DA COSTA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417042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417,042.00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266,889.80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A41859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RICARDO CANABRAVA OLIVEIRA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A41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53124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53,124.00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33,648.34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JURACY MARQUES CARDOSO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8,500.00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5,391.69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MARIA APARECIDA DA SILVA OLIVEIRA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12/07/11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1.5765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19,029.50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2237.22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2,237.22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1,431.27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GISELE ROSA DE SOUZA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12464.26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12,464.26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7,967.95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JOÃO CARLOS REIS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18464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18,464.00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11,803.36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BARTOLOMEU RIBEIRO FERREIRA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2,610.00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1,668.48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PEREIRA DIAS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12,857.60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DOMINGAS RODRIGUES PEREIRA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785.31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785.31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29/07/11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1.5555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504.86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72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CRISTIANE KELLY CARVALHO DE SOUZA DA SILVA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End"/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1635.98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1,635.98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03/08/11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1.5643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1,045.82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NACIP JOSE GOMES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92,000.00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1.6298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56,448.64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1813.31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1,813.31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1,122.86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1118.61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1,118.61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692.68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1118.61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1,118.61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692.68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1118.61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1,118.61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1.6149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692.68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JOAO BATISTA DE SOUZA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14427.22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14,427.22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22/08/11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1.6001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9,016.45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JACKSON XAVIER DA COSTA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14617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14,617.00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22/09/11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1.9008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7,689.92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CRISTIANE DE ARAUJO SANTOS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80473.81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80,473.81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43,648.00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GLAUCI CRISTIANE DE JESUS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26677.75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26,677.75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14,469.68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TRATORK MÁQUINAS E EQUIPAMENTOS LTDA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857922.41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857,922.41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476,623.56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PALMIRA LELIS MARINHO GUIMARAES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30/09/11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1.8536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161,847.22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TRIBUNAL DE JUSTICA DO ESTADO DE MINAS GERAIS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1.8109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1,104.42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MARIUZA ALVES MARCELINO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2095.25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2,095.25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1.7369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1,206.32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MARIUZA ALVES MARCELINO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2095.25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2,095.25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14/10/11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1.7369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1,206.32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FERNANDO NONATO CARDOSO DE SOUZA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3952.71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3,952.71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1.7369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2,275.73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CONSUELO DA SILVA MELO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26557.34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26,557.34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1.7369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15,290.08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LUZIA APARECIDA DE PAULA ROCHA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12669.78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12,669.78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17/10/11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1.7481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7,247.74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MANOEL MESSIAS VIANA SOUSA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1.7717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16,932.89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VANINHA PEIXOTO DE MENESES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13280.17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13,280.17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1.7717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7,495.72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ISMAEL EUFRASIO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50588.45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50,588.45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1.7717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28,553.62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MARCIA SANTOS SILVA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48912.17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48,912.17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19/10/11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1.7597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27,795.74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CREUZENIR MARIA NUNES SENE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44065.87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44,065.87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1.7796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24,761.67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BE51D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GERALDO JOSE FERREIRA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400,000.00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21/10/11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1.7796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224,769.61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B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GERALDO EVANGELISTA DIAS JUNIOR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53629.16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53,629.16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1.7761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30,194.90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JOSE VIEIRA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26779.71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26,779.71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15,266.92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JOSE VIEIRA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23276.91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23,276.91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25/10/11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13,270.00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VANDERLEIA ANDRADE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32909.73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32,909.73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03/11/11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1.7262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19,064.84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MARTA ALVES MUNIZ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34723.44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34,723.44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07/11/11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1.7496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19,846.50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TELVA LUCIANO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22648.49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22,648.49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08/11/11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1.7446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12,982.05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MARCELIO FERNANDES DE OLIVEIRA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56969.05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56,969.05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09/11/11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1.7510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32,535.15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SERGIO LUIZ DOS SANTOS ALMEIDA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54887.76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54,887.76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1.7603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31,180.91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RICARDO FRANCISCO CALDAS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42893.25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42,893.25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1.7603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24,367.01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ROGERIO FRANCA DE ABREU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24/11/11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1.8652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187,647.44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AURORA ADRIANA BARBOSA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222873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222,873.00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25/11/11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1.8930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117,735.34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ROSANGELA DE SA PEREIRA MORAES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69527.91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69,527.91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02/12/11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1.7836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38,981.78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ROGERIO FRANCA DE ABREU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12332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12,332.00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06/12/11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1.7906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6,887.08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RAIMUNDO ROSALVO DA SILVA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25362.97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25,362.97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1.8211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13,927.28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ANA MARQUES DE SOUZA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23752.03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23,752.03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1.8211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13,042.68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PROAS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CARLOS GERALDO DE SOUZA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16,301.69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PAULO HENRIQUE BARBOSA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5,433.90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AURORA ADRIANA BARBOSA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5,433.90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495CC0">
        <w:trPr>
          <w:trHeight w:val="1680"/>
        </w:trPr>
        <w:tc>
          <w:tcPr>
            <w:tcW w:w="45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ALBERTO CARLOS BARBOSA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13/12/11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1.8403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5,433.90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JULIO CESAR BARBOSA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5,433.90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DO I OFICIO DE NOTAS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2533.96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2,533.96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13/12/11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1,376.93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DO I OFICIO DE NOTAS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1579.56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1,579.56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1.8721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843.74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JADIR MARTINS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16425.02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16,425.02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1.8721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8,773.58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ROGERIO FRANCA DE ABREU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350,000.00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1.8602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188,151.81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DE SETIMO OFICIO DE REGISTRO DE IMOVEIS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1511.58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1,511.58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818.93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TEREZINHA PATRICIA CORREIA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29166.67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29,166.67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16/12/11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1.8458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15,801.64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72727E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EDCACIO EUFRASIO DA SILVA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38810.52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38,810.52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20/12/11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1.8501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20,977.53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RICARDO CANABRAVA OLIVEIRA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264250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264,250.00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22/12/11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1.8571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142,291.75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CARTORIO DO I OFICIO DE NOTAS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1263.93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1,263.93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27/12/11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1.8578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680.34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D05DFD">
        <w:trPr>
          <w:trHeight w:val="1680"/>
        </w:trPr>
        <w:tc>
          <w:tcPr>
            <w:tcW w:w="4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pt-BR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Custos </w:t>
            </w:r>
            <w:proofErr w:type="gramStart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Correntes/Terrenos</w:t>
            </w:r>
            <w:proofErr w:type="gramEnd"/>
            <w:r w:rsidRPr="000F30EF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e Indenizações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Desapropriação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PALMIRA LELIS MARINHO GUIMARAES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29/12/11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1.8751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D0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106,660.98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642"/>
        </w:trPr>
        <w:tc>
          <w:tcPr>
            <w:tcW w:w="16577" w:type="dxa"/>
            <w:gridSpan w:val="1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 – Componente 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4,525,294.32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345"/>
        </w:trPr>
        <w:tc>
          <w:tcPr>
            <w:tcW w:w="1657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Total – Componentes 1 e 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66"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color w:val="339966"/>
                <w:sz w:val="20"/>
                <w:szCs w:val="20"/>
              </w:rPr>
              <w:t> </w:t>
            </w:r>
          </w:p>
        </w:tc>
      </w:tr>
      <w:tr w:rsidR="00824973" w:rsidRPr="000F30EF" w:rsidTr="00BE51DE">
        <w:trPr>
          <w:trHeight w:val="645"/>
        </w:trPr>
        <w:tc>
          <w:tcPr>
            <w:tcW w:w="1657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VALOR TOTAL APRESENTADO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3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17,679,045.20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973" w:rsidRPr="000F30EF" w:rsidRDefault="00824973" w:rsidP="0082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66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973" w:rsidRPr="000F30EF" w:rsidRDefault="00824973" w:rsidP="00824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824973" w:rsidRPr="00263E70" w:rsidRDefault="00824973" w:rsidP="00824973">
      <w:pPr>
        <w:pStyle w:val="Paragraph"/>
        <w:numPr>
          <w:ilvl w:val="0"/>
          <w:numId w:val="0"/>
        </w:numPr>
        <w:ind w:left="720"/>
        <w:rPr>
          <w:lang w:val="es-ES"/>
        </w:rPr>
      </w:pPr>
    </w:p>
    <w:p w:rsidR="00B3752E" w:rsidRDefault="00B3752E" w:rsidP="001F26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bookmarkStart w:id="1" w:name="_GoBack"/>
      <w:bookmarkEnd w:id="1"/>
    </w:p>
    <w:sectPr w:rsidR="00B3752E" w:rsidSect="00824973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35D" w:rsidRDefault="005F035D" w:rsidP="00824973">
      <w:pPr>
        <w:spacing w:after="0" w:line="240" w:lineRule="auto"/>
      </w:pPr>
      <w:r>
        <w:separator/>
      </w:r>
    </w:p>
  </w:endnote>
  <w:endnote w:type="continuationSeparator" w:id="0">
    <w:p w:rsidR="005F035D" w:rsidRDefault="005F035D" w:rsidP="00824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35D" w:rsidRDefault="005F035D" w:rsidP="00824973">
      <w:pPr>
        <w:spacing w:after="0" w:line="240" w:lineRule="auto"/>
      </w:pPr>
      <w:r>
        <w:separator/>
      </w:r>
    </w:p>
  </w:footnote>
  <w:footnote w:type="continuationSeparator" w:id="0">
    <w:p w:rsidR="005F035D" w:rsidRDefault="005F035D" w:rsidP="00824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23"/>
    <w:multiLevelType w:val="multilevel"/>
    <w:tmpl w:val="B96CE47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i w:val="0"/>
        <w:sz w:val="24"/>
        <w:szCs w:val="24"/>
        <w:lang w:val="es-ES_tradnl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E3"/>
    <w:rsid w:val="00017238"/>
    <w:rsid w:val="000F30EF"/>
    <w:rsid w:val="001F26E3"/>
    <w:rsid w:val="00281284"/>
    <w:rsid w:val="002B64BA"/>
    <w:rsid w:val="002C7974"/>
    <w:rsid w:val="003C1C2C"/>
    <w:rsid w:val="00402FE0"/>
    <w:rsid w:val="00495CC0"/>
    <w:rsid w:val="004A5A57"/>
    <w:rsid w:val="004A7D92"/>
    <w:rsid w:val="005017DB"/>
    <w:rsid w:val="005F035D"/>
    <w:rsid w:val="0072727E"/>
    <w:rsid w:val="00811F55"/>
    <w:rsid w:val="00824973"/>
    <w:rsid w:val="00864E4B"/>
    <w:rsid w:val="0099613D"/>
    <w:rsid w:val="009F71D7"/>
    <w:rsid w:val="00A41859"/>
    <w:rsid w:val="00B3752E"/>
    <w:rsid w:val="00BE51DE"/>
    <w:rsid w:val="00C64A1A"/>
    <w:rsid w:val="00CA3B88"/>
    <w:rsid w:val="00D05DFD"/>
    <w:rsid w:val="00DC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uiPriority w:val="99"/>
    <w:rsid w:val="00824973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styleId="FootnoteText">
    <w:name w:val="footnote text"/>
    <w:aliases w:val="fn,foottextfra,footnote,F,FOOTNOTES,single space,Footnote Text Char Char,Texto de rodapé,nota_rodapé,nota de rodapé"/>
    <w:basedOn w:val="Normal"/>
    <w:link w:val="FootnoteTextChar"/>
    <w:qFormat/>
    <w:rsid w:val="00824973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textfra Char,footnote Char,F Char,FOOTNOTES Char,single space Char,Footnote Text Char Char Char,Texto de rodapé Char,nota_rodapé Char,nota de rodapé Char"/>
    <w:basedOn w:val="DefaultParagraphFont"/>
    <w:link w:val="FootnoteText"/>
    <w:rsid w:val="00824973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824973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497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4973"/>
  </w:style>
  <w:style w:type="character" w:customStyle="1" w:styleId="ParagraphChar">
    <w:name w:val="Paragraph Char"/>
    <w:basedOn w:val="BodyTextIndentChar"/>
    <w:link w:val="Paragraph"/>
    <w:rsid w:val="00824973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uiPriority w:val="99"/>
    <w:rsid w:val="00824973"/>
    <w:pPr>
      <w:numPr>
        <w:ilvl w:val="2"/>
        <w:numId w:val="1"/>
      </w:numPr>
      <w:tabs>
        <w:tab w:val="clear" w:pos="2304"/>
        <w:tab w:val="num" w:pos="360"/>
      </w:tabs>
      <w:spacing w:before="120" w:line="240" w:lineRule="auto"/>
      <w:ind w:left="360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497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4973"/>
    <w:rPr>
      <w:sz w:val="16"/>
      <w:szCs w:val="16"/>
    </w:rPr>
  </w:style>
  <w:style w:type="paragraph" w:customStyle="1" w:styleId="SubSubPar">
    <w:name w:val="SubSubPar"/>
    <w:basedOn w:val="subpar"/>
    <w:uiPriority w:val="99"/>
    <w:rsid w:val="00824973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uiPriority w:val="99"/>
    <w:rsid w:val="00824973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styleId="FootnoteText">
    <w:name w:val="footnote text"/>
    <w:aliases w:val="fn,foottextfra,footnote,F,FOOTNOTES,single space,Footnote Text Char Char,Texto de rodapé,nota_rodapé,nota de rodapé"/>
    <w:basedOn w:val="Normal"/>
    <w:link w:val="FootnoteTextChar"/>
    <w:qFormat/>
    <w:rsid w:val="00824973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textfra Char,footnote Char,F Char,FOOTNOTES Char,single space Char,Footnote Text Char Char Char,Texto de rodapé Char,nota_rodapé Char,nota de rodapé Char"/>
    <w:basedOn w:val="DefaultParagraphFont"/>
    <w:link w:val="FootnoteText"/>
    <w:rsid w:val="00824973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824973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497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4973"/>
  </w:style>
  <w:style w:type="character" w:customStyle="1" w:styleId="ParagraphChar">
    <w:name w:val="Paragraph Char"/>
    <w:basedOn w:val="BodyTextIndentChar"/>
    <w:link w:val="Paragraph"/>
    <w:rsid w:val="00824973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uiPriority w:val="99"/>
    <w:rsid w:val="00824973"/>
    <w:pPr>
      <w:numPr>
        <w:ilvl w:val="2"/>
        <w:numId w:val="1"/>
      </w:numPr>
      <w:tabs>
        <w:tab w:val="clear" w:pos="2304"/>
        <w:tab w:val="num" w:pos="360"/>
      </w:tabs>
      <w:spacing w:before="120" w:line="240" w:lineRule="auto"/>
      <w:ind w:left="360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497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4973"/>
    <w:rPr>
      <w:sz w:val="16"/>
      <w:szCs w:val="16"/>
    </w:rPr>
  </w:style>
  <w:style w:type="paragraph" w:customStyle="1" w:styleId="SubSubPar">
    <w:name w:val="SubSubPar"/>
    <w:basedOn w:val="subpar"/>
    <w:uiPriority w:val="99"/>
    <w:rsid w:val="00824973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00DD25F4D5A524A94A1DDCD670E1612" ma:contentTypeVersion="0" ma:contentTypeDescription="A content type to manage public (operations) IDB documents" ma:contentTypeScope="" ma:versionID="c16d3723ff2161c3ba0b1f24f8bc96a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37053613</IDBDocs_x0020_Number>
    <Document_x0020_Author xmlns="9c571b2f-e523-4ab2-ba2e-09e151a03ef4">Mellinger, Yvon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2012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BR-L1335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Directors&lt;/APPROVAL_DESC&gt;&lt;PD_OBJ_TYPE&gt;0&lt;/PD_OBJ_TYPE&gt;&lt;DTAPPROVAL&gt;Jul 24 2013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OS-ASR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DBB8B17E-E6BB-4227-B046-7C4C29993F6A}"/>
</file>

<file path=customXml/itemProps2.xml><?xml version="1.0" encoding="utf-8"?>
<ds:datastoreItem xmlns:ds="http://schemas.openxmlformats.org/officeDocument/2006/customXml" ds:itemID="{6D086EDF-1A9F-4A88-AC85-4A3CB8D6A6BA}"/>
</file>

<file path=customXml/itemProps3.xml><?xml version="1.0" encoding="utf-8"?>
<ds:datastoreItem xmlns:ds="http://schemas.openxmlformats.org/officeDocument/2006/customXml" ds:itemID="{7D77663A-DEDC-468D-A4B9-6DE0601D518C}"/>
</file>

<file path=customXml/itemProps4.xml><?xml version="1.0" encoding="utf-8"?>
<ds:datastoreItem xmlns:ds="http://schemas.openxmlformats.org/officeDocument/2006/customXml" ds:itemID="{E198FAE1-F7C9-4B9E-9CAE-CDE1C202CAA8}"/>
</file>

<file path=customXml/itemProps5.xml><?xml version="1.0" encoding="utf-8"?>
<ds:datastoreItem xmlns:ds="http://schemas.openxmlformats.org/officeDocument/2006/customXml" ds:itemID="{1C62A0A8-A4DE-4EE0-A47F-44CA1FCA56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47</Pages>
  <Words>11753</Words>
  <Characters>63236</Characters>
  <Application>Microsoft Office Word</Application>
  <DocSecurity>0</DocSecurity>
  <Lines>3011</Lines>
  <Paragraphs>1785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8 - Justificación pedido de excepción a la OP-504</dc:title>
  <dc:creator>Inter-American Development Bank</dc:creator>
  <cp:lastModifiedBy>Inter-American Development Bank</cp:lastModifiedBy>
  <cp:revision>9</cp:revision>
  <dcterms:created xsi:type="dcterms:W3CDTF">2012-11-08T16:36:00Z</dcterms:created>
  <dcterms:modified xsi:type="dcterms:W3CDTF">2012-11-08T19:38:00Z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0x01010046CF21643EE8D14686A648AA6DAD089200500DD25F4D5A524A94A1DDCD670E1612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