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CC5" w:rsidRPr="00047318" w:rsidRDefault="00E76CC5" w:rsidP="00E76CC5">
      <w:pPr>
        <w:tabs>
          <w:tab w:val="left" w:pos="180"/>
        </w:tabs>
        <w:jc w:val="center"/>
        <w:rPr>
          <w:rFonts w:ascii="Arial" w:hAnsi="Arial"/>
          <w:b/>
          <w:sz w:val="32"/>
        </w:rPr>
      </w:pPr>
      <w:bookmarkStart w:id="0" w:name="_Toc333239379"/>
      <w:r w:rsidRPr="00F516BA">
        <w:rPr>
          <w:rFonts w:ascii="Arial" w:hAnsi="Arial"/>
          <w:b/>
          <w:sz w:val="32"/>
        </w:rPr>
        <w:t xml:space="preserve">PROGRAMA DE </w:t>
      </w:r>
      <w:r>
        <w:rPr>
          <w:rFonts w:ascii="Arial" w:hAnsi="Arial"/>
          <w:b/>
          <w:sz w:val="32"/>
        </w:rPr>
        <w:t>RECUPERAÇÃO AMBIENTAL DE BELO HORIZONTE - DRENURBS</w:t>
      </w:r>
    </w:p>
    <w:p w:rsidR="00E76CC5" w:rsidRPr="00047318" w:rsidRDefault="00E76CC5" w:rsidP="00E76CC5">
      <w:pPr>
        <w:tabs>
          <w:tab w:val="left" w:pos="180"/>
        </w:tabs>
        <w:ind w:left="810" w:hanging="810"/>
        <w:jc w:val="center"/>
        <w:rPr>
          <w:rFonts w:ascii="Arial" w:hAnsi="Arial"/>
          <w:b/>
          <w:sz w:val="32"/>
        </w:rPr>
      </w:pPr>
      <w:r w:rsidRPr="00047318">
        <w:rPr>
          <w:rFonts w:ascii="Arial" w:hAnsi="Arial"/>
          <w:b/>
          <w:sz w:val="32"/>
        </w:rPr>
        <w:t>BANCO INTERAMERICANO DE DESENVOLVIMENTO</w:t>
      </w:r>
    </w:p>
    <w:p w:rsidR="00E76CC5" w:rsidRPr="00047318" w:rsidRDefault="00E76CC5" w:rsidP="00E76CC5">
      <w:pPr>
        <w:pStyle w:val="Corpodetexto"/>
        <w:tabs>
          <w:tab w:val="left" w:pos="180"/>
        </w:tabs>
        <w:ind w:left="810" w:hanging="810"/>
        <w:rPr>
          <w:sz w:val="24"/>
          <w:szCs w:val="24"/>
        </w:rPr>
      </w:pPr>
    </w:p>
    <w:p w:rsidR="00E76CC5" w:rsidRPr="00047318" w:rsidRDefault="00E76CC5" w:rsidP="00E76CC5">
      <w:pPr>
        <w:tabs>
          <w:tab w:val="left" w:pos="180"/>
        </w:tabs>
        <w:ind w:left="810" w:hanging="810"/>
        <w:jc w:val="center"/>
        <w:rPr>
          <w:rFonts w:ascii="Arial" w:hAnsi="Arial"/>
          <w:b/>
          <w:sz w:val="32"/>
        </w:rPr>
      </w:pPr>
    </w:p>
    <w:p w:rsidR="00E76CC5" w:rsidRPr="00047318" w:rsidRDefault="00E76CC5" w:rsidP="00E76CC5">
      <w:pPr>
        <w:tabs>
          <w:tab w:val="left" w:pos="180"/>
        </w:tabs>
        <w:ind w:left="810" w:hanging="810"/>
        <w:jc w:val="center"/>
        <w:rPr>
          <w:rFonts w:ascii="Arial" w:hAnsi="Arial"/>
          <w:b/>
          <w:sz w:val="32"/>
        </w:rPr>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jc w:val="center"/>
      </w:pPr>
    </w:p>
    <w:p w:rsidR="00E76CC5" w:rsidRPr="00047318" w:rsidRDefault="00E76CC5" w:rsidP="00E76CC5">
      <w:pPr>
        <w:tabs>
          <w:tab w:val="left" w:pos="180"/>
        </w:tabs>
        <w:ind w:left="810" w:hanging="810"/>
        <w:jc w:val="center"/>
      </w:pPr>
    </w:p>
    <w:p w:rsidR="00E76CC5" w:rsidRPr="00047318" w:rsidRDefault="00E76CC5" w:rsidP="00E76CC5">
      <w:pPr>
        <w:tabs>
          <w:tab w:val="left" w:pos="180"/>
        </w:tabs>
        <w:ind w:left="810" w:hanging="810"/>
        <w:jc w:val="center"/>
      </w:pPr>
    </w:p>
    <w:p w:rsidR="00E76CC5" w:rsidRPr="00047318" w:rsidRDefault="00E76CC5" w:rsidP="00E76CC5">
      <w:pPr>
        <w:tabs>
          <w:tab w:val="left" w:pos="180"/>
        </w:tabs>
        <w:ind w:left="810" w:hanging="810"/>
        <w:jc w:val="center"/>
        <w:rPr>
          <w:sz w:val="32"/>
          <w:szCs w:val="32"/>
        </w:rPr>
      </w:pPr>
    </w:p>
    <w:p w:rsidR="00E76CC5" w:rsidRDefault="00E76CC5" w:rsidP="00E76CC5">
      <w:pPr>
        <w:tabs>
          <w:tab w:val="left" w:pos="180"/>
        </w:tabs>
        <w:ind w:left="810" w:hanging="810"/>
        <w:jc w:val="center"/>
        <w:rPr>
          <w:b/>
          <w:bCs/>
          <w:sz w:val="32"/>
          <w:szCs w:val="32"/>
        </w:rPr>
      </w:pPr>
      <w:r w:rsidRPr="00047318">
        <w:rPr>
          <w:b/>
          <w:bCs/>
          <w:sz w:val="32"/>
          <w:szCs w:val="32"/>
        </w:rPr>
        <w:t xml:space="preserve">ANÁLISE </w:t>
      </w:r>
      <w:r>
        <w:rPr>
          <w:b/>
          <w:bCs/>
          <w:sz w:val="32"/>
          <w:szCs w:val="32"/>
        </w:rPr>
        <w:t xml:space="preserve">FISCAL E </w:t>
      </w:r>
      <w:r w:rsidRPr="00047318">
        <w:rPr>
          <w:b/>
          <w:bCs/>
          <w:sz w:val="32"/>
          <w:szCs w:val="32"/>
        </w:rPr>
        <w:t>INSTITUCIONAL</w:t>
      </w:r>
    </w:p>
    <w:p w:rsidR="00E76CC5" w:rsidRDefault="00E76CC5" w:rsidP="00E76CC5">
      <w:pPr>
        <w:tabs>
          <w:tab w:val="left" w:pos="180"/>
        </w:tabs>
        <w:ind w:left="810" w:hanging="810"/>
        <w:jc w:val="center"/>
        <w:rPr>
          <w:b/>
          <w:bCs/>
          <w:sz w:val="32"/>
          <w:szCs w:val="32"/>
        </w:rPr>
      </w:pPr>
      <w:r>
        <w:rPr>
          <w:b/>
          <w:bCs/>
          <w:sz w:val="32"/>
          <w:szCs w:val="32"/>
        </w:rPr>
        <w:t>Prefeitura Municipal de Belo Horizonte</w:t>
      </w:r>
      <w:r w:rsidR="00824380">
        <w:rPr>
          <w:b/>
          <w:bCs/>
          <w:sz w:val="32"/>
          <w:szCs w:val="32"/>
        </w:rPr>
        <w:t xml:space="preserve"> - PBH</w:t>
      </w:r>
    </w:p>
    <w:p w:rsidR="00E76CC5" w:rsidRDefault="00E76CC5" w:rsidP="00E76CC5">
      <w:pPr>
        <w:tabs>
          <w:tab w:val="left" w:pos="180"/>
        </w:tabs>
        <w:ind w:left="810" w:hanging="810"/>
        <w:jc w:val="center"/>
        <w:rPr>
          <w:b/>
          <w:bCs/>
          <w:sz w:val="32"/>
          <w:szCs w:val="32"/>
        </w:rPr>
      </w:pPr>
      <w:r>
        <w:rPr>
          <w:b/>
          <w:bCs/>
          <w:sz w:val="32"/>
          <w:szCs w:val="32"/>
        </w:rPr>
        <w:t>Companhia de Saneamento de Minas Gerais - COPASA MG</w:t>
      </w:r>
    </w:p>
    <w:p w:rsidR="00E76CC5" w:rsidRDefault="00E76CC5" w:rsidP="00E76CC5">
      <w:pPr>
        <w:tabs>
          <w:tab w:val="left" w:pos="180"/>
        </w:tabs>
        <w:ind w:left="810" w:hanging="810"/>
        <w:jc w:val="center"/>
        <w:rPr>
          <w:b/>
          <w:bCs/>
          <w:sz w:val="32"/>
          <w:szCs w:val="32"/>
        </w:rPr>
      </w:pPr>
    </w:p>
    <w:p w:rsidR="00E76CC5" w:rsidRDefault="00E76CC5" w:rsidP="00E76CC5">
      <w:pPr>
        <w:tabs>
          <w:tab w:val="left" w:pos="180"/>
        </w:tabs>
        <w:ind w:left="810" w:hanging="810"/>
        <w:jc w:val="center"/>
        <w:rPr>
          <w:b/>
          <w:bCs/>
          <w:sz w:val="32"/>
          <w:szCs w:val="32"/>
        </w:rPr>
      </w:pPr>
    </w:p>
    <w:p w:rsidR="00E76CC5" w:rsidRDefault="00E76CC5" w:rsidP="00E76CC5">
      <w:pPr>
        <w:tabs>
          <w:tab w:val="left" w:pos="180"/>
        </w:tabs>
        <w:ind w:left="810" w:hanging="810"/>
        <w:jc w:val="center"/>
        <w:rPr>
          <w:b/>
          <w:bCs/>
          <w:sz w:val="32"/>
          <w:szCs w:val="32"/>
        </w:rPr>
      </w:pPr>
    </w:p>
    <w:p w:rsidR="00E76CC5" w:rsidRDefault="00E76CC5" w:rsidP="00E76CC5">
      <w:pPr>
        <w:tabs>
          <w:tab w:val="left" w:pos="180"/>
        </w:tabs>
        <w:ind w:left="810" w:hanging="810"/>
        <w:jc w:val="center"/>
        <w:rPr>
          <w:b/>
          <w:bCs/>
          <w:sz w:val="32"/>
          <w:szCs w:val="32"/>
        </w:rPr>
      </w:pPr>
    </w:p>
    <w:p w:rsidR="00E76CC5" w:rsidRDefault="00E76CC5" w:rsidP="00E76CC5">
      <w:pPr>
        <w:tabs>
          <w:tab w:val="left" w:pos="180"/>
        </w:tabs>
        <w:ind w:left="810" w:hanging="810"/>
        <w:jc w:val="center"/>
        <w:rPr>
          <w:b/>
          <w:bCs/>
          <w:sz w:val="32"/>
          <w:szCs w:val="32"/>
        </w:rPr>
      </w:pPr>
    </w:p>
    <w:p w:rsidR="00E76CC5" w:rsidRDefault="00E76CC5" w:rsidP="00E76CC5">
      <w:pPr>
        <w:tabs>
          <w:tab w:val="left" w:pos="180"/>
        </w:tabs>
        <w:ind w:left="810" w:hanging="810"/>
        <w:jc w:val="center"/>
        <w:rPr>
          <w:b/>
          <w:bCs/>
          <w:sz w:val="32"/>
          <w:szCs w:val="32"/>
        </w:rPr>
      </w:pPr>
      <w:r>
        <w:rPr>
          <w:b/>
          <w:bCs/>
          <w:sz w:val="32"/>
          <w:szCs w:val="32"/>
        </w:rPr>
        <w:t>Relatório Final</w:t>
      </w:r>
      <w:r w:rsidR="00875CC7">
        <w:rPr>
          <w:b/>
          <w:bCs/>
          <w:sz w:val="32"/>
          <w:szCs w:val="32"/>
        </w:rPr>
        <w:t xml:space="preserve"> – Versão 1</w:t>
      </w:r>
    </w:p>
    <w:p w:rsidR="00875CC7" w:rsidRDefault="00824380" w:rsidP="00E76CC5">
      <w:pPr>
        <w:tabs>
          <w:tab w:val="left" w:pos="180"/>
        </w:tabs>
        <w:ind w:left="810" w:hanging="810"/>
        <w:jc w:val="center"/>
        <w:rPr>
          <w:b/>
          <w:bCs/>
          <w:sz w:val="32"/>
          <w:szCs w:val="32"/>
        </w:rPr>
      </w:pPr>
      <w:r>
        <w:rPr>
          <w:b/>
          <w:bCs/>
          <w:sz w:val="32"/>
          <w:szCs w:val="32"/>
        </w:rPr>
        <w:t>04/09/2012</w:t>
      </w:r>
    </w:p>
    <w:p w:rsidR="00E76CC5" w:rsidRPr="00047318" w:rsidRDefault="00E76CC5" w:rsidP="00E76CC5">
      <w:pPr>
        <w:tabs>
          <w:tab w:val="left" w:pos="180"/>
        </w:tabs>
        <w:ind w:left="810" w:hanging="810"/>
        <w:jc w:val="center"/>
        <w:rPr>
          <w:b/>
          <w:bCs/>
          <w:sz w:val="32"/>
          <w:szCs w:val="32"/>
        </w:rPr>
      </w:pPr>
    </w:p>
    <w:p w:rsidR="00E76CC5" w:rsidRPr="00047318" w:rsidRDefault="00E76CC5" w:rsidP="00E76CC5">
      <w:pPr>
        <w:tabs>
          <w:tab w:val="left" w:pos="180"/>
        </w:tabs>
        <w:ind w:left="810" w:hanging="810"/>
        <w:jc w:val="center"/>
        <w:rPr>
          <w:sz w:val="32"/>
          <w:szCs w:val="32"/>
        </w:rPr>
      </w:pPr>
    </w:p>
    <w:p w:rsidR="00E76CC5" w:rsidRPr="00047318" w:rsidRDefault="00E76CC5" w:rsidP="00E76CC5">
      <w:pPr>
        <w:tabs>
          <w:tab w:val="left" w:pos="180"/>
        </w:tabs>
        <w:ind w:left="810" w:hanging="810"/>
        <w:jc w:val="center"/>
        <w:rPr>
          <w:sz w:val="24"/>
        </w:rPr>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pPr>
    </w:p>
    <w:p w:rsidR="00E76CC5" w:rsidRPr="00047318" w:rsidRDefault="00E76CC5" w:rsidP="00E76CC5">
      <w:pPr>
        <w:tabs>
          <w:tab w:val="left" w:pos="180"/>
        </w:tabs>
        <w:ind w:left="810" w:hanging="810"/>
        <w:jc w:val="right"/>
        <w:rPr>
          <w:rFonts w:ascii="Arial" w:hAnsi="Arial" w:cs="Arial"/>
          <w:b/>
          <w:bCs/>
          <w:sz w:val="24"/>
        </w:rPr>
      </w:pPr>
      <w:r w:rsidRPr="00047318">
        <w:rPr>
          <w:rFonts w:ascii="Arial" w:hAnsi="Arial" w:cs="Arial"/>
          <w:b/>
          <w:bCs/>
          <w:sz w:val="24"/>
        </w:rPr>
        <w:t>Elaborado por</w:t>
      </w:r>
    </w:p>
    <w:p w:rsidR="00E76CC5" w:rsidRPr="00047318" w:rsidRDefault="00E76CC5" w:rsidP="00E76CC5">
      <w:pPr>
        <w:tabs>
          <w:tab w:val="left" w:pos="180"/>
        </w:tabs>
        <w:ind w:left="810" w:hanging="810"/>
        <w:jc w:val="right"/>
        <w:rPr>
          <w:rFonts w:ascii="Arial" w:hAnsi="Arial" w:cs="Arial"/>
          <w:b/>
          <w:bCs/>
          <w:sz w:val="24"/>
        </w:rPr>
      </w:pPr>
      <w:r w:rsidRPr="00047318">
        <w:rPr>
          <w:rFonts w:ascii="Arial" w:hAnsi="Arial" w:cs="Arial"/>
          <w:b/>
          <w:bCs/>
          <w:sz w:val="24"/>
        </w:rPr>
        <w:t>Luiz Cláudio Souza Faria</w:t>
      </w:r>
    </w:p>
    <w:p w:rsidR="00E76CC5" w:rsidRDefault="00E76CC5" w:rsidP="00E76CC5">
      <w:pPr>
        <w:tabs>
          <w:tab w:val="left" w:pos="180"/>
        </w:tabs>
        <w:ind w:left="810" w:hanging="810"/>
        <w:jc w:val="right"/>
        <w:rPr>
          <w:rFonts w:ascii="Arial" w:hAnsi="Arial" w:cs="Arial"/>
          <w:b/>
          <w:bCs/>
          <w:sz w:val="24"/>
        </w:rPr>
      </w:pPr>
      <w:r w:rsidRPr="00047318">
        <w:rPr>
          <w:rFonts w:ascii="Arial" w:hAnsi="Arial" w:cs="Arial"/>
          <w:b/>
          <w:bCs/>
          <w:sz w:val="24"/>
        </w:rPr>
        <w:t>Consultor</w:t>
      </w:r>
    </w:p>
    <w:p w:rsidR="00E76CC5" w:rsidRDefault="00E76CC5" w:rsidP="00E76CC5">
      <w:pPr>
        <w:tabs>
          <w:tab w:val="left" w:pos="180"/>
        </w:tabs>
        <w:ind w:left="810" w:hanging="810"/>
        <w:jc w:val="right"/>
        <w:rPr>
          <w:rFonts w:ascii="Arial" w:hAnsi="Arial" w:cs="Arial"/>
          <w:b/>
          <w:bCs/>
          <w:sz w:val="24"/>
        </w:rPr>
        <w:sectPr w:rsidR="00E76CC5" w:rsidSect="00824380">
          <w:footerReference w:type="default" r:id="rId9"/>
          <w:pgSz w:w="11907" w:h="16839" w:code="9"/>
          <w:pgMar w:top="1528" w:right="1440" w:bottom="993" w:left="1440" w:header="567" w:footer="847" w:gutter="0"/>
          <w:cols w:space="720"/>
          <w:docGrid w:linePitch="272"/>
        </w:sectPr>
      </w:pPr>
    </w:p>
    <w:p w:rsidR="00E76CC5" w:rsidRDefault="00E76CC5" w:rsidP="000E7F93">
      <w:pPr>
        <w:tabs>
          <w:tab w:val="left" w:pos="180"/>
        </w:tabs>
        <w:ind w:left="810" w:hanging="810"/>
        <w:jc w:val="center"/>
        <w:rPr>
          <w:rFonts w:ascii="Arial" w:hAnsi="Arial" w:cs="Arial"/>
          <w:b/>
          <w:bCs/>
          <w:sz w:val="24"/>
        </w:rPr>
      </w:pPr>
      <w:r>
        <w:rPr>
          <w:rFonts w:ascii="Arial" w:hAnsi="Arial" w:cs="Arial"/>
          <w:b/>
          <w:bCs/>
          <w:sz w:val="24"/>
        </w:rPr>
        <w:lastRenderedPageBreak/>
        <w:t>SUMÁRIO</w:t>
      </w:r>
    </w:p>
    <w:p w:rsidR="000E7F93" w:rsidRDefault="000E7F93" w:rsidP="000E7F93">
      <w:pPr>
        <w:tabs>
          <w:tab w:val="left" w:pos="180"/>
        </w:tabs>
        <w:ind w:left="810" w:hanging="810"/>
        <w:jc w:val="center"/>
        <w:rPr>
          <w:rFonts w:ascii="Arial" w:hAnsi="Arial" w:cs="Arial"/>
          <w:b/>
          <w:bCs/>
          <w:sz w:val="24"/>
        </w:rPr>
      </w:pPr>
    </w:p>
    <w:p w:rsidR="000E7F93" w:rsidRDefault="000E7F93" w:rsidP="000E7F93">
      <w:pPr>
        <w:tabs>
          <w:tab w:val="left" w:pos="180"/>
        </w:tabs>
        <w:ind w:left="810" w:hanging="810"/>
        <w:jc w:val="center"/>
        <w:rPr>
          <w:rFonts w:ascii="Arial" w:hAnsi="Arial" w:cs="Arial"/>
          <w:b/>
          <w:bCs/>
          <w:sz w:val="24"/>
        </w:rPr>
      </w:pPr>
    </w:p>
    <w:p w:rsidR="00E76CC5" w:rsidRPr="00047318" w:rsidRDefault="00E76CC5" w:rsidP="00E76CC5">
      <w:pPr>
        <w:tabs>
          <w:tab w:val="left" w:pos="180"/>
        </w:tabs>
        <w:ind w:left="810" w:hanging="810"/>
        <w:rPr>
          <w:rFonts w:ascii="Arial" w:hAnsi="Arial" w:cs="Arial"/>
          <w:b/>
          <w:bCs/>
          <w:sz w:val="24"/>
        </w:rPr>
      </w:pPr>
    </w:p>
    <w:p w:rsidR="005B1442" w:rsidRDefault="000E7F93" w:rsidP="005B1442">
      <w:pPr>
        <w:pStyle w:val="Sumrio1"/>
        <w:tabs>
          <w:tab w:val="left" w:pos="600"/>
          <w:tab w:val="right" w:leader="underscore" w:pos="9017"/>
        </w:tabs>
        <w:spacing w:line="600" w:lineRule="auto"/>
        <w:rPr>
          <w:rFonts w:eastAsiaTheme="minorEastAsia" w:cstheme="minorBidi"/>
          <w:b w:val="0"/>
          <w:bCs w:val="0"/>
          <w:i w:val="0"/>
          <w:iCs w:val="0"/>
          <w:noProof/>
          <w:sz w:val="22"/>
          <w:szCs w:val="22"/>
          <w:lang w:eastAsia="pt-BR"/>
        </w:rPr>
      </w:pPr>
      <w:r>
        <w:fldChar w:fldCharType="begin"/>
      </w:r>
      <w:r>
        <w:instrText xml:space="preserve"> TOC \o "1-1" \h \z \u </w:instrText>
      </w:r>
      <w:r>
        <w:fldChar w:fldCharType="separate"/>
      </w:r>
      <w:hyperlink w:anchor="_Toc334529373" w:history="1">
        <w:r w:rsidR="005B1442" w:rsidRPr="00B0340C">
          <w:rPr>
            <w:rStyle w:val="Hyperlink"/>
            <w:noProof/>
          </w:rPr>
          <w:t>1.</w:t>
        </w:r>
        <w:r w:rsidR="005B1442">
          <w:rPr>
            <w:rFonts w:eastAsiaTheme="minorEastAsia" w:cstheme="minorBidi"/>
            <w:b w:val="0"/>
            <w:bCs w:val="0"/>
            <w:i w:val="0"/>
            <w:iCs w:val="0"/>
            <w:noProof/>
            <w:sz w:val="22"/>
            <w:szCs w:val="22"/>
            <w:lang w:eastAsia="pt-BR"/>
          </w:rPr>
          <w:tab/>
        </w:r>
        <w:r w:rsidR="005B1442" w:rsidRPr="00B0340C">
          <w:rPr>
            <w:rStyle w:val="Hyperlink"/>
            <w:noProof/>
          </w:rPr>
          <w:t>ANÁLISE FISCAL DA PREFEITURA DE BELO HORIZONTE</w:t>
        </w:r>
        <w:r w:rsidR="005B1442">
          <w:rPr>
            <w:noProof/>
            <w:webHidden/>
          </w:rPr>
          <w:tab/>
        </w:r>
        <w:r w:rsidR="005B1442">
          <w:rPr>
            <w:noProof/>
            <w:webHidden/>
          </w:rPr>
          <w:fldChar w:fldCharType="begin"/>
        </w:r>
        <w:r w:rsidR="005B1442">
          <w:rPr>
            <w:noProof/>
            <w:webHidden/>
          </w:rPr>
          <w:instrText xml:space="preserve"> PAGEREF _Toc334529373 \h </w:instrText>
        </w:r>
        <w:r w:rsidR="005B1442">
          <w:rPr>
            <w:noProof/>
            <w:webHidden/>
          </w:rPr>
        </w:r>
        <w:r w:rsidR="005B1442">
          <w:rPr>
            <w:noProof/>
            <w:webHidden/>
          </w:rPr>
          <w:fldChar w:fldCharType="separate"/>
        </w:r>
        <w:r w:rsidR="005B1442">
          <w:rPr>
            <w:noProof/>
            <w:webHidden/>
          </w:rPr>
          <w:t>3</w:t>
        </w:r>
        <w:r w:rsidR="005B1442">
          <w:rPr>
            <w:noProof/>
            <w:webHidden/>
          </w:rPr>
          <w:fldChar w:fldCharType="end"/>
        </w:r>
      </w:hyperlink>
    </w:p>
    <w:p w:rsidR="005B1442" w:rsidRDefault="00603B4A" w:rsidP="005B1442">
      <w:pPr>
        <w:pStyle w:val="Sumrio1"/>
        <w:tabs>
          <w:tab w:val="left" w:pos="600"/>
          <w:tab w:val="right" w:leader="underscore" w:pos="9017"/>
        </w:tabs>
        <w:spacing w:line="600" w:lineRule="auto"/>
        <w:rPr>
          <w:rFonts w:eastAsiaTheme="minorEastAsia" w:cstheme="minorBidi"/>
          <w:b w:val="0"/>
          <w:bCs w:val="0"/>
          <w:i w:val="0"/>
          <w:iCs w:val="0"/>
          <w:noProof/>
          <w:sz w:val="22"/>
          <w:szCs w:val="22"/>
          <w:lang w:eastAsia="pt-BR"/>
        </w:rPr>
      </w:pPr>
      <w:hyperlink w:anchor="_Toc334529374" w:history="1">
        <w:r w:rsidR="005B1442" w:rsidRPr="00B0340C">
          <w:rPr>
            <w:rStyle w:val="Hyperlink"/>
            <w:noProof/>
          </w:rPr>
          <w:t>2.</w:t>
        </w:r>
        <w:r w:rsidR="005B1442">
          <w:rPr>
            <w:rFonts w:eastAsiaTheme="minorEastAsia" w:cstheme="minorBidi"/>
            <w:b w:val="0"/>
            <w:bCs w:val="0"/>
            <w:i w:val="0"/>
            <w:iCs w:val="0"/>
            <w:noProof/>
            <w:sz w:val="22"/>
            <w:szCs w:val="22"/>
            <w:lang w:eastAsia="pt-BR"/>
          </w:rPr>
          <w:tab/>
        </w:r>
        <w:r w:rsidR="005B1442" w:rsidRPr="00B0340C">
          <w:rPr>
            <w:rStyle w:val="Hyperlink"/>
            <w:noProof/>
          </w:rPr>
          <w:t>ANÁLISE FINANCEIRA E INSTITUCIONAL DA COPASA</w:t>
        </w:r>
        <w:r w:rsidR="005B1442">
          <w:rPr>
            <w:noProof/>
            <w:webHidden/>
          </w:rPr>
          <w:tab/>
        </w:r>
        <w:r w:rsidR="005B1442">
          <w:rPr>
            <w:noProof/>
            <w:webHidden/>
          </w:rPr>
          <w:fldChar w:fldCharType="begin"/>
        </w:r>
        <w:r w:rsidR="005B1442">
          <w:rPr>
            <w:noProof/>
            <w:webHidden/>
          </w:rPr>
          <w:instrText xml:space="preserve"> PAGEREF _Toc334529374 \h </w:instrText>
        </w:r>
        <w:r w:rsidR="005B1442">
          <w:rPr>
            <w:noProof/>
            <w:webHidden/>
          </w:rPr>
        </w:r>
        <w:r w:rsidR="005B1442">
          <w:rPr>
            <w:noProof/>
            <w:webHidden/>
          </w:rPr>
          <w:fldChar w:fldCharType="separate"/>
        </w:r>
        <w:r w:rsidR="005B1442">
          <w:rPr>
            <w:noProof/>
            <w:webHidden/>
          </w:rPr>
          <w:t>10</w:t>
        </w:r>
        <w:r w:rsidR="005B1442">
          <w:rPr>
            <w:noProof/>
            <w:webHidden/>
          </w:rPr>
          <w:fldChar w:fldCharType="end"/>
        </w:r>
      </w:hyperlink>
    </w:p>
    <w:p w:rsidR="005B1442" w:rsidRDefault="00603B4A" w:rsidP="005B1442">
      <w:pPr>
        <w:pStyle w:val="Sumrio1"/>
        <w:tabs>
          <w:tab w:val="left" w:pos="600"/>
          <w:tab w:val="right" w:leader="underscore" w:pos="9017"/>
        </w:tabs>
        <w:spacing w:line="600" w:lineRule="auto"/>
        <w:rPr>
          <w:rFonts w:eastAsiaTheme="minorEastAsia" w:cstheme="minorBidi"/>
          <w:b w:val="0"/>
          <w:bCs w:val="0"/>
          <w:i w:val="0"/>
          <w:iCs w:val="0"/>
          <w:noProof/>
          <w:sz w:val="22"/>
          <w:szCs w:val="22"/>
          <w:lang w:eastAsia="pt-BR"/>
        </w:rPr>
      </w:pPr>
      <w:hyperlink w:anchor="_Toc334529375" w:history="1">
        <w:r w:rsidR="005B1442" w:rsidRPr="00B0340C">
          <w:rPr>
            <w:rStyle w:val="Hyperlink"/>
            <w:noProof/>
          </w:rPr>
          <w:t>3.</w:t>
        </w:r>
        <w:r w:rsidR="005B1442">
          <w:rPr>
            <w:rFonts w:eastAsiaTheme="minorEastAsia" w:cstheme="minorBidi"/>
            <w:b w:val="0"/>
            <w:bCs w:val="0"/>
            <w:i w:val="0"/>
            <w:iCs w:val="0"/>
            <w:noProof/>
            <w:sz w:val="22"/>
            <w:szCs w:val="22"/>
            <w:lang w:eastAsia="pt-BR"/>
          </w:rPr>
          <w:tab/>
        </w:r>
        <w:r w:rsidR="005B1442" w:rsidRPr="00B0340C">
          <w:rPr>
            <w:rStyle w:val="Hyperlink"/>
            <w:noProof/>
          </w:rPr>
          <w:t>Anexo 1_Premissas e justificativas para projeções financeiras PBH</w:t>
        </w:r>
        <w:r w:rsidR="005B1442">
          <w:rPr>
            <w:noProof/>
            <w:webHidden/>
          </w:rPr>
          <w:tab/>
        </w:r>
        <w:r w:rsidR="005B1442">
          <w:rPr>
            <w:noProof/>
            <w:webHidden/>
          </w:rPr>
          <w:fldChar w:fldCharType="begin"/>
        </w:r>
        <w:r w:rsidR="005B1442">
          <w:rPr>
            <w:noProof/>
            <w:webHidden/>
          </w:rPr>
          <w:instrText xml:space="preserve"> PAGEREF _Toc334529375 \h </w:instrText>
        </w:r>
        <w:r w:rsidR="005B1442">
          <w:rPr>
            <w:noProof/>
            <w:webHidden/>
          </w:rPr>
        </w:r>
        <w:r w:rsidR="005B1442">
          <w:rPr>
            <w:noProof/>
            <w:webHidden/>
          </w:rPr>
          <w:fldChar w:fldCharType="separate"/>
        </w:r>
        <w:r w:rsidR="005B1442">
          <w:rPr>
            <w:noProof/>
            <w:webHidden/>
          </w:rPr>
          <w:t>20</w:t>
        </w:r>
        <w:r w:rsidR="005B1442">
          <w:rPr>
            <w:noProof/>
            <w:webHidden/>
          </w:rPr>
          <w:fldChar w:fldCharType="end"/>
        </w:r>
      </w:hyperlink>
    </w:p>
    <w:p w:rsidR="005B1442" w:rsidRDefault="00603B4A" w:rsidP="005B1442">
      <w:pPr>
        <w:pStyle w:val="Sumrio1"/>
        <w:tabs>
          <w:tab w:val="left" w:pos="600"/>
          <w:tab w:val="right" w:leader="underscore" w:pos="9017"/>
        </w:tabs>
        <w:spacing w:line="600" w:lineRule="auto"/>
        <w:rPr>
          <w:rFonts w:eastAsiaTheme="minorEastAsia" w:cstheme="minorBidi"/>
          <w:b w:val="0"/>
          <w:bCs w:val="0"/>
          <w:i w:val="0"/>
          <w:iCs w:val="0"/>
          <w:noProof/>
          <w:sz w:val="22"/>
          <w:szCs w:val="22"/>
          <w:lang w:eastAsia="pt-BR"/>
        </w:rPr>
      </w:pPr>
      <w:hyperlink w:anchor="_Toc334529376" w:history="1">
        <w:r w:rsidR="005B1442" w:rsidRPr="00B0340C">
          <w:rPr>
            <w:rStyle w:val="Hyperlink"/>
            <w:noProof/>
          </w:rPr>
          <w:t>4.</w:t>
        </w:r>
        <w:r w:rsidR="005B1442">
          <w:rPr>
            <w:rFonts w:eastAsiaTheme="minorEastAsia" w:cstheme="minorBidi"/>
            <w:b w:val="0"/>
            <w:bCs w:val="0"/>
            <w:i w:val="0"/>
            <w:iCs w:val="0"/>
            <w:noProof/>
            <w:sz w:val="22"/>
            <w:szCs w:val="22"/>
            <w:lang w:eastAsia="pt-BR"/>
          </w:rPr>
          <w:tab/>
        </w:r>
        <w:r w:rsidR="005B1442" w:rsidRPr="00B0340C">
          <w:rPr>
            <w:rStyle w:val="Hyperlink"/>
            <w:noProof/>
          </w:rPr>
          <w:t>Anexo 2_Detalhamento da análise financeira da COPASA</w:t>
        </w:r>
        <w:r w:rsidR="005B1442">
          <w:rPr>
            <w:noProof/>
            <w:webHidden/>
          </w:rPr>
          <w:tab/>
        </w:r>
        <w:r w:rsidR="005B1442">
          <w:rPr>
            <w:noProof/>
            <w:webHidden/>
          </w:rPr>
          <w:fldChar w:fldCharType="begin"/>
        </w:r>
        <w:r w:rsidR="005B1442">
          <w:rPr>
            <w:noProof/>
            <w:webHidden/>
          </w:rPr>
          <w:instrText xml:space="preserve"> PAGEREF _Toc334529376 \h </w:instrText>
        </w:r>
        <w:r w:rsidR="005B1442">
          <w:rPr>
            <w:noProof/>
            <w:webHidden/>
          </w:rPr>
        </w:r>
        <w:r w:rsidR="005B1442">
          <w:rPr>
            <w:noProof/>
            <w:webHidden/>
          </w:rPr>
          <w:fldChar w:fldCharType="separate"/>
        </w:r>
        <w:r w:rsidR="005B1442">
          <w:rPr>
            <w:noProof/>
            <w:webHidden/>
          </w:rPr>
          <w:t>21</w:t>
        </w:r>
        <w:r w:rsidR="005B1442">
          <w:rPr>
            <w:noProof/>
            <w:webHidden/>
          </w:rPr>
          <w:fldChar w:fldCharType="end"/>
        </w:r>
      </w:hyperlink>
    </w:p>
    <w:p w:rsidR="00E76CC5" w:rsidRDefault="000E7F93" w:rsidP="005B1442">
      <w:pPr>
        <w:spacing w:line="600" w:lineRule="auto"/>
        <w:sectPr w:rsidR="00E76CC5" w:rsidSect="00824380">
          <w:pgSz w:w="11907" w:h="16839" w:code="9"/>
          <w:pgMar w:top="1528" w:right="1440" w:bottom="993" w:left="1440" w:header="567" w:footer="847" w:gutter="0"/>
          <w:cols w:space="720"/>
          <w:docGrid w:linePitch="272"/>
        </w:sectPr>
      </w:pPr>
      <w:r>
        <w:fldChar w:fldCharType="end"/>
      </w:r>
    </w:p>
    <w:p w:rsidR="003927FA" w:rsidRPr="003927FA" w:rsidRDefault="003927FA" w:rsidP="00824380">
      <w:pPr>
        <w:pStyle w:val="Ttulo1"/>
        <w:tabs>
          <w:tab w:val="clear" w:pos="360"/>
          <w:tab w:val="num" w:pos="709"/>
        </w:tabs>
        <w:ind w:left="709" w:hanging="709"/>
      </w:pPr>
      <w:bookmarkStart w:id="1" w:name="_Toc334112926"/>
      <w:bookmarkStart w:id="2" w:name="_Toc334529373"/>
      <w:r w:rsidRPr="003927FA">
        <w:lastRenderedPageBreak/>
        <w:t xml:space="preserve">ANÁLISE FISCAL </w:t>
      </w:r>
      <w:r w:rsidRPr="00824380">
        <w:t>DA PREFEITURA DE BELO HORIZONTE</w:t>
      </w:r>
      <w:bookmarkEnd w:id="1"/>
      <w:bookmarkEnd w:id="2"/>
    </w:p>
    <w:p w:rsidR="003927FA" w:rsidRPr="003927FA" w:rsidRDefault="003927FA" w:rsidP="003927FA">
      <w:pPr>
        <w:numPr>
          <w:ilvl w:val="0"/>
          <w:numId w:val="6"/>
        </w:numPr>
        <w:tabs>
          <w:tab w:val="left" w:pos="180"/>
        </w:tabs>
        <w:spacing w:before="120" w:after="120"/>
        <w:jc w:val="both"/>
        <w:outlineLvl w:val="1"/>
        <w:rPr>
          <w:rFonts w:ascii="Arial" w:hAnsi="Arial"/>
          <w:vanish/>
          <w:sz w:val="24"/>
          <w:lang w:eastAsia="es-ES"/>
        </w:rPr>
      </w:pPr>
    </w:p>
    <w:p w:rsidR="003927FA" w:rsidRPr="003927FA" w:rsidRDefault="003927FA" w:rsidP="003927FA"/>
    <w:p w:rsidR="003927FA" w:rsidRPr="003927FA" w:rsidRDefault="003927FA" w:rsidP="003927FA">
      <w:pPr>
        <w:numPr>
          <w:ilvl w:val="1"/>
          <w:numId w:val="6"/>
        </w:numPr>
        <w:tabs>
          <w:tab w:val="left" w:pos="180"/>
        </w:tabs>
        <w:spacing w:before="120" w:after="120"/>
        <w:ind w:left="709" w:hanging="709"/>
        <w:jc w:val="both"/>
        <w:outlineLvl w:val="1"/>
        <w:rPr>
          <w:rFonts w:ascii="Arial" w:hAnsi="Arial"/>
          <w:sz w:val="24"/>
          <w:lang w:eastAsia="es-ES"/>
        </w:rPr>
      </w:pPr>
      <w:r w:rsidRPr="003927FA">
        <w:rPr>
          <w:rFonts w:ascii="Arial" w:hAnsi="Arial"/>
          <w:sz w:val="24"/>
          <w:lang w:eastAsia="es-ES"/>
        </w:rPr>
        <w:t>A capacidade financeira d</w:t>
      </w:r>
      <w:r>
        <w:rPr>
          <w:rFonts w:ascii="Arial" w:hAnsi="Arial"/>
          <w:sz w:val="24"/>
          <w:lang w:eastAsia="es-ES"/>
        </w:rPr>
        <w:t>a Prefeitura Municipal de Belo Horizonte (PBH)</w:t>
      </w:r>
      <w:r w:rsidRPr="003927FA">
        <w:rPr>
          <w:rFonts w:ascii="Arial" w:hAnsi="Arial"/>
          <w:sz w:val="24"/>
          <w:lang w:eastAsia="es-ES"/>
        </w:rPr>
        <w:t xml:space="preserve"> foi </w:t>
      </w:r>
      <w:r>
        <w:rPr>
          <w:rFonts w:ascii="Arial" w:hAnsi="Arial"/>
          <w:sz w:val="24"/>
          <w:lang w:eastAsia="es-ES"/>
        </w:rPr>
        <w:t>realizada de acordo com a seguinte metodologia:</w:t>
      </w:r>
      <w:r w:rsidRPr="003927FA">
        <w:rPr>
          <w:rFonts w:ascii="Arial" w:hAnsi="Arial"/>
          <w:sz w:val="24"/>
          <w:lang w:eastAsia="es-ES"/>
        </w:rPr>
        <w:t xml:space="preserve"> i) </w:t>
      </w:r>
      <w:r>
        <w:rPr>
          <w:rFonts w:ascii="Arial" w:hAnsi="Arial"/>
          <w:sz w:val="24"/>
          <w:lang w:eastAsia="es-ES"/>
        </w:rPr>
        <w:t>análise d</w:t>
      </w:r>
      <w:r w:rsidRPr="003927FA">
        <w:rPr>
          <w:rFonts w:ascii="Arial" w:hAnsi="Arial"/>
          <w:sz w:val="24"/>
          <w:lang w:eastAsia="es-ES"/>
        </w:rPr>
        <w:t xml:space="preserve">a execução orçamentária </w:t>
      </w:r>
      <w:r>
        <w:rPr>
          <w:rFonts w:ascii="Arial" w:hAnsi="Arial"/>
          <w:sz w:val="24"/>
          <w:lang w:eastAsia="es-ES"/>
        </w:rPr>
        <w:t>n</w:t>
      </w:r>
      <w:r w:rsidRPr="003927FA">
        <w:rPr>
          <w:rFonts w:ascii="Arial" w:hAnsi="Arial"/>
          <w:sz w:val="24"/>
          <w:lang w:eastAsia="es-ES"/>
        </w:rPr>
        <w:t xml:space="preserve">o período </w:t>
      </w:r>
      <w:r>
        <w:rPr>
          <w:rFonts w:ascii="Arial" w:hAnsi="Arial"/>
          <w:sz w:val="24"/>
          <w:lang w:eastAsia="es-ES"/>
        </w:rPr>
        <w:t xml:space="preserve">entre </w:t>
      </w:r>
      <w:r w:rsidRPr="003927FA">
        <w:rPr>
          <w:rFonts w:ascii="Arial" w:hAnsi="Arial"/>
          <w:sz w:val="24"/>
          <w:lang w:eastAsia="es-ES"/>
        </w:rPr>
        <w:t xml:space="preserve">2007 </w:t>
      </w:r>
      <w:r>
        <w:rPr>
          <w:rFonts w:ascii="Arial" w:hAnsi="Arial"/>
          <w:sz w:val="24"/>
          <w:lang w:eastAsia="es-ES"/>
        </w:rPr>
        <w:t>e</w:t>
      </w:r>
      <w:r w:rsidRPr="003927FA">
        <w:rPr>
          <w:rFonts w:ascii="Arial" w:hAnsi="Arial"/>
          <w:sz w:val="24"/>
          <w:lang w:eastAsia="es-ES"/>
        </w:rPr>
        <w:t xml:space="preserve"> 2011 e ii) </w:t>
      </w:r>
      <w:r>
        <w:rPr>
          <w:rFonts w:ascii="Arial" w:hAnsi="Arial"/>
          <w:sz w:val="24"/>
          <w:lang w:eastAsia="es-ES"/>
        </w:rPr>
        <w:t>verificação do cumprimento d</w:t>
      </w:r>
      <w:r w:rsidRPr="003927FA">
        <w:rPr>
          <w:rFonts w:ascii="Arial" w:hAnsi="Arial"/>
          <w:sz w:val="24"/>
          <w:lang w:eastAsia="es-ES"/>
        </w:rPr>
        <w:t xml:space="preserve">os </w:t>
      </w:r>
      <w:r>
        <w:rPr>
          <w:rFonts w:ascii="Arial" w:hAnsi="Arial"/>
          <w:sz w:val="24"/>
          <w:lang w:eastAsia="es-ES"/>
        </w:rPr>
        <w:t xml:space="preserve">indicadores </w:t>
      </w:r>
      <w:r w:rsidRPr="003927FA">
        <w:rPr>
          <w:rFonts w:ascii="Arial" w:hAnsi="Arial"/>
          <w:sz w:val="24"/>
          <w:lang w:eastAsia="es-ES"/>
        </w:rPr>
        <w:t>da Lei de Responsabilidade Fiscal (LRF), que regula os limites para tomadores de empréstimos no setor público no Brasil.</w:t>
      </w:r>
    </w:p>
    <w:p w:rsidR="00D05F07" w:rsidRPr="00D05F07" w:rsidRDefault="00D05F07" w:rsidP="00D05F07">
      <w:pPr>
        <w:pStyle w:val="PargrafodaLista"/>
        <w:numPr>
          <w:ilvl w:val="0"/>
          <w:numId w:val="3"/>
        </w:numPr>
        <w:tabs>
          <w:tab w:val="left" w:pos="180"/>
        </w:tabs>
        <w:spacing w:before="120" w:after="120"/>
        <w:jc w:val="both"/>
        <w:outlineLvl w:val="1"/>
        <w:rPr>
          <w:rFonts w:ascii="Arial" w:hAnsi="Arial"/>
          <w:vanish/>
          <w:sz w:val="24"/>
          <w:lang w:eastAsia="es-ES"/>
        </w:rPr>
      </w:pPr>
    </w:p>
    <w:p w:rsidR="00D05F07" w:rsidRPr="00D05F07" w:rsidRDefault="00D05F07" w:rsidP="00D05F07">
      <w:pPr>
        <w:pStyle w:val="PargrafodaLista"/>
        <w:numPr>
          <w:ilvl w:val="1"/>
          <w:numId w:val="3"/>
        </w:numPr>
        <w:tabs>
          <w:tab w:val="left" w:pos="180"/>
        </w:tabs>
        <w:spacing w:before="120" w:after="120"/>
        <w:jc w:val="both"/>
        <w:outlineLvl w:val="1"/>
        <w:rPr>
          <w:rFonts w:ascii="Arial" w:hAnsi="Arial"/>
          <w:vanish/>
          <w:sz w:val="24"/>
          <w:lang w:eastAsia="es-ES"/>
        </w:rPr>
      </w:pPr>
    </w:p>
    <w:p w:rsidR="003927FA" w:rsidRPr="003927FA" w:rsidRDefault="003927FA" w:rsidP="00D05F07">
      <w:pPr>
        <w:numPr>
          <w:ilvl w:val="1"/>
          <w:numId w:val="3"/>
        </w:numPr>
        <w:tabs>
          <w:tab w:val="left" w:pos="180"/>
        </w:tabs>
        <w:spacing w:before="120" w:after="120"/>
        <w:jc w:val="both"/>
        <w:outlineLvl w:val="1"/>
        <w:rPr>
          <w:rFonts w:ascii="Arial" w:hAnsi="Arial"/>
          <w:sz w:val="24"/>
          <w:lang w:eastAsia="es-ES"/>
        </w:rPr>
      </w:pPr>
      <w:r w:rsidRPr="003927FA">
        <w:rPr>
          <w:rFonts w:ascii="Arial" w:hAnsi="Arial"/>
          <w:sz w:val="24"/>
          <w:lang w:eastAsia="es-ES"/>
        </w:rPr>
        <w:t>Para efeito de comparação entre os exercícios fiscais, os valores da execução orçamentária d</w:t>
      </w:r>
      <w:r>
        <w:rPr>
          <w:rFonts w:ascii="Arial" w:hAnsi="Arial"/>
          <w:sz w:val="24"/>
          <w:lang w:eastAsia="es-ES"/>
        </w:rPr>
        <w:t>a PBH</w:t>
      </w:r>
      <w:r w:rsidRPr="003927FA">
        <w:rPr>
          <w:rFonts w:ascii="Arial" w:hAnsi="Arial"/>
          <w:sz w:val="24"/>
          <w:lang w:eastAsia="es-ES"/>
        </w:rPr>
        <w:t xml:space="preserve"> foram atualizados para a data base de dezembro de 2011 através do </w:t>
      </w:r>
      <w:r>
        <w:rPr>
          <w:rFonts w:ascii="Arial" w:hAnsi="Arial"/>
          <w:sz w:val="24"/>
          <w:lang w:eastAsia="es-ES"/>
        </w:rPr>
        <w:t>Índice de Preços ao Consumidor Amplo (</w:t>
      </w:r>
      <w:r w:rsidRPr="003927FA">
        <w:rPr>
          <w:rFonts w:ascii="Arial" w:hAnsi="Arial"/>
          <w:sz w:val="24"/>
          <w:lang w:eastAsia="es-ES"/>
        </w:rPr>
        <w:t>IPCA</w:t>
      </w:r>
      <w:r>
        <w:rPr>
          <w:rFonts w:ascii="Arial" w:hAnsi="Arial"/>
          <w:sz w:val="24"/>
          <w:lang w:eastAsia="es-ES"/>
        </w:rPr>
        <w:t>)</w:t>
      </w:r>
      <w:r w:rsidRPr="003927FA">
        <w:rPr>
          <w:rFonts w:ascii="Arial" w:hAnsi="Arial"/>
          <w:sz w:val="24"/>
          <w:lang w:eastAsia="es-ES"/>
        </w:rPr>
        <w:t xml:space="preserve">, </w:t>
      </w:r>
      <w:r>
        <w:rPr>
          <w:rFonts w:ascii="Arial" w:hAnsi="Arial"/>
          <w:sz w:val="24"/>
          <w:lang w:eastAsia="es-ES"/>
        </w:rPr>
        <w:t>calculado pelo</w:t>
      </w:r>
      <w:r w:rsidRPr="003927FA">
        <w:rPr>
          <w:rFonts w:ascii="Arial" w:hAnsi="Arial"/>
          <w:sz w:val="24"/>
          <w:lang w:eastAsia="es-ES"/>
        </w:rPr>
        <w:t xml:space="preserve"> Instituto Brasileiro de Geografia e Estatística (IBGE). </w:t>
      </w:r>
    </w:p>
    <w:p w:rsidR="002D3EDC" w:rsidRDefault="003927FA" w:rsidP="003927FA">
      <w:pPr>
        <w:numPr>
          <w:ilvl w:val="1"/>
          <w:numId w:val="3"/>
        </w:numPr>
        <w:tabs>
          <w:tab w:val="left" w:pos="180"/>
        </w:tabs>
        <w:spacing w:before="120" w:after="120"/>
        <w:jc w:val="both"/>
        <w:outlineLvl w:val="1"/>
        <w:rPr>
          <w:rFonts w:ascii="Arial" w:hAnsi="Arial"/>
          <w:sz w:val="24"/>
          <w:lang w:eastAsia="es-ES"/>
        </w:rPr>
      </w:pPr>
      <w:r w:rsidRPr="003927FA">
        <w:rPr>
          <w:rFonts w:ascii="Arial" w:hAnsi="Arial"/>
          <w:sz w:val="24"/>
          <w:lang w:eastAsia="es-ES"/>
        </w:rPr>
        <w:t>A execução orçamentária d</w:t>
      </w:r>
      <w:r>
        <w:rPr>
          <w:rFonts w:ascii="Arial" w:hAnsi="Arial"/>
          <w:sz w:val="24"/>
          <w:lang w:eastAsia="es-ES"/>
        </w:rPr>
        <w:t>a PBH</w:t>
      </w:r>
      <w:r w:rsidRPr="003927FA">
        <w:rPr>
          <w:rFonts w:ascii="Arial" w:hAnsi="Arial"/>
          <w:sz w:val="24"/>
          <w:lang w:eastAsia="es-ES"/>
        </w:rPr>
        <w:t xml:space="preserve"> apresent</w:t>
      </w:r>
      <w:r>
        <w:rPr>
          <w:rFonts w:ascii="Arial" w:hAnsi="Arial"/>
          <w:sz w:val="24"/>
          <w:lang w:eastAsia="es-ES"/>
        </w:rPr>
        <w:t>ou</w:t>
      </w:r>
      <w:r w:rsidRPr="003927FA">
        <w:rPr>
          <w:rFonts w:ascii="Arial" w:hAnsi="Arial"/>
          <w:sz w:val="24"/>
          <w:lang w:eastAsia="es-ES"/>
        </w:rPr>
        <w:t xml:space="preserve"> </w:t>
      </w:r>
      <w:r>
        <w:rPr>
          <w:rFonts w:ascii="Arial" w:hAnsi="Arial"/>
          <w:sz w:val="24"/>
          <w:lang w:eastAsia="es-ES"/>
        </w:rPr>
        <w:t xml:space="preserve">déficits orçamentários nos exercícios fiscais de </w:t>
      </w:r>
      <w:r w:rsidRPr="003927FA">
        <w:rPr>
          <w:rFonts w:ascii="Arial" w:hAnsi="Arial"/>
          <w:sz w:val="24"/>
          <w:lang w:eastAsia="es-ES"/>
        </w:rPr>
        <w:t>2007, 200</w:t>
      </w:r>
      <w:r w:rsidR="002D3EDC">
        <w:rPr>
          <w:rFonts w:ascii="Arial" w:hAnsi="Arial"/>
          <w:sz w:val="24"/>
          <w:lang w:eastAsia="es-ES"/>
        </w:rPr>
        <w:t>9</w:t>
      </w:r>
      <w:r w:rsidRPr="003927FA">
        <w:rPr>
          <w:rFonts w:ascii="Arial" w:hAnsi="Arial"/>
          <w:sz w:val="24"/>
          <w:lang w:eastAsia="es-ES"/>
        </w:rPr>
        <w:t xml:space="preserve"> e 2010. Nos exercícios fiscais de 200</w:t>
      </w:r>
      <w:r w:rsidR="002D3EDC">
        <w:rPr>
          <w:rFonts w:ascii="Arial" w:hAnsi="Arial"/>
          <w:sz w:val="24"/>
          <w:lang w:eastAsia="es-ES"/>
        </w:rPr>
        <w:t>8</w:t>
      </w:r>
      <w:r w:rsidRPr="003927FA">
        <w:rPr>
          <w:rFonts w:ascii="Arial" w:hAnsi="Arial"/>
          <w:sz w:val="24"/>
          <w:lang w:eastAsia="es-ES"/>
        </w:rPr>
        <w:t xml:space="preserve"> e 2011</w:t>
      </w:r>
      <w:r w:rsidR="002D3EDC">
        <w:rPr>
          <w:rFonts w:ascii="Arial" w:hAnsi="Arial"/>
          <w:sz w:val="24"/>
          <w:lang w:eastAsia="es-ES"/>
        </w:rPr>
        <w:t xml:space="preserve"> a PBH </w:t>
      </w:r>
      <w:r w:rsidRPr="003927FA">
        <w:rPr>
          <w:rFonts w:ascii="Arial" w:hAnsi="Arial"/>
          <w:sz w:val="24"/>
          <w:lang w:eastAsia="es-ES"/>
        </w:rPr>
        <w:t xml:space="preserve">apresentou </w:t>
      </w:r>
      <w:r w:rsidR="002D3EDC">
        <w:rPr>
          <w:rFonts w:ascii="Arial" w:hAnsi="Arial"/>
          <w:sz w:val="24"/>
          <w:lang w:eastAsia="es-ES"/>
        </w:rPr>
        <w:t xml:space="preserve">superávits orçamentários. </w:t>
      </w:r>
      <w:r w:rsidRPr="003927FA">
        <w:rPr>
          <w:rFonts w:ascii="Arial" w:hAnsi="Arial"/>
          <w:sz w:val="24"/>
          <w:lang w:eastAsia="es-ES"/>
        </w:rPr>
        <w:t xml:space="preserve">O resultado </w:t>
      </w:r>
      <w:r w:rsidR="002D3EDC">
        <w:rPr>
          <w:rFonts w:ascii="Arial" w:hAnsi="Arial"/>
          <w:sz w:val="24"/>
          <w:lang w:eastAsia="es-ES"/>
        </w:rPr>
        <w:t>orçamentário</w:t>
      </w:r>
      <w:r w:rsidRPr="003927FA">
        <w:rPr>
          <w:rFonts w:ascii="Arial" w:hAnsi="Arial"/>
          <w:sz w:val="24"/>
          <w:lang w:eastAsia="es-ES"/>
        </w:rPr>
        <w:t xml:space="preserve"> representa a diferença entre a receita total arrecadada e o total da despesa empenhada, incluindo juros e o principal da dívida e acrescentando as receitas financeiras. </w:t>
      </w:r>
      <w:r w:rsidR="002D3EDC">
        <w:rPr>
          <w:rFonts w:ascii="Arial" w:hAnsi="Arial"/>
          <w:sz w:val="24"/>
          <w:lang w:eastAsia="es-ES"/>
        </w:rPr>
        <w:t>Embora a receita tributária tenha crescido 4,9% em 2009 com relação ao exercício de 2008, o</w:t>
      </w:r>
      <w:r w:rsidRPr="003927FA">
        <w:rPr>
          <w:rFonts w:ascii="Arial" w:hAnsi="Arial"/>
          <w:sz w:val="24"/>
          <w:lang w:eastAsia="es-ES"/>
        </w:rPr>
        <w:t xml:space="preserve">s efeitos da crise financeira mundial </w:t>
      </w:r>
      <w:r w:rsidR="002D3EDC">
        <w:rPr>
          <w:rFonts w:ascii="Arial" w:hAnsi="Arial"/>
          <w:sz w:val="24"/>
          <w:lang w:eastAsia="es-ES"/>
        </w:rPr>
        <w:t>iniciada em</w:t>
      </w:r>
      <w:r w:rsidRPr="003927FA">
        <w:rPr>
          <w:rFonts w:ascii="Arial" w:hAnsi="Arial"/>
          <w:sz w:val="24"/>
          <w:lang w:eastAsia="es-ES"/>
        </w:rPr>
        <w:t xml:space="preserve"> 2008 </w:t>
      </w:r>
      <w:r w:rsidR="002D3EDC">
        <w:rPr>
          <w:rFonts w:ascii="Arial" w:hAnsi="Arial"/>
          <w:sz w:val="24"/>
          <w:lang w:eastAsia="es-ES"/>
        </w:rPr>
        <w:t>se fizeram notar no total das receitas correntes nos exercício de 2009, que apresentaram crescimento de apenas 1,4% naquele exercício, uma vez que as receitas de transferências estaduais reduziram-se aproximadamente 4,5% em 2009.</w:t>
      </w:r>
      <w:r w:rsidR="00536ED7">
        <w:rPr>
          <w:rFonts w:ascii="Arial" w:hAnsi="Arial"/>
          <w:sz w:val="24"/>
          <w:lang w:eastAsia="es-ES"/>
        </w:rPr>
        <w:t xml:space="preserve"> </w:t>
      </w:r>
    </w:p>
    <w:p w:rsidR="003927FA" w:rsidRPr="003927FA" w:rsidRDefault="003927FA" w:rsidP="003927FA">
      <w:pPr>
        <w:numPr>
          <w:ilvl w:val="1"/>
          <w:numId w:val="3"/>
        </w:numPr>
        <w:tabs>
          <w:tab w:val="left" w:pos="180"/>
        </w:tabs>
        <w:spacing w:before="120" w:after="120"/>
        <w:jc w:val="both"/>
        <w:outlineLvl w:val="1"/>
        <w:rPr>
          <w:rFonts w:ascii="Arial" w:hAnsi="Arial"/>
          <w:sz w:val="24"/>
          <w:lang w:eastAsia="es-ES"/>
        </w:rPr>
      </w:pPr>
      <w:r w:rsidRPr="003927FA">
        <w:rPr>
          <w:rFonts w:ascii="Arial" w:hAnsi="Arial"/>
          <w:sz w:val="24"/>
          <w:lang w:eastAsia="es-ES"/>
        </w:rPr>
        <w:t>Conforme se observa n</w:t>
      </w:r>
      <w:r w:rsidR="00DF7B20">
        <w:rPr>
          <w:rFonts w:ascii="Arial" w:hAnsi="Arial"/>
          <w:sz w:val="24"/>
          <w:lang w:eastAsia="es-ES"/>
        </w:rPr>
        <w:t xml:space="preserve">o quadro </w:t>
      </w:r>
      <w:r w:rsidRPr="003927FA">
        <w:rPr>
          <w:rFonts w:ascii="Arial" w:hAnsi="Arial"/>
          <w:sz w:val="24"/>
          <w:lang w:eastAsia="es-ES"/>
        </w:rPr>
        <w:t xml:space="preserve">1, </w:t>
      </w:r>
      <w:r w:rsidR="006432B5">
        <w:rPr>
          <w:rFonts w:ascii="Arial" w:hAnsi="Arial"/>
          <w:sz w:val="24"/>
          <w:lang w:eastAsia="es-ES"/>
        </w:rPr>
        <w:t>as receitas correntes cresceram 8,3% ao ano em termos constantes no período analisado</w:t>
      </w:r>
      <w:r w:rsidR="006432B5">
        <w:rPr>
          <w:rStyle w:val="Refdenotaderodap"/>
          <w:rFonts w:ascii="Arial" w:hAnsi="Arial"/>
          <w:sz w:val="24"/>
          <w:lang w:eastAsia="es-ES"/>
        </w:rPr>
        <w:footnoteReference w:id="1"/>
      </w:r>
      <w:r w:rsidR="006432B5">
        <w:rPr>
          <w:rFonts w:ascii="Arial" w:hAnsi="Arial"/>
          <w:sz w:val="24"/>
          <w:lang w:eastAsia="es-ES"/>
        </w:rPr>
        <w:t xml:space="preserve">, enquanto as despesas correntes cresceram a um ritmo menor, de 7,0% ao ano a preços constantes, embora as despesas com pessoal tenham crescido 10,2% ao ano no período. Os gastos com juros e encargos da dívida, bem como as amortizações, também apresentaram elevada taxa de crescimento anual no período, com 19,2% ao ano a preços constantes para os juros e encargos e 24,6% para as amortizações. A poupança líquida (receitas correntes menos despesas correntes, juros, encargos e amortizações) teve crescimento de 19,8% ao ano no período e as receitas de capital cresceram 23,7% ao ano, com as operações de crédito atingindo crescimento anual de 21% ao ano a preços constantes. </w:t>
      </w:r>
      <w:r w:rsidR="002C666B">
        <w:rPr>
          <w:rFonts w:ascii="Arial" w:hAnsi="Arial"/>
          <w:sz w:val="24"/>
          <w:lang w:eastAsia="es-ES"/>
        </w:rPr>
        <w:t xml:space="preserve">A geração de poupança líquida garantiu elevados níveis de investimentos com recursos próprios. </w:t>
      </w:r>
      <w:r w:rsidR="006432B5">
        <w:rPr>
          <w:rFonts w:ascii="Arial" w:hAnsi="Arial"/>
          <w:sz w:val="24"/>
          <w:lang w:eastAsia="es-ES"/>
        </w:rPr>
        <w:t>Os investimentos da PBH cresceram à taxa anual de 7,3% no período e variaram de um mínimo de 12% em 2010 e 19% em 2008 do total das receitas correntes do município.</w:t>
      </w:r>
      <w:r w:rsidRPr="003927FA">
        <w:rPr>
          <w:rFonts w:ascii="Arial" w:hAnsi="Arial"/>
          <w:sz w:val="24"/>
          <w:lang w:eastAsia="es-ES"/>
        </w:rPr>
        <w:t xml:space="preserve"> </w:t>
      </w:r>
      <w:r w:rsidR="002C666B">
        <w:rPr>
          <w:rFonts w:ascii="Arial" w:hAnsi="Arial"/>
          <w:sz w:val="24"/>
          <w:lang w:eastAsia="es-ES"/>
        </w:rPr>
        <w:t xml:space="preserve">Outro </w:t>
      </w:r>
      <w:r w:rsidRPr="003927FA">
        <w:rPr>
          <w:rFonts w:ascii="Arial" w:hAnsi="Arial"/>
          <w:sz w:val="24"/>
          <w:lang w:eastAsia="es-ES"/>
        </w:rPr>
        <w:t>aspecto positivo na execução orçamentária d</w:t>
      </w:r>
      <w:r w:rsidR="004C5CE9">
        <w:rPr>
          <w:rFonts w:ascii="Arial" w:hAnsi="Arial"/>
          <w:sz w:val="24"/>
          <w:lang w:eastAsia="es-ES"/>
        </w:rPr>
        <w:t xml:space="preserve">a PBH </w:t>
      </w:r>
      <w:r w:rsidRPr="003927FA">
        <w:rPr>
          <w:rFonts w:ascii="Arial" w:hAnsi="Arial"/>
          <w:sz w:val="24"/>
          <w:lang w:eastAsia="es-ES"/>
        </w:rPr>
        <w:t xml:space="preserve">no período é </w:t>
      </w:r>
      <w:r w:rsidR="004C5CE9">
        <w:rPr>
          <w:rFonts w:ascii="Arial" w:hAnsi="Arial"/>
          <w:sz w:val="24"/>
          <w:lang w:eastAsia="es-ES"/>
        </w:rPr>
        <w:t xml:space="preserve">a redução dos gastos correntes (custeio) </w:t>
      </w:r>
      <w:r w:rsidRPr="003927FA">
        <w:rPr>
          <w:rFonts w:ascii="Arial" w:hAnsi="Arial"/>
          <w:sz w:val="24"/>
          <w:lang w:eastAsia="es-ES"/>
        </w:rPr>
        <w:t xml:space="preserve">como proporção da receita corrente total, </w:t>
      </w:r>
      <w:r w:rsidR="004C5CE9">
        <w:rPr>
          <w:rFonts w:ascii="Arial" w:hAnsi="Arial"/>
          <w:sz w:val="24"/>
          <w:lang w:eastAsia="es-ES"/>
        </w:rPr>
        <w:t xml:space="preserve">que passaram de 92,1% no exercício fiscal de 2007 para 87,7% no exercício de 2011, </w:t>
      </w:r>
      <w:r w:rsidRPr="003927FA">
        <w:rPr>
          <w:rFonts w:ascii="Arial" w:hAnsi="Arial"/>
          <w:sz w:val="24"/>
          <w:lang w:eastAsia="es-ES"/>
        </w:rPr>
        <w:t>como se observa n</w:t>
      </w:r>
      <w:r w:rsidR="00DF7B20">
        <w:rPr>
          <w:rFonts w:ascii="Arial" w:hAnsi="Arial"/>
          <w:sz w:val="24"/>
          <w:lang w:eastAsia="es-ES"/>
        </w:rPr>
        <w:t>o quadro 2</w:t>
      </w:r>
      <w:r w:rsidRPr="003927FA">
        <w:rPr>
          <w:rFonts w:ascii="Arial" w:hAnsi="Arial"/>
          <w:sz w:val="24"/>
          <w:lang w:eastAsia="es-ES"/>
        </w:rPr>
        <w:t xml:space="preserve">. </w:t>
      </w:r>
    </w:p>
    <w:p w:rsidR="003927FA" w:rsidRPr="003927FA" w:rsidRDefault="003927FA" w:rsidP="004C5CE9"/>
    <w:p w:rsidR="003927FA" w:rsidRPr="003927FA" w:rsidRDefault="00DF7B20" w:rsidP="004C5CE9">
      <w:pPr>
        <w:pStyle w:val="Legenda"/>
      </w:pPr>
      <w:r>
        <w:lastRenderedPageBreak/>
        <w:t>Quadro</w:t>
      </w:r>
      <w:r w:rsidR="003927FA" w:rsidRPr="003927FA">
        <w:t xml:space="preserve"> 1 – </w:t>
      </w:r>
      <w:r w:rsidR="004C5CE9">
        <w:t xml:space="preserve">PBH </w:t>
      </w:r>
      <w:r w:rsidR="003927FA" w:rsidRPr="003927FA">
        <w:t>– Resultado da Execução Orçamentária 2007/2011 – Preços Constantes - R$1,00</w:t>
      </w:r>
    </w:p>
    <w:p w:rsidR="003927FA" w:rsidRPr="003927FA" w:rsidRDefault="004C5CE9" w:rsidP="003927FA">
      <w:r w:rsidRPr="004C5CE9">
        <w:rPr>
          <w:noProof/>
          <w:lang w:eastAsia="pt-BR"/>
        </w:rPr>
        <w:drawing>
          <wp:inline distT="0" distB="0" distL="0" distR="0" wp14:anchorId="628B5E46" wp14:editId="17AC81C4">
            <wp:extent cx="5732145" cy="4263706"/>
            <wp:effectExtent l="0" t="0" r="1905" b="3810"/>
            <wp:docPr id="34" name="Image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2145" cy="4263706"/>
                    </a:xfrm>
                    <a:prstGeom prst="rect">
                      <a:avLst/>
                    </a:prstGeom>
                    <a:noFill/>
                    <a:ln>
                      <a:noFill/>
                    </a:ln>
                  </pic:spPr>
                </pic:pic>
              </a:graphicData>
            </a:graphic>
          </wp:inline>
        </w:drawing>
      </w:r>
    </w:p>
    <w:p w:rsidR="003927FA" w:rsidRPr="003927FA" w:rsidRDefault="00EB0BFE" w:rsidP="003927FA">
      <w:r w:rsidRPr="00EB0BFE">
        <w:rPr>
          <w:noProof/>
          <w:lang w:eastAsia="pt-BR"/>
        </w:rPr>
        <w:drawing>
          <wp:inline distT="0" distB="0" distL="0" distR="0" wp14:anchorId="4FFB09FA" wp14:editId="6CBAAA7D">
            <wp:extent cx="5732145" cy="3237417"/>
            <wp:effectExtent l="0" t="0" r="1905" b="1270"/>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2145" cy="3237417"/>
                    </a:xfrm>
                    <a:prstGeom prst="rect">
                      <a:avLst/>
                    </a:prstGeom>
                    <a:noFill/>
                    <a:ln>
                      <a:noFill/>
                    </a:ln>
                  </pic:spPr>
                </pic:pic>
              </a:graphicData>
            </a:graphic>
          </wp:inline>
        </w:drawing>
      </w:r>
    </w:p>
    <w:p w:rsidR="003927FA" w:rsidRPr="003927FA" w:rsidRDefault="003927FA" w:rsidP="003927FA">
      <w:pPr>
        <w:rPr>
          <w:rFonts w:ascii="Arial" w:hAnsi="Arial" w:cs="Arial"/>
          <w:sz w:val="16"/>
          <w:szCs w:val="16"/>
        </w:rPr>
      </w:pPr>
      <w:r w:rsidRPr="003927FA">
        <w:rPr>
          <w:rFonts w:ascii="Arial" w:hAnsi="Arial" w:cs="Arial"/>
          <w:sz w:val="16"/>
          <w:szCs w:val="16"/>
        </w:rPr>
        <w:t xml:space="preserve">Fonte: </w:t>
      </w:r>
      <w:r w:rsidR="00EB0BFE">
        <w:rPr>
          <w:rFonts w:ascii="Arial" w:hAnsi="Arial" w:cs="Arial"/>
          <w:sz w:val="16"/>
          <w:szCs w:val="16"/>
        </w:rPr>
        <w:t>PBH</w:t>
      </w:r>
      <w:r w:rsidRPr="003927FA">
        <w:rPr>
          <w:rFonts w:ascii="Arial" w:hAnsi="Arial" w:cs="Arial"/>
          <w:sz w:val="16"/>
          <w:szCs w:val="16"/>
        </w:rPr>
        <w:t xml:space="preserve"> – Balanços Orçamentários. Atualização a preços constantes para dezembro 2011 pelo IPCA-IBGE (cálculos próprios). </w:t>
      </w:r>
    </w:p>
    <w:p w:rsidR="003927FA" w:rsidRPr="003927FA" w:rsidRDefault="003927FA" w:rsidP="003927FA"/>
    <w:p w:rsidR="003927FA" w:rsidRPr="003927FA" w:rsidRDefault="003927FA" w:rsidP="003927FA">
      <w:pPr>
        <w:rPr>
          <w:rFonts w:ascii="Arial" w:hAnsi="Arial" w:cs="Arial"/>
          <w:sz w:val="16"/>
          <w:szCs w:val="16"/>
        </w:rPr>
      </w:pPr>
    </w:p>
    <w:p w:rsidR="003927FA" w:rsidRPr="003927FA" w:rsidRDefault="003927FA" w:rsidP="003927FA">
      <w:pPr>
        <w:numPr>
          <w:ilvl w:val="1"/>
          <w:numId w:val="3"/>
        </w:numPr>
        <w:tabs>
          <w:tab w:val="left" w:pos="180"/>
        </w:tabs>
        <w:spacing w:before="120" w:after="120"/>
        <w:jc w:val="both"/>
        <w:outlineLvl w:val="1"/>
        <w:rPr>
          <w:rFonts w:ascii="Arial" w:hAnsi="Arial"/>
          <w:sz w:val="24"/>
          <w:lang w:eastAsia="es-ES"/>
        </w:rPr>
      </w:pPr>
      <w:r w:rsidRPr="003927FA">
        <w:rPr>
          <w:rFonts w:ascii="Arial" w:hAnsi="Arial"/>
          <w:sz w:val="24"/>
          <w:lang w:eastAsia="es-ES"/>
        </w:rPr>
        <w:t>N</w:t>
      </w:r>
      <w:r w:rsidR="00DF7B20">
        <w:rPr>
          <w:rFonts w:ascii="Arial" w:hAnsi="Arial"/>
          <w:sz w:val="24"/>
          <w:lang w:eastAsia="es-ES"/>
        </w:rPr>
        <w:t xml:space="preserve">o quadro </w:t>
      </w:r>
      <w:r w:rsidR="002C666B">
        <w:rPr>
          <w:rFonts w:ascii="Arial" w:hAnsi="Arial"/>
          <w:sz w:val="24"/>
          <w:lang w:eastAsia="es-ES"/>
        </w:rPr>
        <w:t>2</w:t>
      </w:r>
      <w:r w:rsidRPr="003927FA">
        <w:rPr>
          <w:rFonts w:ascii="Arial" w:hAnsi="Arial"/>
          <w:sz w:val="24"/>
          <w:lang w:eastAsia="es-ES"/>
        </w:rPr>
        <w:t xml:space="preserve"> se apresenta as proporções de receitas e despesas com relação à receita corrente total da execução orçamentária d</w:t>
      </w:r>
      <w:r w:rsidR="002C666B">
        <w:rPr>
          <w:rFonts w:ascii="Arial" w:hAnsi="Arial"/>
          <w:sz w:val="24"/>
          <w:lang w:eastAsia="es-ES"/>
        </w:rPr>
        <w:t>a PBH</w:t>
      </w:r>
      <w:r w:rsidRPr="003927FA">
        <w:rPr>
          <w:rFonts w:ascii="Arial" w:hAnsi="Arial"/>
          <w:sz w:val="24"/>
          <w:lang w:eastAsia="es-ES"/>
        </w:rPr>
        <w:t xml:space="preserve"> no período entre 2007 e 2011. Como se observa, em média, </w:t>
      </w:r>
      <w:r w:rsidR="002C666B">
        <w:rPr>
          <w:rFonts w:ascii="Arial" w:hAnsi="Arial"/>
          <w:sz w:val="24"/>
          <w:lang w:eastAsia="es-ES"/>
        </w:rPr>
        <w:t>32</w:t>
      </w:r>
      <w:r w:rsidRPr="003927FA">
        <w:rPr>
          <w:rFonts w:ascii="Arial" w:hAnsi="Arial"/>
          <w:sz w:val="24"/>
          <w:lang w:eastAsia="es-ES"/>
        </w:rPr>
        <w:t>% das receitas correntes d</w:t>
      </w:r>
      <w:r w:rsidR="002C666B">
        <w:rPr>
          <w:rFonts w:ascii="Arial" w:hAnsi="Arial"/>
          <w:sz w:val="24"/>
          <w:lang w:eastAsia="es-ES"/>
        </w:rPr>
        <w:t>a</w:t>
      </w:r>
      <w:r w:rsidRPr="003927FA">
        <w:rPr>
          <w:rFonts w:ascii="Arial" w:hAnsi="Arial"/>
          <w:sz w:val="24"/>
          <w:lang w:eastAsia="es-ES"/>
        </w:rPr>
        <w:t xml:space="preserve"> </w:t>
      </w:r>
      <w:r w:rsidR="002C666B">
        <w:rPr>
          <w:rFonts w:ascii="Arial" w:hAnsi="Arial"/>
          <w:sz w:val="24"/>
          <w:lang w:eastAsia="es-ES"/>
        </w:rPr>
        <w:t>PBH</w:t>
      </w:r>
      <w:r w:rsidRPr="003927FA">
        <w:rPr>
          <w:rFonts w:ascii="Arial" w:hAnsi="Arial"/>
          <w:sz w:val="24"/>
          <w:lang w:eastAsia="es-ES"/>
        </w:rPr>
        <w:t xml:space="preserve"> no período correspondem às receitas tributárias. As Transferências </w:t>
      </w:r>
      <w:r w:rsidRPr="003927FA">
        <w:rPr>
          <w:rFonts w:ascii="Arial" w:hAnsi="Arial"/>
          <w:sz w:val="24"/>
          <w:lang w:eastAsia="es-ES"/>
        </w:rPr>
        <w:lastRenderedPageBreak/>
        <w:t xml:space="preserve">Correntes (constitucionais) são </w:t>
      </w:r>
      <w:r w:rsidR="002C666B">
        <w:rPr>
          <w:rFonts w:ascii="Arial" w:hAnsi="Arial"/>
          <w:sz w:val="24"/>
          <w:lang w:eastAsia="es-ES"/>
        </w:rPr>
        <w:t xml:space="preserve">as mais </w:t>
      </w:r>
      <w:r w:rsidRPr="003927FA">
        <w:rPr>
          <w:rFonts w:ascii="Arial" w:hAnsi="Arial"/>
          <w:sz w:val="24"/>
          <w:lang w:eastAsia="es-ES"/>
        </w:rPr>
        <w:t>importante</w:t>
      </w:r>
      <w:r w:rsidR="002C666B">
        <w:rPr>
          <w:rFonts w:ascii="Arial" w:hAnsi="Arial"/>
          <w:sz w:val="24"/>
          <w:lang w:eastAsia="es-ES"/>
        </w:rPr>
        <w:t>s</w:t>
      </w:r>
      <w:r w:rsidRPr="003927FA">
        <w:rPr>
          <w:rFonts w:ascii="Arial" w:hAnsi="Arial"/>
          <w:sz w:val="24"/>
          <w:lang w:eastAsia="es-ES"/>
        </w:rPr>
        <w:t xml:space="preserve"> fonte</w:t>
      </w:r>
      <w:r w:rsidR="002C666B">
        <w:rPr>
          <w:rFonts w:ascii="Arial" w:hAnsi="Arial"/>
          <w:sz w:val="24"/>
          <w:lang w:eastAsia="es-ES"/>
        </w:rPr>
        <w:t>s</w:t>
      </w:r>
      <w:r w:rsidRPr="003927FA">
        <w:rPr>
          <w:rFonts w:ascii="Arial" w:hAnsi="Arial"/>
          <w:sz w:val="24"/>
          <w:lang w:eastAsia="es-ES"/>
        </w:rPr>
        <w:t xml:space="preserve"> de recursos orçamentários d</w:t>
      </w:r>
      <w:r w:rsidR="002C666B">
        <w:rPr>
          <w:rFonts w:ascii="Arial" w:hAnsi="Arial"/>
          <w:sz w:val="24"/>
          <w:lang w:eastAsia="es-ES"/>
        </w:rPr>
        <w:t>a PBH</w:t>
      </w:r>
      <w:r w:rsidRPr="003927FA">
        <w:rPr>
          <w:rFonts w:ascii="Arial" w:hAnsi="Arial"/>
          <w:sz w:val="24"/>
          <w:lang w:eastAsia="es-ES"/>
        </w:rPr>
        <w:t xml:space="preserve"> e corresponderam, em média, a </w:t>
      </w:r>
      <w:r w:rsidR="002C666B">
        <w:rPr>
          <w:rFonts w:ascii="Arial" w:hAnsi="Arial"/>
          <w:sz w:val="24"/>
          <w:lang w:eastAsia="es-ES"/>
        </w:rPr>
        <w:t>52</w:t>
      </w:r>
      <w:r w:rsidRPr="003927FA">
        <w:rPr>
          <w:rFonts w:ascii="Arial" w:hAnsi="Arial"/>
          <w:sz w:val="24"/>
          <w:lang w:eastAsia="es-ES"/>
        </w:rPr>
        <w:t xml:space="preserve">% das receitas totais no período. Com relação às despesas, os gastos correntes apresentaram </w:t>
      </w:r>
      <w:r w:rsidR="002C666B">
        <w:rPr>
          <w:rFonts w:ascii="Arial" w:hAnsi="Arial"/>
          <w:sz w:val="24"/>
          <w:lang w:eastAsia="es-ES"/>
        </w:rPr>
        <w:t xml:space="preserve">importante redução </w:t>
      </w:r>
      <w:r w:rsidRPr="003927FA">
        <w:rPr>
          <w:rFonts w:ascii="Arial" w:hAnsi="Arial"/>
          <w:sz w:val="24"/>
          <w:lang w:eastAsia="es-ES"/>
        </w:rPr>
        <w:t>como proporção da receit</w:t>
      </w:r>
      <w:r w:rsidR="002C666B">
        <w:rPr>
          <w:rFonts w:ascii="Arial" w:hAnsi="Arial"/>
          <w:sz w:val="24"/>
          <w:lang w:eastAsia="es-ES"/>
        </w:rPr>
        <w:t>a total no período de 2007 a 2011</w:t>
      </w:r>
      <w:r w:rsidRPr="003927FA">
        <w:rPr>
          <w:rFonts w:ascii="Arial" w:hAnsi="Arial"/>
          <w:sz w:val="24"/>
          <w:lang w:eastAsia="es-ES"/>
        </w:rPr>
        <w:t xml:space="preserve">, atingindo a proporção de </w:t>
      </w:r>
      <w:r w:rsidR="002C666B">
        <w:rPr>
          <w:rFonts w:ascii="Arial" w:hAnsi="Arial"/>
          <w:sz w:val="24"/>
          <w:lang w:eastAsia="es-ES"/>
        </w:rPr>
        <w:t>87,7</w:t>
      </w:r>
      <w:r w:rsidRPr="003927FA">
        <w:rPr>
          <w:rFonts w:ascii="Arial" w:hAnsi="Arial"/>
          <w:sz w:val="24"/>
          <w:lang w:eastAsia="es-ES"/>
        </w:rPr>
        <w:t xml:space="preserve">% em 2011, índice </w:t>
      </w:r>
      <w:r w:rsidR="002C666B">
        <w:rPr>
          <w:rFonts w:ascii="Arial" w:hAnsi="Arial"/>
          <w:sz w:val="24"/>
          <w:lang w:eastAsia="es-ES"/>
        </w:rPr>
        <w:t xml:space="preserve">1,8 pontos percentuais </w:t>
      </w:r>
      <w:r w:rsidRPr="003927FA">
        <w:rPr>
          <w:rFonts w:ascii="Arial" w:hAnsi="Arial"/>
          <w:sz w:val="24"/>
          <w:lang w:eastAsia="es-ES"/>
        </w:rPr>
        <w:t xml:space="preserve">inferior à média do período 2007/2011. </w:t>
      </w:r>
      <w:r w:rsidR="002C666B">
        <w:rPr>
          <w:rFonts w:ascii="Arial" w:hAnsi="Arial"/>
          <w:sz w:val="24"/>
          <w:lang w:eastAsia="es-ES"/>
        </w:rPr>
        <w:t>A</w:t>
      </w:r>
      <w:r w:rsidRPr="003927FA">
        <w:rPr>
          <w:rFonts w:ascii="Arial" w:hAnsi="Arial"/>
          <w:sz w:val="24"/>
          <w:lang w:eastAsia="es-ES"/>
        </w:rPr>
        <w:t>s despesas com Pessoal e Encargos apresenta</w:t>
      </w:r>
      <w:r w:rsidR="002C666B">
        <w:rPr>
          <w:rFonts w:ascii="Arial" w:hAnsi="Arial"/>
          <w:sz w:val="24"/>
          <w:lang w:eastAsia="es-ES"/>
        </w:rPr>
        <w:t>ram leve tendência de alta no período avaliado, variando de 39% a 42,2% das receitas totais, sendo a maior proporção verificada no exercício fiscal de 2011.</w:t>
      </w:r>
      <w:r w:rsidRPr="003927FA">
        <w:rPr>
          <w:rFonts w:ascii="Arial" w:hAnsi="Arial"/>
          <w:sz w:val="24"/>
          <w:lang w:eastAsia="es-ES"/>
        </w:rPr>
        <w:t xml:space="preserve"> No sentido inverso, a rubrica Outros Gastos Correntes teve </w:t>
      </w:r>
      <w:r w:rsidR="00C143F5">
        <w:rPr>
          <w:rFonts w:ascii="Arial" w:hAnsi="Arial"/>
          <w:sz w:val="24"/>
          <w:lang w:eastAsia="es-ES"/>
        </w:rPr>
        <w:t xml:space="preserve">redução </w:t>
      </w:r>
      <w:r w:rsidRPr="003927FA">
        <w:rPr>
          <w:rFonts w:ascii="Arial" w:hAnsi="Arial"/>
          <w:sz w:val="24"/>
          <w:lang w:eastAsia="es-ES"/>
        </w:rPr>
        <w:t>sistemátic</w:t>
      </w:r>
      <w:r w:rsidR="00C143F5">
        <w:rPr>
          <w:rFonts w:ascii="Arial" w:hAnsi="Arial"/>
          <w:sz w:val="24"/>
          <w:lang w:eastAsia="es-ES"/>
        </w:rPr>
        <w:t>a</w:t>
      </w:r>
      <w:r w:rsidRPr="003927FA">
        <w:rPr>
          <w:rFonts w:ascii="Arial" w:hAnsi="Arial"/>
          <w:sz w:val="24"/>
          <w:lang w:eastAsia="es-ES"/>
        </w:rPr>
        <w:t xml:space="preserve"> de sua proporção em relação às receitas correntes totais, variando de um m</w:t>
      </w:r>
      <w:r w:rsidR="00C143F5">
        <w:rPr>
          <w:rFonts w:ascii="Arial" w:hAnsi="Arial"/>
          <w:sz w:val="24"/>
          <w:lang w:eastAsia="es-ES"/>
        </w:rPr>
        <w:t xml:space="preserve">áximo 51,4% </w:t>
      </w:r>
      <w:r w:rsidRPr="003927FA">
        <w:rPr>
          <w:rFonts w:ascii="Arial" w:hAnsi="Arial"/>
          <w:sz w:val="24"/>
          <w:lang w:eastAsia="es-ES"/>
        </w:rPr>
        <w:t xml:space="preserve">em 2007 </w:t>
      </w:r>
      <w:r w:rsidR="00C143F5">
        <w:rPr>
          <w:rFonts w:ascii="Arial" w:hAnsi="Arial"/>
          <w:sz w:val="24"/>
          <w:lang w:eastAsia="es-ES"/>
        </w:rPr>
        <w:t>para o mínimo de</w:t>
      </w:r>
      <w:r w:rsidRPr="003927FA">
        <w:rPr>
          <w:rFonts w:ascii="Arial" w:hAnsi="Arial"/>
          <w:sz w:val="24"/>
          <w:lang w:eastAsia="es-ES"/>
        </w:rPr>
        <w:t xml:space="preserve"> 4</w:t>
      </w:r>
      <w:r w:rsidR="00C143F5">
        <w:rPr>
          <w:rFonts w:ascii="Arial" w:hAnsi="Arial"/>
          <w:sz w:val="24"/>
          <w:lang w:eastAsia="es-ES"/>
        </w:rPr>
        <w:t>3,6</w:t>
      </w:r>
      <w:r w:rsidRPr="003927FA">
        <w:rPr>
          <w:rFonts w:ascii="Arial" w:hAnsi="Arial"/>
          <w:sz w:val="24"/>
          <w:lang w:eastAsia="es-ES"/>
        </w:rPr>
        <w:t xml:space="preserve">% em 2011. Esse comportamento das despesas </w:t>
      </w:r>
      <w:r w:rsidR="00C143F5">
        <w:rPr>
          <w:rFonts w:ascii="Arial" w:hAnsi="Arial"/>
          <w:sz w:val="24"/>
          <w:lang w:eastAsia="es-ES"/>
        </w:rPr>
        <w:t xml:space="preserve">permitiu que a </w:t>
      </w:r>
      <w:r w:rsidRPr="003927FA">
        <w:rPr>
          <w:rFonts w:ascii="Arial" w:hAnsi="Arial"/>
          <w:sz w:val="24"/>
          <w:lang w:eastAsia="es-ES"/>
        </w:rPr>
        <w:t xml:space="preserve">poupança </w:t>
      </w:r>
      <w:r w:rsidR="00C143F5">
        <w:rPr>
          <w:rFonts w:ascii="Arial" w:hAnsi="Arial"/>
          <w:sz w:val="24"/>
          <w:lang w:eastAsia="es-ES"/>
        </w:rPr>
        <w:t>líquida da PBH apresentasse crescimento constante desde o exercício de 2009 até 2011, quando atingiu 8,9%</w:t>
      </w:r>
      <w:r w:rsidRPr="003927FA">
        <w:rPr>
          <w:rFonts w:ascii="Arial" w:hAnsi="Arial"/>
          <w:sz w:val="24"/>
          <w:lang w:eastAsia="es-ES"/>
        </w:rPr>
        <w:t xml:space="preserve"> da receita corrente total</w:t>
      </w:r>
      <w:r w:rsidR="00C143F5">
        <w:rPr>
          <w:rFonts w:ascii="Arial" w:hAnsi="Arial"/>
          <w:sz w:val="24"/>
          <w:lang w:eastAsia="es-ES"/>
        </w:rPr>
        <w:t xml:space="preserve">. </w:t>
      </w:r>
    </w:p>
    <w:p w:rsidR="003927FA" w:rsidRPr="003927FA" w:rsidRDefault="003927FA" w:rsidP="00C143F5"/>
    <w:p w:rsidR="003927FA" w:rsidRPr="003927FA" w:rsidRDefault="00DF7B20" w:rsidP="00C143F5">
      <w:pPr>
        <w:pStyle w:val="Legenda"/>
      </w:pPr>
      <w:r>
        <w:t>Quadro</w:t>
      </w:r>
      <w:r w:rsidR="003927FA" w:rsidRPr="003927FA">
        <w:t xml:space="preserve"> </w:t>
      </w:r>
      <w:r w:rsidR="00C143F5">
        <w:t>2</w:t>
      </w:r>
      <w:r w:rsidR="003927FA" w:rsidRPr="003927FA">
        <w:t xml:space="preserve"> – </w:t>
      </w:r>
      <w:r w:rsidR="00C143F5">
        <w:t>PBH</w:t>
      </w:r>
      <w:r w:rsidR="003927FA" w:rsidRPr="003927FA">
        <w:t xml:space="preserve"> – Proporções de Receitas e Despesas em relação à Receita Corrente - 2007/2011</w:t>
      </w:r>
    </w:p>
    <w:p w:rsidR="003927FA" w:rsidRPr="003927FA" w:rsidRDefault="00C143F5" w:rsidP="003927FA">
      <w:r w:rsidRPr="00C143F5">
        <w:rPr>
          <w:noProof/>
          <w:lang w:eastAsia="pt-BR"/>
        </w:rPr>
        <w:drawing>
          <wp:inline distT="0" distB="0" distL="0" distR="0" wp14:anchorId="502B621D" wp14:editId="2B5FD12C">
            <wp:extent cx="5732145" cy="5199972"/>
            <wp:effectExtent l="0" t="0" r="1905" b="1270"/>
            <wp:docPr id="36" name="Image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2145" cy="5199972"/>
                    </a:xfrm>
                    <a:prstGeom prst="rect">
                      <a:avLst/>
                    </a:prstGeom>
                    <a:noFill/>
                    <a:ln>
                      <a:noFill/>
                    </a:ln>
                  </pic:spPr>
                </pic:pic>
              </a:graphicData>
            </a:graphic>
          </wp:inline>
        </w:drawing>
      </w:r>
    </w:p>
    <w:p w:rsidR="003927FA" w:rsidRPr="003927FA" w:rsidRDefault="003927FA" w:rsidP="003927FA">
      <w:pPr>
        <w:rPr>
          <w:rFonts w:ascii="Arial" w:hAnsi="Arial" w:cs="Arial"/>
          <w:sz w:val="16"/>
          <w:szCs w:val="16"/>
        </w:rPr>
      </w:pPr>
      <w:r w:rsidRPr="003927FA">
        <w:rPr>
          <w:rFonts w:ascii="Arial" w:hAnsi="Arial" w:cs="Arial"/>
          <w:sz w:val="16"/>
          <w:szCs w:val="16"/>
        </w:rPr>
        <w:t xml:space="preserve">Fonte: </w:t>
      </w:r>
      <w:r w:rsidR="00C143F5">
        <w:rPr>
          <w:rFonts w:ascii="Arial" w:hAnsi="Arial" w:cs="Arial"/>
          <w:sz w:val="16"/>
          <w:szCs w:val="16"/>
        </w:rPr>
        <w:t>PBH</w:t>
      </w:r>
      <w:r w:rsidRPr="003927FA">
        <w:rPr>
          <w:rFonts w:ascii="Arial" w:hAnsi="Arial" w:cs="Arial"/>
          <w:sz w:val="16"/>
          <w:szCs w:val="16"/>
        </w:rPr>
        <w:t xml:space="preserve"> – Balanços Orçamentários. </w:t>
      </w:r>
    </w:p>
    <w:p w:rsidR="003927FA" w:rsidRPr="003927FA" w:rsidRDefault="003927FA" w:rsidP="003927FA"/>
    <w:p w:rsidR="003927FA" w:rsidRPr="003927FA" w:rsidRDefault="003927FA" w:rsidP="003927FA"/>
    <w:p w:rsidR="003927FA" w:rsidRPr="00DF7B20" w:rsidRDefault="003927FA" w:rsidP="00C143F5">
      <w:pPr>
        <w:numPr>
          <w:ilvl w:val="1"/>
          <w:numId w:val="3"/>
        </w:numPr>
        <w:tabs>
          <w:tab w:val="left" w:pos="180"/>
        </w:tabs>
        <w:spacing w:before="120" w:after="120"/>
        <w:jc w:val="both"/>
        <w:outlineLvl w:val="1"/>
      </w:pPr>
      <w:r w:rsidRPr="003927FA">
        <w:rPr>
          <w:rFonts w:ascii="Arial" w:hAnsi="Arial"/>
          <w:sz w:val="24"/>
          <w:lang w:eastAsia="es-ES"/>
        </w:rPr>
        <w:lastRenderedPageBreak/>
        <w:t>N</w:t>
      </w:r>
      <w:r w:rsidR="00DF7B20">
        <w:rPr>
          <w:rFonts w:ascii="Arial" w:hAnsi="Arial"/>
          <w:sz w:val="24"/>
          <w:lang w:eastAsia="es-ES"/>
        </w:rPr>
        <w:t>o quadro</w:t>
      </w:r>
      <w:r w:rsidRPr="003927FA">
        <w:rPr>
          <w:rFonts w:ascii="Arial" w:hAnsi="Arial"/>
          <w:sz w:val="24"/>
          <w:lang w:eastAsia="es-ES"/>
        </w:rPr>
        <w:t xml:space="preserve"> </w:t>
      </w:r>
      <w:r w:rsidR="00C143F5" w:rsidRPr="00F56ED8">
        <w:rPr>
          <w:rFonts w:ascii="Arial" w:hAnsi="Arial"/>
          <w:sz w:val="24"/>
          <w:lang w:eastAsia="es-ES"/>
        </w:rPr>
        <w:t>3</w:t>
      </w:r>
      <w:r w:rsidRPr="003927FA">
        <w:rPr>
          <w:rFonts w:ascii="Arial" w:hAnsi="Arial"/>
          <w:sz w:val="24"/>
          <w:lang w:eastAsia="es-ES"/>
        </w:rPr>
        <w:t xml:space="preserve"> abaixo, pode-se observar o resultado primário da execução orçamentária d</w:t>
      </w:r>
      <w:r w:rsidR="00C143F5" w:rsidRPr="00F56ED8">
        <w:rPr>
          <w:rFonts w:ascii="Arial" w:hAnsi="Arial"/>
          <w:sz w:val="24"/>
          <w:lang w:eastAsia="es-ES"/>
        </w:rPr>
        <w:t>a PBH</w:t>
      </w:r>
      <w:r w:rsidRPr="003927FA">
        <w:rPr>
          <w:rFonts w:ascii="Arial" w:hAnsi="Arial"/>
          <w:sz w:val="24"/>
          <w:lang w:eastAsia="es-ES"/>
        </w:rPr>
        <w:t xml:space="preserve"> para o período 2007/2011. O resultado primário indica se os níveis de gastos são compatíveis com a arrecadação, ou seja, se as receitas primárias são capazes de suportar as despesas primárias. As receitas primárias correspondem ao total das receitas orçamentárias deduzidas as operações de crédito, as provenientes de rendimentos de aplicações financeiras e retorno de operações de crédito (juros e amortizações), o recebimento de recursos oriundos de empréstimos concedidos e as receitas de privatizações. Por sua vez, as despesas primárias correspondem ao total das despesas orçamentárias deduzidas as despesas com juros e amortização da dívida interna e externa, com a aquisição de títulos de capital integralizado e as despesas com concessões de empréstimos com retorno garantido. Como se observa, o resultado primário d</w:t>
      </w:r>
      <w:r w:rsidR="00C143F5" w:rsidRPr="00F56ED8">
        <w:rPr>
          <w:rFonts w:ascii="Arial" w:hAnsi="Arial"/>
          <w:sz w:val="24"/>
          <w:lang w:eastAsia="es-ES"/>
        </w:rPr>
        <w:t>a PBH</w:t>
      </w:r>
      <w:r w:rsidRPr="003927FA">
        <w:rPr>
          <w:rFonts w:ascii="Arial" w:hAnsi="Arial"/>
          <w:sz w:val="24"/>
          <w:lang w:eastAsia="es-ES"/>
        </w:rPr>
        <w:t xml:space="preserve"> para o período analisado é positivo</w:t>
      </w:r>
      <w:r w:rsidR="006775A2" w:rsidRPr="00F56ED8">
        <w:rPr>
          <w:rFonts w:ascii="Arial" w:hAnsi="Arial"/>
          <w:sz w:val="24"/>
          <w:lang w:eastAsia="es-ES"/>
        </w:rPr>
        <w:t xml:space="preserve"> a partir de 2010</w:t>
      </w:r>
      <w:r w:rsidR="00F56ED8">
        <w:rPr>
          <w:rFonts w:ascii="Arial" w:hAnsi="Arial"/>
          <w:sz w:val="24"/>
          <w:lang w:eastAsia="es-ES"/>
        </w:rPr>
        <w:t>.</w:t>
      </w:r>
      <w:r w:rsidR="006775A2" w:rsidRPr="00F56ED8">
        <w:rPr>
          <w:rFonts w:ascii="Arial" w:hAnsi="Arial"/>
          <w:sz w:val="24"/>
          <w:lang w:eastAsia="es-ES"/>
        </w:rPr>
        <w:t xml:space="preserve"> </w:t>
      </w:r>
    </w:p>
    <w:p w:rsidR="00DF7B20" w:rsidRPr="003927FA" w:rsidRDefault="00DF7B20" w:rsidP="00DF7B20"/>
    <w:p w:rsidR="003927FA" w:rsidRPr="003927FA" w:rsidRDefault="00DF7B20" w:rsidP="00C143F5">
      <w:pPr>
        <w:pStyle w:val="Legenda"/>
      </w:pPr>
      <w:r>
        <w:t>Quadro</w:t>
      </w:r>
      <w:r w:rsidR="003927FA" w:rsidRPr="003927FA">
        <w:t xml:space="preserve"> </w:t>
      </w:r>
      <w:r w:rsidR="00C143F5">
        <w:t>3</w:t>
      </w:r>
      <w:r w:rsidR="003927FA" w:rsidRPr="003927FA">
        <w:t xml:space="preserve"> – </w:t>
      </w:r>
      <w:r w:rsidR="00C143F5">
        <w:t>PBH</w:t>
      </w:r>
      <w:r w:rsidR="003927FA" w:rsidRPr="003927FA">
        <w:t xml:space="preserve"> – Resultado Primário – 2007/2011 – Preços Constantes - R$1,00</w:t>
      </w:r>
    </w:p>
    <w:p w:rsidR="003927FA" w:rsidRPr="003927FA" w:rsidRDefault="00F56ED8" w:rsidP="003927FA">
      <w:pPr>
        <w:jc w:val="center"/>
      </w:pPr>
      <w:r w:rsidRPr="00F56ED8">
        <w:rPr>
          <w:noProof/>
          <w:lang w:eastAsia="pt-BR"/>
        </w:rPr>
        <w:drawing>
          <wp:inline distT="0" distB="0" distL="0" distR="0" wp14:anchorId="15E84846" wp14:editId="0B295D41">
            <wp:extent cx="5732145" cy="2880053"/>
            <wp:effectExtent l="0" t="0" r="1905" b="0"/>
            <wp:docPr id="39" name="Image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2145" cy="2880053"/>
                    </a:xfrm>
                    <a:prstGeom prst="rect">
                      <a:avLst/>
                    </a:prstGeom>
                    <a:noFill/>
                    <a:ln>
                      <a:noFill/>
                    </a:ln>
                  </pic:spPr>
                </pic:pic>
              </a:graphicData>
            </a:graphic>
          </wp:inline>
        </w:drawing>
      </w:r>
    </w:p>
    <w:p w:rsidR="003927FA" w:rsidRPr="003927FA" w:rsidRDefault="003927FA" w:rsidP="003927FA">
      <w:pPr>
        <w:rPr>
          <w:rFonts w:ascii="Arial" w:hAnsi="Arial" w:cs="Arial"/>
          <w:sz w:val="16"/>
          <w:szCs w:val="16"/>
        </w:rPr>
      </w:pPr>
      <w:r w:rsidRPr="003927FA">
        <w:rPr>
          <w:rFonts w:ascii="Arial" w:hAnsi="Arial" w:cs="Arial"/>
          <w:sz w:val="16"/>
          <w:szCs w:val="16"/>
        </w:rPr>
        <w:t xml:space="preserve"> Fonte: </w:t>
      </w:r>
      <w:r w:rsidR="006775A2">
        <w:rPr>
          <w:rFonts w:ascii="Arial" w:hAnsi="Arial" w:cs="Arial"/>
          <w:sz w:val="16"/>
          <w:szCs w:val="16"/>
        </w:rPr>
        <w:t>PBH</w:t>
      </w:r>
      <w:r w:rsidRPr="003927FA">
        <w:rPr>
          <w:rFonts w:ascii="Arial" w:hAnsi="Arial" w:cs="Arial"/>
          <w:sz w:val="16"/>
          <w:szCs w:val="16"/>
        </w:rPr>
        <w:t xml:space="preserve"> - Balanços Orçamentários – Preços Constantes – Dezembro 2011</w:t>
      </w:r>
    </w:p>
    <w:p w:rsidR="003927FA" w:rsidRDefault="003927FA" w:rsidP="003927FA">
      <w:pPr>
        <w:rPr>
          <w:rFonts w:ascii="Arial" w:hAnsi="Arial" w:cs="Arial"/>
          <w:sz w:val="16"/>
          <w:szCs w:val="16"/>
        </w:rPr>
      </w:pPr>
    </w:p>
    <w:p w:rsidR="00DF7B20" w:rsidRPr="003927FA" w:rsidRDefault="00DF7B20" w:rsidP="003927FA">
      <w:pPr>
        <w:rPr>
          <w:rFonts w:ascii="Arial" w:hAnsi="Arial" w:cs="Arial"/>
          <w:sz w:val="16"/>
          <w:szCs w:val="16"/>
        </w:rPr>
      </w:pPr>
    </w:p>
    <w:p w:rsidR="003927FA" w:rsidRPr="003927FA" w:rsidRDefault="003927FA" w:rsidP="003927FA">
      <w:r w:rsidRPr="003927FA">
        <w:rPr>
          <w:rFonts w:cs="Arial"/>
        </w:rPr>
        <w:t xml:space="preserve"> </w:t>
      </w:r>
      <w:r w:rsidRPr="003927FA">
        <w:t xml:space="preserve">  </w:t>
      </w:r>
    </w:p>
    <w:p w:rsidR="003927FA" w:rsidRDefault="00824380" w:rsidP="003927FA">
      <w:pPr>
        <w:numPr>
          <w:ilvl w:val="1"/>
          <w:numId w:val="3"/>
        </w:numPr>
        <w:tabs>
          <w:tab w:val="left" w:pos="180"/>
        </w:tabs>
        <w:spacing w:after="120"/>
        <w:jc w:val="both"/>
        <w:outlineLvl w:val="1"/>
        <w:rPr>
          <w:rFonts w:ascii="Arial" w:hAnsi="Arial"/>
          <w:sz w:val="24"/>
          <w:lang w:eastAsia="es-ES"/>
        </w:rPr>
      </w:pPr>
      <w:r w:rsidRPr="003927FA">
        <w:rPr>
          <w:rFonts w:ascii="Arial" w:hAnsi="Arial"/>
          <w:sz w:val="24"/>
          <w:lang w:eastAsia="es-ES"/>
        </w:rPr>
        <w:t xml:space="preserve">O estoque da dívida </w:t>
      </w:r>
      <w:r>
        <w:rPr>
          <w:rFonts w:ascii="Arial" w:hAnsi="Arial"/>
          <w:sz w:val="24"/>
          <w:lang w:eastAsia="es-ES"/>
        </w:rPr>
        <w:t>fundada interna e externa da Prefeitura de Belo Horizonte totalizou R</w:t>
      </w:r>
      <w:r w:rsidRPr="003927FA">
        <w:rPr>
          <w:rFonts w:ascii="Arial" w:hAnsi="Arial"/>
          <w:sz w:val="24"/>
          <w:lang w:eastAsia="es-ES"/>
        </w:rPr>
        <w:t>$</w:t>
      </w:r>
      <w:r>
        <w:rPr>
          <w:rFonts w:ascii="Arial" w:hAnsi="Arial"/>
          <w:sz w:val="24"/>
          <w:lang w:eastAsia="es-ES"/>
        </w:rPr>
        <w:t>1,9</w:t>
      </w:r>
      <w:r w:rsidRPr="003927FA">
        <w:rPr>
          <w:rFonts w:ascii="Arial" w:hAnsi="Arial"/>
          <w:sz w:val="24"/>
          <w:lang w:eastAsia="es-ES"/>
        </w:rPr>
        <w:t xml:space="preserve"> bilhões ao final do exercício de 2011, conforme se observa n</w:t>
      </w:r>
      <w:r>
        <w:rPr>
          <w:rFonts w:ascii="Arial" w:hAnsi="Arial"/>
          <w:sz w:val="24"/>
          <w:lang w:eastAsia="es-ES"/>
        </w:rPr>
        <w:t>o quadro</w:t>
      </w:r>
      <w:r w:rsidRPr="003927FA">
        <w:rPr>
          <w:rFonts w:ascii="Arial" w:hAnsi="Arial"/>
          <w:sz w:val="24"/>
          <w:lang w:eastAsia="es-ES"/>
        </w:rPr>
        <w:t xml:space="preserve"> </w:t>
      </w:r>
      <w:r>
        <w:rPr>
          <w:rFonts w:ascii="Arial" w:hAnsi="Arial"/>
          <w:sz w:val="24"/>
          <w:lang w:eastAsia="es-ES"/>
        </w:rPr>
        <w:t>4</w:t>
      </w:r>
      <w:r w:rsidRPr="003927FA">
        <w:rPr>
          <w:rFonts w:ascii="Arial" w:hAnsi="Arial"/>
          <w:sz w:val="24"/>
          <w:lang w:eastAsia="es-ES"/>
        </w:rPr>
        <w:t xml:space="preserve">, a seguir. </w:t>
      </w:r>
    </w:p>
    <w:p w:rsidR="003927FA" w:rsidRPr="003927FA" w:rsidRDefault="003927FA" w:rsidP="008A775C"/>
    <w:p w:rsidR="003927FA" w:rsidRPr="003927FA" w:rsidRDefault="00DF7B20" w:rsidP="008A775C">
      <w:pPr>
        <w:pStyle w:val="Legenda"/>
      </w:pPr>
      <w:r>
        <w:lastRenderedPageBreak/>
        <w:t>Quadro</w:t>
      </w:r>
      <w:r w:rsidR="003927FA" w:rsidRPr="003927FA">
        <w:t xml:space="preserve"> </w:t>
      </w:r>
      <w:r w:rsidR="008A775C">
        <w:t>4 – PBH – Dívida Fundada Interna e Externa</w:t>
      </w:r>
    </w:p>
    <w:p w:rsidR="003927FA" w:rsidRPr="003927FA" w:rsidRDefault="008A775C" w:rsidP="003927FA">
      <w:pPr>
        <w:jc w:val="center"/>
      </w:pPr>
      <w:r w:rsidRPr="008A775C">
        <w:rPr>
          <w:noProof/>
          <w:lang w:eastAsia="pt-BR"/>
        </w:rPr>
        <w:drawing>
          <wp:inline distT="0" distB="0" distL="0" distR="0" wp14:anchorId="4CEB4674" wp14:editId="78FAA0AF">
            <wp:extent cx="5732145" cy="2236905"/>
            <wp:effectExtent l="0" t="0" r="1905" b="0"/>
            <wp:docPr id="40" name="Image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145" cy="2236905"/>
                    </a:xfrm>
                    <a:prstGeom prst="rect">
                      <a:avLst/>
                    </a:prstGeom>
                    <a:noFill/>
                    <a:ln>
                      <a:noFill/>
                    </a:ln>
                  </pic:spPr>
                </pic:pic>
              </a:graphicData>
            </a:graphic>
          </wp:inline>
        </w:drawing>
      </w:r>
    </w:p>
    <w:p w:rsidR="003927FA" w:rsidRPr="003927FA" w:rsidRDefault="008A775C" w:rsidP="008A775C">
      <w:pPr>
        <w:rPr>
          <w:rFonts w:ascii="Arial" w:hAnsi="Arial" w:cs="Arial"/>
          <w:sz w:val="16"/>
          <w:szCs w:val="16"/>
        </w:rPr>
      </w:pPr>
      <w:r>
        <w:rPr>
          <w:rFonts w:ascii="Arial" w:hAnsi="Arial" w:cs="Arial"/>
          <w:sz w:val="16"/>
          <w:szCs w:val="16"/>
        </w:rPr>
        <w:t xml:space="preserve">        </w:t>
      </w:r>
      <w:r w:rsidR="003927FA" w:rsidRPr="003927FA">
        <w:rPr>
          <w:rFonts w:ascii="Arial" w:hAnsi="Arial" w:cs="Arial"/>
          <w:sz w:val="16"/>
          <w:szCs w:val="16"/>
        </w:rPr>
        <w:t xml:space="preserve">Fonte: </w:t>
      </w:r>
      <w:r>
        <w:rPr>
          <w:rFonts w:ascii="Arial" w:hAnsi="Arial" w:cs="Arial"/>
          <w:sz w:val="16"/>
          <w:szCs w:val="16"/>
        </w:rPr>
        <w:t xml:space="preserve">PBH - </w:t>
      </w:r>
      <w:r w:rsidR="003927FA" w:rsidRPr="003927FA">
        <w:rPr>
          <w:rFonts w:ascii="Arial" w:hAnsi="Arial" w:cs="Arial"/>
          <w:sz w:val="16"/>
          <w:szCs w:val="16"/>
        </w:rPr>
        <w:t>Balanço Orçamentário 2011</w:t>
      </w:r>
    </w:p>
    <w:p w:rsidR="003927FA" w:rsidRPr="003927FA" w:rsidRDefault="003927FA" w:rsidP="003927FA">
      <w:pPr>
        <w:ind w:firstLine="720"/>
        <w:rPr>
          <w:rFonts w:ascii="Arial" w:hAnsi="Arial" w:cs="Arial"/>
          <w:sz w:val="16"/>
          <w:szCs w:val="16"/>
        </w:rPr>
      </w:pPr>
    </w:p>
    <w:p w:rsidR="003927FA" w:rsidRPr="003927FA" w:rsidRDefault="003927FA" w:rsidP="003927FA">
      <w:pPr>
        <w:ind w:firstLine="720"/>
        <w:rPr>
          <w:rFonts w:ascii="Arial" w:hAnsi="Arial" w:cs="Arial"/>
          <w:sz w:val="16"/>
          <w:szCs w:val="16"/>
        </w:rPr>
      </w:pPr>
      <w:r w:rsidRPr="003927FA">
        <w:rPr>
          <w:rFonts w:ascii="Arial" w:hAnsi="Arial" w:cs="Arial"/>
          <w:sz w:val="16"/>
          <w:szCs w:val="16"/>
        </w:rPr>
        <w:t xml:space="preserve"> </w:t>
      </w:r>
    </w:p>
    <w:p w:rsidR="003927FA" w:rsidRPr="003927FA" w:rsidRDefault="003927FA" w:rsidP="003927FA">
      <w:pPr>
        <w:numPr>
          <w:ilvl w:val="1"/>
          <w:numId w:val="3"/>
        </w:numPr>
        <w:tabs>
          <w:tab w:val="left" w:pos="180"/>
        </w:tabs>
        <w:spacing w:after="120"/>
        <w:jc w:val="both"/>
        <w:outlineLvl w:val="1"/>
        <w:rPr>
          <w:rFonts w:ascii="Arial" w:hAnsi="Arial"/>
          <w:sz w:val="24"/>
          <w:lang w:eastAsia="es-ES"/>
        </w:rPr>
      </w:pPr>
      <w:r w:rsidRPr="003927FA">
        <w:rPr>
          <w:rFonts w:ascii="Arial" w:hAnsi="Arial"/>
          <w:sz w:val="24"/>
          <w:lang w:eastAsia="es-ES"/>
        </w:rPr>
        <w:t xml:space="preserve">A apuração dos limites definidos na LRF para o período entre 2007 e 2011 indica que </w:t>
      </w:r>
      <w:r w:rsidR="008A775C">
        <w:rPr>
          <w:rFonts w:ascii="Arial" w:hAnsi="Arial"/>
          <w:sz w:val="24"/>
          <w:lang w:eastAsia="es-ES"/>
        </w:rPr>
        <w:t>a PBH</w:t>
      </w:r>
      <w:r w:rsidRPr="003927FA">
        <w:rPr>
          <w:rFonts w:ascii="Arial" w:hAnsi="Arial"/>
          <w:sz w:val="24"/>
          <w:lang w:eastAsia="es-ES"/>
        </w:rPr>
        <w:t xml:space="preserve"> atendeu os requisitos da legislação vigente para todos os indicadores em todos os exercícios fiscais analisados. Em 2011, os Gastos com Pessoal representaram </w:t>
      </w:r>
      <w:r w:rsidR="008A775C">
        <w:rPr>
          <w:rFonts w:ascii="Arial" w:hAnsi="Arial"/>
          <w:sz w:val="24"/>
          <w:lang w:eastAsia="es-ES"/>
        </w:rPr>
        <w:t xml:space="preserve">45,53% </w:t>
      </w:r>
      <w:r w:rsidRPr="003927FA">
        <w:rPr>
          <w:rFonts w:ascii="Arial" w:hAnsi="Arial"/>
          <w:sz w:val="24"/>
          <w:lang w:eastAsia="es-ES"/>
        </w:rPr>
        <w:t xml:space="preserve">da Receita Corrente Líquida (RCL) para um limite máximo de </w:t>
      </w:r>
      <w:r w:rsidR="008A775C">
        <w:rPr>
          <w:rFonts w:ascii="Arial" w:hAnsi="Arial"/>
          <w:sz w:val="24"/>
          <w:lang w:eastAsia="es-ES"/>
        </w:rPr>
        <w:t>54</w:t>
      </w:r>
      <w:r w:rsidRPr="003927FA">
        <w:rPr>
          <w:rFonts w:ascii="Arial" w:hAnsi="Arial"/>
          <w:sz w:val="24"/>
          <w:lang w:eastAsia="es-ES"/>
        </w:rPr>
        <w:t>% e um limite prudencial</w:t>
      </w:r>
      <w:r w:rsidR="008A775C">
        <w:rPr>
          <w:rStyle w:val="Refdenotaderodap"/>
          <w:rFonts w:ascii="Arial" w:hAnsi="Arial"/>
          <w:sz w:val="24"/>
          <w:lang w:eastAsia="es-ES"/>
        </w:rPr>
        <w:footnoteReference w:id="2"/>
      </w:r>
      <w:r w:rsidRPr="003927FA">
        <w:rPr>
          <w:rFonts w:ascii="Arial" w:hAnsi="Arial"/>
          <w:sz w:val="24"/>
          <w:lang w:eastAsia="es-ES"/>
        </w:rPr>
        <w:t xml:space="preserve"> de 5</w:t>
      </w:r>
      <w:r w:rsidR="008A775C">
        <w:rPr>
          <w:rFonts w:ascii="Arial" w:hAnsi="Arial"/>
          <w:sz w:val="24"/>
          <w:lang w:eastAsia="es-ES"/>
        </w:rPr>
        <w:t>1,30</w:t>
      </w:r>
      <w:r w:rsidRPr="003927FA">
        <w:rPr>
          <w:rFonts w:ascii="Arial" w:hAnsi="Arial"/>
          <w:sz w:val="24"/>
          <w:lang w:eastAsia="es-ES"/>
        </w:rPr>
        <w:t>%. A Dívida Consolidada Líquida representava 3</w:t>
      </w:r>
      <w:r w:rsidR="008A775C">
        <w:rPr>
          <w:rFonts w:ascii="Arial" w:hAnsi="Arial"/>
          <w:sz w:val="24"/>
          <w:lang w:eastAsia="es-ES"/>
        </w:rPr>
        <w:t>3,03%</w:t>
      </w:r>
      <w:r w:rsidRPr="003927FA">
        <w:rPr>
          <w:rFonts w:ascii="Arial" w:hAnsi="Arial"/>
          <w:sz w:val="24"/>
          <w:lang w:eastAsia="es-ES"/>
        </w:rPr>
        <w:t xml:space="preserve"> da RCL ao final de 201</w:t>
      </w:r>
      <w:r w:rsidR="008A775C">
        <w:rPr>
          <w:rFonts w:ascii="Arial" w:hAnsi="Arial"/>
          <w:sz w:val="24"/>
          <w:lang w:eastAsia="es-ES"/>
        </w:rPr>
        <w:t>1</w:t>
      </w:r>
      <w:r w:rsidRPr="003927FA">
        <w:rPr>
          <w:rFonts w:ascii="Arial" w:hAnsi="Arial"/>
          <w:sz w:val="24"/>
          <w:lang w:eastAsia="es-ES"/>
        </w:rPr>
        <w:t xml:space="preserve"> (limite </w:t>
      </w:r>
      <w:r w:rsidR="008A775C">
        <w:rPr>
          <w:rFonts w:ascii="Arial" w:hAnsi="Arial"/>
          <w:sz w:val="24"/>
          <w:lang w:eastAsia="es-ES"/>
        </w:rPr>
        <w:t xml:space="preserve">máximo </w:t>
      </w:r>
      <w:r w:rsidRPr="003927FA">
        <w:rPr>
          <w:rFonts w:ascii="Arial" w:hAnsi="Arial"/>
          <w:sz w:val="24"/>
          <w:lang w:eastAsia="es-ES"/>
        </w:rPr>
        <w:t xml:space="preserve">de </w:t>
      </w:r>
      <w:r w:rsidR="008A775C">
        <w:rPr>
          <w:rFonts w:ascii="Arial" w:hAnsi="Arial"/>
          <w:sz w:val="24"/>
          <w:lang w:eastAsia="es-ES"/>
        </w:rPr>
        <w:t>1</w:t>
      </w:r>
      <w:r w:rsidRPr="003927FA">
        <w:rPr>
          <w:rFonts w:ascii="Arial" w:hAnsi="Arial"/>
          <w:sz w:val="24"/>
          <w:lang w:eastAsia="es-ES"/>
        </w:rPr>
        <w:t xml:space="preserve">20%), enquanto o limite para Operações de Crédito, definido na LRF como sendo de 16% da RCL, </w:t>
      </w:r>
      <w:r w:rsidR="00383A67">
        <w:rPr>
          <w:rFonts w:ascii="Arial" w:hAnsi="Arial"/>
          <w:sz w:val="24"/>
          <w:lang w:eastAsia="es-ES"/>
        </w:rPr>
        <w:t>situou-se</w:t>
      </w:r>
      <w:r w:rsidRPr="003927FA">
        <w:rPr>
          <w:rFonts w:ascii="Arial" w:hAnsi="Arial"/>
          <w:sz w:val="24"/>
          <w:lang w:eastAsia="es-ES"/>
        </w:rPr>
        <w:t xml:space="preserve"> muito abaixo do permitido na legislação, atingindo apenas 4,</w:t>
      </w:r>
      <w:r w:rsidR="00383A67">
        <w:rPr>
          <w:rFonts w:ascii="Arial" w:hAnsi="Arial"/>
          <w:sz w:val="24"/>
          <w:lang w:eastAsia="es-ES"/>
        </w:rPr>
        <w:t>86</w:t>
      </w:r>
      <w:r w:rsidRPr="003927FA">
        <w:rPr>
          <w:rFonts w:ascii="Arial" w:hAnsi="Arial"/>
          <w:sz w:val="24"/>
          <w:lang w:eastAsia="es-ES"/>
        </w:rPr>
        <w:t xml:space="preserve">% da RCL ao final de 2011, indicando grande margem para novas operações de crédito. O comprometimento de recursos com o serviço da dívida atingiu </w:t>
      </w:r>
      <w:r w:rsidR="00383A67">
        <w:rPr>
          <w:rFonts w:ascii="Arial" w:hAnsi="Arial"/>
          <w:sz w:val="24"/>
          <w:lang w:eastAsia="es-ES"/>
        </w:rPr>
        <w:t>5,81</w:t>
      </w:r>
      <w:r w:rsidRPr="003927FA">
        <w:rPr>
          <w:rFonts w:ascii="Arial" w:hAnsi="Arial"/>
          <w:sz w:val="24"/>
          <w:lang w:eastAsia="es-ES"/>
        </w:rPr>
        <w:t>% da RCL ao final de 2011, ainda longe do limite permitido pela LRF, que é de 11,5% da RCL</w:t>
      </w:r>
      <w:r w:rsidR="00383A67">
        <w:rPr>
          <w:rFonts w:ascii="Arial" w:hAnsi="Arial"/>
          <w:sz w:val="24"/>
          <w:lang w:eastAsia="es-ES"/>
        </w:rPr>
        <w:t>, embora apresente tendência de crescimento</w:t>
      </w:r>
      <w:r w:rsidRPr="003927FA">
        <w:rPr>
          <w:rFonts w:ascii="Arial" w:hAnsi="Arial"/>
          <w:sz w:val="24"/>
          <w:lang w:eastAsia="es-ES"/>
        </w:rPr>
        <w:t xml:space="preserve">. </w:t>
      </w:r>
      <w:r w:rsidR="00383A67">
        <w:rPr>
          <w:rFonts w:ascii="Arial" w:hAnsi="Arial"/>
          <w:sz w:val="24"/>
          <w:lang w:eastAsia="es-ES"/>
        </w:rPr>
        <w:t>Não exist</w:t>
      </w:r>
      <w:r w:rsidR="00DF7B20">
        <w:rPr>
          <w:rFonts w:ascii="Arial" w:hAnsi="Arial"/>
          <w:sz w:val="24"/>
          <w:lang w:eastAsia="es-ES"/>
        </w:rPr>
        <w:t>iam</w:t>
      </w:r>
      <w:r w:rsidR="00383A67">
        <w:rPr>
          <w:rFonts w:ascii="Arial" w:hAnsi="Arial"/>
          <w:sz w:val="24"/>
          <w:lang w:eastAsia="es-ES"/>
        </w:rPr>
        <w:t xml:space="preserve"> </w:t>
      </w:r>
      <w:r w:rsidRPr="003927FA">
        <w:rPr>
          <w:rFonts w:ascii="Arial" w:hAnsi="Arial"/>
          <w:sz w:val="24"/>
          <w:lang w:eastAsia="es-ES"/>
        </w:rPr>
        <w:t xml:space="preserve">garantias de valores oferecidas </w:t>
      </w:r>
      <w:r w:rsidR="00383A67">
        <w:rPr>
          <w:rFonts w:ascii="Arial" w:hAnsi="Arial"/>
          <w:sz w:val="24"/>
          <w:lang w:eastAsia="es-ES"/>
        </w:rPr>
        <w:t xml:space="preserve">bem como não </w:t>
      </w:r>
      <w:r w:rsidR="00DF7B20">
        <w:rPr>
          <w:rFonts w:ascii="Arial" w:hAnsi="Arial"/>
          <w:sz w:val="24"/>
          <w:lang w:eastAsia="es-ES"/>
        </w:rPr>
        <w:t>havia</w:t>
      </w:r>
      <w:r w:rsidR="00383A67">
        <w:rPr>
          <w:rFonts w:ascii="Arial" w:hAnsi="Arial"/>
          <w:sz w:val="24"/>
          <w:lang w:eastAsia="es-ES"/>
        </w:rPr>
        <w:t xml:space="preserve"> </w:t>
      </w:r>
      <w:r w:rsidRPr="003927FA">
        <w:rPr>
          <w:rFonts w:ascii="Arial" w:hAnsi="Arial"/>
          <w:sz w:val="24"/>
          <w:lang w:eastAsia="es-ES"/>
        </w:rPr>
        <w:t xml:space="preserve">operações de antecipação </w:t>
      </w:r>
      <w:r w:rsidR="00383A67">
        <w:rPr>
          <w:rFonts w:ascii="Arial" w:hAnsi="Arial"/>
          <w:sz w:val="24"/>
          <w:lang w:eastAsia="es-ES"/>
        </w:rPr>
        <w:t>de receitas ao final de 2011.</w:t>
      </w:r>
    </w:p>
    <w:p w:rsidR="003927FA" w:rsidRPr="003927FA" w:rsidRDefault="003927FA" w:rsidP="008A775C"/>
    <w:p w:rsidR="003927FA" w:rsidRPr="003927FA" w:rsidRDefault="00DF7B20" w:rsidP="008A775C">
      <w:pPr>
        <w:pStyle w:val="Legenda"/>
      </w:pPr>
      <w:r>
        <w:t>Quadro 5</w:t>
      </w:r>
      <w:r w:rsidR="003927FA" w:rsidRPr="003927FA">
        <w:t xml:space="preserve"> – </w:t>
      </w:r>
      <w:r w:rsidR="008A775C">
        <w:t>PBH</w:t>
      </w:r>
      <w:r w:rsidR="003927FA" w:rsidRPr="003927FA">
        <w:t xml:space="preserve"> – Desempenho dos Indicadores da LRF para o período 2007/2011</w:t>
      </w:r>
    </w:p>
    <w:p w:rsidR="003927FA" w:rsidRPr="003927FA" w:rsidRDefault="008A775C" w:rsidP="003927FA">
      <w:r w:rsidRPr="008A775C">
        <w:rPr>
          <w:noProof/>
          <w:lang w:eastAsia="pt-BR"/>
        </w:rPr>
        <w:drawing>
          <wp:inline distT="0" distB="0" distL="0" distR="0" wp14:anchorId="41F363E4" wp14:editId="314C0782">
            <wp:extent cx="5732145" cy="1122026"/>
            <wp:effectExtent l="0" t="0" r="1905" b="2540"/>
            <wp:docPr id="41"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2145" cy="1122026"/>
                    </a:xfrm>
                    <a:prstGeom prst="rect">
                      <a:avLst/>
                    </a:prstGeom>
                    <a:noFill/>
                    <a:ln>
                      <a:noFill/>
                    </a:ln>
                  </pic:spPr>
                </pic:pic>
              </a:graphicData>
            </a:graphic>
          </wp:inline>
        </w:drawing>
      </w:r>
    </w:p>
    <w:p w:rsidR="003927FA" w:rsidRPr="003927FA" w:rsidRDefault="003927FA" w:rsidP="00824380">
      <w:r w:rsidRPr="003927FA">
        <w:t xml:space="preserve">Fonte: Cálculos próprios a partir dos Balanços de Execução Orçamentária – </w:t>
      </w:r>
      <w:r w:rsidR="008A775C">
        <w:t>PBH</w:t>
      </w:r>
      <w:r w:rsidRPr="003927FA">
        <w:t xml:space="preserve"> – 2007/2011</w:t>
      </w:r>
    </w:p>
    <w:p w:rsidR="003927FA" w:rsidRPr="003927FA" w:rsidRDefault="003927FA" w:rsidP="003927FA">
      <w:r w:rsidRPr="003927FA">
        <w:t xml:space="preserve">    </w:t>
      </w:r>
    </w:p>
    <w:p w:rsidR="003927FA" w:rsidRPr="003927FA" w:rsidRDefault="003927FA" w:rsidP="003927FA"/>
    <w:p w:rsidR="003927FA" w:rsidRPr="003927FA" w:rsidRDefault="003927FA" w:rsidP="003927FA"/>
    <w:p w:rsidR="003927FA" w:rsidRPr="003927FA" w:rsidRDefault="003927FA" w:rsidP="003927FA">
      <w:pPr>
        <w:numPr>
          <w:ilvl w:val="1"/>
          <w:numId w:val="3"/>
        </w:numPr>
        <w:tabs>
          <w:tab w:val="left" w:pos="180"/>
        </w:tabs>
        <w:spacing w:after="120"/>
        <w:jc w:val="both"/>
        <w:outlineLvl w:val="1"/>
        <w:rPr>
          <w:rFonts w:ascii="Arial" w:hAnsi="Arial"/>
          <w:sz w:val="24"/>
          <w:lang w:eastAsia="es-ES"/>
        </w:rPr>
      </w:pPr>
      <w:r w:rsidRPr="003927FA">
        <w:rPr>
          <w:rFonts w:ascii="Arial" w:hAnsi="Arial"/>
          <w:sz w:val="24"/>
          <w:lang w:eastAsia="es-ES"/>
        </w:rPr>
        <w:t>As projeções financeiras d</w:t>
      </w:r>
      <w:r w:rsidR="00383A67">
        <w:rPr>
          <w:rFonts w:ascii="Arial" w:hAnsi="Arial"/>
          <w:sz w:val="24"/>
          <w:lang w:eastAsia="es-ES"/>
        </w:rPr>
        <w:t>a PBH</w:t>
      </w:r>
      <w:r w:rsidRPr="003927FA">
        <w:rPr>
          <w:rFonts w:ascii="Arial" w:hAnsi="Arial"/>
          <w:sz w:val="24"/>
          <w:lang w:eastAsia="es-ES"/>
        </w:rPr>
        <w:t xml:space="preserve"> foram elaboradas pela Secretaria d</w:t>
      </w:r>
      <w:r w:rsidR="00383A67">
        <w:rPr>
          <w:rFonts w:ascii="Arial" w:hAnsi="Arial"/>
          <w:sz w:val="24"/>
          <w:lang w:eastAsia="es-ES"/>
        </w:rPr>
        <w:t>e Planejamento</w:t>
      </w:r>
      <w:r w:rsidR="008015FE">
        <w:rPr>
          <w:rFonts w:ascii="Arial" w:hAnsi="Arial"/>
          <w:sz w:val="24"/>
          <w:lang w:eastAsia="es-ES"/>
        </w:rPr>
        <w:t>, Orçamento e Informação de Belo Horizonte (SMPL)</w:t>
      </w:r>
      <w:r w:rsidR="00383A67">
        <w:rPr>
          <w:rFonts w:ascii="Arial" w:hAnsi="Arial"/>
          <w:sz w:val="24"/>
          <w:lang w:eastAsia="es-ES"/>
        </w:rPr>
        <w:t xml:space="preserve"> </w:t>
      </w:r>
      <w:r w:rsidRPr="003927FA">
        <w:rPr>
          <w:rFonts w:ascii="Arial" w:hAnsi="Arial"/>
          <w:sz w:val="24"/>
          <w:lang w:eastAsia="es-ES"/>
        </w:rPr>
        <w:t xml:space="preserve">e têm como elemento base a LOA de 2012 e o Plano Plurianual vigente. As projeções do serviço da dívida </w:t>
      </w:r>
      <w:r w:rsidR="008015FE">
        <w:rPr>
          <w:rFonts w:ascii="Arial" w:hAnsi="Arial"/>
          <w:sz w:val="24"/>
          <w:lang w:eastAsia="es-ES"/>
        </w:rPr>
        <w:t xml:space="preserve">e amortizações </w:t>
      </w:r>
      <w:r w:rsidRPr="003927FA">
        <w:rPr>
          <w:rFonts w:ascii="Arial" w:hAnsi="Arial"/>
          <w:sz w:val="24"/>
          <w:lang w:eastAsia="es-ES"/>
        </w:rPr>
        <w:t xml:space="preserve">obedecem ao perfil atual dos </w:t>
      </w:r>
      <w:r w:rsidR="008015FE">
        <w:rPr>
          <w:rFonts w:ascii="Arial" w:hAnsi="Arial"/>
          <w:sz w:val="24"/>
          <w:lang w:eastAsia="es-ES"/>
        </w:rPr>
        <w:t>empréstimos</w:t>
      </w:r>
      <w:r w:rsidRPr="003927FA">
        <w:rPr>
          <w:rFonts w:ascii="Arial" w:hAnsi="Arial"/>
          <w:sz w:val="24"/>
          <w:lang w:eastAsia="es-ES"/>
        </w:rPr>
        <w:t xml:space="preserve"> internos e externos e incorpora</w:t>
      </w:r>
      <w:r w:rsidR="008015FE">
        <w:rPr>
          <w:rFonts w:ascii="Arial" w:hAnsi="Arial"/>
          <w:sz w:val="24"/>
          <w:lang w:eastAsia="es-ES"/>
        </w:rPr>
        <w:t>m</w:t>
      </w:r>
      <w:r w:rsidRPr="003927FA">
        <w:rPr>
          <w:rFonts w:ascii="Arial" w:hAnsi="Arial"/>
          <w:sz w:val="24"/>
          <w:lang w:eastAsia="es-ES"/>
        </w:rPr>
        <w:t xml:space="preserve"> as condições previstas para o Programa </w:t>
      </w:r>
      <w:r w:rsidR="008015FE">
        <w:rPr>
          <w:rFonts w:ascii="Arial" w:hAnsi="Arial"/>
          <w:sz w:val="24"/>
          <w:lang w:eastAsia="es-ES"/>
        </w:rPr>
        <w:t>Drenurbs Complementar</w:t>
      </w:r>
      <w:r w:rsidRPr="003927FA">
        <w:rPr>
          <w:rFonts w:ascii="Arial" w:hAnsi="Arial"/>
          <w:sz w:val="24"/>
          <w:lang w:eastAsia="es-ES"/>
        </w:rPr>
        <w:t xml:space="preserve">. Todas as premissas adotadas pela </w:t>
      </w:r>
      <w:r w:rsidRPr="003927FA">
        <w:rPr>
          <w:rFonts w:ascii="Arial" w:hAnsi="Arial"/>
          <w:sz w:val="24"/>
          <w:lang w:eastAsia="es-ES"/>
        </w:rPr>
        <w:lastRenderedPageBreak/>
        <w:t>S</w:t>
      </w:r>
      <w:r w:rsidR="008015FE">
        <w:rPr>
          <w:rFonts w:ascii="Arial" w:hAnsi="Arial"/>
          <w:sz w:val="24"/>
          <w:lang w:eastAsia="es-ES"/>
        </w:rPr>
        <w:t>MPL</w:t>
      </w:r>
      <w:r w:rsidRPr="003927FA">
        <w:rPr>
          <w:rFonts w:ascii="Arial" w:hAnsi="Arial"/>
          <w:sz w:val="24"/>
          <w:lang w:eastAsia="es-ES"/>
        </w:rPr>
        <w:t xml:space="preserve"> para elaboração das projeções financeiras d</w:t>
      </w:r>
      <w:r w:rsidR="008015FE">
        <w:rPr>
          <w:rFonts w:ascii="Arial" w:hAnsi="Arial"/>
          <w:sz w:val="24"/>
          <w:lang w:eastAsia="es-ES"/>
        </w:rPr>
        <w:t>a Prefeitura de Belo Horizonte</w:t>
      </w:r>
      <w:r w:rsidRPr="003927FA">
        <w:rPr>
          <w:rFonts w:ascii="Arial" w:hAnsi="Arial"/>
          <w:sz w:val="24"/>
          <w:lang w:eastAsia="es-ES"/>
        </w:rPr>
        <w:t xml:space="preserve"> estão apresentadas no Anexo </w:t>
      </w:r>
      <w:r w:rsidR="008015FE">
        <w:rPr>
          <w:rFonts w:ascii="Arial" w:hAnsi="Arial"/>
          <w:sz w:val="24"/>
          <w:lang w:eastAsia="es-ES"/>
        </w:rPr>
        <w:t>1</w:t>
      </w:r>
      <w:r w:rsidRPr="003927FA">
        <w:rPr>
          <w:rFonts w:ascii="Arial" w:hAnsi="Arial"/>
          <w:sz w:val="24"/>
          <w:lang w:eastAsia="es-ES"/>
        </w:rPr>
        <w:t xml:space="preserve">. </w:t>
      </w:r>
    </w:p>
    <w:p w:rsidR="003927FA" w:rsidRPr="003927FA" w:rsidRDefault="003927FA" w:rsidP="003927FA">
      <w:pPr>
        <w:numPr>
          <w:ilvl w:val="1"/>
          <w:numId w:val="3"/>
        </w:numPr>
        <w:tabs>
          <w:tab w:val="left" w:pos="180"/>
        </w:tabs>
        <w:spacing w:after="120"/>
        <w:jc w:val="both"/>
        <w:outlineLvl w:val="1"/>
        <w:rPr>
          <w:rFonts w:ascii="Arial" w:hAnsi="Arial"/>
          <w:sz w:val="24"/>
          <w:lang w:eastAsia="es-ES"/>
        </w:rPr>
      </w:pPr>
      <w:r w:rsidRPr="003927FA">
        <w:rPr>
          <w:rFonts w:ascii="Arial" w:hAnsi="Arial"/>
          <w:sz w:val="24"/>
          <w:lang w:eastAsia="es-ES"/>
        </w:rPr>
        <w:t>Em termos gerais, as projeções financeiras d</w:t>
      </w:r>
      <w:r w:rsidR="00DF7B20">
        <w:rPr>
          <w:rFonts w:ascii="Arial" w:hAnsi="Arial"/>
          <w:sz w:val="24"/>
          <w:lang w:eastAsia="es-ES"/>
        </w:rPr>
        <w:t>a PBH</w:t>
      </w:r>
      <w:r w:rsidRPr="003927FA">
        <w:rPr>
          <w:rFonts w:ascii="Arial" w:hAnsi="Arial"/>
          <w:sz w:val="24"/>
          <w:lang w:eastAsia="es-ES"/>
        </w:rPr>
        <w:t xml:space="preserve"> correlacionam as taxas de crescimento d</w:t>
      </w:r>
      <w:r w:rsidR="00DF7B20">
        <w:rPr>
          <w:rFonts w:ascii="Arial" w:hAnsi="Arial"/>
          <w:sz w:val="24"/>
          <w:lang w:eastAsia="es-ES"/>
        </w:rPr>
        <w:t>o Imposto sobre Serviços (ISS)</w:t>
      </w:r>
      <w:r w:rsidR="00B04F52">
        <w:rPr>
          <w:rFonts w:ascii="Arial" w:hAnsi="Arial"/>
          <w:sz w:val="24"/>
          <w:lang w:eastAsia="es-ES"/>
        </w:rPr>
        <w:t xml:space="preserve"> e as transferências da União e dos Estados</w:t>
      </w:r>
      <w:r w:rsidR="00DF7B20">
        <w:rPr>
          <w:rFonts w:ascii="Arial" w:hAnsi="Arial"/>
          <w:sz w:val="24"/>
          <w:lang w:eastAsia="es-ES"/>
        </w:rPr>
        <w:t xml:space="preserve"> </w:t>
      </w:r>
      <w:r w:rsidRPr="003927FA">
        <w:rPr>
          <w:rFonts w:ascii="Arial" w:hAnsi="Arial"/>
          <w:sz w:val="24"/>
          <w:lang w:eastAsia="es-ES"/>
        </w:rPr>
        <w:t xml:space="preserve">às taxas de crescimento do PIB </w:t>
      </w:r>
      <w:r w:rsidR="00DF7B20">
        <w:rPr>
          <w:rFonts w:ascii="Arial" w:hAnsi="Arial"/>
          <w:sz w:val="24"/>
          <w:lang w:eastAsia="es-ES"/>
        </w:rPr>
        <w:t>nacional</w:t>
      </w:r>
      <w:r w:rsidR="00B04F52">
        <w:rPr>
          <w:rFonts w:ascii="Arial" w:hAnsi="Arial"/>
          <w:sz w:val="24"/>
          <w:lang w:eastAsia="es-ES"/>
        </w:rPr>
        <w:t>.</w:t>
      </w:r>
      <w:r w:rsidR="00DF7B20">
        <w:rPr>
          <w:rFonts w:ascii="Arial" w:hAnsi="Arial"/>
          <w:sz w:val="24"/>
          <w:lang w:eastAsia="es-ES"/>
        </w:rPr>
        <w:t xml:space="preserve"> </w:t>
      </w:r>
      <w:r w:rsidR="00B04F52">
        <w:rPr>
          <w:rFonts w:ascii="Arial" w:hAnsi="Arial"/>
          <w:sz w:val="24"/>
          <w:lang w:eastAsia="es-ES"/>
        </w:rPr>
        <w:t>A</w:t>
      </w:r>
      <w:r w:rsidR="00DF7B20">
        <w:rPr>
          <w:rFonts w:ascii="Arial" w:hAnsi="Arial"/>
          <w:sz w:val="24"/>
          <w:lang w:eastAsia="es-ES"/>
        </w:rPr>
        <w:t xml:space="preserve">s demais receitas </w:t>
      </w:r>
      <w:r w:rsidR="00B04F52">
        <w:rPr>
          <w:rFonts w:ascii="Arial" w:hAnsi="Arial"/>
          <w:sz w:val="24"/>
          <w:lang w:eastAsia="es-ES"/>
        </w:rPr>
        <w:t>(</w:t>
      </w:r>
      <w:r w:rsidR="00DF7B20">
        <w:rPr>
          <w:rFonts w:ascii="Arial" w:hAnsi="Arial"/>
          <w:sz w:val="24"/>
          <w:lang w:eastAsia="es-ES"/>
        </w:rPr>
        <w:t>tributárias</w:t>
      </w:r>
      <w:r w:rsidR="00B04F52">
        <w:rPr>
          <w:rFonts w:ascii="Arial" w:hAnsi="Arial"/>
          <w:sz w:val="24"/>
          <w:lang w:eastAsia="es-ES"/>
        </w:rPr>
        <w:t>, patrimonial, de serviços e outras receitas)</w:t>
      </w:r>
      <w:r w:rsidRPr="003927FA">
        <w:rPr>
          <w:rFonts w:ascii="Arial" w:hAnsi="Arial"/>
          <w:sz w:val="24"/>
          <w:lang w:eastAsia="es-ES"/>
        </w:rPr>
        <w:t xml:space="preserve"> </w:t>
      </w:r>
      <w:r w:rsidR="00B04F52">
        <w:rPr>
          <w:rFonts w:ascii="Arial" w:hAnsi="Arial"/>
          <w:sz w:val="24"/>
          <w:lang w:eastAsia="es-ES"/>
        </w:rPr>
        <w:t>assim com</w:t>
      </w:r>
      <w:r w:rsidRPr="003927FA">
        <w:rPr>
          <w:rFonts w:ascii="Arial" w:hAnsi="Arial"/>
          <w:sz w:val="24"/>
          <w:lang w:eastAsia="es-ES"/>
        </w:rPr>
        <w:t>o as despesas são projetadas com base em eventos passados (200</w:t>
      </w:r>
      <w:r w:rsidR="00B04F52">
        <w:rPr>
          <w:rFonts w:ascii="Arial" w:hAnsi="Arial"/>
          <w:sz w:val="24"/>
          <w:lang w:eastAsia="es-ES"/>
        </w:rPr>
        <w:t>7</w:t>
      </w:r>
      <w:r w:rsidRPr="003927FA">
        <w:rPr>
          <w:rFonts w:ascii="Arial" w:hAnsi="Arial"/>
          <w:sz w:val="24"/>
          <w:lang w:eastAsia="es-ES"/>
        </w:rPr>
        <w:t xml:space="preserve">/2011) e incorporam as perspectivas de crescimento </w:t>
      </w:r>
      <w:r w:rsidR="00B04F52">
        <w:rPr>
          <w:rFonts w:ascii="Arial" w:hAnsi="Arial"/>
          <w:sz w:val="24"/>
          <w:lang w:eastAsia="es-ES"/>
        </w:rPr>
        <w:t>vegetativo real.</w:t>
      </w:r>
      <w:r w:rsidRPr="003927FA">
        <w:rPr>
          <w:rFonts w:ascii="Arial" w:hAnsi="Arial"/>
          <w:sz w:val="24"/>
          <w:lang w:eastAsia="es-ES"/>
        </w:rPr>
        <w:t xml:space="preserve"> O ajuste das projeções para manter o equilíbrio fiscal anual se dá </w:t>
      </w:r>
      <w:r w:rsidR="00B04F52">
        <w:rPr>
          <w:rFonts w:ascii="Arial" w:hAnsi="Arial"/>
          <w:sz w:val="24"/>
          <w:lang w:eastAsia="es-ES"/>
        </w:rPr>
        <w:t xml:space="preserve">sempre </w:t>
      </w:r>
      <w:r w:rsidRPr="003927FA">
        <w:rPr>
          <w:rFonts w:ascii="Arial" w:hAnsi="Arial"/>
          <w:sz w:val="24"/>
          <w:lang w:eastAsia="es-ES"/>
        </w:rPr>
        <w:t xml:space="preserve">na rubrica “Investimentos”, de maneira que o volume de investimentos </w:t>
      </w:r>
      <w:r w:rsidR="00B04F52">
        <w:rPr>
          <w:rFonts w:ascii="Arial" w:hAnsi="Arial"/>
          <w:sz w:val="24"/>
          <w:lang w:eastAsia="es-ES"/>
        </w:rPr>
        <w:t>municipais</w:t>
      </w:r>
      <w:r w:rsidRPr="003927FA">
        <w:rPr>
          <w:rFonts w:ascii="Arial" w:hAnsi="Arial"/>
          <w:sz w:val="24"/>
          <w:lang w:eastAsia="es-ES"/>
        </w:rPr>
        <w:t xml:space="preserve"> é reduzido </w:t>
      </w:r>
      <w:r w:rsidR="00B04F52">
        <w:rPr>
          <w:rFonts w:ascii="Arial" w:hAnsi="Arial"/>
          <w:sz w:val="24"/>
          <w:lang w:eastAsia="es-ES"/>
        </w:rPr>
        <w:t>ou aumentado em função das disponibilidades orçamentárias anuais.</w:t>
      </w:r>
      <w:r w:rsidRPr="003927FA">
        <w:rPr>
          <w:rFonts w:ascii="Arial" w:hAnsi="Arial"/>
          <w:sz w:val="24"/>
          <w:lang w:eastAsia="es-ES"/>
        </w:rPr>
        <w:t xml:space="preserve"> Os elementos mais importantes das projeções são as Receitas Tributárias e os Gastos com Pessoal e Encargos, em função do peso que estes exercem sobre as receitas e despesas, respectivamente. A análise das projeções financeiras realizadas indica que </w:t>
      </w:r>
      <w:r w:rsidR="00B04F52">
        <w:rPr>
          <w:rFonts w:ascii="Arial" w:hAnsi="Arial"/>
          <w:sz w:val="24"/>
          <w:lang w:eastAsia="es-ES"/>
        </w:rPr>
        <w:t>a Prefeitura de Belo Horizonte</w:t>
      </w:r>
      <w:r w:rsidRPr="003927FA">
        <w:rPr>
          <w:rFonts w:ascii="Arial" w:hAnsi="Arial"/>
          <w:sz w:val="24"/>
          <w:lang w:eastAsia="es-ES"/>
        </w:rPr>
        <w:t xml:space="preserve"> terá fundos suficientes para atender a contrapartida local</w:t>
      </w:r>
      <w:r w:rsidR="00B04F52">
        <w:rPr>
          <w:rFonts w:ascii="Arial" w:hAnsi="Arial"/>
          <w:sz w:val="24"/>
          <w:lang w:eastAsia="es-ES"/>
        </w:rPr>
        <w:t>, para</w:t>
      </w:r>
      <w:r w:rsidRPr="003927FA">
        <w:rPr>
          <w:rFonts w:ascii="Arial" w:hAnsi="Arial"/>
          <w:sz w:val="24"/>
          <w:lang w:eastAsia="es-ES"/>
        </w:rPr>
        <w:t xml:space="preserve"> </w:t>
      </w:r>
      <w:r w:rsidR="00B04F52" w:rsidRPr="003927FA">
        <w:rPr>
          <w:rFonts w:ascii="Arial" w:hAnsi="Arial"/>
          <w:sz w:val="24"/>
          <w:lang w:eastAsia="es-ES"/>
        </w:rPr>
        <w:t>o serviço da dívida (juros, encargos e amortizações)</w:t>
      </w:r>
      <w:r w:rsidR="00B04F52">
        <w:rPr>
          <w:rFonts w:ascii="Arial" w:hAnsi="Arial"/>
          <w:sz w:val="24"/>
          <w:lang w:eastAsia="es-ES"/>
        </w:rPr>
        <w:t xml:space="preserve"> previsto para o financiamento complementar do Programa Drenurbs, assim como para os gastos recorrentes adicionais para manutenção das obras a serem financiadas</w:t>
      </w:r>
      <w:r w:rsidR="00046C33">
        <w:rPr>
          <w:rStyle w:val="Refdenotaderodap"/>
          <w:rFonts w:ascii="Arial" w:hAnsi="Arial"/>
          <w:sz w:val="24"/>
          <w:lang w:eastAsia="es-ES"/>
        </w:rPr>
        <w:footnoteReference w:id="3"/>
      </w:r>
      <w:r w:rsidRPr="003927FA">
        <w:rPr>
          <w:rFonts w:ascii="Arial" w:hAnsi="Arial"/>
          <w:sz w:val="24"/>
          <w:lang w:eastAsia="es-ES"/>
        </w:rPr>
        <w:t xml:space="preserve">. </w:t>
      </w:r>
      <w:r w:rsidR="00B04F52">
        <w:rPr>
          <w:rFonts w:ascii="Arial" w:hAnsi="Arial"/>
          <w:sz w:val="24"/>
          <w:lang w:eastAsia="es-ES"/>
        </w:rPr>
        <w:t>O quadro</w:t>
      </w:r>
      <w:r w:rsidRPr="003927FA">
        <w:rPr>
          <w:rFonts w:ascii="Arial" w:hAnsi="Arial"/>
          <w:sz w:val="24"/>
          <w:lang w:eastAsia="es-ES"/>
        </w:rPr>
        <w:t xml:space="preserve"> </w:t>
      </w:r>
      <w:r w:rsidR="00B04F52">
        <w:rPr>
          <w:rFonts w:ascii="Arial" w:hAnsi="Arial"/>
          <w:sz w:val="24"/>
          <w:lang w:eastAsia="es-ES"/>
        </w:rPr>
        <w:t>6</w:t>
      </w:r>
      <w:r w:rsidRPr="003927FA">
        <w:rPr>
          <w:rFonts w:ascii="Arial" w:hAnsi="Arial"/>
          <w:sz w:val="24"/>
          <w:lang w:eastAsia="es-ES"/>
        </w:rPr>
        <w:t xml:space="preserve"> apresenta as projeções financeiras d</w:t>
      </w:r>
      <w:r w:rsidR="00B04F52">
        <w:rPr>
          <w:rFonts w:ascii="Arial" w:hAnsi="Arial"/>
          <w:sz w:val="24"/>
          <w:lang w:eastAsia="es-ES"/>
        </w:rPr>
        <w:t xml:space="preserve">a PBH </w:t>
      </w:r>
      <w:r w:rsidRPr="003927FA">
        <w:rPr>
          <w:rFonts w:ascii="Arial" w:hAnsi="Arial"/>
          <w:sz w:val="24"/>
          <w:lang w:eastAsia="es-ES"/>
        </w:rPr>
        <w:t>para o período 20</w:t>
      </w:r>
      <w:r w:rsidR="00907B28">
        <w:rPr>
          <w:rFonts w:ascii="Arial" w:hAnsi="Arial"/>
          <w:sz w:val="24"/>
          <w:lang w:eastAsia="es-ES"/>
        </w:rPr>
        <w:t>12/2021.</w:t>
      </w:r>
      <w:r w:rsidRPr="003927FA">
        <w:rPr>
          <w:rFonts w:ascii="Arial" w:hAnsi="Arial"/>
          <w:sz w:val="24"/>
          <w:lang w:eastAsia="es-ES"/>
        </w:rPr>
        <w:t xml:space="preserve"> </w:t>
      </w:r>
    </w:p>
    <w:p w:rsidR="003927FA" w:rsidRPr="003927FA" w:rsidRDefault="00B04F52" w:rsidP="00B04F52">
      <w:pPr>
        <w:pStyle w:val="Legenda"/>
      </w:pPr>
      <w:r>
        <w:t>Quadro 6</w:t>
      </w:r>
    </w:p>
    <w:p w:rsidR="003927FA" w:rsidRPr="003927FA" w:rsidRDefault="00824380" w:rsidP="00B04F52">
      <w:pPr>
        <w:pStyle w:val="Legenda"/>
      </w:pPr>
      <w:r>
        <w:t>PBH</w:t>
      </w:r>
      <w:r w:rsidR="003927FA" w:rsidRPr="003927FA">
        <w:t xml:space="preserve"> – Projeções Financeiras – US$1.000 – 2012/2021</w:t>
      </w:r>
    </w:p>
    <w:p w:rsidR="003927FA" w:rsidRPr="003927FA" w:rsidRDefault="00907B28" w:rsidP="003927FA">
      <w:r w:rsidRPr="00907B28">
        <w:rPr>
          <w:noProof/>
          <w:lang w:eastAsia="pt-BR"/>
        </w:rPr>
        <w:drawing>
          <wp:inline distT="0" distB="0" distL="0" distR="0" wp14:anchorId="4CC8CC5C" wp14:editId="4E54BFDC">
            <wp:extent cx="5732145" cy="3868086"/>
            <wp:effectExtent l="0" t="0" r="1905" b="0"/>
            <wp:docPr id="46" name="Image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2145" cy="3868086"/>
                    </a:xfrm>
                    <a:prstGeom prst="rect">
                      <a:avLst/>
                    </a:prstGeom>
                    <a:noFill/>
                    <a:ln>
                      <a:noFill/>
                    </a:ln>
                  </pic:spPr>
                </pic:pic>
              </a:graphicData>
            </a:graphic>
          </wp:inline>
        </w:drawing>
      </w:r>
    </w:p>
    <w:p w:rsidR="003927FA" w:rsidRPr="003927FA" w:rsidRDefault="003927FA" w:rsidP="003927FA">
      <w:pPr>
        <w:rPr>
          <w:rFonts w:ascii="Arial" w:hAnsi="Arial" w:cs="Arial"/>
          <w:sz w:val="16"/>
          <w:szCs w:val="16"/>
        </w:rPr>
      </w:pPr>
      <w:r w:rsidRPr="003927FA">
        <w:rPr>
          <w:rFonts w:ascii="Arial" w:hAnsi="Arial" w:cs="Arial"/>
          <w:sz w:val="16"/>
          <w:szCs w:val="16"/>
        </w:rPr>
        <w:t>Fonte: Secretaria d</w:t>
      </w:r>
      <w:r w:rsidR="00907B28">
        <w:rPr>
          <w:rFonts w:ascii="Arial" w:hAnsi="Arial" w:cs="Arial"/>
          <w:sz w:val="16"/>
          <w:szCs w:val="16"/>
        </w:rPr>
        <w:t>e Planejamento, Orçamento e Informação de Belo Horizonte – SMPL.</w:t>
      </w:r>
      <w:r w:rsidRPr="003927FA">
        <w:rPr>
          <w:rFonts w:ascii="Arial" w:hAnsi="Arial" w:cs="Arial"/>
          <w:sz w:val="16"/>
          <w:szCs w:val="16"/>
        </w:rPr>
        <w:t xml:space="preserve"> Taxa de câmbio: US$1,00=R$</w:t>
      </w:r>
      <w:r w:rsidR="00907B28">
        <w:rPr>
          <w:rFonts w:ascii="Arial" w:hAnsi="Arial" w:cs="Arial"/>
          <w:sz w:val="16"/>
          <w:szCs w:val="16"/>
        </w:rPr>
        <w:t>2,00</w:t>
      </w:r>
      <w:r w:rsidRPr="003927FA">
        <w:rPr>
          <w:rFonts w:ascii="Arial" w:hAnsi="Arial" w:cs="Arial"/>
          <w:sz w:val="16"/>
          <w:szCs w:val="16"/>
        </w:rPr>
        <w:t xml:space="preserve"> </w:t>
      </w:r>
    </w:p>
    <w:p w:rsidR="003927FA" w:rsidRPr="003927FA" w:rsidRDefault="003927FA" w:rsidP="003927FA">
      <w:pPr>
        <w:rPr>
          <w:rFonts w:ascii="Arial" w:hAnsi="Arial" w:cs="Arial"/>
          <w:sz w:val="16"/>
          <w:szCs w:val="16"/>
        </w:rPr>
      </w:pPr>
    </w:p>
    <w:p w:rsidR="003927FA" w:rsidRPr="003927FA" w:rsidRDefault="003927FA" w:rsidP="003927FA"/>
    <w:p w:rsidR="003927FA" w:rsidRPr="003927FA" w:rsidRDefault="00907B28" w:rsidP="003927FA">
      <w:pPr>
        <w:numPr>
          <w:ilvl w:val="1"/>
          <w:numId w:val="3"/>
        </w:numPr>
        <w:tabs>
          <w:tab w:val="left" w:pos="180"/>
        </w:tabs>
        <w:spacing w:after="120"/>
        <w:jc w:val="both"/>
        <w:outlineLvl w:val="1"/>
        <w:rPr>
          <w:rFonts w:ascii="Arial" w:hAnsi="Arial"/>
          <w:sz w:val="24"/>
          <w:lang w:eastAsia="es-ES"/>
        </w:rPr>
      </w:pPr>
      <w:r>
        <w:rPr>
          <w:rFonts w:ascii="Arial" w:hAnsi="Arial"/>
          <w:sz w:val="24"/>
          <w:lang w:eastAsia="es-ES"/>
        </w:rPr>
        <w:lastRenderedPageBreak/>
        <w:t xml:space="preserve">As simulações financeiras consideram que o financiamento complementar é de US$55 milhões, conforme informações prestadas pela SMPL. </w:t>
      </w:r>
      <w:r w:rsidR="003927FA" w:rsidRPr="003927FA">
        <w:rPr>
          <w:rFonts w:ascii="Arial" w:hAnsi="Arial"/>
          <w:sz w:val="24"/>
          <w:lang w:eastAsia="es-ES"/>
        </w:rPr>
        <w:t xml:space="preserve">Como se observa </w:t>
      </w:r>
      <w:r>
        <w:rPr>
          <w:rFonts w:ascii="Arial" w:hAnsi="Arial"/>
          <w:sz w:val="24"/>
          <w:lang w:eastAsia="es-ES"/>
        </w:rPr>
        <w:t xml:space="preserve">no quadro 6, </w:t>
      </w:r>
      <w:r w:rsidR="003927FA" w:rsidRPr="003927FA">
        <w:rPr>
          <w:rFonts w:ascii="Arial" w:hAnsi="Arial"/>
          <w:sz w:val="24"/>
          <w:lang w:eastAsia="es-ES"/>
        </w:rPr>
        <w:t xml:space="preserve">a rubrica </w:t>
      </w:r>
      <w:r w:rsidR="003927FA" w:rsidRPr="003927FA">
        <w:rPr>
          <w:rFonts w:ascii="Arial" w:hAnsi="Arial"/>
          <w:i/>
          <w:sz w:val="24"/>
          <w:lang w:eastAsia="es-ES"/>
        </w:rPr>
        <w:t>Amortizações</w:t>
      </w:r>
      <w:r w:rsidR="003927FA" w:rsidRPr="003927FA">
        <w:rPr>
          <w:rFonts w:ascii="Arial" w:hAnsi="Arial"/>
          <w:sz w:val="24"/>
          <w:lang w:eastAsia="es-ES"/>
        </w:rPr>
        <w:t xml:space="preserve"> utiliz</w:t>
      </w:r>
      <w:r>
        <w:rPr>
          <w:rFonts w:ascii="Arial" w:hAnsi="Arial"/>
          <w:sz w:val="24"/>
          <w:lang w:eastAsia="es-ES"/>
        </w:rPr>
        <w:t>a</w:t>
      </w:r>
      <w:r w:rsidR="003927FA" w:rsidRPr="003927FA">
        <w:rPr>
          <w:rFonts w:ascii="Arial" w:hAnsi="Arial"/>
          <w:sz w:val="24"/>
          <w:lang w:eastAsia="es-ES"/>
        </w:rPr>
        <w:t xml:space="preserve"> </w:t>
      </w:r>
      <w:r>
        <w:rPr>
          <w:rFonts w:ascii="Arial" w:hAnsi="Arial"/>
          <w:sz w:val="24"/>
          <w:lang w:eastAsia="es-ES"/>
        </w:rPr>
        <w:t xml:space="preserve">como premissa </w:t>
      </w:r>
      <w:r w:rsidR="003927FA" w:rsidRPr="003927FA">
        <w:rPr>
          <w:rFonts w:ascii="Arial" w:hAnsi="Arial"/>
          <w:sz w:val="24"/>
          <w:lang w:eastAsia="es-ES"/>
        </w:rPr>
        <w:t>o mecanismo de amortização linear</w:t>
      </w:r>
      <w:r>
        <w:rPr>
          <w:rFonts w:ascii="Arial" w:hAnsi="Arial"/>
          <w:sz w:val="24"/>
          <w:lang w:eastAsia="es-ES"/>
        </w:rPr>
        <w:t>, uma vez que os técnicos da SMPL entendem que e</w:t>
      </w:r>
      <w:r w:rsidR="003927FA" w:rsidRPr="003927FA">
        <w:rPr>
          <w:rFonts w:ascii="Arial" w:hAnsi="Arial"/>
          <w:sz w:val="24"/>
          <w:lang w:eastAsia="es-ES"/>
        </w:rPr>
        <w:t xml:space="preserve">ste procedimento </w:t>
      </w:r>
      <w:r>
        <w:rPr>
          <w:rFonts w:ascii="Arial" w:hAnsi="Arial"/>
          <w:sz w:val="24"/>
          <w:lang w:eastAsia="es-ES"/>
        </w:rPr>
        <w:t xml:space="preserve">é o mais conservador e que </w:t>
      </w:r>
      <w:r w:rsidR="003927FA" w:rsidRPr="003927FA">
        <w:rPr>
          <w:rFonts w:ascii="Arial" w:hAnsi="Arial"/>
          <w:sz w:val="24"/>
          <w:lang w:eastAsia="es-ES"/>
        </w:rPr>
        <w:t>os novos mecanismos de amortização flexível proporcionados pelo BID</w:t>
      </w:r>
      <w:r>
        <w:rPr>
          <w:rFonts w:ascii="Arial" w:hAnsi="Arial"/>
          <w:sz w:val="24"/>
          <w:lang w:eastAsia="es-ES"/>
        </w:rPr>
        <w:t xml:space="preserve"> serão avaliados no próximo exercício fiscal, uma vez que 2012 é um ano eleitoral,</w:t>
      </w:r>
      <w:r w:rsidR="003927FA" w:rsidRPr="003927FA">
        <w:rPr>
          <w:rFonts w:ascii="Arial" w:hAnsi="Arial"/>
          <w:sz w:val="24"/>
          <w:lang w:eastAsia="es-ES"/>
        </w:rPr>
        <w:t xml:space="preserve"> de modo que seria prudente adotar o mecanismo tradicional de amortização linear nas projeções financeiras. </w:t>
      </w:r>
    </w:p>
    <w:p w:rsidR="003927FA" w:rsidRPr="003927FA" w:rsidRDefault="003927FA" w:rsidP="003927FA">
      <w:pPr>
        <w:numPr>
          <w:ilvl w:val="1"/>
          <w:numId w:val="3"/>
        </w:numPr>
        <w:tabs>
          <w:tab w:val="left" w:pos="180"/>
        </w:tabs>
        <w:spacing w:after="120"/>
        <w:jc w:val="both"/>
        <w:outlineLvl w:val="1"/>
        <w:rPr>
          <w:rFonts w:ascii="Arial" w:hAnsi="Arial"/>
          <w:sz w:val="24"/>
          <w:lang w:eastAsia="es-ES"/>
        </w:rPr>
      </w:pPr>
      <w:r w:rsidRPr="003927FA">
        <w:rPr>
          <w:rFonts w:ascii="Arial" w:hAnsi="Arial"/>
          <w:sz w:val="24"/>
          <w:lang w:eastAsia="es-ES"/>
        </w:rPr>
        <w:t>A partir das projeções financeiras estimaram-se os indicadores de capacidade de endividamento e capacidade de pagamento d</w:t>
      </w:r>
      <w:r w:rsidR="00BB7EE1">
        <w:rPr>
          <w:rFonts w:ascii="Arial" w:hAnsi="Arial"/>
          <w:sz w:val="24"/>
          <w:lang w:eastAsia="es-ES"/>
        </w:rPr>
        <w:t xml:space="preserve">a PBH </w:t>
      </w:r>
      <w:r w:rsidRPr="003927FA">
        <w:rPr>
          <w:rFonts w:ascii="Arial" w:hAnsi="Arial"/>
          <w:sz w:val="24"/>
          <w:lang w:eastAsia="es-ES"/>
        </w:rPr>
        <w:t>para o período 2012/2021, apresentados n</w:t>
      </w:r>
      <w:r w:rsidR="00BB7EE1">
        <w:rPr>
          <w:rFonts w:ascii="Arial" w:hAnsi="Arial"/>
          <w:sz w:val="24"/>
          <w:lang w:eastAsia="es-ES"/>
        </w:rPr>
        <w:t>o quadro 7</w:t>
      </w:r>
      <w:r w:rsidRPr="003927FA">
        <w:rPr>
          <w:rFonts w:ascii="Arial" w:hAnsi="Arial"/>
          <w:sz w:val="24"/>
          <w:lang w:eastAsia="es-ES"/>
        </w:rPr>
        <w:t>, abaixo:</w:t>
      </w:r>
    </w:p>
    <w:p w:rsidR="003927FA" w:rsidRPr="003927FA" w:rsidRDefault="00BB7EE1" w:rsidP="00BB7EE1">
      <w:pPr>
        <w:pStyle w:val="Legenda"/>
      </w:pPr>
      <w:r>
        <w:t>Quadro 7</w:t>
      </w:r>
      <w:r w:rsidR="003927FA" w:rsidRPr="003927FA">
        <w:t xml:space="preserve"> – </w:t>
      </w:r>
      <w:r>
        <w:t>PBH</w:t>
      </w:r>
      <w:r w:rsidR="003927FA" w:rsidRPr="003927FA">
        <w:t xml:space="preserve"> - Projeção dos Indicadores da LRF – US$1.000 – 2011/2021</w:t>
      </w:r>
    </w:p>
    <w:p w:rsidR="003927FA" w:rsidRPr="003927FA" w:rsidRDefault="00D05F07" w:rsidP="003927FA">
      <w:r w:rsidRPr="00D05F07">
        <w:rPr>
          <w:noProof/>
          <w:lang w:eastAsia="pt-BR"/>
        </w:rPr>
        <w:drawing>
          <wp:inline distT="0" distB="0" distL="0" distR="0" wp14:anchorId="24513DFB" wp14:editId="5BC37E9A">
            <wp:extent cx="5732145" cy="3403661"/>
            <wp:effectExtent l="0" t="0" r="1905" b="6350"/>
            <wp:docPr id="48" name="Image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2145" cy="3403661"/>
                    </a:xfrm>
                    <a:prstGeom prst="rect">
                      <a:avLst/>
                    </a:prstGeom>
                    <a:noFill/>
                    <a:ln>
                      <a:noFill/>
                    </a:ln>
                  </pic:spPr>
                </pic:pic>
              </a:graphicData>
            </a:graphic>
          </wp:inline>
        </w:drawing>
      </w:r>
    </w:p>
    <w:p w:rsidR="003927FA" w:rsidRPr="003927FA" w:rsidRDefault="003927FA" w:rsidP="003927FA">
      <w:r w:rsidRPr="003927FA">
        <w:t>Fonte: cálculos próprios a partir das projeções financeiras.</w:t>
      </w:r>
      <w:r w:rsidR="00824380">
        <w:t xml:space="preserve"> </w:t>
      </w:r>
      <w:r w:rsidR="00824380" w:rsidRPr="003927FA">
        <w:rPr>
          <w:rFonts w:ascii="Arial" w:hAnsi="Arial" w:cs="Arial"/>
          <w:sz w:val="16"/>
          <w:szCs w:val="16"/>
        </w:rPr>
        <w:t>Taxa de câmbio: US$1,00=R$</w:t>
      </w:r>
      <w:r w:rsidR="00824380">
        <w:rPr>
          <w:rFonts w:ascii="Arial" w:hAnsi="Arial" w:cs="Arial"/>
          <w:sz w:val="16"/>
          <w:szCs w:val="16"/>
        </w:rPr>
        <w:t>2,00</w:t>
      </w:r>
    </w:p>
    <w:p w:rsidR="003927FA" w:rsidRPr="003927FA" w:rsidRDefault="003927FA" w:rsidP="003927FA"/>
    <w:p w:rsidR="00D05F07" w:rsidRDefault="003927FA" w:rsidP="00D05F07">
      <w:pPr>
        <w:pStyle w:val="Paragraph"/>
        <w:numPr>
          <w:ilvl w:val="1"/>
          <w:numId w:val="3"/>
        </w:numPr>
        <w:tabs>
          <w:tab w:val="left" w:pos="180"/>
        </w:tabs>
        <w:spacing w:before="120" w:after="120"/>
        <w:outlineLvl w:val="1"/>
      </w:pPr>
      <w:r w:rsidRPr="00D05F07">
        <w:t>Como pode ser observado, todos indicadores de capacidade de endividamento e de pagamento d</w:t>
      </w:r>
      <w:r w:rsidR="00D05F07">
        <w:t>a PBH</w:t>
      </w:r>
      <w:r w:rsidRPr="00D05F07">
        <w:t xml:space="preserve"> estão enquadrados dentro dos limites definidos pela legislação vigente</w:t>
      </w:r>
      <w:r w:rsidR="00D05F07">
        <w:t xml:space="preserve"> para os próximos 10 anos</w:t>
      </w:r>
      <w:r w:rsidRPr="00D05F07">
        <w:t xml:space="preserve">. Os indicadores demonstram que há capacidade adicional para endividamento e margem adicional para pagamento do serviço da dívida, mesmo incluindo a operação de empréstimo </w:t>
      </w:r>
      <w:r w:rsidR="00711F9D">
        <w:t>complementar do Programa Drenurbs</w:t>
      </w:r>
      <w:r w:rsidRPr="00D05F07">
        <w:t>.</w:t>
      </w:r>
    </w:p>
    <w:p w:rsidR="00D05F07" w:rsidRDefault="00D05F07">
      <w:pPr>
        <w:spacing w:line="360" w:lineRule="auto"/>
        <w:ind w:firstLine="357"/>
        <w:jc w:val="center"/>
        <w:rPr>
          <w:rFonts w:ascii="Arial" w:hAnsi="Arial"/>
          <w:sz w:val="24"/>
          <w:lang w:eastAsia="es-ES"/>
        </w:rPr>
      </w:pPr>
      <w:r>
        <w:br w:type="page"/>
      </w:r>
    </w:p>
    <w:p w:rsidR="00E76CC5" w:rsidRPr="00D05F07" w:rsidRDefault="00E76CC5" w:rsidP="00D05F07">
      <w:pPr>
        <w:pStyle w:val="Ttulo1"/>
      </w:pPr>
      <w:bookmarkStart w:id="4" w:name="_Toc334529374"/>
      <w:r w:rsidRPr="00D05F07">
        <w:lastRenderedPageBreak/>
        <w:t>ANÁLISE FINANCEIRA E INSTITUCIONAL DA COPASA</w:t>
      </w:r>
      <w:bookmarkEnd w:id="0"/>
      <w:bookmarkEnd w:id="4"/>
    </w:p>
    <w:p w:rsidR="00E76CC5" w:rsidRDefault="00E76CC5" w:rsidP="00E76CC5"/>
    <w:p w:rsidR="00D05F07" w:rsidRPr="00D05F07" w:rsidRDefault="00D05F07" w:rsidP="00D05F07">
      <w:pPr>
        <w:pStyle w:val="PargrafodaLista"/>
        <w:numPr>
          <w:ilvl w:val="0"/>
          <w:numId w:val="3"/>
        </w:numPr>
        <w:tabs>
          <w:tab w:val="left" w:pos="180"/>
        </w:tabs>
        <w:spacing w:before="120" w:after="120"/>
        <w:jc w:val="both"/>
        <w:outlineLvl w:val="1"/>
        <w:rPr>
          <w:rFonts w:ascii="Arial" w:hAnsi="Arial"/>
          <w:vanish/>
          <w:sz w:val="24"/>
          <w:lang w:eastAsia="es-ES"/>
        </w:rPr>
      </w:pPr>
    </w:p>
    <w:p w:rsidR="00E76CC5" w:rsidRDefault="00E76CC5" w:rsidP="00D05F07">
      <w:pPr>
        <w:pStyle w:val="Paragraph"/>
        <w:numPr>
          <w:ilvl w:val="1"/>
          <w:numId w:val="3"/>
        </w:numPr>
        <w:tabs>
          <w:tab w:val="left" w:pos="180"/>
        </w:tabs>
        <w:spacing w:before="120" w:after="120"/>
        <w:outlineLvl w:val="1"/>
      </w:pPr>
      <w:r>
        <w:t xml:space="preserve">A Companhia de Saneamento de Minas Gerais – COPASA é uma empresa de economia mista por ações, representada exclusivamente por ações ordinárias, cujo controle acionário é do Estado de Minas Gerais. A COPASA tem como objeto social planejar, executar, ampliar, remodelar e explorar serviços públicos de saneamento básico, sendo este entendido como: abastecimento de água, coleta, transporte, tratamento e disposição final de esgotos sanitários e limpeza urbana e manejo de resíduos sólidos.  </w:t>
      </w:r>
    </w:p>
    <w:p w:rsidR="00E76CC5" w:rsidRDefault="00E76CC5" w:rsidP="00D05F07">
      <w:pPr>
        <w:pStyle w:val="Paragraph"/>
        <w:numPr>
          <w:ilvl w:val="1"/>
          <w:numId w:val="3"/>
        </w:numPr>
        <w:tabs>
          <w:tab w:val="left" w:pos="180"/>
        </w:tabs>
        <w:spacing w:before="120" w:after="120"/>
        <w:outlineLvl w:val="1"/>
      </w:pPr>
      <w:r>
        <w:t xml:space="preserve">A Companhia foi fundada em 1963 pelo Governo do Estado de Minas Gerais, sob a denominação Companhia Mineira de Água e Esgotos (COMAG), com a finalidade de executar a política estadual de saneamento básico do Estado de Minas Gerais. Em 1971, foi criado pelo Governo Federal o Plano Nacional de Saneamento – PLANASA e para atender as condições do plano o Departamento Municipal de Águas e Esgoto - DEMAE, responsável pela prestação dos serviços de saneamento básico no Município de Belo Horizonte foi incorporado à COMAG em 1973 e, posteriormente, em 1974, sua denominação foi alterada para Companhia de Saneamento de Minas Gerais - COPASA MG. A Companhia realizou sua oferta inicial de ações (IPO) em 2006 e em abril de 2008 foi realizada uma oferta secundária em que o acionista Município de Belo Horizonte alienou a totalidade de suas ações e o acionista Estado de Minas Gerais vendeu parte de suas ações, de forma a não perder o controle acionário. Atualmente, o Governo do Estado de Minas Gerais detém </w:t>
      </w:r>
      <w:r w:rsidR="008C2BC5">
        <w:t>51,13% das ações e 40,07% das ações estão em circulação no mercado acionário.</w:t>
      </w:r>
    </w:p>
    <w:p w:rsidR="00E76CC5" w:rsidRDefault="00E76CC5" w:rsidP="00711F9D">
      <w:pPr>
        <w:pStyle w:val="Paragraph"/>
        <w:numPr>
          <w:ilvl w:val="1"/>
          <w:numId w:val="3"/>
        </w:numPr>
        <w:tabs>
          <w:tab w:val="left" w:pos="180"/>
        </w:tabs>
        <w:spacing w:before="120" w:after="120"/>
        <w:outlineLvl w:val="1"/>
      </w:pPr>
      <w:r>
        <w:t>Recentemente, foram criadas as subsidiárias integrais COPANOR, COPASA Águas Minerais e COPASA Serviços de Irrigação.</w:t>
      </w:r>
    </w:p>
    <w:p w:rsidR="00CE529D" w:rsidRDefault="00E76CC5" w:rsidP="00711F9D">
      <w:pPr>
        <w:pStyle w:val="Paragraph"/>
        <w:numPr>
          <w:ilvl w:val="1"/>
          <w:numId w:val="3"/>
        </w:numPr>
        <w:tabs>
          <w:tab w:val="left" w:pos="180"/>
        </w:tabs>
        <w:spacing w:before="120" w:after="120"/>
        <w:outlineLvl w:val="1"/>
      </w:pPr>
      <w:r>
        <w:t xml:space="preserve">A Companhia atua no âmbito do estado de </w:t>
      </w:r>
      <w:r w:rsidR="008C2BC5">
        <w:t>Minas Gerais</w:t>
      </w:r>
      <w:r>
        <w:t xml:space="preserve">, </w:t>
      </w:r>
      <w:r w:rsidR="00CE529D">
        <w:t xml:space="preserve">sob o marco regulatório do setor, que inclui, entre outros, a Lei Federal 11.445/2007, a Lei Estadual 2.842/63 (criação da empresa) e Lei Estadual 18.309/09, que criou a Agência Reguladora de Serviços de Abastecimento de Água e Esgotos Sanitários de Minas Gerais (ARSAE). Atualmente, dos 856 municípios do estado de Minas Gerais, a COPASA tem a concessão para serviços de abastecimento de água em 624 deles e para os serviços de esgotamento sanitário em 236 municípios. O quadro </w:t>
      </w:r>
      <w:r w:rsidR="00711F9D">
        <w:t>8</w:t>
      </w:r>
      <w:r w:rsidR="00CE529D">
        <w:t xml:space="preserve"> apresenta os indicadores operacionais mais relevantes da COPASA, segundo a posição em 30/06/2012.</w:t>
      </w:r>
    </w:p>
    <w:p w:rsidR="00CE529D" w:rsidRDefault="00CE529D" w:rsidP="0030118E">
      <w:pPr>
        <w:pStyle w:val="Legenda"/>
      </w:pPr>
      <w:r>
        <w:lastRenderedPageBreak/>
        <w:t xml:space="preserve">Quadro </w:t>
      </w:r>
      <w:r w:rsidR="00711F9D">
        <w:t>8</w:t>
      </w:r>
    </w:p>
    <w:p w:rsidR="0030118E" w:rsidRDefault="0030118E" w:rsidP="000E7F93">
      <w:r w:rsidRPr="0030118E">
        <w:rPr>
          <w:noProof/>
          <w:lang w:eastAsia="pt-BR"/>
        </w:rPr>
        <w:drawing>
          <wp:inline distT="0" distB="0" distL="0" distR="0" wp14:anchorId="5AC6BC91" wp14:editId="153CE3E4">
            <wp:extent cx="5732145" cy="3355410"/>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2145" cy="3355410"/>
                    </a:xfrm>
                    <a:prstGeom prst="rect">
                      <a:avLst/>
                    </a:prstGeom>
                    <a:noFill/>
                    <a:ln>
                      <a:noFill/>
                    </a:ln>
                  </pic:spPr>
                </pic:pic>
              </a:graphicData>
            </a:graphic>
          </wp:inline>
        </w:drawing>
      </w:r>
    </w:p>
    <w:p w:rsidR="0030118E" w:rsidRPr="0030118E" w:rsidRDefault="00751B58" w:rsidP="000E7F93">
      <w:r>
        <w:t xml:space="preserve">   </w:t>
      </w:r>
      <w:r w:rsidR="0030118E" w:rsidRPr="0030118E">
        <w:t>Fonte: COPASA. Release Operacional Junho 2012</w:t>
      </w:r>
    </w:p>
    <w:p w:rsidR="0030118E" w:rsidRDefault="0030118E" w:rsidP="000E7F93"/>
    <w:p w:rsidR="00C72AA5" w:rsidRDefault="0030118E" w:rsidP="00711F9D">
      <w:pPr>
        <w:pStyle w:val="Paragraph"/>
        <w:numPr>
          <w:ilvl w:val="1"/>
          <w:numId w:val="3"/>
        </w:numPr>
        <w:tabs>
          <w:tab w:val="left" w:pos="180"/>
        </w:tabs>
        <w:spacing w:before="120" w:after="120"/>
        <w:outlineLvl w:val="1"/>
      </w:pPr>
      <w:r>
        <w:t xml:space="preserve">Como se observa, o desempenho operacional da empresa nos últimos 12 meses – referenciados a 30/junho – foi bastante consistente, com destaque para as operações de esgoto sanitário, cujas concessões cresceram 7,76% no período e o volume faturado em 9,89%. </w:t>
      </w:r>
    </w:p>
    <w:p w:rsidR="00C72AA5" w:rsidRDefault="00C72AA5" w:rsidP="00711F9D">
      <w:pPr>
        <w:pStyle w:val="Paragraph"/>
        <w:numPr>
          <w:ilvl w:val="1"/>
          <w:numId w:val="3"/>
        </w:numPr>
        <w:tabs>
          <w:tab w:val="left" w:pos="180"/>
        </w:tabs>
        <w:spacing w:before="120" w:after="120"/>
        <w:outlineLvl w:val="1"/>
      </w:pPr>
      <w:r>
        <w:t>A</w:t>
      </w:r>
      <w:r w:rsidR="001D5D40">
        <w:t xml:space="preserve"> ARSAE divulgou, em 12 de abril de 2012, a Resolução Normativa 20/2012 autorizando um reajuste médio de 4,34% nas tarifas de água e de esgoto da COPASA, além de autorização para a reestruturação da tabela tarifária, definindo que a tarifa de esgoto com tratamento passou a ser de 90% da tarifa de água, processo iniciado em 2011, quando a tarifa de esgoto com tratamento passou de 60% para 75% do valor da tarifa de água</w:t>
      </w:r>
      <w:r>
        <w:t>.</w:t>
      </w:r>
      <w:r w:rsidR="001D5D40">
        <w:t xml:space="preserve"> Com relação à tarifa de esgoto aplicada nas localidades onde o esgoto é coletado, mas ainda não passa por tratamento, o percentual passou a ser de 50% da tarifa de água. Vale ressaltar que no reajuste tarifário de 2011, tal percentual passou de</w:t>
      </w:r>
      <w:r>
        <w:t xml:space="preserve"> 40% para 45% da tarifa de água. Embora </w:t>
      </w:r>
      <w:r w:rsidRPr="00C72AA5">
        <w:t xml:space="preserve">os aumentos autorizados </w:t>
      </w:r>
      <w:r>
        <w:t xml:space="preserve">pela ARSAE </w:t>
      </w:r>
      <w:r w:rsidRPr="00C72AA5">
        <w:t xml:space="preserve">no percentual de cobrança da tarifa de esgoto em relação à tarifa de água </w:t>
      </w:r>
      <w:r>
        <w:t>tenham sido</w:t>
      </w:r>
      <w:r w:rsidRPr="00C72AA5">
        <w:t xml:space="preserve"> contrabalançados pela redução da tarifa de água</w:t>
      </w:r>
      <w:r>
        <w:t>, em médio prazo, espera-se que haja efeitos positivos desta restruturação tarifária nos resultados operacionais da empresa</w:t>
      </w:r>
      <w:r w:rsidRPr="00C72AA5">
        <w:t>.</w:t>
      </w:r>
    </w:p>
    <w:p w:rsidR="00C72AA5" w:rsidRDefault="00751B58" w:rsidP="00711F9D">
      <w:pPr>
        <w:pStyle w:val="Paragraph"/>
        <w:numPr>
          <w:ilvl w:val="1"/>
          <w:numId w:val="3"/>
        </w:numPr>
        <w:tabs>
          <w:tab w:val="left" w:pos="180"/>
        </w:tabs>
        <w:spacing w:before="120" w:after="120"/>
        <w:outlineLvl w:val="1"/>
      </w:pPr>
      <w:r>
        <w:t>Segundo os relatórios publicados pela empresa, o</w:t>
      </w:r>
      <w:r w:rsidR="00C72AA5" w:rsidRPr="00C72AA5">
        <w:t xml:space="preserve"> aumento do percentual de cobrança da tarifa de esgoto de 60% para 75% e posteriormente para 90% da tarifa de água, em função do início do tratamento do esgoto, foi contrabalançado pela redução da tarifa de água, resultando em expressivo crescimento da receita de esgoto comparativamente àquela obtida com os serviços de água</w:t>
      </w:r>
      <w:r>
        <w:t xml:space="preserve">, conforme se verifica no quadro </w:t>
      </w:r>
      <w:r w:rsidR="00711F9D">
        <w:t>9</w:t>
      </w:r>
      <w:r>
        <w:t>, abaixo</w:t>
      </w:r>
      <w:r w:rsidR="00C72AA5" w:rsidRPr="00C72AA5">
        <w:t>.</w:t>
      </w:r>
    </w:p>
    <w:p w:rsidR="00751B58" w:rsidRDefault="00751B58" w:rsidP="00751B58">
      <w:pPr>
        <w:pStyle w:val="Legenda"/>
      </w:pPr>
      <w:r>
        <w:lastRenderedPageBreak/>
        <w:t xml:space="preserve">Quadro </w:t>
      </w:r>
      <w:r w:rsidR="00711F9D">
        <w:t>9</w:t>
      </w:r>
    </w:p>
    <w:p w:rsidR="00751B58" w:rsidRDefault="00751B58" w:rsidP="00751B58">
      <w:pPr>
        <w:pStyle w:val="Legenda"/>
      </w:pPr>
      <w:r>
        <w:t>Evolução das Receitas de Água e Esgoto – 2T12/2T11</w:t>
      </w:r>
    </w:p>
    <w:p w:rsidR="00751B58" w:rsidRDefault="00751B58" w:rsidP="00751B58">
      <w:pPr>
        <w:jc w:val="center"/>
      </w:pPr>
      <w:r w:rsidRPr="00751B58">
        <w:rPr>
          <w:noProof/>
          <w:lang w:eastAsia="pt-BR"/>
        </w:rPr>
        <w:drawing>
          <wp:inline distT="0" distB="0" distL="0" distR="0" wp14:anchorId="34DB8981" wp14:editId="6536F25A">
            <wp:extent cx="5732145" cy="1457701"/>
            <wp:effectExtent l="0" t="0" r="1905" b="952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2145" cy="1457701"/>
                    </a:xfrm>
                    <a:prstGeom prst="rect">
                      <a:avLst/>
                    </a:prstGeom>
                    <a:noFill/>
                    <a:ln>
                      <a:noFill/>
                    </a:ln>
                  </pic:spPr>
                </pic:pic>
              </a:graphicData>
            </a:graphic>
          </wp:inline>
        </w:drawing>
      </w:r>
    </w:p>
    <w:p w:rsidR="00751B58" w:rsidRPr="0030118E" w:rsidRDefault="00751B58" w:rsidP="000E7F93">
      <w:r>
        <w:t xml:space="preserve">  </w:t>
      </w:r>
      <w:r w:rsidRPr="0030118E">
        <w:t xml:space="preserve">Fonte: COPASA. Release </w:t>
      </w:r>
      <w:r>
        <w:t xml:space="preserve">de Resultados do 2º. Trimestre </w:t>
      </w:r>
      <w:r w:rsidRPr="0030118E">
        <w:t>2012</w:t>
      </w:r>
      <w:r>
        <w:t xml:space="preserve"> (2T12)</w:t>
      </w:r>
    </w:p>
    <w:p w:rsidR="00751B58" w:rsidRPr="00751B58" w:rsidRDefault="00751B58" w:rsidP="00751B58"/>
    <w:p w:rsidR="0030118E" w:rsidRDefault="00C72AA5" w:rsidP="00711F9D">
      <w:pPr>
        <w:pStyle w:val="Paragraph"/>
        <w:numPr>
          <w:ilvl w:val="1"/>
          <w:numId w:val="3"/>
        </w:numPr>
        <w:tabs>
          <w:tab w:val="left" w:pos="180"/>
        </w:tabs>
        <w:spacing w:before="120" w:after="120"/>
        <w:outlineLvl w:val="1"/>
      </w:pPr>
      <w:r>
        <w:t>No mesmo sentido, ocorreu reestruturação na forma de enquadramento dos usuários na tarifa social.</w:t>
      </w:r>
      <w:r w:rsidRPr="00C72AA5">
        <w:t xml:space="preserve"> </w:t>
      </w:r>
      <w:r>
        <w:t>Até então, a COPASA concedia benefícios de tarifa social para clientes da categoria social, adotando como critérios, em especial, unidade classificada como residencial, área construída do imóvel, consumo de até 15 m³ e desconto de 50% em relação à tarifa residencial normal. Os novos critérios definidos pela ARSAE-MG para enquadramento nessa categoria são: i) unidade usuária classificada como residencial; ii) os moradores da unidade usuária classificada como Residencial/Tarifa Social devem pertencer a uma família inscrita no Cadastro Único para Programas Sociais; iii) a renda per capita mensal familiar desta unidade usuária deve ser menor ou igual à meio (1/2) salário mínimo nacional; e iv) perda do benefício em caso de inadimplência. Os descontos concedidos em relação à tarifa residencial normal correspondem agora a: i) 40% (consumo até 6 m³); ii) 20% (consumo &gt;6 a 10 m³); iii) 10% (consumo &gt;10 a 15 m³); e 0% (&gt;15 m³). A reclassificação dos usuários a partir dos novos critérios para a tarifa social, assim como o escalonamento dos descontos por faixas de consumo também podem se refletir positivamente nos resultados operacionais da Companhia em médio e longo prazo.</w:t>
      </w:r>
    </w:p>
    <w:p w:rsidR="00E76CC5" w:rsidRPr="004F05EF" w:rsidRDefault="00E76CC5" w:rsidP="00E76CC5">
      <w:pPr>
        <w:ind w:firstLine="709"/>
      </w:pPr>
    </w:p>
    <w:p w:rsidR="00751B58" w:rsidRDefault="00751B58" w:rsidP="00711F9D">
      <w:pPr>
        <w:pStyle w:val="Paragraph"/>
        <w:numPr>
          <w:ilvl w:val="1"/>
          <w:numId w:val="3"/>
        </w:numPr>
        <w:tabs>
          <w:tab w:val="left" w:pos="180"/>
        </w:tabs>
        <w:spacing w:before="120" w:after="120"/>
        <w:outlineLvl w:val="1"/>
      </w:pPr>
      <w:r w:rsidRPr="00751B58">
        <w:t xml:space="preserve">Os Custos dos Serviços Prestados, Despesas Comerciais e Administrativas atingiram R$ 483,7 milhões no 2T12, ante R$ 421,8 milhões no 2T11 (+14,7%). Desconsiderando-se as depreciações e amortizações, os custos e despesas apresentaram elevação de 12,5%, conforme </w:t>
      </w:r>
      <w:r>
        <w:t xml:space="preserve">se apresenta no </w:t>
      </w:r>
      <w:r w:rsidRPr="00751B58">
        <w:t xml:space="preserve">quadro </w:t>
      </w:r>
      <w:r w:rsidR="00711F9D">
        <w:t>10</w:t>
      </w:r>
      <w:r>
        <w:t xml:space="preserve">, </w:t>
      </w:r>
      <w:r w:rsidRPr="00751B58">
        <w:t>a</w:t>
      </w:r>
      <w:r>
        <w:t xml:space="preserve"> seguir</w:t>
      </w:r>
      <w:r w:rsidRPr="00751B58">
        <w:t>:</w:t>
      </w:r>
    </w:p>
    <w:p w:rsidR="00751B58" w:rsidRDefault="00751B58" w:rsidP="00751B58">
      <w:pPr>
        <w:pStyle w:val="PargrafodaLista"/>
      </w:pPr>
    </w:p>
    <w:p w:rsidR="00751B58" w:rsidRDefault="00751B58" w:rsidP="00751B58">
      <w:pPr>
        <w:pStyle w:val="Legenda"/>
      </w:pPr>
      <w:r>
        <w:lastRenderedPageBreak/>
        <w:t xml:space="preserve">Quadro </w:t>
      </w:r>
      <w:r w:rsidR="00711F9D">
        <w:t>10</w:t>
      </w:r>
    </w:p>
    <w:p w:rsidR="00751B58" w:rsidRDefault="00751B58" w:rsidP="00751B58">
      <w:pPr>
        <w:pStyle w:val="Legenda"/>
      </w:pPr>
      <w:r>
        <w:t>Custos dos Serviços e Despesas Comerciais e Administrativas – 2T12/2T11</w:t>
      </w:r>
    </w:p>
    <w:p w:rsidR="00751B58" w:rsidRDefault="00751B58" w:rsidP="00751B58">
      <w:r w:rsidRPr="00751B58">
        <w:rPr>
          <w:noProof/>
          <w:lang w:eastAsia="pt-BR"/>
        </w:rPr>
        <w:drawing>
          <wp:inline distT="0" distB="0" distL="0" distR="0" wp14:anchorId="68DAF0A7" wp14:editId="324F2F3B">
            <wp:extent cx="5732145" cy="2691011"/>
            <wp:effectExtent l="0" t="0" r="190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2145" cy="2691011"/>
                    </a:xfrm>
                    <a:prstGeom prst="rect">
                      <a:avLst/>
                    </a:prstGeom>
                    <a:noFill/>
                    <a:ln>
                      <a:noFill/>
                    </a:ln>
                  </pic:spPr>
                </pic:pic>
              </a:graphicData>
            </a:graphic>
          </wp:inline>
        </w:drawing>
      </w:r>
    </w:p>
    <w:p w:rsidR="00751B58" w:rsidRPr="00751B58" w:rsidRDefault="00751B58" w:rsidP="00751B58">
      <w:r w:rsidRPr="0030118E">
        <w:rPr>
          <w:sz w:val="16"/>
          <w:szCs w:val="16"/>
        </w:rPr>
        <w:t xml:space="preserve">Fonte: COPASA. Release </w:t>
      </w:r>
      <w:r>
        <w:rPr>
          <w:sz w:val="16"/>
          <w:szCs w:val="16"/>
        </w:rPr>
        <w:t xml:space="preserve">de Resultados do 2º. Trimestre </w:t>
      </w:r>
      <w:r w:rsidRPr="0030118E">
        <w:rPr>
          <w:sz w:val="16"/>
          <w:szCs w:val="16"/>
        </w:rPr>
        <w:t>2012</w:t>
      </w:r>
      <w:r>
        <w:rPr>
          <w:sz w:val="16"/>
          <w:szCs w:val="16"/>
        </w:rPr>
        <w:t xml:space="preserve"> (2T12)</w:t>
      </w:r>
    </w:p>
    <w:p w:rsidR="00751B58" w:rsidRDefault="00751B58" w:rsidP="000E7F93"/>
    <w:p w:rsidR="00751B58" w:rsidRDefault="00751B58" w:rsidP="00751B58">
      <w:pPr>
        <w:pStyle w:val="PargrafodaLista"/>
      </w:pPr>
    </w:p>
    <w:p w:rsidR="0036365E" w:rsidRDefault="0036365E" w:rsidP="00711F9D">
      <w:pPr>
        <w:pStyle w:val="Paragraph"/>
        <w:numPr>
          <w:ilvl w:val="1"/>
          <w:numId w:val="3"/>
        </w:numPr>
        <w:tabs>
          <w:tab w:val="left" w:pos="180"/>
        </w:tabs>
        <w:spacing w:before="120" w:after="120"/>
        <w:outlineLvl w:val="1"/>
      </w:pPr>
      <w:r>
        <w:t>Segundo a Companhia, o</w:t>
      </w:r>
      <w:r w:rsidR="00751B58">
        <w:t xml:space="preserve"> aumento no item Pessoal no 2T12 em 13,5%, comparativamente ao 2T11, é decorrente de</w:t>
      </w:r>
      <w:r>
        <w:t xml:space="preserve"> </w:t>
      </w:r>
      <w:r w:rsidR="00751B58">
        <w:t xml:space="preserve">gastos não recorrentes com o Programa de Desligamento Voluntário de Empregado Aposentado e/ou em condições de se Aposentar (PDV), que representou um custo de R$ 2,2 milhões no 2T12, com o desligamento de 32 empregados ao longo do trimestre. A alteração na legislação trabalhista em outubro de 2011, que elevou o aviso prévio remunerado para até 90 dias, </w:t>
      </w:r>
      <w:r>
        <w:t xml:space="preserve">também </w:t>
      </w:r>
      <w:r w:rsidR="00751B58">
        <w:t>contribuiu para a elevação dos gastos com esse Programa. Vale ressaltar que em função da legislação eleitoral novos desligamentos apenas ocorrerão em 2013;</w:t>
      </w:r>
      <w:r>
        <w:t xml:space="preserve"> Os custos de pessoal também foram afetados pela contratação de 88 empregados (+0,8%) ao longo do período avaliado, em função das necessidades de operação de novos sistemas.</w:t>
      </w:r>
    </w:p>
    <w:p w:rsidR="0036365E" w:rsidRDefault="0036365E" w:rsidP="00711F9D">
      <w:pPr>
        <w:pStyle w:val="Paragraph"/>
        <w:numPr>
          <w:ilvl w:val="1"/>
          <w:numId w:val="3"/>
        </w:numPr>
        <w:tabs>
          <w:tab w:val="left" w:pos="180"/>
        </w:tabs>
        <w:spacing w:before="120" w:after="120"/>
        <w:outlineLvl w:val="1"/>
      </w:pPr>
      <w:r>
        <w:t>O incremento de 18,4% no item Serviços de Terceiros, comparando-se o 2T12 com o 2T11, deve-se, principalmente: i) ao aumento dos gastos com serviços de conservação e manutenção de bens e sistemas em R$ 5,0 milhões (+18,8%), devido, principalmente a novas contratações de serviços de manutenção de rede de água e esgoto, bem como reajustamento de preços de contratos; ii) à elevação dos gastos com serviços de postagens e malotes em R$ 2,5 milhões (+113,9%) em função da implantação, a partir de abril de 2012, do sistema de envio do segundo aviso de débito com Aviso de Recebimento, para aqueles clientes inadimplentes, conforme exigências regulatórias. Tais valores são repassados integralmente ao cliente, sendo contabilizados como receita indireta de serviços; e iii) à elevação dos gastos com comunicação institucional em R$ 1,1 milhão devido aos comunicados enviados à população referentes à prestação de serviços, assim como em decorrência das ações de mídia em mercados estratégicos visando assinatura e renovação de concessões.</w:t>
      </w:r>
    </w:p>
    <w:p w:rsidR="00E76CC5" w:rsidRDefault="00E76CC5" w:rsidP="00711F9D">
      <w:pPr>
        <w:pStyle w:val="Paragraph"/>
        <w:numPr>
          <w:ilvl w:val="1"/>
          <w:numId w:val="3"/>
        </w:numPr>
        <w:tabs>
          <w:tab w:val="left" w:pos="180"/>
        </w:tabs>
        <w:spacing w:before="120" w:after="120"/>
        <w:outlineLvl w:val="1"/>
      </w:pPr>
      <w:r>
        <w:t>As Demonstrações Financeiras de Resultados da CO</w:t>
      </w:r>
      <w:r w:rsidR="00B30A73">
        <w:t>PASA</w:t>
      </w:r>
      <w:r>
        <w:t xml:space="preserve"> para o período 2008/2011 estão sintetizadas </w:t>
      </w:r>
      <w:r w:rsidR="00B30A73">
        <w:t xml:space="preserve">no quadro </w:t>
      </w:r>
      <w:r w:rsidR="00711F9D">
        <w:t>11</w:t>
      </w:r>
      <w:r>
        <w:t xml:space="preserve">, abaixo. </w:t>
      </w:r>
    </w:p>
    <w:p w:rsidR="00AF1065" w:rsidRDefault="00B30A73" w:rsidP="00AF1065">
      <w:pPr>
        <w:pStyle w:val="Legenda"/>
      </w:pPr>
      <w:r w:rsidRPr="00AF1065">
        <w:lastRenderedPageBreak/>
        <w:t>Quadro</w:t>
      </w:r>
      <w:r>
        <w:t xml:space="preserve"> </w:t>
      </w:r>
      <w:r w:rsidR="00711F9D">
        <w:t>11</w:t>
      </w:r>
      <w:r w:rsidR="00E76CC5">
        <w:t xml:space="preserve"> </w:t>
      </w:r>
    </w:p>
    <w:p w:rsidR="00E76CC5" w:rsidRDefault="00E76CC5" w:rsidP="00AF1065">
      <w:pPr>
        <w:pStyle w:val="Legenda"/>
      </w:pPr>
      <w:r>
        <w:t>CO</w:t>
      </w:r>
      <w:r w:rsidR="00B30A73">
        <w:t xml:space="preserve">PASA </w:t>
      </w:r>
      <w:r>
        <w:t xml:space="preserve">- Demonstrações de Resultados – 2008/2011 – R$1.000 – </w:t>
      </w:r>
      <w:r w:rsidR="00B30A73">
        <w:t>Preços</w:t>
      </w:r>
      <w:r>
        <w:t xml:space="preserve"> Constantes</w:t>
      </w:r>
      <w:r w:rsidR="00AF1065" w:rsidRPr="00AF1065">
        <w:rPr>
          <w:vertAlign w:val="superscript"/>
        </w:rPr>
        <w:t>(1)</w:t>
      </w:r>
    </w:p>
    <w:p w:rsidR="00E76CC5" w:rsidRDefault="00F60E74" w:rsidP="00E76CC5">
      <w:pPr>
        <w:pStyle w:val="Legenda"/>
      </w:pPr>
      <w:r w:rsidRPr="00F60E74">
        <w:rPr>
          <w:noProof/>
          <w:lang w:eastAsia="pt-BR"/>
        </w:rPr>
        <w:drawing>
          <wp:inline distT="0" distB="0" distL="0" distR="0" wp14:anchorId="33587839" wp14:editId="6408E039">
            <wp:extent cx="5065468" cy="2655735"/>
            <wp:effectExtent l="0" t="0" r="190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64910" cy="2655443"/>
                    </a:xfrm>
                    <a:prstGeom prst="rect">
                      <a:avLst/>
                    </a:prstGeom>
                    <a:noFill/>
                    <a:ln>
                      <a:noFill/>
                    </a:ln>
                  </pic:spPr>
                </pic:pic>
              </a:graphicData>
            </a:graphic>
          </wp:inline>
        </w:drawing>
      </w:r>
    </w:p>
    <w:p w:rsidR="00B30A73" w:rsidRDefault="00AF1065" w:rsidP="00E76CC5">
      <w:pPr>
        <w:pStyle w:val="Legenda"/>
        <w:jc w:val="left"/>
        <w:rPr>
          <w:b w:val="0"/>
        </w:rPr>
      </w:pPr>
      <w:r>
        <w:rPr>
          <w:b w:val="0"/>
        </w:rPr>
        <w:t xml:space="preserve">         </w:t>
      </w:r>
      <w:r w:rsidR="00E76CC5">
        <w:rPr>
          <w:b w:val="0"/>
        </w:rPr>
        <w:t xml:space="preserve">Fonte: </w:t>
      </w:r>
      <w:r w:rsidR="00B30A73">
        <w:rPr>
          <w:b w:val="0"/>
        </w:rPr>
        <w:t>Demonstrações Financeiras COPASA 2008/2011</w:t>
      </w:r>
      <w:r w:rsidR="00E76CC5">
        <w:rPr>
          <w:b w:val="0"/>
        </w:rPr>
        <w:t>.</w:t>
      </w:r>
    </w:p>
    <w:p w:rsidR="00E76CC5" w:rsidRDefault="00AF1065" w:rsidP="00E76CC5">
      <w:pPr>
        <w:pStyle w:val="Legenda"/>
        <w:jc w:val="left"/>
      </w:pPr>
      <w:r>
        <w:rPr>
          <w:b w:val="0"/>
          <w:vertAlign w:val="superscript"/>
        </w:rPr>
        <w:t xml:space="preserve">             </w:t>
      </w:r>
      <w:r w:rsidR="00E76CC5" w:rsidRPr="00B30A73">
        <w:rPr>
          <w:b w:val="0"/>
          <w:vertAlign w:val="superscript"/>
        </w:rPr>
        <w:t>(1)</w:t>
      </w:r>
      <w:r w:rsidR="00E76CC5">
        <w:rPr>
          <w:b w:val="0"/>
        </w:rPr>
        <w:t xml:space="preserve"> Atualizados pelo IPCA para a data base de 31/12/2011</w:t>
      </w:r>
      <w:r w:rsidR="00E76CC5">
        <w:t xml:space="preserve"> </w:t>
      </w:r>
    </w:p>
    <w:p w:rsidR="00E76CC5" w:rsidRDefault="00E76CC5" w:rsidP="00E76CC5">
      <w:pPr>
        <w:pStyle w:val="Legenda"/>
        <w:jc w:val="left"/>
      </w:pPr>
      <w:r w:rsidRPr="003B20C7">
        <w:t xml:space="preserve"> </w:t>
      </w:r>
    </w:p>
    <w:p w:rsidR="00E76CC5" w:rsidRDefault="00E76CC5" w:rsidP="00E76CC5"/>
    <w:p w:rsidR="00B30A73" w:rsidRDefault="00B30A73" w:rsidP="00711F9D">
      <w:pPr>
        <w:pStyle w:val="Paragraph"/>
        <w:numPr>
          <w:ilvl w:val="1"/>
          <w:numId w:val="3"/>
        </w:numPr>
        <w:tabs>
          <w:tab w:val="left" w:pos="180"/>
        </w:tabs>
        <w:spacing w:before="120" w:after="120"/>
        <w:outlineLvl w:val="1"/>
      </w:pPr>
      <w:r>
        <w:t>Para efeito de comparação entre os exercícios, realizou-se a atualização dos resultados anuais para da data base de 31/12/2011 de acordo com a variação percentual do IPCA entre a data de encerramento de cada exercício fiscal e a data base considerada para atualização. O</w:t>
      </w:r>
      <w:r w:rsidR="00F60E74">
        <w:t xml:space="preserve"> item Outras Receitas (Despesas) Líquidas, que afeta a rubrica Despesas Operacionais, apresenta resultado discrepante no exercício de 2010 em relação aos demais exercícios em razão da contabilização</w:t>
      </w:r>
      <w:r w:rsidR="00F60E74" w:rsidRPr="00F60E74">
        <w:t>, como reversão de provisão não dedutível, o montante de R$ 313,1 milhões</w:t>
      </w:r>
      <w:r w:rsidR="00F60E74">
        <w:t xml:space="preserve"> (a preços correntes)</w:t>
      </w:r>
      <w:r w:rsidR="00F60E74" w:rsidRPr="00F60E74">
        <w:t>. Tal contabilização é decorrente da reversão da provisão do passivo atuarial líquido, resultante da estratégia previdencial da Companhia que consistiu, naquele ano, no fechamento do Plano de Benefícios Definidos, e a criação dos Planos COPASA Saldado e COPASA Contribuição Definida – CD.</w:t>
      </w:r>
      <w:r w:rsidR="00F60E74">
        <w:t xml:space="preserve"> Desconsiderando</w:t>
      </w:r>
      <w:r w:rsidR="00711F9D">
        <w:t>-se</w:t>
      </w:r>
      <w:r w:rsidR="00F60E74">
        <w:t xml:space="preserve"> esta reversão de provisão, os resultados da COPASA apresentam </w:t>
      </w:r>
      <w:r w:rsidR="00EC1399">
        <w:t xml:space="preserve">comportamento relativamente estável. Para melhor percepção do desempenho financeiro no período avaliado, </w:t>
      </w:r>
      <w:r w:rsidR="00711F9D">
        <w:t>apresentam-se</w:t>
      </w:r>
      <w:r w:rsidR="00EC1399">
        <w:t xml:space="preserve"> no q</w:t>
      </w:r>
      <w:r>
        <w:t xml:space="preserve">uadro </w:t>
      </w:r>
      <w:r w:rsidR="00711F9D">
        <w:t>12</w:t>
      </w:r>
      <w:r>
        <w:t xml:space="preserve"> os </w:t>
      </w:r>
      <w:r w:rsidR="00EC1399">
        <w:t xml:space="preserve">principais </w:t>
      </w:r>
      <w:r w:rsidR="00AF1065">
        <w:t>índices</w:t>
      </w:r>
      <w:r>
        <w:t xml:space="preserve"> de desempenho </w:t>
      </w:r>
      <w:r w:rsidR="00711F9D">
        <w:t xml:space="preserve">financeiro </w:t>
      </w:r>
      <w:r w:rsidR="00EC1399">
        <w:t>da COPASA.</w:t>
      </w:r>
    </w:p>
    <w:p w:rsidR="00B30A73" w:rsidRPr="00AF1065" w:rsidRDefault="00B30A73" w:rsidP="00AF1065">
      <w:pPr>
        <w:pStyle w:val="Legenda"/>
      </w:pPr>
      <w:r w:rsidRPr="00AF1065">
        <w:lastRenderedPageBreak/>
        <w:t xml:space="preserve">Quadro </w:t>
      </w:r>
      <w:r w:rsidR="00711F9D">
        <w:t>12</w:t>
      </w:r>
      <w:r w:rsidRPr="00AF1065">
        <w:t xml:space="preserve"> </w:t>
      </w:r>
    </w:p>
    <w:p w:rsidR="00B30A73" w:rsidRDefault="00B30A73" w:rsidP="00AF1065">
      <w:pPr>
        <w:pStyle w:val="Legenda"/>
      </w:pPr>
      <w:r w:rsidRPr="00AF1065">
        <w:t>COPASA</w:t>
      </w:r>
      <w:r>
        <w:t xml:space="preserve"> </w:t>
      </w:r>
      <w:r w:rsidR="00AF1065">
        <w:t>–</w:t>
      </w:r>
      <w:r>
        <w:t xml:space="preserve"> </w:t>
      </w:r>
      <w:r w:rsidR="00AF1065">
        <w:t>Índices de Desempenho Financeiro</w:t>
      </w:r>
      <w:r>
        <w:t xml:space="preserve"> – 2008/2011</w:t>
      </w:r>
      <w:r>
        <w:rPr>
          <w:rStyle w:val="Refdenotaderodap"/>
        </w:rPr>
        <w:footnoteReference w:id="4"/>
      </w:r>
    </w:p>
    <w:p w:rsidR="00AF1065" w:rsidRDefault="00EC1399" w:rsidP="00AF1065">
      <w:pPr>
        <w:jc w:val="center"/>
      </w:pPr>
      <w:r w:rsidRPr="00EC1399">
        <w:rPr>
          <w:noProof/>
          <w:lang w:eastAsia="pt-BR"/>
        </w:rPr>
        <w:drawing>
          <wp:inline distT="0" distB="0" distL="0" distR="0" wp14:anchorId="3176C3F5" wp14:editId="344868E5">
            <wp:extent cx="5732145" cy="4143614"/>
            <wp:effectExtent l="0" t="0" r="1905" b="9525"/>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32145" cy="4143614"/>
                    </a:xfrm>
                    <a:prstGeom prst="rect">
                      <a:avLst/>
                    </a:prstGeom>
                    <a:noFill/>
                    <a:ln>
                      <a:noFill/>
                    </a:ln>
                  </pic:spPr>
                </pic:pic>
              </a:graphicData>
            </a:graphic>
          </wp:inline>
        </w:drawing>
      </w:r>
    </w:p>
    <w:p w:rsidR="00EC1399" w:rsidRDefault="00EC1399" w:rsidP="00EC1399">
      <w:r>
        <w:t>Fonte: cálculos próprios a partir das Demonstrações Financeiras e Balanços Patrimoniais -2008/2011</w:t>
      </w:r>
    </w:p>
    <w:p w:rsidR="00EC1399" w:rsidRPr="00AF1065" w:rsidRDefault="00EC1399" w:rsidP="00EC1399"/>
    <w:p w:rsidR="003813B7" w:rsidRDefault="00E76CC5" w:rsidP="00711F9D">
      <w:pPr>
        <w:pStyle w:val="Paragraph"/>
        <w:numPr>
          <w:ilvl w:val="1"/>
          <w:numId w:val="3"/>
        </w:numPr>
        <w:tabs>
          <w:tab w:val="left" w:pos="180"/>
        </w:tabs>
        <w:spacing w:before="120" w:after="120"/>
        <w:outlineLvl w:val="1"/>
      </w:pPr>
      <w:r>
        <w:t xml:space="preserve">Como se observa, </w:t>
      </w:r>
      <w:r w:rsidR="00EC1399">
        <w:t xml:space="preserve">os mais expressivos resultados da empresa ocorreram no exercício de 2010, quando a margem líquida </w:t>
      </w:r>
      <w:r w:rsidR="004F65BA">
        <w:t xml:space="preserve">(lucro/receitas de vendas) atingiu 21%, mas deve-se ressaltar o efeito das reversões de provisões sobre este resultado, conforme mencionado anteriormente. Embora não seja decisivo para uma avaliação da empresa, é relevante verificar que os indicadores do exercício de 2011 são superiores apenas aos estimados para o exercício de 2008. </w:t>
      </w:r>
    </w:p>
    <w:p w:rsidR="003813B7" w:rsidRDefault="003813B7" w:rsidP="003813B7">
      <w:pPr>
        <w:pStyle w:val="Legenda"/>
      </w:pPr>
      <w:r>
        <w:t xml:space="preserve">Quadro </w:t>
      </w:r>
      <w:r w:rsidR="00711F9D">
        <w:t>13</w:t>
      </w:r>
    </w:p>
    <w:p w:rsidR="003813B7" w:rsidRDefault="003813B7" w:rsidP="000E7F93">
      <w:r w:rsidRPr="003813B7">
        <w:rPr>
          <w:noProof/>
          <w:lang w:eastAsia="pt-BR"/>
        </w:rPr>
        <w:drawing>
          <wp:inline distT="0" distB="0" distL="0" distR="0" wp14:anchorId="699F2E80" wp14:editId="1AC7CF0D">
            <wp:extent cx="5732145" cy="2117842"/>
            <wp:effectExtent l="0" t="0" r="1905"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32145" cy="2117842"/>
                    </a:xfrm>
                    <a:prstGeom prst="rect">
                      <a:avLst/>
                    </a:prstGeom>
                    <a:noFill/>
                    <a:ln>
                      <a:noFill/>
                    </a:ln>
                  </pic:spPr>
                </pic:pic>
              </a:graphicData>
            </a:graphic>
          </wp:inline>
        </w:drawing>
      </w:r>
    </w:p>
    <w:p w:rsidR="003813B7" w:rsidRDefault="001F4121" w:rsidP="003813B7">
      <w:r>
        <w:t>Fonte</w:t>
      </w:r>
      <w:r w:rsidR="003813B7">
        <w:t>: cálculos próprios a partir das Demonstrações Financeiras e Balanços Patrimoniais -2008/2011</w:t>
      </w:r>
    </w:p>
    <w:p w:rsidR="00E76CC5" w:rsidRDefault="003813B7" w:rsidP="00711F9D">
      <w:pPr>
        <w:pStyle w:val="Paragraph"/>
        <w:numPr>
          <w:ilvl w:val="1"/>
          <w:numId w:val="3"/>
        </w:numPr>
        <w:tabs>
          <w:tab w:val="left" w:pos="180"/>
        </w:tabs>
        <w:spacing w:before="120" w:after="120"/>
        <w:outlineLvl w:val="1"/>
      </w:pPr>
      <w:r>
        <w:lastRenderedPageBreak/>
        <w:t xml:space="preserve">Observa-se no quadro </w:t>
      </w:r>
      <w:r w:rsidR="00711F9D">
        <w:t>13</w:t>
      </w:r>
      <w:r>
        <w:t xml:space="preserve"> que a proporção do custo dos serviços prestados em relação ao total das receitas em 2011 é inferior àquela apresentada no exercício de 2010.  A proporção das despesas operacionais em relação às receitas de vendas situou-se, em 2011, no mesmo patamar apresentado em 2009, uma vez que a comparação com 2010 fica prejudicada pelo evento não recorrente da reversão de provisões já mencionado anteriormente. Além disso, este indicador é muito melhor do que aquele apresentado no exercício de 2008.</w:t>
      </w:r>
      <w:r w:rsidR="00121B5E">
        <w:t xml:space="preserve"> Outros dois indicadores importantes são apresentados no quadro </w:t>
      </w:r>
      <w:r w:rsidR="00711F9D">
        <w:t>14</w:t>
      </w:r>
      <w:r w:rsidR="00121B5E">
        <w:t>, que são o EB</w:t>
      </w:r>
      <w:r w:rsidR="003D11ED">
        <w:t>IT</w:t>
      </w:r>
      <w:r w:rsidR="00121B5E">
        <w:t>DA (</w:t>
      </w:r>
      <w:r w:rsidR="003D11ED">
        <w:t xml:space="preserve">ou LAJIDA, </w:t>
      </w:r>
      <w:r w:rsidR="00121B5E">
        <w:t xml:space="preserve">Lucro antes de </w:t>
      </w:r>
      <w:r w:rsidR="000A3057">
        <w:t xml:space="preserve">juros, </w:t>
      </w:r>
      <w:r w:rsidR="00121B5E">
        <w:t>impostos, depreciaç</w:t>
      </w:r>
      <w:r w:rsidR="003D11ED">
        <w:t>ão</w:t>
      </w:r>
      <w:r w:rsidR="00121B5E">
        <w:t xml:space="preserve"> e amortizações) e a relação Dívida Líquida/EB</w:t>
      </w:r>
      <w:r w:rsidR="003D11ED">
        <w:t>IT</w:t>
      </w:r>
      <w:r w:rsidR="00121B5E">
        <w:t>DA.</w:t>
      </w:r>
    </w:p>
    <w:p w:rsidR="00E76CC5" w:rsidRDefault="00121B5E" w:rsidP="00E76CC5">
      <w:pPr>
        <w:pStyle w:val="Legenda"/>
      </w:pPr>
      <w:r>
        <w:t xml:space="preserve">Quadro </w:t>
      </w:r>
      <w:r w:rsidR="00711F9D">
        <w:t>14</w:t>
      </w:r>
    </w:p>
    <w:p w:rsidR="00E76CC5" w:rsidRDefault="00E76CC5" w:rsidP="00E76CC5">
      <w:pPr>
        <w:pStyle w:val="Legenda"/>
        <w:rPr>
          <w:vertAlign w:val="superscript"/>
        </w:rPr>
      </w:pPr>
      <w:r>
        <w:t>Indicadores de Desempenho Financeiro – CO</w:t>
      </w:r>
      <w:r w:rsidR="00121B5E">
        <w:t>PASA – Preços Constantes IPCA</w:t>
      </w:r>
    </w:p>
    <w:p w:rsidR="00E76CC5" w:rsidRDefault="00121B5E" w:rsidP="00E76CC5">
      <w:r w:rsidRPr="00121B5E">
        <w:rPr>
          <w:noProof/>
          <w:lang w:eastAsia="pt-BR"/>
        </w:rPr>
        <w:drawing>
          <wp:inline distT="0" distB="0" distL="0" distR="0" wp14:anchorId="2D374565" wp14:editId="3C6E0E0F">
            <wp:extent cx="5732145" cy="3355603"/>
            <wp:effectExtent l="0" t="0" r="1905"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32145" cy="3355603"/>
                    </a:xfrm>
                    <a:prstGeom prst="rect">
                      <a:avLst/>
                    </a:prstGeom>
                    <a:noFill/>
                    <a:ln>
                      <a:noFill/>
                    </a:ln>
                  </pic:spPr>
                </pic:pic>
              </a:graphicData>
            </a:graphic>
          </wp:inline>
        </w:drawing>
      </w:r>
    </w:p>
    <w:p w:rsidR="00E76CC5" w:rsidRDefault="00E76CC5" w:rsidP="00121B5E">
      <w:pPr>
        <w:pStyle w:val="Legenda"/>
        <w:jc w:val="left"/>
        <w:rPr>
          <w:b w:val="0"/>
        </w:rPr>
      </w:pPr>
      <w:r>
        <w:rPr>
          <w:b w:val="0"/>
        </w:rPr>
        <w:t>Fonte: Cálculo</w:t>
      </w:r>
      <w:r w:rsidR="00121B5E">
        <w:rPr>
          <w:b w:val="0"/>
        </w:rPr>
        <w:t>s</w:t>
      </w:r>
      <w:r>
        <w:rPr>
          <w:b w:val="0"/>
        </w:rPr>
        <w:t xml:space="preserve"> </w:t>
      </w:r>
      <w:r w:rsidR="00121B5E">
        <w:rPr>
          <w:b w:val="0"/>
        </w:rPr>
        <w:t>dos índices realizados pela COPASA. Atualização para preços constantes feitas pelo autor.</w:t>
      </w:r>
    </w:p>
    <w:p w:rsidR="00E76CC5" w:rsidRDefault="00E76CC5" w:rsidP="00E76CC5">
      <w:pPr>
        <w:pStyle w:val="Legenda"/>
        <w:jc w:val="left"/>
      </w:pPr>
      <w:r>
        <w:t xml:space="preserve"> </w:t>
      </w:r>
    </w:p>
    <w:p w:rsidR="00EA7AE1" w:rsidRDefault="003D11ED" w:rsidP="00711F9D">
      <w:pPr>
        <w:pStyle w:val="Paragraph"/>
        <w:numPr>
          <w:ilvl w:val="1"/>
          <w:numId w:val="3"/>
        </w:numPr>
        <w:tabs>
          <w:tab w:val="left" w:pos="180"/>
        </w:tabs>
        <w:spacing w:before="120" w:after="120"/>
        <w:outlineLvl w:val="1"/>
      </w:pPr>
      <w:r>
        <w:t>O EBITDA é um indicador d</w:t>
      </w:r>
      <w:r w:rsidRPr="003D11ED">
        <w:t xml:space="preserve">erivado do </w:t>
      </w:r>
      <w:r w:rsidRPr="00711F9D">
        <w:rPr>
          <w:i/>
        </w:rPr>
        <w:t>US GAAP</w:t>
      </w:r>
      <w:r w:rsidRPr="003D11ED">
        <w:t xml:space="preserve">, modelo contábil norte-americano, </w:t>
      </w:r>
      <w:r>
        <w:t xml:space="preserve">que </w:t>
      </w:r>
      <w:r w:rsidRPr="003D11ED">
        <w:t>mostra o potencial de geração de caixa bruta de um negócio, e é representado pelo lucro operacional antes dos juros, impostos, depreciação e amortização. Ele mede o desempenho operacional antes de levar em conta despesas ou receitas oriundas de decisões com custos de estrutura de capital, planejamento fiscal ou outros aspectos não recorrentes (o que acontece se olharmos exclusivamente para o lucro líquido em um período).</w:t>
      </w:r>
      <w:r>
        <w:t xml:space="preserve"> A m</w:t>
      </w:r>
      <w:r w:rsidRPr="003D11ED">
        <w:t>argem E</w:t>
      </w:r>
      <w:r>
        <w:t>B</w:t>
      </w:r>
      <w:r w:rsidR="000A3057">
        <w:t>I</w:t>
      </w:r>
      <w:r>
        <w:t>TDA</w:t>
      </w:r>
      <w:r w:rsidRPr="003D11ED">
        <w:t xml:space="preserve"> </w:t>
      </w:r>
      <w:r w:rsidR="000A3057">
        <w:t>é a relação entre o EBITDA e a receita líquida, ou seja, é</w:t>
      </w:r>
      <w:r w:rsidRPr="003D11ED">
        <w:t xml:space="preserve"> a margem de lucro operacional. Quanto mais elevadas as margens ao longo do tempo, tanto melhor para a empresa. </w:t>
      </w:r>
      <w:r w:rsidR="000A3057">
        <w:t>A COPASA apresentou no exercício fiscal de 2011</w:t>
      </w:r>
      <w:r w:rsidR="00EA7AE1">
        <w:t xml:space="preserve">, </w:t>
      </w:r>
      <w:r w:rsidR="000A3057">
        <w:t xml:space="preserve">margem EBITDA de 40,9%, </w:t>
      </w:r>
      <w:r w:rsidR="00EA7AE1">
        <w:t xml:space="preserve">isto é, </w:t>
      </w:r>
      <w:r w:rsidR="000A3057">
        <w:t>10 pontos percentuais superiores à média do setor saneamento no Brasil, que é de 30,7%</w:t>
      </w:r>
      <w:r w:rsidR="00EA7AE1">
        <w:t>.</w:t>
      </w:r>
      <w:r w:rsidR="000A3057">
        <w:t xml:space="preserve"> Com relação ao exercício de 2010, </w:t>
      </w:r>
      <w:r w:rsidR="000A3057" w:rsidRPr="000A3057">
        <w:t>se</w:t>
      </w:r>
      <w:r w:rsidR="000A3057">
        <w:t>gundo a COPASA, se</w:t>
      </w:r>
      <w:r w:rsidR="000A3057" w:rsidRPr="000A3057">
        <w:t xml:space="preserve"> desconsiderarmos a reversão extraordinária da provisão do passivo atuarial líquido, </w:t>
      </w:r>
      <w:r w:rsidR="000A3057">
        <w:t xml:space="preserve">a margem </w:t>
      </w:r>
      <w:r w:rsidR="000A3057" w:rsidRPr="000A3057">
        <w:t>EBITDA ajustad</w:t>
      </w:r>
      <w:r w:rsidR="000A3057">
        <w:t>a</w:t>
      </w:r>
      <w:r w:rsidR="000A3057" w:rsidRPr="000A3057">
        <w:t xml:space="preserve"> seria</w:t>
      </w:r>
      <w:r w:rsidR="000A3057">
        <w:t xml:space="preserve"> de 38,5%.</w:t>
      </w:r>
    </w:p>
    <w:p w:rsidR="00EA7AE1" w:rsidRDefault="00EA7AE1" w:rsidP="00711F9D">
      <w:pPr>
        <w:pStyle w:val="Paragraph"/>
        <w:numPr>
          <w:ilvl w:val="1"/>
          <w:numId w:val="3"/>
        </w:numPr>
        <w:tabs>
          <w:tab w:val="left" w:pos="180"/>
        </w:tabs>
        <w:spacing w:before="120" w:after="120"/>
        <w:outlineLvl w:val="1"/>
      </w:pPr>
      <w:r>
        <w:t>A relação Dívida Líquida/EBITDA mudou de patamar no último exercício, saindo de 1,76 em 2010 para 2,50 em 2011. Segundo a Companhia, sua</w:t>
      </w:r>
      <w:r w:rsidRPr="00EA7AE1">
        <w:t xml:space="preserve"> </w:t>
      </w:r>
      <w:r w:rsidRPr="00EA7AE1">
        <w:lastRenderedPageBreak/>
        <w:t xml:space="preserve">dívida bruta, considerando os financiamentos e outras obrigações (Previminas e Cemig), totalizou R$3,18 bilhões em 30 de junho de 2012, enquanto a dívida líquida atingiu R$2,64 bilhões. O índice dívida líquida/EBITDA encontra-se em 2,4x. A dívida da COPASA MG é majoritariamente atrelada </w:t>
      </w:r>
      <w:r>
        <w:t>à moeda nacional</w:t>
      </w:r>
      <w:r w:rsidRPr="00EA7AE1">
        <w:t xml:space="preserve"> (R$). As amortizações anuais da dívida são estáveis e compatíveis com a geração de caixa da Companhia.</w:t>
      </w:r>
    </w:p>
    <w:p w:rsidR="0023254E" w:rsidRDefault="0023254E" w:rsidP="00711F9D">
      <w:pPr>
        <w:pStyle w:val="Paragraph"/>
        <w:numPr>
          <w:ilvl w:val="1"/>
          <w:numId w:val="3"/>
        </w:numPr>
        <w:tabs>
          <w:tab w:val="left" w:pos="180"/>
        </w:tabs>
        <w:spacing w:before="120" w:after="120"/>
        <w:outlineLvl w:val="1"/>
      </w:pPr>
      <w:r w:rsidRPr="0023254E">
        <w:t>Em seu primeiro rating de classificação de risco por agência especializada, a COPASA teve atribuído pela Moody</w:t>
      </w:r>
      <w:r w:rsidR="00824380">
        <w:t>’</w:t>
      </w:r>
      <w:r w:rsidRPr="0023254E">
        <w:t>s um rating corporativo “Aa2” na escala nacional brasileira significando alta qualidade de crédito, sendo seu correspondente em escala global “Ba1”, incorporando, neste caso, o Risco Brasil. No documento divulgado pela Moody</w:t>
      </w:r>
      <w:r w:rsidR="00824380">
        <w:t>’</w:t>
      </w:r>
      <w:r w:rsidRPr="0023254E">
        <w:t>s, a Agência destaca os indicadores financeiros e de crédito da COPASA e o fluxo de caixa estável, resultado dos contratos de concessão de longo prazo existentes com 620 municípios do Estado de Minas Gerais, elevada eficiência operacional, baixas taxas de inadimplência, acesso assegurado ao fornecimento de água e base de clientes diversificada. Destaca ainda a capacidade de expansão da Companhia, o atendimento das expectativas em termos de qualidade de serviços prestados e desempenho operacional, além do forte suporte do Governo do Estado tendo em vista o papel da COPASA como provedora de serviços essenciais em Minas Gerais e da importância da revisão tarifária para a expansão da empresa.</w:t>
      </w:r>
    </w:p>
    <w:p w:rsidR="0023254E" w:rsidRDefault="0023254E" w:rsidP="00711F9D">
      <w:pPr>
        <w:pStyle w:val="Paragraph"/>
        <w:numPr>
          <w:ilvl w:val="1"/>
          <w:numId w:val="3"/>
        </w:numPr>
        <w:tabs>
          <w:tab w:val="left" w:pos="180"/>
        </w:tabs>
        <w:spacing w:before="120" w:after="120"/>
        <w:outlineLvl w:val="1"/>
      </w:pPr>
      <w:r>
        <w:t xml:space="preserve">Os investimentos realizados pela COPASA em 2011 totalizaram R$682,9 milhões. Desse total, R$270,5milhões foram investidos em sistemas de abastecimento de água, R$ 390,6 milhões foram destinados aos sistemas de coleta e tratamento de esgotos e os R$ 21,8 milhões restantes foram investidos em programas de desenvolvimento empresarial, bens de uso geral e outros. </w:t>
      </w:r>
      <w:r w:rsidRPr="0023254E">
        <w:t>Além dos recursos próprios as principais fontes de recursos utilizadas para realizar os investimentos em 2011 foram empréstimos obtidos junto à Caixa Econômica Federal e ao BNDES. Foram concluídas as obras do sistema produtor Rio das Velhas que culminou no aumento da capacidade de produção de água de seis para nove metros cúbicos por segundo e também as obras da Linha Azul, que interliga o sistema produtor Rio das Velhas ao sistema Paraopeba, com o objetivo de garantir o abastecimento de água à população da Região Metropolitana de Belo Horizonte (RMBH).</w:t>
      </w:r>
    </w:p>
    <w:p w:rsidR="0023254E" w:rsidRDefault="0023254E" w:rsidP="00711F9D">
      <w:pPr>
        <w:pStyle w:val="Paragraph"/>
        <w:numPr>
          <w:ilvl w:val="1"/>
          <w:numId w:val="3"/>
        </w:numPr>
        <w:tabs>
          <w:tab w:val="left" w:pos="180"/>
        </w:tabs>
        <w:spacing w:before="120" w:after="120"/>
        <w:outlineLvl w:val="1"/>
      </w:pPr>
      <w:r w:rsidRPr="0023254E">
        <w:t>Os investimentos nos Sistemas de Esgotamento Sanitário referem-se, principalmente, aqueles destinados à despoluição da Bacia do Rio das Velhas e à implantação dos Sistemas de Esgotamento Sanitário de Esmeraldas, Jaboticatubas e Jequitinhonha, às obras em andamento para construção de Estações de Tratamento de Esgotos em Pará de Minas, Patos de Minas, Santo Antônio do Monte e Teófilo Otoni;</w:t>
      </w:r>
    </w:p>
    <w:p w:rsidR="0023254E" w:rsidRDefault="0023254E" w:rsidP="00711F9D">
      <w:pPr>
        <w:pStyle w:val="Paragraph"/>
        <w:numPr>
          <w:ilvl w:val="1"/>
          <w:numId w:val="3"/>
        </w:numPr>
        <w:tabs>
          <w:tab w:val="left" w:pos="180"/>
        </w:tabs>
        <w:spacing w:before="120" w:after="120"/>
        <w:outlineLvl w:val="1"/>
      </w:pPr>
      <w:r w:rsidRPr="0023254E">
        <w:t>O plano de expansão da Empresa em 2011 contemplou a assinatura de 17 novos contratos de concessão, sendo 5 para prestação do serviço de abastecimento de água e 12 de esgotamento sanitário; renovadas as concessões de 21 sedes municipais, sendo todas com serviços de abastecimento de água.</w:t>
      </w:r>
      <w:r>
        <w:t xml:space="preserve"> A COPASA tem mantido</w:t>
      </w:r>
      <w:r w:rsidR="00E03107">
        <w:t>,</w:t>
      </w:r>
      <w:r>
        <w:t xml:space="preserve"> nos últimos anos</w:t>
      </w:r>
      <w:r w:rsidR="00E03107">
        <w:t>,</w:t>
      </w:r>
      <w:r>
        <w:t xml:space="preserve"> níveis elevados de investimentos, conforme se observa no quadro </w:t>
      </w:r>
      <w:r w:rsidR="00711F9D">
        <w:t>15</w:t>
      </w:r>
      <w:r>
        <w:t>, a seguir.</w:t>
      </w:r>
    </w:p>
    <w:p w:rsidR="0023254E" w:rsidRDefault="0023254E" w:rsidP="0023254E">
      <w:pPr>
        <w:pStyle w:val="Legenda"/>
      </w:pPr>
      <w:r>
        <w:lastRenderedPageBreak/>
        <w:t xml:space="preserve">Quadro </w:t>
      </w:r>
      <w:r w:rsidR="00711F9D">
        <w:t>15</w:t>
      </w:r>
    </w:p>
    <w:p w:rsidR="00E03107" w:rsidRDefault="0023254E" w:rsidP="0023254E">
      <w:pPr>
        <w:pStyle w:val="Legenda"/>
      </w:pPr>
      <w:r>
        <w:t>Volume de Investimentos no período 2008/2011</w:t>
      </w:r>
    </w:p>
    <w:p w:rsidR="0023254E" w:rsidRDefault="0023254E" w:rsidP="0023254E">
      <w:pPr>
        <w:pStyle w:val="Legenda"/>
      </w:pPr>
      <w:r>
        <w:t xml:space="preserve">Preços Constantes </w:t>
      </w:r>
      <w:r w:rsidR="00E03107">
        <w:t>(</w:t>
      </w:r>
      <w:r>
        <w:t>IPCA</w:t>
      </w:r>
      <w:r w:rsidR="00E03107">
        <w:t>)</w:t>
      </w:r>
    </w:p>
    <w:p w:rsidR="0023254E" w:rsidRPr="0023254E" w:rsidRDefault="0023254E" w:rsidP="0023254E">
      <w:pPr>
        <w:jc w:val="center"/>
      </w:pPr>
      <w:r w:rsidRPr="0023254E">
        <w:rPr>
          <w:noProof/>
          <w:lang w:eastAsia="pt-BR"/>
        </w:rPr>
        <w:drawing>
          <wp:inline distT="0" distB="0" distL="0" distR="0" wp14:anchorId="19048002" wp14:editId="5CAF80CD">
            <wp:extent cx="3673502" cy="4130213"/>
            <wp:effectExtent l="0" t="0" r="3175" b="0"/>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73471" cy="4130178"/>
                    </a:xfrm>
                    <a:prstGeom prst="rect">
                      <a:avLst/>
                    </a:prstGeom>
                    <a:noFill/>
                    <a:ln>
                      <a:noFill/>
                    </a:ln>
                  </pic:spPr>
                </pic:pic>
              </a:graphicData>
            </a:graphic>
          </wp:inline>
        </w:drawing>
      </w:r>
    </w:p>
    <w:p w:rsidR="00E03107" w:rsidRDefault="00E03107" w:rsidP="00711F9D">
      <w:pPr>
        <w:pStyle w:val="Paragraph"/>
        <w:numPr>
          <w:ilvl w:val="1"/>
          <w:numId w:val="3"/>
        </w:numPr>
        <w:tabs>
          <w:tab w:val="left" w:pos="180"/>
        </w:tabs>
        <w:spacing w:before="120" w:after="120"/>
        <w:outlineLvl w:val="1"/>
      </w:pPr>
      <w:r>
        <w:t xml:space="preserve">Em videoconferência realizada 07/08/2012 para investidores, a COPASA apresentou publicamente a atualização do plano de expansão até 2011/2013, que está sintetizado no quadro </w:t>
      </w:r>
      <w:r w:rsidR="00711F9D">
        <w:t>16</w:t>
      </w:r>
      <w:r>
        <w:t>, abaixo.</w:t>
      </w:r>
    </w:p>
    <w:p w:rsidR="00E03107" w:rsidRDefault="00E03107" w:rsidP="00E03107">
      <w:pPr>
        <w:pStyle w:val="Legenda"/>
      </w:pPr>
      <w:r>
        <w:t xml:space="preserve">Quadro </w:t>
      </w:r>
      <w:r w:rsidR="00711F9D">
        <w:t>16</w:t>
      </w:r>
    </w:p>
    <w:p w:rsidR="00E03107" w:rsidRDefault="00E03107" w:rsidP="00E03107">
      <w:pPr>
        <w:pStyle w:val="Legenda"/>
      </w:pPr>
      <w:r>
        <w:t>Plano de Expansão 2011/2013</w:t>
      </w:r>
    </w:p>
    <w:p w:rsidR="00E03107" w:rsidRDefault="00E03107" w:rsidP="000E7F93">
      <w:r w:rsidRPr="00E03107">
        <w:rPr>
          <w:noProof/>
          <w:lang w:eastAsia="pt-BR"/>
        </w:rPr>
        <w:drawing>
          <wp:inline distT="0" distB="0" distL="0" distR="0" wp14:anchorId="34CDAE6E" wp14:editId="51A98EF2">
            <wp:extent cx="4890052" cy="2884813"/>
            <wp:effectExtent l="0" t="0" r="6350" b="0"/>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93364" cy="2886767"/>
                    </a:xfrm>
                    <a:prstGeom prst="rect">
                      <a:avLst/>
                    </a:prstGeom>
                    <a:noFill/>
                    <a:ln>
                      <a:noFill/>
                    </a:ln>
                  </pic:spPr>
                </pic:pic>
              </a:graphicData>
            </a:graphic>
          </wp:inline>
        </w:drawing>
      </w:r>
    </w:p>
    <w:p w:rsidR="00E03107" w:rsidRPr="003867B8" w:rsidRDefault="003867B8" w:rsidP="000E7F93">
      <w:r>
        <w:t xml:space="preserve">   </w:t>
      </w:r>
      <w:r w:rsidR="00E03107" w:rsidRPr="003867B8">
        <w:t xml:space="preserve">Fonte: COPASA. Disponível em </w:t>
      </w:r>
      <w:hyperlink r:id="rId27" w:history="1">
        <w:r w:rsidR="00E03107" w:rsidRPr="003867B8">
          <w:rPr>
            <w:rStyle w:val="Hyperlink"/>
            <w:sz w:val="16"/>
            <w:szCs w:val="16"/>
          </w:rPr>
          <w:t>http://www.copasa.com.br/ri/</w:t>
        </w:r>
      </w:hyperlink>
    </w:p>
    <w:p w:rsidR="00E76CC5" w:rsidRPr="009E1767" w:rsidRDefault="003867B8" w:rsidP="00711F9D">
      <w:pPr>
        <w:pStyle w:val="Paragraph"/>
        <w:numPr>
          <w:ilvl w:val="1"/>
          <w:numId w:val="3"/>
        </w:numPr>
        <w:tabs>
          <w:tab w:val="left" w:pos="180"/>
        </w:tabs>
        <w:spacing w:before="120" w:after="120"/>
        <w:outlineLvl w:val="1"/>
      </w:pPr>
      <w:r>
        <w:lastRenderedPageBreak/>
        <w:t xml:space="preserve">Os investimentos previstos para 2012 são de R$850 milhões, dois quais R$328 milhões já foram efetivamente </w:t>
      </w:r>
      <w:r w:rsidR="00824380">
        <w:t>realizados</w:t>
      </w:r>
      <w:r>
        <w:t>.</w:t>
      </w:r>
      <w:r w:rsidRPr="009E1767">
        <w:t xml:space="preserve"> </w:t>
      </w:r>
    </w:p>
    <w:p w:rsidR="003867B8" w:rsidRDefault="00E76CC5" w:rsidP="00711F9D">
      <w:pPr>
        <w:pStyle w:val="Paragraph"/>
        <w:numPr>
          <w:ilvl w:val="1"/>
          <w:numId w:val="3"/>
        </w:numPr>
        <w:tabs>
          <w:tab w:val="left" w:pos="180"/>
        </w:tabs>
        <w:spacing w:before="120" w:after="120"/>
        <w:outlineLvl w:val="1"/>
      </w:pPr>
      <w:r>
        <w:t>A partir dos dados operacionais</w:t>
      </w:r>
      <w:r w:rsidR="003867B8">
        <w:t>,</w:t>
      </w:r>
      <w:r>
        <w:t xml:space="preserve"> dos resultados das demonstrações financeiras</w:t>
      </w:r>
      <w:r w:rsidR="003867B8">
        <w:t xml:space="preserve"> e dos planos de investimentos da COPASA para o futuro próximo,</w:t>
      </w:r>
      <w:r>
        <w:t xml:space="preserve"> pode-se afirmar que em curto prazo, a empresa gera recursos suficientes para manter e operar </w:t>
      </w:r>
      <w:r w:rsidR="003867B8">
        <w:t>os sistemas</w:t>
      </w:r>
      <w:r>
        <w:t xml:space="preserve"> que </w:t>
      </w:r>
      <w:r w:rsidR="003867B8">
        <w:t xml:space="preserve">estão sob sua concessão, não havendo nenhum indício de que o desempenho financeiro da empresa comprometa a manutenção e operação dos sistemas operados pela Companhia. </w:t>
      </w:r>
    </w:p>
    <w:p w:rsidR="000E7F93" w:rsidRDefault="003867B8" w:rsidP="00711F9D">
      <w:pPr>
        <w:pStyle w:val="Paragraph"/>
        <w:numPr>
          <w:ilvl w:val="1"/>
          <w:numId w:val="3"/>
        </w:numPr>
        <w:tabs>
          <w:tab w:val="left" w:pos="180"/>
        </w:tabs>
        <w:spacing w:before="120" w:after="120"/>
        <w:outlineLvl w:val="1"/>
      </w:pPr>
      <w:r>
        <w:t>Segundo a nota da Agência Moody’s, o programa de investimentos da empresa é um fator que limita o rating, dado que historicamente a COPASA tem feito volumosos investimentos (cerca de R$800 milhões por ano). De acordo com a Moody’s, os setores de água e saneamento básico no Brasil necessitam de investimentos significativos, os quais geralmente têm margens de lucro baixas, há uma clara necessidade de financiamento de custo baixo e prazo longo.</w:t>
      </w:r>
      <w:r w:rsidR="000E7F93">
        <w:t xml:space="preserve"> A Agência considera que a</w:t>
      </w:r>
      <w:r>
        <w:t xml:space="preserve">s debêntures </w:t>
      </w:r>
      <w:r w:rsidR="000E7F93">
        <w:t xml:space="preserve">emitidas pela COPASA </w:t>
      </w:r>
      <w:r>
        <w:t xml:space="preserve">têm </w:t>
      </w:r>
      <w:r w:rsidRPr="00711F9D">
        <w:rPr>
          <w:i/>
        </w:rPr>
        <w:t>covenants</w:t>
      </w:r>
      <w:r>
        <w:t xml:space="preserve"> financeiros tais como </w:t>
      </w:r>
      <w:r w:rsidR="000E7F93">
        <w:t xml:space="preserve">o </w:t>
      </w:r>
      <w:r>
        <w:t>índice de EBITDA/Serviço de Dívida mínimo de 1,5x</w:t>
      </w:r>
      <w:r w:rsidR="000E7F93">
        <w:t xml:space="preserve"> </w:t>
      </w:r>
      <w:r>
        <w:t xml:space="preserve">e índice de EBITDA/Dívida Líquida máximo de 3,0x. </w:t>
      </w:r>
      <w:r w:rsidR="000E7F93">
        <w:t>Segundo a Moody’s, e</w:t>
      </w:r>
      <w:r>
        <w:t xml:space="preserve">sses </w:t>
      </w:r>
      <w:r w:rsidRPr="00711F9D">
        <w:rPr>
          <w:i/>
        </w:rPr>
        <w:t>covenants</w:t>
      </w:r>
      <w:r>
        <w:t xml:space="preserve"> devem limitar o endividamento da</w:t>
      </w:r>
      <w:r w:rsidR="000E7F93">
        <w:t xml:space="preserve"> </w:t>
      </w:r>
      <w:r>
        <w:t xml:space="preserve">empresa, e também limitam os pagamentos de dividendos para que os </w:t>
      </w:r>
      <w:r w:rsidRPr="00711F9D">
        <w:rPr>
          <w:i/>
        </w:rPr>
        <w:t>covenants</w:t>
      </w:r>
      <w:r>
        <w:t xml:space="preserve"> possam ser</w:t>
      </w:r>
      <w:r w:rsidR="000E7F93">
        <w:t xml:space="preserve"> </w:t>
      </w:r>
      <w:r>
        <w:t>cumpridos.</w:t>
      </w:r>
    </w:p>
    <w:p w:rsidR="00E76CC5" w:rsidRDefault="00E76CC5" w:rsidP="000E7F93"/>
    <w:p w:rsidR="00E76CC5" w:rsidRDefault="00E76CC5" w:rsidP="00711F9D">
      <w:pPr>
        <w:pStyle w:val="Ttulo1"/>
        <w:numPr>
          <w:ilvl w:val="0"/>
          <w:numId w:val="0"/>
        </w:numPr>
        <w:ind w:left="709"/>
        <w:sectPr w:rsidR="00E76CC5" w:rsidSect="00824380">
          <w:pgSz w:w="11907" w:h="16839" w:code="9"/>
          <w:pgMar w:top="1528" w:right="1440" w:bottom="993" w:left="1440" w:header="567" w:footer="847" w:gutter="0"/>
          <w:cols w:space="720"/>
          <w:docGrid w:linePitch="272"/>
        </w:sectPr>
      </w:pPr>
    </w:p>
    <w:p w:rsidR="008015FE" w:rsidRDefault="008015FE" w:rsidP="00E76CC5">
      <w:pPr>
        <w:pStyle w:val="Ttulo1"/>
      </w:pPr>
      <w:bookmarkStart w:id="5" w:name="_Toc334529375"/>
      <w:bookmarkStart w:id="6" w:name="_Toc333239381"/>
      <w:r>
        <w:lastRenderedPageBreak/>
        <w:t>Anexo 1_Premissas e justificativas para projeções financeiras PBH</w:t>
      </w:r>
      <w:bookmarkEnd w:id="5"/>
    </w:p>
    <w:p w:rsidR="008015FE" w:rsidRPr="008015FE" w:rsidRDefault="008015FE" w:rsidP="008015FE"/>
    <w:p w:rsidR="008015FE" w:rsidRDefault="008015FE">
      <w:pPr>
        <w:spacing w:line="360" w:lineRule="auto"/>
        <w:ind w:firstLine="357"/>
        <w:jc w:val="center"/>
      </w:pPr>
    </w:p>
    <w:p w:rsidR="008015FE" w:rsidRDefault="00DF7B20" w:rsidP="00DF7B20">
      <w:pPr>
        <w:rPr>
          <w:rFonts w:ascii="Arial" w:hAnsi="Arial" w:cs="Arial"/>
          <w:sz w:val="24"/>
        </w:rPr>
      </w:pPr>
      <w:r w:rsidRPr="00DF7B20">
        <w:rPr>
          <w:noProof/>
          <w:lang w:eastAsia="pt-BR"/>
        </w:rPr>
        <w:drawing>
          <wp:inline distT="0" distB="0" distL="0" distR="0" wp14:anchorId="6E5B25F0" wp14:editId="39CB579B">
            <wp:extent cx="5732145" cy="4519372"/>
            <wp:effectExtent l="0" t="0" r="1905" b="0"/>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32145" cy="4519372"/>
                    </a:xfrm>
                    <a:prstGeom prst="rect">
                      <a:avLst/>
                    </a:prstGeom>
                    <a:noFill/>
                    <a:ln>
                      <a:noFill/>
                    </a:ln>
                  </pic:spPr>
                </pic:pic>
              </a:graphicData>
            </a:graphic>
          </wp:inline>
        </w:drawing>
      </w:r>
      <w:r w:rsidR="008015FE">
        <w:br w:type="page"/>
      </w:r>
    </w:p>
    <w:p w:rsidR="00E76CC5" w:rsidRDefault="00E76CC5" w:rsidP="00E76CC5">
      <w:pPr>
        <w:pStyle w:val="Ttulo1"/>
      </w:pPr>
      <w:bookmarkStart w:id="7" w:name="_Toc334529376"/>
      <w:r>
        <w:lastRenderedPageBreak/>
        <w:t xml:space="preserve">Anexo </w:t>
      </w:r>
      <w:r w:rsidR="008015FE">
        <w:t>2</w:t>
      </w:r>
      <w:r>
        <w:t>_Detalhamento da análise financeira da CO</w:t>
      </w:r>
      <w:r w:rsidR="000E7F93">
        <w:t>PASA</w:t>
      </w:r>
      <w:bookmarkEnd w:id="6"/>
      <w:bookmarkEnd w:id="7"/>
    </w:p>
    <w:p w:rsidR="000E7F93" w:rsidRDefault="000E7F93" w:rsidP="00E76CC5"/>
    <w:p w:rsidR="000E7F93" w:rsidRDefault="000E7F93" w:rsidP="00E76CC5"/>
    <w:p w:rsidR="000E7F93" w:rsidRDefault="000E7F93" w:rsidP="00E76CC5"/>
    <w:p w:rsidR="000E7F93" w:rsidRDefault="000E7F93">
      <w:pPr>
        <w:spacing w:line="360" w:lineRule="auto"/>
        <w:ind w:firstLine="357"/>
        <w:jc w:val="center"/>
      </w:pPr>
      <w:r>
        <w:br w:type="page"/>
      </w:r>
    </w:p>
    <w:p w:rsidR="00875CC7" w:rsidRDefault="00875CC7" w:rsidP="008015FE">
      <w:pPr>
        <w:jc w:val="center"/>
      </w:pPr>
      <w:r w:rsidRPr="00875CC7">
        <w:rPr>
          <w:noProof/>
          <w:lang w:eastAsia="pt-BR"/>
        </w:rPr>
        <w:lastRenderedPageBreak/>
        <w:drawing>
          <wp:inline distT="0" distB="0" distL="0" distR="0" wp14:anchorId="127F8C1A" wp14:editId="422E84F5">
            <wp:extent cx="5287617" cy="8795956"/>
            <wp:effectExtent l="0" t="0" r="8890" b="0"/>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88624" cy="8797631"/>
                    </a:xfrm>
                    <a:prstGeom prst="rect">
                      <a:avLst/>
                    </a:prstGeom>
                    <a:noFill/>
                    <a:ln>
                      <a:noFill/>
                    </a:ln>
                  </pic:spPr>
                </pic:pic>
              </a:graphicData>
            </a:graphic>
          </wp:inline>
        </w:drawing>
      </w:r>
      <w:r>
        <w:br w:type="page"/>
      </w:r>
    </w:p>
    <w:p w:rsidR="00875CC7" w:rsidRDefault="00875CC7" w:rsidP="008015FE">
      <w:pPr>
        <w:jc w:val="center"/>
      </w:pPr>
      <w:r w:rsidRPr="00875CC7">
        <w:rPr>
          <w:noProof/>
          <w:lang w:eastAsia="pt-BR"/>
        </w:rPr>
        <w:lastRenderedPageBreak/>
        <w:drawing>
          <wp:inline distT="0" distB="0" distL="0" distR="0" wp14:anchorId="1350D459" wp14:editId="1EEF2650">
            <wp:extent cx="5390984" cy="8676425"/>
            <wp:effectExtent l="0" t="0" r="635" b="0"/>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2145" cy="8678294"/>
                    </a:xfrm>
                    <a:prstGeom prst="rect">
                      <a:avLst/>
                    </a:prstGeom>
                    <a:noFill/>
                    <a:ln>
                      <a:noFill/>
                    </a:ln>
                  </pic:spPr>
                </pic:pic>
              </a:graphicData>
            </a:graphic>
          </wp:inline>
        </w:drawing>
      </w:r>
      <w:r>
        <w:br w:type="page"/>
      </w:r>
    </w:p>
    <w:p w:rsidR="00E76CC5" w:rsidRDefault="00875CC7" w:rsidP="00875CC7">
      <w:pPr>
        <w:jc w:val="center"/>
      </w:pPr>
      <w:r w:rsidRPr="00875CC7">
        <w:rPr>
          <w:noProof/>
          <w:lang w:eastAsia="pt-BR"/>
        </w:rPr>
        <w:lastRenderedPageBreak/>
        <w:drawing>
          <wp:inline distT="0" distB="0" distL="0" distR="0" wp14:anchorId="5CA2E86C" wp14:editId="70BB7197">
            <wp:extent cx="5732145" cy="3896091"/>
            <wp:effectExtent l="0" t="0" r="1905" b="9525"/>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32145" cy="3896091"/>
                    </a:xfrm>
                    <a:prstGeom prst="rect">
                      <a:avLst/>
                    </a:prstGeom>
                    <a:noFill/>
                    <a:ln>
                      <a:noFill/>
                    </a:ln>
                  </pic:spPr>
                </pic:pic>
              </a:graphicData>
            </a:graphic>
          </wp:inline>
        </w:drawing>
      </w:r>
      <w:r w:rsidR="00E76CC5">
        <w:br w:type="page"/>
      </w:r>
      <w:r w:rsidR="000E7F93" w:rsidRPr="000E7F93">
        <w:rPr>
          <w:noProof/>
          <w:lang w:eastAsia="pt-BR"/>
        </w:rPr>
        <w:lastRenderedPageBreak/>
        <w:drawing>
          <wp:inline distT="0" distB="0" distL="0" distR="0" wp14:anchorId="5AE55F39" wp14:editId="2C82F27D">
            <wp:extent cx="5732145" cy="4295616"/>
            <wp:effectExtent l="0" t="0" r="1905" b="0"/>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32145" cy="4295616"/>
                    </a:xfrm>
                    <a:prstGeom prst="rect">
                      <a:avLst/>
                    </a:prstGeom>
                    <a:noFill/>
                    <a:ln>
                      <a:noFill/>
                    </a:ln>
                  </pic:spPr>
                </pic:pic>
              </a:graphicData>
            </a:graphic>
          </wp:inline>
        </w:drawing>
      </w:r>
    </w:p>
    <w:p w:rsidR="00E76CC5" w:rsidRDefault="00E76CC5" w:rsidP="00E76CC5"/>
    <w:p w:rsidR="00E76CC5" w:rsidRDefault="00E76CC5" w:rsidP="000E7F93">
      <w:r>
        <w:br w:type="page"/>
      </w:r>
    </w:p>
    <w:p w:rsidR="00E76CC5" w:rsidRDefault="00875CC7" w:rsidP="00E76CC5">
      <w:r w:rsidRPr="00875CC7">
        <w:rPr>
          <w:noProof/>
          <w:lang w:eastAsia="pt-BR"/>
        </w:rPr>
        <w:lastRenderedPageBreak/>
        <w:drawing>
          <wp:inline distT="0" distB="0" distL="0" distR="0" wp14:anchorId="56E9BA48" wp14:editId="5F9C2E80">
            <wp:extent cx="5732145" cy="2117842"/>
            <wp:effectExtent l="0" t="0" r="1905" b="0"/>
            <wp:docPr id="31" name="Image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32145" cy="2117842"/>
                    </a:xfrm>
                    <a:prstGeom prst="rect">
                      <a:avLst/>
                    </a:prstGeom>
                    <a:noFill/>
                    <a:ln>
                      <a:noFill/>
                    </a:ln>
                  </pic:spPr>
                </pic:pic>
              </a:graphicData>
            </a:graphic>
          </wp:inline>
        </w:drawing>
      </w:r>
    </w:p>
    <w:p w:rsidR="00875CC7" w:rsidRDefault="00875CC7" w:rsidP="00E76CC5"/>
    <w:p w:rsidR="00875CC7" w:rsidRDefault="00875CC7" w:rsidP="00E76CC5"/>
    <w:p w:rsidR="00875CC7" w:rsidRDefault="00875CC7">
      <w:pPr>
        <w:spacing w:line="360" w:lineRule="auto"/>
        <w:ind w:firstLine="357"/>
        <w:jc w:val="center"/>
      </w:pPr>
      <w:r>
        <w:br w:type="page"/>
      </w:r>
    </w:p>
    <w:p w:rsidR="00875CC7" w:rsidRDefault="00875CC7" w:rsidP="00875CC7">
      <w:pPr>
        <w:sectPr w:rsidR="00875CC7" w:rsidSect="00824380">
          <w:pgSz w:w="11907" w:h="16839" w:code="9"/>
          <w:pgMar w:top="1528" w:right="1440" w:bottom="993" w:left="1440" w:header="567" w:footer="847" w:gutter="0"/>
          <w:cols w:space="720"/>
          <w:docGrid w:linePitch="272"/>
        </w:sectPr>
      </w:pPr>
    </w:p>
    <w:p w:rsidR="00E76CC5" w:rsidRDefault="000E7F93" w:rsidP="000E7F93">
      <w:pPr>
        <w:jc w:val="center"/>
      </w:pPr>
      <w:r w:rsidRPr="000E7F93">
        <w:rPr>
          <w:noProof/>
          <w:lang w:eastAsia="pt-BR"/>
        </w:rPr>
        <w:lastRenderedPageBreak/>
        <w:drawing>
          <wp:inline distT="0" distB="0" distL="0" distR="0" wp14:anchorId="0C002164" wp14:editId="7C0DB079">
            <wp:extent cx="5400040" cy="7148110"/>
            <wp:effectExtent l="0" t="0" r="0" b="0"/>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400040" cy="7148110"/>
                    </a:xfrm>
                    <a:prstGeom prst="rect">
                      <a:avLst/>
                    </a:prstGeom>
                    <a:noFill/>
                    <a:ln>
                      <a:noFill/>
                    </a:ln>
                  </pic:spPr>
                </pic:pic>
              </a:graphicData>
            </a:graphic>
          </wp:inline>
        </w:drawing>
      </w:r>
    </w:p>
    <w:p w:rsidR="00F755DA" w:rsidRDefault="00F755DA"/>
    <w:sectPr w:rsidR="00F755DA">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B4A" w:rsidRDefault="00603B4A" w:rsidP="00E76CC5">
      <w:r>
        <w:separator/>
      </w:r>
    </w:p>
  </w:endnote>
  <w:endnote w:type="continuationSeparator" w:id="0">
    <w:p w:rsidR="00603B4A" w:rsidRDefault="00603B4A" w:rsidP="00E76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380" w:rsidRDefault="00824380" w:rsidP="00824380">
    <w:pPr>
      <w:pStyle w:val="Rodap"/>
      <w:pBdr>
        <w:top w:val="single" w:sz="4" w:space="1" w:color="auto"/>
      </w:pBdr>
      <w:tabs>
        <w:tab w:val="clear" w:pos="8640"/>
        <w:tab w:val="right" w:pos="9356"/>
      </w:tabs>
      <w:ind w:right="4"/>
      <w:rPr>
        <w:rFonts w:ascii="Arial" w:hAnsi="Arial"/>
        <w:b/>
        <w:i/>
        <w:iCs/>
        <w:sz w:val="16"/>
        <w:lang w:val="en-US"/>
      </w:rPr>
    </w:pPr>
    <w:r>
      <w:rPr>
        <w:rFonts w:ascii="Arial" w:hAnsi="Arial"/>
        <w:b/>
        <w:i/>
        <w:iCs/>
        <w:sz w:val="16"/>
        <w:lang w:val="en-US"/>
      </w:rPr>
      <w:t>DRENURBS – ANÁLISE INSTITUCIONAL E FINANCEIRA</w:t>
    </w:r>
    <w:r w:rsidR="001F4121">
      <w:rPr>
        <w:rFonts w:ascii="Arial" w:hAnsi="Arial"/>
        <w:b/>
        <w:i/>
        <w:iCs/>
        <w:sz w:val="16"/>
        <w:lang w:val="en-US"/>
      </w:rPr>
      <w:t xml:space="preserve"> – PBH &amp; COPASA</w:t>
    </w:r>
  </w:p>
  <w:p w:rsidR="00824380" w:rsidRDefault="00824380" w:rsidP="00824380">
    <w:pPr>
      <w:pStyle w:val="Rodap"/>
      <w:pBdr>
        <w:top w:val="single" w:sz="4" w:space="1" w:color="auto"/>
      </w:pBdr>
      <w:tabs>
        <w:tab w:val="clear" w:pos="8640"/>
        <w:tab w:val="right" w:pos="9356"/>
      </w:tabs>
      <w:ind w:right="4"/>
      <w:rPr>
        <w:rFonts w:ascii="Arial" w:hAnsi="Arial"/>
        <w:b/>
        <w:i/>
        <w:iCs/>
        <w:sz w:val="16"/>
        <w:lang w:val="en-US"/>
      </w:rPr>
    </w:pPr>
    <w:proofErr w:type="spellStart"/>
    <w:r>
      <w:rPr>
        <w:rFonts w:ascii="Arial" w:hAnsi="Arial"/>
        <w:b/>
        <w:i/>
        <w:iCs/>
        <w:sz w:val="16"/>
        <w:lang w:val="en-US"/>
      </w:rPr>
      <w:t>Relatório</w:t>
    </w:r>
    <w:proofErr w:type="spellEnd"/>
    <w:r w:rsidR="001F4121">
      <w:rPr>
        <w:rFonts w:ascii="Arial" w:hAnsi="Arial"/>
        <w:b/>
        <w:i/>
        <w:iCs/>
        <w:sz w:val="16"/>
        <w:lang w:val="en-US"/>
      </w:rPr>
      <w:t xml:space="preserve"> </w:t>
    </w:r>
    <w:r>
      <w:rPr>
        <w:rFonts w:ascii="Arial" w:hAnsi="Arial"/>
        <w:b/>
        <w:i/>
        <w:iCs/>
        <w:sz w:val="16"/>
        <w:lang w:val="en-US"/>
      </w:rPr>
      <w:t>Final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B4A" w:rsidRDefault="00603B4A" w:rsidP="00E76CC5">
      <w:r>
        <w:separator/>
      </w:r>
    </w:p>
  </w:footnote>
  <w:footnote w:type="continuationSeparator" w:id="0">
    <w:p w:rsidR="00603B4A" w:rsidRDefault="00603B4A" w:rsidP="00E76CC5">
      <w:r>
        <w:continuationSeparator/>
      </w:r>
    </w:p>
  </w:footnote>
  <w:footnote w:id="1">
    <w:p w:rsidR="00824380" w:rsidRPr="005F278C" w:rsidRDefault="00824380" w:rsidP="006432B5">
      <w:pPr>
        <w:pStyle w:val="Textodenotaderodap"/>
        <w:rPr>
          <w:lang w:val="en-US"/>
        </w:rPr>
      </w:pPr>
      <w:r>
        <w:rPr>
          <w:rStyle w:val="Refdenotaderodap"/>
        </w:rPr>
        <w:footnoteRef/>
      </w:r>
      <w:r w:rsidRPr="00824380">
        <w:t xml:space="preserve"> Tomado</w:t>
      </w:r>
      <w:r>
        <w:rPr>
          <w:lang w:val="en-US"/>
        </w:rPr>
        <w:t xml:space="preserve"> o</w:t>
      </w:r>
      <w:r w:rsidRPr="00824380">
        <w:rPr>
          <w:lang w:val="en-US"/>
        </w:rPr>
        <w:t xml:space="preserve"> ano</w:t>
      </w:r>
      <w:r>
        <w:rPr>
          <w:lang w:val="en-US"/>
        </w:rPr>
        <w:t xml:space="preserve"> de 2007 como base 100.</w:t>
      </w:r>
    </w:p>
  </w:footnote>
  <w:footnote w:id="2">
    <w:p w:rsidR="00824380" w:rsidRPr="008A775C" w:rsidRDefault="00824380">
      <w:pPr>
        <w:pStyle w:val="Textodenotaderodap"/>
        <w:rPr>
          <w:lang w:val="en-US"/>
        </w:rPr>
      </w:pPr>
      <w:r>
        <w:rPr>
          <w:rStyle w:val="Refdenotaderodap"/>
        </w:rPr>
        <w:footnoteRef/>
      </w:r>
      <w:r>
        <w:t xml:space="preserve"> </w:t>
      </w:r>
      <w:r>
        <w:rPr>
          <w:lang w:val="en-US"/>
        </w:rPr>
        <w:t>O limite prudencial corresponde a 95% do limite máximo</w:t>
      </w:r>
    </w:p>
  </w:footnote>
  <w:footnote w:id="3">
    <w:p w:rsidR="00046C33" w:rsidRPr="00046C33" w:rsidRDefault="00046C33">
      <w:pPr>
        <w:pStyle w:val="Textodenotaderodap"/>
        <w:rPr>
          <w:lang w:val="en-US"/>
        </w:rPr>
      </w:pPr>
      <w:r>
        <w:rPr>
          <w:rStyle w:val="Refdenotaderodap"/>
        </w:rPr>
        <w:footnoteRef/>
      </w:r>
      <w:r>
        <w:t xml:space="preserve"> </w:t>
      </w:r>
      <w:proofErr w:type="spellStart"/>
      <w:r>
        <w:rPr>
          <w:lang w:val="en-US"/>
        </w:rPr>
        <w:t>Custos</w:t>
      </w:r>
      <w:proofErr w:type="spellEnd"/>
      <w:r>
        <w:rPr>
          <w:lang w:val="en-US"/>
        </w:rPr>
        <w:t xml:space="preserve"> </w:t>
      </w:r>
      <w:proofErr w:type="spellStart"/>
      <w:r>
        <w:rPr>
          <w:lang w:val="en-US"/>
        </w:rPr>
        <w:t>estimados</w:t>
      </w:r>
      <w:proofErr w:type="spellEnd"/>
      <w:r>
        <w:rPr>
          <w:lang w:val="en-US"/>
        </w:rPr>
        <w:t xml:space="preserve"> </w:t>
      </w:r>
      <w:proofErr w:type="spellStart"/>
      <w:r>
        <w:rPr>
          <w:lang w:val="en-US"/>
        </w:rPr>
        <w:t>em</w:t>
      </w:r>
      <w:proofErr w:type="spellEnd"/>
      <w:r>
        <w:rPr>
          <w:lang w:val="en-US"/>
        </w:rPr>
        <w:t xml:space="preserve"> US$1,325 </w:t>
      </w:r>
      <w:proofErr w:type="spellStart"/>
      <w:r>
        <w:rPr>
          <w:lang w:val="en-US"/>
        </w:rPr>
        <w:t>milhões</w:t>
      </w:r>
      <w:proofErr w:type="spellEnd"/>
      <w:r>
        <w:rPr>
          <w:lang w:val="en-US"/>
        </w:rPr>
        <w:t xml:space="preserve"> </w:t>
      </w:r>
      <w:proofErr w:type="spellStart"/>
      <w:r>
        <w:rPr>
          <w:lang w:val="en-US"/>
        </w:rPr>
        <w:t>anuais</w:t>
      </w:r>
      <w:proofErr w:type="spellEnd"/>
      <w:r>
        <w:rPr>
          <w:lang w:val="en-US"/>
        </w:rPr>
        <w:t xml:space="preserve"> de </w:t>
      </w:r>
      <w:proofErr w:type="spellStart"/>
      <w:r>
        <w:rPr>
          <w:lang w:val="en-US"/>
        </w:rPr>
        <w:t>acordo</w:t>
      </w:r>
      <w:proofErr w:type="spellEnd"/>
      <w:r>
        <w:rPr>
          <w:lang w:val="en-US"/>
        </w:rPr>
        <w:t xml:space="preserve"> </w:t>
      </w:r>
      <w:proofErr w:type="gramStart"/>
      <w:r>
        <w:rPr>
          <w:lang w:val="en-US"/>
        </w:rPr>
        <w:t xml:space="preserve">com  </w:t>
      </w:r>
      <w:proofErr w:type="spellStart"/>
      <w:r>
        <w:rPr>
          <w:lang w:val="en-US"/>
        </w:rPr>
        <w:t>informações</w:t>
      </w:r>
      <w:proofErr w:type="spellEnd"/>
      <w:proofErr w:type="gramEnd"/>
      <w:r>
        <w:rPr>
          <w:lang w:val="en-US"/>
        </w:rPr>
        <w:t xml:space="preserve"> da </w:t>
      </w:r>
      <w:proofErr w:type="spellStart"/>
      <w:r>
        <w:rPr>
          <w:lang w:val="en-US"/>
        </w:rPr>
        <w:t>Análise</w:t>
      </w:r>
      <w:proofErr w:type="spellEnd"/>
      <w:r>
        <w:rPr>
          <w:lang w:val="en-US"/>
        </w:rPr>
        <w:t xml:space="preserve"> </w:t>
      </w:r>
      <w:proofErr w:type="spellStart"/>
      <w:r>
        <w:rPr>
          <w:lang w:val="en-US"/>
        </w:rPr>
        <w:t>Econômica</w:t>
      </w:r>
      <w:proofErr w:type="spellEnd"/>
      <w:r>
        <w:rPr>
          <w:lang w:val="en-US"/>
        </w:rPr>
        <w:t xml:space="preserve"> do Drenurbs Complementar.</w:t>
      </w:r>
      <w:bookmarkStart w:id="3" w:name="_GoBack"/>
      <w:bookmarkEnd w:id="3"/>
    </w:p>
  </w:footnote>
  <w:footnote w:id="4">
    <w:p w:rsidR="00824380" w:rsidRPr="00BD4E6C" w:rsidRDefault="00824380" w:rsidP="00B30A73">
      <w:pPr>
        <w:pStyle w:val="Textodenotaderodap"/>
        <w:rPr>
          <w:lang w:val="en-US"/>
        </w:rPr>
      </w:pPr>
      <w:r>
        <w:rPr>
          <w:rStyle w:val="Refdenotaderodap"/>
        </w:rPr>
        <w:footnoteRef/>
      </w:r>
      <w:r>
        <w:t xml:space="preserve"> </w:t>
      </w:r>
      <w:proofErr w:type="spellStart"/>
      <w:r>
        <w:rPr>
          <w:lang w:val="en-US"/>
        </w:rPr>
        <w:t>Valores</w:t>
      </w:r>
      <w:proofErr w:type="spellEnd"/>
      <w:r>
        <w:rPr>
          <w:lang w:val="en-US"/>
        </w:rPr>
        <w:t xml:space="preserve"> </w:t>
      </w:r>
      <w:proofErr w:type="spellStart"/>
      <w:r>
        <w:rPr>
          <w:lang w:val="en-US"/>
        </w:rPr>
        <w:t>ajustados</w:t>
      </w:r>
      <w:proofErr w:type="spellEnd"/>
      <w:r>
        <w:rPr>
          <w:lang w:val="en-US"/>
        </w:rPr>
        <w:t xml:space="preserve"> </w:t>
      </w:r>
      <w:proofErr w:type="spellStart"/>
      <w:r>
        <w:rPr>
          <w:lang w:val="en-US"/>
        </w:rPr>
        <w:t>para</w:t>
      </w:r>
      <w:proofErr w:type="spellEnd"/>
      <w:r>
        <w:rPr>
          <w:lang w:val="en-US"/>
        </w:rPr>
        <w:t xml:space="preserve"> dezembro/2011 através do IPCA (Índice de Preços ao Consumidor Amplo)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11DC8396"/>
    <w:lvl w:ilvl="0">
      <w:start w:val="1"/>
      <w:numFmt w:val="upperRoman"/>
      <w:pStyle w:val="gd"/>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ascii="Arial" w:hAnsi="Arial" w:hint="default"/>
        <w:sz w:val="24"/>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17611AA2"/>
    <w:multiLevelType w:val="multilevel"/>
    <w:tmpl w:val="4F469972"/>
    <w:lvl w:ilvl="0">
      <w:start w:val="1"/>
      <w:numFmt w:val="decimal"/>
      <w:lvlText w:val="%1"/>
      <w:lvlJc w:val="left"/>
      <w:pPr>
        <w:tabs>
          <w:tab w:val="num" w:pos="720"/>
        </w:tabs>
        <w:ind w:left="720" w:hanging="720"/>
      </w:pPr>
      <w:rPr>
        <w:rFonts w:hint="default"/>
        <w:sz w:val="24"/>
        <w:szCs w:val="24"/>
      </w:rPr>
    </w:lvl>
    <w:lvl w:ilvl="1">
      <w:start w:val="1"/>
      <w:numFmt w:val="decimal"/>
      <w:lvlText w:val="%1.%2"/>
      <w:lvlJc w:val="left"/>
      <w:pPr>
        <w:tabs>
          <w:tab w:val="num" w:pos="720"/>
        </w:tabs>
        <w:ind w:left="720" w:hanging="720"/>
      </w:pPr>
      <w:rPr>
        <w:rFonts w:hint="default"/>
        <w:b/>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41285B77"/>
    <w:multiLevelType w:val="multilevel"/>
    <w:tmpl w:val="840C2EFA"/>
    <w:lvl w:ilvl="0">
      <w:start w:val="4"/>
      <w:numFmt w:val="decimal"/>
      <w:lvlText w:val="%1"/>
      <w:lvlJc w:val="left"/>
      <w:pPr>
        <w:tabs>
          <w:tab w:val="num" w:pos="720"/>
        </w:tabs>
        <w:ind w:left="720" w:hanging="720"/>
      </w:pPr>
      <w:rPr>
        <w:rFonts w:hint="default"/>
        <w:sz w:val="24"/>
        <w:szCs w:val="24"/>
      </w:rPr>
    </w:lvl>
    <w:lvl w:ilvl="1">
      <w:start w:val="1"/>
      <w:numFmt w:val="decimal"/>
      <w:lvlText w:val="%1.%2"/>
      <w:lvlJc w:val="left"/>
      <w:pPr>
        <w:tabs>
          <w:tab w:val="num" w:pos="720"/>
        </w:tabs>
        <w:ind w:left="720" w:hanging="720"/>
      </w:pPr>
      <w:rPr>
        <w:rFonts w:hint="default"/>
        <w:b/>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6465509C"/>
    <w:multiLevelType w:val="multilevel"/>
    <w:tmpl w:val="DFE4EB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64AF5D37"/>
    <w:multiLevelType w:val="multilevel"/>
    <w:tmpl w:val="92042934"/>
    <w:lvl w:ilvl="0">
      <w:start w:val="1"/>
      <w:numFmt w:val="decimal"/>
      <w:pStyle w:val="Ttulo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6B0A2510"/>
    <w:multiLevelType w:val="multilevel"/>
    <w:tmpl w:val="1E2CED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1"/>
  </w:num>
  <w:num w:numId="4">
    <w:abstractNumId w:val="0"/>
  </w:num>
  <w:num w:numId="5">
    <w:abstractNumId w:val="0"/>
  </w:num>
  <w:num w:numId="6">
    <w:abstractNumId w:val="3"/>
  </w:num>
  <w:num w:numId="7">
    <w:abstractNumId w:val="0"/>
  </w:num>
  <w:num w:numId="8">
    <w:abstractNumId w:val="2"/>
  </w:num>
  <w:num w:numId="9">
    <w:abstractNumId w:val="5"/>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CC5"/>
    <w:rsid w:val="00001B53"/>
    <w:rsid w:val="00046C33"/>
    <w:rsid w:val="000A3057"/>
    <w:rsid w:val="000E7F93"/>
    <w:rsid w:val="00121B5E"/>
    <w:rsid w:val="001D5D40"/>
    <w:rsid w:val="001F4121"/>
    <w:rsid w:val="0023254E"/>
    <w:rsid w:val="002C666B"/>
    <w:rsid w:val="002D3EDC"/>
    <w:rsid w:val="0030118E"/>
    <w:rsid w:val="0036365E"/>
    <w:rsid w:val="003813B7"/>
    <w:rsid w:val="00383A67"/>
    <w:rsid w:val="003867B8"/>
    <w:rsid w:val="003927FA"/>
    <w:rsid w:val="003D11ED"/>
    <w:rsid w:val="004C5CE9"/>
    <w:rsid w:val="004F65BA"/>
    <w:rsid w:val="00536ED7"/>
    <w:rsid w:val="005B1442"/>
    <w:rsid w:val="005F278C"/>
    <w:rsid w:val="00603B4A"/>
    <w:rsid w:val="006432B5"/>
    <w:rsid w:val="006775A2"/>
    <w:rsid w:val="00711F9D"/>
    <w:rsid w:val="0073671C"/>
    <w:rsid w:val="00751B58"/>
    <w:rsid w:val="008015FE"/>
    <w:rsid w:val="00824380"/>
    <w:rsid w:val="00860244"/>
    <w:rsid w:val="00875CC7"/>
    <w:rsid w:val="008A775C"/>
    <w:rsid w:val="008C2BC5"/>
    <w:rsid w:val="00907B28"/>
    <w:rsid w:val="00AF1065"/>
    <w:rsid w:val="00B04F52"/>
    <w:rsid w:val="00B30A73"/>
    <w:rsid w:val="00BB7EE1"/>
    <w:rsid w:val="00C143F5"/>
    <w:rsid w:val="00C72AA5"/>
    <w:rsid w:val="00CE529D"/>
    <w:rsid w:val="00D05F07"/>
    <w:rsid w:val="00DF7B20"/>
    <w:rsid w:val="00E03107"/>
    <w:rsid w:val="00E76CC5"/>
    <w:rsid w:val="00EA7AE1"/>
    <w:rsid w:val="00EB0BFE"/>
    <w:rsid w:val="00EC1399"/>
    <w:rsid w:val="00F02C8B"/>
    <w:rsid w:val="00F13834"/>
    <w:rsid w:val="00F56ED8"/>
    <w:rsid w:val="00F60E74"/>
    <w:rsid w:val="00F755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360" w:lineRule="auto"/>
        <w:ind w:firstLine="357"/>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CC5"/>
    <w:pPr>
      <w:spacing w:line="240" w:lineRule="auto"/>
      <w:ind w:firstLine="0"/>
      <w:jc w:val="left"/>
    </w:pPr>
    <w:rPr>
      <w:rFonts w:ascii="Times New Roman" w:eastAsia="Times New Roman" w:hAnsi="Times New Roman" w:cs="Times New Roman"/>
      <w:sz w:val="20"/>
      <w:szCs w:val="20"/>
    </w:rPr>
  </w:style>
  <w:style w:type="paragraph" w:styleId="Ttulo1">
    <w:name w:val="heading 1"/>
    <w:basedOn w:val="Normal"/>
    <w:next w:val="Normal"/>
    <w:link w:val="Ttulo1Char"/>
    <w:autoRedefine/>
    <w:qFormat/>
    <w:rsid w:val="00E76CC5"/>
    <w:pPr>
      <w:keepNext/>
      <w:numPr>
        <w:numId w:val="1"/>
      </w:numPr>
      <w:jc w:val="both"/>
      <w:outlineLvl w:val="0"/>
    </w:pPr>
    <w:rPr>
      <w:rFonts w:ascii="Arial" w:hAnsi="Arial" w:cs="Arial"/>
      <w:b/>
      <w:bCs/>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aliases w:val="footnote"/>
    <w:basedOn w:val="Normal"/>
    <w:link w:val="TextodenotaderodapChar"/>
    <w:autoRedefine/>
    <w:rsid w:val="0073671C"/>
    <w:rPr>
      <w:rFonts w:cs="Arial"/>
      <w:sz w:val="16"/>
      <w:szCs w:val="24"/>
      <w:lang w:bidi="en-US"/>
    </w:rPr>
  </w:style>
  <w:style w:type="character" w:customStyle="1" w:styleId="TextodenotaderodapChar">
    <w:name w:val="Texto de nota de rodapé Char"/>
    <w:aliases w:val="footnote Char"/>
    <w:link w:val="Textodenotaderodap"/>
    <w:rsid w:val="0073671C"/>
    <w:rPr>
      <w:rFonts w:ascii="Times New Roman" w:hAnsi="Times New Roman" w:cs="Arial"/>
      <w:sz w:val="16"/>
      <w:szCs w:val="24"/>
      <w:lang w:bidi="en-US"/>
    </w:rPr>
  </w:style>
  <w:style w:type="character" w:customStyle="1" w:styleId="Ttulo1Char">
    <w:name w:val="Título 1 Char"/>
    <w:basedOn w:val="Fontepargpadro"/>
    <w:link w:val="Ttulo1"/>
    <w:rsid w:val="00E76CC5"/>
    <w:rPr>
      <w:rFonts w:ascii="Arial" w:eastAsia="Times New Roman" w:hAnsi="Arial" w:cs="Arial"/>
      <w:b/>
      <w:bCs/>
      <w:sz w:val="24"/>
      <w:szCs w:val="20"/>
    </w:rPr>
  </w:style>
  <w:style w:type="paragraph" w:styleId="Rodap">
    <w:name w:val="footer"/>
    <w:basedOn w:val="Normal"/>
    <w:link w:val="RodapChar"/>
    <w:uiPriority w:val="99"/>
    <w:rsid w:val="00E76CC5"/>
    <w:pPr>
      <w:tabs>
        <w:tab w:val="center" w:pos="4320"/>
        <w:tab w:val="right" w:pos="8640"/>
      </w:tabs>
    </w:pPr>
  </w:style>
  <w:style w:type="character" w:customStyle="1" w:styleId="RodapChar">
    <w:name w:val="Rodapé Char"/>
    <w:basedOn w:val="Fontepargpadro"/>
    <w:link w:val="Rodap"/>
    <w:uiPriority w:val="99"/>
    <w:rsid w:val="00E76CC5"/>
    <w:rPr>
      <w:rFonts w:ascii="Times New Roman" w:eastAsia="Times New Roman" w:hAnsi="Times New Roman" w:cs="Times New Roman"/>
      <w:sz w:val="20"/>
      <w:szCs w:val="20"/>
    </w:rPr>
  </w:style>
  <w:style w:type="paragraph" w:customStyle="1" w:styleId="Paragraph">
    <w:name w:val="Paragraph"/>
    <w:basedOn w:val="Recuodecorpodetexto"/>
    <w:rsid w:val="00E76CC5"/>
    <w:pPr>
      <w:numPr>
        <w:ilvl w:val="1"/>
        <w:numId w:val="2"/>
      </w:numPr>
      <w:spacing w:before="240" w:after="0"/>
      <w:jc w:val="both"/>
    </w:pPr>
    <w:rPr>
      <w:rFonts w:ascii="Arial" w:hAnsi="Arial"/>
      <w:sz w:val="24"/>
      <w:lang w:eastAsia="es-ES"/>
    </w:rPr>
  </w:style>
  <w:style w:type="paragraph" w:customStyle="1" w:styleId="gd">
    <w:name w:val="gd"/>
    <w:basedOn w:val="Normal"/>
    <w:rsid w:val="00E76CC5"/>
    <w:pPr>
      <w:keepLines/>
      <w:numPr>
        <w:numId w:val="2"/>
      </w:numPr>
      <w:tabs>
        <w:tab w:val="left" w:pos="1270"/>
      </w:tabs>
      <w:spacing w:after="240"/>
      <w:jc w:val="both"/>
      <w:outlineLvl w:val="0"/>
    </w:pPr>
    <w:rPr>
      <w:rFonts w:ascii="Arial" w:hAnsi="Arial"/>
      <w:sz w:val="24"/>
      <w:lang w:eastAsia="es-ES"/>
    </w:rPr>
  </w:style>
  <w:style w:type="paragraph" w:customStyle="1" w:styleId="subpar">
    <w:name w:val="subpar"/>
    <w:basedOn w:val="Recuodecorpodetexto3"/>
    <w:rsid w:val="00E76CC5"/>
    <w:pPr>
      <w:numPr>
        <w:ilvl w:val="2"/>
        <w:numId w:val="2"/>
      </w:numPr>
      <w:spacing w:before="120"/>
      <w:jc w:val="both"/>
      <w:outlineLvl w:val="2"/>
    </w:pPr>
    <w:rPr>
      <w:sz w:val="24"/>
      <w:szCs w:val="20"/>
    </w:rPr>
  </w:style>
  <w:style w:type="paragraph" w:customStyle="1" w:styleId="SubSubPar">
    <w:name w:val="SubSubPar"/>
    <w:basedOn w:val="subpar"/>
    <w:rsid w:val="00E76CC5"/>
    <w:pPr>
      <w:numPr>
        <w:ilvl w:val="3"/>
      </w:numPr>
      <w:tabs>
        <w:tab w:val="left" w:pos="0"/>
      </w:tabs>
    </w:pPr>
  </w:style>
  <w:style w:type="character" w:styleId="Refdenotaderodap">
    <w:name w:val="footnote reference"/>
    <w:semiHidden/>
    <w:rsid w:val="00E76CC5"/>
    <w:rPr>
      <w:vertAlign w:val="superscript"/>
    </w:rPr>
  </w:style>
  <w:style w:type="paragraph" w:styleId="PargrafodaLista">
    <w:name w:val="List Paragraph"/>
    <w:basedOn w:val="Normal"/>
    <w:uiPriority w:val="34"/>
    <w:qFormat/>
    <w:rsid w:val="00E76CC5"/>
    <w:pPr>
      <w:ind w:left="708"/>
    </w:pPr>
  </w:style>
  <w:style w:type="paragraph" w:styleId="Legenda">
    <w:name w:val="caption"/>
    <w:basedOn w:val="Normal"/>
    <w:next w:val="Normal"/>
    <w:qFormat/>
    <w:rsid w:val="00E76CC5"/>
    <w:pPr>
      <w:keepNext/>
      <w:jc w:val="center"/>
    </w:pPr>
    <w:rPr>
      <w:b/>
      <w:bCs/>
    </w:rPr>
  </w:style>
  <w:style w:type="paragraph" w:styleId="Recuodecorpodetexto">
    <w:name w:val="Body Text Indent"/>
    <w:basedOn w:val="Normal"/>
    <w:link w:val="RecuodecorpodetextoChar"/>
    <w:uiPriority w:val="99"/>
    <w:semiHidden/>
    <w:unhideWhenUsed/>
    <w:rsid w:val="00E76CC5"/>
    <w:pPr>
      <w:spacing w:after="120"/>
      <w:ind w:left="283"/>
    </w:pPr>
  </w:style>
  <w:style w:type="character" w:customStyle="1" w:styleId="RecuodecorpodetextoChar">
    <w:name w:val="Recuo de corpo de texto Char"/>
    <w:basedOn w:val="Fontepargpadro"/>
    <w:link w:val="Recuodecorpodetexto"/>
    <w:uiPriority w:val="99"/>
    <w:semiHidden/>
    <w:rsid w:val="00E76CC5"/>
    <w:rPr>
      <w:rFonts w:ascii="Times New Roman" w:eastAsia="Times New Roman" w:hAnsi="Times New Roman" w:cs="Times New Roman"/>
      <w:sz w:val="20"/>
      <w:szCs w:val="20"/>
    </w:rPr>
  </w:style>
  <w:style w:type="paragraph" w:styleId="Recuodecorpodetexto3">
    <w:name w:val="Body Text Indent 3"/>
    <w:basedOn w:val="Normal"/>
    <w:link w:val="Recuodecorpodetexto3Char"/>
    <w:uiPriority w:val="99"/>
    <w:semiHidden/>
    <w:unhideWhenUsed/>
    <w:rsid w:val="00E76CC5"/>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76CC5"/>
    <w:rPr>
      <w:rFonts w:ascii="Times New Roman" w:eastAsia="Times New Roman" w:hAnsi="Times New Roman" w:cs="Times New Roman"/>
      <w:sz w:val="16"/>
      <w:szCs w:val="16"/>
    </w:rPr>
  </w:style>
  <w:style w:type="paragraph" w:styleId="Textodebalo">
    <w:name w:val="Balloon Text"/>
    <w:basedOn w:val="Normal"/>
    <w:link w:val="TextodebaloChar"/>
    <w:uiPriority w:val="99"/>
    <w:semiHidden/>
    <w:unhideWhenUsed/>
    <w:rsid w:val="00E76CC5"/>
    <w:rPr>
      <w:rFonts w:ascii="Tahoma" w:hAnsi="Tahoma" w:cs="Tahoma"/>
      <w:sz w:val="16"/>
      <w:szCs w:val="16"/>
    </w:rPr>
  </w:style>
  <w:style w:type="character" w:customStyle="1" w:styleId="TextodebaloChar">
    <w:name w:val="Texto de balão Char"/>
    <w:basedOn w:val="Fontepargpadro"/>
    <w:link w:val="Textodebalo"/>
    <w:uiPriority w:val="99"/>
    <w:semiHidden/>
    <w:rsid w:val="00E76CC5"/>
    <w:rPr>
      <w:rFonts w:ascii="Tahoma" w:eastAsia="Times New Roman" w:hAnsi="Tahoma" w:cs="Tahoma"/>
      <w:sz w:val="16"/>
      <w:szCs w:val="16"/>
    </w:rPr>
  </w:style>
  <w:style w:type="paragraph" w:styleId="Cabealho">
    <w:name w:val="header"/>
    <w:basedOn w:val="Normal"/>
    <w:link w:val="CabealhoChar"/>
    <w:uiPriority w:val="99"/>
    <w:unhideWhenUsed/>
    <w:rsid w:val="00E76CC5"/>
    <w:pPr>
      <w:tabs>
        <w:tab w:val="center" w:pos="4252"/>
        <w:tab w:val="right" w:pos="8504"/>
      </w:tabs>
    </w:pPr>
  </w:style>
  <w:style w:type="character" w:customStyle="1" w:styleId="CabealhoChar">
    <w:name w:val="Cabeçalho Char"/>
    <w:basedOn w:val="Fontepargpadro"/>
    <w:link w:val="Cabealho"/>
    <w:uiPriority w:val="99"/>
    <w:rsid w:val="00E76CC5"/>
    <w:rPr>
      <w:rFonts w:ascii="Times New Roman" w:eastAsia="Times New Roman" w:hAnsi="Times New Roman" w:cs="Times New Roman"/>
      <w:sz w:val="20"/>
      <w:szCs w:val="20"/>
    </w:rPr>
  </w:style>
  <w:style w:type="paragraph" w:styleId="Corpodetexto">
    <w:name w:val="Body Text"/>
    <w:basedOn w:val="Normal"/>
    <w:link w:val="CorpodetextoChar"/>
    <w:uiPriority w:val="99"/>
    <w:semiHidden/>
    <w:unhideWhenUsed/>
    <w:rsid w:val="00E76CC5"/>
    <w:pPr>
      <w:spacing w:after="120"/>
    </w:pPr>
  </w:style>
  <w:style w:type="character" w:customStyle="1" w:styleId="CorpodetextoChar">
    <w:name w:val="Corpo de texto Char"/>
    <w:basedOn w:val="Fontepargpadro"/>
    <w:link w:val="Corpodetexto"/>
    <w:uiPriority w:val="99"/>
    <w:semiHidden/>
    <w:rsid w:val="00E76CC5"/>
    <w:rPr>
      <w:rFonts w:ascii="Times New Roman" w:eastAsia="Times New Roman" w:hAnsi="Times New Roman" w:cs="Times New Roman"/>
      <w:sz w:val="20"/>
      <w:szCs w:val="20"/>
    </w:rPr>
  </w:style>
  <w:style w:type="character" w:styleId="Hyperlink">
    <w:name w:val="Hyperlink"/>
    <w:basedOn w:val="Fontepargpadro"/>
    <w:uiPriority w:val="99"/>
    <w:unhideWhenUsed/>
    <w:rsid w:val="00E03107"/>
    <w:rPr>
      <w:color w:val="0000FF"/>
      <w:u w:val="single"/>
    </w:rPr>
  </w:style>
  <w:style w:type="paragraph" w:styleId="Sumrio1">
    <w:name w:val="toc 1"/>
    <w:basedOn w:val="Normal"/>
    <w:next w:val="Normal"/>
    <w:autoRedefine/>
    <w:uiPriority w:val="39"/>
    <w:unhideWhenUsed/>
    <w:rsid w:val="000E7F93"/>
    <w:pPr>
      <w:spacing w:before="120"/>
    </w:pPr>
    <w:rPr>
      <w:rFonts w:asciiTheme="minorHAnsi" w:hAnsiTheme="minorHAnsi" w:cstheme="minorHAnsi"/>
      <w:b/>
      <w:bCs/>
      <w:i/>
      <w:iCs/>
      <w:sz w:val="24"/>
      <w:szCs w:val="24"/>
    </w:rPr>
  </w:style>
  <w:style w:type="paragraph" w:styleId="Sumrio2">
    <w:name w:val="toc 2"/>
    <w:basedOn w:val="Normal"/>
    <w:next w:val="Normal"/>
    <w:autoRedefine/>
    <w:uiPriority w:val="39"/>
    <w:unhideWhenUsed/>
    <w:rsid w:val="000E7F93"/>
    <w:pPr>
      <w:spacing w:before="120"/>
      <w:ind w:left="200"/>
    </w:pPr>
    <w:rPr>
      <w:rFonts w:asciiTheme="minorHAnsi" w:hAnsiTheme="minorHAnsi" w:cstheme="minorHAnsi"/>
      <w:b/>
      <w:bCs/>
      <w:sz w:val="22"/>
      <w:szCs w:val="22"/>
    </w:rPr>
  </w:style>
  <w:style w:type="paragraph" w:styleId="Sumrio3">
    <w:name w:val="toc 3"/>
    <w:basedOn w:val="Normal"/>
    <w:next w:val="Normal"/>
    <w:autoRedefine/>
    <w:uiPriority w:val="39"/>
    <w:unhideWhenUsed/>
    <w:rsid w:val="000E7F93"/>
    <w:pPr>
      <w:ind w:left="400"/>
    </w:pPr>
    <w:rPr>
      <w:rFonts w:asciiTheme="minorHAnsi" w:hAnsiTheme="minorHAnsi" w:cstheme="minorHAnsi"/>
    </w:rPr>
  </w:style>
  <w:style w:type="paragraph" w:styleId="Sumrio4">
    <w:name w:val="toc 4"/>
    <w:basedOn w:val="Normal"/>
    <w:next w:val="Normal"/>
    <w:autoRedefine/>
    <w:uiPriority w:val="39"/>
    <w:unhideWhenUsed/>
    <w:rsid w:val="000E7F93"/>
    <w:pPr>
      <w:ind w:left="600"/>
    </w:pPr>
    <w:rPr>
      <w:rFonts w:asciiTheme="minorHAnsi" w:hAnsiTheme="minorHAnsi" w:cstheme="minorHAnsi"/>
    </w:rPr>
  </w:style>
  <w:style w:type="paragraph" w:styleId="Sumrio5">
    <w:name w:val="toc 5"/>
    <w:basedOn w:val="Normal"/>
    <w:next w:val="Normal"/>
    <w:autoRedefine/>
    <w:uiPriority w:val="39"/>
    <w:unhideWhenUsed/>
    <w:rsid w:val="000E7F93"/>
    <w:pPr>
      <w:ind w:left="800"/>
    </w:pPr>
    <w:rPr>
      <w:rFonts w:asciiTheme="minorHAnsi" w:hAnsiTheme="minorHAnsi" w:cstheme="minorHAnsi"/>
    </w:rPr>
  </w:style>
  <w:style w:type="paragraph" w:styleId="Sumrio6">
    <w:name w:val="toc 6"/>
    <w:basedOn w:val="Normal"/>
    <w:next w:val="Normal"/>
    <w:autoRedefine/>
    <w:uiPriority w:val="39"/>
    <w:unhideWhenUsed/>
    <w:rsid w:val="000E7F93"/>
    <w:pPr>
      <w:ind w:left="1000"/>
    </w:pPr>
    <w:rPr>
      <w:rFonts w:asciiTheme="minorHAnsi" w:hAnsiTheme="minorHAnsi" w:cstheme="minorHAnsi"/>
    </w:rPr>
  </w:style>
  <w:style w:type="paragraph" w:styleId="Sumrio7">
    <w:name w:val="toc 7"/>
    <w:basedOn w:val="Normal"/>
    <w:next w:val="Normal"/>
    <w:autoRedefine/>
    <w:uiPriority w:val="39"/>
    <w:unhideWhenUsed/>
    <w:rsid w:val="000E7F93"/>
    <w:pPr>
      <w:ind w:left="1200"/>
    </w:pPr>
    <w:rPr>
      <w:rFonts w:asciiTheme="minorHAnsi" w:hAnsiTheme="minorHAnsi" w:cstheme="minorHAnsi"/>
    </w:rPr>
  </w:style>
  <w:style w:type="paragraph" w:styleId="Sumrio8">
    <w:name w:val="toc 8"/>
    <w:basedOn w:val="Normal"/>
    <w:next w:val="Normal"/>
    <w:autoRedefine/>
    <w:uiPriority w:val="39"/>
    <w:unhideWhenUsed/>
    <w:rsid w:val="000E7F93"/>
    <w:pPr>
      <w:ind w:left="1400"/>
    </w:pPr>
    <w:rPr>
      <w:rFonts w:asciiTheme="minorHAnsi" w:hAnsiTheme="minorHAnsi" w:cstheme="minorHAnsi"/>
    </w:rPr>
  </w:style>
  <w:style w:type="paragraph" w:styleId="Sumrio9">
    <w:name w:val="toc 9"/>
    <w:basedOn w:val="Normal"/>
    <w:next w:val="Normal"/>
    <w:autoRedefine/>
    <w:uiPriority w:val="39"/>
    <w:unhideWhenUsed/>
    <w:rsid w:val="000E7F93"/>
    <w:pPr>
      <w:ind w:left="1600"/>
    </w:pPr>
    <w:rPr>
      <w:rFonts w:asciiTheme="minorHAnsi" w:hAnsiTheme="minorHAnsi" w:cs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360" w:lineRule="auto"/>
        <w:ind w:firstLine="357"/>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CC5"/>
    <w:pPr>
      <w:spacing w:line="240" w:lineRule="auto"/>
      <w:ind w:firstLine="0"/>
      <w:jc w:val="left"/>
    </w:pPr>
    <w:rPr>
      <w:rFonts w:ascii="Times New Roman" w:eastAsia="Times New Roman" w:hAnsi="Times New Roman" w:cs="Times New Roman"/>
      <w:sz w:val="20"/>
      <w:szCs w:val="20"/>
    </w:rPr>
  </w:style>
  <w:style w:type="paragraph" w:styleId="Ttulo1">
    <w:name w:val="heading 1"/>
    <w:basedOn w:val="Normal"/>
    <w:next w:val="Normal"/>
    <w:link w:val="Ttulo1Char"/>
    <w:autoRedefine/>
    <w:qFormat/>
    <w:rsid w:val="00E76CC5"/>
    <w:pPr>
      <w:keepNext/>
      <w:numPr>
        <w:numId w:val="1"/>
      </w:numPr>
      <w:jc w:val="both"/>
      <w:outlineLvl w:val="0"/>
    </w:pPr>
    <w:rPr>
      <w:rFonts w:ascii="Arial" w:hAnsi="Arial" w:cs="Arial"/>
      <w:b/>
      <w:bCs/>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aliases w:val="footnote"/>
    <w:basedOn w:val="Normal"/>
    <w:link w:val="TextodenotaderodapChar"/>
    <w:autoRedefine/>
    <w:rsid w:val="0073671C"/>
    <w:rPr>
      <w:rFonts w:cs="Arial"/>
      <w:sz w:val="16"/>
      <w:szCs w:val="24"/>
      <w:lang w:bidi="en-US"/>
    </w:rPr>
  </w:style>
  <w:style w:type="character" w:customStyle="1" w:styleId="TextodenotaderodapChar">
    <w:name w:val="Texto de nota de rodapé Char"/>
    <w:aliases w:val="footnote Char"/>
    <w:link w:val="Textodenotaderodap"/>
    <w:rsid w:val="0073671C"/>
    <w:rPr>
      <w:rFonts w:ascii="Times New Roman" w:hAnsi="Times New Roman" w:cs="Arial"/>
      <w:sz w:val="16"/>
      <w:szCs w:val="24"/>
      <w:lang w:bidi="en-US"/>
    </w:rPr>
  </w:style>
  <w:style w:type="character" w:customStyle="1" w:styleId="Ttulo1Char">
    <w:name w:val="Título 1 Char"/>
    <w:basedOn w:val="Fontepargpadro"/>
    <w:link w:val="Ttulo1"/>
    <w:rsid w:val="00E76CC5"/>
    <w:rPr>
      <w:rFonts w:ascii="Arial" w:eastAsia="Times New Roman" w:hAnsi="Arial" w:cs="Arial"/>
      <w:b/>
      <w:bCs/>
      <w:sz w:val="24"/>
      <w:szCs w:val="20"/>
    </w:rPr>
  </w:style>
  <w:style w:type="paragraph" w:styleId="Rodap">
    <w:name w:val="footer"/>
    <w:basedOn w:val="Normal"/>
    <w:link w:val="RodapChar"/>
    <w:uiPriority w:val="99"/>
    <w:rsid w:val="00E76CC5"/>
    <w:pPr>
      <w:tabs>
        <w:tab w:val="center" w:pos="4320"/>
        <w:tab w:val="right" w:pos="8640"/>
      </w:tabs>
    </w:pPr>
  </w:style>
  <w:style w:type="character" w:customStyle="1" w:styleId="RodapChar">
    <w:name w:val="Rodapé Char"/>
    <w:basedOn w:val="Fontepargpadro"/>
    <w:link w:val="Rodap"/>
    <w:uiPriority w:val="99"/>
    <w:rsid w:val="00E76CC5"/>
    <w:rPr>
      <w:rFonts w:ascii="Times New Roman" w:eastAsia="Times New Roman" w:hAnsi="Times New Roman" w:cs="Times New Roman"/>
      <w:sz w:val="20"/>
      <w:szCs w:val="20"/>
    </w:rPr>
  </w:style>
  <w:style w:type="paragraph" w:customStyle="1" w:styleId="Paragraph">
    <w:name w:val="Paragraph"/>
    <w:basedOn w:val="Recuodecorpodetexto"/>
    <w:rsid w:val="00E76CC5"/>
    <w:pPr>
      <w:numPr>
        <w:ilvl w:val="1"/>
        <w:numId w:val="2"/>
      </w:numPr>
      <w:spacing w:before="240" w:after="0"/>
      <w:jc w:val="both"/>
    </w:pPr>
    <w:rPr>
      <w:rFonts w:ascii="Arial" w:hAnsi="Arial"/>
      <w:sz w:val="24"/>
      <w:lang w:eastAsia="es-ES"/>
    </w:rPr>
  </w:style>
  <w:style w:type="paragraph" w:customStyle="1" w:styleId="gd">
    <w:name w:val="gd"/>
    <w:basedOn w:val="Normal"/>
    <w:rsid w:val="00E76CC5"/>
    <w:pPr>
      <w:keepLines/>
      <w:numPr>
        <w:numId w:val="2"/>
      </w:numPr>
      <w:tabs>
        <w:tab w:val="left" w:pos="1270"/>
      </w:tabs>
      <w:spacing w:after="240"/>
      <w:jc w:val="both"/>
      <w:outlineLvl w:val="0"/>
    </w:pPr>
    <w:rPr>
      <w:rFonts w:ascii="Arial" w:hAnsi="Arial"/>
      <w:sz w:val="24"/>
      <w:lang w:eastAsia="es-ES"/>
    </w:rPr>
  </w:style>
  <w:style w:type="paragraph" w:customStyle="1" w:styleId="subpar">
    <w:name w:val="subpar"/>
    <w:basedOn w:val="Recuodecorpodetexto3"/>
    <w:rsid w:val="00E76CC5"/>
    <w:pPr>
      <w:numPr>
        <w:ilvl w:val="2"/>
        <w:numId w:val="2"/>
      </w:numPr>
      <w:spacing w:before="120"/>
      <w:jc w:val="both"/>
      <w:outlineLvl w:val="2"/>
    </w:pPr>
    <w:rPr>
      <w:sz w:val="24"/>
      <w:szCs w:val="20"/>
    </w:rPr>
  </w:style>
  <w:style w:type="paragraph" w:customStyle="1" w:styleId="SubSubPar">
    <w:name w:val="SubSubPar"/>
    <w:basedOn w:val="subpar"/>
    <w:rsid w:val="00E76CC5"/>
    <w:pPr>
      <w:numPr>
        <w:ilvl w:val="3"/>
      </w:numPr>
      <w:tabs>
        <w:tab w:val="left" w:pos="0"/>
      </w:tabs>
    </w:pPr>
  </w:style>
  <w:style w:type="character" w:styleId="Refdenotaderodap">
    <w:name w:val="footnote reference"/>
    <w:semiHidden/>
    <w:rsid w:val="00E76CC5"/>
    <w:rPr>
      <w:vertAlign w:val="superscript"/>
    </w:rPr>
  </w:style>
  <w:style w:type="paragraph" w:styleId="PargrafodaLista">
    <w:name w:val="List Paragraph"/>
    <w:basedOn w:val="Normal"/>
    <w:uiPriority w:val="34"/>
    <w:qFormat/>
    <w:rsid w:val="00E76CC5"/>
    <w:pPr>
      <w:ind w:left="708"/>
    </w:pPr>
  </w:style>
  <w:style w:type="paragraph" w:styleId="Legenda">
    <w:name w:val="caption"/>
    <w:basedOn w:val="Normal"/>
    <w:next w:val="Normal"/>
    <w:qFormat/>
    <w:rsid w:val="00E76CC5"/>
    <w:pPr>
      <w:keepNext/>
      <w:jc w:val="center"/>
    </w:pPr>
    <w:rPr>
      <w:b/>
      <w:bCs/>
    </w:rPr>
  </w:style>
  <w:style w:type="paragraph" w:styleId="Recuodecorpodetexto">
    <w:name w:val="Body Text Indent"/>
    <w:basedOn w:val="Normal"/>
    <w:link w:val="RecuodecorpodetextoChar"/>
    <w:uiPriority w:val="99"/>
    <w:semiHidden/>
    <w:unhideWhenUsed/>
    <w:rsid w:val="00E76CC5"/>
    <w:pPr>
      <w:spacing w:after="120"/>
      <w:ind w:left="283"/>
    </w:pPr>
  </w:style>
  <w:style w:type="character" w:customStyle="1" w:styleId="RecuodecorpodetextoChar">
    <w:name w:val="Recuo de corpo de texto Char"/>
    <w:basedOn w:val="Fontepargpadro"/>
    <w:link w:val="Recuodecorpodetexto"/>
    <w:uiPriority w:val="99"/>
    <w:semiHidden/>
    <w:rsid w:val="00E76CC5"/>
    <w:rPr>
      <w:rFonts w:ascii="Times New Roman" w:eastAsia="Times New Roman" w:hAnsi="Times New Roman" w:cs="Times New Roman"/>
      <w:sz w:val="20"/>
      <w:szCs w:val="20"/>
    </w:rPr>
  </w:style>
  <w:style w:type="paragraph" w:styleId="Recuodecorpodetexto3">
    <w:name w:val="Body Text Indent 3"/>
    <w:basedOn w:val="Normal"/>
    <w:link w:val="Recuodecorpodetexto3Char"/>
    <w:uiPriority w:val="99"/>
    <w:semiHidden/>
    <w:unhideWhenUsed/>
    <w:rsid w:val="00E76CC5"/>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76CC5"/>
    <w:rPr>
      <w:rFonts w:ascii="Times New Roman" w:eastAsia="Times New Roman" w:hAnsi="Times New Roman" w:cs="Times New Roman"/>
      <w:sz w:val="16"/>
      <w:szCs w:val="16"/>
    </w:rPr>
  </w:style>
  <w:style w:type="paragraph" w:styleId="Textodebalo">
    <w:name w:val="Balloon Text"/>
    <w:basedOn w:val="Normal"/>
    <w:link w:val="TextodebaloChar"/>
    <w:uiPriority w:val="99"/>
    <w:semiHidden/>
    <w:unhideWhenUsed/>
    <w:rsid w:val="00E76CC5"/>
    <w:rPr>
      <w:rFonts w:ascii="Tahoma" w:hAnsi="Tahoma" w:cs="Tahoma"/>
      <w:sz w:val="16"/>
      <w:szCs w:val="16"/>
    </w:rPr>
  </w:style>
  <w:style w:type="character" w:customStyle="1" w:styleId="TextodebaloChar">
    <w:name w:val="Texto de balão Char"/>
    <w:basedOn w:val="Fontepargpadro"/>
    <w:link w:val="Textodebalo"/>
    <w:uiPriority w:val="99"/>
    <w:semiHidden/>
    <w:rsid w:val="00E76CC5"/>
    <w:rPr>
      <w:rFonts w:ascii="Tahoma" w:eastAsia="Times New Roman" w:hAnsi="Tahoma" w:cs="Tahoma"/>
      <w:sz w:val="16"/>
      <w:szCs w:val="16"/>
    </w:rPr>
  </w:style>
  <w:style w:type="paragraph" w:styleId="Cabealho">
    <w:name w:val="header"/>
    <w:basedOn w:val="Normal"/>
    <w:link w:val="CabealhoChar"/>
    <w:uiPriority w:val="99"/>
    <w:unhideWhenUsed/>
    <w:rsid w:val="00E76CC5"/>
    <w:pPr>
      <w:tabs>
        <w:tab w:val="center" w:pos="4252"/>
        <w:tab w:val="right" w:pos="8504"/>
      </w:tabs>
    </w:pPr>
  </w:style>
  <w:style w:type="character" w:customStyle="1" w:styleId="CabealhoChar">
    <w:name w:val="Cabeçalho Char"/>
    <w:basedOn w:val="Fontepargpadro"/>
    <w:link w:val="Cabealho"/>
    <w:uiPriority w:val="99"/>
    <w:rsid w:val="00E76CC5"/>
    <w:rPr>
      <w:rFonts w:ascii="Times New Roman" w:eastAsia="Times New Roman" w:hAnsi="Times New Roman" w:cs="Times New Roman"/>
      <w:sz w:val="20"/>
      <w:szCs w:val="20"/>
    </w:rPr>
  </w:style>
  <w:style w:type="paragraph" w:styleId="Corpodetexto">
    <w:name w:val="Body Text"/>
    <w:basedOn w:val="Normal"/>
    <w:link w:val="CorpodetextoChar"/>
    <w:uiPriority w:val="99"/>
    <w:semiHidden/>
    <w:unhideWhenUsed/>
    <w:rsid w:val="00E76CC5"/>
    <w:pPr>
      <w:spacing w:after="120"/>
    </w:pPr>
  </w:style>
  <w:style w:type="character" w:customStyle="1" w:styleId="CorpodetextoChar">
    <w:name w:val="Corpo de texto Char"/>
    <w:basedOn w:val="Fontepargpadro"/>
    <w:link w:val="Corpodetexto"/>
    <w:uiPriority w:val="99"/>
    <w:semiHidden/>
    <w:rsid w:val="00E76CC5"/>
    <w:rPr>
      <w:rFonts w:ascii="Times New Roman" w:eastAsia="Times New Roman" w:hAnsi="Times New Roman" w:cs="Times New Roman"/>
      <w:sz w:val="20"/>
      <w:szCs w:val="20"/>
    </w:rPr>
  </w:style>
  <w:style w:type="character" w:styleId="Hyperlink">
    <w:name w:val="Hyperlink"/>
    <w:basedOn w:val="Fontepargpadro"/>
    <w:uiPriority w:val="99"/>
    <w:unhideWhenUsed/>
    <w:rsid w:val="00E03107"/>
    <w:rPr>
      <w:color w:val="0000FF"/>
      <w:u w:val="single"/>
    </w:rPr>
  </w:style>
  <w:style w:type="paragraph" w:styleId="Sumrio1">
    <w:name w:val="toc 1"/>
    <w:basedOn w:val="Normal"/>
    <w:next w:val="Normal"/>
    <w:autoRedefine/>
    <w:uiPriority w:val="39"/>
    <w:unhideWhenUsed/>
    <w:rsid w:val="000E7F93"/>
    <w:pPr>
      <w:spacing w:before="120"/>
    </w:pPr>
    <w:rPr>
      <w:rFonts w:asciiTheme="minorHAnsi" w:hAnsiTheme="minorHAnsi" w:cstheme="minorHAnsi"/>
      <w:b/>
      <w:bCs/>
      <w:i/>
      <w:iCs/>
      <w:sz w:val="24"/>
      <w:szCs w:val="24"/>
    </w:rPr>
  </w:style>
  <w:style w:type="paragraph" w:styleId="Sumrio2">
    <w:name w:val="toc 2"/>
    <w:basedOn w:val="Normal"/>
    <w:next w:val="Normal"/>
    <w:autoRedefine/>
    <w:uiPriority w:val="39"/>
    <w:unhideWhenUsed/>
    <w:rsid w:val="000E7F93"/>
    <w:pPr>
      <w:spacing w:before="120"/>
      <w:ind w:left="200"/>
    </w:pPr>
    <w:rPr>
      <w:rFonts w:asciiTheme="minorHAnsi" w:hAnsiTheme="minorHAnsi" w:cstheme="minorHAnsi"/>
      <w:b/>
      <w:bCs/>
      <w:sz w:val="22"/>
      <w:szCs w:val="22"/>
    </w:rPr>
  </w:style>
  <w:style w:type="paragraph" w:styleId="Sumrio3">
    <w:name w:val="toc 3"/>
    <w:basedOn w:val="Normal"/>
    <w:next w:val="Normal"/>
    <w:autoRedefine/>
    <w:uiPriority w:val="39"/>
    <w:unhideWhenUsed/>
    <w:rsid w:val="000E7F93"/>
    <w:pPr>
      <w:ind w:left="400"/>
    </w:pPr>
    <w:rPr>
      <w:rFonts w:asciiTheme="minorHAnsi" w:hAnsiTheme="minorHAnsi" w:cstheme="minorHAnsi"/>
    </w:rPr>
  </w:style>
  <w:style w:type="paragraph" w:styleId="Sumrio4">
    <w:name w:val="toc 4"/>
    <w:basedOn w:val="Normal"/>
    <w:next w:val="Normal"/>
    <w:autoRedefine/>
    <w:uiPriority w:val="39"/>
    <w:unhideWhenUsed/>
    <w:rsid w:val="000E7F93"/>
    <w:pPr>
      <w:ind w:left="600"/>
    </w:pPr>
    <w:rPr>
      <w:rFonts w:asciiTheme="minorHAnsi" w:hAnsiTheme="minorHAnsi" w:cstheme="minorHAnsi"/>
    </w:rPr>
  </w:style>
  <w:style w:type="paragraph" w:styleId="Sumrio5">
    <w:name w:val="toc 5"/>
    <w:basedOn w:val="Normal"/>
    <w:next w:val="Normal"/>
    <w:autoRedefine/>
    <w:uiPriority w:val="39"/>
    <w:unhideWhenUsed/>
    <w:rsid w:val="000E7F93"/>
    <w:pPr>
      <w:ind w:left="800"/>
    </w:pPr>
    <w:rPr>
      <w:rFonts w:asciiTheme="minorHAnsi" w:hAnsiTheme="minorHAnsi" w:cstheme="minorHAnsi"/>
    </w:rPr>
  </w:style>
  <w:style w:type="paragraph" w:styleId="Sumrio6">
    <w:name w:val="toc 6"/>
    <w:basedOn w:val="Normal"/>
    <w:next w:val="Normal"/>
    <w:autoRedefine/>
    <w:uiPriority w:val="39"/>
    <w:unhideWhenUsed/>
    <w:rsid w:val="000E7F93"/>
    <w:pPr>
      <w:ind w:left="1000"/>
    </w:pPr>
    <w:rPr>
      <w:rFonts w:asciiTheme="minorHAnsi" w:hAnsiTheme="minorHAnsi" w:cstheme="minorHAnsi"/>
    </w:rPr>
  </w:style>
  <w:style w:type="paragraph" w:styleId="Sumrio7">
    <w:name w:val="toc 7"/>
    <w:basedOn w:val="Normal"/>
    <w:next w:val="Normal"/>
    <w:autoRedefine/>
    <w:uiPriority w:val="39"/>
    <w:unhideWhenUsed/>
    <w:rsid w:val="000E7F93"/>
    <w:pPr>
      <w:ind w:left="1200"/>
    </w:pPr>
    <w:rPr>
      <w:rFonts w:asciiTheme="minorHAnsi" w:hAnsiTheme="minorHAnsi" w:cstheme="minorHAnsi"/>
    </w:rPr>
  </w:style>
  <w:style w:type="paragraph" w:styleId="Sumrio8">
    <w:name w:val="toc 8"/>
    <w:basedOn w:val="Normal"/>
    <w:next w:val="Normal"/>
    <w:autoRedefine/>
    <w:uiPriority w:val="39"/>
    <w:unhideWhenUsed/>
    <w:rsid w:val="000E7F93"/>
    <w:pPr>
      <w:ind w:left="1400"/>
    </w:pPr>
    <w:rPr>
      <w:rFonts w:asciiTheme="minorHAnsi" w:hAnsiTheme="minorHAnsi" w:cstheme="minorHAnsi"/>
    </w:rPr>
  </w:style>
  <w:style w:type="paragraph" w:styleId="Sumrio9">
    <w:name w:val="toc 9"/>
    <w:basedOn w:val="Normal"/>
    <w:next w:val="Normal"/>
    <w:autoRedefine/>
    <w:uiPriority w:val="39"/>
    <w:unhideWhenUsed/>
    <w:rsid w:val="000E7F93"/>
    <w:pPr>
      <w:ind w:left="1600"/>
    </w:pPr>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image" Target="media/image17.emf"/><Relationship Id="rId39" Type="http://schemas.openxmlformats.org/officeDocument/2006/relationships/customXml" Target="../customXml/item4.xml"/><Relationship Id="rId21" Type="http://schemas.openxmlformats.org/officeDocument/2006/relationships/image" Target="media/image12.emf"/><Relationship Id="rId34" Type="http://schemas.openxmlformats.org/officeDocument/2006/relationships/image" Target="media/image24.emf"/><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image" Target="media/image19.emf"/><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15.emf"/><Relationship Id="rId32" Type="http://schemas.openxmlformats.org/officeDocument/2006/relationships/image" Target="media/image22.emf"/><Relationship Id="rId37" Type="http://schemas.openxmlformats.org/officeDocument/2006/relationships/customXml" Target="../customXml/item2.xml"/><Relationship Id="rId40"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8.emf"/><Relationship Id="rId36"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image" Target="media/image10.emf"/><Relationship Id="rId31" Type="http://schemas.openxmlformats.org/officeDocument/2006/relationships/image" Target="media/image21.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hyperlink" Target="http://www.copasa.com.br/ri/" TargetMode="External"/><Relationship Id="rId30" Type="http://schemas.openxmlformats.org/officeDocument/2006/relationships/image" Target="media/image20.emf"/><Relationship Id="rId35"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image" Target="media/image23.emf"/><Relationship Id="rId38" Type="http://schemas.openxmlformats.org/officeDocument/2006/relationships/customXml" Target="../customXml/item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00DD25F4D5A524A94A1DDCD670E1612" ma:contentTypeVersion="0" ma:contentTypeDescription="A content type to manage public (operations) IDB documents" ma:contentTypeScope="" ma:versionID="c16d3723ff2161c3ba0b1f24f8bc96a4">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37055852</IDBDocs_x0020_Number>
    <Document_x0020_Author xmlns="9c571b2f-e523-4ab2-ba2e-09e151a03ef4">Mellinger, Yvon</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2012</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BR-L1335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Directors&lt;/APPROVAL_DESC&gt;&lt;PD_OBJ_TYPE&gt;0&lt;/PD_OBJ_TYPE&gt;&lt;DTAPPROVAL&gt;Jul 24 2013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OS-ASR</Webtopic>
    <Identifier xmlns="9c571b2f-e523-4ab2-ba2e-09e151a03ef4"> ANNEX</Identifier>
    <Publishing_x0020_House xmlns="9c571b2f-e523-4ab2-ba2e-09e151a03ef4" xsi:nil="true"/>
    <Document_x0020_Language_x0020_IDB xmlns="9c571b2f-e523-4ab2-ba2e-09e151a03ef4">Portuguese</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76AD1D78-FAC1-448D-8747-B1B08375A915}"/>
</file>

<file path=customXml/itemProps2.xml><?xml version="1.0" encoding="utf-8"?>
<ds:datastoreItem xmlns:ds="http://schemas.openxmlformats.org/officeDocument/2006/customXml" ds:itemID="{735EF4F9-A5CE-4363-8599-58DC6C03A746}"/>
</file>

<file path=customXml/itemProps3.xml><?xml version="1.0" encoding="utf-8"?>
<ds:datastoreItem xmlns:ds="http://schemas.openxmlformats.org/officeDocument/2006/customXml" ds:itemID="{95E9BA12-E8B1-400E-AF9A-A360E95722F3}"/>
</file>

<file path=customXml/itemProps4.xml><?xml version="1.0" encoding="utf-8"?>
<ds:datastoreItem xmlns:ds="http://schemas.openxmlformats.org/officeDocument/2006/customXml" ds:itemID="{D177E4AA-A4AF-492E-92FA-D1DC292B2A01}"/>
</file>

<file path=customXml/itemProps5.xml><?xml version="1.0" encoding="utf-8"?>
<ds:datastoreItem xmlns:ds="http://schemas.openxmlformats.org/officeDocument/2006/customXml" ds:itemID="{CC7A1527-4CCF-4949-A4EB-E353FF668A89}"/>
</file>

<file path=customXml/itemProps6.xml><?xml version="1.0" encoding="utf-8"?>
<ds:datastoreItem xmlns:ds="http://schemas.openxmlformats.org/officeDocument/2006/customXml" ds:itemID="{852F8D60-4301-4617-B9AF-BD35CDB889D5}"/>
</file>

<file path=docProps/app.xml><?xml version="1.0" encoding="utf-8"?>
<Properties xmlns="http://schemas.openxmlformats.org/officeDocument/2006/extended-properties" xmlns:vt="http://schemas.openxmlformats.org/officeDocument/2006/docPropsVTypes">
  <Template>Normal</Template>
  <TotalTime>127</TotalTime>
  <Pages>27</Pages>
  <Words>4437</Words>
  <Characters>23963</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15 - Análisis Financiero COPASA</dc:title>
  <dc:creator>Luiz Cláudio Faria</dc:creator>
  <cp:lastModifiedBy>Luiz Cláudio Faria</cp:lastModifiedBy>
  <cp:revision>6</cp:revision>
  <dcterms:created xsi:type="dcterms:W3CDTF">2012-09-04T14:34:00Z</dcterms:created>
  <dcterms:modified xsi:type="dcterms:W3CDTF">2012-09-04T16:43:00Z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0x01010046CF21643EE8D14686A648AA6DAD089200500DD25F4D5A524A94A1DDCD670E1612</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