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1F9" w:rsidRDefault="007601F9" w:rsidP="00760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 xml:space="preserve">Programa de </w:t>
      </w:r>
      <w:r w:rsidR="0096598B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 xml:space="preserve">Recuperação Ambiental de Belo Horizonte–DRENURBS Fase </w:t>
      </w:r>
      <w:proofErr w:type="gramStart"/>
      <w:r w:rsidR="0096598B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>1</w:t>
      </w:r>
      <w:proofErr w:type="gramEnd"/>
    </w:p>
    <w:p w:rsidR="0096598B" w:rsidRPr="007601F9" w:rsidRDefault="0096598B" w:rsidP="00760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>Financiamento Suplementar</w:t>
      </w:r>
    </w:p>
    <w:p w:rsidR="007601F9" w:rsidRPr="007601F9" w:rsidRDefault="00D0398D" w:rsidP="00760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>Projeto BID BR-L1335</w:t>
      </w:r>
    </w:p>
    <w:p w:rsidR="007601F9" w:rsidRPr="007601F9" w:rsidRDefault="007601F9" w:rsidP="00760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>Plano de Aquisições</w:t>
      </w:r>
    </w:p>
    <w:p w:rsidR="007601F9" w:rsidRPr="007601F9" w:rsidRDefault="007601F9" w:rsidP="00760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:rsidR="007601F9" w:rsidRPr="007601F9" w:rsidRDefault="007601F9" w:rsidP="007601F9">
      <w:pPr>
        <w:numPr>
          <w:ilvl w:val="4"/>
          <w:numId w:val="1"/>
        </w:numPr>
        <w:tabs>
          <w:tab w:val="num" w:pos="0"/>
          <w:tab w:val="num" w:pos="720"/>
        </w:tabs>
        <w:spacing w:after="24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pt-BR"/>
        </w:rPr>
        <w:t>I.</w:t>
      </w:r>
      <w:r w:rsidRPr="007601F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pt-BR"/>
        </w:rPr>
        <w:tab/>
        <w:t>Informação Geral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 w:hanging="720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>1.1</w:t>
      </w: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ab/>
        <w:t>País: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 Brasil</w:t>
      </w:r>
    </w:p>
    <w:p w:rsidR="007601F9" w:rsidRPr="007601F9" w:rsidRDefault="007601F9" w:rsidP="007601F9">
      <w:pPr>
        <w:autoSpaceDE w:val="0"/>
        <w:autoSpaceDN w:val="0"/>
        <w:adjustRightInd w:val="0"/>
        <w:spacing w:after="240" w:line="240" w:lineRule="auto"/>
        <w:rPr>
          <w:rFonts w:ascii="Calibri" w:eastAsia="Times New Roman" w:hAnsi="Calibri" w:cs="Calibri"/>
          <w:color w:val="000000"/>
          <w:lang w:val="pt-BR" w:eastAsia="pt-BR"/>
        </w:rPr>
      </w:pPr>
      <w:r w:rsidRPr="007601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 w:eastAsia="pt-BR"/>
        </w:rPr>
        <w:t xml:space="preserve">1.2 </w:t>
      </w:r>
      <w:r w:rsidRPr="007601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 w:eastAsia="pt-BR"/>
        </w:rPr>
        <w:tab/>
      </w: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>Mutuário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:</w:t>
      </w:r>
      <w:r w:rsidRPr="007601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pt-BR" w:eastAsia="pt-BR"/>
        </w:rPr>
        <w:t xml:space="preserve"> Estado de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pt-BR" w:eastAsia="pt-BR"/>
        </w:rPr>
        <w:t>Minas Gerais</w:t>
      </w:r>
      <w:r w:rsidRPr="007601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pt-BR" w:eastAsia="pt-BR"/>
        </w:rPr>
        <w:t xml:space="preserve">, </w:t>
      </w:r>
      <w:proofErr w:type="gramStart"/>
      <w:r w:rsidRPr="007601F9"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pt-BR"/>
        </w:rPr>
        <w:t>Brasil</w:t>
      </w:r>
      <w:proofErr w:type="gramEnd"/>
      <w:r w:rsidRPr="007601F9"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pt-BR"/>
        </w:rPr>
        <w:t xml:space="preserve"> 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 xml:space="preserve">1.3 </w:t>
      </w: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ab/>
        <w:t>Executor</w:t>
      </w:r>
      <w:r w:rsidRPr="007601F9">
        <w:rPr>
          <w:rFonts w:ascii="Arial" w:eastAsia="Times New Roman" w:hAnsi="Arial" w:cs="Times New Roman"/>
          <w:b/>
          <w:sz w:val="24"/>
          <w:szCs w:val="20"/>
          <w:lang w:val="pt-BR"/>
        </w:rPr>
        <w:t xml:space="preserve">: </w:t>
      </w:r>
      <w:r w:rsidRPr="007601F9">
        <w:rPr>
          <w:rFonts w:ascii="Times New Roman" w:eastAsia="Times New Roman" w:hAnsi="Times New Roman" w:cs="Times New Roman"/>
          <w:sz w:val="24"/>
          <w:szCs w:val="20"/>
          <w:lang w:val="pt-BR"/>
        </w:rPr>
        <w:t xml:space="preserve">Município de </w:t>
      </w:r>
      <w:r>
        <w:rPr>
          <w:rFonts w:ascii="Times New Roman" w:eastAsia="Times New Roman" w:hAnsi="Times New Roman" w:cs="Times New Roman"/>
          <w:sz w:val="24"/>
          <w:szCs w:val="20"/>
          <w:lang w:val="pt-BR"/>
        </w:rPr>
        <w:t>Belo Horizonte</w:t>
      </w:r>
      <w:r w:rsidRPr="007601F9">
        <w:rPr>
          <w:rFonts w:ascii="Times New Roman" w:eastAsia="Times New Roman" w:hAnsi="Times New Roman" w:cs="Times New Roman"/>
          <w:sz w:val="24"/>
          <w:szCs w:val="20"/>
          <w:lang w:val="pt-BR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0"/>
          <w:lang w:val="pt-BR"/>
        </w:rPr>
        <w:t>MINAS GERAIS</w:t>
      </w:r>
      <w:r w:rsidRPr="007601F9">
        <w:rPr>
          <w:rFonts w:ascii="Times New Roman" w:eastAsia="Times New Roman" w:hAnsi="Times New Roman" w:cs="Times New Roman"/>
          <w:sz w:val="24"/>
          <w:szCs w:val="20"/>
          <w:lang w:val="pt-BR"/>
        </w:rPr>
        <w:t xml:space="preserve"> – Brasil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1.4 </w:t>
      </w:r>
      <w:r w:rsidRPr="007601F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ab/>
        <w:t xml:space="preserve">Nome do Projeto: 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PROGRAMA DE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RECUPERACIÓN AMBIENTAL DE BELO HORIZONTE – DRENURBS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FASE </w:t>
      </w:r>
      <w:proofErr w:type="gramStart"/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1</w:t>
      </w:r>
      <w:proofErr w:type="gramEnd"/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. F</w:t>
      </w:r>
      <w:r w:rsidR="00A701E7">
        <w:rPr>
          <w:rFonts w:ascii="Times New Roman" w:eastAsia="Times New Roman" w:hAnsi="Times New Roman" w:cs="Times New Roman"/>
          <w:sz w:val="24"/>
          <w:szCs w:val="24"/>
          <w:lang w:val="pt-BR"/>
        </w:rPr>
        <w:t>INANCIAMENTO SUPLEME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NTAR</w:t>
      </w:r>
    </w:p>
    <w:p w:rsidR="007601F9" w:rsidRPr="007601F9" w:rsidRDefault="007601F9" w:rsidP="007601F9">
      <w:pPr>
        <w:keepNext/>
        <w:spacing w:after="240" w:line="240" w:lineRule="auto"/>
        <w:ind w:left="720" w:hanging="720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 xml:space="preserve">1.5 </w:t>
      </w: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ab/>
        <w:t>Número do Projeto: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 BR-L13</w:t>
      </w:r>
      <w:r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35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>II.</w:t>
      </w: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ab/>
        <w:t xml:space="preserve">Breve descrição dos objetivos e componentes do </w:t>
      </w:r>
      <w:proofErr w:type="gramStart"/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>Projeto</w:t>
      </w:r>
      <w:proofErr w:type="gramEnd"/>
    </w:p>
    <w:p w:rsidR="007601F9" w:rsidRPr="00707840" w:rsidRDefault="007601F9" w:rsidP="007601F9">
      <w:pPr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2.1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O objetivo do financiamento suplem</w:t>
      </w:r>
      <w:r w:rsidR="00707840"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e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nt</w:t>
      </w:r>
      <w:r w:rsidR="00707840"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ar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é prover de recursos adicionais para o Programa de </w:t>
      </w:r>
      <w:r w:rsidR="00707840"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Recuperação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Ambiental de Belo Horizonte (DRENURBS) – FASE </w:t>
      </w:r>
      <w:proofErr w:type="gramStart"/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1</w:t>
      </w:r>
      <w:proofErr w:type="gramEnd"/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(1563/OC-BR), com o propósito de </w:t>
      </w:r>
      <w:r w:rsidR="00707840"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garantir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o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cump</w:t>
      </w:r>
      <w:r w:rsidR="00707840"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ri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mento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com 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os objetivos 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para esse P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rograma: (i) redu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z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ir os ris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c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os de 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enchentes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; (</w:t>
      </w:r>
      <w:proofErr w:type="spellStart"/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ii</w:t>
      </w:r>
      <w:proofErr w:type="spellEnd"/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) viabilizar a </w:t>
      </w:r>
      <w:r w:rsidR="00707840"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recupera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ção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da 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qualidade d’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agua 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e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</w:t>
      </w:r>
      <w:proofErr w:type="spellStart"/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iii</w:t>
      </w:r>
      <w:proofErr w:type="spellEnd"/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) 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garantir 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a s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u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sten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ta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bilidad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e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das </w:t>
      </w:r>
      <w:r w:rsidR="00707840"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me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lhorias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ambienta</w:t>
      </w:r>
      <w:r w:rsidR="00707840">
        <w:rPr>
          <w:rFonts w:ascii="Times New Roman" w:eastAsia="Times New Roman" w:hAnsi="Times New Roman" w:cs="Times New Roman"/>
          <w:sz w:val="24"/>
          <w:szCs w:val="24"/>
          <w:lang w:val="pt-BR"/>
        </w:rPr>
        <w:t>i</w:t>
      </w:r>
      <w:r w:rsidRPr="00707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s. </w:t>
      </w:r>
    </w:p>
    <w:p w:rsidR="007601F9" w:rsidRPr="007601F9" w:rsidRDefault="007601F9" w:rsidP="007601F9">
      <w:pPr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2.2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Os investimentos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</w:t>
      </w:r>
      <w:r w:rsidR="00707840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fazem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parte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do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em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prést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i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mo suplementar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correspondem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à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conclusão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das obras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na bacia do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Bonsucesso que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não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seria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possível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x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ecutar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com a montante do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financiamento d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o empréstimo original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: i) Micro y Macro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drena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g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e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m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para 5.7 km de cursos de agua; </w:t>
      </w:r>
      <w:proofErr w:type="spellStart"/>
      <w:proofErr w:type="gramStart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ii</w:t>
      </w:r>
      <w:proofErr w:type="spellEnd"/>
      <w:proofErr w:type="gramEnd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) Red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e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esgoto sanitário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(11,2 km de redes y 11 km de interceptores para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atingir 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1.644 n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va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s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conexões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esgoto sanitário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se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rão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direcionadas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à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ETE Arrudas; (</w:t>
      </w:r>
      <w:proofErr w:type="spellStart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iii</w:t>
      </w:r>
      <w:proofErr w:type="spellEnd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) sistema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viário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(2,16 km); (</w:t>
      </w:r>
      <w:proofErr w:type="spellStart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iv</w:t>
      </w:r>
      <w:proofErr w:type="spellEnd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)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revitalização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urbana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e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implantação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áreas  de uso social (5.5 ha)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</w:t>
      </w:r>
      <w:proofErr w:type="spellStart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iv</w:t>
      </w:r>
      <w:proofErr w:type="spellEnd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)  </w:t>
      </w:r>
      <w:proofErr w:type="spellStart"/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re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localização</w:t>
      </w:r>
      <w:proofErr w:type="spellEnd"/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402 </w:t>
      </w:r>
      <w:r w:rsidR="003914DB"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famílias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moram</w:t>
      </w:r>
      <w:r w:rsidRPr="003914D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zonas de </w:t>
      </w:r>
      <w:r w:rsidR="003914DB">
        <w:rPr>
          <w:rFonts w:ascii="Times New Roman" w:eastAsia="Times New Roman" w:hAnsi="Times New Roman" w:cs="Times New Roman"/>
          <w:sz w:val="24"/>
          <w:szCs w:val="24"/>
          <w:lang w:val="pt-BR"/>
        </w:rPr>
        <w:t>enchentes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7601F9" w:rsidRPr="007601F9" w:rsidRDefault="007601F9" w:rsidP="007601F9">
      <w:pPr>
        <w:keepNext/>
        <w:spacing w:after="24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Data estimada de aprovação do Projeto pela Diretoria Executiva: </w:t>
      </w:r>
      <w:r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11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/2012.</w:t>
      </w:r>
    </w:p>
    <w:p w:rsidR="007601F9" w:rsidRPr="007601F9" w:rsidRDefault="007601F9" w:rsidP="007601F9">
      <w:pPr>
        <w:keepNext/>
        <w:spacing w:after="24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Data estimada para a assinatura do Contrato de Empréstimo: </w:t>
      </w:r>
      <w:r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03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/201</w:t>
      </w:r>
      <w:r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3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.</w:t>
      </w:r>
    </w:p>
    <w:p w:rsidR="007601F9" w:rsidRPr="007601F9" w:rsidRDefault="007601F9" w:rsidP="007601F9">
      <w:pPr>
        <w:keepNext/>
        <w:spacing w:after="24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Data estimada para o último desembolso: 0</w:t>
      </w:r>
      <w:r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3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//201</w:t>
      </w:r>
      <w:r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8</w:t>
      </w:r>
    </w:p>
    <w:p w:rsidR="007601F9" w:rsidRPr="007601F9" w:rsidRDefault="007601F9" w:rsidP="007601F9">
      <w:pPr>
        <w:keepNext/>
        <w:spacing w:after="24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</w:p>
    <w:p w:rsidR="007601F9" w:rsidRPr="007601F9" w:rsidRDefault="007601F9" w:rsidP="007601F9">
      <w:pPr>
        <w:numPr>
          <w:ilvl w:val="5"/>
          <w:numId w:val="1"/>
        </w:numPr>
        <w:tabs>
          <w:tab w:val="left" w:pos="0"/>
          <w:tab w:val="num" w:pos="720"/>
          <w:tab w:val="num" w:pos="3960"/>
        </w:tabs>
        <w:spacing w:after="240" w:line="240" w:lineRule="auto"/>
        <w:outlineLvl w:val="5"/>
        <w:rPr>
          <w:rFonts w:ascii="Times New Roman" w:eastAsia="Times New Roman" w:hAnsi="Times New Roman" w:cs="Times New Roman"/>
          <w:b/>
          <w:bCs/>
          <w:iCs/>
          <w:sz w:val="24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iCs/>
          <w:sz w:val="24"/>
          <w:lang w:val="pt-BR"/>
        </w:rPr>
        <w:br w:type="page"/>
      </w:r>
      <w:r w:rsidRPr="007601F9">
        <w:rPr>
          <w:rFonts w:ascii="Times New Roman" w:eastAsia="Times New Roman" w:hAnsi="Times New Roman" w:cs="Times New Roman"/>
          <w:b/>
          <w:bCs/>
          <w:iCs/>
          <w:sz w:val="24"/>
          <w:lang w:val="pt-BR"/>
        </w:rPr>
        <w:lastRenderedPageBreak/>
        <w:t>III.</w:t>
      </w:r>
      <w:r w:rsidRPr="007601F9">
        <w:rPr>
          <w:rFonts w:ascii="Times New Roman" w:eastAsia="Times New Roman" w:hAnsi="Times New Roman" w:cs="Times New Roman"/>
          <w:b/>
          <w:bCs/>
          <w:iCs/>
          <w:sz w:val="24"/>
          <w:lang w:val="pt-BR"/>
        </w:rPr>
        <w:tab/>
        <w:t xml:space="preserve">Plano de </w:t>
      </w:r>
      <w:proofErr w:type="gramStart"/>
      <w:r w:rsidRPr="007601F9">
        <w:rPr>
          <w:rFonts w:ascii="Times New Roman" w:eastAsia="Times New Roman" w:hAnsi="Times New Roman" w:cs="Times New Roman"/>
          <w:b/>
          <w:bCs/>
          <w:iCs/>
          <w:sz w:val="24"/>
          <w:lang w:val="pt-BR"/>
        </w:rPr>
        <w:t>Aquisições</w:t>
      </w:r>
      <w:proofErr w:type="gramEnd"/>
    </w:p>
    <w:p w:rsidR="007601F9" w:rsidRPr="007601F9" w:rsidRDefault="007601F9" w:rsidP="007601F9">
      <w:pPr>
        <w:keepNext/>
        <w:tabs>
          <w:tab w:val="left" w:pos="90"/>
          <w:tab w:val="left" w:pos="720"/>
        </w:tabs>
        <w:spacing w:after="24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>3.1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 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ab/>
      </w:r>
      <w:proofErr w:type="spellStart"/>
      <w:r w:rsidRPr="007601F9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Introdução</w:t>
      </w:r>
      <w:proofErr w:type="spellEnd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 </w:t>
      </w:r>
    </w:p>
    <w:p w:rsidR="007601F9" w:rsidRPr="007601F9" w:rsidRDefault="007601F9" w:rsidP="007601F9">
      <w:pPr>
        <w:keepNext/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sz w:val="24"/>
          <w:szCs w:val="20"/>
          <w:lang w:val="pt-BR"/>
        </w:rPr>
        <w:t>As contratações para o Projeto proposto serão realizadas de acordo com as "Políticas para a Aquisição de Obras e Bens Financiados pelo Banco Interamericano de Desenvolvimento" (GN-2349-9), de abril de 2011, e com as "Políticas para a Seleção e Contratação de Consultores Financiados pelo Banco Interamericano de Desenvolvimento" (GN-2350-9), de abril de 2011, com o estabelecido no Contrato de Empréstimo e no presente Plano de Aquisições.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 w:hanging="720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>3.2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 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ab/>
      </w:r>
      <w:r w:rsidRPr="007601F9">
        <w:rPr>
          <w:rFonts w:ascii="Times New Roman" w:eastAsia="Times New Roman" w:hAnsi="Times New Roman" w:cs="Times New Roman"/>
          <w:b/>
          <w:bCs/>
          <w:sz w:val="24"/>
          <w:szCs w:val="20"/>
          <w:lang w:val="pt-BR"/>
        </w:rPr>
        <w:t>Plano de Aquisições:</w:t>
      </w:r>
    </w:p>
    <w:p w:rsidR="007601F9" w:rsidRPr="007601F9" w:rsidRDefault="007601F9" w:rsidP="007601F9">
      <w:pPr>
        <w:keepNext/>
        <w:spacing w:after="24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O Plano de Aquisições do Programa refere-se aos primeiros 18 meses de execução do Projeto</w:t>
      </w:r>
      <w:r w:rsidRPr="007601F9">
        <w:rPr>
          <w:rFonts w:ascii="Times New Roman" w:eastAsia="Times New Roman" w:hAnsi="Times New Roman" w:cs="Times New Roman"/>
          <w:bCs/>
          <w:sz w:val="24"/>
          <w:szCs w:val="14"/>
          <w:lang w:val="pt-BR"/>
        </w:rPr>
        <w:t xml:space="preserve"> e 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foi acordado entre o Banco, a Prefeitura do Município de Maués e o Governo do Estado do Amazonas. O Plano, cujo resumo consta no Apêndice </w:t>
      </w:r>
      <w:proofErr w:type="gramStart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1</w:t>
      </w:r>
      <w:proofErr w:type="gramEnd"/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>,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 indica para cada contrato ou grupo de contratos: (i) o procedimento de aquisição de bens ou de contratação de obras ou serviços ou métodos de seleção de consultores; (</w:t>
      </w:r>
      <w:proofErr w:type="spellStart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ii</w:t>
      </w:r>
      <w:proofErr w:type="spellEnd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) os custos estimados de cada contrato ou grupo de contratos; (</w:t>
      </w:r>
      <w:proofErr w:type="spellStart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iii</w:t>
      </w:r>
      <w:proofErr w:type="spellEnd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) o requisito de revisão prévia ou posterior por parte do Banco; e (</w:t>
      </w:r>
      <w:proofErr w:type="spellStart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iv</w:t>
      </w:r>
      <w:proofErr w:type="spellEnd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) as datas estimadas para publicação dos avisos específicos de aquisições e de término dos contratos contemplados neste projeto. O Plano de Aquisições será atualizado anualmente, ou quando necessário ou requerido pelo Banco. O Plano de Aquisições detalhado estará disponível no site d</w:t>
      </w:r>
      <w:r w:rsidR="003914DB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o Município de Belo Horizonte (MBH) </w:t>
      </w:r>
      <w:r w:rsidR="003914DB" w:rsidRPr="003914DB">
        <w:rPr>
          <w:lang w:val="pt-BR"/>
        </w:rPr>
        <w:t>(</w:t>
      </w:r>
      <w:hyperlink r:id="rId7" w:history="1">
        <w:r w:rsidR="003914DB" w:rsidRPr="003914DB">
          <w:rPr>
            <w:rStyle w:val="Hyperlink"/>
            <w:b/>
            <w:lang w:val="pt-BR"/>
          </w:rPr>
          <w:t>www.pbh.gov.br</w:t>
        </w:r>
      </w:hyperlink>
      <w:r w:rsidR="003914DB" w:rsidRPr="003914DB">
        <w:rPr>
          <w:lang w:val="pt-BR"/>
        </w:rPr>
        <w:t xml:space="preserve">) </w:t>
      </w:r>
      <w:r w:rsidR="008669AD">
        <w:rPr>
          <w:rFonts w:ascii="Times New Roman" w:hAnsi="Times New Roman" w:cs="Times New Roman"/>
          <w:lang w:val="pt-BR"/>
        </w:rPr>
        <w:t>do D</w:t>
      </w:r>
      <w:r w:rsidR="003914DB" w:rsidRPr="003914DB">
        <w:rPr>
          <w:rFonts w:ascii="Times New Roman" w:hAnsi="Times New Roman" w:cs="Times New Roman"/>
          <w:lang w:val="pt-BR"/>
        </w:rPr>
        <w:t>RENURBS</w:t>
      </w:r>
      <w:r w:rsidR="003914DB">
        <w:rPr>
          <w:lang w:val="pt-BR"/>
        </w:rPr>
        <w:t xml:space="preserve"> 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e no site do Banco (</w:t>
      </w:r>
      <w:hyperlink r:id="rId8" w:history="1">
        <w:r w:rsidRPr="007601F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0"/>
            <w:u w:val="single"/>
            <w:lang w:val="pt-BR"/>
          </w:rPr>
          <w:t>www.iadb.org</w:t>
        </w:r>
      </w:hyperlink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) na seção: Informações Sobre Aquisições de Projetos.</w:t>
      </w:r>
    </w:p>
    <w:p w:rsidR="007601F9" w:rsidRPr="007601F9" w:rsidRDefault="007601F9" w:rsidP="007601F9">
      <w:pPr>
        <w:spacing w:after="24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3.3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7601F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Aquisições para o Projeto: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</w:p>
    <w:p w:rsidR="007601F9" w:rsidRPr="007601F9" w:rsidRDefault="007601F9" w:rsidP="007601F9">
      <w:pPr>
        <w:spacing w:after="24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As aquisições a serem realizadas para o desenvolvimento do projeto proposto estão descritas abaixo:</w:t>
      </w:r>
    </w:p>
    <w:p w:rsidR="007601F9" w:rsidRPr="007601F9" w:rsidRDefault="007601F9" w:rsidP="007601F9">
      <w:pPr>
        <w:numPr>
          <w:ilvl w:val="0"/>
          <w:numId w:val="4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Contratação de Obras. </w:t>
      </w:r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Para as contratações de Obras sujeitas aos procedimentos estabelecidos para Licitação Pública Internacional (LPI) </w:t>
      </w:r>
      <w:proofErr w:type="gramStart"/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serão</w:t>
      </w:r>
      <w:proofErr w:type="gramEnd"/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utilizados os Documentos Padrão de Licitação correspondentes emitidos pelo Banco (</w:t>
      </w:r>
      <w:proofErr w:type="spellStart"/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DPLs</w:t>
      </w:r>
      <w:proofErr w:type="spellEnd"/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). Nas licitações sujeitas ao método de Licitação Pública Nacional (LPN) e Comparação de Preços serão utilizados os Documentos de Licitação Nacional e Comparação de Preços acordados com o Banco. As obras a serem contratadas incluem interceptores, coletores, estações de bombeamento, redes coletoras e estações de tratamento.</w:t>
      </w:r>
    </w:p>
    <w:p w:rsidR="007601F9" w:rsidRPr="007601F9" w:rsidRDefault="007601F9" w:rsidP="007601F9">
      <w:pPr>
        <w:numPr>
          <w:ilvl w:val="0"/>
          <w:numId w:val="4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Aquisição de Bens</w:t>
      </w:r>
      <w:r w:rsidRPr="007601F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. </w:t>
      </w:r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A princípio estão previstas somente as aquisições de equipamentos de informática e veículos para a UGPM. Se forem necessárias aquisições sujeitas a Licitação Pública Internacional (LPI) serão utilizados os Documentos Padrão de </w:t>
      </w:r>
      <w:proofErr w:type="gramStart"/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Licitação correspondentes emitidos pelo Banco</w:t>
      </w:r>
      <w:proofErr w:type="gramEnd"/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(</w:t>
      </w:r>
      <w:proofErr w:type="spellStart"/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DPLs</w:t>
      </w:r>
      <w:proofErr w:type="spellEnd"/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). Nas licitações sujeitas ao método de Licitação Pública Nacional (LPN) e Comparação de Preços serão utilizados os Documentos de Licitação Nacional e Comparação de Preços acordados com o Banco, ou algum sistema de pregão aceitado pelo Banco.</w:t>
      </w:r>
    </w:p>
    <w:p w:rsidR="007601F9" w:rsidRPr="007601F9" w:rsidRDefault="007601F9" w:rsidP="007601F9">
      <w:pPr>
        <w:keepNext/>
        <w:tabs>
          <w:tab w:val="left" w:pos="90"/>
          <w:tab w:val="left" w:pos="360"/>
          <w:tab w:val="left" w:pos="1440"/>
        </w:tabs>
        <w:spacing w:after="240" w:line="240" w:lineRule="auto"/>
        <w:ind w:left="1349" w:hanging="62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</w:p>
    <w:p w:rsidR="007601F9" w:rsidRPr="007601F9" w:rsidRDefault="007601F9" w:rsidP="007601F9">
      <w:pPr>
        <w:keepNext/>
        <w:tabs>
          <w:tab w:val="left" w:pos="90"/>
          <w:tab w:val="left" w:pos="360"/>
          <w:tab w:val="left" w:pos="1440"/>
        </w:tabs>
        <w:spacing w:after="240" w:line="240" w:lineRule="auto"/>
        <w:ind w:left="1349" w:hanging="629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sz w:val="24"/>
          <w:szCs w:val="20"/>
          <w:lang w:val="pt-BR"/>
        </w:rPr>
        <w:t>C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.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ab/>
      </w:r>
      <w:r w:rsidRPr="007601F9">
        <w:rPr>
          <w:rFonts w:ascii="Times New Roman" w:eastAsia="Times New Roman" w:hAnsi="Times New Roman" w:cs="Times New Roman"/>
          <w:b/>
          <w:sz w:val="24"/>
          <w:szCs w:val="20"/>
          <w:lang w:val="pt-BR"/>
        </w:rPr>
        <w:t>Seleção e Contratação de Consultores e de Serviços de Consultoria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. Os serviços de consultoria do projeto incluem: (i) 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atividades de apoio ao gerenciamento e administração do Programa, supervisão ou fiscalização de obras, auditorias contábeis e financeiras e avaliações </w:t>
      </w:r>
      <w:proofErr w:type="gramStart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pós implantação</w:t>
      </w:r>
      <w:proofErr w:type="gramEnd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; (</w:t>
      </w:r>
      <w:proofErr w:type="spellStart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ii</w:t>
      </w:r>
      <w:proofErr w:type="spellEnd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) atividades de fortalecimento institucional abrangendo os órgãos responsáveis pela prestação, regulação e controle ambiental dos serviços; (</w:t>
      </w:r>
      <w:proofErr w:type="spellStart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iii</w:t>
      </w:r>
      <w:proofErr w:type="spellEnd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) atividades de apoio para a Prefeitura do Município de Maués para assegurar a sustentabilidade das ações de saneamento, e (</w:t>
      </w:r>
      <w:proofErr w:type="spellStart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iv</w:t>
      </w:r>
      <w:proofErr w:type="spellEnd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) atividades de apoio ao desenvolvimento de atividades produtivas e de turismo.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sz w:val="24"/>
          <w:szCs w:val="20"/>
          <w:lang w:val="pt-BR"/>
        </w:rPr>
        <w:t>3.4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ab/>
        <w:t>A Seleção de firmas de consultoria para o projeto será feita com a utilização de método padrão de Solicitação de Propostas (SDP) emitido pelo Banco. No caso de consultores individuais, a seleção será feita tendo-se em conta o estabelecido no capítulo V da Política GN-2350-9.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sz w:val="24"/>
          <w:szCs w:val="20"/>
          <w:lang w:val="pt-BR"/>
        </w:rPr>
        <w:t>3.5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ab/>
        <w:t>As Listas Curtas de Consultores para serviços de consultoria com custo estimado inferior ao equivalente a US$ 1 milhão de dólares, por contrato, poderão ser constituídas, em sua totalidade, por firmas nacionais.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sz w:val="24"/>
          <w:szCs w:val="20"/>
          <w:lang w:val="pt-BR"/>
        </w:rPr>
        <w:t>3.6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ab/>
      </w:r>
      <w:r w:rsidRPr="007601F9">
        <w:rPr>
          <w:rFonts w:ascii="Times New Roman" w:eastAsia="Times New Roman" w:hAnsi="Times New Roman" w:cs="Times New Roman"/>
          <w:b/>
          <w:bCs/>
          <w:sz w:val="24"/>
          <w:szCs w:val="20"/>
          <w:lang w:val="pt-BR"/>
        </w:rPr>
        <w:t>Custos Operacionais</w:t>
      </w: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. Os custos operacionais abaixo discriminados serão suportados pelo Mutuário e/ou pelo Executor e não contabilizados no Programa.</w:t>
      </w:r>
    </w:p>
    <w:p w:rsidR="007601F9" w:rsidRPr="007601F9" w:rsidRDefault="007601F9" w:rsidP="007601F9">
      <w:pPr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Remuneração de integrantes da UGPM. </w:t>
      </w:r>
      <w:proofErr w:type="gramStart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e</w:t>
      </w:r>
      <w:proofErr w:type="gramEnd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da Equipe de Apoio da SEINFRA</w:t>
      </w:r>
    </w:p>
    <w:p w:rsidR="007601F9" w:rsidRPr="007601F9" w:rsidRDefault="007601F9" w:rsidP="007601F9">
      <w:pPr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Material de consumo</w:t>
      </w:r>
    </w:p>
    <w:p w:rsidR="007601F9" w:rsidRPr="007601F9" w:rsidRDefault="007601F9" w:rsidP="007601F9">
      <w:pPr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Outros eventuais não previstos.</w:t>
      </w:r>
    </w:p>
    <w:p w:rsidR="007601F9" w:rsidRPr="007601F9" w:rsidRDefault="007601F9" w:rsidP="007601F9">
      <w:pPr>
        <w:keepNext/>
        <w:tabs>
          <w:tab w:val="left" w:pos="0"/>
          <w:tab w:val="left" w:pos="90"/>
        </w:tabs>
        <w:spacing w:after="24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sz w:val="24"/>
          <w:szCs w:val="20"/>
          <w:lang w:val="pt-BR"/>
        </w:rPr>
        <w:t>Outros custos operacionais do Projeto que vierem a ser financiados pelo Banco poderão ser contratados com base nos procedimentos habitualmente empregados pelo Executor, uma vez que tenham sido previamente examinados pelo Banco e considerados satisfatórios.</w:t>
      </w:r>
    </w:p>
    <w:p w:rsidR="007601F9" w:rsidRPr="007601F9" w:rsidRDefault="007601F9" w:rsidP="007601F9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3.7</w:t>
      </w:r>
      <w:r w:rsidRPr="007601F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ab/>
      </w:r>
      <w:r w:rsidRPr="007601F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Revisão por parte do Banco das Decisões em Matéria de Contratações.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</w:p>
    <w:p w:rsidR="007601F9" w:rsidRPr="007601F9" w:rsidRDefault="007601F9" w:rsidP="007601F9">
      <w:pPr>
        <w:autoSpaceDE w:val="0"/>
        <w:autoSpaceDN w:val="0"/>
        <w:adjustRightInd w:val="0"/>
        <w:spacing w:after="24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Os seguintes contratos estarão sujeitos </w:t>
      </w:r>
      <w:proofErr w:type="gramStart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a</w:t>
      </w:r>
      <w:proofErr w:type="gramEnd"/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revisão prévia (“</w:t>
      </w:r>
      <w:proofErr w:type="spellStart"/>
      <w:r w:rsidRPr="007601F9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ex</w:t>
      </w:r>
      <w:proofErr w:type="spellEnd"/>
      <w:r w:rsidRPr="007601F9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ante</w:t>
      </w:r>
      <w:r w:rsidRPr="007601F9">
        <w:rPr>
          <w:rFonts w:ascii="Times New Roman" w:eastAsia="Times New Roman" w:hAnsi="Times New Roman" w:cs="Times New Roman"/>
          <w:sz w:val="24"/>
          <w:szCs w:val="24"/>
          <w:lang w:val="pt-BR"/>
        </w:rPr>
        <w:t>”) por parte do Banco, conforme o Anexo I das Políticas de Aquisições de Obras e Bens e de Seleção de Consultores, respectivamente, e segundo estabelecido no quadro do Plano de Aquisições:</w:t>
      </w:r>
    </w:p>
    <w:p w:rsidR="007601F9" w:rsidRPr="007601F9" w:rsidRDefault="007601F9" w:rsidP="007601F9">
      <w:pPr>
        <w:keepNext/>
        <w:numPr>
          <w:ilvl w:val="0"/>
          <w:numId w:val="3"/>
        </w:numPr>
        <w:tabs>
          <w:tab w:val="num" w:pos="1440"/>
        </w:tabs>
        <w:spacing w:after="24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lastRenderedPageBreak/>
        <w:t>LPI de obras com custo total estimado igual ou superior ao equivalente US$ 25 milhões (vinte e cinco milhões de dólares).</w:t>
      </w:r>
    </w:p>
    <w:p w:rsidR="007601F9" w:rsidRPr="007601F9" w:rsidRDefault="007601F9" w:rsidP="007601F9">
      <w:pPr>
        <w:keepNext/>
        <w:numPr>
          <w:ilvl w:val="0"/>
          <w:numId w:val="3"/>
        </w:numPr>
        <w:tabs>
          <w:tab w:val="num" w:pos="1440"/>
        </w:tabs>
        <w:spacing w:after="24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LPI de bens com custo total estimado igual ou superior ao equivalente US$ 5.000.000 (cinco</w:t>
      </w:r>
      <w:proofErr w:type="gramStart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  </w:t>
      </w:r>
      <w:proofErr w:type="gramEnd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milhões de dólares).</w:t>
      </w:r>
    </w:p>
    <w:p w:rsidR="007601F9" w:rsidRPr="007601F9" w:rsidRDefault="007601F9" w:rsidP="007601F9">
      <w:pPr>
        <w:keepNext/>
        <w:numPr>
          <w:ilvl w:val="0"/>
          <w:numId w:val="3"/>
        </w:numPr>
        <w:tabs>
          <w:tab w:val="num" w:pos="1440"/>
        </w:tabs>
        <w:spacing w:after="24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Toda Contratação Direta de bens e obras.</w:t>
      </w:r>
    </w:p>
    <w:p w:rsidR="007601F9" w:rsidRPr="007601F9" w:rsidRDefault="007601F9" w:rsidP="007601F9">
      <w:pPr>
        <w:keepNext/>
        <w:numPr>
          <w:ilvl w:val="0"/>
          <w:numId w:val="3"/>
        </w:numPr>
        <w:tabs>
          <w:tab w:val="num" w:pos="1440"/>
        </w:tabs>
        <w:spacing w:after="24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Contratos de Serviços de Consultoria com Empresas, cujo custo total estimado seja igual ou superior ao equivalente a US$ 1 milhão dólares.</w:t>
      </w:r>
    </w:p>
    <w:p w:rsidR="007601F9" w:rsidRPr="007601F9" w:rsidRDefault="007601F9" w:rsidP="007601F9">
      <w:pPr>
        <w:keepNext/>
        <w:numPr>
          <w:ilvl w:val="0"/>
          <w:numId w:val="3"/>
        </w:numPr>
        <w:tabs>
          <w:tab w:val="num" w:pos="1440"/>
        </w:tabs>
        <w:spacing w:after="24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Contratos com Consultores Individuais, cujo custo total estimado seja igual ou superior ao equivalente a US$ 100 mil (cem mil dólares</w:t>
      </w:r>
      <w:proofErr w:type="gramStart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)</w:t>
      </w:r>
      <w:proofErr w:type="gramEnd"/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 xml:space="preserve"> </w:t>
      </w:r>
    </w:p>
    <w:p w:rsidR="007601F9" w:rsidRPr="007601F9" w:rsidRDefault="007601F9" w:rsidP="007601F9">
      <w:pPr>
        <w:keepNext/>
        <w:numPr>
          <w:ilvl w:val="0"/>
          <w:numId w:val="3"/>
        </w:numPr>
        <w:tabs>
          <w:tab w:val="num" w:pos="1440"/>
        </w:tabs>
        <w:spacing w:after="24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</w:pPr>
      <w:r w:rsidRPr="007601F9">
        <w:rPr>
          <w:rFonts w:ascii="Times New Roman" w:eastAsia="Times New Roman" w:hAnsi="Times New Roman" w:cs="Times New Roman"/>
          <w:bCs/>
          <w:sz w:val="24"/>
          <w:szCs w:val="20"/>
          <w:lang w:val="pt-BR"/>
        </w:rPr>
        <w:t>Toda Contratação Direta de firmas de consultoria e consultores individuais.</w:t>
      </w:r>
    </w:p>
    <w:p w:rsidR="007601F9" w:rsidRPr="007601F9" w:rsidRDefault="007601F9" w:rsidP="007601F9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3914DB" w:rsidRDefault="003914DB">
      <w:pPr>
        <w:rPr>
          <w:lang w:val="pt-BR"/>
        </w:rPr>
        <w:sectPr w:rsidR="003914D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4491" w:type="dxa"/>
        <w:tblInd w:w="93" w:type="dxa"/>
        <w:tblLook w:val="04A0" w:firstRow="1" w:lastRow="0" w:firstColumn="1" w:lastColumn="0" w:noHBand="0" w:noVBand="1"/>
      </w:tblPr>
      <w:tblGrid>
        <w:gridCol w:w="1138"/>
        <w:gridCol w:w="1672"/>
        <w:gridCol w:w="1255"/>
        <w:gridCol w:w="1061"/>
        <w:gridCol w:w="883"/>
        <w:gridCol w:w="933"/>
        <w:gridCol w:w="933"/>
        <w:gridCol w:w="1250"/>
        <w:gridCol w:w="1205"/>
        <w:gridCol w:w="960"/>
        <w:gridCol w:w="960"/>
        <w:gridCol w:w="1061"/>
        <w:gridCol w:w="961"/>
        <w:gridCol w:w="1061"/>
      </w:tblGrid>
      <w:tr w:rsidR="0096598B" w:rsidRPr="0096598B" w:rsidTr="0096598B">
        <w:trPr>
          <w:trHeight w:val="750"/>
        </w:trPr>
        <w:tc>
          <w:tcPr>
            <w:tcW w:w="1449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 xml:space="preserve">Programa de Recuperação Ambiental de Belo Horizonte–DRENURBS Fase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1</w:t>
            </w:r>
            <w:proofErr w:type="gramEnd"/>
          </w:p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Financiamento Suplementar</w:t>
            </w:r>
          </w:p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Projeto BID BR-L1314</w:t>
            </w:r>
          </w:p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Plano de Aquisições</w:t>
            </w:r>
          </w:p>
        </w:tc>
      </w:tr>
      <w:tr w:rsidR="0096598B" w:rsidRPr="0096598B" w:rsidTr="0096598B">
        <w:trPr>
          <w:trHeight w:val="420"/>
        </w:trPr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bookmarkStart w:id="1" w:name="RANGE!A3:N50"/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Nº.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de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 Referência</w:t>
            </w:r>
            <w:bookmarkEnd w:id="1"/>
          </w:p>
        </w:tc>
        <w:tc>
          <w:tcPr>
            <w:tcW w:w="181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Descrição do Contrato</w:t>
            </w:r>
          </w:p>
        </w:tc>
        <w:tc>
          <w:tcPr>
            <w:tcW w:w="1048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Estimativa de Custo (US$*1.000)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Método de Aquisição</w:t>
            </w:r>
          </w:p>
        </w:tc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Revisão</w:t>
            </w:r>
          </w:p>
        </w:tc>
        <w:tc>
          <w:tcPr>
            <w:tcW w:w="1916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Fonte de Financiamento Porcentagem</w:t>
            </w:r>
          </w:p>
        </w:tc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Pré-qualificação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Preferência Doméstica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Datas Esperada (trimestre)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Comentá-rios e Situação*</w:t>
            </w:r>
          </w:p>
        </w:tc>
      </w:tr>
      <w:tr w:rsidR="0096598B" w:rsidRPr="0096598B" w:rsidTr="0096598B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9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38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9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38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(ex-ante / ex-post)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(Sim/Não)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(Sim / Não)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Publicação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Abertura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Término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 BID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LOCAL</w:t>
            </w: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AEA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Propostas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proofErr w:type="gramStart"/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do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 CT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70"/>
        </w:trPr>
        <w:tc>
          <w:tcPr>
            <w:tcW w:w="1449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1.    </w:t>
            </w: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pt-BR"/>
              </w:rPr>
              <w:t>Bens</w:t>
            </w: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</w:tr>
      <w:tr w:rsidR="0096598B" w:rsidRPr="0096598B" w:rsidTr="0096598B">
        <w:trPr>
          <w:trHeight w:val="750"/>
        </w:trPr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1.1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Equipamentos de informática e softwares para UEP-DRENURBS-SUPLEMENTAR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     34.29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100.00%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4°/2012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55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3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6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70"/>
        </w:trPr>
        <w:tc>
          <w:tcPr>
            <w:tcW w:w="14491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2.    </w:t>
            </w: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pt-BR"/>
              </w:rPr>
              <w:t>Obras</w:t>
            </w:r>
          </w:p>
        </w:tc>
      </w:tr>
      <w:tr w:rsidR="0096598B" w:rsidRPr="0096598B" w:rsidTr="0096598B">
        <w:trPr>
          <w:trHeight w:val="1125"/>
        </w:trPr>
        <w:tc>
          <w:tcPr>
            <w:tcW w:w="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2.1</w:t>
            </w:r>
          </w:p>
        </w:tc>
        <w:tc>
          <w:tcPr>
            <w:tcW w:w="1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Obras de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na Bacia Bonsucesso.</w:t>
            </w:r>
          </w:p>
        </w:tc>
        <w:tc>
          <w:tcPr>
            <w:tcW w:w="10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9,608.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98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</w:t>
            </w:r>
          </w:p>
        </w:tc>
        <w:tc>
          <w:tcPr>
            <w:tcW w:w="9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100.00%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1º/2012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2º/2012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3º/2013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60"/>
        </w:trPr>
        <w:tc>
          <w:tcPr>
            <w:tcW w:w="9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1260"/>
        </w:trPr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2.2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Obras de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na Bacia Bonsucesso.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14,675.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24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100.00%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3º/2012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4º/2012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3º/2014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6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330"/>
        </w:trPr>
        <w:tc>
          <w:tcPr>
            <w:tcW w:w="3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3.    </w:t>
            </w: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pt-BR"/>
              </w:rPr>
              <w:t>Consultorias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</w:tr>
      <w:tr w:rsidR="0096598B" w:rsidRPr="0096598B" w:rsidTr="0096598B">
        <w:trPr>
          <w:trHeight w:val="1680"/>
        </w:trPr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3.1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Serviço 1- Serviços técnicos especializados de apoio e transferência de tecnologia ao gerenciamento do DRENURBS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-SUPLEMENTAR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4,257.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14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 (SBQC)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80.00%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20%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1680"/>
        </w:trPr>
        <w:tc>
          <w:tcPr>
            <w:tcW w:w="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lastRenderedPageBreak/>
              <w:t>3.2</w:t>
            </w:r>
          </w:p>
        </w:tc>
        <w:tc>
          <w:tcPr>
            <w:tcW w:w="1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Serviço 2 - Auditoria do Programa</w:t>
            </w:r>
          </w:p>
        </w:tc>
        <w:tc>
          <w:tcPr>
            <w:tcW w:w="10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   299.96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 (SBC)</w:t>
            </w:r>
          </w:p>
        </w:tc>
        <w:tc>
          <w:tcPr>
            <w:tcW w:w="9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100.00%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2°/2012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4°/2014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6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1680"/>
        </w:trPr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3.3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Serviço 3 - Supervisão e controle tecnológico das obras civis e de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infra-estrutura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urbana da Bacia do Córrego Bonsucesso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2,331.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43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LPI (SBQC)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100.00%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1°/2013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330"/>
        </w:trPr>
        <w:tc>
          <w:tcPr>
            <w:tcW w:w="3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3.    </w:t>
            </w: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pt-BR"/>
              </w:rPr>
              <w:t>Consultorias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</w:tr>
      <w:tr w:rsidR="0096598B" w:rsidRPr="0096598B" w:rsidTr="0096598B">
        <w:trPr>
          <w:trHeight w:val="1680"/>
        </w:trPr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3.4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Serviço 4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- Serviços de monitoramento da qualidade de água.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   274.69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 (SBQC)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100%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4°/2014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6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1680"/>
        </w:trPr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3.5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Serviço 5 -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Projeto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de Trabalho </w:t>
            </w:r>
            <w:proofErr w:type="spell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Tecnico</w:t>
            </w:r>
            <w:proofErr w:type="spell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e Social - PPTS (Educação Ambiental, PDR e Mobilização e Comunicação Social)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2,200.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51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 (SBQC)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100.00%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1°/2014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1680"/>
        </w:trPr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3.6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Serviço 6 - Consultoria em Gestão </w:t>
            </w:r>
            <w:proofErr w:type="spell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Sócio-Ambiental</w:t>
            </w:r>
            <w:proofErr w:type="spellEnd"/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   207.86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 (LCN)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100%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6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1680"/>
        </w:trPr>
        <w:tc>
          <w:tcPr>
            <w:tcW w:w="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lastRenderedPageBreak/>
              <w:t>3.7</w:t>
            </w:r>
          </w:p>
        </w:tc>
        <w:tc>
          <w:tcPr>
            <w:tcW w:w="1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Serviço 7 - Sustentação do Sistema do Banco de Dados Hidrológico</w:t>
            </w:r>
          </w:p>
        </w:tc>
        <w:tc>
          <w:tcPr>
            <w:tcW w:w="10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   137.14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 (LCN)</w:t>
            </w:r>
          </w:p>
        </w:tc>
        <w:tc>
          <w:tcPr>
            <w:tcW w:w="9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100%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3°/2012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3°/2014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3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6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1680"/>
        </w:trPr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3.8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Serviço 8 - Capacitação em</w:t>
            </w:r>
            <w:proofErr w:type="gramStart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</w:t>
            </w:r>
            <w:proofErr w:type="gramEnd"/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Drenagem Urbana 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       571.43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  <w:t>LPN (LCN)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Ex-post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100%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0%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Não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2°/2014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96598B" w:rsidTr="0096598B">
        <w:trPr>
          <w:trHeight w:val="270"/>
        </w:trPr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</w:tr>
      <w:tr w:rsidR="0096598B" w:rsidRPr="00A701E7" w:rsidTr="0096598B">
        <w:trPr>
          <w:trHeight w:val="315"/>
        </w:trPr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6598B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 * P (pendente) EP (em processo) AD (adjudicado) A (alterado) R (realizado)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8B" w:rsidRPr="0096598B" w:rsidRDefault="0096598B" w:rsidP="0096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</w:tc>
      </w:tr>
    </w:tbl>
    <w:p w:rsidR="00017238" w:rsidRPr="007601F9" w:rsidRDefault="00017238">
      <w:pPr>
        <w:rPr>
          <w:lang w:val="pt-BR"/>
        </w:rPr>
      </w:pPr>
    </w:p>
    <w:sectPr w:rsidR="00017238" w:rsidRPr="007601F9" w:rsidSect="0096598B">
      <w:pgSz w:w="24480" w:h="15840" w:orient="landscape" w:code="1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6536"/>
    <w:multiLevelType w:val="hybridMultilevel"/>
    <w:tmpl w:val="29BA1F4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4A3E19"/>
    <w:multiLevelType w:val="hybridMultilevel"/>
    <w:tmpl w:val="40D210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2BA2ED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lang w:val="pt-BR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79533A"/>
    <w:multiLevelType w:val="multilevel"/>
    <w:tmpl w:val="B54C966C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4C78699B"/>
    <w:multiLevelType w:val="hybridMultilevel"/>
    <w:tmpl w:val="D21E4802"/>
    <w:lvl w:ilvl="0" w:tplc="56F211BC">
      <w:start w:val="1"/>
      <w:numFmt w:val="upp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F9"/>
    <w:rsid w:val="00017238"/>
    <w:rsid w:val="00123EC5"/>
    <w:rsid w:val="003914DB"/>
    <w:rsid w:val="00451594"/>
    <w:rsid w:val="00707840"/>
    <w:rsid w:val="007601F9"/>
    <w:rsid w:val="008669AD"/>
    <w:rsid w:val="0096598B"/>
    <w:rsid w:val="00A701E7"/>
    <w:rsid w:val="00D0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Heading">
    <w:name w:val="FirstHeading"/>
    <w:basedOn w:val="Normal"/>
    <w:rsid w:val="007601F9"/>
    <w:pPr>
      <w:keepNext/>
      <w:numPr>
        <w:numId w:val="1"/>
      </w:numPr>
      <w:tabs>
        <w:tab w:val="left" w:pos="0"/>
        <w:tab w:val="left" w:pos="90"/>
      </w:tabs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s-ES"/>
    </w:rPr>
  </w:style>
  <w:style w:type="paragraph" w:customStyle="1" w:styleId="SecHeading">
    <w:name w:val="SecHeading"/>
    <w:basedOn w:val="Normal"/>
    <w:next w:val="Normal"/>
    <w:rsid w:val="007601F9"/>
    <w:pPr>
      <w:keepNext/>
      <w:numPr>
        <w:ilvl w:val="1"/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2">
    <w:name w:val="Subheading2"/>
    <w:basedOn w:val="SecHeading"/>
    <w:rsid w:val="007601F9"/>
    <w:pPr>
      <w:numPr>
        <w:ilvl w:val="3"/>
      </w:numPr>
    </w:pPr>
  </w:style>
  <w:style w:type="character" w:styleId="Hyperlink">
    <w:name w:val="Hyperlink"/>
    <w:uiPriority w:val="99"/>
    <w:rsid w:val="003914DB"/>
    <w:rPr>
      <w:rFonts w:ascii="Times New Roman" w:hAnsi="Times New Roman"/>
      <w:color w:val="0000FF"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Heading">
    <w:name w:val="FirstHeading"/>
    <w:basedOn w:val="Normal"/>
    <w:rsid w:val="007601F9"/>
    <w:pPr>
      <w:keepNext/>
      <w:numPr>
        <w:numId w:val="1"/>
      </w:numPr>
      <w:tabs>
        <w:tab w:val="left" w:pos="0"/>
        <w:tab w:val="left" w:pos="90"/>
      </w:tabs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s-ES"/>
    </w:rPr>
  </w:style>
  <w:style w:type="paragraph" w:customStyle="1" w:styleId="SecHeading">
    <w:name w:val="SecHeading"/>
    <w:basedOn w:val="Normal"/>
    <w:next w:val="Normal"/>
    <w:rsid w:val="007601F9"/>
    <w:pPr>
      <w:keepNext/>
      <w:numPr>
        <w:ilvl w:val="1"/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2">
    <w:name w:val="Subheading2"/>
    <w:basedOn w:val="SecHeading"/>
    <w:rsid w:val="007601F9"/>
    <w:pPr>
      <w:numPr>
        <w:ilvl w:val="3"/>
      </w:numPr>
    </w:pPr>
  </w:style>
  <w:style w:type="character" w:styleId="Hyperlink">
    <w:name w:val="Hyperlink"/>
    <w:uiPriority w:val="99"/>
    <w:rsid w:val="003914DB"/>
    <w:rPr>
      <w:rFonts w:ascii="Times New Roman" w:hAnsi="Times New Roman"/>
      <w:color w:val="0000FF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6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db.org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://www.pbh.gov.br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00DD25F4D5A524A94A1DDCD670E1612" ma:contentTypeVersion="0" ma:contentTypeDescription="A content type to manage public (operations) IDB documents" ma:contentTypeScope="" ma:versionID="c16d3723ff2161c3ba0b1f24f8bc96a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INE/WSA</Division_x0020_or_x0020_Unit>
    <Other_x0020_Author xmlns="9c571b2f-e523-4ab2-ba2e-09e151a03ef4" xsi:nil="true"/>
    <Region xmlns="9c571b2f-e523-4ab2-ba2e-09e151a03ef4" xsi:nil="true"/>
    <IDBDocs_x0020_Number xmlns="9c571b2f-e523-4ab2-ba2e-09e151a03ef4">37056777</IDBDocs_x0020_Number>
    <Document_x0020_Author xmlns="9c571b2f-e523-4ab2-ba2e-09e151a03ef4">Mellinger, Yvon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2012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BR-L1335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Directors&lt;/APPROVAL_DESC&gt;&lt;PD_OBJ_TYPE&gt;0&lt;/PD_OBJ_TYPE&gt;&lt;DTAPPROVAL&gt;Jul 24 2013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OS-ASR</Webtopic>
    <Identifier xmlns="9c571b2f-e523-4ab2-ba2e-09e151a03ef4"> ANNEX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C79C12F6-F893-496D-87B9-3092D7BD4960}"/>
</file>

<file path=customXml/itemProps2.xml><?xml version="1.0" encoding="utf-8"?>
<ds:datastoreItem xmlns:ds="http://schemas.openxmlformats.org/officeDocument/2006/customXml" ds:itemID="{CE983834-1F7A-4383-9DA4-751BC589F980}"/>
</file>

<file path=customXml/itemProps3.xml><?xml version="1.0" encoding="utf-8"?>
<ds:datastoreItem xmlns:ds="http://schemas.openxmlformats.org/officeDocument/2006/customXml" ds:itemID="{98110181-BF25-4A73-A71E-C242860EF81E}"/>
</file>

<file path=customXml/itemProps4.xml><?xml version="1.0" encoding="utf-8"?>
<ds:datastoreItem xmlns:ds="http://schemas.openxmlformats.org/officeDocument/2006/customXml" ds:itemID="{AC115A91-1D1A-4A7A-B7C4-04AE553FADC7}"/>
</file>

<file path=customXml/itemProps5.xml><?xml version="1.0" encoding="utf-8"?>
<ds:datastoreItem xmlns:ds="http://schemas.openxmlformats.org/officeDocument/2006/customXml" ds:itemID="{4E430591-00C4-4848-9FBC-E04D019F7377}"/>
</file>

<file path=customXml/itemProps6.xml><?xml version="1.0" encoding="utf-8"?>
<ds:datastoreItem xmlns:ds="http://schemas.openxmlformats.org/officeDocument/2006/customXml" ds:itemID="{18D288F1-381F-4C75-BA57-4A3286AC9E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1529</Words>
  <Characters>8384</Characters>
  <Application>Microsoft Office Word</Application>
  <DocSecurity>0</DocSecurity>
  <Lines>838</Lines>
  <Paragraphs>300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Requerido 4_ Plan de Adquisiciones BR-L1335</dc:title>
  <dc:creator>Inter-American Development Bank</dc:creator>
  <cp:lastModifiedBy>Inter-American Development Bank</cp:lastModifiedBy>
  <cp:revision>5</cp:revision>
  <dcterms:created xsi:type="dcterms:W3CDTF">2012-08-21T19:50:00Z</dcterms:created>
  <dcterms:modified xsi:type="dcterms:W3CDTF">2012-11-08T16:20:00Z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0x01010046CF21643EE8D14686A648AA6DAD089200500DD25F4D5A524A94A1DDCD670E1612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