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C3D2A" w14:textId="77777777" w:rsidR="005268C2" w:rsidRDefault="005268C2" w:rsidP="005268C2">
      <w:pPr>
        <w:pStyle w:val="Title"/>
        <w:tabs>
          <w:tab w:val="left" w:pos="720"/>
        </w:tabs>
        <w:spacing w:line="360" w:lineRule="auto"/>
        <w:outlineLvl w:val="9"/>
        <w:rPr>
          <w:rFonts w:ascii="Arial" w:hAnsi="Arial" w:cs="Arial"/>
          <w:smallCaps/>
          <w:sz w:val="22"/>
          <w:szCs w:val="22"/>
          <w:lang w:val="es-ES"/>
        </w:rPr>
      </w:pPr>
      <w:r>
        <w:rPr>
          <w:rFonts w:ascii="Arial" w:hAnsi="Arial" w:cs="Arial"/>
          <w:smallCaps/>
          <w:sz w:val="22"/>
          <w:szCs w:val="22"/>
          <w:lang w:val="es-ES"/>
        </w:rPr>
        <w:t>Documento del Banco Interamericano de Desarrollo</w:t>
      </w:r>
    </w:p>
    <w:p w14:paraId="0E8C3D2B" w14:textId="77777777" w:rsidR="005268C2" w:rsidRDefault="005268C2" w:rsidP="005268C2">
      <w:pPr>
        <w:pStyle w:val="ListParagraph"/>
        <w:spacing w:before="120" w:after="0" w:line="360" w:lineRule="auto"/>
        <w:ind w:left="0"/>
        <w:jc w:val="center"/>
        <w:rPr>
          <w:rFonts w:ascii="Arial" w:hAnsi="Arial" w:cs="Arial"/>
          <w:b/>
          <w:lang w:val="es-ES"/>
        </w:rPr>
      </w:pPr>
      <w:bookmarkStart w:id="0" w:name="_GoBack"/>
      <w:bookmarkEnd w:id="0"/>
    </w:p>
    <w:p w14:paraId="0E8C3D2C" w14:textId="77777777" w:rsidR="005268C2" w:rsidRDefault="005268C2" w:rsidP="005268C2">
      <w:pPr>
        <w:tabs>
          <w:tab w:val="left" w:pos="1440"/>
          <w:tab w:val="left" w:pos="3060"/>
        </w:tabs>
        <w:spacing w:line="360" w:lineRule="auto"/>
        <w:jc w:val="center"/>
        <w:rPr>
          <w:rFonts w:ascii="Arial" w:hAnsi="Arial" w:cs="Arial"/>
          <w:b/>
          <w:smallCaps/>
          <w:lang w:val="es-ES"/>
        </w:rPr>
      </w:pPr>
    </w:p>
    <w:p w14:paraId="0E8C3D2D" w14:textId="77777777" w:rsidR="005268C2" w:rsidRDefault="005268C2" w:rsidP="005268C2">
      <w:pPr>
        <w:tabs>
          <w:tab w:val="left" w:pos="1440"/>
          <w:tab w:val="left" w:pos="3060"/>
        </w:tabs>
        <w:spacing w:line="360" w:lineRule="auto"/>
        <w:jc w:val="center"/>
        <w:rPr>
          <w:rFonts w:ascii="Arial" w:hAnsi="Arial" w:cs="Arial"/>
          <w:b/>
          <w:smallCaps/>
          <w:lang w:val="es-ES"/>
        </w:rPr>
      </w:pPr>
    </w:p>
    <w:p w14:paraId="0E8C3D2E" w14:textId="77777777" w:rsidR="005268C2" w:rsidRPr="00251A1E" w:rsidRDefault="005268C2" w:rsidP="005268C2">
      <w:pPr>
        <w:tabs>
          <w:tab w:val="left" w:pos="1440"/>
          <w:tab w:val="left" w:pos="3060"/>
        </w:tabs>
        <w:spacing w:line="360" w:lineRule="auto"/>
        <w:jc w:val="center"/>
        <w:rPr>
          <w:rFonts w:ascii="Arial" w:hAnsi="Arial" w:cs="Arial"/>
          <w:b/>
          <w:smallCaps/>
          <w:lang w:val="es-ES"/>
        </w:rPr>
      </w:pPr>
      <w:r w:rsidRPr="00251A1E">
        <w:rPr>
          <w:rFonts w:ascii="Arial" w:hAnsi="Arial" w:cs="Arial"/>
          <w:b/>
          <w:smallCaps/>
          <w:lang w:val="es-ES"/>
        </w:rPr>
        <w:t>Perú</w:t>
      </w:r>
    </w:p>
    <w:p w14:paraId="0E8C3D2F" w14:textId="77777777" w:rsidR="005268C2" w:rsidRDefault="005268C2" w:rsidP="005268C2">
      <w:pPr>
        <w:tabs>
          <w:tab w:val="left" w:pos="1440"/>
          <w:tab w:val="left" w:pos="3060"/>
        </w:tabs>
        <w:spacing w:line="360" w:lineRule="auto"/>
        <w:jc w:val="center"/>
        <w:rPr>
          <w:rFonts w:ascii="Arial" w:hAnsi="Arial" w:cs="Arial"/>
          <w:b/>
          <w:smallCaps/>
          <w:highlight w:val="lightGray"/>
          <w:lang w:val="es-ES"/>
        </w:rPr>
      </w:pPr>
    </w:p>
    <w:p w14:paraId="0E8C3D30" w14:textId="77777777" w:rsidR="005268C2" w:rsidRDefault="005268C2" w:rsidP="005268C2">
      <w:pPr>
        <w:tabs>
          <w:tab w:val="left" w:pos="1440"/>
          <w:tab w:val="left" w:pos="3060"/>
        </w:tabs>
        <w:spacing w:line="360" w:lineRule="auto"/>
        <w:jc w:val="center"/>
        <w:rPr>
          <w:rFonts w:ascii="Arial" w:hAnsi="Arial" w:cs="Arial"/>
          <w:b/>
          <w:smallCaps/>
          <w:highlight w:val="lightGray"/>
          <w:lang w:val="es-ES"/>
        </w:rPr>
      </w:pPr>
    </w:p>
    <w:p w14:paraId="0E8C3D31" w14:textId="1AAD1334" w:rsidR="00251A1E" w:rsidRPr="00046E14" w:rsidRDefault="00251A1E" w:rsidP="00251A1E">
      <w:pPr>
        <w:tabs>
          <w:tab w:val="left" w:pos="1440"/>
          <w:tab w:val="left" w:pos="3060"/>
        </w:tabs>
        <w:jc w:val="center"/>
        <w:rPr>
          <w:rFonts w:ascii="Arial" w:hAnsi="Arial" w:cs="Arial"/>
          <w:b/>
          <w:smallCaps/>
          <w:sz w:val="28"/>
          <w:szCs w:val="28"/>
          <w:lang w:val="es-ES"/>
        </w:rPr>
      </w:pPr>
      <w:bookmarkStart w:id="1" w:name="_Hlk490152367"/>
      <w:r w:rsidRPr="00B91703">
        <w:rPr>
          <w:rFonts w:ascii="Arial" w:hAnsi="Arial" w:cs="Arial"/>
          <w:b/>
          <w:smallCaps/>
          <w:sz w:val="28"/>
          <w:szCs w:val="28"/>
          <w:lang w:val="es-ES"/>
        </w:rPr>
        <w:t>Proyecto de Mejora</w:t>
      </w:r>
      <w:r>
        <w:rPr>
          <w:rFonts w:ascii="Arial" w:hAnsi="Arial" w:cs="Arial"/>
          <w:b/>
          <w:smallCaps/>
          <w:sz w:val="28"/>
          <w:szCs w:val="28"/>
          <w:lang w:val="es-ES"/>
        </w:rPr>
        <w:t>miento y Ampliación</w:t>
      </w:r>
      <w:r w:rsidRPr="00B91703">
        <w:rPr>
          <w:rFonts w:ascii="Arial" w:hAnsi="Arial" w:cs="Arial"/>
          <w:b/>
          <w:smallCaps/>
          <w:sz w:val="28"/>
          <w:szCs w:val="28"/>
          <w:lang w:val="es-ES"/>
        </w:rPr>
        <w:t xml:space="preserve"> de </w:t>
      </w:r>
      <w:r>
        <w:rPr>
          <w:rFonts w:ascii="Arial" w:hAnsi="Arial" w:cs="Arial"/>
          <w:b/>
          <w:smallCaps/>
          <w:sz w:val="28"/>
          <w:szCs w:val="28"/>
          <w:lang w:val="es-ES"/>
        </w:rPr>
        <w:t xml:space="preserve">los </w:t>
      </w:r>
      <w:r w:rsidRPr="00B91703">
        <w:rPr>
          <w:rFonts w:ascii="Arial" w:hAnsi="Arial" w:cs="Arial"/>
          <w:b/>
          <w:smallCaps/>
          <w:sz w:val="28"/>
          <w:szCs w:val="28"/>
          <w:lang w:val="es-ES"/>
        </w:rPr>
        <w:t>Servicios</w:t>
      </w:r>
      <w:r>
        <w:rPr>
          <w:rFonts w:ascii="Arial" w:hAnsi="Arial" w:cs="Arial"/>
          <w:b/>
          <w:smallCaps/>
          <w:sz w:val="28"/>
          <w:szCs w:val="28"/>
          <w:lang w:val="es-ES"/>
        </w:rPr>
        <w:t xml:space="preserve"> de So</w:t>
      </w:r>
      <w:r w:rsidR="00B34F14">
        <w:rPr>
          <w:rFonts w:ascii="Arial" w:hAnsi="Arial" w:cs="Arial"/>
          <w:b/>
          <w:smallCaps/>
          <w:sz w:val="28"/>
          <w:szCs w:val="28"/>
          <w:lang w:val="es-ES"/>
        </w:rPr>
        <w:t>porte para la Provisión de los S</w:t>
      </w:r>
      <w:r>
        <w:rPr>
          <w:rFonts w:ascii="Arial" w:hAnsi="Arial" w:cs="Arial"/>
          <w:b/>
          <w:smallCaps/>
          <w:sz w:val="28"/>
          <w:szCs w:val="28"/>
          <w:lang w:val="es-ES"/>
        </w:rPr>
        <w:t>ervicios a los</w:t>
      </w:r>
      <w:r w:rsidRPr="00B91703">
        <w:rPr>
          <w:rFonts w:ascii="Arial" w:hAnsi="Arial" w:cs="Arial"/>
          <w:b/>
          <w:smallCaps/>
          <w:sz w:val="28"/>
          <w:szCs w:val="28"/>
          <w:lang w:val="es-ES"/>
        </w:rPr>
        <w:t xml:space="preserve"> Ciudadanos y </w:t>
      </w:r>
      <w:r>
        <w:rPr>
          <w:rFonts w:ascii="Arial" w:hAnsi="Arial" w:cs="Arial"/>
          <w:b/>
          <w:smallCaps/>
          <w:sz w:val="28"/>
          <w:szCs w:val="28"/>
          <w:lang w:val="es-ES"/>
        </w:rPr>
        <w:t xml:space="preserve">las </w:t>
      </w:r>
      <w:r w:rsidRPr="00B91703">
        <w:rPr>
          <w:rFonts w:ascii="Arial" w:hAnsi="Arial" w:cs="Arial"/>
          <w:b/>
          <w:smallCaps/>
          <w:sz w:val="28"/>
          <w:szCs w:val="28"/>
          <w:lang w:val="es-ES"/>
        </w:rPr>
        <w:t>Empresas</w:t>
      </w:r>
      <w:r>
        <w:rPr>
          <w:rFonts w:ascii="Arial" w:hAnsi="Arial" w:cs="Arial"/>
          <w:b/>
          <w:smallCaps/>
          <w:sz w:val="28"/>
          <w:szCs w:val="28"/>
          <w:lang w:val="es-ES"/>
        </w:rPr>
        <w:t xml:space="preserve"> a Nivel Nacional</w:t>
      </w:r>
    </w:p>
    <w:bookmarkEnd w:id="1"/>
    <w:p w14:paraId="0E8C3D32" w14:textId="77777777" w:rsidR="005268C2" w:rsidRDefault="00251A1E" w:rsidP="00251A1E">
      <w:pPr>
        <w:tabs>
          <w:tab w:val="left" w:pos="1440"/>
          <w:tab w:val="left" w:pos="3060"/>
        </w:tabs>
        <w:spacing w:line="360" w:lineRule="auto"/>
        <w:jc w:val="center"/>
        <w:rPr>
          <w:rFonts w:ascii="Arial" w:hAnsi="Arial" w:cs="Arial"/>
          <w:b/>
          <w:smallCaps/>
          <w:lang w:val="es-ES"/>
        </w:rPr>
      </w:pPr>
      <w:r w:rsidRPr="00251A1E">
        <w:rPr>
          <w:rFonts w:ascii="Arial" w:hAnsi="Arial" w:cs="Arial"/>
          <w:b/>
          <w:smallCaps/>
          <w:lang w:val="es-ES"/>
        </w:rPr>
        <w:t xml:space="preserve"> </w:t>
      </w:r>
      <w:r w:rsidR="005268C2" w:rsidRPr="00251A1E">
        <w:rPr>
          <w:rFonts w:ascii="Arial" w:hAnsi="Arial" w:cs="Arial"/>
          <w:b/>
          <w:smallCaps/>
          <w:lang w:val="es-ES"/>
        </w:rPr>
        <w:t>(</w:t>
      </w:r>
      <w:r>
        <w:rPr>
          <w:rFonts w:ascii="Arial" w:hAnsi="Arial" w:cs="Arial"/>
          <w:b/>
          <w:smallCaps/>
          <w:lang w:val="es-ES"/>
        </w:rPr>
        <w:t>PE-L1222</w:t>
      </w:r>
      <w:r w:rsidR="005268C2" w:rsidRPr="00251A1E">
        <w:rPr>
          <w:rFonts w:ascii="Arial" w:hAnsi="Arial" w:cs="Arial"/>
          <w:b/>
          <w:smallCaps/>
          <w:lang w:val="es-ES"/>
        </w:rPr>
        <w:t>)</w:t>
      </w:r>
    </w:p>
    <w:p w14:paraId="0E8C3D33" w14:textId="77777777" w:rsidR="005268C2" w:rsidRDefault="005268C2" w:rsidP="005268C2">
      <w:pPr>
        <w:pStyle w:val="Newpage"/>
        <w:spacing w:line="360" w:lineRule="auto"/>
        <w:rPr>
          <w:rFonts w:ascii="Arial" w:hAnsi="Arial"/>
          <w:b w:val="0"/>
          <w:caps/>
          <w:sz w:val="22"/>
          <w:szCs w:val="22"/>
          <w:lang w:val="es-ES"/>
        </w:rPr>
      </w:pPr>
    </w:p>
    <w:p w14:paraId="0E8C3D34" w14:textId="77777777" w:rsidR="005268C2" w:rsidRDefault="005268C2" w:rsidP="005268C2">
      <w:pPr>
        <w:tabs>
          <w:tab w:val="left" w:pos="1440"/>
          <w:tab w:val="left" w:pos="3060"/>
        </w:tabs>
        <w:spacing w:line="360" w:lineRule="auto"/>
        <w:jc w:val="center"/>
        <w:rPr>
          <w:rFonts w:ascii="Arial" w:hAnsi="Arial" w:cs="Arial"/>
          <w:smallCaps/>
          <w:lang w:val="es-ES"/>
        </w:rPr>
      </w:pPr>
    </w:p>
    <w:p w14:paraId="0E8C3D35" w14:textId="77777777" w:rsidR="00210AA7" w:rsidRDefault="00210AA7" w:rsidP="005268C2">
      <w:pPr>
        <w:tabs>
          <w:tab w:val="left" w:pos="1440"/>
          <w:tab w:val="left" w:pos="3060"/>
        </w:tabs>
        <w:spacing w:line="360" w:lineRule="auto"/>
        <w:jc w:val="center"/>
        <w:rPr>
          <w:rFonts w:ascii="Arial" w:hAnsi="Arial" w:cs="Arial"/>
          <w:smallCaps/>
          <w:lang w:val="es-ES"/>
        </w:rPr>
      </w:pPr>
    </w:p>
    <w:p w14:paraId="0E8C3D36" w14:textId="77777777" w:rsidR="00210AA7" w:rsidRDefault="00210AA7" w:rsidP="005268C2">
      <w:pPr>
        <w:tabs>
          <w:tab w:val="left" w:pos="1440"/>
          <w:tab w:val="left" w:pos="3060"/>
        </w:tabs>
        <w:spacing w:line="360" w:lineRule="auto"/>
        <w:jc w:val="center"/>
        <w:rPr>
          <w:rFonts w:ascii="Arial" w:hAnsi="Arial" w:cs="Arial"/>
          <w:smallCaps/>
          <w:lang w:val="es-ES"/>
        </w:rPr>
      </w:pPr>
    </w:p>
    <w:p w14:paraId="0E8C3D37" w14:textId="77777777" w:rsidR="00210AA7" w:rsidRDefault="00210AA7" w:rsidP="005268C2">
      <w:pPr>
        <w:tabs>
          <w:tab w:val="left" w:pos="1440"/>
          <w:tab w:val="left" w:pos="3060"/>
        </w:tabs>
        <w:spacing w:line="360" w:lineRule="auto"/>
        <w:jc w:val="center"/>
        <w:rPr>
          <w:rFonts w:ascii="Arial" w:hAnsi="Arial" w:cs="Arial"/>
          <w:smallCaps/>
          <w:lang w:val="es-ES"/>
        </w:rPr>
      </w:pPr>
    </w:p>
    <w:p w14:paraId="0E8C3D38" w14:textId="77777777" w:rsidR="00210AA7" w:rsidRDefault="00210AA7" w:rsidP="005268C2">
      <w:pPr>
        <w:tabs>
          <w:tab w:val="left" w:pos="1440"/>
          <w:tab w:val="left" w:pos="3060"/>
        </w:tabs>
        <w:spacing w:line="360" w:lineRule="auto"/>
        <w:jc w:val="center"/>
        <w:rPr>
          <w:rFonts w:ascii="Arial" w:hAnsi="Arial" w:cs="Arial"/>
          <w:smallCaps/>
          <w:lang w:val="es-ES"/>
        </w:rPr>
      </w:pPr>
    </w:p>
    <w:p w14:paraId="0E8C3D39" w14:textId="77777777" w:rsidR="005268C2" w:rsidRDefault="005268C2" w:rsidP="005268C2">
      <w:pPr>
        <w:tabs>
          <w:tab w:val="left" w:pos="1440"/>
          <w:tab w:val="left" w:pos="3060"/>
        </w:tabs>
        <w:spacing w:line="360" w:lineRule="auto"/>
        <w:jc w:val="center"/>
        <w:outlineLvl w:val="0"/>
        <w:rPr>
          <w:rFonts w:ascii="Arial" w:hAnsi="Arial" w:cs="Arial"/>
          <w:b/>
          <w:smallCaps/>
          <w:lang w:val="es-ES"/>
        </w:rPr>
      </w:pPr>
      <w:bookmarkStart w:id="2" w:name="_Toc490839464"/>
      <w:bookmarkStart w:id="3" w:name="_Toc496886923"/>
      <w:r>
        <w:rPr>
          <w:rFonts w:ascii="Arial" w:hAnsi="Arial" w:cs="Arial"/>
          <w:b/>
          <w:smallCaps/>
          <w:lang w:val="es-ES"/>
        </w:rPr>
        <w:t>Análisis Económico</w:t>
      </w:r>
      <w:bookmarkEnd w:id="2"/>
      <w:bookmarkEnd w:id="3"/>
    </w:p>
    <w:p w14:paraId="0E8C3D3A" w14:textId="77777777" w:rsidR="00210AA7" w:rsidRDefault="00210AA7" w:rsidP="00210AA7">
      <w:pPr>
        <w:pStyle w:val="ListParagraph"/>
        <w:spacing w:before="120" w:after="0" w:line="360" w:lineRule="auto"/>
        <w:ind w:left="1080"/>
        <w:jc w:val="center"/>
        <w:rPr>
          <w:rFonts w:ascii="Arial" w:hAnsi="Arial" w:cs="Arial"/>
          <w:b/>
          <w:lang w:val="es-ES"/>
        </w:rPr>
      </w:pPr>
    </w:p>
    <w:p w14:paraId="0E8C3D3B" w14:textId="77777777" w:rsidR="00210AA7" w:rsidRDefault="00210AA7" w:rsidP="00210AA7">
      <w:pPr>
        <w:tabs>
          <w:tab w:val="left" w:pos="1440"/>
          <w:tab w:val="left" w:pos="3060"/>
        </w:tabs>
        <w:spacing w:line="360" w:lineRule="auto"/>
        <w:jc w:val="center"/>
        <w:rPr>
          <w:rFonts w:ascii="Arial" w:hAnsi="Arial" w:cs="Arial"/>
          <w:lang w:val="es-ES"/>
        </w:rPr>
      </w:pPr>
    </w:p>
    <w:p w14:paraId="0E8C3D3C" w14:textId="77777777" w:rsidR="00B15596" w:rsidRDefault="00B15596" w:rsidP="00210AA7">
      <w:pPr>
        <w:tabs>
          <w:tab w:val="left" w:pos="1440"/>
          <w:tab w:val="left" w:pos="3060"/>
        </w:tabs>
        <w:spacing w:line="360" w:lineRule="auto"/>
        <w:jc w:val="center"/>
        <w:rPr>
          <w:rFonts w:ascii="Arial" w:hAnsi="Arial" w:cs="Arial"/>
          <w:lang w:val="es-ES"/>
        </w:rPr>
      </w:pPr>
    </w:p>
    <w:p w14:paraId="0E8C3D3D" w14:textId="77777777" w:rsidR="00B15596" w:rsidRDefault="00B15596" w:rsidP="00210AA7">
      <w:pPr>
        <w:tabs>
          <w:tab w:val="left" w:pos="1440"/>
          <w:tab w:val="left" w:pos="3060"/>
        </w:tabs>
        <w:spacing w:line="360" w:lineRule="auto"/>
        <w:jc w:val="center"/>
        <w:rPr>
          <w:rFonts w:ascii="Arial" w:hAnsi="Arial" w:cs="Arial"/>
          <w:lang w:val="es-ES"/>
        </w:rPr>
      </w:pPr>
    </w:p>
    <w:p w14:paraId="0E8C3D3E" w14:textId="77777777" w:rsidR="00B15596" w:rsidRDefault="00B15596" w:rsidP="00210AA7">
      <w:pPr>
        <w:tabs>
          <w:tab w:val="left" w:pos="1440"/>
          <w:tab w:val="left" w:pos="3060"/>
        </w:tabs>
        <w:spacing w:line="360" w:lineRule="auto"/>
        <w:jc w:val="center"/>
        <w:rPr>
          <w:rFonts w:ascii="Arial" w:hAnsi="Arial" w:cs="Arial"/>
          <w:lang w:val="es-ES"/>
        </w:rPr>
      </w:pPr>
    </w:p>
    <w:p w14:paraId="0E8C3D3F" w14:textId="77777777" w:rsidR="00B15596" w:rsidRDefault="00B15596" w:rsidP="00210AA7">
      <w:pPr>
        <w:tabs>
          <w:tab w:val="left" w:pos="1440"/>
          <w:tab w:val="left" w:pos="3060"/>
        </w:tabs>
        <w:spacing w:line="360" w:lineRule="auto"/>
        <w:jc w:val="center"/>
        <w:rPr>
          <w:rFonts w:ascii="Arial" w:hAnsi="Arial" w:cs="Arial"/>
          <w:lang w:val="es-ES"/>
        </w:rPr>
      </w:pPr>
    </w:p>
    <w:p w14:paraId="0E8C3D40" w14:textId="77777777" w:rsidR="00210AA7" w:rsidRDefault="00210AA7" w:rsidP="00210AA7">
      <w:pPr>
        <w:pStyle w:val="BodyText"/>
        <w:pBdr>
          <w:top w:val="single" w:sz="4" w:space="1" w:color="auto"/>
          <w:left w:val="single" w:sz="4" w:space="4" w:color="auto"/>
          <w:bottom w:val="single" w:sz="4" w:space="0" w:color="auto"/>
          <w:right w:val="single" w:sz="4" w:space="4" w:color="auto"/>
        </w:pBdr>
        <w:tabs>
          <w:tab w:val="left" w:pos="1440"/>
        </w:tabs>
        <w:spacing w:line="360" w:lineRule="auto"/>
        <w:rPr>
          <w:rFonts w:ascii="Arial" w:hAnsi="Arial" w:cs="Arial"/>
          <w:sz w:val="22"/>
          <w:szCs w:val="22"/>
          <w:lang w:val="es-ES"/>
        </w:rPr>
      </w:pPr>
      <w:r>
        <w:rPr>
          <w:rFonts w:ascii="Arial" w:hAnsi="Arial" w:cs="Arial"/>
          <w:sz w:val="22"/>
          <w:szCs w:val="22"/>
          <w:lang w:val="es-ES"/>
        </w:rPr>
        <w:t>Este documento ha sido preparado por: Juan Eberhard</w:t>
      </w:r>
      <w:r w:rsidR="00251A1E">
        <w:rPr>
          <w:rFonts w:ascii="Arial" w:hAnsi="Arial" w:cs="Arial"/>
          <w:sz w:val="22"/>
          <w:szCs w:val="22"/>
          <w:lang w:val="es-ES"/>
        </w:rPr>
        <w:t xml:space="preserve"> (consultor), con comentarios de Mariano Lafuente (ICS/CPE)</w:t>
      </w:r>
    </w:p>
    <w:sdt>
      <w:sdtPr>
        <w:rPr>
          <w:rFonts w:asciiTheme="minorHAnsi" w:eastAsiaTheme="minorHAnsi" w:hAnsiTheme="minorHAnsi" w:cstheme="minorBidi"/>
          <w:color w:val="auto"/>
          <w:sz w:val="22"/>
          <w:szCs w:val="22"/>
        </w:rPr>
        <w:id w:val="1712227236"/>
        <w:docPartObj>
          <w:docPartGallery w:val="Table of Contents"/>
          <w:docPartUnique/>
        </w:docPartObj>
      </w:sdtPr>
      <w:sdtEndPr>
        <w:rPr>
          <w:rFonts w:ascii="Arial" w:hAnsi="Arial" w:cs="Arial"/>
          <w:b/>
          <w:bCs/>
          <w:noProof/>
        </w:rPr>
      </w:sdtEndPr>
      <w:sdtContent>
        <w:p w14:paraId="0E8C3D41" w14:textId="77777777" w:rsidR="00251A1E" w:rsidRPr="00251A1E" w:rsidRDefault="00251A1E">
          <w:pPr>
            <w:pStyle w:val="TOCHeading"/>
            <w:rPr>
              <w:rFonts w:ascii="Arial" w:hAnsi="Arial" w:cs="Arial"/>
              <w:b/>
              <w:sz w:val="22"/>
              <w:szCs w:val="22"/>
            </w:rPr>
          </w:pPr>
          <w:r w:rsidRPr="00251A1E">
            <w:rPr>
              <w:rFonts w:ascii="Arial" w:hAnsi="Arial" w:cs="Arial"/>
              <w:b/>
              <w:sz w:val="22"/>
              <w:szCs w:val="22"/>
            </w:rPr>
            <w:t>Tabla de Contenidos</w:t>
          </w:r>
        </w:p>
        <w:p w14:paraId="0E8C3D42" w14:textId="77777777" w:rsidR="00251A1E" w:rsidRPr="00251A1E" w:rsidRDefault="00251A1E">
          <w:pPr>
            <w:pStyle w:val="TOC1"/>
            <w:tabs>
              <w:tab w:val="right" w:leader="dot" w:pos="9350"/>
            </w:tabs>
            <w:rPr>
              <w:rFonts w:ascii="Arial" w:hAnsi="Arial" w:cs="Arial"/>
            </w:rPr>
          </w:pPr>
        </w:p>
        <w:p w14:paraId="0930179A" w14:textId="6FB82975" w:rsidR="001441DB" w:rsidRDefault="00251A1E">
          <w:pPr>
            <w:pStyle w:val="TOC1"/>
            <w:tabs>
              <w:tab w:val="right" w:leader="dot" w:pos="9350"/>
            </w:tabs>
            <w:rPr>
              <w:rFonts w:eastAsiaTheme="minorEastAsia"/>
              <w:noProof/>
            </w:rPr>
          </w:pPr>
          <w:r w:rsidRPr="00251A1E">
            <w:rPr>
              <w:rFonts w:ascii="Arial" w:hAnsi="Arial" w:cs="Arial"/>
            </w:rPr>
            <w:fldChar w:fldCharType="begin"/>
          </w:r>
          <w:r w:rsidRPr="00251A1E">
            <w:rPr>
              <w:rFonts w:ascii="Arial" w:hAnsi="Arial" w:cs="Arial"/>
            </w:rPr>
            <w:instrText xml:space="preserve"> TOC \o "1-3" \h \z \u </w:instrText>
          </w:r>
          <w:r w:rsidRPr="00251A1E">
            <w:rPr>
              <w:rFonts w:ascii="Arial" w:hAnsi="Arial" w:cs="Arial"/>
            </w:rPr>
            <w:fldChar w:fldCharType="separate"/>
          </w:r>
          <w:hyperlink w:anchor="_Toc496886923" w:history="1">
            <w:r w:rsidR="001441DB" w:rsidRPr="0040464E">
              <w:rPr>
                <w:rStyle w:val="Hyperlink"/>
                <w:rFonts w:ascii="Arial" w:hAnsi="Arial" w:cs="Arial"/>
                <w:noProof/>
                <w:lang w:val="es-ES"/>
              </w:rPr>
              <w:t>Análisis Económico</w:t>
            </w:r>
            <w:r w:rsidR="001441DB">
              <w:rPr>
                <w:noProof/>
                <w:webHidden/>
              </w:rPr>
              <w:tab/>
            </w:r>
            <w:r w:rsidR="001441DB">
              <w:rPr>
                <w:noProof/>
                <w:webHidden/>
              </w:rPr>
              <w:fldChar w:fldCharType="begin"/>
            </w:r>
            <w:r w:rsidR="001441DB">
              <w:rPr>
                <w:noProof/>
                <w:webHidden/>
              </w:rPr>
              <w:instrText xml:space="preserve"> PAGEREF _Toc496886923 \h </w:instrText>
            </w:r>
            <w:r w:rsidR="001441DB">
              <w:rPr>
                <w:noProof/>
                <w:webHidden/>
              </w:rPr>
            </w:r>
            <w:r w:rsidR="001441DB">
              <w:rPr>
                <w:noProof/>
                <w:webHidden/>
              </w:rPr>
              <w:fldChar w:fldCharType="separate"/>
            </w:r>
            <w:r w:rsidR="001441DB">
              <w:rPr>
                <w:noProof/>
                <w:webHidden/>
              </w:rPr>
              <w:t>1</w:t>
            </w:r>
            <w:r w:rsidR="001441DB">
              <w:rPr>
                <w:noProof/>
                <w:webHidden/>
              </w:rPr>
              <w:fldChar w:fldCharType="end"/>
            </w:r>
          </w:hyperlink>
        </w:p>
        <w:p w14:paraId="150621F9" w14:textId="7DD6988F" w:rsidR="001441DB" w:rsidRDefault="005631F9">
          <w:pPr>
            <w:pStyle w:val="TOC2"/>
            <w:tabs>
              <w:tab w:val="right" w:leader="dot" w:pos="9350"/>
            </w:tabs>
            <w:rPr>
              <w:rFonts w:eastAsiaTheme="minorEastAsia"/>
              <w:noProof/>
            </w:rPr>
          </w:pPr>
          <w:hyperlink w:anchor="_Toc496886924" w:history="1">
            <w:r w:rsidR="001441DB" w:rsidRPr="0040464E">
              <w:rPr>
                <w:rStyle w:val="Hyperlink"/>
                <w:rFonts w:ascii="Arial" w:hAnsi="Arial" w:cs="Arial"/>
                <w:noProof/>
                <w:lang w:val="es-CL"/>
              </w:rPr>
              <w:t>Componente 1</w:t>
            </w:r>
            <w:r w:rsidR="001441DB">
              <w:rPr>
                <w:noProof/>
                <w:webHidden/>
              </w:rPr>
              <w:tab/>
            </w:r>
            <w:r w:rsidR="001441DB">
              <w:rPr>
                <w:noProof/>
                <w:webHidden/>
              </w:rPr>
              <w:fldChar w:fldCharType="begin"/>
            </w:r>
            <w:r w:rsidR="001441DB">
              <w:rPr>
                <w:noProof/>
                <w:webHidden/>
              </w:rPr>
              <w:instrText xml:space="preserve"> PAGEREF _Toc496886924 \h </w:instrText>
            </w:r>
            <w:r w:rsidR="001441DB">
              <w:rPr>
                <w:noProof/>
                <w:webHidden/>
              </w:rPr>
            </w:r>
            <w:r w:rsidR="001441DB">
              <w:rPr>
                <w:noProof/>
                <w:webHidden/>
              </w:rPr>
              <w:fldChar w:fldCharType="separate"/>
            </w:r>
            <w:r w:rsidR="001441DB">
              <w:rPr>
                <w:noProof/>
                <w:webHidden/>
              </w:rPr>
              <w:t>5</w:t>
            </w:r>
            <w:r w:rsidR="001441DB">
              <w:rPr>
                <w:noProof/>
                <w:webHidden/>
              </w:rPr>
              <w:fldChar w:fldCharType="end"/>
            </w:r>
          </w:hyperlink>
        </w:p>
        <w:p w14:paraId="27521BAF" w14:textId="19190DAD" w:rsidR="001441DB" w:rsidRDefault="005631F9">
          <w:pPr>
            <w:pStyle w:val="TOC2"/>
            <w:tabs>
              <w:tab w:val="right" w:leader="dot" w:pos="9350"/>
            </w:tabs>
            <w:rPr>
              <w:rFonts w:eastAsiaTheme="minorEastAsia"/>
              <w:noProof/>
            </w:rPr>
          </w:pPr>
          <w:hyperlink w:anchor="_Toc496886925" w:history="1">
            <w:r w:rsidR="001441DB" w:rsidRPr="0040464E">
              <w:rPr>
                <w:rStyle w:val="Hyperlink"/>
                <w:rFonts w:ascii="Arial" w:hAnsi="Arial" w:cs="Arial"/>
                <w:noProof/>
                <w:lang w:val="es-CL"/>
              </w:rPr>
              <w:t>Componente 2</w:t>
            </w:r>
            <w:r w:rsidR="001441DB">
              <w:rPr>
                <w:noProof/>
                <w:webHidden/>
              </w:rPr>
              <w:tab/>
            </w:r>
            <w:r w:rsidR="001441DB">
              <w:rPr>
                <w:noProof/>
                <w:webHidden/>
              </w:rPr>
              <w:fldChar w:fldCharType="begin"/>
            </w:r>
            <w:r w:rsidR="001441DB">
              <w:rPr>
                <w:noProof/>
                <w:webHidden/>
              </w:rPr>
              <w:instrText xml:space="preserve"> PAGEREF _Toc496886925 \h </w:instrText>
            </w:r>
            <w:r w:rsidR="001441DB">
              <w:rPr>
                <w:noProof/>
                <w:webHidden/>
              </w:rPr>
            </w:r>
            <w:r w:rsidR="001441DB">
              <w:rPr>
                <w:noProof/>
                <w:webHidden/>
              </w:rPr>
              <w:fldChar w:fldCharType="separate"/>
            </w:r>
            <w:r w:rsidR="001441DB">
              <w:rPr>
                <w:noProof/>
                <w:webHidden/>
              </w:rPr>
              <w:t>6</w:t>
            </w:r>
            <w:r w:rsidR="001441DB">
              <w:rPr>
                <w:noProof/>
                <w:webHidden/>
              </w:rPr>
              <w:fldChar w:fldCharType="end"/>
            </w:r>
          </w:hyperlink>
        </w:p>
        <w:p w14:paraId="13FCD454" w14:textId="00D8F7FE" w:rsidR="001441DB" w:rsidRDefault="005631F9">
          <w:pPr>
            <w:pStyle w:val="TOC2"/>
            <w:tabs>
              <w:tab w:val="right" w:leader="dot" w:pos="9350"/>
            </w:tabs>
            <w:rPr>
              <w:rFonts w:eastAsiaTheme="minorEastAsia"/>
              <w:noProof/>
            </w:rPr>
          </w:pPr>
          <w:hyperlink w:anchor="_Toc496886926" w:history="1">
            <w:r w:rsidR="001441DB" w:rsidRPr="0040464E">
              <w:rPr>
                <w:rStyle w:val="Hyperlink"/>
                <w:rFonts w:ascii="Arial" w:hAnsi="Arial" w:cs="Arial"/>
                <w:noProof/>
                <w:lang w:val="es-CL"/>
              </w:rPr>
              <w:t>Componente 3</w:t>
            </w:r>
            <w:r w:rsidR="001441DB">
              <w:rPr>
                <w:noProof/>
                <w:webHidden/>
              </w:rPr>
              <w:tab/>
            </w:r>
            <w:r w:rsidR="001441DB">
              <w:rPr>
                <w:noProof/>
                <w:webHidden/>
              </w:rPr>
              <w:fldChar w:fldCharType="begin"/>
            </w:r>
            <w:r w:rsidR="001441DB">
              <w:rPr>
                <w:noProof/>
                <w:webHidden/>
              </w:rPr>
              <w:instrText xml:space="preserve"> PAGEREF _Toc496886926 \h </w:instrText>
            </w:r>
            <w:r w:rsidR="001441DB">
              <w:rPr>
                <w:noProof/>
                <w:webHidden/>
              </w:rPr>
            </w:r>
            <w:r w:rsidR="001441DB">
              <w:rPr>
                <w:noProof/>
                <w:webHidden/>
              </w:rPr>
              <w:fldChar w:fldCharType="separate"/>
            </w:r>
            <w:r w:rsidR="001441DB">
              <w:rPr>
                <w:noProof/>
                <w:webHidden/>
              </w:rPr>
              <w:t>8</w:t>
            </w:r>
            <w:r w:rsidR="001441DB">
              <w:rPr>
                <w:noProof/>
                <w:webHidden/>
              </w:rPr>
              <w:fldChar w:fldCharType="end"/>
            </w:r>
          </w:hyperlink>
        </w:p>
        <w:p w14:paraId="656A667E" w14:textId="1ACEED9D" w:rsidR="001441DB" w:rsidRDefault="005631F9">
          <w:pPr>
            <w:pStyle w:val="TOC2"/>
            <w:tabs>
              <w:tab w:val="right" w:leader="dot" w:pos="9350"/>
            </w:tabs>
            <w:rPr>
              <w:rFonts w:eastAsiaTheme="minorEastAsia"/>
              <w:noProof/>
            </w:rPr>
          </w:pPr>
          <w:hyperlink w:anchor="_Toc496886927" w:history="1">
            <w:r w:rsidR="001441DB" w:rsidRPr="0040464E">
              <w:rPr>
                <w:rStyle w:val="Hyperlink"/>
                <w:rFonts w:ascii="Arial" w:hAnsi="Arial" w:cs="Arial"/>
                <w:noProof/>
                <w:lang w:val="es-CL"/>
              </w:rPr>
              <w:t>Componente 1</w:t>
            </w:r>
            <w:r w:rsidR="001441DB">
              <w:rPr>
                <w:noProof/>
                <w:webHidden/>
              </w:rPr>
              <w:tab/>
            </w:r>
            <w:r w:rsidR="001441DB">
              <w:rPr>
                <w:noProof/>
                <w:webHidden/>
              </w:rPr>
              <w:fldChar w:fldCharType="begin"/>
            </w:r>
            <w:r w:rsidR="001441DB">
              <w:rPr>
                <w:noProof/>
                <w:webHidden/>
              </w:rPr>
              <w:instrText xml:space="preserve"> PAGEREF _Toc496886927 \h </w:instrText>
            </w:r>
            <w:r w:rsidR="001441DB">
              <w:rPr>
                <w:noProof/>
                <w:webHidden/>
              </w:rPr>
            </w:r>
            <w:r w:rsidR="001441DB">
              <w:rPr>
                <w:noProof/>
                <w:webHidden/>
              </w:rPr>
              <w:fldChar w:fldCharType="separate"/>
            </w:r>
            <w:r w:rsidR="001441DB">
              <w:rPr>
                <w:noProof/>
                <w:webHidden/>
              </w:rPr>
              <w:t>11</w:t>
            </w:r>
            <w:r w:rsidR="001441DB">
              <w:rPr>
                <w:noProof/>
                <w:webHidden/>
              </w:rPr>
              <w:fldChar w:fldCharType="end"/>
            </w:r>
          </w:hyperlink>
        </w:p>
        <w:p w14:paraId="3DEAD0A8" w14:textId="35A93261" w:rsidR="001441DB" w:rsidRDefault="005631F9">
          <w:pPr>
            <w:pStyle w:val="TOC2"/>
            <w:tabs>
              <w:tab w:val="right" w:leader="dot" w:pos="9350"/>
            </w:tabs>
            <w:rPr>
              <w:rFonts w:eastAsiaTheme="minorEastAsia"/>
              <w:noProof/>
            </w:rPr>
          </w:pPr>
          <w:hyperlink w:anchor="_Toc496886928" w:history="1">
            <w:r w:rsidR="001441DB" w:rsidRPr="0040464E">
              <w:rPr>
                <w:rStyle w:val="Hyperlink"/>
                <w:rFonts w:ascii="Arial" w:hAnsi="Arial" w:cs="Arial"/>
                <w:noProof/>
                <w:lang w:val="es-CL"/>
              </w:rPr>
              <w:t>Componente 2</w:t>
            </w:r>
            <w:r w:rsidR="001441DB">
              <w:rPr>
                <w:noProof/>
                <w:webHidden/>
              </w:rPr>
              <w:tab/>
            </w:r>
            <w:r w:rsidR="001441DB">
              <w:rPr>
                <w:noProof/>
                <w:webHidden/>
              </w:rPr>
              <w:fldChar w:fldCharType="begin"/>
            </w:r>
            <w:r w:rsidR="001441DB">
              <w:rPr>
                <w:noProof/>
                <w:webHidden/>
              </w:rPr>
              <w:instrText xml:space="preserve"> PAGEREF _Toc496886928 \h </w:instrText>
            </w:r>
            <w:r w:rsidR="001441DB">
              <w:rPr>
                <w:noProof/>
                <w:webHidden/>
              </w:rPr>
            </w:r>
            <w:r w:rsidR="001441DB">
              <w:rPr>
                <w:noProof/>
                <w:webHidden/>
              </w:rPr>
              <w:fldChar w:fldCharType="separate"/>
            </w:r>
            <w:r w:rsidR="001441DB">
              <w:rPr>
                <w:noProof/>
                <w:webHidden/>
              </w:rPr>
              <w:t>12</w:t>
            </w:r>
            <w:r w:rsidR="001441DB">
              <w:rPr>
                <w:noProof/>
                <w:webHidden/>
              </w:rPr>
              <w:fldChar w:fldCharType="end"/>
            </w:r>
          </w:hyperlink>
        </w:p>
        <w:p w14:paraId="7453918C" w14:textId="04C7012F" w:rsidR="001441DB" w:rsidRDefault="005631F9">
          <w:pPr>
            <w:pStyle w:val="TOC2"/>
            <w:tabs>
              <w:tab w:val="right" w:leader="dot" w:pos="9350"/>
            </w:tabs>
            <w:rPr>
              <w:rFonts w:eastAsiaTheme="minorEastAsia"/>
              <w:noProof/>
            </w:rPr>
          </w:pPr>
          <w:hyperlink w:anchor="_Toc496886929" w:history="1">
            <w:r w:rsidR="001441DB" w:rsidRPr="0040464E">
              <w:rPr>
                <w:rStyle w:val="Hyperlink"/>
                <w:rFonts w:ascii="Arial" w:hAnsi="Arial" w:cs="Arial"/>
                <w:noProof/>
                <w:lang w:val="es-CL"/>
              </w:rPr>
              <w:t>Componente 3</w:t>
            </w:r>
            <w:r w:rsidR="001441DB">
              <w:rPr>
                <w:noProof/>
                <w:webHidden/>
              </w:rPr>
              <w:tab/>
            </w:r>
            <w:r w:rsidR="001441DB">
              <w:rPr>
                <w:noProof/>
                <w:webHidden/>
              </w:rPr>
              <w:fldChar w:fldCharType="begin"/>
            </w:r>
            <w:r w:rsidR="001441DB">
              <w:rPr>
                <w:noProof/>
                <w:webHidden/>
              </w:rPr>
              <w:instrText xml:space="preserve"> PAGEREF _Toc496886929 \h </w:instrText>
            </w:r>
            <w:r w:rsidR="001441DB">
              <w:rPr>
                <w:noProof/>
                <w:webHidden/>
              </w:rPr>
            </w:r>
            <w:r w:rsidR="001441DB">
              <w:rPr>
                <w:noProof/>
                <w:webHidden/>
              </w:rPr>
              <w:fldChar w:fldCharType="separate"/>
            </w:r>
            <w:r w:rsidR="001441DB">
              <w:rPr>
                <w:noProof/>
                <w:webHidden/>
              </w:rPr>
              <w:t>13</w:t>
            </w:r>
            <w:r w:rsidR="001441DB">
              <w:rPr>
                <w:noProof/>
                <w:webHidden/>
              </w:rPr>
              <w:fldChar w:fldCharType="end"/>
            </w:r>
          </w:hyperlink>
        </w:p>
        <w:p w14:paraId="4503A3DE" w14:textId="1A2FBC2A" w:rsidR="001441DB" w:rsidRDefault="005631F9">
          <w:pPr>
            <w:pStyle w:val="TOC2"/>
            <w:tabs>
              <w:tab w:val="right" w:leader="dot" w:pos="9350"/>
            </w:tabs>
            <w:rPr>
              <w:rFonts w:eastAsiaTheme="minorEastAsia"/>
              <w:noProof/>
            </w:rPr>
          </w:pPr>
          <w:hyperlink w:anchor="_Toc496886930" w:history="1">
            <w:r w:rsidR="001441DB" w:rsidRPr="0040464E">
              <w:rPr>
                <w:rStyle w:val="Hyperlink"/>
                <w:rFonts w:ascii="Arial" w:hAnsi="Arial" w:cs="Arial"/>
                <w:noProof/>
                <w:lang w:val="es-CL"/>
              </w:rPr>
              <w:t>Componente 4</w:t>
            </w:r>
            <w:r w:rsidR="001441DB">
              <w:rPr>
                <w:noProof/>
                <w:webHidden/>
              </w:rPr>
              <w:tab/>
            </w:r>
            <w:r w:rsidR="001441DB">
              <w:rPr>
                <w:noProof/>
                <w:webHidden/>
              </w:rPr>
              <w:fldChar w:fldCharType="begin"/>
            </w:r>
            <w:r w:rsidR="001441DB">
              <w:rPr>
                <w:noProof/>
                <w:webHidden/>
              </w:rPr>
              <w:instrText xml:space="preserve"> PAGEREF _Toc496886930 \h </w:instrText>
            </w:r>
            <w:r w:rsidR="001441DB">
              <w:rPr>
                <w:noProof/>
                <w:webHidden/>
              </w:rPr>
            </w:r>
            <w:r w:rsidR="001441DB">
              <w:rPr>
                <w:noProof/>
                <w:webHidden/>
              </w:rPr>
              <w:fldChar w:fldCharType="separate"/>
            </w:r>
            <w:r w:rsidR="001441DB">
              <w:rPr>
                <w:noProof/>
                <w:webHidden/>
              </w:rPr>
              <w:t>14</w:t>
            </w:r>
            <w:r w:rsidR="001441DB">
              <w:rPr>
                <w:noProof/>
                <w:webHidden/>
              </w:rPr>
              <w:fldChar w:fldCharType="end"/>
            </w:r>
          </w:hyperlink>
        </w:p>
        <w:p w14:paraId="37B246CD" w14:textId="2CA589BD" w:rsidR="001441DB" w:rsidRDefault="005631F9">
          <w:pPr>
            <w:pStyle w:val="TOC1"/>
            <w:tabs>
              <w:tab w:val="right" w:leader="dot" w:pos="9350"/>
            </w:tabs>
            <w:rPr>
              <w:rFonts w:eastAsiaTheme="minorEastAsia"/>
              <w:noProof/>
            </w:rPr>
          </w:pPr>
          <w:hyperlink w:anchor="_Toc496886931" w:history="1">
            <w:r w:rsidR="001441DB" w:rsidRPr="0040464E">
              <w:rPr>
                <w:rStyle w:val="Hyperlink"/>
                <w:rFonts w:ascii="Arial" w:hAnsi="Arial" w:cs="Arial"/>
                <w:noProof/>
                <w:lang w:val="es-CL"/>
              </w:rPr>
              <w:t>Anexos</w:t>
            </w:r>
            <w:r w:rsidR="001441DB">
              <w:rPr>
                <w:noProof/>
                <w:webHidden/>
              </w:rPr>
              <w:tab/>
            </w:r>
            <w:r w:rsidR="001441DB">
              <w:rPr>
                <w:noProof/>
                <w:webHidden/>
              </w:rPr>
              <w:fldChar w:fldCharType="begin"/>
            </w:r>
            <w:r w:rsidR="001441DB">
              <w:rPr>
                <w:noProof/>
                <w:webHidden/>
              </w:rPr>
              <w:instrText xml:space="preserve"> PAGEREF _Toc496886931 \h </w:instrText>
            </w:r>
            <w:r w:rsidR="001441DB">
              <w:rPr>
                <w:noProof/>
                <w:webHidden/>
              </w:rPr>
            </w:r>
            <w:r w:rsidR="001441DB">
              <w:rPr>
                <w:noProof/>
                <w:webHidden/>
              </w:rPr>
              <w:fldChar w:fldCharType="separate"/>
            </w:r>
            <w:r w:rsidR="001441DB">
              <w:rPr>
                <w:noProof/>
                <w:webHidden/>
              </w:rPr>
              <w:t>19</w:t>
            </w:r>
            <w:r w:rsidR="001441DB">
              <w:rPr>
                <w:noProof/>
                <w:webHidden/>
              </w:rPr>
              <w:fldChar w:fldCharType="end"/>
            </w:r>
          </w:hyperlink>
        </w:p>
        <w:p w14:paraId="0E8C3D50" w14:textId="7C20963A" w:rsidR="00251A1E" w:rsidRPr="00251A1E" w:rsidRDefault="00251A1E">
          <w:pPr>
            <w:rPr>
              <w:rFonts w:ascii="Arial" w:hAnsi="Arial" w:cs="Arial"/>
            </w:rPr>
          </w:pPr>
          <w:r w:rsidRPr="00251A1E">
            <w:rPr>
              <w:rFonts w:ascii="Arial" w:hAnsi="Arial" w:cs="Arial"/>
              <w:b/>
              <w:bCs/>
              <w:noProof/>
            </w:rPr>
            <w:fldChar w:fldCharType="end"/>
          </w:r>
        </w:p>
      </w:sdtContent>
    </w:sdt>
    <w:p w14:paraId="0E8C3D51" w14:textId="77777777" w:rsidR="00251A1E" w:rsidRPr="00251A1E" w:rsidRDefault="00251A1E">
      <w:pPr>
        <w:rPr>
          <w:rFonts w:ascii="Arial" w:hAnsi="Arial" w:cs="Arial"/>
          <w:lang w:val="es-CL"/>
        </w:rPr>
      </w:pPr>
      <w:r w:rsidRPr="00251A1E">
        <w:rPr>
          <w:rFonts w:ascii="Arial" w:hAnsi="Arial" w:cs="Arial"/>
          <w:lang w:val="es-CL"/>
        </w:rPr>
        <w:br w:type="page"/>
      </w:r>
    </w:p>
    <w:p w14:paraId="0E8C3D52" w14:textId="241E95D8" w:rsidR="00210AA7" w:rsidRPr="00E5058F" w:rsidRDefault="00210AA7" w:rsidP="00DE2D22">
      <w:pPr>
        <w:pStyle w:val="ListParagraph"/>
        <w:numPr>
          <w:ilvl w:val="0"/>
          <w:numId w:val="7"/>
        </w:numPr>
        <w:spacing w:beforeLines="120" w:before="288" w:afterLines="120" w:after="288" w:line="240" w:lineRule="auto"/>
        <w:ind w:hanging="720"/>
        <w:contextualSpacing w:val="0"/>
        <w:rPr>
          <w:rFonts w:ascii="Arial" w:hAnsi="Arial" w:cs="Arial"/>
          <w:b/>
          <w:lang w:val="es-CL"/>
        </w:rPr>
      </w:pPr>
      <w:r w:rsidRPr="00E5058F">
        <w:rPr>
          <w:rFonts w:ascii="Arial" w:hAnsi="Arial" w:cs="Arial"/>
          <w:b/>
          <w:lang w:val="es-CL"/>
        </w:rPr>
        <w:t>Introducción</w:t>
      </w:r>
    </w:p>
    <w:p w14:paraId="0E8C3D53" w14:textId="698A2B46" w:rsidR="00F24EEF" w:rsidRPr="004D172E" w:rsidRDefault="00A62EDD"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4D172E">
        <w:rPr>
          <w:rFonts w:ascii="Arial" w:hAnsi="Arial" w:cs="Arial"/>
          <w:lang w:val="es-CL"/>
        </w:rPr>
        <w:t>El siguiente informe presenta los resultados de una evaluación económica ex</w:t>
      </w:r>
      <w:r w:rsidR="00210AA7" w:rsidRPr="004D172E">
        <w:rPr>
          <w:rFonts w:ascii="Arial" w:hAnsi="Arial" w:cs="Arial"/>
          <w:lang w:val="es-CL"/>
        </w:rPr>
        <w:t xml:space="preserve"> – ante del Proyecto de </w:t>
      </w:r>
      <w:r w:rsidR="00142319" w:rsidRPr="004D172E">
        <w:rPr>
          <w:rFonts w:ascii="Arial" w:hAnsi="Arial" w:cs="Arial"/>
          <w:lang w:val="es-CL"/>
        </w:rPr>
        <w:t>Mejoramiento y Ampliación de los Servicios de Soporte para la Provisión</w:t>
      </w:r>
      <w:r w:rsidR="00210AA7" w:rsidRPr="004D172E">
        <w:rPr>
          <w:rFonts w:ascii="Arial" w:hAnsi="Arial" w:cs="Arial"/>
          <w:lang w:val="es-CL"/>
        </w:rPr>
        <w:t xml:space="preserve"> de</w:t>
      </w:r>
      <w:r w:rsidR="00142319" w:rsidRPr="004D172E">
        <w:rPr>
          <w:rFonts w:ascii="Arial" w:hAnsi="Arial" w:cs="Arial"/>
          <w:lang w:val="es-CL"/>
        </w:rPr>
        <w:t xml:space="preserve"> los</w:t>
      </w:r>
      <w:r w:rsidR="00210AA7" w:rsidRPr="004D172E">
        <w:rPr>
          <w:rFonts w:ascii="Arial" w:hAnsi="Arial" w:cs="Arial"/>
          <w:lang w:val="es-CL"/>
        </w:rPr>
        <w:t xml:space="preserve"> Servicios a</w:t>
      </w:r>
      <w:r w:rsidR="00142319" w:rsidRPr="004D172E">
        <w:rPr>
          <w:rFonts w:ascii="Arial" w:hAnsi="Arial" w:cs="Arial"/>
          <w:lang w:val="es-CL"/>
        </w:rPr>
        <w:t xml:space="preserve"> los</w:t>
      </w:r>
      <w:r w:rsidR="00210AA7" w:rsidRPr="004D172E">
        <w:rPr>
          <w:rFonts w:ascii="Arial" w:hAnsi="Arial" w:cs="Arial"/>
          <w:lang w:val="es-CL"/>
        </w:rPr>
        <w:t xml:space="preserve"> Ciudadanos y </w:t>
      </w:r>
      <w:r w:rsidR="00142319" w:rsidRPr="004D172E">
        <w:rPr>
          <w:rFonts w:ascii="Arial" w:hAnsi="Arial" w:cs="Arial"/>
          <w:lang w:val="es-CL"/>
        </w:rPr>
        <w:t>las Empresas a Nivel Nacional (PE-</w:t>
      </w:r>
      <w:r w:rsidR="00210AA7" w:rsidRPr="004D172E">
        <w:rPr>
          <w:rFonts w:ascii="Arial" w:hAnsi="Arial" w:cs="Arial"/>
          <w:lang w:val="es-CL"/>
        </w:rPr>
        <w:t>L1222)</w:t>
      </w:r>
      <w:r w:rsidR="00142319" w:rsidRPr="004D172E">
        <w:rPr>
          <w:rFonts w:ascii="Arial" w:hAnsi="Arial" w:cs="Arial"/>
          <w:lang w:val="es-CL"/>
        </w:rPr>
        <w:t xml:space="preserve"> en Perú</w:t>
      </w:r>
      <w:r w:rsidR="00210AA7" w:rsidRPr="004D172E">
        <w:rPr>
          <w:rFonts w:ascii="Arial" w:hAnsi="Arial" w:cs="Arial"/>
          <w:lang w:val="es-CL"/>
        </w:rPr>
        <w:t>, (</w:t>
      </w:r>
      <w:r w:rsidR="00142319" w:rsidRPr="004D172E">
        <w:rPr>
          <w:rFonts w:ascii="Arial" w:hAnsi="Arial" w:cs="Arial"/>
          <w:lang w:val="es-CL"/>
        </w:rPr>
        <w:t>en adelante,</w:t>
      </w:r>
      <w:r w:rsidR="00210AA7" w:rsidRPr="004D172E">
        <w:rPr>
          <w:rFonts w:ascii="Arial" w:hAnsi="Arial" w:cs="Arial"/>
          <w:lang w:val="es-CL"/>
        </w:rPr>
        <w:t xml:space="preserve"> </w:t>
      </w:r>
      <w:r w:rsidR="00142319" w:rsidRPr="004D172E">
        <w:rPr>
          <w:rFonts w:ascii="Arial" w:hAnsi="Arial" w:cs="Arial"/>
          <w:lang w:val="es-CL"/>
        </w:rPr>
        <w:t xml:space="preserve">el </w:t>
      </w:r>
      <w:r w:rsidR="00210AA7" w:rsidRPr="004D172E">
        <w:rPr>
          <w:rFonts w:ascii="Arial" w:hAnsi="Arial" w:cs="Arial"/>
          <w:lang w:val="es-CL"/>
        </w:rPr>
        <w:t>“proyecto</w:t>
      </w:r>
      <w:r w:rsidRPr="004D172E">
        <w:rPr>
          <w:rFonts w:ascii="Arial" w:hAnsi="Arial" w:cs="Arial"/>
          <w:lang w:val="es-CL"/>
        </w:rPr>
        <w:t xml:space="preserve">”). Esta evaluación económica fue diseñada para </w:t>
      </w:r>
      <w:r w:rsidR="00210AA7" w:rsidRPr="004D172E">
        <w:rPr>
          <w:rFonts w:ascii="Arial" w:hAnsi="Arial" w:cs="Arial"/>
          <w:lang w:val="es-CL"/>
        </w:rPr>
        <w:t>contrastar</w:t>
      </w:r>
      <w:r w:rsidRPr="004D172E">
        <w:rPr>
          <w:rFonts w:ascii="Arial" w:hAnsi="Arial" w:cs="Arial"/>
          <w:lang w:val="es-CL"/>
        </w:rPr>
        <w:t xml:space="preserve"> los c</w:t>
      </w:r>
      <w:r w:rsidR="00A00097" w:rsidRPr="004D172E">
        <w:rPr>
          <w:rFonts w:ascii="Arial" w:hAnsi="Arial" w:cs="Arial"/>
          <w:lang w:val="es-CL"/>
        </w:rPr>
        <w:t xml:space="preserve">ostos y beneficios del </w:t>
      </w:r>
      <w:r w:rsidR="0021478C" w:rsidRPr="004D172E">
        <w:rPr>
          <w:rFonts w:ascii="Arial" w:hAnsi="Arial" w:cs="Arial"/>
          <w:lang w:val="es-CL"/>
        </w:rPr>
        <w:t>proyecto</w:t>
      </w:r>
      <w:r w:rsidR="00A00097" w:rsidRPr="004D172E">
        <w:rPr>
          <w:rFonts w:ascii="Arial" w:hAnsi="Arial" w:cs="Arial"/>
          <w:lang w:val="es-CL"/>
        </w:rPr>
        <w:t>, considerando tod</w:t>
      </w:r>
      <w:r w:rsidR="00142319" w:rsidRPr="004D172E">
        <w:rPr>
          <w:rFonts w:ascii="Arial" w:hAnsi="Arial" w:cs="Arial"/>
          <w:lang w:val="es-CL"/>
        </w:rPr>
        <w:t>o</w:t>
      </w:r>
      <w:r w:rsidR="00A00097" w:rsidRPr="004D172E">
        <w:rPr>
          <w:rFonts w:ascii="Arial" w:hAnsi="Arial" w:cs="Arial"/>
          <w:lang w:val="es-CL"/>
        </w:rPr>
        <w:t>s l</w:t>
      </w:r>
      <w:r w:rsidR="00142319" w:rsidRPr="004D172E">
        <w:rPr>
          <w:rFonts w:ascii="Arial" w:hAnsi="Arial" w:cs="Arial"/>
          <w:lang w:val="es-CL"/>
        </w:rPr>
        <w:t>o</w:t>
      </w:r>
      <w:r w:rsidR="00A00097" w:rsidRPr="004D172E">
        <w:rPr>
          <w:rFonts w:ascii="Arial" w:hAnsi="Arial" w:cs="Arial"/>
          <w:lang w:val="es-CL"/>
        </w:rPr>
        <w:t>s componentes del mismo</w:t>
      </w:r>
      <w:r w:rsidRPr="004D172E">
        <w:rPr>
          <w:rFonts w:ascii="Arial" w:hAnsi="Arial" w:cs="Arial"/>
          <w:lang w:val="es-CL"/>
        </w:rPr>
        <w:t>.</w:t>
      </w:r>
    </w:p>
    <w:p w14:paraId="0E8C3D54" w14:textId="2D334F9A" w:rsidR="0021478C" w:rsidRPr="00142319" w:rsidRDefault="00142319"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ES_tradnl"/>
        </w:rPr>
      </w:pPr>
      <w:r>
        <w:rPr>
          <w:rFonts w:ascii="Arial" w:hAnsi="Arial" w:cs="Arial"/>
          <w:lang w:val="es-ES_tradnl"/>
        </w:rPr>
        <w:t xml:space="preserve">El objetivo general del proyecto </w:t>
      </w:r>
      <w:r w:rsidRPr="00054202">
        <w:rPr>
          <w:rFonts w:ascii="Arial" w:hAnsi="Arial" w:cs="Arial"/>
          <w:lang w:val="es-ES_tradnl"/>
        </w:rPr>
        <w:t>es</w:t>
      </w:r>
      <w:r w:rsidR="00054202" w:rsidRPr="00054202">
        <w:rPr>
          <w:rFonts w:ascii="Arial" w:hAnsi="Arial" w:cs="Arial"/>
          <w:lang w:val="es-ES_tradnl"/>
        </w:rPr>
        <w:t xml:space="preserve"> </w:t>
      </w:r>
      <w:r w:rsidR="00054202" w:rsidRPr="005631F9">
        <w:rPr>
          <w:rFonts w:ascii="Arial" w:hAnsi="Arial" w:cs="Arial"/>
          <w:spacing w:val="-3"/>
          <w:lang w:val="es-AR"/>
        </w:rPr>
        <w:t>mejorar y ampliar los servicios de soporte para la prestación de servicios a ciudadanos y empresas</w:t>
      </w:r>
      <w:r w:rsidR="00054202">
        <w:rPr>
          <w:rFonts w:ascii="Arial" w:hAnsi="Arial" w:cs="Arial"/>
          <w:spacing w:val="-3"/>
          <w:lang w:val="es-AR"/>
        </w:rPr>
        <w:t>,</w:t>
      </w:r>
      <w:r w:rsidRPr="00054202">
        <w:rPr>
          <w:rFonts w:ascii="Arial" w:hAnsi="Arial" w:cs="Arial"/>
          <w:lang w:val="es-ES_tradnl"/>
        </w:rPr>
        <w:t xml:space="preserve"> </w:t>
      </w:r>
      <w:r w:rsidR="00054202" w:rsidRPr="00054202">
        <w:rPr>
          <w:rFonts w:ascii="Arial" w:hAnsi="Arial" w:cs="Arial"/>
          <w:lang w:val="es-ES_tradnl"/>
        </w:rPr>
        <w:t>reduci</w:t>
      </w:r>
      <w:r w:rsidR="00054202">
        <w:rPr>
          <w:rFonts w:ascii="Arial" w:hAnsi="Arial" w:cs="Arial"/>
          <w:lang w:val="es-ES_tradnl"/>
        </w:rPr>
        <w:t>endo</w:t>
      </w:r>
      <w:r w:rsidR="00054202" w:rsidRPr="00142319">
        <w:rPr>
          <w:rFonts w:ascii="Arial" w:hAnsi="Arial" w:cs="Arial"/>
          <w:lang w:val="es-ES_tradnl"/>
        </w:rPr>
        <w:t xml:space="preserve"> </w:t>
      </w:r>
      <w:r w:rsidRPr="00142319">
        <w:rPr>
          <w:rFonts w:ascii="Arial" w:hAnsi="Arial" w:cs="Arial"/>
          <w:lang w:val="es-ES_tradnl"/>
        </w:rPr>
        <w:t xml:space="preserve">los costos de transacción. Esto contribuirá a al incremento de la satisfacción de los </w:t>
      </w:r>
      <w:r w:rsidR="00054202">
        <w:rPr>
          <w:rFonts w:ascii="Arial" w:hAnsi="Arial" w:cs="Arial"/>
          <w:lang w:val="es-ES_tradnl"/>
        </w:rPr>
        <w:t>ciudadanos y a la mejora del clima de negocios</w:t>
      </w:r>
      <w:r w:rsidRPr="00142319">
        <w:rPr>
          <w:rFonts w:ascii="Arial" w:hAnsi="Arial" w:cs="Arial"/>
          <w:lang w:val="es-ES_tradnl"/>
        </w:rPr>
        <w:t xml:space="preserve">. Los objetivos específicos son: (i) </w:t>
      </w:r>
      <w:r w:rsidR="00054202">
        <w:rPr>
          <w:rFonts w:ascii="Arial" w:hAnsi="Arial" w:cs="Arial"/>
          <w:lang w:val="es-ES_tradnl"/>
        </w:rPr>
        <w:t xml:space="preserve">simplificación, estandarización y </w:t>
      </w:r>
      <w:r w:rsidRPr="00142319">
        <w:rPr>
          <w:rFonts w:ascii="Arial" w:hAnsi="Arial" w:cs="Arial"/>
          <w:lang w:val="es-ES_tradnl"/>
        </w:rPr>
        <w:t xml:space="preserve">mejora regulatoria; (ii) mejora y ampliación de la capacidad de interoperabilidad de las entidades del Estado; (iii) mejora de la gestión </w:t>
      </w:r>
      <w:r w:rsidR="00054202">
        <w:rPr>
          <w:rFonts w:ascii="Arial" w:hAnsi="Arial" w:cs="Arial"/>
          <w:lang w:val="es-ES_tradnl"/>
        </w:rPr>
        <w:t>en</w:t>
      </w:r>
      <w:r w:rsidR="00054202" w:rsidRPr="00142319">
        <w:rPr>
          <w:rFonts w:ascii="Arial" w:hAnsi="Arial" w:cs="Arial"/>
          <w:lang w:val="es-ES_tradnl"/>
        </w:rPr>
        <w:t xml:space="preserve"> </w:t>
      </w:r>
      <w:r w:rsidRPr="00142319">
        <w:rPr>
          <w:rFonts w:ascii="Arial" w:hAnsi="Arial" w:cs="Arial"/>
          <w:lang w:val="es-ES_tradnl"/>
        </w:rPr>
        <w:t>la atención a ciudadanos y empresas; y (iv) mejora de las condiciones para la planificación y coordinación de los servicios.</w:t>
      </w:r>
    </w:p>
    <w:p w14:paraId="0E8C3D55" w14:textId="38D8071A" w:rsidR="0021478C" w:rsidRPr="00251A1E" w:rsidRDefault="0021478C"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Para alcanzar estos objetivos, el proyecto se ordena en torno a cuatro</w:t>
      </w:r>
      <w:r w:rsidR="004131D1" w:rsidRPr="00251A1E">
        <w:rPr>
          <w:rFonts w:ascii="Arial" w:hAnsi="Arial" w:cs="Arial"/>
          <w:lang w:val="es-CL"/>
        </w:rPr>
        <w:t xml:space="preserve"> componentes: (1)</w:t>
      </w:r>
      <w:r w:rsidR="00100477">
        <w:rPr>
          <w:rFonts w:ascii="Arial" w:hAnsi="Arial" w:cs="Arial"/>
          <w:lang w:val="es-CL"/>
        </w:rPr>
        <w:t xml:space="preserve"> S</w:t>
      </w:r>
      <w:r w:rsidR="004131D1" w:rsidRPr="00251A1E">
        <w:rPr>
          <w:rFonts w:ascii="Arial" w:hAnsi="Arial" w:cs="Arial"/>
          <w:lang w:val="es-CL"/>
        </w:rPr>
        <w:t>implificación</w:t>
      </w:r>
      <w:r w:rsidR="00100477">
        <w:rPr>
          <w:rFonts w:ascii="Arial" w:hAnsi="Arial" w:cs="Arial"/>
          <w:lang w:val="es-CL"/>
        </w:rPr>
        <w:t>, estandarización y mejora regulatoria</w:t>
      </w:r>
      <w:r w:rsidR="004131D1" w:rsidRPr="00251A1E">
        <w:rPr>
          <w:rFonts w:ascii="Arial" w:hAnsi="Arial" w:cs="Arial"/>
          <w:lang w:val="es-CL"/>
        </w:rPr>
        <w:t xml:space="preserve"> </w:t>
      </w:r>
      <w:r w:rsidR="00100477">
        <w:rPr>
          <w:rFonts w:ascii="Arial" w:hAnsi="Arial" w:cs="Arial"/>
          <w:lang w:val="es-CL"/>
        </w:rPr>
        <w:t xml:space="preserve">; </w:t>
      </w:r>
      <w:r w:rsidR="004131D1" w:rsidRPr="00251A1E">
        <w:rPr>
          <w:rFonts w:ascii="Arial" w:hAnsi="Arial" w:cs="Arial"/>
          <w:lang w:val="es-CL"/>
        </w:rPr>
        <w:t>(2) Mejora y ampliación de la capacidad de interoperabilidad en las entidades del estado</w:t>
      </w:r>
      <w:r w:rsidRPr="00251A1E">
        <w:rPr>
          <w:rFonts w:ascii="Arial" w:hAnsi="Arial" w:cs="Arial"/>
          <w:lang w:val="es-CL"/>
        </w:rPr>
        <w:t xml:space="preserve">; (3) </w:t>
      </w:r>
      <w:r w:rsidR="004131D1" w:rsidRPr="00251A1E">
        <w:rPr>
          <w:rFonts w:ascii="Arial" w:hAnsi="Arial" w:cs="Arial"/>
          <w:lang w:val="es-CL"/>
        </w:rPr>
        <w:t>Mejora de la g</w:t>
      </w:r>
      <w:r w:rsidRPr="00251A1E">
        <w:rPr>
          <w:rFonts w:ascii="Arial" w:hAnsi="Arial" w:cs="Arial"/>
          <w:lang w:val="es-CL"/>
        </w:rPr>
        <w:t xml:space="preserve">estión </w:t>
      </w:r>
      <w:r w:rsidR="00054202">
        <w:rPr>
          <w:rFonts w:ascii="Arial" w:hAnsi="Arial" w:cs="Arial"/>
          <w:lang w:val="es-CL"/>
        </w:rPr>
        <w:t>en</w:t>
      </w:r>
      <w:r w:rsidR="00054202" w:rsidRPr="00251A1E">
        <w:rPr>
          <w:rFonts w:ascii="Arial" w:hAnsi="Arial" w:cs="Arial"/>
          <w:lang w:val="es-CL"/>
        </w:rPr>
        <w:t xml:space="preserve"> </w:t>
      </w:r>
      <w:r w:rsidRPr="00251A1E">
        <w:rPr>
          <w:rFonts w:ascii="Arial" w:hAnsi="Arial" w:cs="Arial"/>
          <w:lang w:val="es-CL"/>
        </w:rPr>
        <w:t xml:space="preserve">la atención a ciudadanos y empresas; (4) Mejora de las </w:t>
      </w:r>
      <w:r w:rsidR="004131D1" w:rsidRPr="00251A1E">
        <w:rPr>
          <w:rFonts w:ascii="Arial" w:hAnsi="Arial" w:cs="Arial"/>
          <w:lang w:val="es-CL"/>
        </w:rPr>
        <w:t>condiciones para la</w:t>
      </w:r>
      <w:r w:rsidRPr="00251A1E">
        <w:rPr>
          <w:rFonts w:ascii="Arial" w:hAnsi="Arial" w:cs="Arial"/>
          <w:lang w:val="es-CL"/>
        </w:rPr>
        <w:t xml:space="preserve"> planificación y coordinación de servicios públicos.</w:t>
      </w:r>
    </w:p>
    <w:p w14:paraId="0E8C3D56" w14:textId="52954CE8" w:rsidR="004131D1" w:rsidRPr="00251A1E" w:rsidRDefault="004131D1"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En particular, </w:t>
      </w:r>
      <w:r w:rsidR="008700AA">
        <w:rPr>
          <w:rFonts w:ascii="Arial" w:hAnsi="Arial" w:cs="Arial"/>
          <w:lang w:val="es-CL"/>
        </w:rPr>
        <w:t>el primer</w:t>
      </w:r>
      <w:r w:rsidRPr="00251A1E">
        <w:rPr>
          <w:rFonts w:ascii="Arial" w:hAnsi="Arial" w:cs="Arial"/>
          <w:lang w:val="es-CL"/>
        </w:rPr>
        <w:t xml:space="preserve"> componente se enfoca en mejoras regulatorias a nivel nacional y subnacional, y la simplificación de procedimientos administrativos. En este contexto, est</w:t>
      </w:r>
      <w:r w:rsidR="008700AA">
        <w:rPr>
          <w:rFonts w:ascii="Arial" w:hAnsi="Arial" w:cs="Arial"/>
          <w:lang w:val="es-CL"/>
        </w:rPr>
        <w:t>e</w:t>
      </w:r>
      <w:r w:rsidRPr="00251A1E">
        <w:rPr>
          <w:rFonts w:ascii="Arial" w:hAnsi="Arial" w:cs="Arial"/>
          <w:lang w:val="es-CL"/>
        </w:rPr>
        <w:t xml:space="preserve"> componente se preocupa de simplificar procesos en base a medición de costo estándar; de generar la capacidad de análisis de impacto regulatorio, lo que permite mejorar el marco regulatorio existente y posibles modificaciones de éste; de estandarizar procedimientos y de la revisión y actualización del Sistema Único de Trámites.</w:t>
      </w:r>
    </w:p>
    <w:p w14:paraId="0E8C3D57" w14:textId="77777777" w:rsidR="004131D1" w:rsidRPr="00251A1E" w:rsidRDefault="008700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El</w:t>
      </w:r>
      <w:r w:rsidR="004131D1" w:rsidRPr="00251A1E">
        <w:rPr>
          <w:rFonts w:ascii="Arial" w:hAnsi="Arial" w:cs="Arial"/>
          <w:lang w:val="es-CL"/>
        </w:rPr>
        <w:t xml:space="preserve"> segund</w:t>
      </w:r>
      <w:r>
        <w:rPr>
          <w:rFonts w:ascii="Arial" w:hAnsi="Arial" w:cs="Arial"/>
          <w:lang w:val="es-CL"/>
        </w:rPr>
        <w:t>o</w:t>
      </w:r>
      <w:r w:rsidR="004131D1" w:rsidRPr="00251A1E">
        <w:rPr>
          <w:rFonts w:ascii="Arial" w:hAnsi="Arial" w:cs="Arial"/>
          <w:lang w:val="es-CL"/>
        </w:rPr>
        <w:t xml:space="preserve"> componente tiene como lineamiento principal promover la interoperabilidad efectiva entre bases de datos del Estado.  Lo anterior permitirá mejorar y ampliar la oferta de servicios digitales ofrecidos a empresas y ciudadanos. Para lograr esto se requiere primero la ampliación de capacidades de interoperabilidad técnica – actualizando equipamiento y software- y la habilitación de un centro de datos; ampliación de capacidades de interoperabilidad organizacional, desarrollar la gestión, la integración de servicios complejos y la estandarización de trámites y servicios; Integración de bases de datos de ciudadanos y la implementación de Carpeta Ciudadana; Desarrollo e implementación de un sistema </w:t>
      </w:r>
      <w:r w:rsidR="004131D1" w:rsidRPr="00251A1E">
        <w:rPr>
          <w:rFonts w:ascii="Arial" w:hAnsi="Arial" w:cs="Arial"/>
          <w:i/>
          <w:lang w:val="es-CL"/>
        </w:rPr>
        <w:t>Citizen Relationship Management</w:t>
      </w:r>
      <w:r w:rsidR="004131D1" w:rsidRPr="00251A1E">
        <w:rPr>
          <w:rFonts w:ascii="Arial" w:hAnsi="Arial" w:cs="Arial"/>
          <w:lang w:val="es-CL"/>
        </w:rPr>
        <w:t>; Implementación de mecanismos de seguridad y la organización, digitalización y mejora de archivos de documentación histórica.</w:t>
      </w:r>
    </w:p>
    <w:p w14:paraId="0E8C3D58" w14:textId="77777777" w:rsidR="004131D1" w:rsidRPr="00251A1E" w:rsidRDefault="008700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El tercer</w:t>
      </w:r>
      <w:r w:rsidR="004131D1" w:rsidRPr="00251A1E">
        <w:rPr>
          <w:rFonts w:ascii="Arial" w:hAnsi="Arial" w:cs="Arial"/>
          <w:lang w:val="es-CL"/>
        </w:rPr>
        <w:t xml:space="preserve"> componente</w:t>
      </w:r>
      <w:r w:rsidR="003504EE" w:rsidRPr="00251A1E">
        <w:rPr>
          <w:rFonts w:ascii="Arial" w:hAnsi="Arial" w:cs="Arial"/>
          <w:lang w:val="es-CL"/>
        </w:rPr>
        <w:t xml:space="preserve"> se centra principalmente en facilitar el acceso a servicios presenciales y no presenciales del Estado. Para esto se financiarán las siguientes actividades: Diseño e implementación de mecanismos de gestión de calidad de servicios</w:t>
      </w:r>
      <w:r w:rsidR="007A3154" w:rsidRPr="00251A1E">
        <w:rPr>
          <w:rFonts w:ascii="Arial" w:hAnsi="Arial" w:cs="Arial"/>
          <w:lang w:val="es-CL"/>
        </w:rPr>
        <w:t>, como por ejemplo a través de la definición de estándares y protocoles de atención al público; Mejora y ampliación de los MAC a partir de estudios que ayuden a determinar la demanda, necesidades, modalidad, ubicación geográfica y oferta de trámites de cada nuevo MAC, desarrollo de protocolos de gestión de calidad de los MAC, la habilitación</w:t>
      </w:r>
      <w:r w:rsidR="00021801" w:rsidRPr="00251A1E">
        <w:rPr>
          <w:rFonts w:ascii="Arial" w:hAnsi="Arial" w:cs="Arial"/>
          <w:lang w:val="es-CL"/>
        </w:rPr>
        <w:t xml:space="preserve"> de diez</w:t>
      </w:r>
      <w:r w:rsidR="007A3154" w:rsidRPr="00251A1E">
        <w:rPr>
          <w:rFonts w:ascii="Arial" w:hAnsi="Arial" w:cs="Arial"/>
          <w:lang w:val="es-CL"/>
        </w:rPr>
        <w:t xml:space="preserve"> MAC, desarrollo y puesta en funcionamiento  de un sistema de monitoreo de los MAC; Mejora de la infraestructura tecnológica de los portales web del Estado; Asistencia a entidades públicas para la mejora y ampliación de servicios públicos simplificados (con apoyo de las actividades de la componente 1); Fortalecimiento y modernización de los procesos de gestión interna de las entidades que entregan servicios a ciudadanos y empresas.</w:t>
      </w:r>
    </w:p>
    <w:p w14:paraId="0E8C3D59" w14:textId="77777777" w:rsidR="007A3154" w:rsidRPr="00251A1E" w:rsidRDefault="008700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El cuarto</w:t>
      </w:r>
      <w:r w:rsidR="007A3154" w:rsidRPr="00251A1E">
        <w:rPr>
          <w:rFonts w:ascii="Arial" w:hAnsi="Arial" w:cs="Arial"/>
          <w:lang w:val="es-CL"/>
        </w:rPr>
        <w:t xml:space="preserve"> componente</w:t>
      </w:r>
      <w:r w:rsidR="0092789C" w:rsidRPr="00251A1E">
        <w:rPr>
          <w:rFonts w:ascii="Arial" w:hAnsi="Arial" w:cs="Arial"/>
          <w:lang w:val="es-CL"/>
        </w:rPr>
        <w:t xml:space="preserve"> se centra en el fortalecimiento de las capacidades de planificación y coordinación que tengan incidencia en la entrega de servicios a empresas y ciudadanos.  Est</w:t>
      </w:r>
      <w:r>
        <w:rPr>
          <w:rFonts w:ascii="Arial" w:hAnsi="Arial" w:cs="Arial"/>
          <w:lang w:val="es-CL"/>
        </w:rPr>
        <w:t>e</w:t>
      </w:r>
      <w:r w:rsidR="0092789C" w:rsidRPr="00251A1E">
        <w:rPr>
          <w:rFonts w:ascii="Arial" w:hAnsi="Arial" w:cs="Arial"/>
          <w:lang w:val="es-CL"/>
        </w:rPr>
        <w:t xml:space="preserve"> componente financia actividades como: Implementación de un modelo de gestión de cumplimiento para las políticas prioritarias del gobierno; Mejora los mecanismos de coordinación para el diseño e implementación de políticas multisectoriales; Diseño de plataformas de información de problemáticas multisectoriales; Formulación, pilotaje y diseño de modelos de agencia de desarrollo regional.</w:t>
      </w:r>
    </w:p>
    <w:p w14:paraId="0E8C3D5A" w14:textId="77777777" w:rsidR="0021478C" w:rsidRPr="00251A1E" w:rsidRDefault="0021478C"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Se estudiar</w:t>
      </w:r>
      <w:r w:rsidR="008700AA">
        <w:rPr>
          <w:rFonts w:ascii="Arial" w:hAnsi="Arial" w:cs="Arial"/>
          <w:lang w:val="es-CL"/>
        </w:rPr>
        <w:t>á</w:t>
      </w:r>
      <w:r w:rsidRPr="00251A1E">
        <w:rPr>
          <w:rFonts w:ascii="Arial" w:hAnsi="Arial" w:cs="Arial"/>
          <w:lang w:val="es-CL"/>
        </w:rPr>
        <w:t>n los beneficios asociados a cada un</w:t>
      </w:r>
      <w:r w:rsidR="008700AA">
        <w:rPr>
          <w:rFonts w:ascii="Arial" w:hAnsi="Arial" w:cs="Arial"/>
          <w:lang w:val="es-CL"/>
        </w:rPr>
        <w:t>o</w:t>
      </w:r>
      <w:r w:rsidRPr="00251A1E">
        <w:rPr>
          <w:rFonts w:ascii="Arial" w:hAnsi="Arial" w:cs="Arial"/>
          <w:lang w:val="es-CL"/>
        </w:rPr>
        <w:t xml:space="preserve"> de est</w:t>
      </w:r>
      <w:r w:rsidR="008700AA">
        <w:rPr>
          <w:rFonts w:ascii="Arial" w:hAnsi="Arial" w:cs="Arial"/>
          <w:lang w:val="es-CL"/>
        </w:rPr>
        <w:t>o</w:t>
      </w:r>
      <w:r w:rsidRPr="00251A1E">
        <w:rPr>
          <w:rFonts w:ascii="Arial" w:hAnsi="Arial" w:cs="Arial"/>
          <w:lang w:val="es-CL"/>
        </w:rPr>
        <w:t>s componentes, para de esta forma generar los beneficios totales del proyecto. Cabe hacer notar que existen posibles sinergias entre las componentes que pueden generar beneficios adicionales, pero que serán omitidos en el presente informe.</w:t>
      </w:r>
    </w:p>
    <w:p w14:paraId="0E8C3D5B" w14:textId="77777777" w:rsidR="0021478C" w:rsidRPr="00DE2D22" w:rsidRDefault="009D5A1E" w:rsidP="00DE2D22">
      <w:pPr>
        <w:pStyle w:val="ListParagraph"/>
        <w:numPr>
          <w:ilvl w:val="0"/>
          <w:numId w:val="7"/>
        </w:numPr>
        <w:ind w:hanging="720"/>
        <w:rPr>
          <w:rFonts w:ascii="Arial" w:hAnsi="Arial"/>
          <w:b/>
          <w:lang w:val="es-CL"/>
        </w:rPr>
      </w:pPr>
      <w:r w:rsidRPr="00DE2D22">
        <w:rPr>
          <w:rFonts w:ascii="Arial" w:hAnsi="Arial"/>
          <w:b/>
          <w:lang w:val="es-CL"/>
        </w:rPr>
        <w:t>Supuestos y Metodología.</w:t>
      </w:r>
    </w:p>
    <w:p w14:paraId="0E8C3D5C" w14:textId="77777777" w:rsidR="009D5A1E" w:rsidRPr="00251A1E" w:rsidRDefault="009D5A1E"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Para poder calcular los beneficios</w:t>
      </w:r>
      <w:r w:rsidR="0021478C" w:rsidRPr="00251A1E">
        <w:rPr>
          <w:rFonts w:ascii="Arial" w:hAnsi="Arial" w:cs="Arial"/>
          <w:lang w:val="es-CL"/>
        </w:rPr>
        <w:t xml:space="preserve"> ex - ante</w:t>
      </w:r>
      <w:r w:rsidRPr="00251A1E">
        <w:rPr>
          <w:rFonts w:ascii="Arial" w:hAnsi="Arial" w:cs="Arial"/>
          <w:lang w:val="es-CL"/>
        </w:rPr>
        <w:t xml:space="preserve"> del </w:t>
      </w:r>
      <w:r w:rsidR="0021478C" w:rsidRPr="00251A1E">
        <w:rPr>
          <w:rFonts w:ascii="Arial" w:hAnsi="Arial" w:cs="Arial"/>
          <w:lang w:val="es-CL"/>
        </w:rPr>
        <w:t>proyecto</w:t>
      </w:r>
      <w:r w:rsidRPr="00251A1E">
        <w:rPr>
          <w:rFonts w:ascii="Arial" w:hAnsi="Arial" w:cs="Arial"/>
          <w:lang w:val="es-CL"/>
        </w:rPr>
        <w:t>, es necesario trabajar con una serie de</w:t>
      </w:r>
      <w:r w:rsidR="0021478C" w:rsidRPr="00251A1E">
        <w:rPr>
          <w:rFonts w:ascii="Arial" w:hAnsi="Arial" w:cs="Arial"/>
          <w:lang w:val="es-CL"/>
        </w:rPr>
        <w:t xml:space="preserve"> supuestos que pueden afectar esta</w:t>
      </w:r>
      <w:r w:rsidRPr="00251A1E">
        <w:rPr>
          <w:rFonts w:ascii="Arial" w:hAnsi="Arial" w:cs="Arial"/>
          <w:lang w:val="es-CL"/>
        </w:rPr>
        <w:t xml:space="preserve"> evaluación. Por lo</w:t>
      </w:r>
      <w:r w:rsidR="0021478C" w:rsidRPr="00251A1E">
        <w:rPr>
          <w:rFonts w:ascii="Arial" w:hAnsi="Arial" w:cs="Arial"/>
          <w:lang w:val="es-CL"/>
        </w:rPr>
        <w:t xml:space="preserve"> tanto</w:t>
      </w:r>
      <w:r w:rsidRPr="00251A1E">
        <w:rPr>
          <w:rFonts w:ascii="Arial" w:hAnsi="Arial" w:cs="Arial"/>
          <w:lang w:val="es-CL"/>
        </w:rPr>
        <w:t>, se realiza</w:t>
      </w:r>
      <w:r w:rsidR="008700AA">
        <w:rPr>
          <w:rFonts w:ascii="Arial" w:hAnsi="Arial" w:cs="Arial"/>
          <w:lang w:val="es-CL"/>
        </w:rPr>
        <w:t>rá</w:t>
      </w:r>
      <w:r w:rsidRPr="00251A1E">
        <w:rPr>
          <w:rFonts w:ascii="Arial" w:hAnsi="Arial" w:cs="Arial"/>
          <w:lang w:val="es-CL"/>
        </w:rPr>
        <w:t xml:space="preserve">n simulaciones, </w:t>
      </w:r>
      <w:r w:rsidR="0021478C" w:rsidRPr="00251A1E">
        <w:rPr>
          <w:rFonts w:ascii="Arial" w:hAnsi="Arial" w:cs="Arial"/>
          <w:lang w:val="es-CL"/>
        </w:rPr>
        <w:t>y se calcular</w:t>
      </w:r>
      <w:r w:rsidR="008700AA">
        <w:rPr>
          <w:rFonts w:ascii="Arial" w:hAnsi="Arial" w:cs="Arial"/>
          <w:lang w:val="es-CL"/>
        </w:rPr>
        <w:t>á</w:t>
      </w:r>
      <w:r w:rsidR="0021478C" w:rsidRPr="00251A1E">
        <w:rPr>
          <w:rFonts w:ascii="Arial" w:hAnsi="Arial" w:cs="Arial"/>
          <w:lang w:val="es-CL"/>
        </w:rPr>
        <w:t>n los beneficios para varios posibles escenarios</w:t>
      </w:r>
      <w:r w:rsidRPr="00251A1E">
        <w:rPr>
          <w:rFonts w:ascii="Arial" w:hAnsi="Arial" w:cs="Arial"/>
          <w:lang w:val="es-CL"/>
        </w:rPr>
        <w:t xml:space="preserve">, para poder cuantificar la importancia de estos supuestos y analizar como distintos escenarios afectan la evaluación final del </w:t>
      </w:r>
      <w:r w:rsidR="0021478C" w:rsidRPr="00251A1E">
        <w:rPr>
          <w:rFonts w:ascii="Arial" w:hAnsi="Arial" w:cs="Arial"/>
          <w:lang w:val="es-CL"/>
        </w:rPr>
        <w:t>proyecto</w:t>
      </w:r>
      <w:r w:rsidRPr="00251A1E">
        <w:rPr>
          <w:rFonts w:ascii="Arial" w:hAnsi="Arial" w:cs="Arial"/>
          <w:lang w:val="es-CL"/>
        </w:rPr>
        <w:t>.</w:t>
      </w:r>
    </w:p>
    <w:p w14:paraId="0E8C3D5D" w14:textId="77777777" w:rsidR="00E6090D" w:rsidRPr="00251A1E" w:rsidRDefault="009D5A1E"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Algunos de estos supuestos están basados en </w:t>
      </w:r>
      <w:r w:rsidR="003C0D0B" w:rsidRPr="00251A1E">
        <w:rPr>
          <w:rFonts w:ascii="Arial" w:hAnsi="Arial" w:cs="Arial"/>
          <w:lang w:val="es-CL"/>
        </w:rPr>
        <w:t>información entregada por</w:t>
      </w:r>
      <w:r w:rsidR="008700AA">
        <w:rPr>
          <w:rFonts w:ascii="Arial" w:hAnsi="Arial" w:cs="Arial"/>
          <w:lang w:val="es-CL"/>
        </w:rPr>
        <w:t xml:space="preserve"> la Presidencia del Consejo de Ministros (</w:t>
      </w:r>
      <w:r w:rsidR="003C0D0B" w:rsidRPr="00251A1E">
        <w:rPr>
          <w:rFonts w:ascii="Arial" w:hAnsi="Arial" w:cs="Arial"/>
          <w:lang w:val="es-CL"/>
        </w:rPr>
        <w:t>PCM</w:t>
      </w:r>
      <w:r w:rsidR="008700AA">
        <w:rPr>
          <w:rFonts w:ascii="Arial" w:hAnsi="Arial" w:cs="Arial"/>
          <w:lang w:val="es-CL"/>
        </w:rPr>
        <w:t>)</w:t>
      </w:r>
      <w:r w:rsidR="003C0D0B" w:rsidRPr="00251A1E">
        <w:rPr>
          <w:rFonts w:ascii="Arial" w:hAnsi="Arial" w:cs="Arial"/>
          <w:lang w:val="es-CL"/>
        </w:rPr>
        <w:t xml:space="preserve"> y otras entidades del gobierno peruano</w:t>
      </w:r>
      <w:r w:rsidRPr="00251A1E">
        <w:rPr>
          <w:rFonts w:ascii="Arial" w:hAnsi="Arial" w:cs="Arial"/>
          <w:lang w:val="es-CL"/>
        </w:rPr>
        <w:t>, y en general se refieren a las proyecciones, o tasa de crecimiento</w:t>
      </w:r>
      <w:r w:rsidR="008700AA">
        <w:rPr>
          <w:rFonts w:ascii="Arial" w:hAnsi="Arial" w:cs="Arial"/>
          <w:lang w:val="es-CL"/>
        </w:rPr>
        <w:t>,</w:t>
      </w:r>
      <w:r w:rsidRPr="00251A1E">
        <w:rPr>
          <w:rFonts w:ascii="Arial" w:hAnsi="Arial" w:cs="Arial"/>
          <w:lang w:val="es-CL"/>
        </w:rPr>
        <w:t xml:space="preserve"> de algunas variables. Otro conjunto de supuestos se refiere a extrapolaciones,</w:t>
      </w:r>
      <w:r w:rsidR="0021478C" w:rsidRPr="00251A1E">
        <w:rPr>
          <w:rFonts w:ascii="Arial" w:hAnsi="Arial" w:cs="Arial"/>
          <w:lang w:val="es-CL"/>
        </w:rPr>
        <w:t xml:space="preserve"> o información proveniente de la evidencia internacional, que son utilizados en caso de que no exista información pertinente</w:t>
      </w:r>
      <w:r w:rsidRPr="00251A1E">
        <w:rPr>
          <w:rFonts w:ascii="Arial" w:hAnsi="Arial" w:cs="Arial"/>
          <w:lang w:val="es-CL"/>
        </w:rPr>
        <w:t>.</w:t>
      </w:r>
    </w:p>
    <w:p w14:paraId="0E8C3D5E" w14:textId="77777777" w:rsidR="00E6090D" w:rsidRPr="00251A1E" w:rsidRDefault="00E6090D"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Adicionalmente, asumiremos en forma general que</w:t>
      </w:r>
    </w:p>
    <w:p w14:paraId="0E8C3D5F" w14:textId="77777777" w:rsidR="009D5A1E" w:rsidRPr="00251A1E" w:rsidRDefault="00E6090D" w:rsidP="00251A1E">
      <w:pPr>
        <w:pStyle w:val="ListParagraph"/>
        <w:numPr>
          <w:ilvl w:val="0"/>
          <w:numId w:val="1"/>
        </w:numPr>
        <w:jc w:val="both"/>
        <w:rPr>
          <w:rFonts w:ascii="Arial" w:hAnsi="Arial" w:cs="Arial"/>
          <w:lang w:val="es-CL"/>
        </w:rPr>
      </w:pPr>
      <w:r w:rsidRPr="00251A1E">
        <w:rPr>
          <w:rFonts w:ascii="Arial" w:hAnsi="Arial" w:cs="Arial"/>
          <w:lang w:val="es-CL"/>
        </w:rPr>
        <w:t>Los beneficios del proyecto s</w:t>
      </w:r>
      <w:r w:rsidR="008700AA">
        <w:rPr>
          <w:rFonts w:ascii="Arial" w:hAnsi="Arial" w:cs="Arial"/>
          <w:lang w:val="es-CL"/>
        </w:rPr>
        <w:t>ó</w:t>
      </w:r>
      <w:r w:rsidRPr="00251A1E">
        <w:rPr>
          <w:rFonts w:ascii="Arial" w:hAnsi="Arial" w:cs="Arial"/>
          <w:lang w:val="es-CL"/>
        </w:rPr>
        <w:t>lo empiezan a ser observados a partir del segundo año.  Esto se debe a que varios componentes del proyecto pueden requerir inversiones en capital físico, capacitaciones, y mejoras de sistemas, las cuales requieren tiempo para implementarse.</w:t>
      </w:r>
    </w:p>
    <w:p w14:paraId="0E8C3D60" w14:textId="77777777" w:rsidR="00E6090D" w:rsidRPr="00251A1E" w:rsidRDefault="00E6090D" w:rsidP="00251A1E">
      <w:pPr>
        <w:pStyle w:val="ListParagraph"/>
        <w:numPr>
          <w:ilvl w:val="0"/>
          <w:numId w:val="1"/>
        </w:numPr>
        <w:jc w:val="both"/>
        <w:rPr>
          <w:rFonts w:ascii="Arial" w:hAnsi="Arial" w:cs="Arial"/>
          <w:lang w:val="es-CL"/>
        </w:rPr>
      </w:pPr>
      <w:r w:rsidRPr="00251A1E">
        <w:rPr>
          <w:rFonts w:ascii="Arial" w:hAnsi="Arial" w:cs="Arial"/>
          <w:lang w:val="es-CL"/>
        </w:rPr>
        <w:t>Para los cálculos financieros de esta evaluación se seguirán los estándares del Banco. Especialmente en lo referido a tasas de retorno, tasas de descuento, estructura de pagos del crédito, etc.</w:t>
      </w:r>
    </w:p>
    <w:p w14:paraId="0E8C3D61" w14:textId="77777777" w:rsidR="002B2FFD" w:rsidRPr="00251A1E" w:rsidRDefault="00742649" w:rsidP="00251A1E">
      <w:pPr>
        <w:pStyle w:val="ListParagraph"/>
        <w:numPr>
          <w:ilvl w:val="0"/>
          <w:numId w:val="1"/>
        </w:numPr>
        <w:jc w:val="both"/>
        <w:rPr>
          <w:rFonts w:ascii="Arial" w:hAnsi="Arial" w:cs="Arial"/>
          <w:lang w:val="es-CL"/>
        </w:rPr>
      </w:pPr>
      <w:r w:rsidRPr="00251A1E">
        <w:rPr>
          <w:rFonts w:ascii="Arial" w:hAnsi="Arial" w:cs="Arial"/>
          <w:lang w:val="es-CL"/>
        </w:rPr>
        <w:t xml:space="preserve">Los </w:t>
      </w:r>
      <w:r w:rsidR="008700AA">
        <w:rPr>
          <w:rFonts w:ascii="Arial" w:hAnsi="Arial" w:cs="Arial"/>
          <w:lang w:val="es-CL"/>
        </w:rPr>
        <w:t xml:space="preserve">Centros de Atención al Ciudadano o </w:t>
      </w:r>
      <w:r w:rsidRPr="00251A1E">
        <w:rPr>
          <w:rFonts w:ascii="Arial" w:hAnsi="Arial" w:cs="Arial"/>
          <w:lang w:val="es-CL"/>
        </w:rPr>
        <w:t xml:space="preserve">MAC presenciales ahorran al menos 1 viaje adicional. </w:t>
      </w:r>
      <w:r w:rsidR="002B2FFD" w:rsidRPr="00251A1E">
        <w:rPr>
          <w:rFonts w:ascii="Arial" w:hAnsi="Arial" w:cs="Arial"/>
          <w:lang w:val="es-CL"/>
        </w:rPr>
        <w:t>Esto se debe a que la evidencia indica que muchos de los servicios entregados por los MAC consisten en trámites multi-entidades</w:t>
      </w:r>
      <w:r w:rsidR="00C062BA" w:rsidRPr="00251A1E">
        <w:rPr>
          <w:rFonts w:ascii="Arial" w:hAnsi="Arial" w:cs="Arial"/>
          <w:lang w:val="es-CL"/>
        </w:rPr>
        <w:t xml:space="preserve"> y por lo tanto es necesario considerar el ahorro del traslado entre entidades.</w:t>
      </w:r>
    </w:p>
    <w:p w14:paraId="0E8C3D62" w14:textId="77777777" w:rsidR="00E6090D" w:rsidRPr="00251A1E" w:rsidRDefault="005F4090" w:rsidP="00251A1E">
      <w:pPr>
        <w:pStyle w:val="ListParagraph"/>
        <w:numPr>
          <w:ilvl w:val="0"/>
          <w:numId w:val="1"/>
        </w:numPr>
        <w:jc w:val="both"/>
        <w:rPr>
          <w:rFonts w:ascii="Arial" w:hAnsi="Arial" w:cs="Arial"/>
          <w:lang w:val="es-CL"/>
        </w:rPr>
      </w:pPr>
      <w:r w:rsidRPr="00251A1E">
        <w:rPr>
          <w:rFonts w:ascii="Arial" w:hAnsi="Arial" w:cs="Arial"/>
          <w:lang w:val="es-CL"/>
        </w:rPr>
        <w:t>Los MAC virtuales ahorran 1 viaje.</w:t>
      </w:r>
      <w:r w:rsidR="00C062BA" w:rsidRPr="00251A1E">
        <w:rPr>
          <w:rFonts w:ascii="Arial" w:hAnsi="Arial" w:cs="Arial"/>
          <w:lang w:val="es-CL"/>
        </w:rPr>
        <w:t xml:space="preserve"> El beneficio principal ofrecido por los MAC virtuales, es la entrega de información pertinente que ahorra la visita al MAC presencial. Es por esto, que asumiremos que cada visita a un MAC virtual ahorro una visita al MAC presencial.</w:t>
      </w:r>
    </w:p>
    <w:p w14:paraId="0E8C3D63" w14:textId="77777777" w:rsidR="005C34C8" w:rsidRPr="00251A1E" w:rsidRDefault="005C34C8" w:rsidP="00251A1E">
      <w:pPr>
        <w:pStyle w:val="ListParagraph"/>
        <w:numPr>
          <w:ilvl w:val="0"/>
          <w:numId w:val="1"/>
        </w:numPr>
        <w:jc w:val="both"/>
        <w:rPr>
          <w:rFonts w:ascii="Arial" w:hAnsi="Arial" w:cs="Arial"/>
          <w:lang w:val="es-CL"/>
        </w:rPr>
      </w:pPr>
      <w:r w:rsidRPr="00251A1E">
        <w:rPr>
          <w:rFonts w:ascii="Arial" w:hAnsi="Arial" w:cs="Arial"/>
          <w:lang w:val="es-CL"/>
        </w:rPr>
        <w:t xml:space="preserve">Los cálculos se hacen para la población económicamente activa. </w:t>
      </w:r>
    </w:p>
    <w:p w14:paraId="0E8C3D64" w14:textId="77777777" w:rsidR="00B15596" w:rsidRPr="00251A1E" w:rsidRDefault="00B15596" w:rsidP="00251A1E">
      <w:pPr>
        <w:pStyle w:val="ListParagraph"/>
        <w:numPr>
          <w:ilvl w:val="0"/>
          <w:numId w:val="1"/>
        </w:numPr>
        <w:jc w:val="both"/>
        <w:rPr>
          <w:rFonts w:ascii="Arial" w:hAnsi="Arial" w:cs="Arial"/>
          <w:lang w:val="es-CL"/>
        </w:rPr>
      </w:pPr>
      <w:r w:rsidRPr="00251A1E">
        <w:rPr>
          <w:rFonts w:ascii="Arial" w:hAnsi="Arial" w:cs="Arial"/>
          <w:lang w:val="es-CL"/>
        </w:rPr>
        <w:t>El tipo de cambio se fija en 3.26 soles por dólar</w:t>
      </w:r>
      <w:r w:rsidR="008700AA">
        <w:rPr>
          <w:rFonts w:ascii="Arial" w:hAnsi="Arial" w:cs="Arial"/>
          <w:lang w:val="es-CL"/>
        </w:rPr>
        <w:t xml:space="preserve"> estadounidense</w:t>
      </w:r>
      <w:r w:rsidRPr="00251A1E">
        <w:rPr>
          <w:rFonts w:ascii="Arial" w:hAnsi="Arial" w:cs="Arial"/>
          <w:lang w:val="es-CL"/>
        </w:rPr>
        <w:t>.</w:t>
      </w:r>
    </w:p>
    <w:p w14:paraId="0E8C3D65" w14:textId="77777777" w:rsidR="003C0D0B" w:rsidRPr="00251A1E" w:rsidRDefault="003C0D0B"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Uno de los elementos clave del análisis de costo-beneficio se refiere a la identificación de los beneficios asociados a la realización del proyecto. Es para esto que es necesario definir con claridad los efectos del proyecto, para luego estimar el beneficio económico de estos efectos</w:t>
      </w:r>
      <w:r w:rsidR="00C062BA" w:rsidRPr="00251A1E">
        <w:rPr>
          <w:rFonts w:ascii="Arial" w:hAnsi="Arial" w:cs="Arial"/>
          <w:lang w:val="es-CL"/>
        </w:rPr>
        <w:t xml:space="preserve">. Esta distinción es clave para los componentes del </w:t>
      </w:r>
      <w:r w:rsidRPr="00251A1E">
        <w:rPr>
          <w:rFonts w:ascii="Arial" w:hAnsi="Arial" w:cs="Arial"/>
          <w:lang w:val="es-CL"/>
        </w:rPr>
        <w:t xml:space="preserve">proyecto que apuntan a extender, mejorar o aumentar servicios ya existentes. </w:t>
      </w:r>
    </w:p>
    <w:p w14:paraId="0E8C3D66" w14:textId="77777777" w:rsidR="003C0D0B" w:rsidRPr="00251A1E" w:rsidRDefault="003C0D0B"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En términos generales, l</w:t>
      </w:r>
      <w:r w:rsidR="00944171" w:rsidRPr="00251A1E">
        <w:rPr>
          <w:rFonts w:ascii="Arial" w:hAnsi="Arial" w:cs="Arial"/>
          <w:lang w:val="es-CL"/>
        </w:rPr>
        <w:t xml:space="preserve">os potenciales beneficios del proyecto son posibles de agrupar en dos categorías: </w:t>
      </w:r>
      <w:r w:rsidR="0099528E">
        <w:rPr>
          <w:rFonts w:ascii="Arial" w:hAnsi="Arial" w:cs="Arial"/>
          <w:lang w:val="es-CL"/>
        </w:rPr>
        <w:t>(i) b</w:t>
      </w:r>
      <w:r w:rsidR="00944171" w:rsidRPr="00251A1E">
        <w:rPr>
          <w:rFonts w:ascii="Arial" w:hAnsi="Arial" w:cs="Arial"/>
          <w:lang w:val="es-CL"/>
        </w:rPr>
        <w:t xml:space="preserve">eneficios que reducen los costos transaccionales, asociados a una mejora en </w:t>
      </w:r>
      <w:r w:rsidRPr="00251A1E">
        <w:rPr>
          <w:rFonts w:ascii="Arial" w:hAnsi="Arial" w:cs="Arial"/>
          <w:lang w:val="es-CL"/>
        </w:rPr>
        <w:t>el acceso a información acerca de servicios entregados y permitir que varios servicios se realicen en el mismo lugar físicamente, disminuyendo los tiempos y costos de transporte</w:t>
      </w:r>
      <w:r w:rsidR="0099528E">
        <w:rPr>
          <w:rFonts w:ascii="Arial" w:hAnsi="Arial" w:cs="Arial"/>
          <w:lang w:val="es-CL"/>
        </w:rPr>
        <w:t>; y (ii)</w:t>
      </w:r>
      <w:r w:rsidRPr="00251A1E">
        <w:rPr>
          <w:rFonts w:ascii="Arial" w:hAnsi="Arial" w:cs="Arial"/>
          <w:lang w:val="es-CL"/>
        </w:rPr>
        <w:t xml:space="preserve"> beneficios asociados a las mejoras en la eficiencia del conjunto regulatorio, la carga burocrática, y en forma general al aumentar la facilidad con que las entidades gubernamentales interactúan entre si y como el público y las firmas utilizan los servicios del Estado.  </w:t>
      </w:r>
    </w:p>
    <w:p w14:paraId="0E8C3D67" w14:textId="77777777" w:rsidR="00E6090D" w:rsidRPr="00251A1E" w:rsidRDefault="003C0D0B"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Con respecto a los costos transaccionales</w:t>
      </w:r>
      <w:r w:rsidR="00944171" w:rsidRPr="00251A1E">
        <w:rPr>
          <w:rFonts w:ascii="Arial" w:hAnsi="Arial" w:cs="Arial"/>
          <w:lang w:val="es-CL"/>
        </w:rPr>
        <w:t xml:space="preserve">, podemos distinguir </w:t>
      </w:r>
      <w:r w:rsidR="00BD0AE4" w:rsidRPr="00251A1E">
        <w:rPr>
          <w:rFonts w:ascii="Arial" w:hAnsi="Arial" w:cs="Arial"/>
          <w:lang w:val="es-CL"/>
        </w:rPr>
        <w:t>varias razones para su disminución</w:t>
      </w:r>
      <w:r w:rsidRPr="00251A1E">
        <w:rPr>
          <w:rFonts w:ascii="Arial" w:hAnsi="Arial" w:cs="Arial"/>
          <w:lang w:val="es-CL"/>
        </w:rPr>
        <w:t xml:space="preserve">. </w:t>
      </w:r>
      <w:r w:rsidR="0099528E">
        <w:rPr>
          <w:rFonts w:ascii="Arial" w:hAnsi="Arial" w:cs="Arial"/>
          <w:lang w:val="es-CL"/>
        </w:rPr>
        <w:t>El tercer</w:t>
      </w:r>
      <w:r w:rsidRPr="00251A1E">
        <w:rPr>
          <w:rFonts w:ascii="Arial" w:hAnsi="Arial" w:cs="Arial"/>
          <w:lang w:val="es-CL"/>
        </w:rPr>
        <w:t xml:space="preserve"> componente del proyecto </w:t>
      </w:r>
      <w:r w:rsidR="00944171" w:rsidRPr="00251A1E">
        <w:rPr>
          <w:rFonts w:ascii="Arial" w:hAnsi="Arial" w:cs="Arial"/>
          <w:lang w:val="es-CL"/>
        </w:rPr>
        <w:t>permite que los tiempos de espera de los trámites disminuyan, lo que permite un ahorro en tiempo para las personas que acceden a es</w:t>
      </w:r>
      <w:r w:rsidR="0099528E">
        <w:rPr>
          <w:rFonts w:ascii="Arial" w:hAnsi="Arial" w:cs="Arial"/>
          <w:lang w:val="es-CL"/>
        </w:rPr>
        <w:t>tos servicios. Cabe hacer notar</w:t>
      </w:r>
      <w:r w:rsidR="00944171" w:rsidRPr="00251A1E">
        <w:rPr>
          <w:rFonts w:ascii="Arial" w:hAnsi="Arial" w:cs="Arial"/>
          <w:lang w:val="es-CL"/>
        </w:rPr>
        <w:t xml:space="preserve"> </w:t>
      </w:r>
      <w:r w:rsidR="00BD0AE4" w:rsidRPr="00251A1E">
        <w:rPr>
          <w:rFonts w:ascii="Arial" w:hAnsi="Arial" w:cs="Arial"/>
          <w:lang w:val="es-CL"/>
        </w:rPr>
        <w:t>que</w:t>
      </w:r>
      <w:r w:rsidR="0099528E">
        <w:rPr>
          <w:rFonts w:ascii="Arial" w:hAnsi="Arial" w:cs="Arial"/>
          <w:lang w:val="es-CL"/>
        </w:rPr>
        <w:t>,</w:t>
      </w:r>
      <w:r w:rsidR="00BD0AE4" w:rsidRPr="00251A1E">
        <w:rPr>
          <w:rFonts w:ascii="Arial" w:hAnsi="Arial" w:cs="Arial"/>
          <w:lang w:val="es-CL"/>
        </w:rPr>
        <w:t xml:space="preserve"> para los MAC presenciales y MAC Virtual, se usarán datos de la demanda por estos servicios en la actualidad, para poder predecir la demand</w:t>
      </w:r>
      <w:r w:rsidR="00814798" w:rsidRPr="00251A1E">
        <w:rPr>
          <w:rFonts w:ascii="Arial" w:hAnsi="Arial" w:cs="Arial"/>
          <w:lang w:val="es-CL"/>
        </w:rPr>
        <w:t>a esperada para los nuevos MAC</w:t>
      </w:r>
      <w:r w:rsidR="00E6090D" w:rsidRPr="00251A1E">
        <w:rPr>
          <w:rFonts w:ascii="Arial" w:hAnsi="Arial" w:cs="Arial"/>
          <w:lang w:val="es-CL"/>
        </w:rPr>
        <w:t xml:space="preserve"> contemplados en el proyecto.</w:t>
      </w:r>
    </w:p>
    <w:p w14:paraId="0E8C3D68" w14:textId="77777777" w:rsidR="00C062BA" w:rsidRPr="0099528E" w:rsidRDefault="00C062BA" w:rsidP="00251A1E">
      <w:pPr>
        <w:pStyle w:val="Heading2"/>
        <w:jc w:val="both"/>
        <w:rPr>
          <w:rFonts w:ascii="Arial" w:hAnsi="Arial" w:cs="Arial"/>
          <w:b/>
          <w:sz w:val="22"/>
          <w:szCs w:val="22"/>
          <w:lang w:val="es-CL"/>
        </w:rPr>
      </w:pPr>
      <w:bookmarkStart w:id="4" w:name="_Toc496886924"/>
      <w:r w:rsidRPr="0099528E">
        <w:rPr>
          <w:rFonts w:ascii="Arial" w:hAnsi="Arial" w:cs="Arial"/>
          <w:b/>
          <w:sz w:val="22"/>
          <w:szCs w:val="22"/>
          <w:lang w:val="es-CL"/>
        </w:rPr>
        <w:t>Componente 1</w:t>
      </w:r>
      <w:bookmarkEnd w:id="4"/>
    </w:p>
    <w:p w14:paraId="0E8C3D69" w14:textId="77777777" w:rsidR="00C062BA" w:rsidRPr="00251A1E" w:rsidRDefault="0099528E"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 xml:space="preserve">Los beneficios asociados al </w:t>
      </w:r>
      <w:r w:rsidR="00C062BA" w:rsidRPr="00251A1E">
        <w:rPr>
          <w:rFonts w:ascii="Arial" w:hAnsi="Arial" w:cs="Arial"/>
          <w:lang w:val="es-CL"/>
        </w:rPr>
        <w:t>componente 1 se refieren a las ganancias de eficiencia debido a la mejora regulatoria. En particular, se espera mejorar la percepción de la ineficiencia burocrática como un elemento disuasorio para hacer negocios en Perú. Esta percepción se mide en el reporte del Informe</w:t>
      </w:r>
      <w:r w:rsidR="00123855" w:rsidRPr="00251A1E">
        <w:rPr>
          <w:rFonts w:ascii="Arial" w:hAnsi="Arial" w:cs="Arial"/>
          <w:lang w:val="es-CL"/>
        </w:rPr>
        <w:t xml:space="preserve"> Global</w:t>
      </w:r>
      <w:r w:rsidR="00C062BA" w:rsidRPr="00251A1E">
        <w:rPr>
          <w:rFonts w:ascii="Arial" w:hAnsi="Arial" w:cs="Arial"/>
          <w:lang w:val="es-CL"/>
        </w:rPr>
        <w:t xml:space="preserve"> de Competitividad del </w:t>
      </w:r>
      <w:r w:rsidR="00C062BA" w:rsidRPr="00251A1E">
        <w:rPr>
          <w:rFonts w:ascii="Arial" w:hAnsi="Arial" w:cs="Arial"/>
          <w:i/>
          <w:lang w:val="es-CL"/>
        </w:rPr>
        <w:t>World Economic Forum</w:t>
      </w:r>
      <w:r>
        <w:rPr>
          <w:rFonts w:ascii="Arial" w:hAnsi="Arial" w:cs="Arial"/>
          <w:lang w:val="es-CL"/>
        </w:rPr>
        <w:t xml:space="preserve"> (Foro Económico Global).</w:t>
      </w:r>
      <w:r w:rsidR="00C062BA" w:rsidRPr="00251A1E">
        <w:rPr>
          <w:rFonts w:ascii="Arial" w:hAnsi="Arial" w:cs="Arial"/>
          <w:lang w:val="es-CL"/>
        </w:rPr>
        <w:t xml:space="preserve"> </w:t>
      </w:r>
    </w:p>
    <w:p w14:paraId="0E8C3D6A" w14:textId="77777777" w:rsidR="00B732A5" w:rsidRPr="00251A1E" w:rsidRDefault="00B732A5"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Sin embargo, las mejoras regulatorias tienen efectos difíciles de medir directamente, ya que pueden afectar indirectamente las decisiones de las personas. Por ejemplo, es posible que una dismi</w:t>
      </w:r>
      <w:r w:rsidR="0099528E">
        <w:rPr>
          <w:rFonts w:ascii="Arial" w:hAnsi="Arial" w:cs="Arial"/>
          <w:lang w:val="es-CL"/>
        </w:rPr>
        <w:t xml:space="preserve">nución en la carga regulatoria </w:t>
      </w:r>
      <w:r w:rsidRPr="00251A1E">
        <w:rPr>
          <w:rFonts w:ascii="Arial" w:hAnsi="Arial" w:cs="Arial"/>
          <w:lang w:val="es-CL"/>
        </w:rPr>
        <w:t xml:space="preserve">permita que </w:t>
      </w:r>
      <w:r w:rsidR="0099528E">
        <w:rPr>
          <w:rFonts w:ascii="Arial" w:hAnsi="Arial" w:cs="Arial"/>
          <w:lang w:val="es-CL"/>
        </w:rPr>
        <w:t xml:space="preserve">se establezcan </w:t>
      </w:r>
      <w:r w:rsidRPr="00251A1E">
        <w:rPr>
          <w:rFonts w:ascii="Arial" w:hAnsi="Arial" w:cs="Arial"/>
          <w:lang w:val="es-CL"/>
        </w:rPr>
        <w:t xml:space="preserve">nuevas empresas, o que más gente pase de la economía informal a la formal. Lamentablemente, no existen datos acerca de esta posible demanda potencial por servicios o beneficios sociales potenciales al disminuir la carga regulatoria. </w:t>
      </w:r>
    </w:p>
    <w:p w14:paraId="0E8C3D6B" w14:textId="77777777" w:rsidR="00B732A5" w:rsidRPr="00251A1E" w:rsidRDefault="00B732A5"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Una alternativa para medir los posibles beneficios se encuentra en el trabajo d</w:t>
      </w:r>
      <w:r w:rsidR="0045632A" w:rsidRPr="00251A1E">
        <w:rPr>
          <w:rFonts w:ascii="Arial" w:hAnsi="Arial" w:cs="Arial"/>
          <w:lang w:val="es-CL"/>
        </w:rPr>
        <w:t>e Loay</w:t>
      </w:r>
      <w:r w:rsidRPr="00251A1E">
        <w:rPr>
          <w:rFonts w:ascii="Arial" w:hAnsi="Arial" w:cs="Arial"/>
          <w:lang w:val="es-CL"/>
        </w:rPr>
        <w:t>za, Oviedo y Servén (2005), donde demuestran que una serie de índices asociados a la carga reg</w:t>
      </w:r>
      <w:r w:rsidR="0099528E">
        <w:rPr>
          <w:rFonts w:ascii="Arial" w:hAnsi="Arial" w:cs="Arial"/>
          <w:lang w:val="es-CL"/>
        </w:rPr>
        <w:t>ulatoria puede</w:t>
      </w:r>
      <w:r w:rsidRPr="00251A1E">
        <w:rPr>
          <w:rFonts w:ascii="Arial" w:hAnsi="Arial" w:cs="Arial"/>
          <w:lang w:val="es-CL"/>
        </w:rPr>
        <w:t xml:space="preserve"> afectar las tasas de crecimiento. En particular, usan información de 75 países para estudiar c</w:t>
      </w:r>
      <w:r w:rsidR="0099528E">
        <w:rPr>
          <w:rFonts w:ascii="Arial" w:hAnsi="Arial" w:cs="Arial"/>
          <w:lang w:val="es-CL"/>
        </w:rPr>
        <w:t>ó</w:t>
      </w:r>
      <w:r w:rsidRPr="00251A1E">
        <w:rPr>
          <w:rFonts w:ascii="Arial" w:hAnsi="Arial" w:cs="Arial"/>
          <w:lang w:val="es-CL"/>
        </w:rPr>
        <w:t>mo</w:t>
      </w:r>
      <w:r w:rsidR="0099528E">
        <w:rPr>
          <w:rFonts w:ascii="Arial" w:hAnsi="Arial" w:cs="Arial"/>
          <w:lang w:val="es-CL"/>
        </w:rPr>
        <w:t xml:space="preserve"> los</w:t>
      </w:r>
      <w:r w:rsidRPr="00251A1E">
        <w:rPr>
          <w:rFonts w:ascii="Arial" w:hAnsi="Arial" w:cs="Arial"/>
          <w:lang w:val="es-CL"/>
        </w:rPr>
        <w:t xml:space="preserve"> índices</w:t>
      </w:r>
      <w:r w:rsidR="00180646" w:rsidRPr="00251A1E">
        <w:rPr>
          <w:rFonts w:ascii="Arial" w:hAnsi="Arial" w:cs="Arial"/>
          <w:lang w:val="es-CL"/>
        </w:rPr>
        <w:t xml:space="preserve"> asociados a la carga regulatoria tales como</w:t>
      </w:r>
      <w:r w:rsidR="0099528E">
        <w:rPr>
          <w:rFonts w:ascii="Arial" w:hAnsi="Arial" w:cs="Arial"/>
          <w:lang w:val="es-CL"/>
        </w:rPr>
        <w:t xml:space="preserve"> el</w:t>
      </w:r>
      <w:r w:rsidRPr="00251A1E">
        <w:rPr>
          <w:rFonts w:ascii="Arial" w:hAnsi="Arial" w:cs="Arial"/>
          <w:lang w:val="es-CL"/>
        </w:rPr>
        <w:t xml:space="preserve"> </w:t>
      </w:r>
      <w:r w:rsidR="0099528E">
        <w:rPr>
          <w:rFonts w:ascii="Arial" w:hAnsi="Arial" w:cs="Arial"/>
          <w:i/>
          <w:lang w:val="es-CL"/>
        </w:rPr>
        <w:t>D</w:t>
      </w:r>
      <w:r w:rsidR="00ED3B68" w:rsidRPr="00251A1E">
        <w:rPr>
          <w:rFonts w:ascii="Arial" w:hAnsi="Arial" w:cs="Arial"/>
          <w:i/>
          <w:lang w:val="es-CL"/>
        </w:rPr>
        <w:t xml:space="preserve">oing </w:t>
      </w:r>
      <w:r w:rsidR="0099528E">
        <w:rPr>
          <w:rFonts w:ascii="Arial" w:hAnsi="Arial" w:cs="Arial"/>
          <w:i/>
          <w:lang w:val="es-CL"/>
        </w:rPr>
        <w:t>B</w:t>
      </w:r>
      <w:r w:rsidR="00ED3B68" w:rsidRPr="00251A1E">
        <w:rPr>
          <w:rFonts w:ascii="Arial" w:hAnsi="Arial" w:cs="Arial"/>
          <w:i/>
          <w:lang w:val="es-CL"/>
        </w:rPr>
        <w:t>usiness</w:t>
      </w:r>
      <w:r w:rsidR="00180646" w:rsidRPr="00251A1E">
        <w:rPr>
          <w:rFonts w:ascii="Arial" w:hAnsi="Arial" w:cs="Arial"/>
          <w:i/>
          <w:lang w:val="es-CL"/>
        </w:rPr>
        <w:t xml:space="preserve"> e</w:t>
      </w:r>
      <w:r w:rsidRPr="00251A1E">
        <w:rPr>
          <w:rFonts w:ascii="Arial" w:hAnsi="Arial" w:cs="Arial"/>
          <w:i/>
          <w:lang w:val="es-CL"/>
        </w:rPr>
        <w:t xml:space="preserve"> </w:t>
      </w:r>
      <w:r w:rsidR="00180646" w:rsidRPr="00251A1E">
        <w:rPr>
          <w:rFonts w:ascii="Arial" w:hAnsi="Arial" w:cs="Arial"/>
          <w:i/>
          <w:lang w:val="es-CL"/>
        </w:rPr>
        <w:t xml:space="preserve">Index of Economic Freedom, </w:t>
      </w:r>
      <w:r w:rsidR="00180646" w:rsidRPr="00251A1E">
        <w:rPr>
          <w:rFonts w:ascii="Arial" w:hAnsi="Arial" w:cs="Arial"/>
          <w:lang w:val="es-CL"/>
        </w:rPr>
        <w:t xml:space="preserve">y otros asociados a la calidad de la gobernanza, tales como </w:t>
      </w:r>
      <w:r w:rsidR="0099528E">
        <w:rPr>
          <w:rFonts w:ascii="Arial" w:hAnsi="Arial" w:cs="Arial"/>
          <w:i/>
          <w:lang w:val="es-CL"/>
        </w:rPr>
        <w:t>C</w:t>
      </w:r>
      <w:r w:rsidR="00180646" w:rsidRPr="00251A1E">
        <w:rPr>
          <w:rFonts w:ascii="Arial" w:hAnsi="Arial" w:cs="Arial"/>
          <w:i/>
          <w:lang w:val="es-CL"/>
        </w:rPr>
        <w:t>ontrol of corruption</w:t>
      </w:r>
      <w:r w:rsidR="00180646" w:rsidRPr="00251A1E">
        <w:rPr>
          <w:rFonts w:ascii="Arial" w:hAnsi="Arial" w:cs="Arial"/>
          <w:lang w:val="es-CL"/>
        </w:rPr>
        <w:t xml:space="preserve"> y</w:t>
      </w:r>
      <w:r w:rsidR="00180646" w:rsidRPr="00251A1E">
        <w:rPr>
          <w:rFonts w:ascii="Arial" w:hAnsi="Arial" w:cs="Arial"/>
          <w:i/>
          <w:lang w:val="es-CL"/>
        </w:rPr>
        <w:t xml:space="preserve"> </w:t>
      </w:r>
      <w:r w:rsidR="0099528E">
        <w:rPr>
          <w:rFonts w:ascii="Arial" w:hAnsi="Arial" w:cs="Arial"/>
          <w:i/>
          <w:lang w:val="es-CL"/>
        </w:rPr>
        <w:t>P</w:t>
      </w:r>
      <w:r w:rsidR="00180646" w:rsidRPr="00251A1E">
        <w:rPr>
          <w:rFonts w:ascii="Arial" w:hAnsi="Arial" w:cs="Arial"/>
          <w:i/>
          <w:lang w:val="es-CL"/>
        </w:rPr>
        <w:t>revalence of law and order.</w:t>
      </w:r>
      <w:r w:rsidR="0045632A" w:rsidRPr="00251A1E">
        <w:rPr>
          <w:rFonts w:ascii="Arial" w:hAnsi="Arial" w:cs="Arial"/>
          <w:lang w:val="es-CL"/>
        </w:rPr>
        <w:t xml:space="preserve"> Luego, asumiremos cambios en la carga regulatoria, y mejoras en su eficiencia pueden llegar a mejorar la percepción en estos índices. Debido a que el trabajo de Loayza, Oviendo y S</w:t>
      </w:r>
      <w:r w:rsidR="0099528E">
        <w:rPr>
          <w:rFonts w:ascii="Arial" w:hAnsi="Arial" w:cs="Arial"/>
          <w:lang w:val="es-CL"/>
        </w:rPr>
        <w:t>ervén apunta</w:t>
      </w:r>
      <w:r w:rsidR="0045632A" w:rsidRPr="00251A1E">
        <w:rPr>
          <w:rFonts w:ascii="Arial" w:hAnsi="Arial" w:cs="Arial"/>
          <w:lang w:val="es-CL"/>
        </w:rPr>
        <w:t xml:space="preserve"> a explicar tendencias de mediano y largo plazo, asumiremos que sólo se observa un aumento en el índice después de 5 años de implementación del programa. Adicionalmente, asumiremos que </w:t>
      </w:r>
      <w:r w:rsidR="00964385" w:rsidRPr="00251A1E">
        <w:rPr>
          <w:rFonts w:ascii="Arial" w:hAnsi="Arial" w:cs="Arial"/>
          <w:lang w:val="es-CL"/>
        </w:rPr>
        <w:t xml:space="preserve">la carga regulatoria baja en un 0.1% al cabo de 5 años </w:t>
      </w:r>
      <w:r w:rsidR="0045632A" w:rsidRPr="00251A1E">
        <w:rPr>
          <w:rFonts w:ascii="Arial" w:hAnsi="Arial" w:cs="Arial"/>
          <w:lang w:val="es-CL"/>
        </w:rPr>
        <w:t>y que solo</w:t>
      </w:r>
      <w:r w:rsidR="00964385" w:rsidRPr="00251A1E">
        <w:rPr>
          <w:rFonts w:ascii="Arial" w:hAnsi="Arial" w:cs="Arial"/>
          <w:lang w:val="es-CL"/>
        </w:rPr>
        <w:t xml:space="preserve"> es atribuible al proyecto, un 1</w:t>
      </w:r>
      <w:r w:rsidR="0045632A" w:rsidRPr="00251A1E">
        <w:rPr>
          <w:rFonts w:ascii="Arial" w:hAnsi="Arial" w:cs="Arial"/>
          <w:lang w:val="es-CL"/>
        </w:rPr>
        <w:t xml:space="preserve">% de este aumento. </w:t>
      </w:r>
    </w:p>
    <w:p w14:paraId="0E8C3D6C" w14:textId="77777777" w:rsidR="00FE5A65" w:rsidRPr="00251A1E" w:rsidRDefault="00FE5A65"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Debido a que la medición de este beneficio es relativamente indirecta se presentan la evaluación de costos y beneficios considerando y sin considerar este posible beneficio, para mayor claridad.</w:t>
      </w:r>
    </w:p>
    <w:p w14:paraId="0E8C3D6D" w14:textId="77777777" w:rsidR="00C062BA" w:rsidRPr="00251A1E" w:rsidRDefault="00C062BA" w:rsidP="00251A1E">
      <w:pPr>
        <w:pStyle w:val="Heading2"/>
        <w:jc w:val="both"/>
        <w:rPr>
          <w:rFonts w:ascii="Arial" w:hAnsi="Arial" w:cs="Arial"/>
          <w:sz w:val="22"/>
          <w:szCs w:val="22"/>
          <w:lang w:val="es-CL"/>
        </w:rPr>
      </w:pPr>
      <w:bookmarkStart w:id="5" w:name="_Toc496886925"/>
      <w:r w:rsidRPr="00251A1E">
        <w:rPr>
          <w:rFonts w:ascii="Arial" w:hAnsi="Arial" w:cs="Arial"/>
          <w:sz w:val="22"/>
          <w:szCs w:val="22"/>
          <w:lang w:val="es-CL"/>
        </w:rPr>
        <w:t>Componente 2</w:t>
      </w:r>
      <w:bookmarkEnd w:id="5"/>
    </w:p>
    <w:p w14:paraId="0E8C3D6E" w14:textId="77777777" w:rsidR="00FE5A65" w:rsidRPr="00251A1E" w:rsidRDefault="00DD236B"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Los objetivos de la implementación de est</w:t>
      </w:r>
      <w:r w:rsidR="0099528E">
        <w:rPr>
          <w:rFonts w:ascii="Arial" w:hAnsi="Arial" w:cs="Arial"/>
          <w:lang w:val="es-CL"/>
        </w:rPr>
        <w:t>e</w:t>
      </w:r>
      <w:r w:rsidRPr="00251A1E">
        <w:rPr>
          <w:rFonts w:ascii="Arial" w:hAnsi="Arial" w:cs="Arial"/>
          <w:lang w:val="es-CL"/>
        </w:rPr>
        <w:t xml:space="preserve"> componente se refieren a la mejora e integración de servicios digitales para las entidades del Estado. En particular, se refieren a la mejora</w:t>
      </w:r>
      <w:r w:rsidR="00814798" w:rsidRPr="00251A1E">
        <w:rPr>
          <w:rFonts w:ascii="Arial" w:hAnsi="Arial" w:cs="Arial"/>
          <w:lang w:val="es-CL"/>
        </w:rPr>
        <w:t xml:space="preserve"> de la plataforma</w:t>
      </w:r>
      <w:r w:rsidR="0099528E">
        <w:rPr>
          <w:rFonts w:ascii="Arial" w:hAnsi="Arial" w:cs="Arial"/>
          <w:lang w:val="es-CL"/>
        </w:rPr>
        <w:t xml:space="preserve"> de interoperabilidad del Estado</w:t>
      </w:r>
      <w:r w:rsidRPr="00251A1E">
        <w:rPr>
          <w:rFonts w:ascii="Arial" w:hAnsi="Arial" w:cs="Arial"/>
          <w:lang w:val="es-CL"/>
        </w:rPr>
        <w:t xml:space="preserve"> </w:t>
      </w:r>
      <w:r w:rsidR="0099528E">
        <w:rPr>
          <w:rFonts w:ascii="Arial" w:hAnsi="Arial" w:cs="Arial"/>
          <w:lang w:val="es-CL"/>
        </w:rPr>
        <w:t>(</w:t>
      </w:r>
      <w:r w:rsidRPr="00251A1E">
        <w:rPr>
          <w:rFonts w:ascii="Arial" w:hAnsi="Arial" w:cs="Arial"/>
          <w:lang w:val="es-CL"/>
        </w:rPr>
        <w:t>PIDE</w:t>
      </w:r>
      <w:r w:rsidR="0099528E">
        <w:rPr>
          <w:rFonts w:ascii="Arial" w:hAnsi="Arial" w:cs="Arial"/>
          <w:lang w:val="es-CL"/>
        </w:rPr>
        <w:t>)</w:t>
      </w:r>
      <w:r w:rsidRPr="00251A1E">
        <w:rPr>
          <w:rFonts w:ascii="Arial" w:hAnsi="Arial" w:cs="Arial"/>
          <w:lang w:val="es-CL"/>
        </w:rPr>
        <w:t xml:space="preserve"> que permite transacciones entre entidades del </w:t>
      </w:r>
      <w:r w:rsidR="0099528E">
        <w:rPr>
          <w:rFonts w:ascii="Arial" w:hAnsi="Arial" w:cs="Arial"/>
          <w:lang w:val="es-CL"/>
        </w:rPr>
        <w:t>Estado</w:t>
      </w:r>
      <w:r w:rsidRPr="00251A1E">
        <w:rPr>
          <w:rFonts w:ascii="Arial" w:hAnsi="Arial" w:cs="Arial"/>
          <w:lang w:val="es-CL"/>
        </w:rPr>
        <w:t>. Esta plataforma pas</w:t>
      </w:r>
      <w:r w:rsidR="0099528E">
        <w:rPr>
          <w:rFonts w:ascii="Arial" w:hAnsi="Arial" w:cs="Arial"/>
          <w:lang w:val="es-CL"/>
        </w:rPr>
        <w:t>ó</w:t>
      </w:r>
      <w:r w:rsidRPr="00251A1E">
        <w:rPr>
          <w:rFonts w:ascii="Arial" w:hAnsi="Arial" w:cs="Arial"/>
          <w:lang w:val="es-CL"/>
        </w:rPr>
        <w:t xml:space="preserve"> de interoperar 12 entidades e</w:t>
      </w:r>
      <w:r w:rsidR="0099528E">
        <w:rPr>
          <w:rFonts w:ascii="Arial" w:hAnsi="Arial" w:cs="Arial"/>
          <w:lang w:val="es-CL"/>
        </w:rPr>
        <w:t>n</w:t>
      </w:r>
      <w:r w:rsidRPr="00251A1E">
        <w:rPr>
          <w:rFonts w:ascii="Arial" w:hAnsi="Arial" w:cs="Arial"/>
          <w:lang w:val="es-CL"/>
        </w:rPr>
        <w:t xml:space="preserve"> 2014 a 82 entidades e</w:t>
      </w:r>
      <w:r w:rsidR="0099528E">
        <w:rPr>
          <w:rFonts w:ascii="Arial" w:hAnsi="Arial" w:cs="Arial"/>
          <w:lang w:val="es-CL"/>
        </w:rPr>
        <w:t>n</w:t>
      </w:r>
      <w:r w:rsidRPr="00251A1E">
        <w:rPr>
          <w:rFonts w:ascii="Arial" w:hAnsi="Arial" w:cs="Arial"/>
          <w:lang w:val="es-CL"/>
        </w:rPr>
        <w:t xml:space="preserve"> 2016, llegando a un flujo diario de 16,667 transacciones el 2016. Esta plataforma </w:t>
      </w:r>
      <w:r w:rsidR="00FE5A65" w:rsidRPr="00251A1E">
        <w:rPr>
          <w:rFonts w:ascii="Arial" w:hAnsi="Arial" w:cs="Arial"/>
          <w:lang w:val="es-CL"/>
        </w:rPr>
        <w:t xml:space="preserve">permite </w:t>
      </w:r>
      <w:r w:rsidRPr="00251A1E">
        <w:rPr>
          <w:rFonts w:ascii="Arial" w:hAnsi="Arial" w:cs="Arial"/>
          <w:lang w:val="es-CL"/>
        </w:rPr>
        <w:t>aumenta</w:t>
      </w:r>
      <w:r w:rsidR="00FE5A65" w:rsidRPr="00251A1E">
        <w:rPr>
          <w:rFonts w:ascii="Arial" w:hAnsi="Arial" w:cs="Arial"/>
          <w:lang w:val="es-CL"/>
        </w:rPr>
        <w:t>r</w:t>
      </w:r>
      <w:r w:rsidRPr="00251A1E">
        <w:rPr>
          <w:rFonts w:ascii="Arial" w:hAnsi="Arial" w:cs="Arial"/>
          <w:lang w:val="es-CL"/>
        </w:rPr>
        <w:t xml:space="preserve"> sustancialmente la eficiencia para los trámites entre entidades del estado.</w:t>
      </w:r>
      <w:r w:rsidR="00FE5A65" w:rsidRPr="00251A1E">
        <w:rPr>
          <w:rFonts w:ascii="Arial" w:hAnsi="Arial" w:cs="Arial"/>
          <w:lang w:val="es-CL"/>
        </w:rPr>
        <w:t xml:space="preserve"> En particular, mejora el acceso a la información y facilita la comunicación y compartir datos entre entidades del estado.</w:t>
      </w:r>
    </w:p>
    <w:p w14:paraId="0E8C3D6F" w14:textId="77777777" w:rsidR="00DD236B" w:rsidRPr="00251A1E" w:rsidRDefault="00F65A3C"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Considerando que existen variados</w:t>
      </w:r>
      <w:r w:rsidR="00FE5A65" w:rsidRPr="00251A1E">
        <w:rPr>
          <w:rFonts w:ascii="Arial" w:hAnsi="Arial" w:cs="Arial"/>
          <w:lang w:val="es-CL"/>
        </w:rPr>
        <w:t xml:space="preserve"> trámites contenidos en</w:t>
      </w:r>
      <w:r w:rsidRPr="00251A1E">
        <w:rPr>
          <w:rFonts w:ascii="Arial" w:hAnsi="Arial" w:cs="Arial"/>
          <w:lang w:val="es-CL"/>
        </w:rPr>
        <w:t xml:space="preserve"> </w:t>
      </w:r>
      <w:r w:rsidR="0099528E">
        <w:rPr>
          <w:rFonts w:ascii="Arial" w:hAnsi="Arial" w:cs="Arial"/>
          <w:lang w:val="es-CL"/>
        </w:rPr>
        <w:t xml:space="preserve">la </w:t>
      </w:r>
      <w:r w:rsidRPr="00251A1E">
        <w:rPr>
          <w:rFonts w:ascii="Arial" w:hAnsi="Arial" w:cs="Arial"/>
          <w:lang w:val="es-CL"/>
        </w:rPr>
        <w:t xml:space="preserve">PIDE y que algunos de ellos son parte de sistemas más complejos dentro de la estructura regulatoria del </w:t>
      </w:r>
      <w:r w:rsidR="0099528E">
        <w:rPr>
          <w:rFonts w:ascii="Arial" w:hAnsi="Arial" w:cs="Arial"/>
          <w:lang w:val="es-CL"/>
        </w:rPr>
        <w:t>E</w:t>
      </w:r>
      <w:r w:rsidRPr="00251A1E">
        <w:rPr>
          <w:rFonts w:ascii="Arial" w:hAnsi="Arial" w:cs="Arial"/>
          <w:lang w:val="es-CL"/>
        </w:rPr>
        <w:t xml:space="preserve">stado, se calcularán los beneficios asociados al trámite más común: DNI. El beneficio se refiere al ahorro en tiempo de tramitación para funcionarios. </w:t>
      </w:r>
      <w:r w:rsidR="0099528E">
        <w:rPr>
          <w:rFonts w:ascii="Arial" w:hAnsi="Arial" w:cs="Arial"/>
          <w:lang w:val="es-CL"/>
        </w:rPr>
        <w:t>Previo al</w:t>
      </w:r>
      <w:r w:rsidRPr="00251A1E">
        <w:rPr>
          <w:rFonts w:ascii="Arial" w:hAnsi="Arial" w:cs="Arial"/>
          <w:lang w:val="es-CL"/>
        </w:rPr>
        <w:t xml:space="preserve"> uso del PIDE, las distintas entidades deben firmar convenios para poder acceder a esta información. Estos convenios involucran tiempo de funcionarios, tanto para generarlos, como para aceptarlos. El uso del PIDE disminuye </w:t>
      </w:r>
      <w:r w:rsidR="00FE5A65" w:rsidRPr="00251A1E">
        <w:rPr>
          <w:rFonts w:ascii="Arial" w:hAnsi="Arial" w:cs="Arial"/>
          <w:lang w:val="es-CL"/>
        </w:rPr>
        <w:t>dramáticamente</w:t>
      </w:r>
      <w:r w:rsidRPr="00251A1E">
        <w:rPr>
          <w:rFonts w:ascii="Arial" w:hAnsi="Arial" w:cs="Arial"/>
          <w:lang w:val="es-CL"/>
        </w:rPr>
        <w:t xml:space="preserve"> los tiempos para </w:t>
      </w:r>
      <w:r w:rsidR="00FE5A65" w:rsidRPr="00251A1E">
        <w:rPr>
          <w:rFonts w:ascii="Arial" w:hAnsi="Arial" w:cs="Arial"/>
          <w:lang w:val="es-CL"/>
        </w:rPr>
        <w:t xml:space="preserve">realizar </w:t>
      </w:r>
      <w:r w:rsidRPr="00251A1E">
        <w:rPr>
          <w:rFonts w:ascii="Arial" w:hAnsi="Arial" w:cs="Arial"/>
          <w:lang w:val="es-CL"/>
        </w:rPr>
        <w:t>este trámite</w:t>
      </w:r>
      <w:r w:rsidR="00FE5A65" w:rsidRPr="00251A1E">
        <w:rPr>
          <w:rFonts w:ascii="Arial" w:hAnsi="Arial" w:cs="Arial"/>
          <w:lang w:val="es-CL"/>
        </w:rPr>
        <w:t xml:space="preserve"> entre entidades del </w:t>
      </w:r>
      <w:r w:rsidR="0099528E">
        <w:rPr>
          <w:rFonts w:ascii="Arial" w:hAnsi="Arial" w:cs="Arial"/>
          <w:lang w:val="es-CL"/>
        </w:rPr>
        <w:t>E</w:t>
      </w:r>
      <w:r w:rsidR="00FE5A65" w:rsidRPr="00251A1E">
        <w:rPr>
          <w:rFonts w:ascii="Arial" w:hAnsi="Arial" w:cs="Arial"/>
          <w:lang w:val="es-CL"/>
        </w:rPr>
        <w:t>stado</w:t>
      </w:r>
      <w:r w:rsidRPr="00251A1E">
        <w:rPr>
          <w:rFonts w:ascii="Arial" w:hAnsi="Arial" w:cs="Arial"/>
          <w:lang w:val="es-CL"/>
        </w:rPr>
        <w:t>.</w:t>
      </w:r>
    </w:p>
    <w:p w14:paraId="0E8C3D70" w14:textId="77777777" w:rsidR="00F65A3C" w:rsidRPr="00251A1E" w:rsidRDefault="00F65A3C"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La tabla 1</w:t>
      </w:r>
      <w:r w:rsidR="003702F3" w:rsidRPr="00251A1E">
        <w:rPr>
          <w:rFonts w:ascii="Arial" w:hAnsi="Arial" w:cs="Arial"/>
          <w:lang w:val="es-CL"/>
        </w:rPr>
        <w:t xml:space="preserve"> muestra el incremento de las transacciones </w:t>
      </w:r>
      <w:r w:rsidR="0093757F" w:rsidRPr="00251A1E">
        <w:rPr>
          <w:rFonts w:ascii="Arial" w:hAnsi="Arial" w:cs="Arial"/>
          <w:lang w:val="es-CL"/>
        </w:rPr>
        <w:t>efectuadas a través del PIDE</w:t>
      </w:r>
      <w:r w:rsidR="0099528E">
        <w:rPr>
          <w:rFonts w:ascii="Arial" w:hAnsi="Arial" w:cs="Arial"/>
          <w:lang w:val="es-CL"/>
        </w:rPr>
        <w:t xml:space="preserve"> a través del tiempo</w:t>
      </w:r>
      <w:r w:rsidR="0093757F" w:rsidRPr="00251A1E">
        <w:rPr>
          <w:rFonts w:ascii="Arial" w:hAnsi="Arial" w:cs="Arial"/>
          <w:lang w:val="es-CL"/>
        </w:rPr>
        <w:t xml:space="preserve">. Cabe hacer notar que el aumento observado </w:t>
      </w:r>
      <w:r w:rsidR="003702F3" w:rsidRPr="00251A1E">
        <w:rPr>
          <w:rFonts w:ascii="Arial" w:hAnsi="Arial" w:cs="Arial"/>
          <w:lang w:val="es-CL"/>
        </w:rPr>
        <w:t xml:space="preserve">está principalmente ligada al aumento de las entidades que participan del PIDE. </w:t>
      </w:r>
      <w:r w:rsidR="0093757F" w:rsidRPr="00251A1E">
        <w:rPr>
          <w:rFonts w:ascii="Arial" w:hAnsi="Arial" w:cs="Arial"/>
          <w:lang w:val="es-CL"/>
        </w:rPr>
        <w:t>En particular, se observa que el número de transacciones por entidad se mantiene relativamente constante.</w:t>
      </w:r>
    </w:p>
    <w:p w14:paraId="0E8C3D71" w14:textId="77777777" w:rsidR="003702F3" w:rsidRPr="00251A1E" w:rsidRDefault="003702F3" w:rsidP="00251A1E">
      <w:pPr>
        <w:jc w:val="both"/>
        <w:rPr>
          <w:rFonts w:ascii="Arial" w:hAnsi="Arial" w:cs="Arial"/>
          <w:lang w:val="es-CL"/>
        </w:rPr>
      </w:pPr>
    </w:p>
    <w:p w14:paraId="0E8C3D72" w14:textId="77777777" w:rsidR="003702F3" w:rsidRPr="0099528E" w:rsidRDefault="0099528E" w:rsidP="00051930">
      <w:pPr>
        <w:spacing w:line="240" w:lineRule="auto"/>
        <w:jc w:val="center"/>
        <w:rPr>
          <w:rFonts w:ascii="Arial" w:hAnsi="Arial" w:cs="Arial"/>
          <w:b/>
          <w:lang w:val="es-CL"/>
        </w:rPr>
      </w:pPr>
      <w:r w:rsidRPr="0099528E">
        <w:rPr>
          <w:rFonts w:ascii="Arial" w:hAnsi="Arial" w:cs="Arial"/>
          <w:b/>
          <w:lang w:val="es-CL"/>
        </w:rPr>
        <w:t>Cuadro</w:t>
      </w:r>
      <w:r w:rsidR="003702F3" w:rsidRPr="0099528E">
        <w:rPr>
          <w:rFonts w:ascii="Arial" w:hAnsi="Arial" w:cs="Arial"/>
          <w:b/>
          <w:lang w:val="es-CL"/>
        </w:rPr>
        <w:t xml:space="preserve"> 1: Demanda del Sistema PIDE</w:t>
      </w:r>
    </w:p>
    <w:tbl>
      <w:tblPr>
        <w:tblW w:w="5319" w:type="dxa"/>
        <w:tblInd w:w="2015" w:type="dxa"/>
        <w:tblLook w:val="04A0" w:firstRow="1" w:lastRow="0" w:firstColumn="1" w:lastColumn="0" w:noHBand="0" w:noVBand="1"/>
      </w:tblPr>
      <w:tblGrid>
        <w:gridCol w:w="960"/>
        <w:gridCol w:w="1757"/>
        <w:gridCol w:w="1268"/>
        <w:gridCol w:w="1787"/>
      </w:tblGrid>
      <w:tr w:rsidR="003702F3" w:rsidRPr="00251A1E" w14:paraId="0E8C3D77" w14:textId="77777777" w:rsidTr="003702F3">
        <w:trPr>
          <w:trHeight w:val="930"/>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8C3D73"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Año</w:t>
            </w:r>
          </w:p>
        </w:tc>
        <w:tc>
          <w:tcPr>
            <w:tcW w:w="147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8C3D74"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Transacciones</w:t>
            </w:r>
          </w:p>
        </w:tc>
        <w:tc>
          <w:tcPr>
            <w:tcW w:w="1096" w:type="dxa"/>
            <w:tcBorders>
              <w:top w:val="single" w:sz="8" w:space="0" w:color="auto"/>
              <w:left w:val="nil"/>
              <w:bottom w:val="single" w:sz="4" w:space="0" w:color="auto"/>
              <w:right w:val="single" w:sz="4" w:space="0" w:color="auto"/>
            </w:tcBorders>
            <w:shd w:val="clear" w:color="auto" w:fill="auto"/>
            <w:vAlign w:val="center"/>
            <w:hideMark/>
          </w:tcPr>
          <w:p w14:paraId="0E8C3D75"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Número Entidades</w:t>
            </w:r>
          </w:p>
        </w:tc>
        <w:tc>
          <w:tcPr>
            <w:tcW w:w="1787" w:type="dxa"/>
            <w:tcBorders>
              <w:top w:val="single" w:sz="8" w:space="0" w:color="auto"/>
              <w:left w:val="nil"/>
              <w:bottom w:val="single" w:sz="4" w:space="0" w:color="auto"/>
              <w:right w:val="single" w:sz="8" w:space="0" w:color="auto"/>
            </w:tcBorders>
            <w:shd w:val="clear" w:color="auto" w:fill="auto"/>
            <w:vAlign w:val="center"/>
            <w:hideMark/>
          </w:tcPr>
          <w:p w14:paraId="0E8C3D76"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Promedio Transacciones por entidad</w:t>
            </w:r>
          </w:p>
        </w:tc>
      </w:tr>
      <w:tr w:rsidR="003702F3" w:rsidRPr="00251A1E" w14:paraId="0E8C3D7C" w14:textId="77777777" w:rsidTr="003702F3">
        <w:trPr>
          <w:trHeight w:val="300"/>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E8C3D78"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2014</w:t>
            </w:r>
          </w:p>
        </w:tc>
        <w:tc>
          <w:tcPr>
            <w:tcW w:w="1476" w:type="dxa"/>
            <w:tcBorders>
              <w:top w:val="nil"/>
              <w:left w:val="nil"/>
              <w:bottom w:val="single" w:sz="4" w:space="0" w:color="auto"/>
              <w:right w:val="single" w:sz="4" w:space="0" w:color="auto"/>
            </w:tcBorders>
            <w:shd w:val="clear" w:color="auto" w:fill="auto"/>
            <w:noWrap/>
            <w:vAlign w:val="bottom"/>
            <w:hideMark/>
          </w:tcPr>
          <w:p w14:paraId="0E8C3D79" w14:textId="77777777" w:rsidR="003702F3" w:rsidRPr="00251A1E" w:rsidRDefault="003702F3" w:rsidP="0099528E">
            <w:pPr>
              <w:spacing w:after="0" w:line="240" w:lineRule="auto"/>
              <w:jc w:val="right"/>
              <w:rPr>
                <w:rFonts w:ascii="Arial" w:eastAsia="Times New Roman" w:hAnsi="Arial" w:cs="Arial"/>
                <w:color w:val="000000"/>
              </w:rPr>
            </w:pPr>
            <w:r w:rsidRPr="00251A1E">
              <w:rPr>
                <w:rFonts w:ascii="Arial" w:eastAsia="Times New Roman" w:hAnsi="Arial" w:cs="Arial"/>
                <w:color w:val="000000"/>
              </w:rPr>
              <w:t xml:space="preserve">             850,000 </w:t>
            </w:r>
          </w:p>
        </w:tc>
        <w:tc>
          <w:tcPr>
            <w:tcW w:w="1096" w:type="dxa"/>
            <w:tcBorders>
              <w:top w:val="nil"/>
              <w:left w:val="nil"/>
              <w:bottom w:val="single" w:sz="4" w:space="0" w:color="auto"/>
              <w:right w:val="single" w:sz="4" w:space="0" w:color="auto"/>
            </w:tcBorders>
            <w:shd w:val="clear" w:color="auto" w:fill="auto"/>
            <w:noWrap/>
            <w:vAlign w:val="bottom"/>
            <w:hideMark/>
          </w:tcPr>
          <w:p w14:paraId="0E8C3D7A" w14:textId="77777777" w:rsidR="003702F3" w:rsidRPr="00251A1E" w:rsidRDefault="003702F3" w:rsidP="00577E35">
            <w:pPr>
              <w:spacing w:after="0" w:line="240" w:lineRule="auto"/>
              <w:jc w:val="center"/>
              <w:rPr>
                <w:rFonts w:ascii="Arial" w:eastAsia="Times New Roman" w:hAnsi="Arial" w:cs="Arial"/>
                <w:color w:val="000000"/>
              </w:rPr>
            </w:pPr>
            <w:r w:rsidRPr="00251A1E">
              <w:rPr>
                <w:rFonts w:ascii="Arial" w:eastAsia="Times New Roman" w:hAnsi="Arial" w:cs="Arial"/>
                <w:color w:val="000000"/>
              </w:rPr>
              <w:t>12</w:t>
            </w:r>
          </w:p>
        </w:tc>
        <w:tc>
          <w:tcPr>
            <w:tcW w:w="1787" w:type="dxa"/>
            <w:tcBorders>
              <w:top w:val="nil"/>
              <w:left w:val="nil"/>
              <w:bottom w:val="single" w:sz="4" w:space="0" w:color="auto"/>
              <w:right w:val="single" w:sz="8" w:space="0" w:color="auto"/>
            </w:tcBorders>
            <w:shd w:val="clear" w:color="auto" w:fill="auto"/>
            <w:noWrap/>
            <w:vAlign w:val="bottom"/>
            <w:hideMark/>
          </w:tcPr>
          <w:p w14:paraId="0E8C3D7B" w14:textId="77777777" w:rsidR="003702F3" w:rsidRPr="00251A1E" w:rsidRDefault="003702F3" w:rsidP="00577E35">
            <w:pPr>
              <w:spacing w:after="0" w:line="240" w:lineRule="auto"/>
              <w:jc w:val="right"/>
              <w:rPr>
                <w:rFonts w:ascii="Arial" w:eastAsia="Times New Roman" w:hAnsi="Arial" w:cs="Arial"/>
                <w:color w:val="000000"/>
              </w:rPr>
            </w:pPr>
            <w:r w:rsidRPr="00251A1E">
              <w:rPr>
                <w:rFonts w:ascii="Arial" w:eastAsia="Times New Roman" w:hAnsi="Arial" w:cs="Arial"/>
                <w:color w:val="000000"/>
              </w:rPr>
              <w:t xml:space="preserve">                       70,833 </w:t>
            </w:r>
          </w:p>
        </w:tc>
      </w:tr>
      <w:tr w:rsidR="003702F3" w:rsidRPr="00251A1E" w14:paraId="0E8C3D81" w14:textId="77777777" w:rsidTr="003702F3">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8C3D7D"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2015</w:t>
            </w:r>
          </w:p>
        </w:tc>
        <w:tc>
          <w:tcPr>
            <w:tcW w:w="1476" w:type="dxa"/>
            <w:tcBorders>
              <w:top w:val="nil"/>
              <w:left w:val="nil"/>
              <w:bottom w:val="single" w:sz="4" w:space="0" w:color="auto"/>
              <w:right w:val="single" w:sz="4" w:space="0" w:color="auto"/>
            </w:tcBorders>
            <w:shd w:val="clear" w:color="auto" w:fill="auto"/>
            <w:noWrap/>
            <w:vAlign w:val="bottom"/>
            <w:hideMark/>
          </w:tcPr>
          <w:p w14:paraId="0E8C3D7E" w14:textId="77777777" w:rsidR="003702F3" w:rsidRPr="00251A1E" w:rsidRDefault="003702F3" w:rsidP="00251A1E">
            <w:pPr>
              <w:spacing w:after="0" w:line="240" w:lineRule="auto"/>
              <w:jc w:val="both"/>
              <w:rPr>
                <w:rFonts w:ascii="Arial" w:eastAsia="Times New Roman" w:hAnsi="Arial" w:cs="Arial"/>
                <w:color w:val="000000"/>
              </w:rPr>
            </w:pPr>
            <w:r w:rsidRPr="00251A1E">
              <w:rPr>
                <w:rFonts w:ascii="Arial" w:eastAsia="Times New Roman" w:hAnsi="Arial" w:cs="Arial"/>
                <w:color w:val="000000"/>
              </w:rPr>
              <w:t xml:space="preserve">         3,200,000 </w:t>
            </w:r>
          </w:p>
        </w:tc>
        <w:tc>
          <w:tcPr>
            <w:tcW w:w="1096" w:type="dxa"/>
            <w:tcBorders>
              <w:top w:val="nil"/>
              <w:left w:val="nil"/>
              <w:bottom w:val="single" w:sz="4" w:space="0" w:color="auto"/>
              <w:right w:val="single" w:sz="4" w:space="0" w:color="auto"/>
            </w:tcBorders>
            <w:shd w:val="clear" w:color="auto" w:fill="auto"/>
            <w:noWrap/>
            <w:vAlign w:val="bottom"/>
            <w:hideMark/>
          </w:tcPr>
          <w:p w14:paraId="0E8C3D7F" w14:textId="77777777" w:rsidR="003702F3" w:rsidRPr="00251A1E" w:rsidRDefault="003702F3" w:rsidP="00577E35">
            <w:pPr>
              <w:spacing w:after="0" w:line="240" w:lineRule="auto"/>
              <w:jc w:val="center"/>
              <w:rPr>
                <w:rFonts w:ascii="Arial" w:eastAsia="Times New Roman" w:hAnsi="Arial" w:cs="Arial"/>
                <w:color w:val="000000"/>
              </w:rPr>
            </w:pPr>
            <w:r w:rsidRPr="00251A1E">
              <w:rPr>
                <w:rFonts w:ascii="Arial" w:eastAsia="Times New Roman" w:hAnsi="Arial" w:cs="Arial"/>
                <w:color w:val="000000"/>
              </w:rPr>
              <w:t>42</w:t>
            </w:r>
          </w:p>
        </w:tc>
        <w:tc>
          <w:tcPr>
            <w:tcW w:w="1787" w:type="dxa"/>
            <w:tcBorders>
              <w:top w:val="nil"/>
              <w:left w:val="nil"/>
              <w:bottom w:val="single" w:sz="4" w:space="0" w:color="auto"/>
              <w:right w:val="single" w:sz="8" w:space="0" w:color="auto"/>
            </w:tcBorders>
            <w:shd w:val="clear" w:color="auto" w:fill="auto"/>
            <w:noWrap/>
            <w:vAlign w:val="bottom"/>
            <w:hideMark/>
          </w:tcPr>
          <w:p w14:paraId="0E8C3D80" w14:textId="77777777" w:rsidR="003702F3" w:rsidRPr="00251A1E" w:rsidRDefault="003702F3" w:rsidP="00577E35">
            <w:pPr>
              <w:spacing w:after="0" w:line="240" w:lineRule="auto"/>
              <w:jc w:val="right"/>
              <w:rPr>
                <w:rFonts w:ascii="Arial" w:eastAsia="Times New Roman" w:hAnsi="Arial" w:cs="Arial"/>
                <w:color w:val="000000"/>
              </w:rPr>
            </w:pPr>
            <w:r w:rsidRPr="00251A1E">
              <w:rPr>
                <w:rFonts w:ascii="Arial" w:eastAsia="Times New Roman" w:hAnsi="Arial" w:cs="Arial"/>
                <w:color w:val="000000"/>
              </w:rPr>
              <w:t xml:space="preserve">                       76,190 </w:t>
            </w:r>
          </w:p>
        </w:tc>
      </w:tr>
      <w:tr w:rsidR="003702F3" w:rsidRPr="00251A1E" w14:paraId="0E8C3D86" w14:textId="77777777" w:rsidTr="003702F3">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0E8C3D82" w14:textId="77777777" w:rsidR="003702F3" w:rsidRPr="00251A1E" w:rsidRDefault="003702F3" w:rsidP="00251A1E">
            <w:pPr>
              <w:spacing w:after="0" w:line="240" w:lineRule="auto"/>
              <w:jc w:val="both"/>
              <w:rPr>
                <w:rFonts w:ascii="Arial" w:eastAsia="Times New Roman" w:hAnsi="Arial" w:cs="Arial"/>
                <w:b/>
                <w:color w:val="000000"/>
              </w:rPr>
            </w:pPr>
            <w:r w:rsidRPr="00251A1E">
              <w:rPr>
                <w:rFonts w:ascii="Arial" w:eastAsia="Times New Roman" w:hAnsi="Arial" w:cs="Arial"/>
                <w:b/>
                <w:color w:val="000000"/>
              </w:rPr>
              <w:t>2016</w:t>
            </w:r>
          </w:p>
        </w:tc>
        <w:tc>
          <w:tcPr>
            <w:tcW w:w="1476" w:type="dxa"/>
            <w:tcBorders>
              <w:top w:val="nil"/>
              <w:left w:val="nil"/>
              <w:bottom w:val="single" w:sz="8" w:space="0" w:color="auto"/>
              <w:right w:val="single" w:sz="4" w:space="0" w:color="auto"/>
            </w:tcBorders>
            <w:shd w:val="clear" w:color="auto" w:fill="auto"/>
            <w:noWrap/>
            <w:vAlign w:val="bottom"/>
            <w:hideMark/>
          </w:tcPr>
          <w:p w14:paraId="0E8C3D83" w14:textId="77777777" w:rsidR="003702F3" w:rsidRPr="00251A1E" w:rsidRDefault="003702F3" w:rsidP="00251A1E">
            <w:pPr>
              <w:spacing w:after="0" w:line="240" w:lineRule="auto"/>
              <w:jc w:val="both"/>
              <w:rPr>
                <w:rFonts w:ascii="Arial" w:eastAsia="Times New Roman" w:hAnsi="Arial" w:cs="Arial"/>
                <w:color w:val="000000"/>
              </w:rPr>
            </w:pPr>
            <w:r w:rsidRPr="00251A1E">
              <w:rPr>
                <w:rFonts w:ascii="Arial" w:eastAsia="Times New Roman" w:hAnsi="Arial" w:cs="Arial"/>
                <w:color w:val="000000"/>
              </w:rPr>
              <w:t xml:space="preserve">         6,000,254 </w:t>
            </w:r>
          </w:p>
        </w:tc>
        <w:tc>
          <w:tcPr>
            <w:tcW w:w="1096" w:type="dxa"/>
            <w:tcBorders>
              <w:top w:val="nil"/>
              <w:left w:val="nil"/>
              <w:bottom w:val="single" w:sz="8" w:space="0" w:color="auto"/>
              <w:right w:val="single" w:sz="4" w:space="0" w:color="auto"/>
            </w:tcBorders>
            <w:shd w:val="clear" w:color="auto" w:fill="auto"/>
            <w:noWrap/>
            <w:vAlign w:val="bottom"/>
            <w:hideMark/>
          </w:tcPr>
          <w:p w14:paraId="0E8C3D84" w14:textId="77777777" w:rsidR="003702F3" w:rsidRPr="00251A1E" w:rsidRDefault="003702F3" w:rsidP="00577E35">
            <w:pPr>
              <w:spacing w:after="0" w:line="240" w:lineRule="auto"/>
              <w:jc w:val="center"/>
              <w:rPr>
                <w:rFonts w:ascii="Arial" w:eastAsia="Times New Roman" w:hAnsi="Arial" w:cs="Arial"/>
                <w:color w:val="000000"/>
              </w:rPr>
            </w:pPr>
            <w:r w:rsidRPr="00251A1E">
              <w:rPr>
                <w:rFonts w:ascii="Arial" w:eastAsia="Times New Roman" w:hAnsi="Arial" w:cs="Arial"/>
                <w:color w:val="000000"/>
              </w:rPr>
              <w:t>82</w:t>
            </w:r>
          </w:p>
        </w:tc>
        <w:tc>
          <w:tcPr>
            <w:tcW w:w="1787" w:type="dxa"/>
            <w:tcBorders>
              <w:top w:val="nil"/>
              <w:left w:val="nil"/>
              <w:bottom w:val="single" w:sz="8" w:space="0" w:color="auto"/>
              <w:right w:val="single" w:sz="8" w:space="0" w:color="auto"/>
            </w:tcBorders>
            <w:shd w:val="clear" w:color="auto" w:fill="auto"/>
            <w:noWrap/>
            <w:vAlign w:val="bottom"/>
            <w:hideMark/>
          </w:tcPr>
          <w:p w14:paraId="0E8C3D85" w14:textId="77777777" w:rsidR="003702F3" w:rsidRPr="00251A1E" w:rsidRDefault="003702F3" w:rsidP="00577E35">
            <w:pPr>
              <w:spacing w:after="0" w:line="240" w:lineRule="auto"/>
              <w:jc w:val="right"/>
              <w:rPr>
                <w:rFonts w:ascii="Arial" w:eastAsia="Times New Roman" w:hAnsi="Arial" w:cs="Arial"/>
                <w:color w:val="000000"/>
              </w:rPr>
            </w:pPr>
            <w:r w:rsidRPr="00251A1E">
              <w:rPr>
                <w:rFonts w:ascii="Arial" w:eastAsia="Times New Roman" w:hAnsi="Arial" w:cs="Arial"/>
                <w:color w:val="000000"/>
              </w:rPr>
              <w:t xml:space="preserve">                       73,174 </w:t>
            </w:r>
          </w:p>
        </w:tc>
      </w:tr>
    </w:tbl>
    <w:p w14:paraId="0E8C3D87" w14:textId="77777777" w:rsidR="003702F3" w:rsidRPr="00251A1E" w:rsidRDefault="003702F3" w:rsidP="00251A1E">
      <w:pPr>
        <w:jc w:val="both"/>
        <w:rPr>
          <w:rFonts w:ascii="Arial" w:hAnsi="Arial" w:cs="Arial"/>
          <w:lang w:val="es-CL"/>
        </w:rPr>
      </w:pPr>
    </w:p>
    <w:p w14:paraId="0E8C3D88" w14:textId="77777777" w:rsidR="00DD236B" w:rsidRPr="00251A1E" w:rsidRDefault="003702F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Adicionalme</w:t>
      </w:r>
      <w:r w:rsidR="00ED3B68" w:rsidRPr="00251A1E">
        <w:rPr>
          <w:rFonts w:ascii="Arial" w:hAnsi="Arial" w:cs="Arial"/>
          <w:lang w:val="es-CL"/>
        </w:rPr>
        <w:t>nte, la información provista acerca de la plataforma</w:t>
      </w:r>
      <w:r w:rsidRPr="00251A1E">
        <w:rPr>
          <w:rFonts w:ascii="Arial" w:hAnsi="Arial" w:cs="Arial"/>
          <w:lang w:val="es-CL"/>
        </w:rPr>
        <w:t xml:space="preserve"> PIDE indica que cerca del 50% de las transacciones son requerimientos del DNI, y que en </w:t>
      </w:r>
      <w:r w:rsidR="00577E35">
        <w:rPr>
          <w:rFonts w:ascii="Arial" w:hAnsi="Arial" w:cs="Arial"/>
          <w:lang w:val="es-CL"/>
        </w:rPr>
        <w:t xml:space="preserve">el período </w:t>
      </w:r>
      <w:r w:rsidRPr="00251A1E">
        <w:rPr>
          <w:rFonts w:ascii="Arial" w:hAnsi="Arial" w:cs="Arial"/>
          <w:lang w:val="es-CL"/>
        </w:rPr>
        <w:t>Diciembre 2016 – Mayo 2017 la demanda por transacciones ha crecido</w:t>
      </w:r>
      <w:r w:rsidR="0093757F" w:rsidRPr="00251A1E">
        <w:rPr>
          <w:rFonts w:ascii="Arial" w:hAnsi="Arial" w:cs="Arial"/>
          <w:lang w:val="es-CL"/>
        </w:rPr>
        <w:t xml:space="preserve"> sólo</w:t>
      </w:r>
      <w:r w:rsidRPr="00251A1E">
        <w:rPr>
          <w:rFonts w:ascii="Arial" w:hAnsi="Arial" w:cs="Arial"/>
          <w:lang w:val="es-CL"/>
        </w:rPr>
        <w:t xml:space="preserve"> un </w:t>
      </w:r>
      <w:r w:rsidR="00615B08" w:rsidRPr="00251A1E">
        <w:rPr>
          <w:rFonts w:ascii="Arial" w:hAnsi="Arial" w:cs="Arial"/>
          <w:lang w:val="es-CL"/>
        </w:rPr>
        <w:t>1.8% mensual, por lo que se puede considerar rela</w:t>
      </w:r>
      <w:r w:rsidR="0093757F" w:rsidRPr="00251A1E">
        <w:rPr>
          <w:rFonts w:ascii="Arial" w:hAnsi="Arial" w:cs="Arial"/>
          <w:lang w:val="es-CL"/>
        </w:rPr>
        <w:t xml:space="preserve">tivamente estable en el tiempo. Esto es posible de explicar </w:t>
      </w:r>
      <w:r w:rsidR="00ED3B68" w:rsidRPr="00251A1E">
        <w:rPr>
          <w:rFonts w:ascii="Arial" w:hAnsi="Arial" w:cs="Arial"/>
          <w:lang w:val="es-CL"/>
        </w:rPr>
        <w:t>dado que no se han agregado</w:t>
      </w:r>
      <w:r w:rsidR="00577E35">
        <w:rPr>
          <w:rFonts w:ascii="Arial" w:hAnsi="Arial" w:cs="Arial"/>
          <w:lang w:val="es-CL"/>
        </w:rPr>
        <w:t xml:space="preserve"> nuevos servicios</w:t>
      </w:r>
      <w:r w:rsidR="00ED3B68" w:rsidRPr="00251A1E">
        <w:rPr>
          <w:rFonts w:ascii="Arial" w:hAnsi="Arial" w:cs="Arial"/>
          <w:lang w:val="es-CL"/>
        </w:rPr>
        <w:t xml:space="preserve"> y no</w:t>
      </w:r>
      <w:r w:rsidR="00577E35">
        <w:rPr>
          <w:rFonts w:ascii="Arial" w:hAnsi="Arial" w:cs="Arial"/>
          <w:lang w:val="es-CL"/>
        </w:rPr>
        <w:t xml:space="preserve"> se han incorporado</w:t>
      </w:r>
      <w:r w:rsidR="00ED3B68" w:rsidRPr="00251A1E">
        <w:rPr>
          <w:rFonts w:ascii="Arial" w:hAnsi="Arial" w:cs="Arial"/>
          <w:lang w:val="es-CL"/>
        </w:rPr>
        <w:t xml:space="preserve"> nuevas entidades a la plataforma.</w:t>
      </w:r>
    </w:p>
    <w:p w14:paraId="0E8C3D89" w14:textId="1FC9271B" w:rsidR="003702F3" w:rsidRPr="00251A1E" w:rsidRDefault="00615B0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De acuerdo al estudio</w:t>
      </w:r>
      <w:r w:rsidRPr="00251A1E">
        <w:rPr>
          <w:rStyle w:val="FootnoteReference"/>
          <w:rFonts w:ascii="Arial" w:hAnsi="Arial" w:cs="Arial"/>
          <w:lang w:val="es-CL"/>
        </w:rPr>
        <w:footnoteReference w:id="2"/>
      </w:r>
      <w:r w:rsidRPr="00251A1E">
        <w:rPr>
          <w:rFonts w:ascii="Arial" w:hAnsi="Arial" w:cs="Arial"/>
          <w:lang w:val="es-CL"/>
        </w:rPr>
        <w:t xml:space="preserve"> del sistema Chile</w:t>
      </w:r>
      <w:r w:rsidR="00ED3B68" w:rsidRPr="00251A1E">
        <w:rPr>
          <w:rFonts w:ascii="Arial" w:hAnsi="Arial" w:cs="Arial"/>
          <w:lang w:val="es-CL"/>
        </w:rPr>
        <w:t>-</w:t>
      </w:r>
      <w:r w:rsidRPr="00251A1E">
        <w:rPr>
          <w:rFonts w:ascii="Arial" w:hAnsi="Arial" w:cs="Arial"/>
          <w:lang w:val="es-CL"/>
        </w:rPr>
        <w:t>Atiende,</w:t>
      </w:r>
      <w:r w:rsidR="00577E35">
        <w:rPr>
          <w:rFonts w:ascii="Arial" w:hAnsi="Arial" w:cs="Arial"/>
          <w:lang w:val="es-CL"/>
        </w:rPr>
        <w:t xml:space="preserve"> que cuenta con una plataforma simila</w:t>
      </w:r>
      <w:r w:rsidR="00157B9B">
        <w:rPr>
          <w:rFonts w:ascii="Arial" w:hAnsi="Arial" w:cs="Arial"/>
          <w:lang w:val="es-CL"/>
        </w:rPr>
        <w:t>r</w:t>
      </w:r>
      <w:r w:rsidR="00577E35">
        <w:rPr>
          <w:rFonts w:ascii="Arial" w:hAnsi="Arial" w:cs="Arial"/>
          <w:lang w:val="es-CL"/>
        </w:rPr>
        <w:t>,</w:t>
      </w:r>
      <w:r w:rsidRPr="00251A1E">
        <w:rPr>
          <w:rFonts w:ascii="Arial" w:hAnsi="Arial" w:cs="Arial"/>
          <w:lang w:val="es-CL"/>
        </w:rPr>
        <w:t xml:space="preserve"> se puede estimar un ahorro para el Estado Chileno de US$ 2.18 por transacción</w:t>
      </w:r>
      <w:r w:rsidR="00577E35">
        <w:rPr>
          <w:rFonts w:ascii="Arial" w:hAnsi="Arial" w:cs="Arial"/>
          <w:lang w:val="es-CL"/>
        </w:rPr>
        <w:t xml:space="preserve"> (papel, tinta, otros insumos) </w:t>
      </w:r>
      <w:r w:rsidRPr="00251A1E">
        <w:rPr>
          <w:rFonts w:ascii="Arial" w:hAnsi="Arial" w:cs="Arial"/>
          <w:lang w:val="es-CL"/>
        </w:rPr>
        <w:t xml:space="preserve">y un ahorro de tiempo para el funcionario de 7 minutos por transacción. </w:t>
      </w:r>
      <w:r w:rsidR="00577E35">
        <w:rPr>
          <w:rFonts w:ascii="Arial" w:hAnsi="Arial" w:cs="Arial"/>
          <w:lang w:val="es-CL"/>
        </w:rPr>
        <w:t>P</w:t>
      </w:r>
      <w:r w:rsidR="0093757F" w:rsidRPr="00251A1E">
        <w:rPr>
          <w:rFonts w:ascii="Arial" w:hAnsi="Arial" w:cs="Arial"/>
          <w:lang w:val="es-CL"/>
        </w:rPr>
        <w:t>ara el caso de</w:t>
      </w:r>
      <w:r w:rsidR="00577E35">
        <w:rPr>
          <w:rFonts w:ascii="Arial" w:hAnsi="Arial" w:cs="Arial"/>
          <w:lang w:val="es-CL"/>
        </w:rPr>
        <w:t xml:space="preserve"> la</w:t>
      </w:r>
      <w:r w:rsidR="0093757F" w:rsidRPr="00251A1E">
        <w:rPr>
          <w:rFonts w:ascii="Arial" w:hAnsi="Arial" w:cs="Arial"/>
          <w:lang w:val="es-CL"/>
        </w:rPr>
        <w:t xml:space="preserve"> PIDE </w:t>
      </w:r>
      <w:r w:rsidRPr="00251A1E">
        <w:rPr>
          <w:rFonts w:ascii="Arial" w:hAnsi="Arial" w:cs="Arial"/>
          <w:lang w:val="es-CL"/>
        </w:rPr>
        <w:t xml:space="preserve">asumiremos un ahorro </w:t>
      </w:r>
      <w:r w:rsidR="0093757F" w:rsidRPr="00251A1E">
        <w:rPr>
          <w:rFonts w:ascii="Arial" w:hAnsi="Arial" w:cs="Arial"/>
          <w:lang w:val="es-CL"/>
        </w:rPr>
        <w:t xml:space="preserve">de costos </w:t>
      </w:r>
      <w:r w:rsidRPr="00251A1E">
        <w:rPr>
          <w:rFonts w:ascii="Arial" w:hAnsi="Arial" w:cs="Arial"/>
          <w:lang w:val="es-CL"/>
        </w:rPr>
        <w:t>de US$ 2 por transacción del DNI, y un ahorro en tiempo de 5 minutos para el funcionario por transacción del DNI.</w:t>
      </w:r>
      <w:r w:rsidR="0093757F" w:rsidRPr="00251A1E">
        <w:rPr>
          <w:rFonts w:ascii="Arial" w:hAnsi="Arial" w:cs="Arial"/>
          <w:lang w:val="es-CL"/>
        </w:rPr>
        <w:t xml:space="preserve"> De esta manera se considera un escenario base conservador con respecto al caso </w:t>
      </w:r>
      <w:r w:rsidR="00577E35">
        <w:rPr>
          <w:rFonts w:ascii="Arial" w:hAnsi="Arial" w:cs="Arial"/>
          <w:lang w:val="es-CL"/>
        </w:rPr>
        <w:t>c</w:t>
      </w:r>
      <w:r w:rsidR="0093757F" w:rsidRPr="00251A1E">
        <w:rPr>
          <w:rFonts w:ascii="Arial" w:hAnsi="Arial" w:cs="Arial"/>
          <w:lang w:val="es-CL"/>
        </w:rPr>
        <w:t>hileno.</w:t>
      </w:r>
      <w:r w:rsidRPr="00251A1E">
        <w:rPr>
          <w:rFonts w:ascii="Arial" w:hAnsi="Arial" w:cs="Arial"/>
          <w:lang w:val="es-CL"/>
        </w:rPr>
        <w:t xml:space="preserve"> </w:t>
      </w:r>
      <w:r w:rsidR="00FC177B" w:rsidRPr="00251A1E">
        <w:rPr>
          <w:rFonts w:ascii="Arial" w:hAnsi="Arial" w:cs="Arial"/>
          <w:lang w:val="es-CL"/>
        </w:rPr>
        <w:t>El sueldo promedio de un funcionario de la administración pública</w:t>
      </w:r>
      <w:r w:rsidR="00577E35">
        <w:rPr>
          <w:rFonts w:ascii="Arial" w:hAnsi="Arial" w:cs="Arial"/>
          <w:lang w:val="es-CL"/>
        </w:rPr>
        <w:t xml:space="preserve"> peruana</w:t>
      </w:r>
      <w:r w:rsidR="00FC177B" w:rsidRPr="00251A1E">
        <w:rPr>
          <w:rFonts w:ascii="Arial" w:hAnsi="Arial" w:cs="Arial"/>
          <w:lang w:val="es-CL"/>
        </w:rPr>
        <w:t xml:space="preserve"> es </w:t>
      </w:r>
      <w:r w:rsidR="00577E35">
        <w:rPr>
          <w:rFonts w:ascii="Arial" w:hAnsi="Arial" w:cs="Arial"/>
          <w:lang w:val="es-CL"/>
        </w:rPr>
        <w:t>S/</w:t>
      </w:r>
      <w:r w:rsidR="00B15596" w:rsidRPr="00251A1E">
        <w:rPr>
          <w:rFonts w:ascii="Arial" w:hAnsi="Arial" w:cs="Arial"/>
          <w:lang w:val="es-CL"/>
        </w:rPr>
        <w:t>1</w:t>
      </w:r>
      <w:r w:rsidR="00577E35">
        <w:rPr>
          <w:rFonts w:ascii="Arial" w:hAnsi="Arial" w:cs="Arial"/>
          <w:lang w:val="es-CL"/>
        </w:rPr>
        <w:t>,</w:t>
      </w:r>
      <w:r w:rsidR="00B15596" w:rsidRPr="00251A1E">
        <w:rPr>
          <w:rFonts w:ascii="Arial" w:hAnsi="Arial" w:cs="Arial"/>
          <w:lang w:val="es-CL"/>
        </w:rPr>
        <w:t>559</w:t>
      </w:r>
      <w:r w:rsidR="00577E35">
        <w:rPr>
          <w:rFonts w:ascii="Arial" w:hAnsi="Arial" w:cs="Arial"/>
          <w:lang w:val="es-CL"/>
        </w:rPr>
        <w:t>.</w:t>
      </w:r>
      <w:r w:rsidR="00B15596" w:rsidRPr="00251A1E">
        <w:rPr>
          <w:rFonts w:ascii="Arial" w:hAnsi="Arial" w:cs="Arial"/>
          <w:lang w:val="es-CL"/>
        </w:rPr>
        <w:t>2</w:t>
      </w:r>
      <w:r w:rsidR="00577E35">
        <w:rPr>
          <w:rFonts w:ascii="Arial" w:hAnsi="Arial" w:cs="Arial"/>
          <w:lang w:val="es-CL"/>
        </w:rPr>
        <w:t>0</w:t>
      </w:r>
      <w:r w:rsidR="00B15596" w:rsidRPr="00251A1E">
        <w:rPr>
          <w:rFonts w:ascii="Arial" w:hAnsi="Arial" w:cs="Arial"/>
          <w:lang w:val="es-CL"/>
        </w:rPr>
        <w:t xml:space="preserve"> mensuales</w:t>
      </w:r>
      <w:r w:rsidR="00B15596" w:rsidRPr="00251A1E">
        <w:rPr>
          <w:rStyle w:val="FootnoteReference"/>
          <w:rFonts w:ascii="Arial" w:hAnsi="Arial" w:cs="Arial"/>
          <w:lang w:val="es-CL"/>
        </w:rPr>
        <w:footnoteReference w:id="3"/>
      </w:r>
      <w:r w:rsidR="00B15596" w:rsidRPr="00251A1E">
        <w:rPr>
          <w:rFonts w:ascii="Arial" w:hAnsi="Arial" w:cs="Arial"/>
          <w:lang w:val="es-CL"/>
        </w:rPr>
        <w:t>.</w:t>
      </w:r>
    </w:p>
    <w:p w14:paraId="0E8C3D8A" w14:textId="77777777" w:rsidR="00615B08" w:rsidRPr="00251A1E" w:rsidRDefault="00615B0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Dado que el sistema ya existe, el</w:t>
      </w:r>
      <w:r w:rsidR="00577E35">
        <w:rPr>
          <w:rFonts w:ascii="Arial" w:hAnsi="Arial" w:cs="Arial"/>
          <w:lang w:val="es-CL"/>
        </w:rPr>
        <w:t xml:space="preserve"> beneficio asociado al proyecto</w:t>
      </w:r>
      <w:r w:rsidRPr="00251A1E">
        <w:rPr>
          <w:rFonts w:ascii="Arial" w:hAnsi="Arial" w:cs="Arial"/>
          <w:lang w:val="es-CL"/>
        </w:rPr>
        <w:t xml:space="preserve"> se refiere</w:t>
      </w:r>
      <w:r w:rsidR="00577E35">
        <w:rPr>
          <w:rFonts w:ascii="Arial" w:hAnsi="Arial" w:cs="Arial"/>
          <w:lang w:val="es-CL"/>
        </w:rPr>
        <w:t xml:space="preserve"> únicamente</w:t>
      </w:r>
      <w:r w:rsidRPr="00251A1E">
        <w:rPr>
          <w:rFonts w:ascii="Arial" w:hAnsi="Arial" w:cs="Arial"/>
          <w:lang w:val="es-CL"/>
        </w:rPr>
        <w:t xml:space="preserve"> al aumento de capacidades de la plataforma PIDE. De acuerdo al proyecto</w:t>
      </w:r>
      <w:r w:rsidR="00577E35">
        <w:rPr>
          <w:rFonts w:ascii="Arial" w:hAnsi="Arial" w:cs="Arial"/>
          <w:lang w:val="es-CL"/>
        </w:rPr>
        <w:t>,</w:t>
      </w:r>
      <w:r w:rsidRPr="00251A1E">
        <w:rPr>
          <w:rFonts w:ascii="Arial" w:hAnsi="Arial" w:cs="Arial"/>
          <w:lang w:val="es-CL"/>
        </w:rPr>
        <w:t xml:space="preserve"> se espera aumentar el </w:t>
      </w:r>
      <w:r w:rsidR="00690888" w:rsidRPr="00251A1E">
        <w:rPr>
          <w:rFonts w:ascii="Arial" w:hAnsi="Arial" w:cs="Arial"/>
          <w:lang w:val="es-CL"/>
        </w:rPr>
        <w:t>número de transacciones a 66</w:t>
      </w:r>
      <w:r w:rsidR="008A0336" w:rsidRPr="00251A1E">
        <w:rPr>
          <w:rFonts w:ascii="Arial" w:hAnsi="Arial" w:cs="Arial"/>
          <w:lang w:val="es-CL"/>
        </w:rPr>
        <w:t>,</w:t>
      </w:r>
      <w:r w:rsidR="00690888" w:rsidRPr="00251A1E">
        <w:rPr>
          <w:rFonts w:ascii="Arial" w:hAnsi="Arial" w:cs="Arial"/>
          <w:lang w:val="es-CL"/>
        </w:rPr>
        <w:t>249 para el quinto año del proyecto, principalmente por la incorporación de entidades y la mayor cobertura de servicios</w:t>
      </w:r>
      <w:r w:rsidR="0093757F" w:rsidRPr="00251A1E">
        <w:rPr>
          <w:rFonts w:ascii="Arial" w:hAnsi="Arial" w:cs="Arial"/>
          <w:lang w:val="es-CL"/>
        </w:rPr>
        <w:t xml:space="preserve">. Se asumirá que los beneficios del proyecto son los asociados a la posibilidad de aumentar la cantidad de transacciones realizadas por PIDE, por lo tanto, se calcularán los beneficios del aumento de las transacciones proyectadas de acuerdo a la matriz de resultados. </w:t>
      </w:r>
    </w:p>
    <w:p w14:paraId="0E8C3D8B" w14:textId="77777777" w:rsidR="0093757F" w:rsidRPr="00251A1E" w:rsidRDefault="00051930"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 xml:space="preserve">El beneficio del proyecto </w:t>
      </w:r>
      <w:r w:rsidR="0093757F" w:rsidRPr="00251A1E">
        <w:rPr>
          <w:rFonts w:ascii="Arial" w:hAnsi="Arial" w:cs="Arial"/>
          <w:lang w:val="es-CL"/>
        </w:rPr>
        <w:t>se calcular</w:t>
      </w:r>
      <w:r>
        <w:rPr>
          <w:rFonts w:ascii="Arial" w:hAnsi="Arial" w:cs="Arial"/>
          <w:lang w:val="es-CL"/>
        </w:rPr>
        <w:t>á</w:t>
      </w:r>
      <w:r w:rsidR="0093757F" w:rsidRPr="00251A1E">
        <w:rPr>
          <w:rFonts w:ascii="Arial" w:hAnsi="Arial" w:cs="Arial"/>
          <w:lang w:val="es-CL"/>
        </w:rPr>
        <w:t xml:space="preserve"> entonces a través del</w:t>
      </w:r>
      <w:r w:rsidR="00690888" w:rsidRPr="00251A1E">
        <w:rPr>
          <w:rFonts w:ascii="Arial" w:hAnsi="Arial" w:cs="Arial"/>
          <w:lang w:val="es-CL"/>
        </w:rPr>
        <w:t xml:space="preserve"> aumento del número de transacciones actual</w:t>
      </w:r>
      <w:r>
        <w:rPr>
          <w:rFonts w:ascii="Arial" w:hAnsi="Arial" w:cs="Arial"/>
          <w:lang w:val="es-CL"/>
        </w:rPr>
        <w:t>es</w:t>
      </w:r>
      <w:r w:rsidR="008A0336" w:rsidRPr="00251A1E">
        <w:rPr>
          <w:rFonts w:ascii="Arial" w:hAnsi="Arial" w:cs="Arial"/>
          <w:lang w:val="es-CL"/>
        </w:rPr>
        <w:t xml:space="preserve"> por año</w:t>
      </w:r>
      <w:r w:rsidR="0093757F" w:rsidRPr="00251A1E">
        <w:rPr>
          <w:rFonts w:ascii="Arial" w:hAnsi="Arial" w:cs="Arial"/>
          <w:lang w:val="es-CL"/>
        </w:rPr>
        <w:t xml:space="preserve"> por sobre lo ya observado</w:t>
      </w:r>
      <w:r w:rsidR="008A0336" w:rsidRPr="00251A1E">
        <w:rPr>
          <w:rFonts w:ascii="Arial" w:hAnsi="Arial" w:cs="Arial"/>
          <w:lang w:val="es-CL"/>
        </w:rPr>
        <w:t>. Se asume que</w:t>
      </w:r>
      <w:r>
        <w:rPr>
          <w:rFonts w:ascii="Arial" w:hAnsi="Arial" w:cs="Arial"/>
          <w:lang w:val="es-CL"/>
        </w:rPr>
        <w:t>,</w:t>
      </w:r>
      <w:r w:rsidR="008A0336" w:rsidRPr="00251A1E">
        <w:rPr>
          <w:rFonts w:ascii="Arial" w:hAnsi="Arial" w:cs="Arial"/>
          <w:lang w:val="es-CL"/>
        </w:rPr>
        <w:t xml:space="preserve"> sin el proyecto, el aumento sólo sería de un 2% anual, pero con el proyecto se actualizan los equipos de soporte, de manera que se pueden extender el número de servicios provistos, y el número de entidades que acced</w:t>
      </w:r>
      <w:r>
        <w:rPr>
          <w:rFonts w:ascii="Arial" w:hAnsi="Arial" w:cs="Arial"/>
          <w:lang w:val="es-CL"/>
        </w:rPr>
        <w:t>e</w:t>
      </w:r>
      <w:r w:rsidR="008A0336" w:rsidRPr="00251A1E">
        <w:rPr>
          <w:rFonts w:ascii="Arial" w:hAnsi="Arial" w:cs="Arial"/>
          <w:lang w:val="es-CL"/>
        </w:rPr>
        <w:t>n a</w:t>
      </w:r>
      <w:r>
        <w:rPr>
          <w:rFonts w:ascii="Arial" w:hAnsi="Arial" w:cs="Arial"/>
          <w:lang w:val="es-CL"/>
        </w:rPr>
        <w:t xml:space="preserve"> la</w:t>
      </w:r>
      <w:r w:rsidR="008A0336" w:rsidRPr="00251A1E">
        <w:rPr>
          <w:rFonts w:ascii="Arial" w:hAnsi="Arial" w:cs="Arial"/>
          <w:lang w:val="es-CL"/>
        </w:rPr>
        <w:t xml:space="preserve"> P</w:t>
      </w:r>
      <w:r w:rsidR="00E024DD" w:rsidRPr="00251A1E">
        <w:rPr>
          <w:rFonts w:ascii="Arial" w:hAnsi="Arial" w:cs="Arial"/>
          <w:lang w:val="es-CL"/>
        </w:rPr>
        <w:t xml:space="preserve">IDE. </w:t>
      </w:r>
      <w:r w:rsidR="0093757F" w:rsidRPr="00251A1E">
        <w:rPr>
          <w:rFonts w:ascii="Arial" w:hAnsi="Arial" w:cs="Arial"/>
          <w:lang w:val="es-CL"/>
        </w:rPr>
        <w:t>Este aumento, proyectado en la matriz de resultados, es el que se compara con la proyección del número de transacciones en ausencia del proyecto.</w:t>
      </w:r>
    </w:p>
    <w:p w14:paraId="0E8C3D8C" w14:textId="77777777" w:rsidR="00FC177B" w:rsidRPr="00251A1E" w:rsidRDefault="00E024DD"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Sin embargo, el aumento de transacciones se debe a un aumento del número de entidades participantes (se espera llegar a cerca de 200) y un aumento del número de servicios ofrecidos por la plataforma. Luego, asumiremos que sólo un 30% de las nuevas transacciones son DNI y se calcular</w:t>
      </w:r>
      <w:r w:rsidR="00051930">
        <w:rPr>
          <w:rFonts w:ascii="Arial" w:hAnsi="Arial" w:cs="Arial"/>
          <w:lang w:val="es-CL"/>
        </w:rPr>
        <w:t>á</w:t>
      </w:r>
      <w:r w:rsidRPr="00251A1E">
        <w:rPr>
          <w:rFonts w:ascii="Arial" w:hAnsi="Arial" w:cs="Arial"/>
          <w:lang w:val="es-CL"/>
        </w:rPr>
        <w:t>n los beneficios de sólo este subconjunto de transacciones.</w:t>
      </w:r>
      <w:r w:rsidR="0093757F" w:rsidRPr="00251A1E">
        <w:rPr>
          <w:rFonts w:ascii="Arial" w:hAnsi="Arial" w:cs="Arial"/>
          <w:lang w:val="es-CL"/>
        </w:rPr>
        <w:t xml:space="preserve"> Es decir, al aumentar las transacciones, sólo un porcentaje corresponde a un aumento de entidades, y otro al aumento del número de servicios. Se estima que sólo aumentando entidades se llega a alrededor de 40,000 transacciones. Luego el 50% de estas transacciones corresponde a alrededor de 20,000 las cuales son cerca del 30% de las 66,000 proyectadas en 5 años. Por lo tanto, asumir un 30% de transacciones de DNI se construye considerando el aumento de servicios y no sólo el aumento de entidades.</w:t>
      </w:r>
    </w:p>
    <w:p w14:paraId="0E8C3D8D" w14:textId="77777777" w:rsidR="00DF20F2" w:rsidRPr="00051930" w:rsidRDefault="00C062BA" w:rsidP="00251A1E">
      <w:pPr>
        <w:pStyle w:val="Heading2"/>
        <w:jc w:val="both"/>
        <w:rPr>
          <w:rFonts w:ascii="Arial" w:hAnsi="Arial" w:cs="Arial"/>
          <w:b/>
          <w:sz w:val="22"/>
          <w:szCs w:val="22"/>
          <w:lang w:val="es-CL"/>
        </w:rPr>
      </w:pPr>
      <w:bookmarkStart w:id="6" w:name="_Toc496886926"/>
      <w:r w:rsidRPr="00051930">
        <w:rPr>
          <w:rFonts w:ascii="Arial" w:hAnsi="Arial" w:cs="Arial"/>
          <w:b/>
          <w:sz w:val="22"/>
          <w:szCs w:val="22"/>
          <w:lang w:val="es-CL"/>
        </w:rPr>
        <w:t>Componente 3</w:t>
      </w:r>
      <w:bookmarkEnd w:id="6"/>
    </w:p>
    <w:p w14:paraId="0E8C3D8E" w14:textId="77777777" w:rsidR="00DF20F2" w:rsidRPr="00251A1E" w:rsidRDefault="00131C6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En est</w:t>
      </w:r>
      <w:r w:rsidR="00051930">
        <w:rPr>
          <w:rFonts w:ascii="Arial" w:hAnsi="Arial" w:cs="Arial"/>
          <w:lang w:val="es-CL"/>
        </w:rPr>
        <w:t>e</w:t>
      </w:r>
      <w:r w:rsidRPr="00251A1E">
        <w:rPr>
          <w:rFonts w:ascii="Arial" w:hAnsi="Arial" w:cs="Arial"/>
          <w:lang w:val="es-CL"/>
        </w:rPr>
        <w:t xml:space="preserve"> componente se pretende aumentar la cobertura de los </w:t>
      </w:r>
      <w:r w:rsidR="00E6090D" w:rsidRPr="00251A1E">
        <w:rPr>
          <w:rFonts w:ascii="Arial" w:hAnsi="Arial" w:cs="Arial"/>
          <w:lang w:val="es-CL"/>
        </w:rPr>
        <w:t>MAC presenciales</w:t>
      </w:r>
      <w:r w:rsidR="00051930">
        <w:rPr>
          <w:rFonts w:ascii="Arial" w:hAnsi="Arial" w:cs="Arial"/>
          <w:lang w:val="es-CL"/>
        </w:rPr>
        <w:t>.</w:t>
      </w:r>
      <w:r w:rsidR="00E6090D" w:rsidRPr="00251A1E">
        <w:rPr>
          <w:rFonts w:ascii="Arial" w:hAnsi="Arial" w:cs="Arial"/>
          <w:lang w:val="es-CL"/>
        </w:rPr>
        <w:t xml:space="preserve"> </w:t>
      </w:r>
      <w:r w:rsidR="00051930">
        <w:rPr>
          <w:rFonts w:ascii="Arial" w:hAnsi="Arial" w:cs="Arial"/>
          <w:lang w:val="es-CL"/>
        </w:rPr>
        <w:t>E</w:t>
      </w:r>
      <w:r w:rsidR="00E6090D" w:rsidRPr="00251A1E">
        <w:rPr>
          <w:rFonts w:ascii="Arial" w:hAnsi="Arial" w:cs="Arial"/>
          <w:lang w:val="es-CL"/>
        </w:rPr>
        <w:t xml:space="preserve">stos permiten al público general </w:t>
      </w:r>
      <w:r w:rsidR="00742649" w:rsidRPr="00251A1E">
        <w:rPr>
          <w:rFonts w:ascii="Arial" w:hAnsi="Arial" w:cs="Arial"/>
          <w:lang w:val="es-CL"/>
        </w:rPr>
        <w:t xml:space="preserve">disminuir los costos </w:t>
      </w:r>
      <w:r w:rsidR="00051930">
        <w:rPr>
          <w:rFonts w:ascii="Arial" w:hAnsi="Arial" w:cs="Arial"/>
          <w:lang w:val="es-CL"/>
        </w:rPr>
        <w:t>de transacción</w:t>
      </w:r>
      <w:r w:rsidR="00C062BA" w:rsidRPr="00251A1E">
        <w:rPr>
          <w:rFonts w:ascii="Arial" w:hAnsi="Arial" w:cs="Arial"/>
          <w:lang w:val="es-CL"/>
        </w:rPr>
        <w:t xml:space="preserve"> debido a que un número de</w:t>
      </w:r>
      <w:r w:rsidR="00742649" w:rsidRPr="00251A1E">
        <w:rPr>
          <w:rFonts w:ascii="Arial" w:hAnsi="Arial" w:cs="Arial"/>
          <w:lang w:val="es-CL"/>
        </w:rPr>
        <w:t xml:space="preserve"> trámites se pueden realizar en est</w:t>
      </w:r>
      <w:r w:rsidR="00051930">
        <w:rPr>
          <w:rFonts w:ascii="Arial" w:hAnsi="Arial" w:cs="Arial"/>
          <w:lang w:val="es-CL"/>
        </w:rPr>
        <w:t>os centros</w:t>
      </w:r>
      <w:r w:rsidR="00742649" w:rsidRPr="00251A1E">
        <w:rPr>
          <w:rFonts w:ascii="Arial" w:hAnsi="Arial" w:cs="Arial"/>
          <w:lang w:val="es-CL"/>
        </w:rPr>
        <w:t xml:space="preserve">, mientras que en ausencia del MAC estos servicios están distribuidos en </w:t>
      </w:r>
      <w:r w:rsidR="00051930">
        <w:rPr>
          <w:rFonts w:ascii="Arial" w:hAnsi="Arial" w:cs="Arial"/>
          <w:lang w:val="es-CL"/>
        </w:rPr>
        <w:t xml:space="preserve">las sedes de </w:t>
      </w:r>
      <w:r w:rsidR="00742649" w:rsidRPr="00251A1E">
        <w:rPr>
          <w:rFonts w:ascii="Arial" w:hAnsi="Arial" w:cs="Arial"/>
          <w:lang w:val="es-CL"/>
        </w:rPr>
        <w:t xml:space="preserve">varias entidades, lo que implica </w:t>
      </w:r>
      <w:r w:rsidR="00C062BA" w:rsidRPr="00251A1E">
        <w:rPr>
          <w:rFonts w:ascii="Arial" w:hAnsi="Arial" w:cs="Arial"/>
          <w:lang w:val="es-CL"/>
        </w:rPr>
        <w:t xml:space="preserve"> el costo  de </w:t>
      </w:r>
      <w:r w:rsidR="00742649" w:rsidRPr="00251A1E">
        <w:rPr>
          <w:rFonts w:ascii="Arial" w:hAnsi="Arial" w:cs="Arial"/>
          <w:lang w:val="es-CL"/>
        </w:rPr>
        <w:t>tener que hacer varios viajes y esperar ser atendido.</w:t>
      </w:r>
      <w:r w:rsidR="00DF20F2" w:rsidRPr="00251A1E">
        <w:rPr>
          <w:rFonts w:ascii="Arial" w:hAnsi="Arial" w:cs="Arial"/>
          <w:lang w:val="es-CL"/>
        </w:rPr>
        <w:t xml:space="preserve"> Cabe hacer notar que la ubicación de los MAC obedece a una serie de criterios, los cuales son: </w:t>
      </w:r>
      <w:r w:rsidR="00051930">
        <w:rPr>
          <w:rFonts w:ascii="Arial" w:hAnsi="Arial" w:cs="Arial"/>
          <w:lang w:val="es-CL"/>
        </w:rPr>
        <w:t>l</w:t>
      </w:r>
      <w:r w:rsidR="00DF20F2" w:rsidRPr="00251A1E">
        <w:rPr>
          <w:rFonts w:ascii="Arial" w:hAnsi="Arial" w:cs="Arial"/>
          <w:lang w:val="es-CL"/>
        </w:rPr>
        <w:t>ocalización fronteriza estratégica, localización nacional estratégica, localización departamental estratégica, mapa de pobreza al departamento que pertenece la ciudad, falta de inversión comercial, sin obras por impuestos, y ciudades que atraen por articulación. Lo anterior permite evaluar el beneficio a nivel de Departamento, ya que no s</w:t>
      </w:r>
      <w:r w:rsidR="00051930">
        <w:rPr>
          <w:rFonts w:ascii="Arial" w:hAnsi="Arial" w:cs="Arial"/>
          <w:lang w:val="es-CL"/>
        </w:rPr>
        <w:t>ó</w:t>
      </w:r>
      <w:r w:rsidR="00DF20F2" w:rsidRPr="00251A1E">
        <w:rPr>
          <w:rFonts w:ascii="Arial" w:hAnsi="Arial" w:cs="Arial"/>
          <w:lang w:val="es-CL"/>
        </w:rPr>
        <w:t>lo los habitantes de la ciudad con MAC se benefician de la existencia de éste.</w:t>
      </w:r>
    </w:p>
    <w:p w14:paraId="0E8C3D8F" w14:textId="77777777" w:rsidR="00E6090D" w:rsidRPr="00251A1E" w:rsidRDefault="00742649"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Como ya fue mencionado, asumiremos que el ahorro es de 1 viaje entre entidades. Por lo tanto, los beneficios asociados a la apertura de un MAC se resumen a:</w:t>
      </w:r>
    </w:p>
    <w:p w14:paraId="0E8C3D90" w14:textId="77777777" w:rsidR="00E6090D" w:rsidRPr="00251A1E" w:rsidRDefault="00E6090D" w:rsidP="00251A1E">
      <w:pPr>
        <w:pStyle w:val="ListParagraph"/>
        <w:numPr>
          <w:ilvl w:val="0"/>
          <w:numId w:val="3"/>
        </w:numPr>
        <w:jc w:val="both"/>
        <w:rPr>
          <w:rFonts w:ascii="Arial" w:hAnsi="Arial" w:cs="Arial"/>
          <w:lang w:val="es-CL"/>
        </w:rPr>
      </w:pPr>
      <w:r w:rsidRPr="00251A1E">
        <w:rPr>
          <w:rFonts w:ascii="Arial" w:hAnsi="Arial" w:cs="Arial"/>
          <w:lang w:val="es-CL"/>
        </w:rPr>
        <w:t xml:space="preserve">Disminución de los costos asociados a traslados entre entidades para realizar los trámites. Esto se debe a que los MAC permiten acceder a </w:t>
      </w:r>
      <w:r w:rsidR="00C062BA" w:rsidRPr="00251A1E">
        <w:rPr>
          <w:rFonts w:ascii="Arial" w:hAnsi="Arial" w:cs="Arial"/>
          <w:lang w:val="es-CL"/>
        </w:rPr>
        <w:t>varios</w:t>
      </w:r>
      <w:r w:rsidRPr="00251A1E">
        <w:rPr>
          <w:rFonts w:ascii="Arial" w:hAnsi="Arial" w:cs="Arial"/>
          <w:lang w:val="es-CL"/>
        </w:rPr>
        <w:t xml:space="preserve"> servicios en un solo lugar.</w:t>
      </w:r>
    </w:p>
    <w:p w14:paraId="0E8C3D91" w14:textId="77777777" w:rsidR="00E6090D" w:rsidRPr="00251A1E" w:rsidRDefault="00E6090D" w:rsidP="00251A1E">
      <w:pPr>
        <w:pStyle w:val="ListParagraph"/>
        <w:numPr>
          <w:ilvl w:val="0"/>
          <w:numId w:val="2"/>
        </w:numPr>
        <w:jc w:val="both"/>
        <w:rPr>
          <w:rFonts w:ascii="Arial" w:hAnsi="Arial" w:cs="Arial"/>
          <w:lang w:val="es-CL"/>
        </w:rPr>
      </w:pPr>
      <w:r w:rsidRPr="00251A1E">
        <w:rPr>
          <w:rFonts w:ascii="Arial" w:hAnsi="Arial" w:cs="Arial"/>
          <w:lang w:val="es-CL"/>
        </w:rPr>
        <w:t xml:space="preserve">Disminución de los tiempos de espera en fila y en ventanilla para realizar los trámites. </w:t>
      </w:r>
    </w:p>
    <w:p w14:paraId="0E8C3D92" w14:textId="77777777" w:rsidR="00D26460" w:rsidRPr="00251A1E" w:rsidRDefault="00131C6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Para poder estimar la potencial demanda </w:t>
      </w:r>
      <w:r w:rsidR="00ED3B68" w:rsidRPr="00251A1E">
        <w:rPr>
          <w:rFonts w:ascii="Arial" w:hAnsi="Arial" w:cs="Arial"/>
          <w:lang w:val="es-CL"/>
        </w:rPr>
        <w:t>por los nuevos</w:t>
      </w:r>
      <w:r w:rsidRPr="00251A1E">
        <w:rPr>
          <w:rFonts w:ascii="Arial" w:hAnsi="Arial" w:cs="Arial"/>
          <w:lang w:val="es-CL"/>
        </w:rPr>
        <w:t xml:space="preserve"> MAC </w:t>
      </w:r>
      <w:r w:rsidR="00ED3B68" w:rsidRPr="00251A1E">
        <w:rPr>
          <w:rFonts w:ascii="Arial" w:hAnsi="Arial" w:cs="Arial"/>
          <w:lang w:val="es-CL"/>
        </w:rPr>
        <w:t xml:space="preserve">presenciales </w:t>
      </w:r>
      <w:r w:rsidRPr="00251A1E">
        <w:rPr>
          <w:rFonts w:ascii="Arial" w:hAnsi="Arial" w:cs="Arial"/>
          <w:lang w:val="es-CL"/>
        </w:rPr>
        <w:t>se usa información del número de atenciones de los MAC en funcionamiento y su evolución en el tiempo.</w:t>
      </w:r>
      <w:r w:rsidR="00BD550F" w:rsidRPr="00251A1E">
        <w:rPr>
          <w:rFonts w:ascii="Arial" w:hAnsi="Arial" w:cs="Arial"/>
          <w:lang w:val="es-CL"/>
        </w:rPr>
        <w:t xml:space="preserve"> En particular, se asumirá</w:t>
      </w:r>
      <w:r w:rsidR="00047113" w:rsidRPr="00251A1E">
        <w:rPr>
          <w:rFonts w:ascii="Arial" w:hAnsi="Arial" w:cs="Arial"/>
          <w:lang w:val="es-CL"/>
        </w:rPr>
        <w:t xml:space="preserve"> que</w:t>
      </w:r>
      <w:r w:rsidR="00051930">
        <w:rPr>
          <w:rFonts w:ascii="Arial" w:hAnsi="Arial" w:cs="Arial"/>
          <w:lang w:val="es-CL"/>
        </w:rPr>
        <w:t>,</w:t>
      </w:r>
      <w:r w:rsidR="00047113" w:rsidRPr="00251A1E">
        <w:rPr>
          <w:rFonts w:ascii="Arial" w:hAnsi="Arial" w:cs="Arial"/>
          <w:lang w:val="es-CL"/>
        </w:rPr>
        <w:t xml:space="preserve"> al abrir un MAC presencial, en promedio se </w:t>
      </w:r>
      <w:r w:rsidR="00ED3B68" w:rsidRPr="00251A1E">
        <w:rPr>
          <w:rFonts w:ascii="Arial" w:hAnsi="Arial" w:cs="Arial"/>
          <w:lang w:val="es-CL"/>
        </w:rPr>
        <w:t>realizan 0.1 trámites por individuos económicamente activos, el primer año</w:t>
      </w:r>
      <w:r w:rsidR="00047113" w:rsidRPr="00251A1E">
        <w:rPr>
          <w:rFonts w:ascii="Arial" w:hAnsi="Arial" w:cs="Arial"/>
          <w:lang w:val="es-CL"/>
        </w:rPr>
        <w:t>. Esta proporción sube a 0.5 el segundo año, a 0.7 el tercer año, 0.8 el cuarto año y se estabiliza en 1 trámite por persona para el quinto año</w:t>
      </w:r>
      <w:r w:rsidR="00BD550F" w:rsidRPr="00251A1E">
        <w:rPr>
          <w:rFonts w:ascii="Arial" w:hAnsi="Arial" w:cs="Arial"/>
          <w:lang w:val="es-CL"/>
        </w:rPr>
        <w:t xml:space="preserve"> en adelante. Es decir, este supuesto implica que</w:t>
      </w:r>
      <w:r w:rsidR="00051930">
        <w:rPr>
          <w:rFonts w:ascii="Arial" w:hAnsi="Arial" w:cs="Arial"/>
          <w:lang w:val="es-CL"/>
        </w:rPr>
        <w:t>,</w:t>
      </w:r>
      <w:r w:rsidR="00BD550F" w:rsidRPr="00251A1E">
        <w:rPr>
          <w:rFonts w:ascii="Arial" w:hAnsi="Arial" w:cs="Arial"/>
          <w:lang w:val="es-CL"/>
        </w:rPr>
        <w:t xml:space="preserve"> en el largo plazo, cada individuo en promedio ha</w:t>
      </w:r>
      <w:r w:rsidR="00051930">
        <w:rPr>
          <w:rFonts w:ascii="Arial" w:hAnsi="Arial" w:cs="Arial"/>
          <w:lang w:val="es-CL"/>
        </w:rPr>
        <w:t>ría</w:t>
      </w:r>
      <w:r w:rsidR="00BD550F" w:rsidRPr="00251A1E">
        <w:rPr>
          <w:rFonts w:ascii="Arial" w:hAnsi="Arial" w:cs="Arial"/>
          <w:lang w:val="es-CL"/>
        </w:rPr>
        <w:t xml:space="preserve"> </w:t>
      </w:r>
      <w:r w:rsidR="00BD550F" w:rsidRPr="00051930">
        <w:rPr>
          <w:rFonts w:ascii="Arial" w:hAnsi="Arial" w:cs="Arial"/>
          <w:lang w:val="es-CL"/>
        </w:rPr>
        <w:t>un</w:t>
      </w:r>
      <w:r w:rsidR="00BD550F" w:rsidRPr="00251A1E">
        <w:rPr>
          <w:rFonts w:ascii="Arial" w:hAnsi="Arial" w:cs="Arial"/>
          <w:lang w:val="es-CL"/>
        </w:rPr>
        <w:t xml:space="preserve"> trámite al año en un MAC</w:t>
      </w:r>
      <w:r w:rsidR="00047113" w:rsidRPr="00251A1E">
        <w:rPr>
          <w:rFonts w:ascii="Arial" w:hAnsi="Arial" w:cs="Arial"/>
          <w:lang w:val="es-CL"/>
        </w:rPr>
        <w:t>. Para el MAC de Ventanilla, la proporción observada fue 0.5, el primer año, 0.7 el segundo y 0.8 el tercero. Para el MAC de Piura (considerando años completos de funcionamiento), el primer año fue de 0.3 y el segundo de 0.7. Por lo tanto, la tasa de adopción asumida se considera conservadora y se analizará la sensibilidad del resultado a distintas progresiones de esta tasa</w:t>
      </w:r>
      <w:r w:rsidR="00D26460" w:rsidRPr="00251A1E">
        <w:rPr>
          <w:rStyle w:val="FootnoteReference"/>
          <w:rFonts w:ascii="Arial" w:hAnsi="Arial" w:cs="Arial"/>
          <w:lang w:val="es-CL"/>
        </w:rPr>
        <w:footnoteReference w:id="4"/>
      </w:r>
      <w:r w:rsidR="00047113" w:rsidRPr="00251A1E">
        <w:rPr>
          <w:rFonts w:ascii="Arial" w:hAnsi="Arial" w:cs="Arial"/>
          <w:lang w:val="es-CL"/>
        </w:rPr>
        <w:t xml:space="preserve">. </w:t>
      </w:r>
    </w:p>
    <w:p w14:paraId="0E8C3D93" w14:textId="77777777" w:rsidR="00131C63" w:rsidRPr="00251A1E" w:rsidRDefault="00131C6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Adicionalmente, se usa información existente para estimar los tiempos tanto de traslado como de espera en la fila.</w:t>
      </w:r>
      <w:r w:rsidR="00234A89" w:rsidRPr="00251A1E">
        <w:rPr>
          <w:rFonts w:ascii="Arial" w:hAnsi="Arial" w:cs="Arial"/>
          <w:lang w:val="es-CL"/>
        </w:rPr>
        <w:t xml:space="preserve"> Según un estudio IPSOS</w:t>
      </w:r>
      <w:r w:rsidR="00234A89" w:rsidRPr="00251A1E">
        <w:rPr>
          <w:rStyle w:val="FootnoteReference"/>
          <w:rFonts w:ascii="Arial" w:hAnsi="Arial" w:cs="Arial"/>
          <w:lang w:val="es-CL"/>
        </w:rPr>
        <w:footnoteReference w:id="5"/>
      </w:r>
      <w:r w:rsidR="00234A89" w:rsidRPr="00251A1E">
        <w:rPr>
          <w:rFonts w:ascii="Arial" w:hAnsi="Arial" w:cs="Arial"/>
          <w:lang w:val="es-CL"/>
        </w:rPr>
        <w:t xml:space="preserve"> </w:t>
      </w:r>
      <w:r w:rsidR="00051930">
        <w:rPr>
          <w:rFonts w:ascii="Arial" w:hAnsi="Arial" w:cs="Arial"/>
          <w:lang w:val="es-CL"/>
        </w:rPr>
        <w:t xml:space="preserve">a nivel nacional, </w:t>
      </w:r>
      <w:r w:rsidR="00234A89" w:rsidRPr="00251A1E">
        <w:rPr>
          <w:rFonts w:ascii="Arial" w:hAnsi="Arial" w:cs="Arial"/>
          <w:lang w:val="es-CL"/>
        </w:rPr>
        <w:t>encargado por</w:t>
      </w:r>
      <w:r w:rsidR="00051930">
        <w:rPr>
          <w:rFonts w:ascii="Arial" w:hAnsi="Arial" w:cs="Arial"/>
          <w:lang w:val="es-CL"/>
        </w:rPr>
        <w:t xml:space="preserve"> la</w:t>
      </w:r>
      <w:r w:rsidR="00234A89" w:rsidRPr="00251A1E">
        <w:rPr>
          <w:rFonts w:ascii="Arial" w:hAnsi="Arial" w:cs="Arial"/>
          <w:lang w:val="es-CL"/>
        </w:rPr>
        <w:t xml:space="preserve"> PCM, el promedio de traslado a una entidad para hacer un trámite es de 51 minutos (l</w:t>
      </w:r>
      <w:r w:rsidR="00702884" w:rsidRPr="00251A1E">
        <w:rPr>
          <w:rFonts w:ascii="Arial" w:hAnsi="Arial" w:cs="Arial"/>
          <w:lang w:val="es-CL"/>
        </w:rPr>
        <w:t>a mediana es de 30 minutos). Estudios de factibilidad para MAC presenciales para Arequipa, Cajamarca, Tacna y Trujillo también entregan información acerca de los tiempos de traslado y de espera para trámites en cada zona. Los es</w:t>
      </w:r>
      <w:r w:rsidR="00051930">
        <w:rPr>
          <w:rFonts w:ascii="Arial" w:hAnsi="Arial" w:cs="Arial"/>
          <w:lang w:val="es-CL"/>
        </w:rPr>
        <w:t>tudios para los MAC ya abiertos</w:t>
      </w:r>
      <w:r w:rsidR="00702884" w:rsidRPr="00251A1E">
        <w:rPr>
          <w:rFonts w:ascii="Arial" w:hAnsi="Arial" w:cs="Arial"/>
          <w:lang w:val="es-CL"/>
        </w:rPr>
        <w:t xml:space="preserve"> usan como parámetros 30 minutos de traslado y 30</w:t>
      </w:r>
      <w:r w:rsidR="003702F3" w:rsidRPr="00251A1E">
        <w:rPr>
          <w:rFonts w:ascii="Arial" w:hAnsi="Arial" w:cs="Arial"/>
          <w:lang w:val="es-CL"/>
        </w:rPr>
        <w:t xml:space="preserve"> minutos de espera. La tabla 2</w:t>
      </w:r>
      <w:r w:rsidR="00702884" w:rsidRPr="00251A1E">
        <w:rPr>
          <w:rFonts w:ascii="Arial" w:hAnsi="Arial" w:cs="Arial"/>
          <w:lang w:val="es-CL"/>
        </w:rPr>
        <w:t xml:space="preserve"> muestra un </w:t>
      </w:r>
      <w:r w:rsidR="00ED3B68" w:rsidRPr="00251A1E">
        <w:rPr>
          <w:rFonts w:ascii="Arial" w:hAnsi="Arial" w:cs="Arial"/>
          <w:lang w:val="es-CL"/>
        </w:rPr>
        <w:t>resumen</w:t>
      </w:r>
      <w:r w:rsidR="00702884" w:rsidRPr="00251A1E">
        <w:rPr>
          <w:rFonts w:ascii="Arial" w:hAnsi="Arial" w:cs="Arial"/>
          <w:lang w:val="es-CL"/>
        </w:rPr>
        <w:t xml:space="preserve"> de esta información en conjunto con el supuesto base para la estimación de los beneficios</w:t>
      </w:r>
      <w:r w:rsidR="00A4593E" w:rsidRPr="00251A1E">
        <w:rPr>
          <w:rStyle w:val="FootnoteReference"/>
          <w:rFonts w:ascii="Arial" w:hAnsi="Arial" w:cs="Arial"/>
          <w:lang w:val="es-CL"/>
        </w:rPr>
        <w:footnoteReference w:id="6"/>
      </w:r>
      <w:r w:rsidR="00306D3B" w:rsidRPr="00251A1E">
        <w:rPr>
          <w:rFonts w:ascii="Arial" w:hAnsi="Arial" w:cs="Arial"/>
          <w:lang w:val="es-CL"/>
        </w:rPr>
        <w:t>.</w:t>
      </w:r>
    </w:p>
    <w:p w14:paraId="0E8C3D94" w14:textId="77777777" w:rsidR="00306D3B" w:rsidRPr="00251A1E" w:rsidRDefault="00051930" w:rsidP="00051930">
      <w:pPr>
        <w:spacing w:line="240" w:lineRule="auto"/>
        <w:jc w:val="center"/>
        <w:rPr>
          <w:rFonts w:ascii="Arial" w:hAnsi="Arial" w:cs="Arial"/>
          <w:lang w:val="es-CL"/>
        </w:rPr>
      </w:pPr>
      <w:r w:rsidRPr="00051930">
        <w:rPr>
          <w:rFonts w:ascii="Arial" w:hAnsi="Arial" w:cs="Arial"/>
          <w:b/>
          <w:lang w:val="es-CL"/>
        </w:rPr>
        <w:t>Cuadro</w:t>
      </w:r>
      <w:r w:rsidR="00F65A3C" w:rsidRPr="00051930">
        <w:rPr>
          <w:rFonts w:ascii="Arial" w:hAnsi="Arial" w:cs="Arial"/>
          <w:b/>
          <w:lang w:val="es-CL"/>
        </w:rPr>
        <w:t xml:space="preserve"> 2</w:t>
      </w:r>
      <w:r w:rsidR="00306D3B" w:rsidRPr="00051930">
        <w:rPr>
          <w:rFonts w:ascii="Arial" w:hAnsi="Arial" w:cs="Arial"/>
          <w:b/>
          <w:lang w:val="es-CL"/>
        </w:rPr>
        <w:t>:</w:t>
      </w:r>
      <w:r w:rsidR="00306D3B" w:rsidRPr="00251A1E">
        <w:rPr>
          <w:rFonts w:ascii="Arial" w:hAnsi="Arial" w:cs="Arial"/>
          <w:lang w:val="es-CL"/>
        </w:rPr>
        <w:t xml:space="preserve"> </w:t>
      </w:r>
      <w:r w:rsidR="00306D3B" w:rsidRPr="00051930">
        <w:rPr>
          <w:rFonts w:ascii="Arial" w:hAnsi="Arial" w:cs="Arial"/>
          <w:b/>
          <w:lang w:val="es-CL"/>
        </w:rPr>
        <w:t>Tiempos de Traslado y Espera</w:t>
      </w:r>
    </w:p>
    <w:tbl>
      <w:tblPr>
        <w:tblStyle w:val="GridTable1Light1"/>
        <w:tblW w:w="4038" w:type="dxa"/>
        <w:tblInd w:w="2650" w:type="dxa"/>
        <w:tblLook w:val="04A0" w:firstRow="1" w:lastRow="0" w:firstColumn="1" w:lastColumn="0" w:noHBand="0" w:noVBand="1"/>
      </w:tblPr>
      <w:tblGrid>
        <w:gridCol w:w="1329"/>
        <w:gridCol w:w="1133"/>
        <w:gridCol w:w="999"/>
        <w:gridCol w:w="999"/>
      </w:tblGrid>
      <w:tr w:rsidR="00306D3B" w:rsidRPr="00251A1E" w14:paraId="0E8C3D99" w14:textId="77777777" w:rsidTr="00306D3B">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73" w:type="dxa"/>
            <w:hideMark/>
          </w:tcPr>
          <w:p w14:paraId="0E8C3D95"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Datos</w:t>
            </w:r>
          </w:p>
        </w:tc>
        <w:tc>
          <w:tcPr>
            <w:tcW w:w="999" w:type="dxa"/>
            <w:hideMark/>
          </w:tcPr>
          <w:p w14:paraId="0E8C3D96" w14:textId="77777777" w:rsidR="00306D3B" w:rsidRPr="00251A1E" w:rsidRDefault="00306D3B" w:rsidP="00251A1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Tiempo Traslado (min.)</w:t>
            </w:r>
          </w:p>
        </w:tc>
        <w:tc>
          <w:tcPr>
            <w:tcW w:w="906" w:type="dxa"/>
            <w:hideMark/>
          </w:tcPr>
          <w:p w14:paraId="0E8C3D97" w14:textId="77777777" w:rsidR="00306D3B" w:rsidRPr="00251A1E" w:rsidRDefault="00306D3B" w:rsidP="00251A1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Tiempo de Espera (min.)</w:t>
            </w:r>
          </w:p>
        </w:tc>
        <w:tc>
          <w:tcPr>
            <w:tcW w:w="960" w:type="dxa"/>
            <w:hideMark/>
          </w:tcPr>
          <w:p w14:paraId="0E8C3D98" w14:textId="77777777" w:rsidR="00306D3B" w:rsidRPr="00251A1E" w:rsidRDefault="00306D3B" w:rsidP="00251A1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Tiempo Total (min.)</w:t>
            </w:r>
          </w:p>
        </w:tc>
      </w:tr>
      <w:tr w:rsidR="00306D3B" w:rsidRPr="00251A1E" w14:paraId="0E8C3D9E" w14:textId="77777777" w:rsidTr="00306D3B">
        <w:trPr>
          <w:trHeight w:val="300"/>
        </w:trPr>
        <w:tc>
          <w:tcPr>
            <w:cnfStyle w:val="001000000000" w:firstRow="0" w:lastRow="0" w:firstColumn="1" w:lastColumn="0" w:oddVBand="0" w:evenVBand="0" w:oddHBand="0" w:evenHBand="0" w:firstRowFirstColumn="0" w:firstRowLastColumn="0" w:lastRowFirstColumn="0" w:lastRowLastColumn="0"/>
            <w:tcW w:w="1173" w:type="dxa"/>
            <w:noWrap/>
            <w:hideMark/>
          </w:tcPr>
          <w:p w14:paraId="0E8C3D9A"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Arequipa</w:t>
            </w:r>
          </w:p>
        </w:tc>
        <w:tc>
          <w:tcPr>
            <w:tcW w:w="999" w:type="dxa"/>
            <w:noWrap/>
            <w:hideMark/>
          </w:tcPr>
          <w:p w14:paraId="0E8C3D9B"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p>
        </w:tc>
        <w:tc>
          <w:tcPr>
            <w:tcW w:w="906" w:type="dxa"/>
            <w:noWrap/>
            <w:hideMark/>
          </w:tcPr>
          <w:p w14:paraId="0E8C3D9C"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20</w:t>
            </w:r>
          </w:p>
        </w:tc>
        <w:tc>
          <w:tcPr>
            <w:tcW w:w="960" w:type="dxa"/>
            <w:noWrap/>
            <w:hideMark/>
          </w:tcPr>
          <w:p w14:paraId="0E8C3D9D"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p>
        </w:tc>
      </w:tr>
      <w:tr w:rsidR="00306D3B" w:rsidRPr="00251A1E" w14:paraId="0E8C3DA3" w14:textId="77777777" w:rsidTr="00306D3B">
        <w:trPr>
          <w:trHeight w:val="300"/>
        </w:trPr>
        <w:tc>
          <w:tcPr>
            <w:cnfStyle w:val="001000000000" w:firstRow="0" w:lastRow="0" w:firstColumn="1" w:lastColumn="0" w:oddVBand="0" w:evenVBand="0" w:oddHBand="0" w:evenHBand="0" w:firstRowFirstColumn="0" w:firstRowLastColumn="0" w:lastRowFirstColumn="0" w:lastRowLastColumn="0"/>
            <w:tcW w:w="1173" w:type="dxa"/>
            <w:noWrap/>
            <w:hideMark/>
          </w:tcPr>
          <w:p w14:paraId="0E8C3D9F"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Cajamarca</w:t>
            </w:r>
          </w:p>
        </w:tc>
        <w:tc>
          <w:tcPr>
            <w:tcW w:w="999" w:type="dxa"/>
            <w:noWrap/>
            <w:hideMark/>
          </w:tcPr>
          <w:p w14:paraId="0E8C3DA0"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28.6</w:t>
            </w:r>
          </w:p>
        </w:tc>
        <w:tc>
          <w:tcPr>
            <w:tcW w:w="906" w:type="dxa"/>
            <w:noWrap/>
            <w:hideMark/>
          </w:tcPr>
          <w:p w14:paraId="0E8C3DA1"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19</w:t>
            </w:r>
          </w:p>
        </w:tc>
        <w:tc>
          <w:tcPr>
            <w:tcW w:w="960" w:type="dxa"/>
            <w:noWrap/>
            <w:hideMark/>
          </w:tcPr>
          <w:p w14:paraId="0E8C3DA2"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76.2</w:t>
            </w:r>
          </w:p>
        </w:tc>
      </w:tr>
      <w:tr w:rsidR="00306D3B" w:rsidRPr="00251A1E" w14:paraId="0E8C3DA8" w14:textId="77777777" w:rsidTr="00306D3B">
        <w:trPr>
          <w:trHeight w:val="300"/>
        </w:trPr>
        <w:tc>
          <w:tcPr>
            <w:cnfStyle w:val="001000000000" w:firstRow="0" w:lastRow="0" w:firstColumn="1" w:lastColumn="0" w:oddVBand="0" w:evenVBand="0" w:oddHBand="0" w:evenHBand="0" w:firstRowFirstColumn="0" w:firstRowLastColumn="0" w:lastRowFirstColumn="0" w:lastRowLastColumn="0"/>
            <w:tcW w:w="1173" w:type="dxa"/>
            <w:noWrap/>
            <w:hideMark/>
          </w:tcPr>
          <w:p w14:paraId="0E8C3DA4"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PCM</w:t>
            </w:r>
          </w:p>
        </w:tc>
        <w:tc>
          <w:tcPr>
            <w:tcW w:w="999" w:type="dxa"/>
            <w:noWrap/>
            <w:hideMark/>
          </w:tcPr>
          <w:p w14:paraId="0E8C3DA5"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30</w:t>
            </w:r>
          </w:p>
        </w:tc>
        <w:tc>
          <w:tcPr>
            <w:tcW w:w="906" w:type="dxa"/>
            <w:noWrap/>
            <w:hideMark/>
          </w:tcPr>
          <w:p w14:paraId="0E8C3DA6"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30</w:t>
            </w:r>
          </w:p>
        </w:tc>
        <w:tc>
          <w:tcPr>
            <w:tcW w:w="960" w:type="dxa"/>
            <w:noWrap/>
            <w:hideMark/>
          </w:tcPr>
          <w:p w14:paraId="0E8C3DA7"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90</w:t>
            </w:r>
          </w:p>
        </w:tc>
      </w:tr>
      <w:tr w:rsidR="00306D3B" w:rsidRPr="00251A1E" w14:paraId="0E8C3DAD" w14:textId="77777777" w:rsidTr="00306D3B">
        <w:trPr>
          <w:trHeight w:val="300"/>
        </w:trPr>
        <w:tc>
          <w:tcPr>
            <w:cnfStyle w:val="001000000000" w:firstRow="0" w:lastRow="0" w:firstColumn="1" w:lastColumn="0" w:oddVBand="0" w:evenVBand="0" w:oddHBand="0" w:evenHBand="0" w:firstRowFirstColumn="0" w:firstRowLastColumn="0" w:lastRowFirstColumn="0" w:lastRowLastColumn="0"/>
            <w:tcW w:w="1173" w:type="dxa"/>
            <w:noWrap/>
            <w:hideMark/>
          </w:tcPr>
          <w:p w14:paraId="0E8C3DA9"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 xml:space="preserve">Tacna </w:t>
            </w:r>
          </w:p>
        </w:tc>
        <w:tc>
          <w:tcPr>
            <w:tcW w:w="999" w:type="dxa"/>
            <w:noWrap/>
            <w:hideMark/>
          </w:tcPr>
          <w:p w14:paraId="0E8C3DAA"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22.5</w:t>
            </w:r>
          </w:p>
        </w:tc>
        <w:tc>
          <w:tcPr>
            <w:tcW w:w="906" w:type="dxa"/>
            <w:noWrap/>
            <w:hideMark/>
          </w:tcPr>
          <w:p w14:paraId="0E8C3DAB"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32.2</w:t>
            </w:r>
          </w:p>
        </w:tc>
        <w:tc>
          <w:tcPr>
            <w:tcW w:w="960" w:type="dxa"/>
            <w:noWrap/>
            <w:hideMark/>
          </w:tcPr>
          <w:p w14:paraId="0E8C3DAC"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77.2</w:t>
            </w:r>
          </w:p>
        </w:tc>
      </w:tr>
      <w:tr w:rsidR="00306D3B" w:rsidRPr="00251A1E" w14:paraId="0E8C3DB2" w14:textId="77777777" w:rsidTr="00306D3B">
        <w:trPr>
          <w:trHeight w:val="300"/>
        </w:trPr>
        <w:tc>
          <w:tcPr>
            <w:cnfStyle w:val="001000000000" w:firstRow="0" w:lastRow="0" w:firstColumn="1" w:lastColumn="0" w:oddVBand="0" w:evenVBand="0" w:oddHBand="0" w:evenHBand="0" w:firstRowFirstColumn="0" w:firstRowLastColumn="0" w:lastRowFirstColumn="0" w:lastRowLastColumn="0"/>
            <w:tcW w:w="1173" w:type="dxa"/>
            <w:noWrap/>
            <w:hideMark/>
          </w:tcPr>
          <w:p w14:paraId="0E8C3DAE" w14:textId="77777777" w:rsidR="00306D3B" w:rsidRPr="00251A1E" w:rsidRDefault="00306D3B" w:rsidP="00251A1E">
            <w:pPr>
              <w:jc w:val="both"/>
              <w:rPr>
                <w:rFonts w:ascii="Arial" w:eastAsia="Times New Roman" w:hAnsi="Arial" w:cs="Arial"/>
                <w:color w:val="000000"/>
              </w:rPr>
            </w:pPr>
            <w:r w:rsidRPr="00251A1E">
              <w:rPr>
                <w:rFonts w:ascii="Arial" w:eastAsia="Times New Roman" w:hAnsi="Arial" w:cs="Arial"/>
                <w:color w:val="000000"/>
              </w:rPr>
              <w:t>Trujillo</w:t>
            </w:r>
          </w:p>
        </w:tc>
        <w:tc>
          <w:tcPr>
            <w:tcW w:w="999" w:type="dxa"/>
            <w:noWrap/>
            <w:hideMark/>
          </w:tcPr>
          <w:p w14:paraId="0E8C3DAF"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35</w:t>
            </w:r>
          </w:p>
        </w:tc>
        <w:tc>
          <w:tcPr>
            <w:tcW w:w="906" w:type="dxa"/>
            <w:noWrap/>
            <w:hideMark/>
          </w:tcPr>
          <w:p w14:paraId="0E8C3DB0"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25</w:t>
            </w:r>
          </w:p>
        </w:tc>
        <w:tc>
          <w:tcPr>
            <w:tcW w:w="960" w:type="dxa"/>
            <w:noWrap/>
            <w:hideMark/>
          </w:tcPr>
          <w:p w14:paraId="0E8C3DB1"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95</w:t>
            </w:r>
          </w:p>
        </w:tc>
      </w:tr>
      <w:tr w:rsidR="00306D3B" w:rsidRPr="00251A1E" w14:paraId="0E8C3DB7" w14:textId="77777777" w:rsidTr="00715249">
        <w:trPr>
          <w:trHeight w:val="315"/>
        </w:trPr>
        <w:tc>
          <w:tcPr>
            <w:cnfStyle w:val="001000000000" w:firstRow="0" w:lastRow="0" w:firstColumn="1" w:lastColumn="0" w:oddVBand="0" w:evenVBand="0" w:oddHBand="0" w:evenHBand="0" w:firstRowFirstColumn="0" w:firstRowLastColumn="0" w:lastRowFirstColumn="0" w:lastRowLastColumn="0"/>
            <w:tcW w:w="1173" w:type="dxa"/>
            <w:shd w:val="clear" w:color="auto" w:fill="FFFF00"/>
            <w:noWrap/>
            <w:hideMark/>
          </w:tcPr>
          <w:p w14:paraId="0E8C3DB3" w14:textId="77777777" w:rsidR="00306D3B" w:rsidRPr="00251A1E" w:rsidRDefault="00715249" w:rsidP="00251A1E">
            <w:pPr>
              <w:jc w:val="both"/>
              <w:rPr>
                <w:rFonts w:ascii="Arial" w:eastAsia="Times New Roman" w:hAnsi="Arial" w:cs="Arial"/>
                <w:color w:val="000000"/>
              </w:rPr>
            </w:pPr>
            <w:r w:rsidRPr="00251A1E">
              <w:rPr>
                <w:rFonts w:ascii="Arial" w:eastAsia="Times New Roman" w:hAnsi="Arial" w:cs="Arial"/>
                <w:color w:val="000000"/>
              </w:rPr>
              <w:t>Escenario base</w:t>
            </w:r>
          </w:p>
        </w:tc>
        <w:tc>
          <w:tcPr>
            <w:tcW w:w="999" w:type="dxa"/>
            <w:shd w:val="clear" w:color="auto" w:fill="FFFF00"/>
            <w:noWrap/>
            <w:vAlign w:val="center"/>
            <w:hideMark/>
          </w:tcPr>
          <w:p w14:paraId="0E8C3DB4"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18.7</w:t>
            </w:r>
          </w:p>
        </w:tc>
        <w:tc>
          <w:tcPr>
            <w:tcW w:w="906" w:type="dxa"/>
            <w:shd w:val="clear" w:color="auto" w:fill="FFFF00"/>
            <w:noWrap/>
            <w:vAlign w:val="center"/>
            <w:hideMark/>
          </w:tcPr>
          <w:p w14:paraId="0E8C3DB5" w14:textId="77777777" w:rsidR="00306D3B" w:rsidRPr="00251A1E" w:rsidRDefault="00306D3B" w:rsidP="00251A1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19.1</w:t>
            </w:r>
          </w:p>
        </w:tc>
        <w:tc>
          <w:tcPr>
            <w:tcW w:w="960" w:type="dxa"/>
            <w:shd w:val="clear" w:color="auto" w:fill="FFFF00"/>
            <w:noWrap/>
            <w:vAlign w:val="center"/>
            <w:hideMark/>
          </w:tcPr>
          <w:p w14:paraId="0E8C3DB6" w14:textId="77777777" w:rsidR="00306D3B" w:rsidRPr="00251A1E" w:rsidRDefault="00306D3B" w:rsidP="00251A1E">
            <w:pPr>
              <w:keepNext/>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56.5</w:t>
            </w:r>
          </w:p>
        </w:tc>
      </w:tr>
    </w:tbl>
    <w:p w14:paraId="0E8C3DB8" w14:textId="77777777" w:rsidR="00F65A3C" w:rsidRPr="00251A1E" w:rsidRDefault="00F65A3C" w:rsidP="00251A1E">
      <w:pPr>
        <w:jc w:val="both"/>
        <w:rPr>
          <w:rFonts w:ascii="Arial" w:hAnsi="Arial" w:cs="Arial"/>
          <w:lang w:val="es-CL"/>
        </w:rPr>
      </w:pPr>
    </w:p>
    <w:p w14:paraId="0E8C3DB9" w14:textId="77777777" w:rsidR="00306D3B" w:rsidRPr="00251A1E" w:rsidRDefault="00306D3B"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Cabe hacer notar que además de los tiempos de traslado y espera, se debe considerar el ahorro por el tiempo de hacer un trámite adicional. Algunos estudios lo consideran dentro de los tiempos de espera. Para este estudio se considerará un tiempo ahorrado de hacer el trámite de </w:t>
      </w:r>
      <w:r w:rsidR="00A4593E" w:rsidRPr="00251A1E">
        <w:rPr>
          <w:rFonts w:ascii="Arial" w:hAnsi="Arial" w:cs="Arial"/>
          <w:lang w:val="es-CL"/>
        </w:rPr>
        <w:t>16</w:t>
      </w:r>
      <w:r w:rsidRPr="00251A1E">
        <w:rPr>
          <w:rFonts w:ascii="Arial" w:hAnsi="Arial" w:cs="Arial"/>
          <w:lang w:val="es-CL"/>
        </w:rPr>
        <w:t xml:space="preserve"> minutos, lo que </w:t>
      </w:r>
      <w:r w:rsidR="00A4593E" w:rsidRPr="00251A1E">
        <w:rPr>
          <w:rFonts w:ascii="Arial" w:hAnsi="Arial" w:cs="Arial"/>
          <w:lang w:val="es-CL"/>
        </w:rPr>
        <w:t>lleva a que el ahorro en tiempo, para la estimación base es de 72.5 minutos, la cual está debajo de todas las estimaciones encontradas para distintas regiones de Perú.</w:t>
      </w:r>
    </w:p>
    <w:p w14:paraId="0E8C3DBA" w14:textId="77777777" w:rsidR="00AE0781" w:rsidRPr="00251A1E" w:rsidRDefault="00AE0781"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Un importante elemento del análisis es la relación entre los tiempos de traslado y la población afectada por la apertura de un nuevo MAC. Dado que hasta ahora solo se encuentran MAC en las zonas más pobladas, es difícil estimar como será la demanda por los servicios ofrecidos en los MAC que estén ubicados en zonas menos pobladas. Por ejemplo, para </w:t>
      </w:r>
      <w:r w:rsidR="00051930">
        <w:rPr>
          <w:rFonts w:ascii="Arial" w:hAnsi="Arial" w:cs="Arial"/>
          <w:lang w:val="es-CL"/>
        </w:rPr>
        <w:t xml:space="preserve">la ciudad de </w:t>
      </w:r>
      <w:r w:rsidRPr="00251A1E">
        <w:rPr>
          <w:rFonts w:ascii="Arial" w:hAnsi="Arial" w:cs="Arial"/>
          <w:lang w:val="es-CL"/>
        </w:rPr>
        <w:t>Moquegua la población económicamente activa de la ciudad corresponde a un 94% de la población económicamente activa del Departamento</w:t>
      </w:r>
      <w:r w:rsidR="00051930">
        <w:rPr>
          <w:rFonts w:ascii="Arial" w:hAnsi="Arial" w:cs="Arial"/>
          <w:lang w:val="es-CL"/>
        </w:rPr>
        <w:t xml:space="preserve"> del mismo nombre</w:t>
      </w:r>
      <w:r w:rsidRPr="00251A1E">
        <w:rPr>
          <w:rFonts w:ascii="Arial" w:hAnsi="Arial" w:cs="Arial"/>
          <w:lang w:val="es-CL"/>
        </w:rPr>
        <w:t xml:space="preserve">. Pero en </w:t>
      </w:r>
      <w:r w:rsidR="00051930">
        <w:rPr>
          <w:rFonts w:ascii="Arial" w:hAnsi="Arial" w:cs="Arial"/>
          <w:lang w:val="es-CL"/>
        </w:rPr>
        <w:t xml:space="preserve">la ciudad de </w:t>
      </w:r>
      <w:r w:rsidRPr="00251A1E">
        <w:rPr>
          <w:rFonts w:ascii="Arial" w:hAnsi="Arial" w:cs="Arial"/>
          <w:lang w:val="es-CL"/>
        </w:rPr>
        <w:t xml:space="preserve">Bagua Grande sólo </w:t>
      </w:r>
      <w:r w:rsidR="00051930">
        <w:rPr>
          <w:rFonts w:ascii="Arial" w:hAnsi="Arial" w:cs="Arial"/>
          <w:lang w:val="es-CL"/>
        </w:rPr>
        <w:t>reside</w:t>
      </w:r>
      <w:r w:rsidRPr="00251A1E">
        <w:rPr>
          <w:rFonts w:ascii="Arial" w:hAnsi="Arial" w:cs="Arial"/>
          <w:lang w:val="es-CL"/>
        </w:rPr>
        <w:t xml:space="preserve"> 9% de la población económicamente activa del Departamento del Amazonas. Esta heterogeneidad en la distribución de la población puede afectar la potencial demanda de los distintos MAC. Sin embargo, </w:t>
      </w:r>
      <w:r w:rsidR="00051930">
        <w:rPr>
          <w:rFonts w:ascii="Arial" w:hAnsi="Arial" w:cs="Arial"/>
          <w:lang w:val="es-CL"/>
        </w:rPr>
        <w:t xml:space="preserve">los </w:t>
      </w:r>
      <w:r w:rsidRPr="00251A1E">
        <w:rPr>
          <w:rFonts w:ascii="Arial" w:hAnsi="Arial" w:cs="Arial"/>
          <w:lang w:val="es-CL"/>
        </w:rPr>
        <w:t>MAC ubicados en zonas menos concentradas pueden tener mayores beneficios ya que los tiempos de desplazamientos pueden ser sustancialmente mayores. Dado lo anterior, se decide utilizar toda la población del Departamento como potencial beneficiado, pero se consideran tiempos y costos de transporte bastante reducidos, de manera de mantener las estimaciones de beneficio en su rango más conservador. Cabe hacer notar que</w:t>
      </w:r>
      <w:r w:rsidR="00051930">
        <w:rPr>
          <w:rFonts w:ascii="Arial" w:hAnsi="Arial" w:cs="Arial"/>
          <w:lang w:val="es-CL"/>
        </w:rPr>
        <w:t>,</w:t>
      </w:r>
      <w:r w:rsidRPr="00251A1E">
        <w:rPr>
          <w:rFonts w:ascii="Arial" w:hAnsi="Arial" w:cs="Arial"/>
          <w:lang w:val="es-CL"/>
        </w:rPr>
        <w:t xml:space="preserve"> en promedio, los nuevos MAC serán instalados en ciudades que cuya población económicamente activa corresponde al 27%.</w:t>
      </w:r>
    </w:p>
    <w:p w14:paraId="0E8C3DBB" w14:textId="77777777" w:rsidR="00ED3B68" w:rsidRPr="00251A1E" w:rsidRDefault="00ED3B6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Para poder calcular el beneficio económico del tiempo ahorrado, se usa el salario promedio mensual para cada zona donde el MAC será instalado. Adici</w:t>
      </w:r>
      <w:r w:rsidR="002457E5" w:rsidRPr="00251A1E">
        <w:rPr>
          <w:rFonts w:ascii="Arial" w:hAnsi="Arial" w:cs="Arial"/>
          <w:lang w:val="es-CL"/>
        </w:rPr>
        <w:t xml:space="preserve">onalmente, se calcula la evolución de los sueldos en el tiempo, para cada zona. </w:t>
      </w:r>
      <w:r w:rsidR="00715249" w:rsidRPr="00251A1E">
        <w:rPr>
          <w:rFonts w:ascii="Arial" w:hAnsi="Arial" w:cs="Arial"/>
          <w:lang w:val="es-CL"/>
        </w:rPr>
        <w:t xml:space="preserve">Para esto, se usa información del período 2004-2015 para estudiar la tendencia de los salarios en el tiempo. Usando esta tendencia, se calcula el salario esperado para el período de evaluación. </w:t>
      </w:r>
    </w:p>
    <w:p w14:paraId="0E8C3DBC" w14:textId="77777777" w:rsidR="00131C63" w:rsidRPr="00251A1E" w:rsidRDefault="00131C6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Con respecto a las mejoras asociadas </w:t>
      </w:r>
      <w:r w:rsidR="00051930">
        <w:rPr>
          <w:rFonts w:ascii="Arial" w:hAnsi="Arial" w:cs="Arial"/>
          <w:lang w:val="es-CL"/>
        </w:rPr>
        <w:t>a</w:t>
      </w:r>
      <w:r w:rsidRPr="00251A1E">
        <w:rPr>
          <w:rFonts w:ascii="Arial" w:hAnsi="Arial" w:cs="Arial"/>
          <w:lang w:val="es-CL"/>
        </w:rPr>
        <w:t xml:space="preserve"> los </w:t>
      </w:r>
      <w:r w:rsidR="00742649" w:rsidRPr="00251A1E">
        <w:rPr>
          <w:rFonts w:ascii="Arial" w:hAnsi="Arial" w:cs="Arial"/>
          <w:lang w:val="es-CL"/>
        </w:rPr>
        <w:t xml:space="preserve">MAC virtuales, cabe hacer notar que este servicio ya existe y al ser un servicio en línea, es posible argumentar que ya está disponible para toda la población. </w:t>
      </w:r>
      <w:r w:rsidRPr="00251A1E">
        <w:rPr>
          <w:rFonts w:ascii="Arial" w:hAnsi="Arial" w:cs="Arial"/>
          <w:lang w:val="es-CL"/>
        </w:rPr>
        <w:t>Sin embargo, según el Digital Efficiency Report</w:t>
      </w:r>
      <w:r w:rsidR="005C34C8" w:rsidRPr="00251A1E">
        <w:rPr>
          <w:rStyle w:val="FootnoteReference"/>
          <w:rFonts w:ascii="Arial" w:hAnsi="Arial" w:cs="Arial"/>
          <w:lang w:val="es-CL"/>
        </w:rPr>
        <w:footnoteReference w:id="7"/>
      </w:r>
      <w:r w:rsidRPr="00251A1E">
        <w:rPr>
          <w:rFonts w:ascii="Arial" w:hAnsi="Arial" w:cs="Arial"/>
          <w:lang w:val="es-CL"/>
        </w:rPr>
        <w:t xml:space="preserve"> (2012) el nivel de adopción debería estar en torno al 82% de la población. Este estudio está realizado en el Reino Unido, donde el 86% de la población es usuaria de internet, por lo tanto, se puede concluir que el 95% de los usuarios adopta el servicio. Para Perú, la población con acceso a internet alcanza el 40%, según el Banco Mundial. </w:t>
      </w:r>
      <w:r w:rsidR="005C34C8" w:rsidRPr="00251A1E">
        <w:rPr>
          <w:rFonts w:ascii="Arial" w:hAnsi="Arial" w:cs="Arial"/>
          <w:lang w:val="es-CL"/>
        </w:rPr>
        <w:t>Por lo tanto, el 38% de la población debería adoptar los servicios del MAC virtual. Sin embargo, es razonable asumir que las tasas de adopción dependen de la composición socio-demográfica de la población, por lo que consideraremos tasas de adopción no superiores al 24% de la población económicamente activa al cabo de 10 años.</w:t>
      </w:r>
    </w:p>
    <w:p w14:paraId="0E8C3DBD" w14:textId="77777777" w:rsidR="005C34C8" w:rsidRPr="00251A1E" w:rsidRDefault="005C34C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Para poder estimar el impacto del proyecto en la demanda del MAC virtual asumimos lo siguiente con respecto al MAC virtual:</w:t>
      </w:r>
    </w:p>
    <w:p w14:paraId="0E8C3DBE" w14:textId="77777777" w:rsidR="005C34C8" w:rsidRPr="00251A1E" w:rsidRDefault="005C34C8" w:rsidP="00251A1E">
      <w:pPr>
        <w:pStyle w:val="ListParagraph"/>
        <w:numPr>
          <w:ilvl w:val="0"/>
          <w:numId w:val="2"/>
        </w:numPr>
        <w:jc w:val="both"/>
        <w:rPr>
          <w:rFonts w:ascii="Arial" w:hAnsi="Arial" w:cs="Arial"/>
          <w:lang w:val="es-CL"/>
        </w:rPr>
      </w:pPr>
      <w:r w:rsidRPr="00251A1E">
        <w:rPr>
          <w:rFonts w:ascii="Arial" w:hAnsi="Arial" w:cs="Arial"/>
          <w:lang w:val="es-CL"/>
        </w:rPr>
        <w:t>Disminuye los costos de transporte, al ahorrar una visita al MAC presencial.</w:t>
      </w:r>
    </w:p>
    <w:p w14:paraId="0E8C3DBF" w14:textId="77777777" w:rsidR="005C34C8" w:rsidRPr="00251A1E" w:rsidRDefault="005C34C8" w:rsidP="00251A1E">
      <w:pPr>
        <w:pStyle w:val="ListParagraph"/>
        <w:numPr>
          <w:ilvl w:val="0"/>
          <w:numId w:val="2"/>
        </w:numPr>
        <w:jc w:val="both"/>
        <w:rPr>
          <w:rFonts w:ascii="Arial" w:hAnsi="Arial" w:cs="Arial"/>
          <w:lang w:val="es-CL"/>
        </w:rPr>
      </w:pPr>
      <w:r w:rsidRPr="00251A1E">
        <w:rPr>
          <w:rFonts w:ascii="Arial" w:hAnsi="Arial" w:cs="Arial"/>
          <w:lang w:val="es-CL"/>
        </w:rPr>
        <w:t>Disminuye los tiempos en espera y en ventanilla asociados a esta visita.</w:t>
      </w:r>
    </w:p>
    <w:p w14:paraId="0E8C3DC0" w14:textId="77777777" w:rsidR="00B15596" w:rsidRPr="00251A1E" w:rsidRDefault="00B15596" w:rsidP="00251A1E">
      <w:pPr>
        <w:pStyle w:val="ListParagraph"/>
        <w:numPr>
          <w:ilvl w:val="0"/>
          <w:numId w:val="2"/>
        </w:numPr>
        <w:jc w:val="both"/>
        <w:rPr>
          <w:rFonts w:ascii="Arial" w:hAnsi="Arial" w:cs="Arial"/>
          <w:lang w:val="es-CL"/>
        </w:rPr>
      </w:pPr>
      <w:r w:rsidRPr="00251A1E">
        <w:rPr>
          <w:rFonts w:ascii="Arial" w:hAnsi="Arial" w:cs="Arial"/>
          <w:lang w:val="es-CL"/>
        </w:rPr>
        <w:t xml:space="preserve">Se requieren de 10 minutos para obtener la información desde la plataforma virtual. Esto se descuenta del ahorro obtenido por no tener que desplazarse hacia la entidad. </w:t>
      </w:r>
    </w:p>
    <w:p w14:paraId="0E8C3DC1" w14:textId="77777777" w:rsidR="005C34C8" w:rsidRPr="00251A1E" w:rsidRDefault="005C34C8" w:rsidP="00251A1E">
      <w:pPr>
        <w:pStyle w:val="ListParagraph"/>
        <w:numPr>
          <w:ilvl w:val="0"/>
          <w:numId w:val="2"/>
        </w:numPr>
        <w:jc w:val="both"/>
        <w:rPr>
          <w:rFonts w:ascii="Arial" w:hAnsi="Arial" w:cs="Arial"/>
          <w:lang w:val="es-CL"/>
        </w:rPr>
      </w:pPr>
      <w:r w:rsidRPr="00251A1E">
        <w:rPr>
          <w:rFonts w:ascii="Arial" w:hAnsi="Arial" w:cs="Arial"/>
          <w:lang w:val="es-CL"/>
        </w:rPr>
        <w:t>La demanda por sus servicios está relacionada con la existencia de MAC presenciales en la zona.</w:t>
      </w:r>
    </w:p>
    <w:p w14:paraId="0E8C3DC2" w14:textId="77777777" w:rsidR="00BD550F" w:rsidRPr="00251A1E" w:rsidRDefault="005C34C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Este último supuesto es de extrema importancia. Al considerar la tasa de adopción de los MAC virtual calculada solo para </w:t>
      </w:r>
      <w:r w:rsidR="000D2DBA" w:rsidRPr="00251A1E">
        <w:rPr>
          <w:rFonts w:ascii="Arial" w:hAnsi="Arial" w:cs="Arial"/>
          <w:lang w:val="es-CL"/>
        </w:rPr>
        <w:t>las</w:t>
      </w:r>
      <w:r w:rsidRPr="00251A1E">
        <w:rPr>
          <w:rFonts w:ascii="Arial" w:hAnsi="Arial" w:cs="Arial"/>
          <w:lang w:val="es-CL"/>
        </w:rPr>
        <w:t xml:space="preserve"> zonas donde existe MAC presencial, se obtiene una tasa del 10%. </w:t>
      </w:r>
      <w:r w:rsidR="000D2DBA" w:rsidRPr="00251A1E">
        <w:rPr>
          <w:rFonts w:ascii="Arial" w:hAnsi="Arial" w:cs="Arial"/>
          <w:lang w:val="es-CL"/>
        </w:rPr>
        <w:t>Proyectando las demandas actuales, se obtiene que para el 2027 la adopción llegue al 25%, solo considerando la población económicamente activa de las zonas que ya cuentan con MAC presencial, lo que está en línea con la evidencia internacional. Sin embargo, al momento de abrir el MAC presencial en Ventanilla y Piura el 2014, se observa un aumento en la tasa de crecimiento del número de atenciones,</w:t>
      </w:r>
      <w:r w:rsidR="003702F3" w:rsidRPr="00251A1E">
        <w:rPr>
          <w:rFonts w:ascii="Arial" w:hAnsi="Arial" w:cs="Arial"/>
          <w:lang w:val="es-CL"/>
        </w:rPr>
        <w:t xml:space="preserve"> como la muestra </w:t>
      </w:r>
      <w:r w:rsidR="00051930">
        <w:rPr>
          <w:rFonts w:ascii="Arial" w:hAnsi="Arial" w:cs="Arial"/>
          <w:lang w:val="es-CL"/>
        </w:rPr>
        <w:t>el Cuadro</w:t>
      </w:r>
      <w:r w:rsidR="003702F3" w:rsidRPr="00251A1E">
        <w:rPr>
          <w:rFonts w:ascii="Arial" w:hAnsi="Arial" w:cs="Arial"/>
          <w:lang w:val="es-CL"/>
        </w:rPr>
        <w:t xml:space="preserve"> 3</w:t>
      </w:r>
      <w:r w:rsidR="000D2DBA" w:rsidRPr="00251A1E">
        <w:rPr>
          <w:rFonts w:ascii="Arial" w:hAnsi="Arial" w:cs="Arial"/>
          <w:lang w:val="es-CL"/>
        </w:rPr>
        <w:t>. Lo anterior, en conjunto con las conclusio</w:t>
      </w:r>
      <w:r w:rsidR="006B4B74" w:rsidRPr="00251A1E">
        <w:rPr>
          <w:rFonts w:ascii="Arial" w:hAnsi="Arial" w:cs="Arial"/>
          <w:lang w:val="es-CL"/>
        </w:rPr>
        <w:t>nes del estudio IPSOS</w:t>
      </w:r>
      <w:r w:rsidR="006B4B74" w:rsidRPr="00251A1E">
        <w:rPr>
          <w:rStyle w:val="FootnoteReference"/>
          <w:rFonts w:ascii="Arial" w:hAnsi="Arial" w:cs="Arial"/>
          <w:lang w:val="es-CL"/>
        </w:rPr>
        <w:footnoteReference w:id="8"/>
      </w:r>
      <w:r w:rsidR="006B4B74" w:rsidRPr="00251A1E">
        <w:rPr>
          <w:rFonts w:ascii="Arial" w:hAnsi="Arial" w:cs="Arial"/>
          <w:lang w:val="es-CL"/>
        </w:rPr>
        <w:t xml:space="preserve"> de satisfacción ciudadana encargada por </w:t>
      </w:r>
      <w:r w:rsidR="00051930">
        <w:rPr>
          <w:rFonts w:ascii="Arial" w:hAnsi="Arial" w:cs="Arial"/>
          <w:lang w:val="es-CL"/>
        </w:rPr>
        <w:t xml:space="preserve">la </w:t>
      </w:r>
      <w:r w:rsidR="006B4B74" w:rsidRPr="00251A1E">
        <w:rPr>
          <w:rFonts w:ascii="Arial" w:hAnsi="Arial" w:cs="Arial"/>
          <w:lang w:val="es-CL"/>
        </w:rPr>
        <w:t>PCM</w:t>
      </w:r>
      <w:r w:rsidR="000D2DBA" w:rsidRPr="00251A1E">
        <w:rPr>
          <w:rFonts w:ascii="Arial" w:hAnsi="Arial" w:cs="Arial"/>
          <w:lang w:val="es-CL"/>
        </w:rPr>
        <w:t xml:space="preserve">, donde </w:t>
      </w:r>
      <w:r w:rsidR="006B4B74" w:rsidRPr="00251A1E">
        <w:rPr>
          <w:rFonts w:ascii="Arial" w:hAnsi="Arial" w:cs="Arial"/>
          <w:lang w:val="es-CL"/>
        </w:rPr>
        <w:t>el 28% de las personas busca información en internet antes de ir a realizar trámites, nos permite suponer que la adopción del uso del MAC virtual se ve incrementada por los MAC presenciales.</w:t>
      </w:r>
    </w:p>
    <w:p w14:paraId="7E43A284" w14:textId="77777777" w:rsidR="00100477" w:rsidRDefault="00100477" w:rsidP="00826AF5">
      <w:pPr>
        <w:jc w:val="center"/>
        <w:rPr>
          <w:rFonts w:ascii="Arial" w:hAnsi="Arial" w:cs="Arial"/>
          <w:b/>
          <w:lang w:val="es-CL"/>
        </w:rPr>
      </w:pPr>
    </w:p>
    <w:p w14:paraId="4178D539" w14:textId="77777777" w:rsidR="00100477" w:rsidRDefault="00100477" w:rsidP="00826AF5">
      <w:pPr>
        <w:jc w:val="center"/>
        <w:rPr>
          <w:rFonts w:ascii="Arial" w:hAnsi="Arial" w:cs="Arial"/>
          <w:b/>
          <w:lang w:val="es-CL"/>
        </w:rPr>
      </w:pPr>
    </w:p>
    <w:p w14:paraId="6A6599BC" w14:textId="77777777" w:rsidR="00100477" w:rsidRDefault="00100477" w:rsidP="00826AF5">
      <w:pPr>
        <w:jc w:val="center"/>
        <w:rPr>
          <w:rFonts w:ascii="Arial" w:hAnsi="Arial" w:cs="Arial"/>
          <w:b/>
          <w:lang w:val="es-CL"/>
        </w:rPr>
      </w:pPr>
    </w:p>
    <w:p w14:paraId="6875C9B0" w14:textId="77777777" w:rsidR="00100477" w:rsidRDefault="00100477" w:rsidP="00826AF5">
      <w:pPr>
        <w:jc w:val="center"/>
        <w:rPr>
          <w:rFonts w:ascii="Arial" w:hAnsi="Arial" w:cs="Arial"/>
          <w:b/>
          <w:lang w:val="es-CL"/>
        </w:rPr>
      </w:pPr>
    </w:p>
    <w:p w14:paraId="75C93902" w14:textId="77777777" w:rsidR="00100477" w:rsidRDefault="00100477" w:rsidP="00826AF5">
      <w:pPr>
        <w:jc w:val="center"/>
        <w:rPr>
          <w:rFonts w:ascii="Arial" w:hAnsi="Arial" w:cs="Arial"/>
          <w:b/>
          <w:lang w:val="es-CL"/>
        </w:rPr>
      </w:pPr>
    </w:p>
    <w:p w14:paraId="0E8C3DC3" w14:textId="2F8E0100" w:rsidR="00AC2BDF" w:rsidRPr="00051930" w:rsidRDefault="00051930" w:rsidP="00826AF5">
      <w:pPr>
        <w:jc w:val="center"/>
        <w:rPr>
          <w:rFonts w:ascii="Arial" w:hAnsi="Arial" w:cs="Arial"/>
          <w:b/>
          <w:lang w:val="es-CL"/>
        </w:rPr>
      </w:pPr>
      <w:r w:rsidRPr="00051930">
        <w:rPr>
          <w:rFonts w:ascii="Arial" w:hAnsi="Arial" w:cs="Arial"/>
          <w:b/>
          <w:lang w:val="es-CL"/>
        </w:rPr>
        <w:t>Cuadro</w:t>
      </w:r>
      <w:r w:rsidR="003702F3" w:rsidRPr="00051930">
        <w:rPr>
          <w:rFonts w:ascii="Arial" w:hAnsi="Arial" w:cs="Arial"/>
          <w:b/>
          <w:lang w:val="es-CL"/>
        </w:rPr>
        <w:t xml:space="preserve"> 3</w:t>
      </w:r>
      <w:r w:rsidR="00AC2BDF" w:rsidRPr="00051930">
        <w:rPr>
          <w:rFonts w:ascii="Arial" w:hAnsi="Arial" w:cs="Arial"/>
          <w:b/>
          <w:lang w:val="es-CL"/>
        </w:rPr>
        <w:t>: Evolución Atenciones MAC virtuales</w:t>
      </w:r>
    </w:p>
    <w:tbl>
      <w:tblPr>
        <w:tblStyle w:val="GridTable1Light1"/>
        <w:tblW w:w="8372" w:type="dxa"/>
        <w:tblInd w:w="445" w:type="dxa"/>
        <w:tblLook w:val="04A0" w:firstRow="1" w:lastRow="0" w:firstColumn="1" w:lastColumn="0" w:noHBand="0" w:noVBand="1"/>
      </w:tblPr>
      <w:tblGrid>
        <w:gridCol w:w="1400"/>
        <w:gridCol w:w="1955"/>
        <w:gridCol w:w="1348"/>
        <w:gridCol w:w="1314"/>
        <w:gridCol w:w="1430"/>
        <w:gridCol w:w="1395"/>
      </w:tblGrid>
      <w:tr w:rsidR="00AC2BDF" w:rsidRPr="00054202" w14:paraId="0E8C3DCA" w14:textId="77777777" w:rsidTr="00AC2BDF">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400" w:type="dxa"/>
            <w:hideMark/>
          </w:tcPr>
          <w:p w14:paraId="0E8C3DC4"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Año</w:t>
            </w:r>
          </w:p>
        </w:tc>
        <w:tc>
          <w:tcPr>
            <w:tcW w:w="1799" w:type="dxa"/>
            <w:hideMark/>
          </w:tcPr>
          <w:p w14:paraId="0E8C3DC5" w14:textId="77777777" w:rsidR="00AC2BDF" w:rsidRPr="00826AF5" w:rsidRDefault="00AC2BDF" w:rsidP="00826A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1"/>
                <w:szCs w:val="21"/>
                <w:lang w:val="es-CL"/>
              </w:rPr>
            </w:pPr>
            <w:r w:rsidRPr="00826AF5">
              <w:rPr>
                <w:rFonts w:ascii="Arial" w:eastAsia="Times New Roman" w:hAnsi="Arial" w:cs="Arial"/>
                <w:color w:val="000000"/>
                <w:sz w:val="21"/>
                <w:szCs w:val="21"/>
                <w:lang w:val="es-CL"/>
              </w:rPr>
              <w:t>Población Económicamente Activa (Zonas con MAC)</w:t>
            </w:r>
          </w:p>
        </w:tc>
        <w:tc>
          <w:tcPr>
            <w:tcW w:w="1236" w:type="dxa"/>
            <w:hideMark/>
          </w:tcPr>
          <w:p w14:paraId="0E8C3DC6" w14:textId="77777777" w:rsidR="00AC2BDF" w:rsidRPr="00826AF5" w:rsidRDefault="00AC2BDF" w:rsidP="00826A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1"/>
                <w:szCs w:val="21"/>
              </w:rPr>
            </w:pPr>
            <w:r w:rsidRPr="00826AF5">
              <w:rPr>
                <w:rFonts w:ascii="Arial" w:eastAsia="Times New Roman" w:hAnsi="Arial" w:cs="Arial"/>
                <w:color w:val="000000"/>
                <w:sz w:val="21"/>
                <w:szCs w:val="21"/>
              </w:rPr>
              <w:t>Atenciones</w:t>
            </w:r>
          </w:p>
        </w:tc>
        <w:tc>
          <w:tcPr>
            <w:tcW w:w="1313" w:type="dxa"/>
            <w:hideMark/>
          </w:tcPr>
          <w:p w14:paraId="0E8C3DC7" w14:textId="77777777" w:rsidR="00AC2BDF" w:rsidRPr="00826AF5" w:rsidRDefault="00AC2BDF" w:rsidP="00826A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1"/>
                <w:szCs w:val="21"/>
                <w:lang w:val="es-CL"/>
              </w:rPr>
            </w:pPr>
            <w:r w:rsidRPr="00826AF5">
              <w:rPr>
                <w:rFonts w:ascii="Arial" w:eastAsia="Times New Roman" w:hAnsi="Arial" w:cs="Arial"/>
                <w:color w:val="000000"/>
                <w:sz w:val="21"/>
                <w:szCs w:val="21"/>
                <w:lang w:val="es-CL"/>
              </w:rPr>
              <w:t>Porcentaje de atenciones por PEA</w:t>
            </w:r>
          </w:p>
        </w:tc>
        <w:tc>
          <w:tcPr>
            <w:tcW w:w="1324" w:type="dxa"/>
            <w:hideMark/>
          </w:tcPr>
          <w:p w14:paraId="0E8C3DC8" w14:textId="77777777" w:rsidR="00AC2BDF" w:rsidRPr="00826AF5" w:rsidRDefault="00AC2BDF" w:rsidP="00826A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1"/>
                <w:szCs w:val="21"/>
              </w:rPr>
            </w:pPr>
            <w:r w:rsidRPr="00826AF5">
              <w:rPr>
                <w:rFonts w:ascii="Arial" w:eastAsia="Times New Roman" w:hAnsi="Arial" w:cs="Arial"/>
                <w:color w:val="000000"/>
                <w:sz w:val="21"/>
                <w:szCs w:val="21"/>
              </w:rPr>
              <w:t>Número Crecimiento Atenciones</w:t>
            </w:r>
          </w:p>
        </w:tc>
        <w:tc>
          <w:tcPr>
            <w:tcW w:w="1300" w:type="dxa"/>
            <w:hideMark/>
          </w:tcPr>
          <w:p w14:paraId="0E8C3DC9" w14:textId="77777777" w:rsidR="00AC2BDF" w:rsidRPr="00826AF5" w:rsidRDefault="00AC2BDF" w:rsidP="00826A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1"/>
                <w:szCs w:val="21"/>
                <w:lang w:val="es-CL"/>
              </w:rPr>
            </w:pPr>
            <w:r w:rsidRPr="00826AF5">
              <w:rPr>
                <w:rFonts w:ascii="Arial" w:eastAsia="Times New Roman" w:hAnsi="Arial" w:cs="Arial"/>
                <w:color w:val="000000"/>
                <w:sz w:val="21"/>
                <w:szCs w:val="21"/>
                <w:lang w:val="es-CL"/>
              </w:rPr>
              <w:t>Tasa de crecimiento de atenciones</w:t>
            </w:r>
          </w:p>
        </w:tc>
      </w:tr>
      <w:tr w:rsidR="00AC2BDF" w:rsidRPr="00251A1E" w14:paraId="0E8C3DD1" w14:textId="77777777" w:rsidTr="00AC2BDF">
        <w:trPr>
          <w:trHeight w:val="300"/>
        </w:trPr>
        <w:tc>
          <w:tcPr>
            <w:cnfStyle w:val="001000000000" w:firstRow="0" w:lastRow="0" w:firstColumn="1" w:lastColumn="0" w:oddVBand="0" w:evenVBand="0" w:oddHBand="0" w:evenHBand="0" w:firstRowFirstColumn="0" w:firstRowLastColumn="0" w:lastRowFirstColumn="0" w:lastRowLastColumn="0"/>
            <w:tcW w:w="1400" w:type="dxa"/>
            <w:noWrap/>
            <w:hideMark/>
          </w:tcPr>
          <w:p w14:paraId="0E8C3DCB"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2011</w:t>
            </w:r>
          </w:p>
        </w:tc>
        <w:tc>
          <w:tcPr>
            <w:tcW w:w="1799" w:type="dxa"/>
            <w:noWrap/>
            <w:hideMark/>
          </w:tcPr>
          <w:p w14:paraId="0E8C3DCC"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4</w:t>
            </w:r>
            <w:r w:rsidR="00826AF5">
              <w:rPr>
                <w:rFonts w:ascii="Arial" w:eastAsia="Times New Roman" w:hAnsi="Arial" w:cs="Arial"/>
                <w:color w:val="000000"/>
              </w:rPr>
              <w:t>,</w:t>
            </w:r>
            <w:r w:rsidRPr="00251A1E">
              <w:rPr>
                <w:rFonts w:ascii="Arial" w:eastAsia="Times New Roman" w:hAnsi="Arial" w:cs="Arial"/>
                <w:color w:val="000000"/>
              </w:rPr>
              <w:t>990</w:t>
            </w:r>
            <w:r w:rsidR="00826AF5">
              <w:rPr>
                <w:rFonts w:ascii="Arial" w:eastAsia="Times New Roman" w:hAnsi="Arial" w:cs="Arial"/>
                <w:color w:val="000000"/>
              </w:rPr>
              <w:t>,</w:t>
            </w:r>
            <w:r w:rsidRPr="00251A1E">
              <w:rPr>
                <w:rFonts w:ascii="Arial" w:eastAsia="Times New Roman" w:hAnsi="Arial" w:cs="Arial"/>
                <w:color w:val="000000"/>
              </w:rPr>
              <w:t>286</w:t>
            </w:r>
          </w:p>
        </w:tc>
        <w:tc>
          <w:tcPr>
            <w:tcW w:w="1236" w:type="dxa"/>
            <w:noWrap/>
            <w:hideMark/>
          </w:tcPr>
          <w:p w14:paraId="0E8C3DCD"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55</w:t>
            </w:r>
            <w:r w:rsidR="00826AF5">
              <w:rPr>
                <w:rFonts w:ascii="Arial" w:eastAsia="Times New Roman" w:hAnsi="Arial" w:cs="Arial"/>
                <w:color w:val="000000"/>
              </w:rPr>
              <w:t>,</w:t>
            </w:r>
            <w:r w:rsidRPr="00251A1E">
              <w:rPr>
                <w:rFonts w:ascii="Arial" w:eastAsia="Times New Roman" w:hAnsi="Arial" w:cs="Arial"/>
                <w:color w:val="000000"/>
              </w:rPr>
              <w:t>032</w:t>
            </w:r>
          </w:p>
        </w:tc>
        <w:tc>
          <w:tcPr>
            <w:tcW w:w="1313" w:type="dxa"/>
            <w:noWrap/>
            <w:hideMark/>
          </w:tcPr>
          <w:p w14:paraId="0E8C3DCE"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1.10</w:t>
            </w:r>
          </w:p>
        </w:tc>
        <w:tc>
          <w:tcPr>
            <w:tcW w:w="1324" w:type="dxa"/>
            <w:noWrap/>
            <w:hideMark/>
          </w:tcPr>
          <w:p w14:paraId="0E8C3DCF"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 </w:t>
            </w:r>
          </w:p>
        </w:tc>
        <w:tc>
          <w:tcPr>
            <w:tcW w:w="1300" w:type="dxa"/>
            <w:noWrap/>
            <w:hideMark/>
          </w:tcPr>
          <w:p w14:paraId="0E8C3DD0"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 </w:t>
            </w:r>
          </w:p>
        </w:tc>
      </w:tr>
      <w:tr w:rsidR="00AC2BDF" w:rsidRPr="00251A1E" w14:paraId="0E8C3DD8" w14:textId="77777777" w:rsidTr="00AC2BDF">
        <w:trPr>
          <w:trHeight w:val="300"/>
        </w:trPr>
        <w:tc>
          <w:tcPr>
            <w:cnfStyle w:val="001000000000" w:firstRow="0" w:lastRow="0" w:firstColumn="1" w:lastColumn="0" w:oddVBand="0" w:evenVBand="0" w:oddHBand="0" w:evenHBand="0" w:firstRowFirstColumn="0" w:firstRowLastColumn="0" w:lastRowFirstColumn="0" w:lastRowLastColumn="0"/>
            <w:tcW w:w="1400" w:type="dxa"/>
            <w:noWrap/>
            <w:hideMark/>
          </w:tcPr>
          <w:p w14:paraId="0E8C3DD2"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2012</w:t>
            </w:r>
          </w:p>
        </w:tc>
        <w:tc>
          <w:tcPr>
            <w:tcW w:w="1799" w:type="dxa"/>
            <w:noWrap/>
            <w:hideMark/>
          </w:tcPr>
          <w:p w14:paraId="0E8C3DD3"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5</w:t>
            </w:r>
            <w:r w:rsidR="00826AF5">
              <w:rPr>
                <w:rFonts w:ascii="Arial" w:eastAsia="Times New Roman" w:hAnsi="Arial" w:cs="Arial"/>
                <w:color w:val="000000"/>
              </w:rPr>
              <w:t>,</w:t>
            </w:r>
            <w:r w:rsidRPr="00251A1E">
              <w:rPr>
                <w:rFonts w:ascii="Arial" w:eastAsia="Times New Roman" w:hAnsi="Arial" w:cs="Arial"/>
                <w:color w:val="000000"/>
              </w:rPr>
              <w:t>628</w:t>
            </w:r>
            <w:r w:rsidR="00826AF5">
              <w:rPr>
                <w:rFonts w:ascii="Arial" w:eastAsia="Times New Roman" w:hAnsi="Arial" w:cs="Arial"/>
                <w:color w:val="000000"/>
              </w:rPr>
              <w:t>,</w:t>
            </w:r>
            <w:r w:rsidRPr="00251A1E">
              <w:rPr>
                <w:rFonts w:ascii="Arial" w:eastAsia="Times New Roman" w:hAnsi="Arial" w:cs="Arial"/>
                <w:color w:val="000000"/>
              </w:rPr>
              <w:t>410</w:t>
            </w:r>
          </w:p>
        </w:tc>
        <w:tc>
          <w:tcPr>
            <w:tcW w:w="1236" w:type="dxa"/>
            <w:noWrap/>
            <w:hideMark/>
          </w:tcPr>
          <w:p w14:paraId="0E8C3DD4"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162</w:t>
            </w:r>
            <w:r w:rsidR="00826AF5">
              <w:rPr>
                <w:rFonts w:ascii="Arial" w:eastAsia="Times New Roman" w:hAnsi="Arial" w:cs="Arial"/>
                <w:color w:val="000000"/>
              </w:rPr>
              <w:t>,</w:t>
            </w:r>
            <w:r w:rsidRPr="00251A1E">
              <w:rPr>
                <w:rFonts w:ascii="Arial" w:eastAsia="Times New Roman" w:hAnsi="Arial" w:cs="Arial"/>
                <w:color w:val="000000"/>
              </w:rPr>
              <w:t>108</w:t>
            </w:r>
          </w:p>
        </w:tc>
        <w:tc>
          <w:tcPr>
            <w:tcW w:w="1313" w:type="dxa"/>
            <w:noWrap/>
            <w:hideMark/>
          </w:tcPr>
          <w:p w14:paraId="0E8C3DD5"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2.88</w:t>
            </w:r>
          </w:p>
        </w:tc>
        <w:tc>
          <w:tcPr>
            <w:tcW w:w="1324" w:type="dxa"/>
            <w:noWrap/>
            <w:hideMark/>
          </w:tcPr>
          <w:p w14:paraId="0E8C3DD6"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107</w:t>
            </w:r>
            <w:r w:rsidR="00826AF5">
              <w:rPr>
                <w:rFonts w:ascii="Arial" w:eastAsia="Times New Roman" w:hAnsi="Arial" w:cs="Arial"/>
                <w:color w:val="000000"/>
              </w:rPr>
              <w:t>,</w:t>
            </w:r>
            <w:r w:rsidRPr="00251A1E">
              <w:rPr>
                <w:rFonts w:ascii="Arial" w:eastAsia="Times New Roman" w:hAnsi="Arial" w:cs="Arial"/>
                <w:color w:val="000000"/>
              </w:rPr>
              <w:t>076</w:t>
            </w:r>
          </w:p>
        </w:tc>
        <w:tc>
          <w:tcPr>
            <w:tcW w:w="1300" w:type="dxa"/>
            <w:noWrap/>
            <w:hideMark/>
          </w:tcPr>
          <w:p w14:paraId="0E8C3DD7"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66.1</w:t>
            </w:r>
          </w:p>
        </w:tc>
      </w:tr>
      <w:tr w:rsidR="00AC2BDF" w:rsidRPr="00251A1E" w14:paraId="0E8C3DDF" w14:textId="77777777" w:rsidTr="00AC2BDF">
        <w:trPr>
          <w:trHeight w:val="300"/>
        </w:trPr>
        <w:tc>
          <w:tcPr>
            <w:cnfStyle w:val="001000000000" w:firstRow="0" w:lastRow="0" w:firstColumn="1" w:lastColumn="0" w:oddVBand="0" w:evenVBand="0" w:oddHBand="0" w:evenHBand="0" w:firstRowFirstColumn="0" w:firstRowLastColumn="0" w:lastRowFirstColumn="0" w:lastRowLastColumn="0"/>
            <w:tcW w:w="1400" w:type="dxa"/>
            <w:noWrap/>
            <w:hideMark/>
          </w:tcPr>
          <w:p w14:paraId="0E8C3DD9"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2013</w:t>
            </w:r>
          </w:p>
        </w:tc>
        <w:tc>
          <w:tcPr>
            <w:tcW w:w="1799" w:type="dxa"/>
            <w:noWrap/>
            <w:hideMark/>
          </w:tcPr>
          <w:p w14:paraId="0E8C3DDA"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5</w:t>
            </w:r>
            <w:r w:rsidR="00826AF5">
              <w:rPr>
                <w:rFonts w:ascii="Arial" w:eastAsia="Times New Roman" w:hAnsi="Arial" w:cs="Arial"/>
                <w:color w:val="000000"/>
              </w:rPr>
              <w:t>,</w:t>
            </w:r>
            <w:r w:rsidRPr="00251A1E">
              <w:rPr>
                <w:rFonts w:ascii="Arial" w:eastAsia="Times New Roman" w:hAnsi="Arial" w:cs="Arial"/>
                <w:color w:val="000000"/>
              </w:rPr>
              <w:t>605</w:t>
            </w:r>
            <w:r w:rsidR="00826AF5">
              <w:rPr>
                <w:rFonts w:ascii="Arial" w:eastAsia="Times New Roman" w:hAnsi="Arial" w:cs="Arial"/>
                <w:color w:val="000000"/>
              </w:rPr>
              <w:t>,</w:t>
            </w:r>
            <w:r w:rsidRPr="00251A1E">
              <w:rPr>
                <w:rFonts w:ascii="Arial" w:eastAsia="Times New Roman" w:hAnsi="Arial" w:cs="Arial"/>
                <w:color w:val="000000"/>
              </w:rPr>
              <w:t>179</w:t>
            </w:r>
          </w:p>
        </w:tc>
        <w:tc>
          <w:tcPr>
            <w:tcW w:w="1236" w:type="dxa"/>
            <w:noWrap/>
            <w:hideMark/>
          </w:tcPr>
          <w:p w14:paraId="0E8C3DDB"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208</w:t>
            </w:r>
            <w:r w:rsidR="00826AF5">
              <w:rPr>
                <w:rFonts w:ascii="Arial" w:eastAsia="Times New Roman" w:hAnsi="Arial" w:cs="Arial"/>
                <w:color w:val="000000"/>
              </w:rPr>
              <w:t>,</w:t>
            </w:r>
            <w:r w:rsidRPr="00251A1E">
              <w:rPr>
                <w:rFonts w:ascii="Arial" w:eastAsia="Times New Roman" w:hAnsi="Arial" w:cs="Arial"/>
                <w:color w:val="000000"/>
              </w:rPr>
              <w:t>688</w:t>
            </w:r>
          </w:p>
        </w:tc>
        <w:tc>
          <w:tcPr>
            <w:tcW w:w="1313" w:type="dxa"/>
            <w:noWrap/>
            <w:hideMark/>
          </w:tcPr>
          <w:p w14:paraId="0E8C3DDC"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3.72</w:t>
            </w:r>
          </w:p>
        </w:tc>
        <w:tc>
          <w:tcPr>
            <w:tcW w:w="1324" w:type="dxa"/>
            <w:noWrap/>
            <w:hideMark/>
          </w:tcPr>
          <w:p w14:paraId="0E8C3DDD"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46</w:t>
            </w:r>
            <w:r w:rsidR="00826AF5">
              <w:rPr>
                <w:rFonts w:ascii="Arial" w:eastAsia="Times New Roman" w:hAnsi="Arial" w:cs="Arial"/>
                <w:color w:val="000000"/>
              </w:rPr>
              <w:t>,</w:t>
            </w:r>
            <w:r w:rsidRPr="00251A1E">
              <w:rPr>
                <w:rFonts w:ascii="Arial" w:eastAsia="Times New Roman" w:hAnsi="Arial" w:cs="Arial"/>
                <w:color w:val="000000"/>
              </w:rPr>
              <w:t>580</w:t>
            </w:r>
          </w:p>
        </w:tc>
        <w:tc>
          <w:tcPr>
            <w:tcW w:w="1300" w:type="dxa"/>
            <w:noWrap/>
            <w:hideMark/>
          </w:tcPr>
          <w:p w14:paraId="0E8C3DDE"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22.3</w:t>
            </w:r>
          </w:p>
        </w:tc>
      </w:tr>
      <w:tr w:rsidR="00AC2BDF" w:rsidRPr="00251A1E" w14:paraId="0E8C3DE6" w14:textId="77777777" w:rsidTr="00AC2BDF">
        <w:trPr>
          <w:trHeight w:val="300"/>
        </w:trPr>
        <w:tc>
          <w:tcPr>
            <w:cnfStyle w:val="001000000000" w:firstRow="0" w:lastRow="0" w:firstColumn="1" w:lastColumn="0" w:oddVBand="0" w:evenVBand="0" w:oddHBand="0" w:evenHBand="0" w:firstRowFirstColumn="0" w:firstRowLastColumn="0" w:lastRowFirstColumn="0" w:lastRowLastColumn="0"/>
            <w:tcW w:w="1400" w:type="dxa"/>
            <w:shd w:val="clear" w:color="auto" w:fill="FFFF00"/>
            <w:noWrap/>
            <w:hideMark/>
          </w:tcPr>
          <w:p w14:paraId="0E8C3DE0"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2014</w:t>
            </w:r>
          </w:p>
        </w:tc>
        <w:tc>
          <w:tcPr>
            <w:tcW w:w="1799" w:type="dxa"/>
            <w:shd w:val="clear" w:color="auto" w:fill="FFFF00"/>
            <w:noWrap/>
            <w:hideMark/>
          </w:tcPr>
          <w:p w14:paraId="0E8C3DE1"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6</w:t>
            </w:r>
            <w:r w:rsidR="00826AF5">
              <w:rPr>
                <w:rFonts w:ascii="Arial" w:eastAsia="Times New Roman" w:hAnsi="Arial" w:cs="Arial"/>
                <w:color w:val="000000"/>
              </w:rPr>
              <w:t>,</w:t>
            </w:r>
            <w:r w:rsidRPr="00251A1E">
              <w:rPr>
                <w:rFonts w:ascii="Arial" w:eastAsia="Times New Roman" w:hAnsi="Arial" w:cs="Arial"/>
                <w:color w:val="000000"/>
              </w:rPr>
              <w:t>518</w:t>
            </w:r>
            <w:r w:rsidR="00826AF5">
              <w:rPr>
                <w:rFonts w:ascii="Arial" w:eastAsia="Times New Roman" w:hAnsi="Arial" w:cs="Arial"/>
                <w:color w:val="000000"/>
              </w:rPr>
              <w:t>,</w:t>
            </w:r>
            <w:r w:rsidRPr="00251A1E">
              <w:rPr>
                <w:rFonts w:ascii="Arial" w:eastAsia="Times New Roman" w:hAnsi="Arial" w:cs="Arial"/>
                <w:color w:val="000000"/>
              </w:rPr>
              <w:t>979</w:t>
            </w:r>
          </w:p>
        </w:tc>
        <w:tc>
          <w:tcPr>
            <w:tcW w:w="1236" w:type="dxa"/>
            <w:shd w:val="clear" w:color="auto" w:fill="FFFF00"/>
            <w:noWrap/>
            <w:hideMark/>
          </w:tcPr>
          <w:p w14:paraId="0E8C3DE2"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307</w:t>
            </w:r>
            <w:r w:rsidR="00826AF5">
              <w:rPr>
                <w:rFonts w:ascii="Arial" w:eastAsia="Times New Roman" w:hAnsi="Arial" w:cs="Arial"/>
                <w:color w:val="000000"/>
              </w:rPr>
              <w:t>,</w:t>
            </w:r>
            <w:r w:rsidRPr="00251A1E">
              <w:rPr>
                <w:rFonts w:ascii="Arial" w:eastAsia="Times New Roman" w:hAnsi="Arial" w:cs="Arial"/>
                <w:color w:val="000000"/>
              </w:rPr>
              <w:t>585</w:t>
            </w:r>
          </w:p>
        </w:tc>
        <w:tc>
          <w:tcPr>
            <w:tcW w:w="1313" w:type="dxa"/>
            <w:shd w:val="clear" w:color="auto" w:fill="FFFF00"/>
            <w:noWrap/>
            <w:hideMark/>
          </w:tcPr>
          <w:p w14:paraId="0E8C3DE3"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4.72</w:t>
            </w:r>
          </w:p>
        </w:tc>
        <w:tc>
          <w:tcPr>
            <w:tcW w:w="1324" w:type="dxa"/>
            <w:shd w:val="clear" w:color="auto" w:fill="FFFF00"/>
            <w:noWrap/>
            <w:hideMark/>
          </w:tcPr>
          <w:p w14:paraId="0E8C3DE4"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98</w:t>
            </w:r>
            <w:r w:rsidR="00826AF5">
              <w:rPr>
                <w:rFonts w:ascii="Arial" w:eastAsia="Times New Roman" w:hAnsi="Arial" w:cs="Arial"/>
                <w:color w:val="000000"/>
              </w:rPr>
              <w:t>,</w:t>
            </w:r>
            <w:r w:rsidRPr="00251A1E">
              <w:rPr>
                <w:rFonts w:ascii="Arial" w:eastAsia="Times New Roman" w:hAnsi="Arial" w:cs="Arial"/>
                <w:color w:val="000000"/>
              </w:rPr>
              <w:t>897</w:t>
            </w:r>
          </w:p>
        </w:tc>
        <w:tc>
          <w:tcPr>
            <w:tcW w:w="1300" w:type="dxa"/>
            <w:shd w:val="clear" w:color="auto" w:fill="FFFF00"/>
            <w:noWrap/>
            <w:hideMark/>
          </w:tcPr>
          <w:p w14:paraId="0E8C3DE5"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32.2</w:t>
            </w:r>
          </w:p>
        </w:tc>
      </w:tr>
      <w:tr w:rsidR="00AC2BDF" w:rsidRPr="00251A1E" w14:paraId="0E8C3DED" w14:textId="77777777" w:rsidTr="00AC2BDF">
        <w:trPr>
          <w:trHeight w:val="300"/>
        </w:trPr>
        <w:tc>
          <w:tcPr>
            <w:cnfStyle w:val="001000000000" w:firstRow="0" w:lastRow="0" w:firstColumn="1" w:lastColumn="0" w:oddVBand="0" w:evenVBand="0" w:oddHBand="0" w:evenHBand="0" w:firstRowFirstColumn="0" w:firstRowLastColumn="0" w:lastRowFirstColumn="0" w:lastRowLastColumn="0"/>
            <w:tcW w:w="1400" w:type="dxa"/>
            <w:shd w:val="clear" w:color="auto" w:fill="FFFF00"/>
            <w:noWrap/>
            <w:hideMark/>
          </w:tcPr>
          <w:p w14:paraId="0E8C3DE7"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2015</w:t>
            </w:r>
          </w:p>
        </w:tc>
        <w:tc>
          <w:tcPr>
            <w:tcW w:w="1799" w:type="dxa"/>
            <w:shd w:val="clear" w:color="auto" w:fill="FFFF00"/>
            <w:noWrap/>
            <w:hideMark/>
          </w:tcPr>
          <w:p w14:paraId="0E8C3DE8"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6</w:t>
            </w:r>
            <w:r w:rsidR="00826AF5">
              <w:rPr>
                <w:rFonts w:ascii="Arial" w:eastAsia="Times New Roman" w:hAnsi="Arial" w:cs="Arial"/>
                <w:color w:val="000000"/>
              </w:rPr>
              <w:t>,</w:t>
            </w:r>
            <w:r w:rsidRPr="00251A1E">
              <w:rPr>
                <w:rFonts w:ascii="Arial" w:eastAsia="Times New Roman" w:hAnsi="Arial" w:cs="Arial"/>
                <w:color w:val="000000"/>
              </w:rPr>
              <w:t>633</w:t>
            </w:r>
            <w:r w:rsidR="00826AF5">
              <w:rPr>
                <w:rFonts w:ascii="Arial" w:eastAsia="Times New Roman" w:hAnsi="Arial" w:cs="Arial"/>
                <w:color w:val="000000"/>
              </w:rPr>
              <w:t>,</w:t>
            </w:r>
            <w:r w:rsidRPr="00251A1E">
              <w:rPr>
                <w:rFonts w:ascii="Arial" w:eastAsia="Times New Roman" w:hAnsi="Arial" w:cs="Arial"/>
                <w:color w:val="000000"/>
              </w:rPr>
              <w:t>893</w:t>
            </w:r>
          </w:p>
        </w:tc>
        <w:tc>
          <w:tcPr>
            <w:tcW w:w="1236" w:type="dxa"/>
            <w:shd w:val="clear" w:color="auto" w:fill="FFFF00"/>
            <w:noWrap/>
            <w:hideMark/>
          </w:tcPr>
          <w:p w14:paraId="0E8C3DE9"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507</w:t>
            </w:r>
            <w:r w:rsidR="00826AF5">
              <w:rPr>
                <w:rFonts w:ascii="Arial" w:eastAsia="Times New Roman" w:hAnsi="Arial" w:cs="Arial"/>
                <w:color w:val="000000"/>
              </w:rPr>
              <w:t>,</w:t>
            </w:r>
            <w:r w:rsidRPr="00251A1E">
              <w:rPr>
                <w:rFonts w:ascii="Arial" w:eastAsia="Times New Roman" w:hAnsi="Arial" w:cs="Arial"/>
                <w:color w:val="000000"/>
              </w:rPr>
              <w:t>990</w:t>
            </w:r>
          </w:p>
        </w:tc>
        <w:tc>
          <w:tcPr>
            <w:tcW w:w="1313" w:type="dxa"/>
            <w:shd w:val="clear" w:color="auto" w:fill="FFFF00"/>
            <w:noWrap/>
            <w:hideMark/>
          </w:tcPr>
          <w:p w14:paraId="0E8C3DEA"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7.66</w:t>
            </w:r>
          </w:p>
        </w:tc>
        <w:tc>
          <w:tcPr>
            <w:tcW w:w="1324" w:type="dxa"/>
            <w:shd w:val="clear" w:color="auto" w:fill="FFFF00"/>
            <w:noWrap/>
            <w:hideMark/>
          </w:tcPr>
          <w:p w14:paraId="0E8C3DEB"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200</w:t>
            </w:r>
            <w:r w:rsidR="00826AF5">
              <w:rPr>
                <w:rFonts w:ascii="Arial" w:eastAsia="Times New Roman" w:hAnsi="Arial" w:cs="Arial"/>
                <w:color w:val="000000"/>
              </w:rPr>
              <w:t>,</w:t>
            </w:r>
            <w:r w:rsidRPr="00251A1E">
              <w:rPr>
                <w:rFonts w:ascii="Arial" w:eastAsia="Times New Roman" w:hAnsi="Arial" w:cs="Arial"/>
                <w:color w:val="000000"/>
              </w:rPr>
              <w:t>405</w:t>
            </w:r>
          </w:p>
        </w:tc>
        <w:tc>
          <w:tcPr>
            <w:tcW w:w="1300" w:type="dxa"/>
            <w:shd w:val="clear" w:color="auto" w:fill="FFFF00"/>
            <w:noWrap/>
            <w:hideMark/>
          </w:tcPr>
          <w:p w14:paraId="0E8C3DEC"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39.5</w:t>
            </w:r>
          </w:p>
        </w:tc>
      </w:tr>
      <w:tr w:rsidR="00AC2BDF" w:rsidRPr="00251A1E" w14:paraId="0E8C3DF4" w14:textId="77777777" w:rsidTr="00AC2BDF">
        <w:trPr>
          <w:trHeight w:val="315"/>
        </w:trPr>
        <w:tc>
          <w:tcPr>
            <w:cnfStyle w:val="001000000000" w:firstRow="0" w:lastRow="0" w:firstColumn="1" w:lastColumn="0" w:oddVBand="0" w:evenVBand="0" w:oddHBand="0" w:evenHBand="0" w:firstRowFirstColumn="0" w:firstRowLastColumn="0" w:lastRowFirstColumn="0" w:lastRowLastColumn="0"/>
            <w:tcW w:w="1400" w:type="dxa"/>
            <w:noWrap/>
            <w:hideMark/>
          </w:tcPr>
          <w:p w14:paraId="0E8C3DEE" w14:textId="77777777" w:rsidR="00AC2BDF" w:rsidRPr="00251A1E" w:rsidRDefault="00AC2BDF" w:rsidP="00251A1E">
            <w:pPr>
              <w:jc w:val="both"/>
              <w:rPr>
                <w:rFonts w:ascii="Arial" w:eastAsia="Times New Roman" w:hAnsi="Arial" w:cs="Arial"/>
                <w:color w:val="000000"/>
              </w:rPr>
            </w:pPr>
            <w:r w:rsidRPr="00251A1E">
              <w:rPr>
                <w:rFonts w:ascii="Arial" w:eastAsia="Times New Roman" w:hAnsi="Arial" w:cs="Arial"/>
                <w:color w:val="000000"/>
              </w:rPr>
              <w:t>2016</w:t>
            </w:r>
          </w:p>
        </w:tc>
        <w:tc>
          <w:tcPr>
            <w:tcW w:w="1799" w:type="dxa"/>
            <w:noWrap/>
            <w:hideMark/>
          </w:tcPr>
          <w:p w14:paraId="0E8C3DEF"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6</w:t>
            </w:r>
            <w:r w:rsidR="00826AF5">
              <w:rPr>
                <w:rFonts w:ascii="Arial" w:eastAsia="Times New Roman" w:hAnsi="Arial" w:cs="Arial"/>
                <w:color w:val="000000"/>
              </w:rPr>
              <w:t>,</w:t>
            </w:r>
            <w:r w:rsidRPr="00251A1E">
              <w:rPr>
                <w:rFonts w:ascii="Arial" w:eastAsia="Times New Roman" w:hAnsi="Arial" w:cs="Arial"/>
                <w:color w:val="000000"/>
              </w:rPr>
              <w:t>759</w:t>
            </w:r>
            <w:r w:rsidR="00826AF5">
              <w:rPr>
                <w:rFonts w:ascii="Arial" w:eastAsia="Times New Roman" w:hAnsi="Arial" w:cs="Arial"/>
                <w:color w:val="000000"/>
              </w:rPr>
              <w:t>,</w:t>
            </w:r>
            <w:r w:rsidRPr="00251A1E">
              <w:rPr>
                <w:rFonts w:ascii="Arial" w:eastAsia="Times New Roman" w:hAnsi="Arial" w:cs="Arial"/>
                <w:color w:val="000000"/>
              </w:rPr>
              <w:t>378</w:t>
            </w:r>
          </w:p>
        </w:tc>
        <w:tc>
          <w:tcPr>
            <w:tcW w:w="1236" w:type="dxa"/>
            <w:noWrap/>
            <w:hideMark/>
          </w:tcPr>
          <w:p w14:paraId="0E8C3DF0"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701</w:t>
            </w:r>
            <w:r w:rsidR="00826AF5">
              <w:rPr>
                <w:rFonts w:ascii="Arial" w:eastAsia="Times New Roman" w:hAnsi="Arial" w:cs="Arial"/>
                <w:color w:val="000000"/>
              </w:rPr>
              <w:t>,</w:t>
            </w:r>
            <w:r w:rsidRPr="00251A1E">
              <w:rPr>
                <w:rFonts w:ascii="Arial" w:eastAsia="Times New Roman" w:hAnsi="Arial" w:cs="Arial"/>
                <w:color w:val="000000"/>
              </w:rPr>
              <w:t>990</w:t>
            </w:r>
          </w:p>
        </w:tc>
        <w:tc>
          <w:tcPr>
            <w:tcW w:w="1313" w:type="dxa"/>
            <w:noWrap/>
            <w:hideMark/>
          </w:tcPr>
          <w:p w14:paraId="0E8C3DF1"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10.39</w:t>
            </w:r>
          </w:p>
        </w:tc>
        <w:tc>
          <w:tcPr>
            <w:tcW w:w="1324" w:type="dxa"/>
            <w:noWrap/>
            <w:hideMark/>
          </w:tcPr>
          <w:p w14:paraId="0E8C3DF2"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194</w:t>
            </w:r>
            <w:r w:rsidR="00826AF5">
              <w:rPr>
                <w:rFonts w:ascii="Arial" w:eastAsia="Times New Roman" w:hAnsi="Arial" w:cs="Arial"/>
                <w:color w:val="000000"/>
              </w:rPr>
              <w:t>,</w:t>
            </w:r>
            <w:r w:rsidRPr="00251A1E">
              <w:rPr>
                <w:rFonts w:ascii="Arial" w:eastAsia="Times New Roman" w:hAnsi="Arial" w:cs="Arial"/>
                <w:color w:val="000000"/>
              </w:rPr>
              <w:t>000</w:t>
            </w:r>
          </w:p>
        </w:tc>
        <w:tc>
          <w:tcPr>
            <w:tcW w:w="1300" w:type="dxa"/>
            <w:noWrap/>
            <w:hideMark/>
          </w:tcPr>
          <w:p w14:paraId="0E8C3DF3" w14:textId="77777777" w:rsidR="00AC2BDF" w:rsidRPr="00251A1E" w:rsidRDefault="00AC2BDF" w:rsidP="00826AF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251A1E">
              <w:rPr>
                <w:rFonts w:ascii="Arial" w:eastAsia="Times New Roman" w:hAnsi="Arial" w:cs="Arial"/>
                <w:color w:val="000000"/>
              </w:rPr>
              <w:t>27.6</w:t>
            </w:r>
          </w:p>
        </w:tc>
      </w:tr>
    </w:tbl>
    <w:p w14:paraId="0E8C3DF5" w14:textId="77777777" w:rsidR="00AC2BDF" w:rsidRPr="00251A1E" w:rsidRDefault="00AC2BDF" w:rsidP="00251A1E">
      <w:pPr>
        <w:jc w:val="both"/>
        <w:rPr>
          <w:rFonts w:ascii="Arial" w:hAnsi="Arial" w:cs="Arial"/>
          <w:lang w:val="es-CL"/>
        </w:rPr>
      </w:pPr>
    </w:p>
    <w:p w14:paraId="0E8C3DF6" w14:textId="77777777" w:rsidR="00AC2BDF" w:rsidRPr="00251A1E" w:rsidRDefault="006B4B74"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Para poder distinguir el aumento natural de la adopción de los servicios de MAC virtual y el incremento debido a la mayor cobertura de los MAC presenciales, se realizan las siguientes estimaciones. Primero, usando los datos del número de atenciones, se calcula la tendencia del aumento del número de atenciones anuales. Este aumento ha venido</w:t>
      </w:r>
      <w:r w:rsidR="00AC2BDF" w:rsidRPr="00251A1E">
        <w:rPr>
          <w:rFonts w:ascii="Arial" w:hAnsi="Arial" w:cs="Arial"/>
          <w:lang w:val="es-CL"/>
        </w:rPr>
        <w:t xml:space="preserve"> a la baja, con la excepción de los dos primeros</w:t>
      </w:r>
      <w:r w:rsidRPr="00251A1E">
        <w:rPr>
          <w:rFonts w:ascii="Arial" w:hAnsi="Arial" w:cs="Arial"/>
          <w:lang w:val="es-CL"/>
        </w:rPr>
        <w:t xml:space="preserve"> año</w:t>
      </w:r>
      <w:r w:rsidR="00AC2BDF" w:rsidRPr="00251A1E">
        <w:rPr>
          <w:rFonts w:ascii="Arial" w:hAnsi="Arial" w:cs="Arial"/>
          <w:lang w:val="es-CL"/>
        </w:rPr>
        <w:t>s</w:t>
      </w:r>
      <w:r w:rsidRPr="00251A1E">
        <w:rPr>
          <w:rFonts w:ascii="Arial" w:hAnsi="Arial" w:cs="Arial"/>
          <w:lang w:val="es-CL"/>
        </w:rPr>
        <w:t xml:space="preserve"> cuando se abrieron los MAC en Ventanilla y Piura</w:t>
      </w:r>
      <w:r w:rsidR="00AC2BDF" w:rsidRPr="00251A1E">
        <w:rPr>
          <w:rFonts w:ascii="Arial" w:hAnsi="Arial" w:cs="Arial"/>
          <w:lang w:val="es-CL"/>
        </w:rPr>
        <w:t>. Para años posteriores se asumirá que la tasa de crecimiento de las atenciones será de 22% e</w:t>
      </w:r>
      <w:r w:rsidR="00826AF5">
        <w:rPr>
          <w:rFonts w:ascii="Arial" w:hAnsi="Arial" w:cs="Arial"/>
          <w:lang w:val="es-CL"/>
        </w:rPr>
        <w:t>n 2017, de 13.1% para</w:t>
      </w:r>
      <w:r w:rsidR="00AC2BDF" w:rsidRPr="00251A1E">
        <w:rPr>
          <w:rFonts w:ascii="Arial" w:hAnsi="Arial" w:cs="Arial"/>
          <w:lang w:val="es-CL"/>
        </w:rPr>
        <w:t xml:space="preserve"> 2018 y luego se mantendrá constante a 7.7%. </w:t>
      </w:r>
      <w:r w:rsidR="00047113" w:rsidRPr="00251A1E">
        <w:rPr>
          <w:rFonts w:ascii="Arial" w:hAnsi="Arial" w:cs="Arial"/>
          <w:lang w:val="es-CL"/>
        </w:rPr>
        <w:t xml:space="preserve">Con estos supuestos es posible calcular el número de atenciones que tendría MAC virtual si no se abrieran </w:t>
      </w:r>
      <w:r w:rsidR="00AC2BDF" w:rsidRPr="00251A1E">
        <w:rPr>
          <w:rFonts w:ascii="Arial" w:hAnsi="Arial" w:cs="Arial"/>
          <w:lang w:val="es-CL"/>
        </w:rPr>
        <w:t>más</w:t>
      </w:r>
      <w:r w:rsidR="00047113" w:rsidRPr="00251A1E">
        <w:rPr>
          <w:rFonts w:ascii="Arial" w:hAnsi="Arial" w:cs="Arial"/>
          <w:lang w:val="es-CL"/>
        </w:rPr>
        <w:t xml:space="preserve"> MAC presenciales. </w:t>
      </w:r>
    </w:p>
    <w:p w14:paraId="0E8C3DF7" w14:textId="77777777" w:rsidR="00047113" w:rsidRPr="00251A1E" w:rsidRDefault="00047113"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Luego, se asume que la apertura</w:t>
      </w:r>
      <w:r w:rsidR="00021801" w:rsidRPr="00251A1E">
        <w:rPr>
          <w:rFonts w:ascii="Arial" w:hAnsi="Arial" w:cs="Arial"/>
          <w:lang w:val="es-CL"/>
        </w:rPr>
        <w:t xml:space="preserve"> de los 10</w:t>
      </w:r>
      <w:r w:rsidR="00AC2BDF" w:rsidRPr="00251A1E">
        <w:rPr>
          <w:rFonts w:ascii="Arial" w:hAnsi="Arial" w:cs="Arial"/>
          <w:lang w:val="es-CL"/>
        </w:rPr>
        <w:t xml:space="preserve"> MAC presenciales da un gran incremento inicial al número de atenciones del MAC virtual (como el observado e</w:t>
      </w:r>
      <w:r w:rsidR="00826AF5">
        <w:rPr>
          <w:rFonts w:ascii="Arial" w:hAnsi="Arial" w:cs="Arial"/>
          <w:lang w:val="es-CL"/>
        </w:rPr>
        <w:t>n</w:t>
      </w:r>
      <w:r w:rsidR="00AC2BDF" w:rsidRPr="00251A1E">
        <w:rPr>
          <w:rFonts w:ascii="Arial" w:hAnsi="Arial" w:cs="Arial"/>
          <w:lang w:val="es-CL"/>
        </w:rPr>
        <w:t xml:space="preserve"> 2014 y 2015), y supondremos que cada MAC presencial aumenta la tasa de crecimiento de atenciones en un 3%</w:t>
      </w:r>
      <w:r w:rsidR="00982A06" w:rsidRPr="00251A1E">
        <w:rPr>
          <w:rFonts w:ascii="Arial" w:hAnsi="Arial" w:cs="Arial"/>
          <w:lang w:val="es-CL"/>
        </w:rPr>
        <w:t xml:space="preserve"> para el año de apertura</w:t>
      </w:r>
      <w:r w:rsidR="00AC2BDF" w:rsidRPr="00251A1E">
        <w:rPr>
          <w:rFonts w:ascii="Arial" w:hAnsi="Arial" w:cs="Arial"/>
          <w:lang w:val="es-CL"/>
        </w:rPr>
        <w:t>. Cabe hacer notar que e</w:t>
      </w:r>
      <w:r w:rsidR="00826AF5">
        <w:rPr>
          <w:rFonts w:ascii="Arial" w:hAnsi="Arial" w:cs="Arial"/>
          <w:lang w:val="es-CL"/>
        </w:rPr>
        <w:t>n</w:t>
      </w:r>
      <w:r w:rsidR="00AC2BDF" w:rsidRPr="00251A1E">
        <w:rPr>
          <w:rFonts w:ascii="Arial" w:hAnsi="Arial" w:cs="Arial"/>
          <w:lang w:val="es-CL"/>
        </w:rPr>
        <w:t xml:space="preserve"> 2014, con la apertura de 2 MAC presenciales</w:t>
      </w:r>
      <w:r w:rsidR="00826AF5">
        <w:rPr>
          <w:rFonts w:ascii="Arial" w:hAnsi="Arial" w:cs="Arial"/>
          <w:lang w:val="es-CL"/>
        </w:rPr>
        <w:t>,</w:t>
      </w:r>
      <w:r w:rsidR="00AC2BDF" w:rsidRPr="00251A1E">
        <w:rPr>
          <w:rFonts w:ascii="Arial" w:hAnsi="Arial" w:cs="Arial"/>
          <w:lang w:val="es-CL"/>
        </w:rPr>
        <w:t xml:space="preserve"> la tasa de crecimiento aument</w:t>
      </w:r>
      <w:r w:rsidR="00826AF5">
        <w:rPr>
          <w:rFonts w:ascii="Arial" w:hAnsi="Arial" w:cs="Arial"/>
          <w:lang w:val="es-CL"/>
        </w:rPr>
        <w:t>ó</w:t>
      </w:r>
      <w:r w:rsidR="00AC2BDF" w:rsidRPr="00251A1E">
        <w:rPr>
          <w:rFonts w:ascii="Arial" w:hAnsi="Arial" w:cs="Arial"/>
          <w:lang w:val="es-CL"/>
        </w:rPr>
        <w:t xml:space="preserve"> en 10% y el año siguiente aument</w:t>
      </w:r>
      <w:r w:rsidR="00826AF5">
        <w:rPr>
          <w:rFonts w:ascii="Arial" w:hAnsi="Arial" w:cs="Arial"/>
          <w:lang w:val="es-CL"/>
        </w:rPr>
        <w:t>ó</w:t>
      </w:r>
      <w:r w:rsidR="00AC2BDF" w:rsidRPr="00251A1E">
        <w:rPr>
          <w:rFonts w:ascii="Arial" w:hAnsi="Arial" w:cs="Arial"/>
          <w:lang w:val="es-CL"/>
        </w:rPr>
        <w:t xml:space="preserve"> 7%. </w:t>
      </w:r>
      <w:r w:rsidR="00982A06" w:rsidRPr="00251A1E">
        <w:rPr>
          <w:rFonts w:ascii="Arial" w:hAnsi="Arial" w:cs="Arial"/>
          <w:lang w:val="es-CL"/>
        </w:rPr>
        <w:t>Por lo tanto, el supuesto de 3% en un solo año por MAC presencial es conservador dada la información que se tiene. Luego de este incremento al momento de la apertura de los MAC</w:t>
      </w:r>
      <w:r w:rsidR="00826AF5">
        <w:rPr>
          <w:rFonts w:ascii="Arial" w:hAnsi="Arial" w:cs="Arial"/>
          <w:lang w:val="es-CL"/>
        </w:rPr>
        <w:t>s</w:t>
      </w:r>
      <w:r w:rsidR="00982A06" w:rsidRPr="00251A1E">
        <w:rPr>
          <w:rFonts w:ascii="Arial" w:hAnsi="Arial" w:cs="Arial"/>
          <w:lang w:val="es-CL"/>
        </w:rPr>
        <w:t>, se asume que la tasa de crecimiento sigue un patrón similar al descri</w:t>
      </w:r>
      <w:r w:rsidR="00826AF5">
        <w:rPr>
          <w:rFonts w:ascii="Arial" w:hAnsi="Arial" w:cs="Arial"/>
          <w:lang w:val="es-CL"/>
        </w:rPr>
        <w:t>p</w:t>
      </w:r>
      <w:r w:rsidR="00982A06" w:rsidRPr="00251A1E">
        <w:rPr>
          <w:rFonts w:ascii="Arial" w:hAnsi="Arial" w:cs="Arial"/>
          <w:lang w:val="es-CL"/>
        </w:rPr>
        <w:t>to anteriormente, con tasas de crecimiento de 22%, 13.1%, 7.7% y luego se mantiene estable en 3.85% (la mitad que en el caso sin nuevos MAC). Asumimos que la tasa de crecimiento disminuye más, para mantener la tasa de adopción bajo el 25%.</w:t>
      </w:r>
    </w:p>
    <w:p w14:paraId="0E8C3DF8" w14:textId="77777777" w:rsidR="00982A06" w:rsidRPr="00251A1E" w:rsidRDefault="00982A06"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Con respecto a los tiempos de transporte y espera, se usan los mismos datos que para el análisis de los beneficios de los MAC presenciales.</w:t>
      </w:r>
    </w:p>
    <w:p w14:paraId="0E8C3DF9" w14:textId="60ADAF9A" w:rsidR="00982A06" w:rsidRPr="00251A1E" w:rsidRDefault="00982A06"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Finalmente, para valorizar el tiempo ahorrado como beneficio, se proyecta linealmente el crecimiento del salario promedio por cada región, de manera de </w:t>
      </w:r>
      <w:r w:rsidR="00596E12" w:rsidRPr="00251A1E">
        <w:rPr>
          <w:rFonts w:ascii="Arial" w:hAnsi="Arial" w:cs="Arial"/>
          <w:lang w:val="es-CL"/>
        </w:rPr>
        <w:t>calcular el beneficio monetario por hora ahorrada, para cada región. En términos de los costos de transporte, dada la falta de información, se usan los costos de transportes usados para el estudio de los MAC de Lima, Callao, Ventanilla y Piura de S/. 2.04</w:t>
      </w:r>
      <w:r w:rsidR="00C512D9">
        <w:rPr>
          <w:rFonts w:ascii="Arial" w:hAnsi="Arial" w:cs="Arial"/>
          <w:lang w:val="es-CL"/>
        </w:rPr>
        <w:t xml:space="preserve"> (o US$ 0,62)</w:t>
      </w:r>
      <w:r w:rsidR="00596E12" w:rsidRPr="00251A1E">
        <w:rPr>
          <w:rFonts w:ascii="Arial" w:hAnsi="Arial" w:cs="Arial"/>
          <w:lang w:val="es-CL"/>
        </w:rPr>
        <w:t>.</w:t>
      </w:r>
    </w:p>
    <w:p w14:paraId="43F032F4" w14:textId="6B46FD5F" w:rsidR="00100477" w:rsidRDefault="00100477" w:rsidP="00100477">
      <w:pPr>
        <w:pStyle w:val="ListParagraph"/>
        <w:rPr>
          <w:rFonts w:ascii="Arial" w:hAnsi="Arial"/>
          <w:b/>
          <w:lang w:val="es-CL"/>
        </w:rPr>
      </w:pPr>
    </w:p>
    <w:p w14:paraId="1D73086B" w14:textId="441FF00F" w:rsidR="00100477" w:rsidRDefault="00100477" w:rsidP="00100477">
      <w:pPr>
        <w:pStyle w:val="ListParagraph"/>
        <w:rPr>
          <w:rFonts w:ascii="Arial" w:hAnsi="Arial"/>
          <w:b/>
          <w:lang w:val="es-CL"/>
        </w:rPr>
      </w:pPr>
    </w:p>
    <w:p w14:paraId="18493CA1" w14:textId="77777777" w:rsidR="00100477" w:rsidRDefault="00100477" w:rsidP="00100477">
      <w:pPr>
        <w:pStyle w:val="ListParagraph"/>
        <w:rPr>
          <w:rFonts w:ascii="Arial" w:hAnsi="Arial"/>
          <w:b/>
          <w:lang w:val="es-CL"/>
        </w:rPr>
      </w:pPr>
    </w:p>
    <w:p w14:paraId="0E8C3DFA" w14:textId="587CB9C9" w:rsidR="00B732A5" w:rsidRPr="005F776A" w:rsidRDefault="00B732A5" w:rsidP="00DE2D22">
      <w:pPr>
        <w:pStyle w:val="ListParagraph"/>
        <w:numPr>
          <w:ilvl w:val="0"/>
          <w:numId w:val="7"/>
        </w:numPr>
        <w:ind w:hanging="720"/>
        <w:rPr>
          <w:rFonts w:ascii="Arial" w:hAnsi="Arial"/>
          <w:b/>
          <w:lang w:val="es-CL"/>
        </w:rPr>
      </w:pPr>
      <w:r w:rsidRPr="005F776A">
        <w:rPr>
          <w:rFonts w:ascii="Arial" w:hAnsi="Arial"/>
          <w:b/>
          <w:lang w:val="es-CL"/>
        </w:rPr>
        <w:t>Beneficios y Costos Económicos</w:t>
      </w:r>
    </w:p>
    <w:p w14:paraId="0E8C3DFB" w14:textId="77777777" w:rsidR="00B732A5" w:rsidRPr="00826AF5" w:rsidRDefault="00B732A5" w:rsidP="00251A1E">
      <w:pPr>
        <w:pStyle w:val="Heading2"/>
        <w:jc w:val="both"/>
        <w:rPr>
          <w:rFonts w:ascii="Arial" w:hAnsi="Arial" w:cs="Arial"/>
          <w:b/>
          <w:sz w:val="22"/>
          <w:szCs w:val="22"/>
          <w:lang w:val="es-CL"/>
        </w:rPr>
      </w:pPr>
      <w:bookmarkStart w:id="7" w:name="_Toc496886927"/>
      <w:r w:rsidRPr="00826AF5">
        <w:rPr>
          <w:rFonts w:ascii="Arial" w:hAnsi="Arial" w:cs="Arial"/>
          <w:b/>
          <w:sz w:val="22"/>
          <w:szCs w:val="22"/>
          <w:lang w:val="es-CL"/>
        </w:rPr>
        <w:t>Componente 1</w:t>
      </w:r>
      <w:bookmarkEnd w:id="7"/>
    </w:p>
    <w:p w14:paraId="0E8C3DFC" w14:textId="77777777" w:rsidR="00B732A5" w:rsidRPr="00251A1E" w:rsidRDefault="0081479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Beneficios cuantificados: </w:t>
      </w:r>
      <w:r w:rsidR="00826AF5">
        <w:rPr>
          <w:rFonts w:ascii="Arial" w:hAnsi="Arial" w:cs="Arial"/>
          <w:lang w:val="es-CL"/>
        </w:rPr>
        <w:t>El principal beneficio del</w:t>
      </w:r>
      <w:r w:rsidRPr="00251A1E">
        <w:rPr>
          <w:rFonts w:ascii="Arial" w:hAnsi="Arial" w:cs="Arial"/>
          <w:lang w:val="es-CL"/>
        </w:rPr>
        <w:t xml:space="preserve"> componente 1 es la mejora en las condiciones regulatorias para hacer negocios en Perú. Est</w:t>
      </w:r>
      <w:r w:rsidR="00826AF5">
        <w:rPr>
          <w:rFonts w:ascii="Arial" w:hAnsi="Arial" w:cs="Arial"/>
          <w:lang w:val="es-CL"/>
        </w:rPr>
        <w:t>a</w:t>
      </w:r>
      <w:r w:rsidRPr="00251A1E">
        <w:rPr>
          <w:rFonts w:ascii="Arial" w:hAnsi="Arial" w:cs="Arial"/>
          <w:lang w:val="es-CL"/>
        </w:rPr>
        <w:t xml:space="preserve"> mejora viene dada por una revisión de los trámites existentes, la disminución de </w:t>
      </w:r>
      <w:r w:rsidR="00826AF5">
        <w:rPr>
          <w:rFonts w:ascii="Arial" w:hAnsi="Arial" w:cs="Arial"/>
          <w:lang w:val="es-CL"/>
        </w:rPr>
        <w:t xml:space="preserve">la </w:t>
      </w:r>
      <w:r w:rsidRPr="00251A1E">
        <w:rPr>
          <w:rFonts w:ascii="Arial" w:hAnsi="Arial" w:cs="Arial"/>
          <w:lang w:val="es-CL"/>
        </w:rPr>
        <w:t xml:space="preserve">carga regulatoria y la consiguiente mejora en la percepción de los ciudadanos y empresas con respecto a su relación a los servicios del Estado. Esta mejora y simplificación regulatoria puede llevar a un mayor crecimiento económico y una disminución de la economía informal.  Estos beneficios serán cuantificables a través de una posible mejora en los índices internacionales asociados a carga regulatoria. </w:t>
      </w:r>
    </w:p>
    <w:p w14:paraId="0E8C3DFD" w14:textId="77777777" w:rsidR="001C55F2" w:rsidRPr="00251A1E" w:rsidRDefault="00B15596"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En particular, </w:t>
      </w:r>
      <w:r w:rsidR="001C55F2" w:rsidRPr="00251A1E">
        <w:rPr>
          <w:rFonts w:ascii="Arial" w:hAnsi="Arial" w:cs="Arial"/>
          <w:lang w:val="es-CL"/>
        </w:rPr>
        <w:t xml:space="preserve">los beneficios cuantificados se relacionan a elementos descritos en el </w:t>
      </w:r>
      <w:r w:rsidR="00826AF5">
        <w:rPr>
          <w:rFonts w:ascii="Arial" w:hAnsi="Arial" w:cs="Arial"/>
          <w:lang w:val="es-CL"/>
        </w:rPr>
        <w:t>documento de proyecto,</w:t>
      </w:r>
      <w:r w:rsidR="001C55F2" w:rsidRPr="00251A1E">
        <w:rPr>
          <w:rFonts w:ascii="Arial" w:hAnsi="Arial" w:cs="Arial"/>
          <w:lang w:val="es-CL"/>
        </w:rPr>
        <w:t xml:space="preserve"> tales como: </w:t>
      </w:r>
      <w:r w:rsidR="001C55F2" w:rsidRPr="00251A1E">
        <w:rPr>
          <w:rFonts w:ascii="Arial" w:hAnsi="Arial" w:cs="Arial"/>
          <w:bCs/>
          <w:lang w:val="es-CL"/>
        </w:rPr>
        <w:t>(i) </w:t>
      </w:r>
      <w:r w:rsidR="00826AF5">
        <w:rPr>
          <w:rFonts w:ascii="Arial" w:hAnsi="Arial" w:cs="Arial"/>
          <w:bCs/>
          <w:lang w:val="es-CL"/>
        </w:rPr>
        <w:t>la</w:t>
      </w:r>
      <w:r w:rsidR="001C55F2" w:rsidRPr="00251A1E">
        <w:rPr>
          <w:rFonts w:ascii="Arial" w:hAnsi="Arial" w:cs="Arial"/>
          <w:bCs/>
          <w:lang w:val="es-CL"/>
        </w:rPr>
        <w:t xml:space="preserve"> implementación gradual del Decreto Legislativo (DL) No. 1310, antes referido, a partir de la revisión y simplificación de los procedimientos administrativos del acervo (“stock”) regulatorio</w:t>
      </w:r>
      <w:r w:rsidR="001C55F2" w:rsidRPr="00251A1E">
        <w:rPr>
          <w:rFonts w:ascii="Arial" w:hAnsi="Arial" w:cs="Arial"/>
          <w:lang w:val="es-CL"/>
        </w:rPr>
        <w:t>; (ii)</w:t>
      </w:r>
      <w:r w:rsidR="00826AF5">
        <w:rPr>
          <w:rFonts w:ascii="Arial" w:hAnsi="Arial" w:cs="Arial"/>
          <w:lang w:val="es-CL"/>
        </w:rPr>
        <w:t xml:space="preserve"> la</w:t>
      </w:r>
      <w:r w:rsidR="001C55F2" w:rsidRPr="00251A1E">
        <w:rPr>
          <w:rFonts w:ascii="Arial" w:hAnsi="Arial" w:cs="Arial"/>
          <w:lang w:val="es-CL"/>
        </w:rPr>
        <w:t xml:space="preserve"> mejora de la calidad de nuevas regulaciones a partir de la generación de capacidad de Análisis de Impacto Regulatorio (“RIA” por sus siglas en inglés) en el poder ejecutivo a partir de revisiones de impacto regulatorio ex-ante y ex-post y el desarrollo de una plataforma tecnológica para consulta y divulgación de los RIA que se elaboren; (iii) </w:t>
      </w:r>
      <w:r w:rsidR="00826AF5">
        <w:rPr>
          <w:rFonts w:ascii="Arial" w:hAnsi="Arial" w:cs="Arial"/>
          <w:lang w:val="es-CL"/>
        </w:rPr>
        <w:t xml:space="preserve">la </w:t>
      </w:r>
      <w:r w:rsidR="001C55F2" w:rsidRPr="00251A1E">
        <w:rPr>
          <w:rFonts w:ascii="Arial" w:hAnsi="Arial" w:cs="Arial"/>
          <w:lang w:val="es-CL"/>
        </w:rPr>
        <w:t>simplificación de trámites en base a medición de costo estándar, a nivel nacional y sub-nacional (regional y local),  y la estandarización de procedimientos administrativos de trámites sub-nacionales priorizados; y (iv)</w:t>
      </w:r>
      <w:r w:rsidR="00826AF5">
        <w:rPr>
          <w:rFonts w:ascii="Arial" w:hAnsi="Arial" w:cs="Arial"/>
          <w:lang w:val="es-CL"/>
        </w:rPr>
        <w:t xml:space="preserve"> la</w:t>
      </w:r>
      <w:r w:rsidR="001C55F2" w:rsidRPr="00251A1E">
        <w:rPr>
          <w:rFonts w:ascii="Arial" w:hAnsi="Arial" w:cs="Arial"/>
          <w:lang w:val="es-CL"/>
        </w:rPr>
        <w:t xml:space="preserve"> revisión y actualización tecnológica del Sistema Único de Trámites (SUT, bajo la Secretaría de Gestión Pública) como registro nacional de trámites y servicios prestados en exclusividad por el Estado</w:t>
      </w:r>
    </w:p>
    <w:p w14:paraId="0E8C3DFE" w14:textId="77777777" w:rsidR="00814798" w:rsidRPr="00251A1E" w:rsidRDefault="0081479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Beneficios no cuantificados: </w:t>
      </w:r>
      <w:r w:rsidRPr="00251A1E">
        <w:rPr>
          <w:rFonts w:ascii="Arial" w:hAnsi="Arial" w:cs="Arial"/>
          <w:lang w:val="es-CL"/>
        </w:rPr>
        <w:t xml:space="preserve">La simplificación regulatoria puede producir un sinnúmero de beneficios. </w:t>
      </w:r>
      <w:r w:rsidR="002648AB" w:rsidRPr="00251A1E">
        <w:rPr>
          <w:rFonts w:ascii="Arial" w:hAnsi="Arial" w:cs="Arial"/>
          <w:lang w:val="es-CL"/>
        </w:rPr>
        <w:t>En una primera instancia, para el Estado, una mejor estructura de trámites y servicios puede generar ganancias por eficiencia considerables. Además, se disminuyen las pérdidas asociadas a trámites que no son terminados. Adicionalmente, una mejor carga regulatoria permite hacer las políticas públicas más efectivas. Todo lo anterior no puede ser cuantificado, debido a la falta de datos y principalmente a que aún no se realiza la mejora en la carga regulatoria, por lo que no se puede estimar aún las ganancias de eficiencia asociadas a la simplificación.</w:t>
      </w:r>
    </w:p>
    <w:p w14:paraId="0E8C3DFF" w14:textId="0013183A" w:rsidR="00814798" w:rsidRPr="00251A1E" w:rsidRDefault="0081479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Costo: </w:t>
      </w:r>
      <w:r w:rsidRPr="00251A1E">
        <w:rPr>
          <w:rFonts w:ascii="Arial" w:hAnsi="Arial" w:cs="Arial"/>
          <w:lang w:val="es-CL"/>
        </w:rPr>
        <w:t>Este proyecto considera una implementación</w:t>
      </w:r>
      <w:r w:rsidR="001C55F2" w:rsidRPr="00251A1E">
        <w:rPr>
          <w:rFonts w:ascii="Arial" w:hAnsi="Arial" w:cs="Arial"/>
          <w:lang w:val="es-CL"/>
        </w:rPr>
        <w:t xml:space="preserve"> de est</w:t>
      </w:r>
      <w:r w:rsidR="00826AF5">
        <w:rPr>
          <w:rFonts w:ascii="Arial" w:hAnsi="Arial" w:cs="Arial"/>
          <w:lang w:val="es-CL"/>
        </w:rPr>
        <w:t>e</w:t>
      </w:r>
      <w:r w:rsidR="001C55F2" w:rsidRPr="00251A1E">
        <w:rPr>
          <w:rFonts w:ascii="Arial" w:hAnsi="Arial" w:cs="Arial"/>
          <w:lang w:val="es-CL"/>
        </w:rPr>
        <w:t xml:space="preserve"> componente</w:t>
      </w:r>
      <w:r w:rsidRPr="00251A1E">
        <w:rPr>
          <w:rFonts w:ascii="Arial" w:hAnsi="Arial" w:cs="Arial"/>
          <w:lang w:val="es-CL"/>
        </w:rPr>
        <w:t xml:space="preserve"> con un costo de US$ </w:t>
      </w:r>
      <w:r w:rsidR="00C512D9">
        <w:rPr>
          <w:rFonts w:ascii="Arial" w:hAnsi="Arial" w:cs="Arial"/>
          <w:lang w:val="es-CL"/>
        </w:rPr>
        <w:t>8,5</w:t>
      </w:r>
      <w:r w:rsidR="00C512D9" w:rsidRPr="00251A1E">
        <w:rPr>
          <w:rFonts w:ascii="Arial" w:hAnsi="Arial" w:cs="Arial"/>
          <w:lang w:val="es-CL"/>
        </w:rPr>
        <w:t xml:space="preserve"> </w:t>
      </w:r>
      <w:r w:rsidRPr="00251A1E">
        <w:rPr>
          <w:rFonts w:ascii="Arial" w:hAnsi="Arial" w:cs="Arial"/>
          <w:lang w:val="es-CL"/>
        </w:rPr>
        <w:t>millones. Sin embargo, debido a las naturales sinergias con l</w:t>
      </w:r>
      <w:r w:rsidR="00826AF5">
        <w:rPr>
          <w:rFonts w:ascii="Arial" w:hAnsi="Arial" w:cs="Arial"/>
          <w:lang w:val="es-CL"/>
        </w:rPr>
        <w:t>o</w:t>
      </w:r>
      <w:r w:rsidRPr="00251A1E">
        <w:rPr>
          <w:rFonts w:ascii="Arial" w:hAnsi="Arial" w:cs="Arial"/>
          <w:lang w:val="es-CL"/>
        </w:rPr>
        <w:t>s otros componentes, se evaluar</w:t>
      </w:r>
      <w:r w:rsidR="00826AF5">
        <w:rPr>
          <w:rFonts w:ascii="Arial" w:hAnsi="Arial" w:cs="Arial"/>
          <w:lang w:val="es-CL"/>
        </w:rPr>
        <w:t>á</w:t>
      </w:r>
      <w:r w:rsidRPr="00251A1E">
        <w:rPr>
          <w:rFonts w:ascii="Arial" w:hAnsi="Arial" w:cs="Arial"/>
          <w:lang w:val="es-CL"/>
        </w:rPr>
        <w:t>n los costos del proyecto como un conjunto, y de esta manera se evita tener que calcular las mencionadas sinergias entre l</w:t>
      </w:r>
      <w:r w:rsidR="00826AF5">
        <w:rPr>
          <w:rFonts w:ascii="Arial" w:hAnsi="Arial" w:cs="Arial"/>
          <w:lang w:val="es-CL"/>
        </w:rPr>
        <w:t>o</w:t>
      </w:r>
      <w:r w:rsidRPr="00251A1E">
        <w:rPr>
          <w:rFonts w:ascii="Arial" w:hAnsi="Arial" w:cs="Arial"/>
          <w:lang w:val="es-CL"/>
        </w:rPr>
        <w:t xml:space="preserve">s componentes. </w:t>
      </w:r>
    </w:p>
    <w:p w14:paraId="0E8C3E00" w14:textId="77777777" w:rsidR="00B15596" w:rsidRPr="00251A1E" w:rsidRDefault="00B15596" w:rsidP="00251A1E">
      <w:pPr>
        <w:jc w:val="both"/>
        <w:rPr>
          <w:rFonts w:ascii="Arial" w:hAnsi="Arial" w:cs="Arial"/>
          <w:lang w:val="es-CL"/>
        </w:rPr>
      </w:pPr>
    </w:p>
    <w:p w14:paraId="0E8C3E01" w14:textId="77777777" w:rsidR="00B15596" w:rsidRPr="00826AF5" w:rsidRDefault="00B15596" w:rsidP="00251A1E">
      <w:pPr>
        <w:pStyle w:val="Heading2"/>
        <w:jc w:val="both"/>
        <w:rPr>
          <w:rFonts w:ascii="Arial" w:hAnsi="Arial" w:cs="Arial"/>
          <w:b/>
          <w:sz w:val="22"/>
          <w:szCs w:val="22"/>
          <w:lang w:val="es-CL"/>
        </w:rPr>
      </w:pPr>
      <w:bookmarkStart w:id="8" w:name="_Toc496886928"/>
      <w:r w:rsidRPr="00826AF5">
        <w:rPr>
          <w:rFonts w:ascii="Arial" w:hAnsi="Arial" w:cs="Arial"/>
          <w:b/>
          <w:sz w:val="22"/>
          <w:szCs w:val="22"/>
          <w:lang w:val="es-CL"/>
        </w:rPr>
        <w:t>Componente 2</w:t>
      </w:r>
      <w:bookmarkEnd w:id="8"/>
    </w:p>
    <w:p w14:paraId="0E8C3E02" w14:textId="77777777" w:rsidR="00B15596" w:rsidRPr="00251A1E" w:rsidRDefault="00B15596"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Beneficios cuantificados: </w:t>
      </w:r>
      <w:r w:rsidR="001C55F2" w:rsidRPr="00251A1E">
        <w:rPr>
          <w:rFonts w:ascii="Arial" w:hAnsi="Arial" w:cs="Arial"/>
          <w:lang w:val="es-CL"/>
        </w:rPr>
        <w:t>Como qued</w:t>
      </w:r>
      <w:r w:rsidR="00DD2CC5">
        <w:rPr>
          <w:rFonts w:ascii="Arial" w:hAnsi="Arial" w:cs="Arial"/>
          <w:lang w:val="es-CL"/>
        </w:rPr>
        <w:t>ó</w:t>
      </w:r>
      <w:r w:rsidR="001C55F2" w:rsidRPr="00251A1E">
        <w:rPr>
          <w:rFonts w:ascii="Arial" w:hAnsi="Arial" w:cs="Arial"/>
          <w:lang w:val="es-CL"/>
        </w:rPr>
        <w:t xml:space="preserve"> establecido en la discusión de los supuestos y metodología, los beneficios de</w:t>
      </w:r>
      <w:r w:rsidR="00DD2CC5">
        <w:rPr>
          <w:rFonts w:ascii="Arial" w:hAnsi="Arial" w:cs="Arial"/>
          <w:lang w:val="es-CL"/>
        </w:rPr>
        <w:t>l</w:t>
      </w:r>
      <w:r w:rsidR="001C55F2" w:rsidRPr="00251A1E">
        <w:rPr>
          <w:rFonts w:ascii="Arial" w:hAnsi="Arial" w:cs="Arial"/>
          <w:lang w:val="es-CL"/>
        </w:rPr>
        <w:t xml:space="preserve"> componente 2 están asociados a las posibles eficiencias entre entidades del gobierno, y </w:t>
      </w:r>
      <w:r w:rsidR="00DD2CC5">
        <w:rPr>
          <w:rFonts w:ascii="Arial" w:hAnsi="Arial" w:cs="Arial"/>
          <w:lang w:val="es-CL"/>
        </w:rPr>
        <w:t xml:space="preserve">a </w:t>
      </w:r>
      <w:r w:rsidR="001C55F2" w:rsidRPr="00251A1E">
        <w:rPr>
          <w:rFonts w:ascii="Arial" w:hAnsi="Arial" w:cs="Arial"/>
          <w:lang w:val="es-CL"/>
        </w:rPr>
        <w:t>la mejora en las capacidades de la plataforma PIDE para las transacciones entre en</w:t>
      </w:r>
      <w:r w:rsidR="00DD2CC5">
        <w:rPr>
          <w:rFonts w:ascii="Arial" w:hAnsi="Arial" w:cs="Arial"/>
          <w:lang w:val="es-CL"/>
        </w:rPr>
        <w:t>tidades. Es importante destacar</w:t>
      </w:r>
      <w:r w:rsidR="001C55F2" w:rsidRPr="00251A1E">
        <w:rPr>
          <w:rFonts w:ascii="Arial" w:hAnsi="Arial" w:cs="Arial"/>
          <w:lang w:val="es-CL"/>
        </w:rPr>
        <w:t xml:space="preserve"> que los datos indican un alto flujo de transacciones y</w:t>
      </w:r>
      <w:r w:rsidR="00DD2CC5">
        <w:rPr>
          <w:rFonts w:ascii="Arial" w:hAnsi="Arial" w:cs="Arial"/>
          <w:lang w:val="es-CL"/>
        </w:rPr>
        <w:t>,</w:t>
      </w:r>
      <w:r w:rsidR="001C55F2" w:rsidRPr="00251A1E">
        <w:rPr>
          <w:rFonts w:ascii="Arial" w:hAnsi="Arial" w:cs="Arial"/>
          <w:lang w:val="es-CL"/>
        </w:rPr>
        <w:t xml:space="preserve"> por lo tanto, se hace necesari</w:t>
      </w:r>
      <w:r w:rsidR="00DD2CC5">
        <w:rPr>
          <w:rFonts w:ascii="Arial" w:hAnsi="Arial" w:cs="Arial"/>
          <w:lang w:val="es-CL"/>
        </w:rPr>
        <w:t>a</w:t>
      </w:r>
      <w:r w:rsidR="001C55F2" w:rsidRPr="00251A1E">
        <w:rPr>
          <w:rFonts w:ascii="Arial" w:hAnsi="Arial" w:cs="Arial"/>
          <w:lang w:val="es-CL"/>
        </w:rPr>
        <w:t xml:space="preserve"> una mejora y actualización de los sistemas de</w:t>
      </w:r>
      <w:r w:rsidR="00DD2CC5">
        <w:rPr>
          <w:rFonts w:ascii="Arial" w:hAnsi="Arial" w:cs="Arial"/>
          <w:lang w:val="es-CL"/>
        </w:rPr>
        <w:t xml:space="preserve"> la</w:t>
      </w:r>
      <w:r w:rsidR="001C55F2" w:rsidRPr="00251A1E">
        <w:rPr>
          <w:rFonts w:ascii="Arial" w:hAnsi="Arial" w:cs="Arial"/>
          <w:lang w:val="es-CL"/>
        </w:rPr>
        <w:t xml:space="preserve"> PIDE para poder ofrecer más servicios a un mayor número de entidades. Para cuantificar los beneficios en base a supuestos simples y conservadores en cuanto a su impacto, se usa como indicador el posible número de transacciones de requerimiento de DNI. Como se informó por parte del gobierno peruano, este trámite a través de </w:t>
      </w:r>
      <w:r w:rsidR="00DD2CC5">
        <w:rPr>
          <w:rFonts w:ascii="Arial" w:hAnsi="Arial" w:cs="Arial"/>
          <w:lang w:val="es-CL"/>
        </w:rPr>
        <w:t xml:space="preserve">la </w:t>
      </w:r>
      <w:r w:rsidR="001C55F2" w:rsidRPr="00251A1E">
        <w:rPr>
          <w:rFonts w:ascii="Arial" w:hAnsi="Arial" w:cs="Arial"/>
          <w:lang w:val="es-CL"/>
        </w:rPr>
        <w:t xml:space="preserve">PIDE ahorra un tiempo considerable de funcionarios estatales y es por lo tanto, un punto de partida para cuantificar los beneficios económicos de esta componente. </w:t>
      </w:r>
      <w:r w:rsidR="00794CAA" w:rsidRPr="00251A1E">
        <w:rPr>
          <w:rFonts w:ascii="Arial" w:hAnsi="Arial" w:cs="Arial"/>
          <w:lang w:val="es-CL"/>
        </w:rPr>
        <w:t xml:space="preserve">Es posible, considerar que los beneficios de una mejora de la plataforma PIDE se refieren a una disminución de los costos, tanto temporales como pecuniarios, para los servicios entre entidades gubernamentales. </w:t>
      </w:r>
    </w:p>
    <w:p w14:paraId="0E8C3E03" w14:textId="77777777" w:rsidR="001C55F2" w:rsidRPr="00251A1E" w:rsidRDefault="001C55F2"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lang w:val="es-CL"/>
        </w:rPr>
        <w:t xml:space="preserve">En particular, los beneficios cuantificados se relacionan a elementos descritos en el </w:t>
      </w:r>
      <w:r w:rsidR="00DD2CC5">
        <w:rPr>
          <w:rFonts w:ascii="Arial" w:hAnsi="Arial" w:cs="Arial"/>
          <w:lang w:val="es-CL"/>
        </w:rPr>
        <w:t>documento de proyecto</w:t>
      </w:r>
      <w:r w:rsidRPr="00251A1E">
        <w:rPr>
          <w:rFonts w:ascii="Arial" w:hAnsi="Arial" w:cs="Arial"/>
          <w:lang w:val="es-CL"/>
        </w:rPr>
        <w:t xml:space="preserve"> tales como: </w:t>
      </w:r>
      <w:r w:rsidRPr="00251A1E">
        <w:rPr>
          <w:rFonts w:ascii="Arial" w:hAnsi="Arial" w:cs="Arial"/>
          <w:bCs/>
          <w:lang w:val="es-CL"/>
        </w:rPr>
        <w:t>(i) fortalecimiento de la Plataforma de Interoperabilidad del Estado (PIDE), actualizando el equipamiento y software, habilitando un centro de datos, y desarrollando la documentación necesaria, que acompañe el rediseño, para su debida gestión; (ii) implementación de servicios públicos en línea, incluyendo aquellos servicios (denominados “servicios complejos”)  que requieren de la interoperabilidad de al menos 3 entidades, la integración de un canal para la atención al ciudadano (“CRM”)</w:t>
      </w:r>
      <w:r w:rsidRPr="00251A1E">
        <w:rPr>
          <w:rStyle w:val="FootnoteReference"/>
          <w:rFonts w:ascii="Arial" w:hAnsi="Arial" w:cs="Arial"/>
          <w:bCs/>
        </w:rPr>
        <w:footnoteReference w:id="9"/>
      </w:r>
      <w:r w:rsidRPr="00251A1E">
        <w:rPr>
          <w:rFonts w:ascii="Arial" w:hAnsi="Arial" w:cs="Arial"/>
          <w:bCs/>
          <w:lang w:val="es-CL"/>
        </w:rPr>
        <w:t xml:space="preserve">, y la implementación de una plataforma de autenticación ciudadana única (“Carpeta Ciudadana”); (iii) fortalecimiento de la ciberseguridad; </w:t>
      </w:r>
      <w:r w:rsidR="00DD2CC5">
        <w:rPr>
          <w:rFonts w:ascii="Arial" w:hAnsi="Arial" w:cs="Arial"/>
          <w:bCs/>
          <w:lang w:val="es-CL"/>
        </w:rPr>
        <w:t xml:space="preserve">y </w:t>
      </w:r>
      <w:r w:rsidRPr="00251A1E">
        <w:rPr>
          <w:rFonts w:ascii="Arial" w:hAnsi="Arial" w:cs="Arial"/>
          <w:bCs/>
          <w:lang w:val="es-CL"/>
        </w:rPr>
        <w:t xml:space="preserve">(iv) re-diseño del portal web </w:t>
      </w:r>
      <w:r w:rsidR="00DD2CC5">
        <w:rPr>
          <w:rFonts w:ascii="Arial" w:hAnsi="Arial" w:cs="Arial"/>
          <w:bCs/>
          <w:lang w:val="es-CL"/>
        </w:rPr>
        <w:t>gob.pe</w:t>
      </w:r>
      <w:r w:rsidRPr="00251A1E">
        <w:rPr>
          <w:rFonts w:ascii="Arial" w:hAnsi="Arial" w:cs="Arial"/>
          <w:bCs/>
          <w:lang w:val="es-CL"/>
        </w:rPr>
        <w:t xml:space="preserve"> y mejora de la oferta de trámites simplificados y digitalizados,  y de servicios al ciudadano desde sus necesidades o eventos de vida.</w:t>
      </w:r>
    </w:p>
    <w:p w14:paraId="0E8C3E04" w14:textId="77777777" w:rsidR="001C55F2" w:rsidRPr="00251A1E" w:rsidRDefault="001C55F2"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b/>
          <w:bCs/>
          <w:lang w:val="es-CL"/>
        </w:rPr>
        <w:t xml:space="preserve">Beneficios no cuantificados: </w:t>
      </w:r>
      <w:r w:rsidRPr="00251A1E">
        <w:rPr>
          <w:rFonts w:ascii="Arial" w:hAnsi="Arial" w:cs="Arial"/>
          <w:bCs/>
          <w:lang w:val="es-CL"/>
        </w:rPr>
        <w:t xml:space="preserve">Sólo se cuantifican posibles beneficios asociados al servicio de petición del DNI. Sin embargo, existen obviamente más beneficios asociados a trámites como el RUC, </w:t>
      </w:r>
      <w:r w:rsidR="00684C68" w:rsidRPr="00251A1E">
        <w:rPr>
          <w:rFonts w:ascii="Arial" w:hAnsi="Arial" w:cs="Arial"/>
          <w:bCs/>
          <w:lang w:val="es-CL"/>
        </w:rPr>
        <w:t>antecedentes</w:t>
      </w:r>
      <w:r w:rsidRPr="00251A1E">
        <w:rPr>
          <w:rFonts w:ascii="Arial" w:hAnsi="Arial" w:cs="Arial"/>
          <w:bCs/>
          <w:lang w:val="es-CL"/>
        </w:rPr>
        <w:t xml:space="preserve"> penales, antecedentes judiciales, antecedentes policiales, consulta de grados y títulos, etc. Por lo tanto, </w:t>
      </w:r>
      <w:r w:rsidR="00684C68" w:rsidRPr="00251A1E">
        <w:rPr>
          <w:rFonts w:ascii="Arial" w:hAnsi="Arial" w:cs="Arial"/>
          <w:bCs/>
          <w:lang w:val="es-CL"/>
        </w:rPr>
        <w:t xml:space="preserve">es posible considerar una mayor cantidad de beneficios al sumar estos trámites. </w:t>
      </w:r>
    </w:p>
    <w:p w14:paraId="0E8C3E05" w14:textId="77777777" w:rsidR="001C55F2" w:rsidRPr="00251A1E" w:rsidRDefault="00684C68"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bCs/>
          <w:lang w:val="es-CL"/>
        </w:rPr>
        <w:t xml:space="preserve">Adicionalmente, </w:t>
      </w:r>
      <w:r w:rsidR="00794CAA" w:rsidRPr="00251A1E">
        <w:rPr>
          <w:rFonts w:ascii="Arial" w:hAnsi="Arial" w:cs="Arial"/>
          <w:bCs/>
          <w:lang w:val="es-CL"/>
        </w:rPr>
        <w:t>la plataforma PIDE va permitir que se mejoren y se hagan más eficientes otros trámites complejos realizados dentro de cada entidad. Es decir, el apoyo de la plataforma puede ser visto como una condición necesari</w:t>
      </w:r>
      <w:r w:rsidR="00DD2CC5">
        <w:rPr>
          <w:rFonts w:ascii="Arial" w:hAnsi="Arial" w:cs="Arial"/>
          <w:bCs/>
          <w:lang w:val="es-CL"/>
        </w:rPr>
        <w:t>a</w:t>
      </w:r>
      <w:r w:rsidR="00794CAA" w:rsidRPr="00251A1E">
        <w:rPr>
          <w:rFonts w:ascii="Arial" w:hAnsi="Arial" w:cs="Arial"/>
          <w:bCs/>
          <w:lang w:val="es-CL"/>
        </w:rPr>
        <w:t xml:space="preserve"> para futuros proyectos de mejora de servicios. Luego, es posible asumir que parte del beneficio no cuantificado de este proyecto es su rol como punto inicial de una agenda completa de mejora en la atención y servicios del aparato público.</w:t>
      </w:r>
    </w:p>
    <w:p w14:paraId="0E8C3E06" w14:textId="2B6172F7" w:rsidR="001C55F2" w:rsidRPr="00251A1E" w:rsidRDefault="001C55F2"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Costo: </w:t>
      </w:r>
      <w:r w:rsidRPr="00251A1E">
        <w:rPr>
          <w:rFonts w:ascii="Arial" w:hAnsi="Arial" w:cs="Arial"/>
          <w:lang w:val="es-CL"/>
        </w:rPr>
        <w:t>Este proyecto considera una implementación de est</w:t>
      </w:r>
      <w:r w:rsidR="00DD2CC5">
        <w:rPr>
          <w:rFonts w:ascii="Arial" w:hAnsi="Arial" w:cs="Arial"/>
          <w:lang w:val="es-CL"/>
        </w:rPr>
        <w:t>e</w:t>
      </w:r>
      <w:r w:rsidRPr="00251A1E">
        <w:rPr>
          <w:rFonts w:ascii="Arial" w:hAnsi="Arial" w:cs="Arial"/>
          <w:lang w:val="es-CL"/>
        </w:rPr>
        <w:t xml:space="preserve"> componente con un costo de US$ </w:t>
      </w:r>
      <w:r w:rsidR="00C512D9">
        <w:rPr>
          <w:rFonts w:ascii="Arial" w:hAnsi="Arial" w:cs="Arial"/>
          <w:lang w:val="es-CL"/>
        </w:rPr>
        <w:t>14,5</w:t>
      </w:r>
      <w:r w:rsidR="00C512D9" w:rsidRPr="00251A1E">
        <w:rPr>
          <w:rFonts w:ascii="Arial" w:hAnsi="Arial" w:cs="Arial"/>
          <w:lang w:val="es-CL"/>
        </w:rPr>
        <w:t xml:space="preserve"> </w:t>
      </w:r>
      <w:r w:rsidRPr="00251A1E">
        <w:rPr>
          <w:rFonts w:ascii="Arial" w:hAnsi="Arial" w:cs="Arial"/>
          <w:lang w:val="es-CL"/>
        </w:rPr>
        <w:t>millones. Sin embargo, debido a las naturales sinergias con las otros componentes, se evaluar</w:t>
      </w:r>
      <w:r w:rsidR="00DD2CC5">
        <w:rPr>
          <w:rFonts w:ascii="Arial" w:hAnsi="Arial" w:cs="Arial"/>
          <w:lang w:val="es-CL"/>
        </w:rPr>
        <w:t>á</w:t>
      </w:r>
      <w:r w:rsidRPr="00251A1E">
        <w:rPr>
          <w:rFonts w:ascii="Arial" w:hAnsi="Arial" w:cs="Arial"/>
          <w:lang w:val="es-CL"/>
        </w:rPr>
        <w:t xml:space="preserve">n los costos del proyecto como un conjunto, y de esta manera se evita tener que calcular las mencionadas sinergias entre las componentes. </w:t>
      </w:r>
    </w:p>
    <w:p w14:paraId="0E8C3E07" w14:textId="77777777" w:rsidR="00794CAA" w:rsidRPr="00251A1E" w:rsidRDefault="00794CAA" w:rsidP="00251A1E">
      <w:pPr>
        <w:jc w:val="both"/>
        <w:rPr>
          <w:rFonts w:ascii="Arial" w:hAnsi="Arial" w:cs="Arial"/>
          <w:lang w:val="es-CL"/>
        </w:rPr>
      </w:pPr>
    </w:p>
    <w:p w14:paraId="0E8C3E08" w14:textId="77777777" w:rsidR="00794CAA" w:rsidRPr="00100477" w:rsidRDefault="00794CAA" w:rsidP="00251A1E">
      <w:pPr>
        <w:pStyle w:val="Heading2"/>
        <w:jc w:val="both"/>
        <w:rPr>
          <w:rFonts w:ascii="Arial" w:hAnsi="Arial" w:cs="Arial"/>
          <w:b/>
          <w:sz w:val="22"/>
          <w:szCs w:val="22"/>
          <w:lang w:val="es-CL"/>
        </w:rPr>
      </w:pPr>
      <w:bookmarkStart w:id="9" w:name="_Toc496886929"/>
      <w:r w:rsidRPr="00100477">
        <w:rPr>
          <w:rFonts w:ascii="Arial" w:hAnsi="Arial" w:cs="Arial"/>
          <w:b/>
          <w:sz w:val="22"/>
          <w:szCs w:val="22"/>
          <w:lang w:val="es-CL"/>
        </w:rPr>
        <w:t>Componente 3</w:t>
      </w:r>
      <w:bookmarkEnd w:id="9"/>
    </w:p>
    <w:p w14:paraId="0E8C3E09" w14:textId="77777777" w:rsidR="00794CAA" w:rsidRPr="00251A1E" w:rsidRDefault="00794C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Beneficios cuantificados:</w:t>
      </w:r>
      <w:r w:rsidRPr="00251A1E">
        <w:rPr>
          <w:rFonts w:ascii="Arial" w:hAnsi="Arial" w:cs="Arial"/>
          <w:lang w:val="es-CL"/>
        </w:rPr>
        <w:t xml:space="preserve"> Uno de los pilares principales del proyecto es el aumento de la cobertura y mejora del sistema de MAC presenciales. Estas instalaciones permiten considerables ahorros en los costos de transacción para los ciudadanos y empresas. En particular, el poder realizar todos los trámites en una misma ubicación reduce sustancialmente los costos de transporte, tanto en tiempo como en pasaje, debido a que basta con viajar a un solo lugar, y se evita la necesidad de hacer viajes entre entidades.</w:t>
      </w:r>
    </w:p>
    <w:p w14:paraId="0E8C3E0A" w14:textId="77777777" w:rsidR="00794CAA" w:rsidRPr="00251A1E" w:rsidRDefault="00794C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Adicionalmente, la mejora y extensión de los servicios de MAC presenciales en diversas regiones, conlleva un posible aumento en la demanda por los servicios de MAC virtual. Esta demanda adicional permite ahorrar, nuevamente, costos de transporte para los usuarios de este servicio. </w:t>
      </w:r>
    </w:p>
    <w:p w14:paraId="0E8C3E0B" w14:textId="77777777" w:rsidR="00757ED1" w:rsidRPr="00251A1E" w:rsidRDefault="00794CAA"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lang w:val="es-CL"/>
        </w:rPr>
        <w:t>En particular, los beneficios cuantificados se relacionan a elementos descritos en el</w:t>
      </w:r>
      <w:r w:rsidR="00F30748">
        <w:rPr>
          <w:rFonts w:ascii="Arial" w:hAnsi="Arial" w:cs="Arial"/>
          <w:lang w:val="es-CL"/>
        </w:rPr>
        <w:t xml:space="preserve"> documento del proyecto, </w:t>
      </w:r>
      <w:r w:rsidRPr="00251A1E">
        <w:rPr>
          <w:rFonts w:ascii="Arial" w:hAnsi="Arial" w:cs="Arial"/>
          <w:lang w:val="es-CL"/>
        </w:rPr>
        <w:t xml:space="preserve">tales como: </w:t>
      </w:r>
      <w:r w:rsidRPr="00251A1E">
        <w:rPr>
          <w:rFonts w:ascii="Arial" w:hAnsi="Arial" w:cs="Arial"/>
          <w:bCs/>
          <w:lang w:val="es-CL"/>
        </w:rPr>
        <w:t>(i) la mejora de los MAC y ampliación de su cobertura, a partir de: (a) estudios para dimensionar demanda que informen sobre la necesidad, modalidad, ubicación geográfica, dimensión y oferta de trámites de los MAC, y para determinar el modelo de gestión de los MAC en cada caso (entre otras, se analizará la modalidad APP); (b) desarrollo de modelo de gestión de calidad de los MAC – estilo franquicia – para la estandarización de la prestación de servicios públicos al ciudadano, independientemente del modelo a través del cual se presten; (c) auditorías de calidad; (d) desarrollo y puesta en funcionamiento de un sistema de gestión y monitoreo de los MAC desde la SGP; y (e) la habilitación de diez MAC.</w:t>
      </w:r>
    </w:p>
    <w:p w14:paraId="0E8C3E0C" w14:textId="77777777" w:rsidR="00757ED1" w:rsidRPr="00251A1E" w:rsidRDefault="00757ED1"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b/>
          <w:bCs/>
          <w:lang w:val="es-CL"/>
        </w:rPr>
        <w:t xml:space="preserve">Beneficios no cuantificados: </w:t>
      </w:r>
      <w:r w:rsidRPr="00251A1E">
        <w:rPr>
          <w:rFonts w:ascii="Arial" w:hAnsi="Arial" w:cs="Arial"/>
          <w:bCs/>
          <w:lang w:val="es-CL"/>
        </w:rPr>
        <w:t xml:space="preserve">La mejora del acceso por parte de los ciudadanos a los servicios y trámites ofrecidos por el estado puede tener un gran impacto en la percepción positiva del rol del estado en las regiones. Al facilitar el acceso, los ciudadanos y empresas se generan confianza en las instituciones. </w:t>
      </w:r>
    </w:p>
    <w:p w14:paraId="0E8C3E0D" w14:textId="77777777" w:rsidR="00757ED1" w:rsidRPr="00251A1E" w:rsidRDefault="00757ED1"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bCs/>
          <w:lang w:val="es-CL"/>
        </w:rPr>
      </w:pPr>
      <w:r w:rsidRPr="00251A1E">
        <w:rPr>
          <w:rFonts w:ascii="Arial" w:hAnsi="Arial" w:cs="Arial"/>
          <w:bCs/>
          <w:lang w:val="es-CL"/>
        </w:rPr>
        <w:t>Adicional</w:t>
      </w:r>
      <w:r w:rsidR="00F30748">
        <w:rPr>
          <w:rFonts w:ascii="Arial" w:hAnsi="Arial" w:cs="Arial"/>
          <w:bCs/>
          <w:lang w:val="es-CL"/>
        </w:rPr>
        <w:t>mente, algunos de los servicios</w:t>
      </w:r>
      <w:r w:rsidRPr="00251A1E">
        <w:rPr>
          <w:rFonts w:ascii="Arial" w:hAnsi="Arial" w:cs="Arial"/>
          <w:bCs/>
          <w:lang w:val="es-CL"/>
        </w:rPr>
        <w:t xml:space="preserve"> pueden facilitar la entrada al mundo laboral. En particular, </w:t>
      </w:r>
      <w:r w:rsidR="00DE4944" w:rsidRPr="00251A1E">
        <w:rPr>
          <w:rFonts w:ascii="Arial" w:hAnsi="Arial" w:cs="Arial"/>
          <w:bCs/>
          <w:lang w:val="es-CL"/>
        </w:rPr>
        <w:t xml:space="preserve">los servicios de entrega de antecedentes en los MAC permiten que los ciudadanos puedan ingresar en forma expedita al mundo laboral y al mismo tiempo dinamiza el mercado laboral existente. </w:t>
      </w:r>
      <w:r w:rsidR="00F30748">
        <w:rPr>
          <w:rFonts w:ascii="Arial" w:hAnsi="Arial" w:cs="Arial"/>
          <w:bCs/>
          <w:lang w:val="es-CL"/>
        </w:rPr>
        <w:t>Tampoco se han cuantificado los beneficios relacionados a la mejora del portal gob.pe ni a los proyectos de innovación pública para la mejora de servicios.</w:t>
      </w:r>
    </w:p>
    <w:p w14:paraId="0E8C3E0E" w14:textId="1AB3C2B9" w:rsidR="00757ED1" w:rsidRPr="00251A1E" w:rsidRDefault="00757ED1"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Costo: </w:t>
      </w:r>
      <w:r w:rsidRPr="00251A1E">
        <w:rPr>
          <w:rFonts w:ascii="Arial" w:hAnsi="Arial" w:cs="Arial"/>
          <w:lang w:val="es-CL"/>
        </w:rPr>
        <w:t xml:space="preserve">Este proyecto considera una implementación de esta componente con un costo de US$ </w:t>
      </w:r>
      <w:r w:rsidR="00685F23">
        <w:rPr>
          <w:rFonts w:ascii="Arial" w:hAnsi="Arial" w:cs="Arial"/>
          <w:lang w:val="es-CL"/>
        </w:rPr>
        <w:t>24,4</w:t>
      </w:r>
      <w:r w:rsidR="00685F23" w:rsidRPr="00251A1E">
        <w:rPr>
          <w:rFonts w:ascii="Arial" w:hAnsi="Arial" w:cs="Arial"/>
          <w:lang w:val="es-CL"/>
        </w:rPr>
        <w:t xml:space="preserve"> </w:t>
      </w:r>
      <w:r w:rsidRPr="00251A1E">
        <w:rPr>
          <w:rFonts w:ascii="Arial" w:hAnsi="Arial" w:cs="Arial"/>
          <w:lang w:val="es-CL"/>
        </w:rPr>
        <w:t xml:space="preserve">millones. Sin embargo, debido a las naturales sinergias con las otros componentes, se evaluaran los costos del proyecto como un conjunto, y de esta manera se evita tener que calcular las mencionadas sinergias entre las componentes. </w:t>
      </w:r>
    </w:p>
    <w:p w14:paraId="0E8C3E0F" w14:textId="77777777" w:rsidR="00DE4944" w:rsidRPr="00F30748" w:rsidRDefault="00DE4944" w:rsidP="00251A1E">
      <w:pPr>
        <w:pStyle w:val="Heading2"/>
        <w:jc w:val="both"/>
        <w:rPr>
          <w:rFonts w:ascii="Arial" w:hAnsi="Arial" w:cs="Arial"/>
          <w:b/>
          <w:sz w:val="22"/>
          <w:szCs w:val="22"/>
          <w:lang w:val="es-CL"/>
        </w:rPr>
      </w:pPr>
      <w:bookmarkStart w:id="10" w:name="_Toc496886930"/>
      <w:r w:rsidRPr="00F30748">
        <w:rPr>
          <w:rFonts w:ascii="Arial" w:hAnsi="Arial" w:cs="Arial"/>
          <w:b/>
          <w:sz w:val="22"/>
          <w:szCs w:val="22"/>
          <w:lang w:val="es-CL"/>
        </w:rPr>
        <w:t>Componente 4</w:t>
      </w:r>
      <w:bookmarkEnd w:id="10"/>
    </w:p>
    <w:p w14:paraId="0E8C3E10" w14:textId="77777777" w:rsidR="00DE4944" w:rsidRPr="00251A1E" w:rsidRDefault="00DE4944"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Beneficios no cuantificados: </w:t>
      </w:r>
      <w:r w:rsidRPr="00251A1E">
        <w:rPr>
          <w:rFonts w:ascii="Arial" w:hAnsi="Arial" w:cs="Arial"/>
          <w:lang w:val="es-CL"/>
        </w:rPr>
        <w:t xml:space="preserve">Esta componente pone especial énfasis en mejorar la </w:t>
      </w:r>
      <w:r w:rsidR="00F30748">
        <w:rPr>
          <w:rFonts w:ascii="Arial" w:hAnsi="Arial" w:cs="Arial"/>
          <w:lang w:val="es-CL"/>
        </w:rPr>
        <w:t>planificación y la coordinación a través de mejorar</w:t>
      </w:r>
      <w:r w:rsidRPr="00251A1E">
        <w:rPr>
          <w:rFonts w:ascii="Arial" w:hAnsi="Arial" w:cs="Arial"/>
          <w:lang w:val="es-CL"/>
        </w:rPr>
        <w:t xml:space="preserve"> la información disponible </w:t>
      </w:r>
      <w:r w:rsidR="00F30748">
        <w:rPr>
          <w:rFonts w:ascii="Arial" w:hAnsi="Arial" w:cs="Arial"/>
          <w:lang w:val="es-CL"/>
        </w:rPr>
        <w:t>en especial a nivel territorial. Esto permite enfocar lo</w:t>
      </w:r>
      <w:r w:rsidRPr="00251A1E">
        <w:rPr>
          <w:rFonts w:ascii="Arial" w:hAnsi="Arial" w:cs="Arial"/>
          <w:lang w:val="es-CL"/>
        </w:rPr>
        <w:t>s componentes anteriores a las necesidades propias de cada región o zona. La planificación territorial, los servicios</w:t>
      </w:r>
      <w:r w:rsidR="00F30748">
        <w:rPr>
          <w:rFonts w:ascii="Arial" w:hAnsi="Arial" w:cs="Arial"/>
          <w:lang w:val="es-CL"/>
        </w:rPr>
        <w:t xml:space="preserve"> existentes y</w:t>
      </w:r>
      <w:r w:rsidRPr="00251A1E">
        <w:rPr>
          <w:rFonts w:ascii="Arial" w:hAnsi="Arial" w:cs="Arial"/>
          <w:lang w:val="es-CL"/>
        </w:rPr>
        <w:t xml:space="preserve"> requeridos en cada área, son elementos necesarios que afectan la facilidad para hacer negocios de</w:t>
      </w:r>
      <w:r w:rsidR="00F30748">
        <w:rPr>
          <w:rFonts w:ascii="Arial" w:hAnsi="Arial" w:cs="Arial"/>
          <w:lang w:val="es-CL"/>
        </w:rPr>
        <w:t>l</w:t>
      </w:r>
      <w:r w:rsidRPr="00251A1E">
        <w:rPr>
          <w:rFonts w:ascii="Arial" w:hAnsi="Arial" w:cs="Arial"/>
          <w:lang w:val="es-CL"/>
        </w:rPr>
        <w:t xml:space="preserve"> componente 1, es decir, simplificar la carga regulatoria teniendo en cuenta las necesidades y las diferencias productivas de cada región, permite que la carga regulatoria est</w:t>
      </w:r>
      <w:r w:rsidR="00F30748">
        <w:rPr>
          <w:rFonts w:ascii="Arial" w:hAnsi="Arial" w:cs="Arial"/>
          <w:lang w:val="es-CL"/>
        </w:rPr>
        <w:t>é</w:t>
      </w:r>
      <w:r w:rsidRPr="00251A1E">
        <w:rPr>
          <w:rFonts w:ascii="Arial" w:hAnsi="Arial" w:cs="Arial"/>
          <w:lang w:val="es-CL"/>
        </w:rPr>
        <w:t xml:space="preserve"> acorde con las realidades económicas que cada región posee. Al mismo tiempo, </w:t>
      </w:r>
      <w:r w:rsidR="00F30748">
        <w:rPr>
          <w:rFonts w:ascii="Arial" w:hAnsi="Arial" w:cs="Arial"/>
          <w:lang w:val="es-CL"/>
        </w:rPr>
        <w:t>una mejora en la cobertura de la</w:t>
      </w:r>
      <w:r w:rsidRPr="00251A1E">
        <w:rPr>
          <w:rFonts w:ascii="Arial" w:hAnsi="Arial" w:cs="Arial"/>
          <w:lang w:val="es-CL"/>
        </w:rPr>
        <w:t xml:space="preserve"> planificación territorial permite establecer qu</w:t>
      </w:r>
      <w:r w:rsidR="00F30748">
        <w:rPr>
          <w:rFonts w:ascii="Arial" w:hAnsi="Arial" w:cs="Arial"/>
          <w:lang w:val="es-CL"/>
        </w:rPr>
        <w:t>é</w:t>
      </w:r>
      <w:r w:rsidRPr="00251A1E">
        <w:rPr>
          <w:rFonts w:ascii="Arial" w:hAnsi="Arial" w:cs="Arial"/>
          <w:lang w:val="es-CL"/>
        </w:rPr>
        <w:t xml:space="preserve"> servicios o entidades son requeridos en </w:t>
      </w:r>
      <w:r w:rsidR="00F30748">
        <w:rPr>
          <w:rFonts w:ascii="Arial" w:hAnsi="Arial" w:cs="Arial"/>
          <w:lang w:val="es-CL"/>
        </w:rPr>
        <w:t xml:space="preserve">cada localidad y por lo tanto, </w:t>
      </w:r>
      <w:r w:rsidRPr="00251A1E">
        <w:rPr>
          <w:rFonts w:ascii="Arial" w:hAnsi="Arial" w:cs="Arial"/>
          <w:lang w:val="es-CL"/>
        </w:rPr>
        <w:t xml:space="preserve">permite acercar a través de una plataforma como PIDE los servicios requeridos a nivel subnacional para permitir un desarrollo armonioso, disminuyendo los costos para todas las regiones en forma homogénea. Finalmente, </w:t>
      </w:r>
      <w:r w:rsidR="00F30748">
        <w:rPr>
          <w:rFonts w:ascii="Arial" w:hAnsi="Arial" w:cs="Arial"/>
          <w:lang w:val="es-CL"/>
        </w:rPr>
        <w:t xml:space="preserve">la </w:t>
      </w:r>
      <w:r w:rsidRPr="00251A1E">
        <w:rPr>
          <w:rFonts w:ascii="Arial" w:hAnsi="Arial" w:cs="Arial"/>
          <w:lang w:val="es-CL"/>
        </w:rPr>
        <w:t>información de la demanda regional por servicios permite proyectar el futuro crecimiento de la red MAC.</w:t>
      </w:r>
    </w:p>
    <w:p w14:paraId="0E8C3E11" w14:textId="7D41F72A" w:rsidR="00DE4944" w:rsidRPr="00251A1E" w:rsidRDefault="00DE4944"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b/>
          <w:lang w:val="es-CL"/>
        </w:rPr>
        <w:t xml:space="preserve">Costo: </w:t>
      </w:r>
      <w:r w:rsidRPr="00251A1E">
        <w:rPr>
          <w:rFonts w:ascii="Arial" w:hAnsi="Arial" w:cs="Arial"/>
          <w:lang w:val="es-CL"/>
        </w:rPr>
        <w:t xml:space="preserve">Este proyecto considera una implementación de esta componente con un costo de US$ </w:t>
      </w:r>
      <w:r w:rsidR="00F30748">
        <w:rPr>
          <w:rFonts w:ascii="Arial" w:hAnsi="Arial" w:cs="Arial"/>
          <w:lang w:val="es-CL"/>
        </w:rPr>
        <w:t>8</w:t>
      </w:r>
      <w:r w:rsidR="00685F23">
        <w:rPr>
          <w:rFonts w:ascii="Arial" w:hAnsi="Arial" w:cs="Arial"/>
          <w:lang w:val="es-CL"/>
        </w:rPr>
        <w:t>,7</w:t>
      </w:r>
      <w:r w:rsidRPr="00251A1E">
        <w:rPr>
          <w:rFonts w:ascii="Arial" w:hAnsi="Arial" w:cs="Arial"/>
          <w:lang w:val="es-CL"/>
        </w:rPr>
        <w:t xml:space="preserve"> millones. Sin embargo, debido a las naturales sinergias con las otros componentes, se </w:t>
      </w:r>
      <w:r w:rsidR="00685F23" w:rsidRPr="00251A1E">
        <w:rPr>
          <w:rFonts w:ascii="Arial" w:hAnsi="Arial" w:cs="Arial"/>
          <w:lang w:val="es-CL"/>
        </w:rPr>
        <w:t>evaluar</w:t>
      </w:r>
      <w:r w:rsidR="00685F23">
        <w:rPr>
          <w:rFonts w:ascii="Arial" w:hAnsi="Arial" w:cs="Arial"/>
          <w:lang w:val="es-CL"/>
        </w:rPr>
        <w:t>á</w:t>
      </w:r>
      <w:r w:rsidR="00685F23" w:rsidRPr="00251A1E">
        <w:rPr>
          <w:rFonts w:ascii="Arial" w:hAnsi="Arial" w:cs="Arial"/>
          <w:lang w:val="es-CL"/>
        </w:rPr>
        <w:t xml:space="preserve">n </w:t>
      </w:r>
      <w:r w:rsidRPr="00251A1E">
        <w:rPr>
          <w:rFonts w:ascii="Arial" w:hAnsi="Arial" w:cs="Arial"/>
          <w:lang w:val="es-CL"/>
        </w:rPr>
        <w:t xml:space="preserve">los costos del proyecto como un conjunto, y de esta manera se evita tener que calcular las mencionadas sinergias entre las componentes. </w:t>
      </w:r>
    </w:p>
    <w:p w14:paraId="0E8C3E12" w14:textId="77777777" w:rsidR="00DE4944" w:rsidRPr="00251A1E" w:rsidRDefault="00DE4944"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Resumiendo, los </w:t>
      </w:r>
      <w:r w:rsidR="003100D4" w:rsidRPr="00251A1E">
        <w:rPr>
          <w:rFonts w:ascii="Arial" w:hAnsi="Arial" w:cs="Arial"/>
          <w:lang w:val="es-CL"/>
        </w:rPr>
        <w:t xml:space="preserve">flujos de los beneficios del proyecto son presentados en </w:t>
      </w:r>
      <w:r w:rsidR="00F30748">
        <w:rPr>
          <w:rFonts w:ascii="Arial" w:hAnsi="Arial" w:cs="Arial"/>
          <w:lang w:val="es-CL"/>
        </w:rPr>
        <w:t>el Cuadro 4.</w:t>
      </w:r>
    </w:p>
    <w:p w14:paraId="0E8C3E13" w14:textId="77777777" w:rsidR="003100D4" w:rsidRPr="00F30748" w:rsidRDefault="00F30748" w:rsidP="003100D4">
      <w:pPr>
        <w:spacing w:line="240" w:lineRule="auto"/>
        <w:jc w:val="center"/>
        <w:rPr>
          <w:rFonts w:ascii="Arial" w:hAnsi="Arial" w:cs="Arial"/>
          <w:b/>
          <w:lang w:val="es-CL"/>
        </w:rPr>
      </w:pPr>
      <w:r>
        <w:rPr>
          <w:rFonts w:ascii="Arial" w:hAnsi="Arial" w:cs="Arial"/>
          <w:b/>
          <w:lang w:val="es-CL"/>
        </w:rPr>
        <w:t>Cuadro</w:t>
      </w:r>
      <w:r w:rsidR="003100D4" w:rsidRPr="00F30748">
        <w:rPr>
          <w:rFonts w:ascii="Arial" w:hAnsi="Arial" w:cs="Arial"/>
          <w:b/>
          <w:lang w:val="es-CL"/>
        </w:rPr>
        <w:t xml:space="preserve"> 4: Flujos de los Beneficios y Costos</w:t>
      </w:r>
    </w:p>
    <w:tbl>
      <w:tblPr>
        <w:tblW w:w="8585" w:type="dxa"/>
        <w:tblInd w:w="955" w:type="dxa"/>
        <w:tblLayout w:type="fixed"/>
        <w:tblLook w:val="04A0" w:firstRow="1" w:lastRow="0" w:firstColumn="1" w:lastColumn="0" w:noHBand="0" w:noVBand="1"/>
      </w:tblPr>
      <w:tblGrid>
        <w:gridCol w:w="828"/>
        <w:gridCol w:w="1925"/>
        <w:gridCol w:w="2042"/>
        <w:gridCol w:w="2042"/>
        <w:gridCol w:w="1748"/>
      </w:tblGrid>
      <w:tr w:rsidR="009579AF" w:rsidRPr="00251A1E" w14:paraId="0E8C3E17" w14:textId="77777777" w:rsidTr="00100477">
        <w:trPr>
          <w:trHeight w:val="315"/>
        </w:trPr>
        <w:tc>
          <w:tcPr>
            <w:tcW w:w="828" w:type="dxa"/>
            <w:tcBorders>
              <w:top w:val="single" w:sz="8" w:space="0" w:color="auto"/>
              <w:left w:val="single" w:sz="8" w:space="0" w:color="auto"/>
              <w:bottom w:val="single" w:sz="4" w:space="0" w:color="auto"/>
              <w:right w:val="nil"/>
            </w:tcBorders>
            <w:shd w:val="clear" w:color="auto" w:fill="auto"/>
            <w:noWrap/>
            <w:vAlign w:val="bottom"/>
            <w:hideMark/>
          </w:tcPr>
          <w:p w14:paraId="0E8C3E14" w14:textId="77777777" w:rsidR="009579AF" w:rsidRPr="00100477" w:rsidRDefault="009579AF" w:rsidP="00100477">
            <w:pPr>
              <w:spacing w:after="0" w:line="240" w:lineRule="auto"/>
              <w:jc w:val="right"/>
              <w:rPr>
                <w:rFonts w:ascii="Arial" w:eastAsia="Times New Roman" w:hAnsi="Arial" w:cs="Arial"/>
                <w:b/>
                <w:bCs/>
                <w:color w:val="000000"/>
                <w:sz w:val="21"/>
                <w:szCs w:val="21"/>
                <w:lang w:val="es-CL"/>
              </w:rPr>
            </w:pPr>
            <w:r w:rsidRPr="00100477">
              <w:rPr>
                <w:rFonts w:ascii="Arial" w:eastAsia="Times New Roman" w:hAnsi="Arial" w:cs="Arial"/>
                <w:b/>
                <w:bCs/>
                <w:color w:val="000000"/>
                <w:sz w:val="21"/>
                <w:szCs w:val="21"/>
                <w:lang w:val="es-CL"/>
              </w:rPr>
              <w:t> </w:t>
            </w:r>
          </w:p>
        </w:tc>
        <w:tc>
          <w:tcPr>
            <w:tcW w:w="6009"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E8C3E15" w14:textId="6684DB8E" w:rsidR="009579AF" w:rsidRPr="00100477" w:rsidRDefault="009579AF" w:rsidP="00100477">
            <w:pPr>
              <w:spacing w:after="0" w:line="240" w:lineRule="auto"/>
              <w:jc w:val="right"/>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Beneficios</w:t>
            </w:r>
          </w:p>
        </w:tc>
        <w:tc>
          <w:tcPr>
            <w:tcW w:w="1748" w:type="dxa"/>
            <w:tcBorders>
              <w:top w:val="single" w:sz="8" w:space="0" w:color="auto"/>
              <w:left w:val="nil"/>
              <w:bottom w:val="single" w:sz="4" w:space="0" w:color="auto"/>
              <w:right w:val="single" w:sz="8" w:space="0" w:color="auto"/>
            </w:tcBorders>
            <w:shd w:val="clear" w:color="auto" w:fill="auto"/>
            <w:noWrap/>
            <w:vAlign w:val="bottom"/>
            <w:hideMark/>
          </w:tcPr>
          <w:p w14:paraId="0E8C3E16" w14:textId="77777777" w:rsidR="009579AF" w:rsidRPr="00100477" w:rsidRDefault="009579AF" w:rsidP="00100477">
            <w:pPr>
              <w:spacing w:after="0" w:line="240" w:lineRule="auto"/>
              <w:jc w:val="right"/>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Costos</w:t>
            </w:r>
          </w:p>
        </w:tc>
      </w:tr>
      <w:tr w:rsidR="009579AF" w:rsidRPr="00251A1E" w14:paraId="0E8C3E1D" w14:textId="77777777" w:rsidTr="00100477">
        <w:trPr>
          <w:trHeight w:val="300"/>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18" w14:textId="48E9174C" w:rsidR="009579AF" w:rsidRPr="00100477" w:rsidRDefault="009579AF"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Año</w:t>
            </w:r>
          </w:p>
        </w:tc>
        <w:tc>
          <w:tcPr>
            <w:tcW w:w="1925" w:type="dxa"/>
            <w:tcBorders>
              <w:top w:val="nil"/>
              <w:left w:val="nil"/>
              <w:bottom w:val="single" w:sz="4" w:space="0" w:color="auto"/>
              <w:right w:val="single" w:sz="4" w:space="0" w:color="auto"/>
            </w:tcBorders>
            <w:shd w:val="clear" w:color="auto" w:fill="auto"/>
            <w:noWrap/>
            <w:vAlign w:val="bottom"/>
            <w:hideMark/>
          </w:tcPr>
          <w:p w14:paraId="0E8C3E19" w14:textId="77777777" w:rsidR="009579AF" w:rsidRPr="00100477" w:rsidRDefault="009579AF"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Componente 1</w:t>
            </w:r>
          </w:p>
        </w:tc>
        <w:tc>
          <w:tcPr>
            <w:tcW w:w="2042" w:type="dxa"/>
            <w:tcBorders>
              <w:top w:val="nil"/>
              <w:left w:val="nil"/>
              <w:bottom w:val="single" w:sz="4" w:space="0" w:color="auto"/>
              <w:right w:val="single" w:sz="4" w:space="0" w:color="auto"/>
            </w:tcBorders>
            <w:shd w:val="clear" w:color="auto" w:fill="auto"/>
            <w:noWrap/>
            <w:vAlign w:val="bottom"/>
            <w:hideMark/>
          </w:tcPr>
          <w:p w14:paraId="0E8C3E1A" w14:textId="77777777" w:rsidR="009579AF" w:rsidRPr="00100477" w:rsidRDefault="009579AF"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Componente 2</w:t>
            </w:r>
          </w:p>
        </w:tc>
        <w:tc>
          <w:tcPr>
            <w:tcW w:w="2042" w:type="dxa"/>
            <w:tcBorders>
              <w:top w:val="nil"/>
              <w:left w:val="nil"/>
              <w:bottom w:val="single" w:sz="4" w:space="0" w:color="auto"/>
              <w:right w:val="single" w:sz="4" w:space="0" w:color="auto"/>
            </w:tcBorders>
            <w:shd w:val="clear" w:color="auto" w:fill="auto"/>
            <w:noWrap/>
            <w:vAlign w:val="bottom"/>
            <w:hideMark/>
          </w:tcPr>
          <w:p w14:paraId="0E8C3E1B" w14:textId="77777777" w:rsidR="009579AF" w:rsidRPr="00100477" w:rsidRDefault="009579AF"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Componente 3</w:t>
            </w:r>
          </w:p>
        </w:tc>
        <w:tc>
          <w:tcPr>
            <w:tcW w:w="1748" w:type="dxa"/>
            <w:tcBorders>
              <w:top w:val="nil"/>
              <w:left w:val="nil"/>
              <w:bottom w:val="single" w:sz="4" w:space="0" w:color="auto"/>
              <w:right w:val="single" w:sz="8" w:space="0" w:color="auto"/>
            </w:tcBorders>
            <w:shd w:val="clear" w:color="auto" w:fill="auto"/>
            <w:noWrap/>
            <w:vAlign w:val="bottom"/>
            <w:hideMark/>
          </w:tcPr>
          <w:p w14:paraId="0E8C3E1C" w14:textId="77777777" w:rsidR="009579AF" w:rsidRPr="00100477" w:rsidRDefault="009579AF" w:rsidP="00100477">
            <w:pPr>
              <w:spacing w:after="0" w:line="240" w:lineRule="auto"/>
              <w:jc w:val="right"/>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 </w:t>
            </w:r>
          </w:p>
        </w:tc>
      </w:tr>
      <w:tr w:rsidR="009579AF" w:rsidRPr="00251A1E" w14:paraId="0E8C3E23"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1E" w14:textId="77777777" w:rsidR="009579AF" w:rsidRPr="00100477" w:rsidRDefault="009579AF"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1</w:t>
            </w:r>
          </w:p>
        </w:tc>
        <w:tc>
          <w:tcPr>
            <w:tcW w:w="1925" w:type="dxa"/>
            <w:tcBorders>
              <w:top w:val="nil"/>
              <w:left w:val="nil"/>
              <w:bottom w:val="single" w:sz="4" w:space="0" w:color="auto"/>
              <w:right w:val="single" w:sz="4" w:space="0" w:color="auto"/>
            </w:tcBorders>
            <w:shd w:val="clear" w:color="auto" w:fill="auto"/>
            <w:noWrap/>
            <w:vAlign w:val="center"/>
            <w:hideMark/>
          </w:tcPr>
          <w:p w14:paraId="0E8C3E1F" w14:textId="1B8A8E81" w:rsidR="009579AF"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9579AF"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20" w14:textId="7200F07B" w:rsidR="009579AF"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9579AF"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21" w14:textId="3BC629FF" w:rsidR="00B15596"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B15596" w:rsidRPr="00100477">
              <w:rPr>
                <w:rFonts w:ascii="Arial" w:eastAsia="Times New Roman" w:hAnsi="Arial" w:cs="Arial"/>
                <w:color w:val="000000"/>
                <w:sz w:val="21"/>
                <w:szCs w:val="21"/>
              </w:rPr>
              <w:t>$0.00</w:t>
            </w:r>
          </w:p>
        </w:tc>
        <w:tc>
          <w:tcPr>
            <w:tcW w:w="1748" w:type="dxa"/>
            <w:tcBorders>
              <w:top w:val="nil"/>
              <w:left w:val="nil"/>
              <w:bottom w:val="single" w:sz="4" w:space="0" w:color="auto"/>
              <w:right w:val="single" w:sz="8" w:space="0" w:color="auto"/>
            </w:tcBorders>
            <w:shd w:val="clear" w:color="auto" w:fill="auto"/>
            <w:noWrap/>
            <w:vAlign w:val="bottom"/>
            <w:hideMark/>
          </w:tcPr>
          <w:p w14:paraId="0E8C3E22" w14:textId="66B3FCCB" w:rsidR="009579AF"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9579AF" w:rsidRPr="00100477">
              <w:rPr>
                <w:rFonts w:ascii="Arial" w:eastAsia="Times New Roman" w:hAnsi="Arial" w:cs="Arial"/>
                <w:color w:val="000000"/>
                <w:sz w:val="21"/>
                <w:szCs w:val="21"/>
              </w:rPr>
              <w:t>$</w:t>
            </w:r>
            <w:r w:rsidR="00865FD2" w:rsidRPr="00100477">
              <w:rPr>
                <w:rFonts w:ascii="Arial" w:eastAsia="Times New Roman" w:hAnsi="Arial" w:cs="Arial"/>
                <w:color w:val="000000"/>
                <w:sz w:val="21"/>
                <w:szCs w:val="21"/>
              </w:rPr>
              <w:t>16,788,522</w:t>
            </w:r>
          </w:p>
        </w:tc>
      </w:tr>
      <w:tr w:rsidR="006F52DD" w:rsidRPr="00251A1E" w14:paraId="0E8C3E29"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24"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2</w:t>
            </w:r>
          </w:p>
        </w:tc>
        <w:tc>
          <w:tcPr>
            <w:tcW w:w="1925" w:type="dxa"/>
            <w:tcBorders>
              <w:top w:val="nil"/>
              <w:left w:val="nil"/>
              <w:bottom w:val="single" w:sz="4" w:space="0" w:color="auto"/>
              <w:right w:val="single" w:sz="4" w:space="0" w:color="auto"/>
            </w:tcBorders>
            <w:shd w:val="clear" w:color="auto" w:fill="auto"/>
            <w:noWrap/>
            <w:vAlign w:val="center"/>
            <w:hideMark/>
          </w:tcPr>
          <w:p w14:paraId="0E8C3E25" w14:textId="279C6C7A"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26" w14:textId="3B68FE8A"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$1,460,823.12</w:t>
            </w:r>
          </w:p>
        </w:tc>
        <w:tc>
          <w:tcPr>
            <w:tcW w:w="2042" w:type="dxa"/>
            <w:tcBorders>
              <w:top w:val="nil"/>
              <w:left w:val="nil"/>
              <w:bottom w:val="single" w:sz="4" w:space="0" w:color="auto"/>
              <w:right w:val="single" w:sz="4" w:space="0" w:color="auto"/>
            </w:tcBorders>
            <w:shd w:val="clear" w:color="auto" w:fill="auto"/>
            <w:noWrap/>
            <w:vAlign w:val="center"/>
            <w:hideMark/>
          </w:tcPr>
          <w:p w14:paraId="0E8C3E27" w14:textId="21F5DF60"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US</w:t>
            </w:r>
            <w:r w:rsidR="00AE0781" w:rsidRPr="00100477">
              <w:rPr>
                <w:rFonts w:ascii="Arial" w:hAnsi="Arial" w:cs="Arial"/>
                <w:color w:val="000000"/>
                <w:sz w:val="21"/>
                <w:szCs w:val="21"/>
              </w:rPr>
              <w:t>$</w:t>
            </w:r>
            <w:r w:rsidR="00865FD2" w:rsidRPr="00100477">
              <w:rPr>
                <w:rFonts w:ascii="Arial" w:eastAsia="Times New Roman" w:hAnsi="Arial" w:cs="Arial"/>
                <w:color w:val="000000"/>
                <w:sz w:val="21"/>
                <w:szCs w:val="21"/>
              </w:rPr>
              <w:t>1,672,084.53</w:t>
            </w:r>
          </w:p>
        </w:tc>
        <w:tc>
          <w:tcPr>
            <w:tcW w:w="1748" w:type="dxa"/>
            <w:tcBorders>
              <w:top w:val="nil"/>
              <w:left w:val="nil"/>
              <w:bottom w:val="single" w:sz="4" w:space="0" w:color="auto"/>
              <w:right w:val="single" w:sz="8" w:space="0" w:color="auto"/>
            </w:tcBorders>
            <w:shd w:val="clear" w:color="auto" w:fill="auto"/>
            <w:noWrap/>
            <w:vAlign w:val="bottom"/>
            <w:hideMark/>
          </w:tcPr>
          <w:p w14:paraId="0E8C3E28" w14:textId="7087215E" w:rsidR="006F52DD" w:rsidRPr="00100477" w:rsidRDefault="00865FD2"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r w:rsidR="00685F23" w:rsidRPr="00100477">
              <w:rPr>
                <w:rFonts w:ascii="Arial" w:eastAsia="Times New Roman" w:hAnsi="Arial" w:cs="Arial"/>
                <w:color w:val="000000"/>
                <w:sz w:val="21"/>
                <w:szCs w:val="21"/>
              </w:rPr>
              <w:t>US</w:t>
            </w:r>
            <w:r w:rsidRPr="00100477">
              <w:rPr>
                <w:rFonts w:ascii="Arial" w:eastAsia="Times New Roman" w:hAnsi="Arial" w:cs="Arial"/>
                <w:color w:val="000000"/>
                <w:sz w:val="21"/>
                <w:szCs w:val="21"/>
              </w:rPr>
              <w:t>$17,052168</w:t>
            </w:r>
          </w:p>
        </w:tc>
      </w:tr>
      <w:tr w:rsidR="006F52DD" w:rsidRPr="00251A1E" w14:paraId="0E8C3E2F"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2A"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3</w:t>
            </w:r>
          </w:p>
        </w:tc>
        <w:tc>
          <w:tcPr>
            <w:tcW w:w="1925" w:type="dxa"/>
            <w:tcBorders>
              <w:top w:val="nil"/>
              <w:left w:val="nil"/>
              <w:bottom w:val="single" w:sz="4" w:space="0" w:color="auto"/>
              <w:right w:val="single" w:sz="4" w:space="0" w:color="auto"/>
            </w:tcBorders>
            <w:shd w:val="clear" w:color="auto" w:fill="auto"/>
            <w:noWrap/>
            <w:vAlign w:val="center"/>
            <w:hideMark/>
          </w:tcPr>
          <w:p w14:paraId="0E8C3E2B" w14:textId="2047F585"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2C" w14:textId="6DAC0B00"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$3,156,659.95</w:t>
            </w:r>
          </w:p>
        </w:tc>
        <w:tc>
          <w:tcPr>
            <w:tcW w:w="2042" w:type="dxa"/>
            <w:tcBorders>
              <w:top w:val="nil"/>
              <w:left w:val="nil"/>
              <w:bottom w:val="single" w:sz="4" w:space="0" w:color="auto"/>
              <w:right w:val="single" w:sz="4" w:space="0" w:color="auto"/>
            </w:tcBorders>
            <w:shd w:val="clear" w:color="auto" w:fill="auto"/>
            <w:noWrap/>
            <w:vAlign w:val="center"/>
            <w:hideMark/>
          </w:tcPr>
          <w:p w14:paraId="0E8C3E2D" w14:textId="0B17F588"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US</w:t>
            </w:r>
            <w:r w:rsidR="00AE0781" w:rsidRPr="00100477">
              <w:rPr>
                <w:rFonts w:ascii="Arial" w:hAnsi="Arial" w:cs="Arial"/>
                <w:color w:val="000000"/>
                <w:sz w:val="21"/>
                <w:szCs w:val="21"/>
              </w:rPr>
              <w:t>$</w:t>
            </w:r>
            <w:r w:rsidR="00865FD2" w:rsidRPr="00100477">
              <w:rPr>
                <w:rFonts w:ascii="Arial" w:eastAsia="Times New Roman" w:hAnsi="Arial" w:cs="Arial"/>
                <w:color w:val="000000"/>
                <w:sz w:val="21"/>
                <w:szCs w:val="21"/>
              </w:rPr>
              <w:t>5,032,704.01</w:t>
            </w:r>
          </w:p>
        </w:tc>
        <w:tc>
          <w:tcPr>
            <w:tcW w:w="1748" w:type="dxa"/>
            <w:tcBorders>
              <w:top w:val="nil"/>
              <w:left w:val="nil"/>
              <w:bottom w:val="single" w:sz="4" w:space="0" w:color="auto"/>
              <w:right w:val="single" w:sz="8" w:space="0" w:color="auto"/>
            </w:tcBorders>
            <w:shd w:val="clear" w:color="auto" w:fill="auto"/>
            <w:noWrap/>
            <w:vAlign w:val="bottom"/>
            <w:hideMark/>
          </w:tcPr>
          <w:p w14:paraId="0E8C3E2E" w14:textId="5B2FE97D"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B46C0A" w:rsidRPr="00100477">
              <w:rPr>
                <w:rFonts w:ascii="Arial" w:eastAsia="Times New Roman" w:hAnsi="Arial" w:cs="Arial"/>
                <w:color w:val="000000"/>
                <w:sz w:val="21"/>
                <w:szCs w:val="21"/>
              </w:rPr>
              <w:t>$</w:t>
            </w:r>
            <w:r w:rsidR="00865FD2" w:rsidRPr="00100477">
              <w:rPr>
                <w:rFonts w:ascii="Arial" w:eastAsia="Times New Roman" w:hAnsi="Arial" w:cs="Arial"/>
                <w:color w:val="000000"/>
                <w:sz w:val="21"/>
                <w:szCs w:val="21"/>
              </w:rPr>
              <w:t>14,255,146</w:t>
            </w:r>
          </w:p>
        </w:tc>
      </w:tr>
      <w:tr w:rsidR="006F52DD" w:rsidRPr="00251A1E" w14:paraId="0E8C3E35"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30"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4</w:t>
            </w:r>
          </w:p>
        </w:tc>
        <w:tc>
          <w:tcPr>
            <w:tcW w:w="1925" w:type="dxa"/>
            <w:tcBorders>
              <w:top w:val="nil"/>
              <w:left w:val="nil"/>
              <w:bottom w:val="single" w:sz="4" w:space="0" w:color="auto"/>
              <w:right w:val="single" w:sz="4" w:space="0" w:color="auto"/>
            </w:tcBorders>
            <w:shd w:val="clear" w:color="auto" w:fill="auto"/>
            <w:noWrap/>
            <w:vAlign w:val="center"/>
            <w:hideMark/>
          </w:tcPr>
          <w:p w14:paraId="0E8C3E31" w14:textId="3F2D10B3"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32" w14:textId="38C988BA"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$5,553,061.67</w:t>
            </w:r>
          </w:p>
        </w:tc>
        <w:tc>
          <w:tcPr>
            <w:tcW w:w="2042" w:type="dxa"/>
            <w:tcBorders>
              <w:top w:val="nil"/>
              <w:left w:val="nil"/>
              <w:bottom w:val="single" w:sz="4" w:space="0" w:color="auto"/>
              <w:right w:val="single" w:sz="4" w:space="0" w:color="auto"/>
            </w:tcBorders>
            <w:shd w:val="clear" w:color="auto" w:fill="auto"/>
            <w:noWrap/>
            <w:vAlign w:val="center"/>
            <w:hideMark/>
          </w:tcPr>
          <w:p w14:paraId="0E8C3E33" w14:textId="12B56FED"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 xml:space="preserve"> US</w:t>
            </w:r>
            <w:r w:rsidR="00865FD2" w:rsidRPr="00100477">
              <w:rPr>
                <w:rFonts w:ascii="Arial" w:eastAsia="Times New Roman" w:hAnsi="Arial" w:cs="Arial"/>
                <w:color w:val="000000"/>
                <w:sz w:val="21"/>
                <w:szCs w:val="21"/>
              </w:rPr>
              <w:t>$9,021,426.07</w:t>
            </w:r>
          </w:p>
        </w:tc>
        <w:tc>
          <w:tcPr>
            <w:tcW w:w="1748" w:type="dxa"/>
            <w:tcBorders>
              <w:top w:val="nil"/>
              <w:left w:val="nil"/>
              <w:bottom w:val="single" w:sz="4" w:space="0" w:color="auto"/>
              <w:right w:val="single" w:sz="8" w:space="0" w:color="auto"/>
            </w:tcBorders>
            <w:shd w:val="clear" w:color="auto" w:fill="auto"/>
            <w:noWrap/>
            <w:vAlign w:val="bottom"/>
            <w:hideMark/>
          </w:tcPr>
          <w:p w14:paraId="0E8C3E34" w14:textId="5593A58C" w:rsidR="006F52DD" w:rsidRPr="00100477" w:rsidRDefault="00865FD2"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r w:rsidR="00685F23" w:rsidRPr="00100477">
              <w:rPr>
                <w:rFonts w:ascii="Arial" w:eastAsia="Times New Roman" w:hAnsi="Arial" w:cs="Arial"/>
                <w:color w:val="000000"/>
                <w:sz w:val="21"/>
                <w:szCs w:val="21"/>
              </w:rPr>
              <w:t>US</w:t>
            </w:r>
            <w:r w:rsidRPr="00100477">
              <w:rPr>
                <w:rFonts w:ascii="Arial" w:eastAsia="Times New Roman" w:hAnsi="Arial" w:cs="Arial"/>
                <w:color w:val="000000"/>
                <w:sz w:val="21"/>
                <w:szCs w:val="21"/>
              </w:rPr>
              <w:t>$10,010,218</w:t>
            </w:r>
          </w:p>
        </w:tc>
      </w:tr>
      <w:tr w:rsidR="006F52DD" w:rsidRPr="00251A1E" w14:paraId="0E8C3E3B"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36"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5</w:t>
            </w:r>
          </w:p>
        </w:tc>
        <w:tc>
          <w:tcPr>
            <w:tcW w:w="1925" w:type="dxa"/>
            <w:tcBorders>
              <w:top w:val="nil"/>
              <w:left w:val="nil"/>
              <w:bottom w:val="single" w:sz="4" w:space="0" w:color="auto"/>
              <w:right w:val="single" w:sz="4" w:space="0" w:color="auto"/>
            </w:tcBorders>
            <w:shd w:val="clear" w:color="auto" w:fill="auto"/>
            <w:noWrap/>
            <w:vAlign w:val="center"/>
            <w:hideMark/>
          </w:tcPr>
          <w:p w14:paraId="0E8C3E37" w14:textId="1EA1C5EC"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$4,678,744.61</w:t>
            </w:r>
          </w:p>
        </w:tc>
        <w:tc>
          <w:tcPr>
            <w:tcW w:w="2042" w:type="dxa"/>
            <w:tcBorders>
              <w:top w:val="nil"/>
              <w:left w:val="nil"/>
              <w:bottom w:val="single" w:sz="4" w:space="0" w:color="auto"/>
              <w:right w:val="single" w:sz="4" w:space="0" w:color="auto"/>
            </w:tcBorders>
            <w:shd w:val="clear" w:color="auto" w:fill="auto"/>
            <w:noWrap/>
            <w:vAlign w:val="center"/>
            <w:hideMark/>
          </w:tcPr>
          <w:p w14:paraId="0E8C3E38" w14:textId="0176A72B"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$8,071,073.59</w:t>
            </w:r>
          </w:p>
        </w:tc>
        <w:tc>
          <w:tcPr>
            <w:tcW w:w="2042" w:type="dxa"/>
            <w:tcBorders>
              <w:top w:val="nil"/>
              <w:left w:val="nil"/>
              <w:bottom w:val="single" w:sz="4" w:space="0" w:color="auto"/>
              <w:right w:val="single" w:sz="4" w:space="0" w:color="auto"/>
            </w:tcBorders>
            <w:shd w:val="clear" w:color="auto" w:fill="auto"/>
            <w:noWrap/>
            <w:vAlign w:val="center"/>
            <w:hideMark/>
          </w:tcPr>
          <w:p w14:paraId="0E8C3E39" w14:textId="1C42CC85"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 xml:space="preserve"> US</w:t>
            </w:r>
            <w:r w:rsidR="00865FD2" w:rsidRPr="00100477">
              <w:rPr>
                <w:rFonts w:ascii="Arial" w:eastAsia="Times New Roman" w:hAnsi="Arial" w:cs="Arial"/>
                <w:color w:val="000000"/>
                <w:sz w:val="21"/>
                <w:szCs w:val="21"/>
              </w:rPr>
              <w:t>$12,210,030.84</w:t>
            </w:r>
          </w:p>
        </w:tc>
        <w:tc>
          <w:tcPr>
            <w:tcW w:w="1748" w:type="dxa"/>
            <w:tcBorders>
              <w:top w:val="nil"/>
              <w:left w:val="nil"/>
              <w:bottom w:val="single" w:sz="4" w:space="0" w:color="auto"/>
              <w:right w:val="single" w:sz="8" w:space="0" w:color="auto"/>
            </w:tcBorders>
            <w:shd w:val="clear" w:color="auto" w:fill="auto"/>
            <w:noWrap/>
            <w:vAlign w:val="bottom"/>
            <w:hideMark/>
          </w:tcPr>
          <w:p w14:paraId="0E8C3E3A" w14:textId="3F90C998"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B46C0A" w:rsidRPr="00100477">
              <w:rPr>
                <w:rFonts w:ascii="Arial" w:eastAsia="Times New Roman" w:hAnsi="Arial" w:cs="Arial"/>
                <w:color w:val="000000"/>
                <w:sz w:val="21"/>
                <w:szCs w:val="21"/>
              </w:rPr>
              <w:t>$</w:t>
            </w:r>
            <w:r w:rsidR="00865FD2" w:rsidRPr="00100477">
              <w:rPr>
                <w:rFonts w:ascii="Arial" w:eastAsia="Times New Roman" w:hAnsi="Arial" w:cs="Arial"/>
                <w:color w:val="000000"/>
                <w:sz w:val="21"/>
                <w:szCs w:val="21"/>
              </w:rPr>
              <w:t>2,821,931</w:t>
            </w:r>
          </w:p>
        </w:tc>
      </w:tr>
      <w:tr w:rsidR="006F52DD" w:rsidRPr="00251A1E" w14:paraId="0E8C3E41"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3C"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6</w:t>
            </w:r>
          </w:p>
        </w:tc>
        <w:tc>
          <w:tcPr>
            <w:tcW w:w="1925" w:type="dxa"/>
            <w:tcBorders>
              <w:top w:val="nil"/>
              <w:left w:val="nil"/>
              <w:bottom w:val="single" w:sz="4" w:space="0" w:color="auto"/>
              <w:right w:val="single" w:sz="4" w:space="0" w:color="auto"/>
            </w:tcBorders>
            <w:shd w:val="clear" w:color="auto" w:fill="auto"/>
            <w:noWrap/>
            <w:vAlign w:val="center"/>
            <w:hideMark/>
          </w:tcPr>
          <w:p w14:paraId="0E8C3E3D" w14:textId="479BBF96"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3E" w14:textId="3B22DB17"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xml:space="preserve">US </w:t>
            </w:r>
            <w:r w:rsidR="006F52DD" w:rsidRPr="00100477">
              <w:rPr>
                <w:rFonts w:ascii="Arial" w:eastAsia="Times New Roman" w:hAnsi="Arial" w:cs="Arial"/>
                <w:color w:val="000000"/>
                <w:sz w:val="21"/>
                <w:szCs w:val="21"/>
              </w:rPr>
              <w:t>$11,361,530.95</w:t>
            </w:r>
          </w:p>
        </w:tc>
        <w:tc>
          <w:tcPr>
            <w:tcW w:w="2042" w:type="dxa"/>
            <w:tcBorders>
              <w:top w:val="nil"/>
              <w:left w:val="nil"/>
              <w:bottom w:val="single" w:sz="4" w:space="0" w:color="auto"/>
              <w:right w:val="single" w:sz="4" w:space="0" w:color="auto"/>
            </w:tcBorders>
            <w:shd w:val="clear" w:color="auto" w:fill="auto"/>
            <w:noWrap/>
            <w:vAlign w:val="center"/>
            <w:hideMark/>
          </w:tcPr>
          <w:p w14:paraId="0E8C3E3F" w14:textId="04CB9179"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 xml:space="preserve"> US</w:t>
            </w:r>
            <w:r w:rsidR="00865FD2" w:rsidRPr="00100477">
              <w:rPr>
                <w:rFonts w:ascii="Arial" w:eastAsia="Times New Roman" w:hAnsi="Arial" w:cs="Arial"/>
                <w:color w:val="000000"/>
                <w:sz w:val="21"/>
                <w:szCs w:val="21"/>
              </w:rPr>
              <w:t>$14,802,468.98</w:t>
            </w:r>
          </w:p>
        </w:tc>
        <w:tc>
          <w:tcPr>
            <w:tcW w:w="1748" w:type="dxa"/>
            <w:tcBorders>
              <w:top w:val="nil"/>
              <w:left w:val="nil"/>
              <w:bottom w:val="single" w:sz="4" w:space="0" w:color="auto"/>
              <w:right w:val="single" w:sz="8" w:space="0" w:color="auto"/>
            </w:tcBorders>
            <w:shd w:val="clear" w:color="auto" w:fill="auto"/>
            <w:noWrap/>
            <w:vAlign w:val="bottom"/>
            <w:hideMark/>
          </w:tcPr>
          <w:p w14:paraId="0E8C3E40" w14:textId="77777777" w:rsidR="006F52DD" w:rsidRPr="00100477" w:rsidRDefault="006F52DD"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p>
        </w:tc>
      </w:tr>
      <w:tr w:rsidR="006F52DD" w:rsidRPr="00251A1E" w14:paraId="0E8C3E47"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42"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7</w:t>
            </w:r>
          </w:p>
        </w:tc>
        <w:tc>
          <w:tcPr>
            <w:tcW w:w="1925" w:type="dxa"/>
            <w:tcBorders>
              <w:top w:val="nil"/>
              <w:left w:val="nil"/>
              <w:bottom w:val="single" w:sz="4" w:space="0" w:color="auto"/>
              <w:right w:val="single" w:sz="4" w:space="0" w:color="auto"/>
            </w:tcBorders>
            <w:shd w:val="clear" w:color="auto" w:fill="auto"/>
            <w:noWrap/>
            <w:vAlign w:val="center"/>
            <w:hideMark/>
          </w:tcPr>
          <w:p w14:paraId="0E8C3E43" w14:textId="5EBBF360"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44" w14:textId="5B34DC46"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45" w14:textId="1098728D"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US</w:t>
            </w:r>
            <w:r w:rsidR="00AE0781" w:rsidRPr="00100477">
              <w:rPr>
                <w:rFonts w:ascii="Arial" w:hAnsi="Arial" w:cs="Arial"/>
                <w:color w:val="000000"/>
                <w:sz w:val="21"/>
                <w:szCs w:val="21"/>
              </w:rPr>
              <w:t>$16,</w:t>
            </w:r>
            <w:r w:rsidR="00865FD2" w:rsidRPr="00100477">
              <w:rPr>
                <w:rFonts w:ascii="Arial" w:eastAsia="Times New Roman" w:hAnsi="Arial" w:cs="Arial"/>
                <w:color w:val="000000"/>
                <w:sz w:val="21"/>
                <w:szCs w:val="21"/>
              </w:rPr>
              <w:t>591,997.16</w:t>
            </w:r>
          </w:p>
        </w:tc>
        <w:tc>
          <w:tcPr>
            <w:tcW w:w="1748" w:type="dxa"/>
            <w:tcBorders>
              <w:top w:val="nil"/>
              <w:left w:val="nil"/>
              <w:bottom w:val="single" w:sz="4" w:space="0" w:color="auto"/>
              <w:right w:val="single" w:sz="8" w:space="0" w:color="auto"/>
            </w:tcBorders>
            <w:shd w:val="clear" w:color="auto" w:fill="auto"/>
            <w:noWrap/>
            <w:vAlign w:val="bottom"/>
            <w:hideMark/>
          </w:tcPr>
          <w:p w14:paraId="0E8C3E46" w14:textId="77777777" w:rsidR="006F52DD" w:rsidRPr="00100477" w:rsidRDefault="006F52DD"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p>
        </w:tc>
      </w:tr>
      <w:tr w:rsidR="006F52DD" w:rsidRPr="00251A1E" w14:paraId="0E8C3E4D"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48"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8</w:t>
            </w:r>
          </w:p>
        </w:tc>
        <w:tc>
          <w:tcPr>
            <w:tcW w:w="1925" w:type="dxa"/>
            <w:tcBorders>
              <w:top w:val="nil"/>
              <w:left w:val="nil"/>
              <w:bottom w:val="single" w:sz="4" w:space="0" w:color="auto"/>
              <w:right w:val="single" w:sz="4" w:space="0" w:color="auto"/>
            </w:tcBorders>
            <w:shd w:val="clear" w:color="auto" w:fill="auto"/>
            <w:noWrap/>
            <w:vAlign w:val="center"/>
            <w:hideMark/>
          </w:tcPr>
          <w:p w14:paraId="0E8C3E49" w14:textId="5806433D"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4A" w14:textId="2825FE9E"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4B" w14:textId="436F496A"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US</w:t>
            </w:r>
            <w:r w:rsidR="00AE0781" w:rsidRPr="00100477">
              <w:rPr>
                <w:rFonts w:ascii="Arial" w:hAnsi="Arial" w:cs="Arial"/>
                <w:color w:val="000000"/>
                <w:sz w:val="21"/>
                <w:szCs w:val="21"/>
              </w:rPr>
              <w:t>$17,</w:t>
            </w:r>
            <w:r w:rsidR="00865FD2" w:rsidRPr="00100477">
              <w:rPr>
                <w:rFonts w:ascii="Arial" w:eastAsia="Times New Roman" w:hAnsi="Arial" w:cs="Arial"/>
                <w:color w:val="000000"/>
                <w:sz w:val="21"/>
                <w:szCs w:val="21"/>
              </w:rPr>
              <w:t>585,258.72</w:t>
            </w:r>
          </w:p>
        </w:tc>
        <w:tc>
          <w:tcPr>
            <w:tcW w:w="1748" w:type="dxa"/>
            <w:tcBorders>
              <w:top w:val="nil"/>
              <w:left w:val="nil"/>
              <w:bottom w:val="single" w:sz="4" w:space="0" w:color="auto"/>
              <w:right w:val="single" w:sz="8" w:space="0" w:color="auto"/>
            </w:tcBorders>
            <w:shd w:val="clear" w:color="auto" w:fill="auto"/>
            <w:noWrap/>
            <w:vAlign w:val="bottom"/>
            <w:hideMark/>
          </w:tcPr>
          <w:p w14:paraId="0E8C3E4C" w14:textId="77777777" w:rsidR="006F52DD" w:rsidRPr="00100477" w:rsidRDefault="006F52DD"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p>
        </w:tc>
      </w:tr>
      <w:tr w:rsidR="006F52DD" w:rsidRPr="00251A1E" w14:paraId="0E8C3E53" w14:textId="77777777" w:rsidTr="00100477">
        <w:trPr>
          <w:trHeight w:val="144"/>
        </w:trPr>
        <w:tc>
          <w:tcPr>
            <w:tcW w:w="828" w:type="dxa"/>
            <w:tcBorders>
              <w:top w:val="nil"/>
              <w:left w:val="single" w:sz="8" w:space="0" w:color="auto"/>
              <w:bottom w:val="single" w:sz="4" w:space="0" w:color="auto"/>
              <w:right w:val="single" w:sz="4" w:space="0" w:color="auto"/>
            </w:tcBorders>
            <w:shd w:val="clear" w:color="auto" w:fill="auto"/>
            <w:noWrap/>
            <w:vAlign w:val="bottom"/>
            <w:hideMark/>
          </w:tcPr>
          <w:p w14:paraId="0E8C3E4E"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9</w:t>
            </w:r>
          </w:p>
        </w:tc>
        <w:tc>
          <w:tcPr>
            <w:tcW w:w="1925" w:type="dxa"/>
            <w:tcBorders>
              <w:top w:val="nil"/>
              <w:left w:val="nil"/>
              <w:bottom w:val="single" w:sz="4" w:space="0" w:color="auto"/>
              <w:right w:val="single" w:sz="4" w:space="0" w:color="auto"/>
            </w:tcBorders>
            <w:shd w:val="clear" w:color="auto" w:fill="auto"/>
            <w:noWrap/>
            <w:vAlign w:val="center"/>
            <w:hideMark/>
          </w:tcPr>
          <w:p w14:paraId="0E8C3E4F" w14:textId="38D2A6B2"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50" w14:textId="5906AC6C"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4" w:space="0" w:color="auto"/>
              <w:right w:val="single" w:sz="4" w:space="0" w:color="auto"/>
            </w:tcBorders>
            <w:shd w:val="clear" w:color="auto" w:fill="auto"/>
            <w:noWrap/>
            <w:vAlign w:val="center"/>
            <w:hideMark/>
          </w:tcPr>
          <w:p w14:paraId="0E8C3E51" w14:textId="1F603835"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US</w:t>
            </w:r>
            <w:r w:rsidR="00AE0781" w:rsidRPr="00100477">
              <w:rPr>
                <w:rFonts w:ascii="Arial" w:hAnsi="Arial" w:cs="Arial"/>
                <w:color w:val="000000"/>
                <w:sz w:val="21"/>
                <w:szCs w:val="21"/>
              </w:rPr>
              <w:t>$17,</w:t>
            </w:r>
            <w:r w:rsidR="00865FD2" w:rsidRPr="00100477">
              <w:rPr>
                <w:rFonts w:ascii="Arial" w:eastAsia="Times New Roman" w:hAnsi="Arial" w:cs="Arial"/>
                <w:color w:val="000000"/>
                <w:sz w:val="21"/>
                <w:szCs w:val="21"/>
              </w:rPr>
              <w:t>959,005.78</w:t>
            </w:r>
          </w:p>
        </w:tc>
        <w:tc>
          <w:tcPr>
            <w:tcW w:w="1748" w:type="dxa"/>
            <w:tcBorders>
              <w:top w:val="nil"/>
              <w:left w:val="nil"/>
              <w:bottom w:val="single" w:sz="4" w:space="0" w:color="auto"/>
              <w:right w:val="single" w:sz="8" w:space="0" w:color="auto"/>
            </w:tcBorders>
            <w:shd w:val="clear" w:color="auto" w:fill="auto"/>
            <w:noWrap/>
            <w:vAlign w:val="bottom"/>
            <w:hideMark/>
          </w:tcPr>
          <w:p w14:paraId="0E8C3E52" w14:textId="77777777" w:rsidR="006F52DD" w:rsidRPr="00100477" w:rsidRDefault="006F52DD"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p>
        </w:tc>
      </w:tr>
      <w:tr w:rsidR="006F52DD" w:rsidRPr="00251A1E" w14:paraId="0E8C3E59" w14:textId="77777777" w:rsidTr="00100477">
        <w:trPr>
          <w:trHeight w:val="144"/>
        </w:trPr>
        <w:tc>
          <w:tcPr>
            <w:tcW w:w="828" w:type="dxa"/>
            <w:tcBorders>
              <w:top w:val="nil"/>
              <w:left w:val="single" w:sz="8" w:space="0" w:color="auto"/>
              <w:bottom w:val="single" w:sz="8" w:space="0" w:color="auto"/>
              <w:right w:val="single" w:sz="4" w:space="0" w:color="auto"/>
            </w:tcBorders>
            <w:shd w:val="clear" w:color="auto" w:fill="auto"/>
            <w:noWrap/>
            <w:vAlign w:val="bottom"/>
            <w:hideMark/>
          </w:tcPr>
          <w:p w14:paraId="0E8C3E54" w14:textId="77777777" w:rsidR="006F52DD" w:rsidRPr="00100477" w:rsidRDefault="006F52DD" w:rsidP="00100477">
            <w:pPr>
              <w:spacing w:after="0" w:line="240" w:lineRule="auto"/>
              <w:jc w:val="center"/>
              <w:rPr>
                <w:rFonts w:ascii="Arial" w:eastAsia="Times New Roman" w:hAnsi="Arial" w:cs="Arial"/>
                <w:b/>
                <w:bCs/>
                <w:color w:val="000000"/>
                <w:sz w:val="21"/>
                <w:szCs w:val="21"/>
              </w:rPr>
            </w:pPr>
            <w:r w:rsidRPr="00100477">
              <w:rPr>
                <w:rFonts w:ascii="Arial" w:eastAsia="Times New Roman" w:hAnsi="Arial" w:cs="Arial"/>
                <w:b/>
                <w:bCs/>
                <w:color w:val="000000"/>
                <w:sz w:val="21"/>
                <w:szCs w:val="21"/>
              </w:rPr>
              <w:t>10</w:t>
            </w:r>
          </w:p>
        </w:tc>
        <w:tc>
          <w:tcPr>
            <w:tcW w:w="1925" w:type="dxa"/>
            <w:tcBorders>
              <w:top w:val="nil"/>
              <w:left w:val="nil"/>
              <w:bottom w:val="single" w:sz="8" w:space="0" w:color="auto"/>
              <w:right w:val="single" w:sz="4" w:space="0" w:color="auto"/>
            </w:tcBorders>
            <w:shd w:val="clear" w:color="auto" w:fill="auto"/>
            <w:noWrap/>
            <w:vAlign w:val="center"/>
            <w:hideMark/>
          </w:tcPr>
          <w:p w14:paraId="0E8C3E55" w14:textId="256809E5"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8" w:space="0" w:color="auto"/>
              <w:right w:val="single" w:sz="4" w:space="0" w:color="auto"/>
            </w:tcBorders>
            <w:shd w:val="clear" w:color="auto" w:fill="auto"/>
            <w:noWrap/>
            <w:vAlign w:val="center"/>
            <w:hideMark/>
          </w:tcPr>
          <w:p w14:paraId="0E8C3E56" w14:textId="7BCE7F16" w:rsidR="006F52DD" w:rsidRPr="00100477" w:rsidRDefault="00685F23"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US</w:t>
            </w:r>
            <w:r w:rsidR="006F52DD" w:rsidRPr="00100477">
              <w:rPr>
                <w:rFonts w:ascii="Arial" w:eastAsia="Times New Roman" w:hAnsi="Arial" w:cs="Arial"/>
                <w:color w:val="000000"/>
                <w:sz w:val="21"/>
                <w:szCs w:val="21"/>
              </w:rPr>
              <w:t>$0.00</w:t>
            </w:r>
          </w:p>
        </w:tc>
        <w:tc>
          <w:tcPr>
            <w:tcW w:w="2042" w:type="dxa"/>
            <w:tcBorders>
              <w:top w:val="nil"/>
              <w:left w:val="nil"/>
              <w:bottom w:val="single" w:sz="8" w:space="0" w:color="auto"/>
              <w:right w:val="single" w:sz="4" w:space="0" w:color="auto"/>
            </w:tcBorders>
            <w:shd w:val="clear" w:color="auto" w:fill="auto"/>
            <w:noWrap/>
            <w:vAlign w:val="center"/>
            <w:hideMark/>
          </w:tcPr>
          <w:p w14:paraId="0E8C3E57" w14:textId="495914C8" w:rsidR="006F52DD" w:rsidRPr="00100477" w:rsidRDefault="00685F23" w:rsidP="00100477">
            <w:pPr>
              <w:spacing w:after="0" w:line="240" w:lineRule="auto"/>
              <w:jc w:val="right"/>
              <w:rPr>
                <w:rFonts w:ascii="Arial" w:hAnsi="Arial" w:cs="Arial"/>
                <w:color w:val="000000"/>
                <w:sz w:val="21"/>
                <w:szCs w:val="21"/>
              </w:rPr>
            </w:pPr>
            <w:r w:rsidRPr="00100477">
              <w:rPr>
                <w:rFonts w:ascii="Arial" w:eastAsia="Times New Roman" w:hAnsi="Arial" w:cs="Arial"/>
                <w:color w:val="000000"/>
                <w:sz w:val="21"/>
                <w:szCs w:val="21"/>
              </w:rPr>
              <w:t xml:space="preserve"> US</w:t>
            </w:r>
            <w:r w:rsidR="00865FD2" w:rsidRPr="00100477">
              <w:rPr>
                <w:rFonts w:ascii="Arial" w:eastAsia="Times New Roman" w:hAnsi="Arial" w:cs="Arial"/>
                <w:color w:val="000000"/>
                <w:sz w:val="21"/>
                <w:szCs w:val="21"/>
              </w:rPr>
              <w:t>$18,313,628.58</w:t>
            </w:r>
          </w:p>
        </w:tc>
        <w:tc>
          <w:tcPr>
            <w:tcW w:w="1748" w:type="dxa"/>
            <w:tcBorders>
              <w:top w:val="nil"/>
              <w:left w:val="nil"/>
              <w:bottom w:val="single" w:sz="8" w:space="0" w:color="auto"/>
              <w:right w:val="single" w:sz="8" w:space="0" w:color="auto"/>
            </w:tcBorders>
            <w:shd w:val="clear" w:color="auto" w:fill="auto"/>
            <w:noWrap/>
            <w:vAlign w:val="bottom"/>
            <w:hideMark/>
          </w:tcPr>
          <w:p w14:paraId="0E8C3E58" w14:textId="77777777" w:rsidR="006F52DD" w:rsidRPr="00100477" w:rsidRDefault="006F52DD" w:rsidP="00100477">
            <w:pPr>
              <w:spacing w:after="0" w:line="240" w:lineRule="auto"/>
              <w:jc w:val="right"/>
              <w:rPr>
                <w:rFonts w:ascii="Arial" w:eastAsia="Times New Roman" w:hAnsi="Arial" w:cs="Arial"/>
                <w:color w:val="000000"/>
                <w:sz w:val="21"/>
                <w:szCs w:val="21"/>
              </w:rPr>
            </w:pPr>
            <w:r w:rsidRPr="00100477">
              <w:rPr>
                <w:rFonts w:ascii="Arial" w:eastAsia="Times New Roman" w:hAnsi="Arial" w:cs="Arial"/>
                <w:color w:val="000000"/>
                <w:sz w:val="21"/>
                <w:szCs w:val="21"/>
              </w:rPr>
              <w:t> </w:t>
            </w:r>
          </w:p>
        </w:tc>
      </w:tr>
    </w:tbl>
    <w:p w14:paraId="0E8C3E5A" w14:textId="77777777" w:rsidR="002648AB" w:rsidRPr="00251A1E" w:rsidRDefault="002648AB" w:rsidP="00B732A5">
      <w:pPr>
        <w:rPr>
          <w:rFonts w:ascii="Arial" w:hAnsi="Arial" w:cs="Arial"/>
          <w:lang w:val="es-CL"/>
        </w:rPr>
      </w:pPr>
    </w:p>
    <w:p w14:paraId="0E8C3E5B" w14:textId="77777777" w:rsidR="003100D4" w:rsidRPr="005F776A" w:rsidRDefault="003100D4" w:rsidP="00DE2D22">
      <w:pPr>
        <w:pStyle w:val="ListParagraph"/>
        <w:numPr>
          <w:ilvl w:val="0"/>
          <w:numId w:val="7"/>
        </w:numPr>
        <w:ind w:hanging="720"/>
        <w:rPr>
          <w:rFonts w:ascii="Arial" w:hAnsi="Arial"/>
          <w:b/>
          <w:lang w:val="es-CL"/>
        </w:rPr>
      </w:pPr>
      <w:r w:rsidRPr="005F776A">
        <w:rPr>
          <w:rFonts w:ascii="Arial" w:hAnsi="Arial"/>
          <w:b/>
          <w:lang w:val="es-CL"/>
        </w:rPr>
        <w:t>Retornos Económicos</w:t>
      </w:r>
    </w:p>
    <w:p w14:paraId="0E8C3E5C" w14:textId="77777777" w:rsidR="003100D4" w:rsidRPr="00251A1E" w:rsidRDefault="003100D4"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De acuerdo a lo estipu</w:t>
      </w:r>
      <w:r w:rsidR="00307CDB">
        <w:rPr>
          <w:rFonts w:ascii="Arial" w:hAnsi="Arial" w:cs="Arial"/>
          <w:lang w:val="es-CL"/>
        </w:rPr>
        <w:t>lado por el BID, se utiliza</w:t>
      </w:r>
      <w:r w:rsidRPr="00251A1E">
        <w:rPr>
          <w:rFonts w:ascii="Arial" w:hAnsi="Arial" w:cs="Arial"/>
          <w:lang w:val="es-CL"/>
        </w:rPr>
        <w:t xml:space="preserve"> una tasa de descuento del 12% para calcular el valor presente neto</w:t>
      </w:r>
      <w:r w:rsidR="007E1838">
        <w:rPr>
          <w:rFonts w:ascii="Arial" w:hAnsi="Arial" w:cs="Arial"/>
          <w:lang w:val="es-CL"/>
        </w:rPr>
        <w:t xml:space="preserve"> (VPN)</w:t>
      </w:r>
      <w:r w:rsidRPr="00251A1E">
        <w:rPr>
          <w:rFonts w:ascii="Arial" w:hAnsi="Arial" w:cs="Arial"/>
          <w:lang w:val="es-CL"/>
        </w:rPr>
        <w:t xml:space="preserve"> de los beneficios y costos. </w:t>
      </w:r>
      <w:r w:rsidR="00307CDB">
        <w:rPr>
          <w:rFonts w:ascii="Arial" w:hAnsi="Arial" w:cs="Arial"/>
          <w:lang w:val="es-CL"/>
        </w:rPr>
        <w:t>El cuadro</w:t>
      </w:r>
      <w:r w:rsidRPr="00251A1E">
        <w:rPr>
          <w:rFonts w:ascii="Arial" w:hAnsi="Arial" w:cs="Arial"/>
          <w:lang w:val="es-CL"/>
        </w:rPr>
        <w:t xml:space="preserve"> 5 presenta los flujos de los VPN de los beneficios y costos, además del VPN total, la</w:t>
      </w:r>
      <w:r w:rsidR="007E1838">
        <w:rPr>
          <w:rFonts w:ascii="Arial" w:hAnsi="Arial" w:cs="Arial"/>
          <w:lang w:val="es-CL"/>
        </w:rPr>
        <w:t xml:space="preserve"> Tasa Interna de Retorno (</w:t>
      </w:r>
      <w:r w:rsidRPr="00251A1E">
        <w:rPr>
          <w:rFonts w:ascii="Arial" w:hAnsi="Arial" w:cs="Arial"/>
          <w:lang w:val="es-CL"/>
        </w:rPr>
        <w:t>TIR</w:t>
      </w:r>
      <w:r w:rsidR="007E1838">
        <w:rPr>
          <w:rFonts w:ascii="Arial" w:hAnsi="Arial" w:cs="Arial"/>
          <w:lang w:val="es-CL"/>
        </w:rPr>
        <w:t>)</w:t>
      </w:r>
      <w:r w:rsidRPr="00251A1E">
        <w:rPr>
          <w:rFonts w:ascii="Arial" w:hAnsi="Arial" w:cs="Arial"/>
          <w:lang w:val="es-CL"/>
        </w:rPr>
        <w:t xml:space="preserve"> y la razón beneficio – costo. Además, y considerando que la evaluación de la componente 1 es indirecta, se presenta la TIR y la razón beneficio costo, sin considerar </w:t>
      </w:r>
      <w:r w:rsidR="007E1838">
        <w:rPr>
          <w:rFonts w:ascii="Arial" w:hAnsi="Arial" w:cs="Arial"/>
          <w:lang w:val="es-CL"/>
        </w:rPr>
        <w:t>el</w:t>
      </w:r>
      <w:r w:rsidRPr="00251A1E">
        <w:rPr>
          <w:rFonts w:ascii="Arial" w:hAnsi="Arial" w:cs="Arial"/>
          <w:lang w:val="es-CL"/>
        </w:rPr>
        <w:t xml:space="preserve"> componente 1.</w:t>
      </w:r>
    </w:p>
    <w:p w14:paraId="0E8C3E5D" w14:textId="77777777" w:rsidR="00715249" w:rsidRPr="00251A1E" w:rsidRDefault="00715249">
      <w:pPr>
        <w:rPr>
          <w:rFonts w:ascii="Arial" w:hAnsi="Arial" w:cs="Arial"/>
          <w:lang w:val="es-CL"/>
        </w:rPr>
      </w:pPr>
      <w:r w:rsidRPr="00251A1E">
        <w:rPr>
          <w:rFonts w:ascii="Arial" w:hAnsi="Arial" w:cs="Arial"/>
          <w:lang w:val="es-CL"/>
        </w:rPr>
        <w:br w:type="page"/>
      </w:r>
    </w:p>
    <w:p w14:paraId="0E8C3E5E" w14:textId="77777777" w:rsidR="00715249" w:rsidRPr="00251A1E" w:rsidRDefault="00715249" w:rsidP="003100D4">
      <w:pPr>
        <w:rPr>
          <w:rFonts w:ascii="Arial" w:hAnsi="Arial" w:cs="Arial"/>
          <w:lang w:val="es-CL"/>
        </w:rPr>
      </w:pPr>
    </w:p>
    <w:p w14:paraId="0E8C3E5F" w14:textId="77777777" w:rsidR="003100D4" w:rsidRPr="00251A1E" w:rsidRDefault="007E1838" w:rsidP="00F47934">
      <w:pPr>
        <w:spacing w:line="240" w:lineRule="auto"/>
        <w:jc w:val="center"/>
        <w:rPr>
          <w:rFonts w:ascii="Arial" w:hAnsi="Arial" w:cs="Arial"/>
          <w:lang w:val="es-CL"/>
        </w:rPr>
      </w:pPr>
      <w:r w:rsidRPr="007E1838">
        <w:rPr>
          <w:rFonts w:ascii="Arial" w:hAnsi="Arial" w:cs="Arial"/>
          <w:b/>
          <w:lang w:val="es-CL"/>
        </w:rPr>
        <w:t>Cuadro</w:t>
      </w:r>
      <w:r w:rsidR="00F47934" w:rsidRPr="007E1838">
        <w:rPr>
          <w:rFonts w:ascii="Arial" w:hAnsi="Arial" w:cs="Arial"/>
          <w:b/>
          <w:lang w:val="es-CL"/>
        </w:rPr>
        <w:t xml:space="preserve"> 5:</w:t>
      </w:r>
      <w:r w:rsidR="00F47934" w:rsidRPr="00251A1E">
        <w:rPr>
          <w:rFonts w:ascii="Arial" w:hAnsi="Arial" w:cs="Arial"/>
          <w:lang w:val="es-CL"/>
        </w:rPr>
        <w:t xml:space="preserve"> Evolución de los flujos del Valor Presente Neto</w:t>
      </w:r>
    </w:p>
    <w:tbl>
      <w:tblPr>
        <w:tblW w:w="8695" w:type="dxa"/>
        <w:tblInd w:w="645" w:type="dxa"/>
        <w:tblLook w:val="04A0" w:firstRow="1" w:lastRow="0" w:firstColumn="1" w:lastColumn="0" w:noHBand="0" w:noVBand="1"/>
      </w:tblPr>
      <w:tblGrid>
        <w:gridCol w:w="1522"/>
        <w:gridCol w:w="1615"/>
        <w:gridCol w:w="1955"/>
        <w:gridCol w:w="1868"/>
        <w:gridCol w:w="1735"/>
      </w:tblGrid>
      <w:tr w:rsidR="003100D4" w:rsidRPr="00251A1E" w14:paraId="0E8C3E63" w14:textId="77777777" w:rsidTr="00100477">
        <w:trPr>
          <w:trHeight w:val="315"/>
        </w:trPr>
        <w:tc>
          <w:tcPr>
            <w:tcW w:w="152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E8C3E60" w14:textId="77777777" w:rsidR="003100D4" w:rsidRPr="00100477" w:rsidRDefault="003100D4" w:rsidP="003100D4">
            <w:pPr>
              <w:spacing w:after="0" w:line="240" w:lineRule="auto"/>
              <w:rPr>
                <w:rFonts w:ascii="Arial" w:eastAsia="Times New Roman" w:hAnsi="Arial" w:cs="Arial"/>
                <w:b/>
                <w:bCs/>
                <w:color w:val="000000"/>
                <w:sz w:val="18"/>
                <w:szCs w:val="18"/>
                <w:lang w:val="es-CL"/>
              </w:rPr>
            </w:pPr>
            <w:r w:rsidRPr="00100477">
              <w:rPr>
                <w:rFonts w:ascii="Arial" w:eastAsia="Times New Roman" w:hAnsi="Arial" w:cs="Arial"/>
                <w:b/>
                <w:bCs/>
                <w:color w:val="000000"/>
                <w:sz w:val="18"/>
                <w:szCs w:val="18"/>
                <w:lang w:val="es-CL"/>
              </w:rPr>
              <w:t> </w:t>
            </w:r>
          </w:p>
        </w:tc>
        <w:tc>
          <w:tcPr>
            <w:tcW w:w="5430" w:type="dxa"/>
            <w:gridSpan w:val="3"/>
            <w:tcBorders>
              <w:top w:val="single" w:sz="8" w:space="0" w:color="auto"/>
              <w:left w:val="nil"/>
              <w:bottom w:val="single" w:sz="4" w:space="0" w:color="auto"/>
              <w:right w:val="single" w:sz="4" w:space="0" w:color="auto"/>
            </w:tcBorders>
            <w:shd w:val="clear" w:color="auto" w:fill="auto"/>
            <w:noWrap/>
            <w:vAlign w:val="bottom"/>
            <w:hideMark/>
          </w:tcPr>
          <w:p w14:paraId="0E8C3E61" w14:textId="56ACAC82" w:rsidR="003100D4" w:rsidRPr="00100477" w:rsidRDefault="003100D4" w:rsidP="003100D4">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VPN Beneficios</w:t>
            </w:r>
          </w:p>
        </w:tc>
        <w:tc>
          <w:tcPr>
            <w:tcW w:w="1739" w:type="dxa"/>
            <w:tcBorders>
              <w:top w:val="single" w:sz="8" w:space="0" w:color="auto"/>
              <w:left w:val="nil"/>
              <w:bottom w:val="single" w:sz="4" w:space="0" w:color="auto"/>
              <w:right w:val="single" w:sz="8" w:space="0" w:color="auto"/>
            </w:tcBorders>
            <w:shd w:val="clear" w:color="auto" w:fill="auto"/>
            <w:noWrap/>
            <w:vAlign w:val="bottom"/>
            <w:hideMark/>
          </w:tcPr>
          <w:p w14:paraId="0E8C3E62" w14:textId="5DDBA4A1" w:rsidR="003100D4" w:rsidRPr="00100477" w:rsidRDefault="00865FD2"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 xml:space="preserve">VPN </w:t>
            </w:r>
            <w:r w:rsidR="003100D4" w:rsidRPr="00100477">
              <w:rPr>
                <w:rFonts w:ascii="Arial" w:eastAsia="Times New Roman" w:hAnsi="Arial" w:cs="Arial"/>
                <w:b/>
                <w:bCs/>
                <w:color w:val="000000"/>
                <w:sz w:val="18"/>
                <w:szCs w:val="18"/>
              </w:rPr>
              <w:t>Costos</w:t>
            </w:r>
          </w:p>
        </w:tc>
      </w:tr>
      <w:tr w:rsidR="005F776A" w:rsidRPr="00251A1E" w14:paraId="0E8C3E69" w14:textId="77777777" w:rsidTr="00100477">
        <w:trPr>
          <w:trHeight w:val="30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64" w14:textId="77777777" w:rsidR="003100D4" w:rsidRPr="00100477" w:rsidRDefault="003100D4" w:rsidP="003100D4">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 xml:space="preserve">Año </w:t>
            </w:r>
          </w:p>
        </w:tc>
        <w:tc>
          <w:tcPr>
            <w:tcW w:w="1599" w:type="dxa"/>
            <w:tcBorders>
              <w:top w:val="nil"/>
              <w:left w:val="nil"/>
              <w:bottom w:val="single" w:sz="4" w:space="0" w:color="auto"/>
              <w:right w:val="single" w:sz="4" w:space="0" w:color="auto"/>
            </w:tcBorders>
            <w:shd w:val="clear" w:color="auto" w:fill="auto"/>
            <w:noWrap/>
            <w:vAlign w:val="bottom"/>
            <w:hideMark/>
          </w:tcPr>
          <w:p w14:paraId="0E8C3E65"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Componente 1</w:t>
            </w:r>
          </w:p>
        </w:tc>
        <w:tc>
          <w:tcPr>
            <w:tcW w:w="1959" w:type="dxa"/>
            <w:tcBorders>
              <w:top w:val="nil"/>
              <w:left w:val="nil"/>
              <w:bottom w:val="single" w:sz="4" w:space="0" w:color="auto"/>
              <w:right w:val="single" w:sz="4" w:space="0" w:color="auto"/>
            </w:tcBorders>
            <w:shd w:val="clear" w:color="auto" w:fill="auto"/>
            <w:noWrap/>
            <w:vAlign w:val="bottom"/>
            <w:hideMark/>
          </w:tcPr>
          <w:p w14:paraId="0E8C3E66"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Componente 2</w:t>
            </w:r>
          </w:p>
        </w:tc>
        <w:tc>
          <w:tcPr>
            <w:tcW w:w="1872" w:type="dxa"/>
            <w:tcBorders>
              <w:top w:val="nil"/>
              <w:left w:val="nil"/>
              <w:bottom w:val="single" w:sz="4" w:space="0" w:color="auto"/>
              <w:right w:val="single" w:sz="4" w:space="0" w:color="auto"/>
            </w:tcBorders>
            <w:shd w:val="clear" w:color="auto" w:fill="auto"/>
            <w:noWrap/>
            <w:vAlign w:val="bottom"/>
            <w:hideMark/>
          </w:tcPr>
          <w:p w14:paraId="0E8C3E67"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Componente 3</w:t>
            </w:r>
          </w:p>
        </w:tc>
        <w:tc>
          <w:tcPr>
            <w:tcW w:w="1739" w:type="dxa"/>
            <w:tcBorders>
              <w:top w:val="nil"/>
              <w:left w:val="nil"/>
              <w:bottom w:val="single" w:sz="4" w:space="0" w:color="auto"/>
              <w:right w:val="single" w:sz="8" w:space="0" w:color="auto"/>
            </w:tcBorders>
            <w:shd w:val="clear" w:color="auto" w:fill="auto"/>
            <w:noWrap/>
            <w:vAlign w:val="bottom"/>
            <w:hideMark/>
          </w:tcPr>
          <w:p w14:paraId="0E8C3E68"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 </w:t>
            </w:r>
          </w:p>
        </w:tc>
      </w:tr>
      <w:tr w:rsidR="005F776A" w:rsidRPr="00251A1E" w14:paraId="0E8C3E6F" w14:textId="77777777" w:rsidTr="00100477">
        <w:trPr>
          <w:trHeight w:val="30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6A" w14:textId="77777777" w:rsidR="003100D4" w:rsidRPr="00100477" w:rsidRDefault="003100D4" w:rsidP="003100D4">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1</w:t>
            </w:r>
          </w:p>
        </w:tc>
        <w:tc>
          <w:tcPr>
            <w:tcW w:w="1599" w:type="dxa"/>
            <w:tcBorders>
              <w:top w:val="nil"/>
              <w:left w:val="nil"/>
              <w:bottom w:val="single" w:sz="4" w:space="0" w:color="auto"/>
              <w:right w:val="single" w:sz="4" w:space="0" w:color="auto"/>
            </w:tcBorders>
            <w:shd w:val="clear" w:color="auto" w:fill="auto"/>
            <w:noWrap/>
            <w:vAlign w:val="bottom"/>
            <w:hideMark/>
          </w:tcPr>
          <w:p w14:paraId="0E8C3E6B" w14:textId="123E2A42"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3100D4"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6C" w14:textId="77777777" w:rsidR="003100D4" w:rsidRPr="00100477" w:rsidRDefault="003100D4"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c>
          <w:tcPr>
            <w:tcW w:w="1872" w:type="dxa"/>
            <w:tcBorders>
              <w:top w:val="nil"/>
              <w:left w:val="nil"/>
              <w:bottom w:val="single" w:sz="4" w:space="0" w:color="auto"/>
              <w:right w:val="single" w:sz="4" w:space="0" w:color="auto"/>
            </w:tcBorders>
            <w:shd w:val="clear" w:color="auto" w:fill="auto"/>
            <w:noWrap/>
            <w:vAlign w:val="bottom"/>
            <w:hideMark/>
          </w:tcPr>
          <w:p w14:paraId="0E8C3E6D" w14:textId="797F1A17"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865FD2" w:rsidRPr="00100477">
              <w:rPr>
                <w:rFonts w:ascii="Arial" w:eastAsia="Times New Roman" w:hAnsi="Arial" w:cs="Arial"/>
                <w:color w:val="000000"/>
                <w:sz w:val="18"/>
                <w:szCs w:val="18"/>
              </w:rPr>
              <w:t>$0.00</w:t>
            </w:r>
          </w:p>
        </w:tc>
        <w:tc>
          <w:tcPr>
            <w:tcW w:w="1739" w:type="dxa"/>
            <w:tcBorders>
              <w:top w:val="nil"/>
              <w:left w:val="nil"/>
              <w:bottom w:val="single" w:sz="4" w:space="0" w:color="auto"/>
              <w:right w:val="single" w:sz="8" w:space="0" w:color="auto"/>
            </w:tcBorders>
            <w:shd w:val="clear" w:color="auto" w:fill="auto"/>
            <w:noWrap/>
            <w:vAlign w:val="bottom"/>
            <w:hideMark/>
          </w:tcPr>
          <w:p w14:paraId="0E8C3E6E" w14:textId="1C18D19A"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B77DC0" w:rsidRPr="00100477">
              <w:rPr>
                <w:rFonts w:ascii="Arial" w:eastAsia="Times New Roman" w:hAnsi="Arial" w:cs="Arial"/>
                <w:color w:val="000000"/>
                <w:sz w:val="18"/>
                <w:szCs w:val="18"/>
              </w:rPr>
              <w:t>$</w:t>
            </w:r>
            <w:r w:rsidR="00865FD2" w:rsidRPr="00100477">
              <w:rPr>
                <w:rFonts w:ascii="Arial" w:eastAsia="Times New Roman" w:hAnsi="Arial" w:cs="Arial"/>
                <w:color w:val="000000"/>
                <w:sz w:val="18"/>
                <w:szCs w:val="18"/>
              </w:rPr>
              <w:t>16,788,522</w:t>
            </w:r>
          </w:p>
        </w:tc>
      </w:tr>
      <w:tr w:rsidR="005F776A" w:rsidRPr="00251A1E" w14:paraId="0E8C3E75" w14:textId="77777777" w:rsidTr="00100477">
        <w:trPr>
          <w:trHeight w:val="287"/>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70"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2</w:t>
            </w:r>
          </w:p>
        </w:tc>
        <w:tc>
          <w:tcPr>
            <w:tcW w:w="1599" w:type="dxa"/>
            <w:tcBorders>
              <w:top w:val="nil"/>
              <w:left w:val="nil"/>
              <w:bottom w:val="single" w:sz="4" w:space="0" w:color="auto"/>
              <w:right w:val="single" w:sz="4" w:space="0" w:color="auto"/>
            </w:tcBorders>
            <w:shd w:val="clear" w:color="auto" w:fill="auto"/>
            <w:noWrap/>
            <w:vAlign w:val="bottom"/>
            <w:hideMark/>
          </w:tcPr>
          <w:p w14:paraId="0E8C3E71" w14:textId="3876223C"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72" w14:textId="6D70BE9E"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$1,164,559.25</w:t>
            </w:r>
          </w:p>
        </w:tc>
        <w:tc>
          <w:tcPr>
            <w:tcW w:w="1872" w:type="dxa"/>
            <w:tcBorders>
              <w:top w:val="nil"/>
              <w:left w:val="nil"/>
              <w:bottom w:val="single" w:sz="4" w:space="0" w:color="auto"/>
              <w:right w:val="single" w:sz="4" w:space="0" w:color="auto"/>
            </w:tcBorders>
            <w:shd w:val="clear" w:color="auto" w:fill="auto"/>
            <w:noWrap/>
            <w:vAlign w:val="bottom"/>
            <w:hideMark/>
          </w:tcPr>
          <w:p w14:paraId="0E8C3E73" w14:textId="7F2DD47D"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$1,</w:t>
            </w:r>
            <w:r w:rsidR="00865FD2" w:rsidRPr="00100477">
              <w:rPr>
                <w:rFonts w:ascii="Arial" w:eastAsia="Times New Roman" w:hAnsi="Arial" w:cs="Arial"/>
                <w:color w:val="000000"/>
                <w:sz w:val="18"/>
                <w:szCs w:val="18"/>
              </w:rPr>
              <w:t>332,975.55</w:t>
            </w:r>
          </w:p>
        </w:tc>
        <w:tc>
          <w:tcPr>
            <w:tcW w:w="1739" w:type="dxa"/>
            <w:tcBorders>
              <w:top w:val="nil"/>
              <w:left w:val="nil"/>
              <w:bottom w:val="single" w:sz="4" w:space="0" w:color="auto"/>
              <w:right w:val="single" w:sz="8" w:space="0" w:color="auto"/>
            </w:tcBorders>
            <w:shd w:val="clear" w:color="auto" w:fill="auto"/>
            <w:noWrap/>
            <w:vAlign w:val="bottom"/>
            <w:hideMark/>
          </w:tcPr>
          <w:p w14:paraId="0E8C3E74" w14:textId="1C3DAD8F" w:rsidR="006F52DD" w:rsidRPr="00100477" w:rsidRDefault="00865FD2"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r w:rsidR="00C27B79" w:rsidRPr="00100477">
              <w:rPr>
                <w:rFonts w:ascii="Arial" w:eastAsia="Times New Roman" w:hAnsi="Arial" w:cs="Arial"/>
                <w:color w:val="000000"/>
                <w:sz w:val="18"/>
                <w:szCs w:val="18"/>
              </w:rPr>
              <w:t>US</w:t>
            </w:r>
            <w:r w:rsidRPr="00100477">
              <w:rPr>
                <w:rFonts w:ascii="Arial" w:eastAsia="Times New Roman" w:hAnsi="Arial" w:cs="Arial"/>
                <w:color w:val="000000"/>
                <w:sz w:val="18"/>
                <w:szCs w:val="18"/>
              </w:rPr>
              <w:t>$15,225,150</w:t>
            </w:r>
          </w:p>
        </w:tc>
      </w:tr>
      <w:tr w:rsidR="005F776A" w:rsidRPr="00251A1E" w14:paraId="0E8C3E7B"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76"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3</w:t>
            </w:r>
          </w:p>
        </w:tc>
        <w:tc>
          <w:tcPr>
            <w:tcW w:w="1599" w:type="dxa"/>
            <w:tcBorders>
              <w:top w:val="nil"/>
              <w:left w:val="nil"/>
              <w:bottom w:val="single" w:sz="4" w:space="0" w:color="auto"/>
              <w:right w:val="single" w:sz="4" w:space="0" w:color="auto"/>
            </w:tcBorders>
            <w:shd w:val="clear" w:color="auto" w:fill="auto"/>
            <w:noWrap/>
            <w:vAlign w:val="bottom"/>
            <w:hideMark/>
          </w:tcPr>
          <w:p w14:paraId="0E8C3E77" w14:textId="447D5E49"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78" w14:textId="0954A49B"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$2,246,848.20</w:t>
            </w:r>
          </w:p>
        </w:tc>
        <w:tc>
          <w:tcPr>
            <w:tcW w:w="1872" w:type="dxa"/>
            <w:tcBorders>
              <w:top w:val="nil"/>
              <w:left w:val="nil"/>
              <w:bottom w:val="single" w:sz="4" w:space="0" w:color="auto"/>
              <w:right w:val="single" w:sz="4" w:space="0" w:color="auto"/>
            </w:tcBorders>
            <w:shd w:val="clear" w:color="auto" w:fill="auto"/>
            <w:noWrap/>
            <w:vAlign w:val="bottom"/>
            <w:hideMark/>
          </w:tcPr>
          <w:p w14:paraId="0E8C3E79" w14:textId="0537FB07"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961FC" w:rsidRPr="00100477">
              <w:rPr>
                <w:rFonts w:ascii="Arial" w:hAnsi="Arial" w:cs="Arial"/>
                <w:color w:val="000000"/>
                <w:sz w:val="18"/>
                <w:szCs w:val="18"/>
              </w:rPr>
              <w:t>$</w:t>
            </w:r>
            <w:r w:rsidR="00865FD2" w:rsidRPr="00100477">
              <w:rPr>
                <w:rFonts w:ascii="Arial" w:eastAsia="Times New Roman" w:hAnsi="Arial" w:cs="Arial"/>
                <w:color w:val="000000"/>
                <w:sz w:val="18"/>
                <w:szCs w:val="18"/>
              </w:rPr>
              <w:t>3,582,179.31</w:t>
            </w:r>
          </w:p>
        </w:tc>
        <w:tc>
          <w:tcPr>
            <w:tcW w:w="1739" w:type="dxa"/>
            <w:tcBorders>
              <w:top w:val="nil"/>
              <w:left w:val="nil"/>
              <w:bottom w:val="single" w:sz="4" w:space="0" w:color="auto"/>
              <w:right w:val="single" w:sz="8" w:space="0" w:color="auto"/>
            </w:tcBorders>
            <w:shd w:val="clear" w:color="auto" w:fill="auto"/>
            <w:noWrap/>
            <w:vAlign w:val="bottom"/>
            <w:hideMark/>
          </w:tcPr>
          <w:p w14:paraId="0E8C3E7A" w14:textId="630CECE2" w:rsidR="006F52DD" w:rsidRPr="00100477" w:rsidRDefault="00C27B79" w:rsidP="00100477">
            <w:pPr>
              <w:spacing w:after="0" w:line="240" w:lineRule="auto"/>
              <w:ind w:left="-66"/>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100477" w:rsidRPr="00100477">
              <w:rPr>
                <w:rFonts w:ascii="Arial" w:eastAsia="Times New Roman" w:hAnsi="Arial" w:cs="Arial"/>
                <w:color w:val="000000"/>
                <w:sz w:val="18"/>
                <w:szCs w:val="18"/>
              </w:rPr>
              <w:t>$11,364,115.11</w:t>
            </w:r>
            <w:r w:rsidR="00865FD2" w:rsidRPr="00100477">
              <w:rPr>
                <w:rFonts w:ascii="Arial" w:eastAsia="Times New Roman" w:hAnsi="Arial" w:cs="Arial"/>
                <w:color w:val="000000"/>
                <w:sz w:val="18"/>
                <w:szCs w:val="18"/>
              </w:rPr>
              <w:t> </w:t>
            </w:r>
          </w:p>
        </w:tc>
      </w:tr>
      <w:tr w:rsidR="005F776A" w:rsidRPr="00251A1E" w14:paraId="0E8C3E81"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7C"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4</w:t>
            </w:r>
          </w:p>
        </w:tc>
        <w:tc>
          <w:tcPr>
            <w:tcW w:w="1599" w:type="dxa"/>
            <w:tcBorders>
              <w:top w:val="nil"/>
              <w:left w:val="nil"/>
              <w:bottom w:val="single" w:sz="4" w:space="0" w:color="auto"/>
              <w:right w:val="single" w:sz="4" w:space="0" w:color="auto"/>
            </w:tcBorders>
            <w:shd w:val="clear" w:color="auto" w:fill="auto"/>
            <w:noWrap/>
            <w:vAlign w:val="bottom"/>
            <w:hideMark/>
          </w:tcPr>
          <w:p w14:paraId="0E8C3E7D" w14:textId="7E4C79C4"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7E" w14:textId="02666D6B"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$3,529,071.08</w:t>
            </w:r>
          </w:p>
        </w:tc>
        <w:tc>
          <w:tcPr>
            <w:tcW w:w="1872" w:type="dxa"/>
            <w:tcBorders>
              <w:top w:val="nil"/>
              <w:left w:val="nil"/>
              <w:bottom w:val="single" w:sz="4" w:space="0" w:color="auto"/>
              <w:right w:val="single" w:sz="4" w:space="0" w:color="auto"/>
            </w:tcBorders>
            <w:shd w:val="clear" w:color="auto" w:fill="auto"/>
            <w:noWrap/>
            <w:vAlign w:val="bottom"/>
            <w:hideMark/>
          </w:tcPr>
          <w:p w14:paraId="0E8C3E7F" w14:textId="4A23C95A"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w:t>
            </w:r>
            <w:r w:rsidR="00865FD2" w:rsidRPr="00100477">
              <w:rPr>
                <w:rFonts w:ascii="Arial" w:eastAsia="Times New Roman" w:hAnsi="Arial" w:cs="Arial"/>
                <w:color w:val="000000"/>
                <w:sz w:val="18"/>
                <w:szCs w:val="18"/>
              </w:rPr>
              <w:t>5,733,279.36</w:t>
            </w:r>
          </w:p>
        </w:tc>
        <w:tc>
          <w:tcPr>
            <w:tcW w:w="1739" w:type="dxa"/>
            <w:tcBorders>
              <w:top w:val="nil"/>
              <w:left w:val="nil"/>
              <w:bottom w:val="single" w:sz="4" w:space="0" w:color="auto"/>
              <w:right w:val="single" w:sz="8" w:space="0" w:color="auto"/>
            </w:tcBorders>
            <w:shd w:val="clear" w:color="auto" w:fill="auto"/>
            <w:noWrap/>
            <w:vAlign w:val="bottom"/>
            <w:hideMark/>
          </w:tcPr>
          <w:p w14:paraId="0E8C3E80" w14:textId="59F057A3" w:rsidR="006F52DD" w:rsidRPr="00100477" w:rsidRDefault="00865FD2"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r w:rsidR="00C27B79" w:rsidRPr="00100477">
              <w:rPr>
                <w:rFonts w:ascii="Arial" w:eastAsia="Times New Roman" w:hAnsi="Arial" w:cs="Arial"/>
                <w:color w:val="000000"/>
                <w:sz w:val="18"/>
                <w:szCs w:val="18"/>
              </w:rPr>
              <w:t>US</w:t>
            </w:r>
            <w:r w:rsidRPr="00100477">
              <w:rPr>
                <w:rFonts w:ascii="Arial" w:eastAsia="Times New Roman" w:hAnsi="Arial" w:cs="Arial"/>
                <w:color w:val="000000"/>
                <w:sz w:val="18"/>
                <w:szCs w:val="18"/>
              </w:rPr>
              <w:t>$7,125,075.45</w:t>
            </w:r>
          </w:p>
        </w:tc>
      </w:tr>
      <w:tr w:rsidR="005F776A" w:rsidRPr="00251A1E" w14:paraId="0E8C3E87"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82"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5</w:t>
            </w:r>
          </w:p>
        </w:tc>
        <w:tc>
          <w:tcPr>
            <w:tcW w:w="1599" w:type="dxa"/>
            <w:tcBorders>
              <w:top w:val="nil"/>
              <w:left w:val="nil"/>
              <w:bottom w:val="single" w:sz="4" w:space="0" w:color="auto"/>
              <w:right w:val="single" w:sz="4" w:space="0" w:color="auto"/>
            </w:tcBorders>
            <w:shd w:val="clear" w:color="auto" w:fill="auto"/>
            <w:noWrap/>
            <w:vAlign w:val="bottom"/>
            <w:hideMark/>
          </w:tcPr>
          <w:p w14:paraId="0E8C3E83" w14:textId="7DB5F770"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$2,654,845.34</w:t>
            </w:r>
          </w:p>
        </w:tc>
        <w:tc>
          <w:tcPr>
            <w:tcW w:w="1959" w:type="dxa"/>
            <w:tcBorders>
              <w:top w:val="nil"/>
              <w:left w:val="nil"/>
              <w:bottom w:val="single" w:sz="4" w:space="0" w:color="auto"/>
              <w:right w:val="single" w:sz="4" w:space="0" w:color="auto"/>
            </w:tcBorders>
            <w:shd w:val="clear" w:color="auto" w:fill="auto"/>
            <w:noWrap/>
            <w:vAlign w:val="bottom"/>
            <w:hideMark/>
          </w:tcPr>
          <w:p w14:paraId="0E8C3E84" w14:textId="72914CF7"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$4,579,743.91</w:t>
            </w:r>
          </w:p>
        </w:tc>
        <w:tc>
          <w:tcPr>
            <w:tcW w:w="1872" w:type="dxa"/>
            <w:tcBorders>
              <w:top w:val="nil"/>
              <w:left w:val="nil"/>
              <w:bottom w:val="single" w:sz="4" w:space="0" w:color="auto"/>
              <w:right w:val="single" w:sz="4" w:space="0" w:color="auto"/>
            </w:tcBorders>
            <w:shd w:val="clear" w:color="auto" w:fill="auto"/>
            <w:noWrap/>
            <w:vAlign w:val="bottom"/>
            <w:hideMark/>
          </w:tcPr>
          <w:p w14:paraId="0E8C3E85" w14:textId="11CCC2CF"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w:t>
            </w:r>
            <w:r w:rsidR="00865FD2" w:rsidRPr="00100477">
              <w:rPr>
                <w:rFonts w:ascii="Arial" w:eastAsia="Times New Roman" w:hAnsi="Arial" w:cs="Arial"/>
                <w:color w:val="000000"/>
                <w:sz w:val="18"/>
                <w:szCs w:val="18"/>
              </w:rPr>
              <w:t>6,928,299.41</w:t>
            </w:r>
          </w:p>
        </w:tc>
        <w:tc>
          <w:tcPr>
            <w:tcW w:w="1739" w:type="dxa"/>
            <w:tcBorders>
              <w:top w:val="nil"/>
              <w:left w:val="nil"/>
              <w:bottom w:val="single" w:sz="4" w:space="0" w:color="auto"/>
              <w:right w:val="single" w:sz="8" w:space="0" w:color="auto"/>
            </w:tcBorders>
            <w:shd w:val="clear" w:color="auto" w:fill="auto"/>
            <w:noWrap/>
            <w:vAlign w:val="bottom"/>
            <w:hideMark/>
          </w:tcPr>
          <w:p w14:paraId="0E8C3E86" w14:textId="5DBB0176"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B77DC0" w:rsidRPr="00100477">
              <w:rPr>
                <w:rFonts w:ascii="Arial" w:eastAsia="Times New Roman" w:hAnsi="Arial" w:cs="Arial"/>
                <w:color w:val="000000"/>
                <w:sz w:val="18"/>
                <w:szCs w:val="18"/>
              </w:rPr>
              <w:t>$1,</w:t>
            </w:r>
            <w:r w:rsidR="00865FD2" w:rsidRPr="00100477">
              <w:rPr>
                <w:rFonts w:ascii="Arial" w:eastAsia="Times New Roman" w:hAnsi="Arial" w:cs="Arial"/>
                <w:color w:val="000000"/>
                <w:sz w:val="18"/>
                <w:szCs w:val="18"/>
              </w:rPr>
              <w:t>793,388.17 </w:t>
            </w:r>
          </w:p>
        </w:tc>
      </w:tr>
      <w:tr w:rsidR="005F776A" w:rsidRPr="00251A1E" w14:paraId="0E8C3E8D"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88"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6</w:t>
            </w:r>
          </w:p>
        </w:tc>
        <w:tc>
          <w:tcPr>
            <w:tcW w:w="1599" w:type="dxa"/>
            <w:tcBorders>
              <w:top w:val="nil"/>
              <w:left w:val="nil"/>
              <w:bottom w:val="single" w:sz="4" w:space="0" w:color="auto"/>
              <w:right w:val="single" w:sz="4" w:space="0" w:color="auto"/>
            </w:tcBorders>
            <w:shd w:val="clear" w:color="auto" w:fill="auto"/>
            <w:noWrap/>
            <w:vAlign w:val="bottom"/>
            <w:hideMark/>
          </w:tcPr>
          <w:p w14:paraId="0E8C3E89" w14:textId="0332D5BC"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8A" w14:textId="33CFA119"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$5,756,105.16</w:t>
            </w:r>
          </w:p>
        </w:tc>
        <w:tc>
          <w:tcPr>
            <w:tcW w:w="1872" w:type="dxa"/>
            <w:tcBorders>
              <w:top w:val="nil"/>
              <w:left w:val="nil"/>
              <w:bottom w:val="single" w:sz="4" w:space="0" w:color="auto"/>
              <w:right w:val="single" w:sz="4" w:space="0" w:color="auto"/>
            </w:tcBorders>
            <w:shd w:val="clear" w:color="auto" w:fill="auto"/>
            <w:noWrap/>
            <w:vAlign w:val="bottom"/>
            <w:hideMark/>
          </w:tcPr>
          <w:p w14:paraId="0E8C3E8B" w14:textId="6A33FAAF"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w:t>
            </w:r>
            <w:r w:rsidR="00865FD2" w:rsidRPr="00100477">
              <w:rPr>
                <w:rFonts w:ascii="Arial" w:eastAsia="Times New Roman" w:hAnsi="Arial" w:cs="Arial"/>
                <w:color w:val="000000"/>
                <w:sz w:val="18"/>
                <w:szCs w:val="18"/>
              </w:rPr>
              <w:t>7,499,391.46</w:t>
            </w:r>
          </w:p>
        </w:tc>
        <w:tc>
          <w:tcPr>
            <w:tcW w:w="1739" w:type="dxa"/>
            <w:tcBorders>
              <w:top w:val="nil"/>
              <w:left w:val="nil"/>
              <w:bottom w:val="single" w:sz="4" w:space="0" w:color="auto"/>
              <w:right w:val="single" w:sz="8" w:space="0" w:color="auto"/>
            </w:tcBorders>
            <w:shd w:val="clear" w:color="auto" w:fill="auto"/>
            <w:noWrap/>
            <w:vAlign w:val="bottom"/>
            <w:hideMark/>
          </w:tcPr>
          <w:p w14:paraId="0E8C3E8C" w14:textId="77777777" w:rsidR="006F52DD" w:rsidRPr="00100477" w:rsidRDefault="006F52DD"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r>
      <w:tr w:rsidR="005F776A" w:rsidRPr="00251A1E" w14:paraId="0E8C3E93"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8E"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7</w:t>
            </w:r>
          </w:p>
        </w:tc>
        <w:tc>
          <w:tcPr>
            <w:tcW w:w="1599" w:type="dxa"/>
            <w:tcBorders>
              <w:top w:val="nil"/>
              <w:left w:val="nil"/>
              <w:bottom w:val="single" w:sz="4" w:space="0" w:color="auto"/>
              <w:right w:val="single" w:sz="4" w:space="0" w:color="auto"/>
            </w:tcBorders>
            <w:shd w:val="clear" w:color="auto" w:fill="auto"/>
            <w:noWrap/>
            <w:vAlign w:val="bottom"/>
            <w:hideMark/>
          </w:tcPr>
          <w:p w14:paraId="0E8C3E8F" w14:textId="1E8CD779"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90" w14:textId="3BDD63B9"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872" w:type="dxa"/>
            <w:tcBorders>
              <w:top w:val="nil"/>
              <w:left w:val="nil"/>
              <w:bottom w:val="single" w:sz="4" w:space="0" w:color="auto"/>
              <w:right w:val="single" w:sz="4" w:space="0" w:color="auto"/>
            </w:tcBorders>
            <w:shd w:val="clear" w:color="auto" w:fill="auto"/>
            <w:noWrap/>
            <w:vAlign w:val="bottom"/>
            <w:hideMark/>
          </w:tcPr>
          <w:p w14:paraId="0E8C3E91" w14:textId="6724FE36"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$7,</w:t>
            </w:r>
            <w:r w:rsidR="00865FD2" w:rsidRPr="00100477">
              <w:rPr>
                <w:rFonts w:ascii="Arial" w:eastAsia="Times New Roman" w:hAnsi="Arial" w:cs="Arial"/>
                <w:color w:val="000000"/>
                <w:sz w:val="18"/>
                <w:szCs w:val="18"/>
              </w:rPr>
              <w:t>505,376.90</w:t>
            </w:r>
          </w:p>
        </w:tc>
        <w:tc>
          <w:tcPr>
            <w:tcW w:w="1739" w:type="dxa"/>
            <w:tcBorders>
              <w:top w:val="nil"/>
              <w:left w:val="nil"/>
              <w:bottom w:val="single" w:sz="4" w:space="0" w:color="auto"/>
              <w:right w:val="single" w:sz="8" w:space="0" w:color="auto"/>
            </w:tcBorders>
            <w:shd w:val="clear" w:color="auto" w:fill="auto"/>
            <w:noWrap/>
            <w:vAlign w:val="bottom"/>
            <w:hideMark/>
          </w:tcPr>
          <w:p w14:paraId="0E8C3E92" w14:textId="77777777" w:rsidR="006F52DD" w:rsidRPr="00100477" w:rsidRDefault="006F52DD"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r>
      <w:tr w:rsidR="005F776A" w:rsidRPr="00251A1E" w14:paraId="0E8C3E99"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94"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8</w:t>
            </w:r>
          </w:p>
        </w:tc>
        <w:tc>
          <w:tcPr>
            <w:tcW w:w="1599" w:type="dxa"/>
            <w:tcBorders>
              <w:top w:val="nil"/>
              <w:left w:val="nil"/>
              <w:bottom w:val="single" w:sz="4" w:space="0" w:color="auto"/>
              <w:right w:val="single" w:sz="4" w:space="0" w:color="auto"/>
            </w:tcBorders>
            <w:shd w:val="clear" w:color="auto" w:fill="auto"/>
            <w:noWrap/>
            <w:vAlign w:val="bottom"/>
            <w:hideMark/>
          </w:tcPr>
          <w:p w14:paraId="0E8C3E95" w14:textId="7B67C7FC"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96" w14:textId="7975DEDE"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872" w:type="dxa"/>
            <w:tcBorders>
              <w:top w:val="nil"/>
              <w:left w:val="nil"/>
              <w:bottom w:val="single" w:sz="4" w:space="0" w:color="auto"/>
              <w:right w:val="single" w:sz="4" w:space="0" w:color="auto"/>
            </w:tcBorders>
            <w:shd w:val="clear" w:color="auto" w:fill="auto"/>
            <w:noWrap/>
            <w:vAlign w:val="bottom"/>
            <w:hideMark/>
          </w:tcPr>
          <w:p w14:paraId="0E8C3E97" w14:textId="11395A60"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w:t>
            </w:r>
            <w:r w:rsidR="00865FD2" w:rsidRPr="00100477">
              <w:rPr>
                <w:rFonts w:ascii="Arial" w:eastAsia="Times New Roman" w:hAnsi="Arial" w:cs="Arial"/>
                <w:color w:val="000000"/>
                <w:sz w:val="18"/>
                <w:szCs w:val="18"/>
              </w:rPr>
              <w:t>7,102,391.06</w:t>
            </w:r>
          </w:p>
        </w:tc>
        <w:tc>
          <w:tcPr>
            <w:tcW w:w="1739" w:type="dxa"/>
            <w:tcBorders>
              <w:top w:val="nil"/>
              <w:left w:val="nil"/>
              <w:bottom w:val="single" w:sz="4" w:space="0" w:color="auto"/>
              <w:right w:val="single" w:sz="8" w:space="0" w:color="auto"/>
            </w:tcBorders>
            <w:shd w:val="clear" w:color="auto" w:fill="auto"/>
            <w:noWrap/>
            <w:vAlign w:val="bottom"/>
            <w:hideMark/>
          </w:tcPr>
          <w:p w14:paraId="0E8C3E98" w14:textId="77777777" w:rsidR="006F52DD" w:rsidRPr="00100477" w:rsidRDefault="006F52DD"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r>
      <w:tr w:rsidR="005F776A" w:rsidRPr="00251A1E" w14:paraId="0E8C3E9F"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9A"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9</w:t>
            </w:r>
          </w:p>
        </w:tc>
        <w:tc>
          <w:tcPr>
            <w:tcW w:w="1599" w:type="dxa"/>
            <w:tcBorders>
              <w:top w:val="nil"/>
              <w:left w:val="nil"/>
              <w:bottom w:val="single" w:sz="4" w:space="0" w:color="auto"/>
              <w:right w:val="single" w:sz="4" w:space="0" w:color="auto"/>
            </w:tcBorders>
            <w:shd w:val="clear" w:color="auto" w:fill="auto"/>
            <w:noWrap/>
            <w:vAlign w:val="bottom"/>
            <w:hideMark/>
          </w:tcPr>
          <w:p w14:paraId="0E8C3E9B" w14:textId="2DB9FF6C"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9C" w14:textId="002F423C"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872" w:type="dxa"/>
            <w:tcBorders>
              <w:top w:val="nil"/>
              <w:left w:val="nil"/>
              <w:bottom w:val="single" w:sz="4" w:space="0" w:color="auto"/>
              <w:right w:val="single" w:sz="4" w:space="0" w:color="auto"/>
            </w:tcBorders>
            <w:shd w:val="clear" w:color="auto" w:fill="auto"/>
            <w:noWrap/>
            <w:vAlign w:val="bottom"/>
            <w:hideMark/>
          </w:tcPr>
          <w:p w14:paraId="0E8C3E9D" w14:textId="11F7B761"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$6,</w:t>
            </w:r>
            <w:r w:rsidR="00865FD2" w:rsidRPr="00100477">
              <w:rPr>
                <w:rFonts w:ascii="Arial" w:eastAsia="Times New Roman" w:hAnsi="Arial" w:cs="Arial"/>
                <w:color w:val="000000"/>
                <w:sz w:val="18"/>
                <w:szCs w:val="18"/>
              </w:rPr>
              <w:t>476,197.52</w:t>
            </w:r>
          </w:p>
        </w:tc>
        <w:tc>
          <w:tcPr>
            <w:tcW w:w="1739" w:type="dxa"/>
            <w:tcBorders>
              <w:top w:val="nil"/>
              <w:left w:val="nil"/>
              <w:bottom w:val="single" w:sz="4" w:space="0" w:color="auto"/>
              <w:right w:val="single" w:sz="8" w:space="0" w:color="auto"/>
            </w:tcBorders>
            <w:shd w:val="clear" w:color="auto" w:fill="auto"/>
            <w:noWrap/>
            <w:vAlign w:val="bottom"/>
            <w:hideMark/>
          </w:tcPr>
          <w:p w14:paraId="0E8C3E9E" w14:textId="77777777" w:rsidR="006F52DD" w:rsidRPr="00100477" w:rsidRDefault="006F52DD"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r>
      <w:tr w:rsidR="005F776A" w:rsidRPr="00251A1E" w14:paraId="0E8C3EA5" w14:textId="77777777" w:rsidTr="00100477">
        <w:trPr>
          <w:trHeight w:val="2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A0" w14:textId="77777777" w:rsidR="006F52DD" w:rsidRPr="00100477" w:rsidRDefault="006F52DD" w:rsidP="006F52DD">
            <w:pPr>
              <w:spacing w:after="0" w:line="240" w:lineRule="auto"/>
              <w:jc w:val="center"/>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10</w:t>
            </w:r>
          </w:p>
        </w:tc>
        <w:tc>
          <w:tcPr>
            <w:tcW w:w="1599" w:type="dxa"/>
            <w:tcBorders>
              <w:top w:val="nil"/>
              <w:left w:val="nil"/>
              <w:bottom w:val="single" w:sz="4" w:space="0" w:color="auto"/>
              <w:right w:val="single" w:sz="4" w:space="0" w:color="auto"/>
            </w:tcBorders>
            <w:shd w:val="clear" w:color="auto" w:fill="auto"/>
            <w:noWrap/>
            <w:vAlign w:val="bottom"/>
            <w:hideMark/>
          </w:tcPr>
          <w:p w14:paraId="0E8C3EA1" w14:textId="75BD937D"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959" w:type="dxa"/>
            <w:tcBorders>
              <w:top w:val="nil"/>
              <w:left w:val="nil"/>
              <w:bottom w:val="single" w:sz="4" w:space="0" w:color="auto"/>
              <w:right w:val="single" w:sz="4" w:space="0" w:color="auto"/>
            </w:tcBorders>
            <w:shd w:val="clear" w:color="auto" w:fill="auto"/>
            <w:noWrap/>
            <w:vAlign w:val="bottom"/>
            <w:hideMark/>
          </w:tcPr>
          <w:p w14:paraId="0E8C3EA2" w14:textId="225A3ECA" w:rsidR="006F52DD"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6F52DD" w:rsidRPr="00100477">
              <w:rPr>
                <w:rFonts w:ascii="Arial" w:eastAsia="Times New Roman" w:hAnsi="Arial" w:cs="Arial"/>
                <w:color w:val="000000"/>
                <w:sz w:val="18"/>
                <w:szCs w:val="18"/>
              </w:rPr>
              <w:t>$0.00</w:t>
            </w:r>
          </w:p>
        </w:tc>
        <w:tc>
          <w:tcPr>
            <w:tcW w:w="1872" w:type="dxa"/>
            <w:tcBorders>
              <w:top w:val="nil"/>
              <w:left w:val="nil"/>
              <w:bottom w:val="single" w:sz="4" w:space="0" w:color="auto"/>
              <w:right w:val="single" w:sz="4" w:space="0" w:color="auto"/>
            </w:tcBorders>
            <w:shd w:val="clear" w:color="auto" w:fill="auto"/>
            <w:noWrap/>
            <w:vAlign w:val="bottom"/>
            <w:hideMark/>
          </w:tcPr>
          <w:p w14:paraId="0E8C3EA3" w14:textId="6742B251" w:rsidR="006F52DD" w:rsidRPr="00100477" w:rsidRDefault="00C27B79" w:rsidP="00100477">
            <w:pPr>
              <w:spacing w:after="0" w:line="240" w:lineRule="auto"/>
              <w:jc w:val="right"/>
              <w:rPr>
                <w:rFonts w:ascii="Arial" w:hAnsi="Arial" w:cs="Arial"/>
                <w:color w:val="000000"/>
                <w:sz w:val="18"/>
                <w:szCs w:val="18"/>
              </w:rPr>
            </w:pPr>
            <w:r w:rsidRPr="00100477">
              <w:rPr>
                <w:rFonts w:ascii="Arial" w:eastAsia="Times New Roman" w:hAnsi="Arial" w:cs="Arial"/>
                <w:color w:val="000000"/>
                <w:sz w:val="18"/>
                <w:szCs w:val="18"/>
              </w:rPr>
              <w:t>US</w:t>
            </w:r>
            <w:r w:rsidR="00AE0781" w:rsidRPr="00100477">
              <w:rPr>
                <w:rFonts w:ascii="Arial" w:hAnsi="Arial" w:cs="Arial"/>
                <w:color w:val="000000"/>
                <w:sz w:val="18"/>
                <w:szCs w:val="18"/>
              </w:rPr>
              <w:t>$5,</w:t>
            </w:r>
            <w:r w:rsidR="00865FD2" w:rsidRPr="00100477">
              <w:rPr>
                <w:rFonts w:ascii="Arial" w:eastAsia="Times New Roman" w:hAnsi="Arial" w:cs="Arial"/>
                <w:color w:val="000000"/>
                <w:sz w:val="18"/>
                <w:szCs w:val="18"/>
              </w:rPr>
              <w:t>896,498.27</w:t>
            </w:r>
          </w:p>
        </w:tc>
        <w:tc>
          <w:tcPr>
            <w:tcW w:w="1739" w:type="dxa"/>
            <w:tcBorders>
              <w:top w:val="nil"/>
              <w:left w:val="nil"/>
              <w:bottom w:val="single" w:sz="4" w:space="0" w:color="auto"/>
              <w:right w:val="single" w:sz="8" w:space="0" w:color="auto"/>
            </w:tcBorders>
            <w:shd w:val="clear" w:color="auto" w:fill="auto"/>
            <w:noWrap/>
            <w:vAlign w:val="bottom"/>
            <w:hideMark/>
          </w:tcPr>
          <w:p w14:paraId="0E8C3EA4" w14:textId="77777777" w:rsidR="006F52DD" w:rsidRPr="00100477" w:rsidRDefault="006F52DD"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w:t>
            </w:r>
          </w:p>
        </w:tc>
      </w:tr>
      <w:tr w:rsidR="003100D4" w:rsidRPr="00251A1E" w14:paraId="0E8C3EAB" w14:textId="77777777" w:rsidTr="00100477">
        <w:trPr>
          <w:trHeight w:val="30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A6"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VPN</w:t>
            </w:r>
          </w:p>
        </w:tc>
        <w:tc>
          <w:tcPr>
            <w:tcW w:w="1599" w:type="dxa"/>
            <w:tcBorders>
              <w:top w:val="nil"/>
              <w:left w:val="nil"/>
              <w:bottom w:val="single" w:sz="4" w:space="0" w:color="auto"/>
              <w:right w:val="single" w:sz="4" w:space="0" w:color="auto"/>
            </w:tcBorders>
            <w:shd w:val="clear" w:color="auto" w:fill="auto"/>
            <w:noWrap/>
            <w:vAlign w:val="bottom"/>
            <w:hideMark/>
          </w:tcPr>
          <w:p w14:paraId="0E8C3EA7" w14:textId="06F28398"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3100D4" w:rsidRPr="00100477">
              <w:rPr>
                <w:rFonts w:ascii="Arial" w:eastAsia="Times New Roman" w:hAnsi="Arial" w:cs="Arial"/>
                <w:color w:val="000000"/>
                <w:sz w:val="18"/>
                <w:szCs w:val="18"/>
              </w:rPr>
              <w:t>$2,654,845.34</w:t>
            </w:r>
          </w:p>
        </w:tc>
        <w:tc>
          <w:tcPr>
            <w:tcW w:w="1959" w:type="dxa"/>
            <w:tcBorders>
              <w:top w:val="nil"/>
              <w:left w:val="nil"/>
              <w:bottom w:val="single" w:sz="4" w:space="0" w:color="auto"/>
              <w:right w:val="single" w:sz="4" w:space="0" w:color="auto"/>
            </w:tcBorders>
            <w:shd w:val="clear" w:color="auto" w:fill="auto"/>
            <w:noWrap/>
            <w:vAlign w:val="bottom"/>
            <w:hideMark/>
          </w:tcPr>
          <w:p w14:paraId="0E8C3EA8" w14:textId="7C871157"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3100D4" w:rsidRPr="00100477">
              <w:rPr>
                <w:rFonts w:ascii="Arial" w:eastAsia="Times New Roman" w:hAnsi="Arial" w:cs="Arial"/>
                <w:color w:val="000000"/>
                <w:sz w:val="18"/>
                <w:szCs w:val="18"/>
              </w:rPr>
              <w:t>$17,276,327.61</w:t>
            </w:r>
          </w:p>
        </w:tc>
        <w:tc>
          <w:tcPr>
            <w:tcW w:w="1872" w:type="dxa"/>
            <w:tcBorders>
              <w:top w:val="nil"/>
              <w:left w:val="nil"/>
              <w:bottom w:val="single" w:sz="4" w:space="0" w:color="auto"/>
              <w:right w:val="single" w:sz="4" w:space="0" w:color="auto"/>
            </w:tcBorders>
            <w:shd w:val="clear" w:color="auto" w:fill="auto"/>
            <w:noWrap/>
            <w:vAlign w:val="bottom"/>
            <w:hideMark/>
          </w:tcPr>
          <w:p w14:paraId="0E8C3EA9" w14:textId="04BFC278"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 xml:space="preserve"> US</w:t>
            </w:r>
            <w:r w:rsidR="00865FD2" w:rsidRPr="00100477">
              <w:rPr>
                <w:rFonts w:ascii="Arial" w:eastAsia="Times New Roman" w:hAnsi="Arial" w:cs="Arial"/>
                <w:color w:val="000000"/>
                <w:sz w:val="18"/>
                <w:szCs w:val="18"/>
              </w:rPr>
              <w:t>$52,056,588</w:t>
            </w:r>
            <w:r w:rsidR="00B77DC0" w:rsidRPr="00100477">
              <w:rPr>
                <w:rFonts w:ascii="Arial" w:eastAsia="Times New Roman" w:hAnsi="Arial" w:cs="Arial"/>
                <w:color w:val="000000"/>
                <w:sz w:val="18"/>
                <w:szCs w:val="18"/>
              </w:rPr>
              <w:t>.</w:t>
            </w:r>
            <w:r w:rsidR="00865FD2" w:rsidRPr="00100477">
              <w:rPr>
                <w:rFonts w:ascii="Arial" w:eastAsia="Times New Roman" w:hAnsi="Arial" w:cs="Arial"/>
                <w:color w:val="000000"/>
                <w:sz w:val="18"/>
                <w:szCs w:val="18"/>
              </w:rPr>
              <w:t>83</w:t>
            </w:r>
          </w:p>
        </w:tc>
        <w:tc>
          <w:tcPr>
            <w:tcW w:w="1739" w:type="dxa"/>
            <w:tcBorders>
              <w:top w:val="nil"/>
              <w:left w:val="nil"/>
              <w:bottom w:val="single" w:sz="4" w:space="0" w:color="auto"/>
              <w:right w:val="single" w:sz="8" w:space="0" w:color="auto"/>
            </w:tcBorders>
            <w:shd w:val="clear" w:color="auto" w:fill="auto"/>
            <w:noWrap/>
            <w:vAlign w:val="bottom"/>
            <w:hideMark/>
          </w:tcPr>
          <w:p w14:paraId="0E8C3EAA" w14:textId="0C603B94" w:rsidR="003100D4" w:rsidRPr="00100477" w:rsidRDefault="00C27B79" w:rsidP="00100477">
            <w:pPr>
              <w:spacing w:after="0" w:line="240" w:lineRule="auto"/>
              <w:jc w:val="right"/>
              <w:rPr>
                <w:rFonts w:ascii="Arial" w:eastAsia="Times New Roman" w:hAnsi="Arial" w:cs="Arial"/>
                <w:color w:val="000000"/>
                <w:sz w:val="18"/>
                <w:szCs w:val="18"/>
              </w:rPr>
            </w:pPr>
            <w:r w:rsidRPr="00100477">
              <w:rPr>
                <w:rFonts w:ascii="Arial" w:eastAsia="Times New Roman" w:hAnsi="Arial" w:cs="Arial"/>
                <w:color w:val="000000"/>
                <w:sz w:val="18"/>
                <w:szCs w:val="18"/>
              </w:rPr>
              <w:t>US</w:t>
            </w:r>
            <w:r w:rsidR="003100D4" w:rsidRPr="00100477">
              <w:rPr>
                <w:rFonts w:ascii="Arial" w:eastAsia="Times New Roman" w:hAnsi="Arial" w:cs="Arial"/>
                <w:color w:val="000000"/>
                <w:sz w:val="18"/>
                <w:szCs w:val="18"/>
              </w:rPr>
              <w:t>$</w:t>
            </w:r>
            <w:r w:rsidR="00865FD2" w:rsidRPr="00100477">
              <w:rPr>
                <w:rFonts w:ascii="Arial" w:eastAsia="Times New Roman" w:hAnsi="Arial" w:cs="Arial"/>
                <w:color w:val="000000"/>
                <w:sz w:val="18"/>
                <w:szCs w:val="18"/>
              </w:rPr>
              <w:t>52,296,250</w:t>
            </w:r>
            <w:r w:rsidR="003100D4" w:rsidRPr="00100477">
              <w:rPr>
                <w:rFonts w:ascii="Arial" w:eastAsia="Times New Roman" w:hAnsi="Arial" w:cs="Arial"/>
                <w:color w:val="000000"/>
                <w:sz w:val="18"/>
                <w:szCs w:val="18"/>
              </w:rPr>
              <w:t>.00</w:t>
            </w:r>
          </w:p>
        </w:tc>
      </w:tr>
      <w:tr w:rsidR="003100D4" w:rsidRPr="00251A1E" w14:paraId="0E8C3EB1" w14:textId="77777777" w:rsidTr="00100477">
        <w:trPr>
          <w:trHeight w:val="915"/>
        </w:trPr>
        <w:tc>
          <w:tcPr>
            <w:tcW w:w="1526" w:type="dxa"/>
            <w:tcBorders>
              <w:top w:val="nil"/>
              <w:left w:val="single" w:sz="8" w:space="0" w:color="auto"/>
              <w:bottom w:val="single" w:sz="4" w:space="0" w:color="auto"/>
              <w:right w:val="single" w:sz="4" w:space="0" w:color="auto"/>
            </w:tcBorders>
            <w:shd w:val="clear" w:color="auto" w:fill="auto"/>
            <w:vAlign w:val="bottom"/>
            <w:hideMark/>
          </w:tcPr>
          <w:p w14:paraId="0E8C3EAC" w14:textId="77777777" w:rsidR="003100D4" w:rsidRPr="00100477" w:rsidRDefault="003100D4" w:rsidP="003100D4">
            <w:pPr>
              <w:spacing w:after="0" w:line="240" w:lineRule="auto"/>
              <w:rPr>
                <w:rFonts w:ascii="Arial" w:eastAsia="Times New Roman" w:hAnsi="Arial" w:cs="Arial"/>
                <w:b/>
                <w:bCs/>
                <w:color w:val="000000"/>
                <w:sz w:val="18"/>
                <w:szCs w:val="18"/>
              </w:rPr>
            </w:pPr>
            <w:r w:rsidRPr="00100477">
              <w:rPr>
                <w:rFonts w:ascii="Arial" w:eastAsia="Times New Roman" w:hAnsi="Arial" w:cs="Arial"/>
                <w:b/>
                <w:bCs/>
                <w:color w:val="000000"/>
                <w:sz w:val="18"/>
                <w:szCs w:val="18"/>
              </w:rPr>
              <w:t>VPN (beneficios - costos)</w:t>
            </w:r>
          </w:p>
        </w:tc>
        <w:tc>
          <w:tcPr>
            <w:tcW w:w="1599" w:type="dxa"/>
            <w:tcBorders>
              <w:top w:val="nil"/>
              <w:left w:val="nil"/>
              <w:bottom w:val="single" w:sz="4" w:space="0" w:color="auto"/>
              <w:right w:val="single" w:sz="4" w:space="0" w:color="auto"/>
            </w:tcBorders>
            <w:shd w:val="clear" w:color="auto" w:fill="auto"/>
            <w:noWrap/>
            <w:vAlign w:val="bottom"/>
            <w:hideMark/>
          </w:tcPr>
          <w:p w14:paraId="0E8C3EAD" w14:textId="1ED89E00" w:rsidR="003100D4" w:rsidRPr="00100477" w:rsidRDefault="00C27B79" w:rsidP="003100D4">
            <w:pPr>
              <w:spacing w:after="0" w:line="240" w:lineRule="auto"/>
              <w:ind w:left="-108"/>
              <w:jc w:val="right"/>
              <w:rPr>
                <w:rFonts w:ascii="Arial" w:eastAsia="Times New Roman" w:hAnsi="Arial" w:cs="Arial"/>
                <w:color w:val="000000"/>
                <w:sz w:val="18"/>
                <w:szCs w:val="18"/>
              </w:rPr>
            </w:pPr>
            <w:r w:rsidRPr="00100477">
              <w:rPr>
                <w:rFonts w:ascii="Arial" w:eastAsia="Times New Roman" w:hAnsi="Arial" w:cs="Arial"/>
                <w:color w:val="000000"/>
                <w:sz w:val="18"/>
                <w:szCs w:val="18"/>
              </w:rPr>
              <w:t xml:space="preserve"> US</w:t>
            </w:r>
            <w:r w:rsidR="00B77DC0" w:rsidRPr="00100477">
              <w:rPr>
                <w:rFonts w:ascii="Arial" w:eastAsia="Times New Roman" w:hAnsi="Arial" w:cs="Arial"/>
                <w:color w:val="000000"/>
                <w:sz w:val="18"/>
                <w:szCs w:val="18"/>
              </w:rPr>
              <w:t>$1</w:t>
            </w:r>
            <w:r w:rsidR="00EC46C4" w:rsidRPr="00100477">
              <w:rPr>
                <w:rFonts w:ascii="Arial" w:eastAsia="Times New Roman" w:hAnsi="Arial" w:cs="Arial"/>
                <w:color w:val="000000"/>
                <w:sz w:val="18"/>
                <w:szCs w:val="18"/>
              </w:rPr>
              <w:t>9,691,511.78</w:t>
            </w:r>
          </w:p>
        </w:tc>
        <w:tc>
          <w:tcPr>
            <w:tcW w:w="1959" w:type="dxa"/>
            <w:tcBorders>
              <w:top w:val="nil"/>
              <w:left w:val="nil"/>
              <w:bottom w:val="single" w:sz="4" w:space="0" w:color="auto"/>
              <w:right w:val="single" w:sz="4" w:space="0" w:color="auto"/>
            </w:tcBorders>
            <w:shd w:val="clear" w:color="auto" w:fill="auto"/>
            <w:noWrap/>
            <w:vAlign w:val="bottom"/>
            <w:hideMark/>
          </w:tcPr>
          <w:p w14:paraId="0E8C3EAE" w14:textId="77777777" w:rsidR="003100D4" w:rsidRPr="00100477" w:rsidRDefault="003100D4" w:rsidP="003100D4">
            <w:pPr>
              <w:spacing w:after="0" w:line="240" w:lineRule="auto"/>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 </w:t>
            </w:r>
            <w:r w:rsidR="004F4E8D" w:rsidRPr="00100477">
              <w:rPr>
                <w:rFonts w:ascii="Arial" w:eastAsia="Times New Roman" w:hAnsi="Arial" w:cs="Arial"/>
                <w:b/>
                <w:bCs/>
                <w:color w:val="000000"/>
                <w:sz w:val="18"/>
                <w:szCs w:val="18"/>
                <w:lang w:val="es-CL"/>
              </w:rPr>
              <w:t>VPN sin Comp. 1 (beneficios - costos)</w:t>
            </w:r>
          </w:p>
        </w:tc>
        <w:tc>
          <w:tcPr>
            <w:tcW w:w="1872" w:type="dxa"/>
            <w:tcBorders>
              <w:top w:val="nil"/>
              <w:left w:val="nil"/>
              <w:bottom w:val="single" w:sz="4" w:space="0" w:color="auto"/>
              <w:right w:val="single" w:sz="4" w:space="0" w:color="auto"/>
            </w:tcBorders>
            <w:shd w:val="clear" w:color="auto" w:fill="auto"/>
            <w:noWrap/>
            <w:vAlign w:val="bottom"/>
            <w:hideMark/>
          </w:tcPr>
          <w:p w14:paraId="0E8C3EAF" w14:textId="37A1D1B5" w:rsidR="003100D4" w:rsidRPr="00100477" w:rsidRDefault="003100D4" w:rsidP="003100D4">
            <w:pPr>
              <w:spacing w:after="0" w:line="240" w:lineRule="auto"/>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 </w:t>
            </w:r>
            <w:r w:rsidR="00C27B79" w:rsidRPr="00100477">
              <w:rPr>
                <w:rFonts w:ascii="Arial" w:eastAsia="Times New Roman" w:hAnsi="Arial" w:cs="Arial"/>
                <w:color w:val="000000"/>
                <w:sz w:val="18"/>
                <w:szCs w:val="18"/>
              </w:rPr>
              <w:t>US</w:t>
            </w:r>
            <w:r w:rsidR="00AE0781" w:rsidRPr="00100477">
              <w:rPr>
                <w:rFonts w:ascii="Arial" w:eastAsia="Times New Roman" w:hAnsi="Arial" w:cs="Arial"/>
                <w:color w:val="000000"/>
                <w:sz w:val="18"/>
                <w:szCs w:val="18"/>
                <w:lang w:val="es-CL"/>
              </w:rPr>
              <w:t>$</w:t>
            </w:r>
            <w:r w:rsidR="00B77DC0" w:rsidRPr="00100477">
              <w:rPr>
                <w:rFonts w:ascii="Arial" w:eastAsia="Times New Roman" w:hAnsi="Arial" w:cs="Arial"/>
                <w:color w:val="000000"/>
                <w:sz w:val="18"/>
                <w:szCs w:val="18"/>
                <w:lang w:val="es-CL"/>
              </w:rPr>
              <w:t>1</w:t>
            </w:r>
            <w:r w:rsidR="00EC46C4" w:rsidRPr="00100477">
              <w:rPr>
                <w:rFonts w:ascii="Arial" w:eastAsia="Times New Roman" w:hAnsi="Arial" w:cs="Arial"/>
                <w:color w:val="000000"/>
                <w:sz w:val="18"/>
                <w:szCs w:val="18"/>
                <w:lang w:val="es-CL"/>
              </w:rPr>
              <w:t>7,036,666.44</w:t>
            </w:r>
          </w:p>
        </w:tc>
        <w:tc>
          <w:tcPr>
            <w:tcW w:w="1739" w:type="dxa"/>
            <w:tcBorders>
              <w:top w:val="nil"/>
              <w:left w:val="nil"/>
              <w:bottom w:val="single" w:sz="4" w:space="0" w:color="auto"/>
              <w:right w:val="single" w:sz="8" w:space="0" w:color="auto"/>
            </w:tcBorders>
            <w:shd w:val="clear" w:color="auto" w:fill="auto"/>
            <w:noWrap/>
            <w:vAlign w:val="bottom"/>
            <w:hideMark/>
          </w:tcPr>
          <w:p w14:paraId="0E8C3EB0" w14:textId="77777777" w:rsidR="003100D4" w:rsidRPr="00100477" w:rsidRDefault="003100D4" w:rsidP="003100D4">
            <w:pPr>
              <w:spacing w:after="0" w:line="240" w:lineRule="auto"/>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 </w:t>
            </w:r>
          </w:p>
        </w:tc>
      </w:tr>
      <w:tr w:rsidR="003100D4" w:rsidRPr="00251A1E" w14:paraId="0E8C3EB7" w14:textId="77777777" w:rsidTr="00100477">
        <w:trPr>
          <w:trHeight w:val="300"/>
        </w:trPr>
        <w:tc>
          <w:tcPr>
            <w:tcW w:w="1526" w:type="dxa"/>
            <w:tcBorders>
              <w:top w:val="nil"/>
              <w:left w:val="single" w:sz="8" w:space="0" w:color="auto"/>
              <w:bottom w:val="single" w:sz="4" w:space="0" w:color="auto"/>
              <w:right w:val="single" w:sz="4" w:space="0" w:color="auto"/>
            </w:tcBorders>
            <w:shd w:val="clear" w:color="auto" w:fill="auto"/>
            <w:noWrap/>
            <w:vAlign w:val="bottom"/>
            <w:hideMark/>
          </w:tcPr>
          <w:p w14:paraId="0E8C3EB2" w14:textId="77777777" w:rsidR="003100D4" w:rsidRPr="00100477" w:rsidRDefault="003100D4" w:rsidP="003100D4">
            <w:pPr>
              <w:spacing w:after="0" w:line="240" w:lineRule="auto"/>
              <w:rPr>
                <w:rFonts w:ascii="Arial" w:eastAsia="Times New Roman" w:hAnsi="Arial" w:cs="Arial"/>
                <w:b/>
                <w:bCs/>
                <w:color w:val="000000"/>
                <w:sz w:val="18"/>
                <w:szCs w:val="18"/>
                <w:lang w:val="es-CL"/>
              </w:rPr>
            </w:pPr>
            <w:r w:rsidRPr="00100477">
              <w:rPr>
                <w:rFonts w:ascii="Arial" w:eastAsia="Times New Roman" w:hAnsi="Arial" w:cs="Arial"/>
                <w:b/>
                <w:bCs/>
                <w:color w:val="000000"/>
                <w:sz w:val="18"/>
                <w:szCs w:val="18"/>
                <w:lang w:val="es-CL"/>
              </w:rPr>
              <w:t>TIR</w:t>
            </w:r>
          </w:p>
        </w:tc>
        <w:tc>
          <w:tcPr>
            <w:tcW w:w="1599" w:type="dxa"/>
            <w:tcBorders>
              <w:top w:val="nil"/>
              <w:left w:val="nil"/>
              <w:bottom w:val="single" w:sz="4" w:space="0" w:color="auto"/>
              <w:right w:val="single" w:sz="4" w:space="0" w:color="auto"/>
            </w:tcBorders>
            <w:shd w:val="clear" w:color="auto" w:fill="auto"/>
            <w:noWrap/>
            <w:vAlign w:val="bottom"/>
            <w:hideMark/>
          </w:tcPr>
          <w:p w14:paraId="0E8C3EB3" w14:textId="2461D490" w:rsidR="003100D4" w:rsidRPr="00100477" w:rsidRDefault="00EC46C4" w:rsidP="003100D4">
            <w:pPr>
              <w:spacing w:after="0" w:line="240" w:lineRule="auto"/>
              <w:jc w:val="right"/>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26</w:t>
            </w:r>
            <w:r w:rsidR="00B77DC0" w:rsidRPr="00100477">
              <w:rPr>
                <w:rFonts w:ascii="Arial" w:eastAsia="Times New Roman" w:hAnsi="Arial" w:cs="Arial"/>
                <w:color w:val="000000"/>
                <w:sz w:val="18"/>
                <w:szCs w:val="18"/>
                <w:lang w:val="es-CL"/>
              </w:rPr>
              <w:t>.</w:t>
            </w:r>
            <w:r w:rsidRPr="00100477">
              <w:rPr>
                <w:rFonts w:ascii="Arial" w:eastAsia="Times New Roman" w:hAnsi="Arial" w:cs="Arial"/>
                <w:color w:val="000000"/>
                <w:sz w:val="18"/>
                <w:szCs w:val="18"/>
                <w:lang w:val="es-CL"/>
              </w:rPr>
              <w:t>32</w:t>
            </w:r>
            <w:r w:rsidR="003100D4" w:rsidRPr="00100477">
              <w:rPr>
                <w:rFonts w:ascii="Arial" w:eastAsia="Times New Roman" w:hAnsi="Arial" w:cs="Arial"/>
                <w:color w:val="000000"/>
                <w:sz w:val="18"/>
                <w:szCs w:val="18"/>
                <w:lang w:val="es-CL"/>
              </w:rPr>
              <w:t>%</w:t>
            </w:r>
          </w:p>
        </w:tc>
        <w:tc>
          <w:tcPr>
            <w:tcW w:w="1959" w:type="dxa"/>
            <w:tcBorders>
              <w:top w:val="nil"/>
              <w:left w:val="nil"/>
              <w:bottom w:val="single" w:sz="4" w:space="0" w:color="auto"/>
              <w:right w:val="single" w:sz="4" w:space="0" w:color="auto"/>
            </w:tcBorders>
            <w:shd w:val="clear" w:color="auto" w:fill="auto"/>
            <w:noWrap/>
            <w:vAlign w:val="bottom"/>
            <w:hideMark/>
          </w:tcPr>
          <w:p w14:paraId="0E8C3EB4" w14:textId="77777777" w:rsidR="003100D4" w:rsidRPr="00100477" w:rsidRDefault="003100D4" w:rsidP="003100D4">
            <w:pPr>
              <w:spacing w:after="0" w:line="240" w:lineRule="auto"/>
              <w:rPr>
                <w:rFonts w:ascii="Arial" w:eastAsia="Times New Roman" w:hAnsi="Arial" w:cs="Arial"/>
                <w:b/>
                <w:bCs/>
                <w:color w:val="000000"/>
                <w:sz w:val="18"/>
                <w:szCs w:val="18"/>
                <w:lang w:val="es-CL"/>
              </w:rPr>
            </w:pPr>
            <w:r w:rsidRPr="00100477">
              <w:rPr>
                <w:rFonts w:ascii="Arial" w:eastAsia="Times New Roman" w:hAnsi="Arial" w:cs="Arial"/>
                <w:b/>
                <w:bCs/>
                <w:color w:val="000000"/>
                <w:sz w:val="18"/>
                <w:szCs w:val="18"/>
                <w:lang w:val="es-CL"/>
              </w:rPr>
              <w:t>TIR sin Comp. 1</w:t>
            </w:r>
          </w:p>
        </w:tc>
        <w:tc>
          <w:tcPr>
            <w:tcW w:w="1872" w:type="dxa"/>
            <w:tcBorders>
              <w:top w:val="nil"/>
              <w:left w:val="nil"/>
              <w:bottom w:val="single" w:sz="4" w:space="0" w:color="auto"/>
              <w:right w:val="single" w:sz="4" w:space="0" w:color="auto"/>
            </w:tcBorders>
            <w:shd w:val="clear" w:color="auto" w:fill="auto"/>
            <w:noWrap/>
            <w:vAlign w:val="bottom"/>
            <w:hideMark/>
          </w:tcPr>
          <w:p w14:paraId="0E8C3EB5" w14:textId="1EB2510B" w:rsidR="003100D4" w:rsidRPr="00100477" w:rsidRDefault="00EC46C4" w:rsidP="003100D4">
            <w:pPr>
              <w:spacing w:after="0" w:line="240" w:lineRule="auto"/>
              <w:jc w:val="right"/>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24</w:t>
            </w:r>
            <w:r w:rsidR="00B77DC0" w:rsidRPr="00100477">
              <w:rPr>
                <w:rFonts w:ascii="Arial" w:eastAsia="Times New Roman" w:hAnsi="Arial" w:cs="Arial"/>
                <w:color w:val="000000"/>
                <w:sz w:val="18"/>
                <w:szCs w:val="18"/>
                <w:lang w:val="es-CL"/>
              </w:rPr>
              <w:t>.</w:t>
            </w:r>
            <w:r w:rsidRPr="00100477">
              <w:rPr>
                <w:rFonts w:ascii="Arial" w:eastAsia="Times New Roman" w:hAnsi="Arial" w:cs="Arial"/>
                <w:color w:val="000000"/>
                <w:sz w:val="18"/>
                <w:szCs w:val="18"/>
                <w:lang w:val="es-CL"/>
              </w:rPr>
              <w:t>81</w:t>
            </w:r>
            <w:r w:rsidR="003100D4" w:rsidRPr="00100477">
              <w:rPr>
                <w:rFonts w:ascii="Arial" w:eastAsia="Times New Roman" w:hAnsi="Arial" w:cs="Arial"/>
                <w:color w:val="000000"/>
                <w:sz w:val="18"/>
                <w:szCs w:val="18"/>
                <w:lang w:val="es-CL"/>
              </w:rPr>
              <w:t>%</w:t>
            </w:r>
          </w:p>
        </w:tc>
        <w:tc>
          <w:tcPr>
            <w:tcW w:w="1739" w:type="dxa"/>
            <w:tcBorders>
              <w:top w:val="nil"/>
              <w:left w:val="nil"/>
              <w:bottom w:val="single" w:sz="4" w:space="0" w:color="auto"/>
              <w:right w:val="single" w:sz="8" w:space="0" w:color="auto"/>
            </w:tcBorders>
            <w:shd w:val="clear" w:color="auto" w:fill="auto"/>
            <w:noWrap/>
            <w:vAlign w:val="bottom"/>
            <w:hideMark/>
          </w:tcPr>
          <w:p w14:paraId="0E8C3EB6" w14:textId="77777777" w:rsidR="003100D4" w:rsidRPr="00100477" w:rsidRDefault="003100D4" w:rsidP="003100D4">
            <w:pPr>
              <w:spacing w:after="0" w:line="240" w:lineRule="auto"/>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 </w:t>
            </w:r>
          </w:p>
        </w:tc>
      </w:tr>
      <w:tr w:rsidR="003100D4" w:rsidRPr="00251A1E" w14:paraId="0E8C3EBD" w14:textId="77777777" w:rsidTr="00100477">
        <w:trPr>
          <w:trHeight w:val="690"/>
        </w:trPr>
        <w:tc>
          <w:tcPr>
            <w:tcW w:w="1526" w:type="dxa"/>
            <w:tcBorders>
              <w:top w:val="nil"/>
              <w:left w:val="single" w:sz="8" w:space="0" w:color="auto"/>
              <w:bottom w:val="single" w:sz="8" w:space="0" w:color="auto"/>
              <w:right w:val="single" w:sz="4" w:space="0" w:color="auto"/>
            </w:tcBorders>
            <w:shd w:val="clear" w:color="auto" w:fill="auto"/>
            <w:vAlign w:val="bottom"/>
            <w:hideMark/>
          </w:tcPr>
          <w:p w14:paraId="0E8C3EB8" w14:textId="77777777" w:rsidR="003100D4" w:rsidRPr="00100477" w:rsidRDefault="003100D4" w:rsidP="003100D4">
            <w:pPr>
              <w:spacing w:after="0" w:line="240" w:lineRule="auto"/>
              <w:rPr>
                <w:rFonts w:ascii="Arial" w:eastAsia="Times New Roman" w:hAnsi="Arial" w:cs="Arial"/>
                <w:b/>
                <w:bCs/>
                <w:color w:val="000000"/>
                <w:sz w:val="18"/>
                <w:szCs w:val="18"/>
                <w:lang w:val="es-CL"/>
              </w:rPr>
            </w:pPr>
            <w:r w:rsidRPr="00100477">
              <w:rPr>
                <w:rFonts w:ascii="Arial" w:eastAsia="Times New Roman" w:hAnsi="Arial" w:cs="Arial"/>
                <w:b/>
                <w:bCs/>
                <w:color w:val="000000"/>
                <w:sz w:val="18"/>
                <w:szCs w:val="18"/>
                <w:lang w:val="es-CL"/>
              </w:rPr>
              <w:t>Razón Beneficio-costo</w:t>
            </w:r>
          </w:p>
        </w:tc>
        <w:tc>
          <w:tcPr>
            <w:tcW w:w="1599" w:type="dxa"/>
            <w:tcBorders>
              <w:top w:val="nil"/>
              <w:left w:val="nil"/>
              <w:bottom w:val="single" w:sz="8" w:space="0" w:color="auto"/>
              <w:right w:val="single" w:sz="4" w:space="0" w:color="auto"/>
            </w:tcBorders>
            <w:shd w:val="clear" w:color="auto" w:fill="auto"/>
            <w:noWrap/>
            <w:vAlign w:val="bottom"/>
            <w:hideMark/>
          </w:tcPr>
          <w:p w14:paraId="0E8C3EB9" w14:textId="39DBD456" w:rsidR="003100D4" w:rsidRPr="00100477" w:rsidRDefault="00AE0781" w:rsidP="003100D4">
            <w:pPr>
              <w:spacing w:after="0" w:line="240" w:lineRule="auto"/>
              <w:jc w:val="right"/>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1.</w:t>
            </w:r>
            <w:r w:rsidR="00EC46C4" w:rsidRPr="00100477">
              <w:rPr>
                <w:rFonts w:ascii="Arial" w:eastAsia="Times New Roman" w:hAnsi="Arial" w:cs="Arial"/>
                <w:color w:val="000000"/>
                <w:sz w:val="18"/>
                <w:szCs w:val="18"/>
                <w:lang w:val="es-CL"/>
              </w:rPr>
              <w:t>3</w:t>
            </w:r>
            <w:r w:rsidR="00B77DC0" w:rsidRPr="00100477">
              <w:rPr>
                <w:rFonts w:ascii="Arial" w:eastAsia="Times New Roman" w:hAnsi="Arial" w:cs="Arial"/>
                <w:color w:val="000000"/>
                <w:sz w:val="18"/>
                <w:szCs w:val="18"/>
                <w:lang w:val="es-CL"/>
              </w:rPr>
              <w:t>8</w:t>
            </w:r>
          </w:p>
        </w:tc>
        <w:tc>
          <w:tcPr>
            <w:tcW w:w="1959" w:type="dxa"/>
            <w:tcBorders>
              <w:top w:val="nil"/>
              <w:left w:val="nil"/>
              <w:bottom w:val="single" w:sz="8" w:space="0" w:color="auto"/>
              <w:right w:val="single" w:sz="4" w:space="0" w:color="auto"/>
            </w:tcBorders>
            <w:shd w:val="clear" w:color="auto" w:fill="auto"/>
            <w:vAlign w:val="bottom"/>
            <w:hideMark/>
          </w:tcPr>
          <w:p w14:paraId="0E8C3EBA" w14:textId="77777777" w:rsidR="003100D4" w:rsidRPr="00100477" w:rsidRDefault="003100D4" w:rsidP="003100D4">
            <w:pPr>
              <w:spacing w:after="0" w:line="240" w:lineRule="auto"/>
              <w:rPr>
                <w:rFonts w:ascii="Arial" w:eastAsia="Times New Roman" w:hAnsi="Arial" w:cs="Arial"/>
                <w:b/>
                <w:bCs/>
                <w:color w:val="000000"/>
                <w:sz w:val="18"/>
                <w:szCs w:val="18"/>
                <w:lang w:val="es-CL"/>
              </w:rPr>
            </w:pPr>
            <w:r w:rsidRPr="00100477">
              <w:rPr>
                <w:rFonts w:ascii="Arial" w:eastAsia="Times New Roman" w:hAnsi="Arial" w:cs="Arial"/>
                <w:b/>
                <w:bCs/>
                <w:color w:val="000000"/>
                <w:sz w:val="18"/>
                <w:szCs w:val="18"/>
                <w:lang w:val="es-CL"/>
              </w:rPr>
              <w:t>Razon B-C sin Comp. 1</w:t>
            </w:r>
          </w:p>
        </w:tc>
        <w:tc>
          <w:tcPr>
            <w:tcW w:w="1872" w:type="dxa"/>
            <w:tcBorders>
              <w:top w:val="nil"/>
              <w:left w:val="nil"/>
              <w:bottom w:val="single" w:sz="8" w:space="0" w:color="auto"/>
              <w:right w:val="single" w:sz="4" w:space="0" w:color="auto"/>
            </w:tcBorders>
            <w:shd w:val="clear" w:color="auto" w:fill="auto"/>
            <w:noWrap/>
            <w:vAlign w:val="bottom"/>
            <w:hideMark/>
          </w:tcPr>
          <w:p w14:paraId="0E8C3EBB" w14:textId="416DA9B4" w:rsidR="003100D4" w:rsidRPr="00100477" w:rsidRDefault="00AE0781" w:rsidP="003100D4">
            <w:pPr>
              <w:spacing w:after="0" w:line="240" w:lineRule="auto"/>
              <w:jc w:val="right"/>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1.</w:t>
            </w:r>
            <w:r w:rsidR="00EC46C4" w:rsidRPr="00100477">
              <w:rPr>
                <w:rFonts w:ascii="Arial" w:eastAsia="Times New Roman" w:hAnsi="Arial" w:cs="Arial"/>
                <w:color w:val="000000"/>
                <w:sz w:val="18"/>
                <w:szCs w:val="18"/>
                <w:lang w:val="es-CL"/>
              </w:rPr>
              <w:t>33</w:t>
            </w:r>
          </w:p>
        </w:tc>
        <w:tc>
          <w:tcPr>
            <w:tcW w:w="1739" w:type="dxa"/>
            <w:tcBorders>
              <w:top w:val="nil"/>
              <w:left w:val="nil"/>
              <w:bottom w:val="single" w:sz="8" w:space="0" w:color="auto"/>
              <w:right w:val="single" w:sz="8" w:space="0" w:color="auto"/>
            </w:tcBorders>
            <w:shd w:val="clear" w:color="auto" w:fill="auto"/>
            <w:noWrap/>
            <w:vAlign w:val="bottom"/>
            <w:hideMark/>
          </w:tcPr>
          <w:p w14:paraId="0E8C3EBC" w14:textId="77777777" w:rsidR="003100D4" w:rsidRPr="00100477" w:rsidRDefault="003100D4" w:rsidP="003100D4">
            <w:pPr>
              <w:spacing w:after="0" w:line="240" w:lineRule="auto"/>
              <w:rPr>
                <w:rFonts w:ascii="Arial" w:eastAsia="Times New Roman" w:hAnsi="Arial" w:cs="Arial"/>
                <w:color w:val="000000"/>
                <w:sz w:val="18"/>
                <w:szCs w:val="18"/>
                <w:lang w:val="es-CL"/>
              </w:rPr>
            </w:pPr>
            <w:r w:rsidRPr="00100477">
              <w:rPr>
                <w:rFonts w:ascii="Arial" w:eastAsia="Times New Roman" w:hAnsi="Arial" w:cs="Arial"/>
                <w:color w:val="000000"/>
                <w:sz w:val="18"/>
                <w:szCs w:val="18"/>
                <w:lang w:val="es-CL"/>
              </w:rPr>
              <w:t> </w:t>
            </w:r>
          </w:p>
        </w:tc>
      </w:tr>
    </w:tbl>
    <w:p w14:paraId="0E8C3EBE" w14:textId="77777777" w:rsidR="003100D4" w:rsidRPr="00251A1E" w:rsidRDefault="003100D4" w:rsidP="003100D4">
      <w:pPr>
        <w:rPr>
          <w:rFonts w:ascii="Arial" w:hAnsi="Arial" w:cs="Arial"/>
          <w:lang w:val="es-CL"/>
        </w:rPr>
      </w:pPr>
    </w:p>
    <w:p w14:paraId="0E8C3EBF" w14:textId="44B7E8B7" w:rsidR="003100D4" w:rsidRPr="00251A1E" w:rsidRDefault="004F4E8D"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Dada la información anterior, el proyecto se considera rentable, co</w:t>
      </w:r>
      <w:r w:rsidR="007D4DDC" w:rsidRPr="00251A1E">
        <w:rPr>
          <w:rFonts w:ascii="Arial" w:hAnsi="Arial" w:cs="Arial"/>
          <w:lang w:val="es-CL"/>
        </w:rPr>
        <w:t xml:space="preserve">n una </w:t>
      </w:r>
      <w:r w:rsidR="00AF14C0" w:rsidRPr="00251A1E">
        <w:rPr>
          <w:rFonts w:ascii="Arial" w:hAnsi="Arial" w:cs="Arial"/>
          <w:lang w:val="es-CL"/>
        </w:rPr>
        <w:t>ganancia esperada de US$</w:t>
      </w:r>
      <w:r w:rsidR="007E1838">
        <w:rPr>
          <w:rFonts w:ascii="Arial" w:hAnsi="Arial" w:cs="Arial"/>
          <w:lang w:val="es-CL"/>
        </w:rPr>
        <w:t>1</w:t>
      </w:r>
      <w:r w:rsidR="00EC46C4">
        <w:rPr>
          <w:rFonts w:ascii="Arial" w:hAnsi="Arial" w:cs="Arial"/>
          <w:lang w:val="es-CL"/>
        </w:rPr>
        <w:t>9</w:t>
      </w:r>
      <w:r w:rsidR="00EC46C4" w:rsidRPr="00251A1E">
        <w:rPr>
          <w:rFonts w:ascii="Arial" w:hAnsi="Arial" w:cs="Arial"/>
          <w:lang w:val="es-CL"/>
        </w:rPr>
        <w:t>,</w:t>
      </w:r>
      <w:r w:rsidR="00EC46C4">
        <w:rPr>
          <w:rFonts w:ascii="Arial" w:hAnsi="Arial" w:cs="Arial"/>
          <w:lang w:val="es-CL"/>
        </w:rPr>
        <w:t>691,511.78</w:t>
      </w:r>
      <w:r w:rsidR="00AF14C0" w:rsidRPr="00251A1E">
        <w:rPr>
          <w:rFonts w:ascii="Arial" w:hAnsi="Arial" w:cs="Arial"/>
          <w:lang w:val="es-CL"/>
        </w:rPr>
        <w:t xml:space="preserve"> (US$</w:t>
      </w:r>
      <w:r w:rsidR="007E1838">
        <w:rPr>
          <w:rFonts w:ascii="Arial" w:hAnsi="Arial" w:cs="Arial"/>
          <w:lang w:val="es-CL"/>
        </w:rPr>
        <w:t>1</w:t>
      </w:r>
      <w:r w:rsidR="00EC46C4">
        <w:rPr>
          <w:rFonts w:ascii="Arial" w:hAnsi="Arial" w:cs="Arial"/>
          <w:lang w:val="es-CL"/>
        </w:rPr>
        <w:t>7,036,666.44</w:t>
      </w:r>
      <w:r w:rsidRPr="00251A1E">
        <w:rPr>
          <w:rFonts w:ascii="Arial" w:hAnsi="Arial" w:cs="Arial"/>
          <w:lang w:val="es-CL"/>
        </w:rPr>
        <w:t xml:space="preserve"> sin incluir componente 1)</w:t>
      </w:r>
      <w:r w:rsidR="006F52DD" w:rsidRPr="00251A1E">
        <w:rPr>
          <w:rFonts w:ascii="Arial" w:hAnsi="Arial" w:cs="Arial"/>
          <w:lang w:val="es-CL"/>
        </w:rPr>
        <w:t>.</w:t>
      </w:r>
    </w:p>
    <w:p w14:paraId="0E8C3EC0" w14:textId="77777777" w:rsidR="004F4E8D" w:rsidRPr="00251A1E" w:rsidRDefault="004F4E8D" w:rsidP="003100D4">
      <w:pPr>
        <w:rPr>
          <w:rFonts w:ascii="Arial" w:hAnsi="Arial" w:cs="Arial"/>
          <w:lang w:val="es-CL"/>
        </w:rPr>
      </w:pPr>
    </w:p>
    <w:p w14:paraId="0E8C3EC1" w14:textId="77777777" w:rsidR="004F4E8D" w:rsidRPr="005F776A" w:rsidRDefault="004F4E8D" w:rsidP="00DE2D22">
      <w:pPr>
        <w:pStyle w:val="ListParagraph"/>
        <w:numPr>
          <w:ilvl w:val="0"/>
          <w:numId w:val="7"/>
        </w:numPr>
        <w:ind w:hanging="720"/>
        <w:rPr>
          <w:rFonts w:ascii="Arial" w:hAnsi="Arial"/>
          <w:b/>
          <w:lang w:val="es-CL"/>
        </w:rPr>
      </w:pPr>
      <w:r w:rsidRPr="005F776A">
        <w:rPr>
          <w:rFonts w:ascii="Arial" w:hAnsi="Arial"/>
          <w:b/>
          <w:lang w:val="es-CL"/>
        </w:rPr>
        <w:t>Análisis de Sensibilidad</w:t>
      </w:r>
    </w:p>
    <w:p w14:paraId="0E8C3EC2" w14:textId="77777777" w:rsidR="004F4E8D" w:rsidRPr="00251A1E" w:rsidRDefault="004F4E8D"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sidRPr="00251A1E">
        <w:rPr>
          <w:rFonts w:ascii="Arial" w:hAnsi="Arial" w:cs="Arial"/>
          <w:lang w:val="es-CL"/>
        </w:rPr>
        <w:t xml:space="preserve">De acuerdo a lo discutido en la sección de supuestos y metodología, el cálculo de los posibles beneficios depende </w:t>
      </w:r>
      <w:r w:rsidR="006F52DD" w:rsidRPr="00251A1E">
        <w:rPr>
          <w:rFonts w:ascii="Arial" w:hAnsi="Arial" w:cs="Arial"/>
          <w:lang w:val="es-CL"/>
        </w:rPr>
        <w:t xml:space="preserve">de algunos supuestos. En todos los casos se usaron parámetros que estuvieran en el rango más conservador de la evidencia existente, ya sea cuando se contaba información similar en Perú o cuando se interpoló de casos similares en el resto del mundo.  </w:t>
      </w:r>
      <w:r w:rsidR="00FC39CE" w:rsidRPr="00251A1E">
        <w:rPr>
          <w:rFonts w:ascii="Arial" w:hAnsi="Arial" w:cs="Arial"/>
          <w:lang w:val="es-CL"/>
        </w:rPr>
        <w:t>Sin embargo, se proponen 5</w:t>
      </w:r>
      <w:r w:rsidR="006F52DD" w:rsidRPr="00251A1E">
        <w:rPr>
          <w:rFonts w:ascii="Arial" w:hAnsi="Arial" w:cs="Arial"/>
          <w:lang w:val="es-CL"/>
        </w:rPr>
        <w:t xml:space="preserve"> escenarios alternativos para poder estudiar el retorno del proyecto al cambiar algunos supuestos importantes</w:t>
      </w:r>
    </w:p>
    <w:p w14:paraId="0E8C3EC3" w14:textId="3E66FF5A" w:rsidR="006F52DD" w:rsidRPr="00251A1E" w:rsidRDefault="006F52DD" w:rsidP="007E1838">
      <w:pPr>
        <w:pStyle w:val="ListParagraph"/>
        <w:numPr>
          <w:ilvl w:val="0"/>
          <w:numId w:val="6"/>
        </w:numPr>
        <w:jc w:val="both"/>
        <w:rPr>
          <w:rFonts w:ascii="Arial" w:hAnsi="Arial" w:cs="Arial"/>
          <w:lang w:val="es-CL"/>
        </w:rPr>
      </w:pPr>
      <w:r w:rsidRPr="00251A1E">
        <w:rPr>
          <w:rFonts w:ascii="Arial" w:hAnsi="Arial" w:cs="Arial"/>
          <w:b/>
          <w:lang w:val="es-CL"/>
        </w:rPr>
        <w:t xml:space="preserve">Escenario 1: </w:t>
      </w:r>
      <w:r w:rsidR="002D57D0" w:rsidRPr="00251A1E">
        <w:rPr>
          <w:rFonts w:ascii="Arial" w:hAnsi="Arial" w:cs="Arial"/>
          <w:lang w:val="es-CL"/>
        </w:rPr>
        <w:t>Suponer una demanda por servicios de MAC presenciales con un crecimiento más lento que en el escenario base. Si suponemos que en vez de una progresión: 0.1 - 0.5 – 0.7 – 0.8 – 1.0 – 1.0 – 1.0 – 1.0 – 1.0</w:t>
      </w:r>
      <w:r w:rsidR="007E1838">
        <w:rPr>
          <w:rFonts w:ascii="Arial" w:hAnsi="Arial" w:cs="Arial"/>
          <w:lang w:val="es-CL"/>
        </w:rPr>
        <w:t xml:space="preserve"> trámites por persona económicamente activa por año</w:t>
      </w:r>
      <w:r w:rsidR="002D57D0" w:rsidRPr="00251A1E">
        <w:rPr>
          <w:rFonts w:ascii="Arial" w:hAnsi="Arial" w:cs="Arial"/>
          <w:lang w:val="es-CL"/>
        </w:rPr>
        <w:t>, ahora consideramos la progresión: 0.1 – 0.3 – 0.5 – 0.7</w:t>
      </w:r>
      <w:r w:rsidR="007F124B" w:rsidRPr="00251A1E">
        <w:rPr>
          <w:rFonts w:ascii="Arial" w:hAnsi="Arial" w:cs="Arial"/>
          <w:lang w:val="es-CL"/>
        </w:rPr>
        <w:t>5</w:t>
      </w:r>
      <w:r w:rsidR="002D57D0" w:rsidRPr="00251A1E">
        <w:rPr>
          <w:rFonts w:ascii="Arial" w:hAnsi="Arial" w:cs="Arial"/>
          <w:lang w:val="es-CL"/>
        </w:rPr>
        <w:t xml:space="preserve"> – 0.9 – 1.0 – 1.0 – 1.0</w:t>
      </w:r>
      <w:r w:rsidR="008130A5" w:rsidRPr="00251A1E">
        <w:rPr>
          <w:rFonts w:ascii="Arial" w:hAnsi="Arial" w:cs="Arial"/>
          <w:lang w:val="es-CL"/>
        </w:rPr>
        <w:t xml:space="preserve"> – </w:t>
      </w:r>
      <w:r w:rsidR="007F124B" w:rsidRPr="00251A1E">
        <w:rPr>
          <w:rFonts w:ascii="Arial" w:hAnsi="Arial" w:cs="Arial"/>
          <w:lang w:val="es-CL"/>
        </w:rPr>
        <w:t xml:space="preserve">1.0. Se obtiene una TIR de </w:t>
      </w:r>
      <w:r w:rsidR="00EC46C4">
        <w:rPr>
          <w:rFonts w:ascii="Arial" w:hAnsi="Arial" w:cs="Arial"/>
          <w:lang w:val="es-CL"/>
        </w:rPr>
        <w:t>23</w:t>
      </w:r>
      <w:r w:rsidR="007F124B" w:rsidRPr="00251A1E">
        <w:rPr>
          <w:rFonts w:ascii="Arial" w:hAnsi="Arial" w:cs="Arial"/>
          <w:lang w:val="es-CL"/>
        </w:rPr>
        <w:t>.</w:t>
      </w:r>
      <w:r w:rsidR="00EC46C4">
        <w:rPr>
          <w:rFonts w:ascii="Arial" w:hAnsi="Arial" w:cs="Arial"/>
          <w:lang w:val="es-CL"/>
        </w:rPr>
        <w:t>55</w:t>
      </w:r>
      <w:r w:rsidR="002D57D0" w:rsidRPr="00251A1E">
        <w:rPr>
          <w:rFonts w:ascii="Arial" w:hAnsi="Arial" w:cs="Arial"/>
          <w:lang w:val="es-CL"/>
        </w:rPr>
        <w:t>% y una razón de be</w:t>
      </w:r>
      <w:r w:rsidR="008130A5" w:rsidRPr="00251A1E">
        <w:rPr>
          <w:rFonts w:ascii="Arial" w:hAnsi="Arial" w:cs="Arial"/>
          <w:lang w:val="es-CL"/>
        </w:rPr>
        <w:t>nefici</w:t>
      </w:r>
      <w:r w:rsidR="007F124B" w:rsidRPr="00251A1E">
        <w:rPr>
          <w:rFonts w:ascii="Arial" w:hAnsi="Arial" w:cs="Arial"/>
          <w:lang w:val="es-CL"/>
        </w:rPr>
        <w:t>o a costo de 1.</w:t>
      </w:r>
      <w:r w:rsidR="0016009A">
        <w:rPr>
          <w:rFonts w:ascii="Arial" w:hAnsi="Arial" w:cs="Arial"/>
          <w:lang w:val="es-CL"/>
        </w:rPr>
        <w:t>2</w:t>
      </w:r>
      <w:r w:rsidR="00EC46C4">
        <w:rPr>
          <w:rFonts w:ascii="Arial" w:hAnsi="Arial" w:cs="Arial"/>
          <w:lang w:val="es-CL"/>
        </w:rPr>
        <w:t>9</w:t>
      </w:r>
      <w:r w:rsidR="002D57D0" w:rsidRPr="00251A1E">
        <w:rPr>
          <w:rFonts w:ascii="Arial" w:hAnsi="Arial" w:cs="Arial"/>
          <w:lang w:val="es-CL"/>
        </w:rPr>
        <w:t>. En el caso de no considerar los beneficios indirectos de</w:t>
      </w:r>
      <w:r w:rsidR="001D5796">
        <w:rPr>
          <w:rFonts w:ascii="Arial" w:hAnsi="Arial" w:cs="Arial"/>
          <w:lang w:val="es-CL"/>
        </w:rPr>
        <w:t>l</w:t>
      </w:r>
      <w:r w:rsidR="002D57D0" w:rsidRPr="00251A1E">
        <w:rPr>
          <w:rFonts w:ascii="Arial" w:hAnsi="Arial" w:cs="Arial"/>
          <w:lang w:val="es-CL"/>
        </w:rPr>
        <w:t xml:space="preserve"> compo</w:t>
      </w:r>
      <w:r w:rsidR="007F124B" w:rsidRPr="00251A1E">
        <w:rPr>
          <w:rFonts w:ascii="Arial" w:hAnsi="Arial" w:cs="Arial"/>
          <w:lang w:val="es-CL"/>
        </w:rPr>
        <w:t xml:space="preserve">nente 1, la TIR corresponde a </w:t>
      </w:r>
      <w:r w:rsidR="00EC46C4">
        <w:rPr>
          <w:rFonts w:ascii="Arial" w:hAnsi="Arial" w:cs="Arial"/>
          <w:lang w:val="es-CL"/>
        </w:rPr>
        <w:t>22</w:t>
      </w:r>
      <w:r w:rsidR="001D5796">
        <w:rPr>
          <w:rFonts w:ascii="Arial" w:hAnsi="Arial" w:cs="Arial"/>
          <w:lang w:val="es-CL"/>
        </w:rPr>
        <w:t>.</w:t>
      </w:r>
      <w:r w:rsidR="00EC46C4">
        <w:rPr>
          <w:rFonts w:ascii="Arial" w:hAnsi="Arial" w:cs="Arial"/>
          <w:lang w:val="es-CL"/>
        </w:rPr>
        <w:t>04</w:t>
      </w:r>
      <w:r w:rsidR="002D57D0" w:rsidRPr="00251A1E">
        <w:rPr>
          <w:rFonts w:ascii="Arial" w:hAnsi="Arial" w:cs="Arial"/>
          <w:lang w:val="es-CL"/>
        </w:rPr>
        <w:t xml:space="preserve"> y la raz</w:t>
      </w:r>
      <w:r w:rsidR="007F124B" w:rsidRPr="00251A1E">
        <w:rPr>
          <w:rFonts w:ascii="Arial" w:hAnsi="Arial" w:cs="Arial"/>
          <w:lang w:val="es-CL"/>
        </w:rPr>
        <w:t>ón beneficio – costo baja a 1</w:t>
      </w:r>
      <w:r w:rsidR="001D5796">
        <w:rPr>
          <w:rFonts w:ascii="Arial" w:hAnsi="Arial" w:cs="Arial"/>
          <w:lang w:val="es-CL"/>
        </w:rPr>
        <w:t>.</w:t>
      </w:r>
      <w:r w:rsidR="00EC46C4">
        <w:rPr>
          <w:rFonts w:ascii="Arial" w:hAnsi="Arial" w:cs="Arial"/>
          <w:lang w:val="es-CL"/>
        </w:rPr>
        <w:t>23</w:t>
      </w:r>
      <w:r w:rsidR="002D57D0" w:rsidRPr="00251A1E">
        <w:rPr>
          <w:rFonts w:ascii="Arial" w:hAnsi="Arial" w:cs="Arial"/>
          <w:lang w:val="es-CL"/>
        </w:rPr>
        <w:t>.</w:t>
      </w:r>
    </w:p>
    <w:p w14:paraId="0E8C3EC4" w14:textId="384417CD" w:rsidR="00FC39CE" w:rsidRPr="00251A1E" w:rsidRDefault="002D57D0" w:rsidP="007E1838">
      <w:pPr>
        <w:pStyle w:val="ListParagraph"/>
        <w:numPr>
          <w:ilvl w:val="0"/>
          <w:numId w:val="6"/>
        </w:numPr>
        <w:jc w:val="both"/>
        <w:rPr>
          <w:rFonts w:ascii="Arial" w:hAnsi="Arial" w:cs="Arial"/>
          <w:lang w:val="es-CL"/>
        </w:rPr>
      </w:pPr>
      <w:r w:rsidRPr="00251A1E">
        <w:rPr>
          <w:rFonts w:ascii="Arial" w:hAnsi="Arial" w:cs="Arial"/>
          <w:b/>
          <w:lang w:val="es-CL"/>
        </w:rPr>
        <w:t>Escenario 2:</w:t>
      </w:r>
      <w:r w:rsidRPr="00251A1E">
        <w:rPr>
          <w:rFonts w:ascii="Arial" w:hAnsi="Arial" w:cs="Arial"/>
          <w:lang w:val="es-CL"/>
        </w:rPr>
        <w:t xml:space="preserve"> Con respecto a los MAC presenciales, las variables de tiempo pueden variar de acuerdo a la región y la población que se atienda. Si en ve</w:t>
      </w:r>
      <w:r w:rsidR="00FC39CE" w:rsidRPr="00251A1E">
        <w:rPr>
          <w:rFonts w:ascii="Arial" w:hAnsi="Arial" w:cs="Arial"/>
          <w:lang w:val="es-CL"/>
        </w:rPr>
        <w:t>z de asumir tiempos de traslados, de espera y de atención que sum</w:t>
      </w:r>
      <w:r w:rsidR="008130A5" w:rsidRPr="00251A1E">
        <w:rPr>
          <w:rFonts w:ascii="Arial" w:hAnsi="Arial" w:cs="Arial"/>
          <w:lang w:val="es-CL"/>
        </w:rPr>
        <w:t xml:space="preserve">en 72.5 minutos lo reducimos a </w:t>
      </w:r>
      <w:r w:rsidR="000979E6">
        <w:rPr>
          <w:rFonts w:ascii="Arial" w:hAnsi="Arial" w:cs="Arial"/>
          <w:lang w:val="es-CL"/>
        </w:rPr>
        <w:t>60</w:t>
      </w:r>
      <w:r w:rsidR="008130A5" w:rsidRPr="00251A1E">
        <w:rPr>
          <w:rFonts w:ascii="Arial" w:hAnsi="Arial" w:cs="Arial"/>
          <w:lang w:val="es-CL"/>
        </w:rPr>
        <w:t xml:space="preserve"> minutos</w:t>
      </w:r>
      <w:r w:rsidR="00FC39CE" w:rsidRPr="00251A1E">
        <w:rPr>
          <w:rFonts w:ascii="Arial" w:hAnsi="Arial" w:cs="Arial"/>
          <w:lang w:val="es-CL"/>
        </w:rPr>
        <w:t>, se obtiene una</w:t>
      </w:r>
      <w:r w:rsidR="007F124B" w:rsidRPr="00251A1E">
        <w:rPr>
          <w:rFonts w:ascii="Arial" w:hAnsi="Arial" w:cs="Arial"/>
          <w:lang w:val="es-CL"/>
        </w:rPr>
        <w:t xml:space="preserve"> TIR del </w:t>
      </w:r>
      <w:r w:rsidR="00EC46C4">
        <w:rPr>
          <w:rFonts w:ascii="Arial" w:hAnsi="Arial" w:cs="Arial"/>
          <w:lang w:val="es-CL"/>
        </w:rPr>
        <w:t>22.43</w:t>
      </w:r>
      <w:r w:rsidR="00FC39CE" w:rsidRPr="00251A1E">
        <w:rPr>
          <w:rFonts w:ascii="Arial" w:hAnsi="Arial" w:cs="Arial"/>
          <w:lang w:val="es-CL"/>
        </w:rPr>
        <w:t>%, y una razó</w:t>
      </w:r>
      <w:r w:rsidR="007F124B" w:rsidRPr="00251A1E">
        <w:rPr>
          <w:rFonts w:ascii="Arial" w:hAnsi="Arial" w:cs="Arial"/>
          <w:lang w:val="es-CL"/>
        </w:rPr>
        <w:t>n de beneficios a costos de 1.</w:t>
      </w:r>
      <w:r w:rsidR="00EC46C4">
        <w:rPr>
          <w:rFonts w:ascii="Arial" w:hAnsi="Arial" w:cs="Arial"/>
          <w:lang w:val="es-CL"/>
        </w:rPr>
        <w:t>23</w:t>
      </w:r>
      <w:r w:rsidR="00FC39CE" w:rsidRPr="00251A1E">
        <w:rPr>
          <w:rFonts w:ascii="Arial" w:hAnsi="Arial" w:cs="Arial"/>
          <w:lang w:val="es-CL"/>
        </w:rPr>
        <w:t>. En el caso de no considerar los beneficios indirectos de la compo</w:t>
      </w:r>
      <w:r w:rsidR="008130A5" w:rsidRPr="00251A1E">
        <w:rPr>
          <w:rFonts w:ascii="Arial" w:hAnsi="Arial" w:cs="Arial"/>
          <w:lang w:val="es-CL"/>
        </w:rPr>
        <w:t>nen</w:t>
      </w:r>
      <w:r w:rsidR="007F124B" w:rsidRPr="00251A1E">
        <w:rPr>
          <w:rFonts w:ascii="Arial" w:hAnsi="Arial" w:cs="Arial"/>
          <w:lang w:val="es-CL"/>
        </w:rPr>
        <w:t xml:space="preserve">te 1, la TIR corresponde a </w:t>
      </w:r>
      <w:r w:rsidR="00920A8F">
        <w:rPr>
          <w:rFonts w:ascii="Arial" w:hAnsi="Arial" w:cs="Arial"/>
          <w:lang w:val="es-CL"/>
        </w:rPr>
        <w:t>20</w:t>
      </w:r>
      <w:r w:rsidR="000979E6">
        <w:rPr>
          <w:rFonts w:ascii="Arial" w:hAnsi="Arial" w:cs="Arial"/>
          <w:lang w:val="es-CL"/>
        </w:rPr>
        <w:t>.8</w:t>
      </w:r>
      <w:r w:rsidR="00920A8F">
        <w:rPr>
          <w:rFonts w:ascii="Arial" w:hAnsi="Arial" w:cs="Arial"/>
          <w:lang w:val="es-CL"/>
        </w:rPr>
        <w:t>5</w:t>
      </w:r>
      <w:r w:rsidR="00FC39CE" w:rsidRPr="00251A1E">
        <w:rPr>
          <w:rFonts w:ascii="Arial" w:hAnsi="Arial" w:cs="Arial"/>
          <w:lang w:val="es-CL"/>
        </w:rPr>
        <w:t>% y la raz</w:t>
      </w:r>
      <w:r w:rsidR="008130A5" w:rsidRPr="00251A1E">
        <w:rPr>
          <w:rFonts w:ascii="Arial" w:hAnsi="Arial" w:cs="Arial"/>
          <w:lang w:val="es-CL"/>
        </w:rPr>
        <w:t xml:space="preserve">ón beneficio – costo baja a </w:t>
      </w:r>
      <w:r w:rsidR="001D5796">
        <w:rPr>
          <w:rFonts w:ascii="Arial" w:hAnsi="Arial" w:cs="Arial"/>
          <w:lang w:val="es-CL"/>
        </w:rPr>
        <w:t>1</w:t>
      </w:r>
      <w:r w:rsidR="007F124B" w:rsidRPr="00251A1E">
        <w:rPr>
          <w:rFonts w:ascii="Arial" w:hAnsi="Arial" w:cs="Arial"/>
          <w:lang w:val="es-CL"/>
        </w:rPr>
        <w:t>.</w:t>
      </w:r>
      <w:r w:rsidR="000979E6">
        <w:rPr>
          <w:rFonts w:ascii="Arial" w:hAnsi="Arial" w:cs="Arial"/>
          <w:lang w:val="es-CL"/>
        </w:rPr>
        <w:t>1</w:t>
      </w:r>
      <w:r w:rsidR="00920A8F">
        <w:rPr>
          <w:rFonts w:ascii="Arial" w:hAnsi="Arial" w:cs="Arial"/>
          <w:lang w:val="es-CL"/>
        </w:rPr>
        <w:t>8</w:t>
      </w:r>
      <w:r w:rsidR="00FC39CE" w:rsidRPr="00251A1E">
        <w:rPr>
          <w:rFonts w:ascii="Arial" w:hAnsi="Arial" w:cs="Arial"/>
          <w:lang w:val="es-CL"/>
        </w:rPr>
        <w:t>.</w:t>
      </w:r>
    </w:p>
    <w:p w14:paraId="0E8C3EC5" w14:textId="038F0ECB" w:rsidR="002D57D0" w:rsidRPr="00251A1E" w:rsidRDefault="00FC39CE" w:rsidP="007E1838">
      <w:pPr>
        <w:pStyle w:val="ListParagraph"/>
        <w:numPr>
          <w:ilvl w:val="0"/>
          <w:numId w:val="6"/>
        </w:numPr>
        <w:jc w:val="both"/>
        <w:rPr>
          <w:rFonts w:ascii="Arial" w:hAnsi="Arial" w:cs="Arial"/>
          <w:lang w:val="es-CL"/>
        </w:rPr>
      </w:pPr>
      <w:r w:rsidRPr="00251A1E">
        <w:rPr>
          <w:rFonts w:ascii="Arial" w:hAnsi="Arial" w:cs="Arial"/>
          <w:b/>
          <w:lang w:val="es-CL"/>
        </w:rPr>
        <w:t xml:space="preserve">Escenario 3: </w:t>
      </w:r>
      <w:r w:rsidRPr="00251A1E">
        <w:rPr>
          <w:rFonts w:ascii="Arial" w:hAnsi="Arial" w:cs="Arial"/>
          <w:lang w:val="es-CL"/>
        </w:rPr>
        <w:t>Con respecto a los MAC virtuales, el supuesto más relevante es el aumento de demanda que se produce al expandir la cobertura de los MAC presenciales. Se asumió que cada MAC presencial, aumenta la demanda de la población económicamente activa en el año de la apertura en un 3%. Si asumimos que el aumento de la demanda ese año es sólo de un 1% p</w:t>
      </w:r>
      <w:r w:rsidR="007F124B" w:rsidRPr="00251A1E">
        <w:rPr>
          <w:rFonts w:ascii="Arial" w:hAnsi="Arial" w:cs="Arial"/>
          <w:lang w:val="es-CL"/>
        </w:rPr>
        <w:t xml:space="preserve">or MAC, se obtiene una TIR de </w:t>
      </w:r>
      <w:r w:rsidR="00920A8F">
        <w:rPr>
          <w:rFonts w:ascii="Arial" w:hAnsi="Arial" w:cs="Arial"/>
          <w:lang w:val="es-CL"/>
        </w:rPr>
        <w:t>23.86</w:t>
      </w:r>
      <w:r w:rsidRPr="00251A1E">
        <w:rPr>
          <w:rFonts w:ascii="Arial" w:hAnsi="Arial" w:cs="Arial"/>
          <w:lang w:val="es-CL"/>
        </w:rPr>
        <w:t>%, con una ra</w:t>
      </w:r>
      <w:r w:rsidR="008130A5" w:rsidRPr="00251A1E">
        <w:rPr>
          <w:rFonts w:ascii="Arial" w:hAnsi="Arial" w:cs="Arial"/>
          <w:lang w:val="es-CL"/>
        </w:rPr>
        <w:t>zón de beneficio – costo de 1.</w:t>
      </w:r>
      <w:r w:rsidR="00920A8F">
        <w:rPr>
          <w:rFonts w:ascii="Arial" w:hAnsi="Arial" w:cs="Arial"/>
          <w:lang w:val="es-CL"/>
        </w:rPr>
        <w:t>29</w:t>
      </w:r>
      <w:r w:rsidRPr="00251A1E">
        <w:rPr>
          <w:rFonts w:ascii="Arial" w:hAnsi="Arial" w:cs="Arial"/>
          <w:lang w:val="es-CL"/>
        </w:rPr>
        <w:t>. En el caso de no considerar los beneficios indirectos de</w:t>
      </w:r>
      <w:r w:rsidR="001D5796">
        <w:rPr>
          <w:rFonts w:ascii="Arial" w:hAnsi="Arial" w:cs="Arial"/>
          <w:lang w:val="es-CL"/>
        </w:rPr>
        <w:t>l</w:t>
      </w:r>
      <w:r w:rsidRPr="00251A1E">
        <w:rPr>
          <w:rFonts w:ascii="Arial" w:hAnsi="Arial" w:cs="Arial"/>
          <w:lang w:val="es-CL"/>
        </w:rPr>
        <w:t xml:space="preserve"> compo</w:t>
      </w:r>
      <w:r w:rsidR="008130A5" w:rsidRPr="00251A1E">
        <w:rPr>
          <w:rFonts w:ascii="Arial" w:hAnsi="Arial" w:cs="Arial"/>
          <w:lang w:val="es-CL"/>
        </w:rPr>
        <w:t>ne</w:t>
      </w:r>
      <w:r w:rsidR="007F124B" w:rsidRPr="00251A1E">
        <w:rPr>
          <w:rFonts w:ascii="Arial" w:hAnsi="Arial" w:cs="Arial"/>
          <w:lang w:val="es-CL"/>
        </w:rPr>
        <w:t xml:space="preserve">nte 1, la TIR corresponde a </w:t>
      </w:r>
      <w:r w:rsidR="00920A8F">
        <w:rPr>
          <w:rFonts w:ascii="Arial" w:hAnsi="Arial" w:cs="Arial"/>
          <w:lang w:val="es-CL"/>
        </w:rPr>
        <w:t>22.34</w:t>
      </w:r>
      <w:r w:rsidRPr="00251A1E">
        <w:rPr>
          <w:rFonts w:ascii="Arial" w:hAnsi="Arial" w:cs="Arial"/>
          <w:lang w:val="es-CL"/>
        </w:rPr>
        <w:t>% y la razón beneficio –</w:t>
      </w:r>
      <w:r w:rsidR="007F124B" w:rsidRPr="00251A1E">
        <w:rPr>
          <w:rFonts w:ascii="Arial" w:hAnsi="Arial" w:cs="Arial"/>
          <w:lang w:val="es-CL"/>
        </w:rPr>
        <w:t xml:space="preserve"> costo baja a 1.</w:t>
      </w:r>
      <w:r w:rsidR="00920A8F">
        <w:rPr>
          <w:rFonts w:ascii="Arial" w:hAnsi="Arial" w:cs="Arial"/>
          <w:lang w:val="es-CL"/>
        </w:rPr>
        <w:t>24</w:t>
      </w:r>
      <w:r w:rsidRPr="00251A1E">
        <w:rPr>
          <w:rFonts w:ascii="Arial" w:hAnsi="Arial" w:cs="Arial"/>
          <w:lang w:val="es-CL"/>
        </w:rPr>
        <w:t>.</w:t>
      </w:r>
    </w:p>
    <w:p w14:paraId="0E8C3EC6" w14:textId="1314D9D2" w:rsidR="00AE1BD2" w:rsidRPr="00251A1E" w:rsidRDefault="00FC39CE" w:rsidP="007E1838">
      <w:pPr>
        <w:pStyle w:val="ListParagraph"/>
        <w:numPr>
          <w:ilvl w:val="0"/>
          <w:numId w:val="6"/>
        </w:numPr>
        <w:jc w:val="both"/>
        <w:rPr>
          <w:rFonts w:ascii="Arial" w:hAnsi="Arial" w:cs="Arial"/>
          <w:lang w:val="es-CL"/>
        </w:rPr>
      </w:pPr>
      <w:r w:rsidRPr="00251A1E">
        <w:rPr>
          <w:rFonts w:ascii="Arial" w:hAnsi="Arial" w:cs="Arial"/>
          <w:b/>
          <w:lang w:val="es-CL"/>
        </w:rPr>
        <w:t>Escenario 4:</w:t>
      </w:r>
      <w:r w:rsidRPr="00251A1E">
        <w:rPr>
          <w:rFonts w:ascii="Arial" w:hAnsi="Arial" w:cs="Arial"/>
          <w:lang w:val="es-CL"/>
        </w:rPr>
        <w:t xml:space="preserve"> </w:t>
      </w:r>
      <w:r w:rsidR="00AE1BD2" w:rsidRPr="00251A1E">
        <w:rPr>
          <w:rFonts w:ascii="Arial" w:hAnsi="Arial" w:cs="Arial"/>
          <w:lang w:val="es-CL"/>
        </w:rPr>
        <w:t>Con respecto a</w:t>
      </w:r>
      <w:r w:rsidR="001D5796">
        <w:rPr>
          <w:rFonts w:ascii="Arial" w:hAnsi="Arial" w:cs="Arial"/>
          <w:lang w:val="es-CL"/>
        </w:rPr>
        <w:t>l</w:t>
      </w:r>
      <w:r w:rsidR="00AE1BD2" w:rsidRPr="00251A1E">
        <w:rPr>
          <w:rFonts w:ascii="Arial" w:hAnsi="Arial" w:cs="Arial"/>
          <w:lang w:val="es-CL"/>
        </w:rPr>
        <w:t xml:space="preserve"> componente 2, el aporte principal del ahorro proviene del ahorro pecuniario de US$ 2 por cada transacción. Si as</w:t>
      </w:r>
      <w:r w:rsidR="007F124B" w:rsidRPr="00251A1E">
        <w:rPr>
          <w:rFonts w:ascii="Arial" w:hAnsi="Arial" w:cs="Arial"/>
          <w:lang w:val="es-CL"/>
        </w:rPr>
        <w:t>umimos que el ahorro es</w:t>
      </w:r>
      <w:r w:rsidR="00AE1BD2" w:rsidRPr="00251A1E">
        <w:rPr>
          <w:rFonts w:ascii="Arial" w:hAnsi="Arial" w:cs="Arial"/>
          <w:lang w:val="es-CL"/>
        </w:rPr>
        <w:t xml:space="preserve"> US$</w:t>
      </w:r>
      <w:r w:rsidR="001D5796">
        <w:rPr>
          <w:rFonts w:ascii="Arial" w:hAnsi="Arial" w:cs="Arial"/>
          <w:lang w:val="es-CL"/>
        </w:rPr>
        <w:t xml:space="preserve"> </w:t>
      </w:r>
      <w:r w:rsidR="00AE1BD2" w:rsidRPr="00251A1E">
        <w:rPr>
          <w:rFonts w:ascii="Arial" w:hAnsi="Arial" w:cs="Arial"/>
          <w:lang w:val="es-CL"/>
        </w:rPr>
        <w:t>1</w:t>
      </w:r>
      <w:r w:rsidR="007F124B" w:rsidRPr="00251A1E">
        <w:rPr>
          <w:rFonts w:ascii="Arial" w:hAnsi="Arial" w:cs="Arial"/>
          <w:lang w:val="es-CL"/>
        </w:rPr>
        <w:t>.5 (25% por ciento menos que en el supuesto del escenario base)</w:t>
      </w:r>
      <w:r w:rsidR="00AE1BD2" w:rsidRPr="00251A1E">
        <w:rPr>
          <w:rFonts w:ascii="Arial" w:hAnsi="Arial" w:cs="Arial"/>
          <w:lang w:val="es-CL"/>
        </w:rPr>
        <w:t xml:space="preserve"> por transacción, la TIR que se obtiene es </w:t>
      </w:r>
      <w:r w:rsidR="00920A8F">
        <w:rPr>
          <w:rFonts w:ascii="Arial" w:hAnsi="Arial" w:cs="Arial"/>
          <w:lang w:val="es-CL"/>
        </w:rPr>
        <w:t>24</w:t>
      </w:r>
      <w:r w:rsidR="000979E6">
        <w:rPr>
          <w:rFonts w:ascii="Arial" w:hAnsi="Arial" w:cs="Arial"/>
          <w:lang w:val="es-CL"/>
        </w:rPr>
        <w:t>.</w:t>
      </w:r>
      <w:r w:rsidR="00920A8F">
        <w:rPr>
          <w:rFonts w:ascii="Arial" w:hAnsi="Arial" w:cs="Arial"/>
          <w:lang w:val="es-CL"/>
        </w:rPr>
        <w:t>04</w:t>
      </w:r>
      <w:r w:rsidR="00AE1BD2" w:rsidRPr="00251A1E">
        <w:rPr>
          <w:rFonts w:ascii="Arial" w:hAnsi="Arial" w:cs="Arial"/>
          <w:lang w:val="es-CL"/>
        </w:rPr>
        <w:t>%, con una ra</w:t>
      </w:r>
      <w:r w:rsidR="007F124B" w:rsidRPr="00251A1E">
        <w:rPr>
          <w:rFonts w:ascii="Arial" w:hAnsi="Arial" w:cs="Arial"/>
          <w:lang w:val="es-CL"/>
        </w:rPr>
        <w:t>zón de beneficio – costo de 1.</w:t>
      </w:r>
      <w:r w:rsidR="00920A8F">
        <w:rPr>
          <w:rFonts w:ascii="Arial" w:hAnsi="Arial" w:cs="Arial"/>
          <w:lang w:val="es-CL"/>
        </w:rPr>
        <w:t>30</w:t>
      </w:r>
      <w:r w:rsidR="00AE1BD2" w:rsidRPr="00251A1E">
        <w:rPr>
          <w:rFonts w:ascii="Arial" w:hAnsi="Arial" w:cs="Arial"/>
          <w:lang w:val="es-CL"/>
        </w:rPr>
        <w:t>. En el caso de no considerar los beneficios indirectos de la compo</w:t>
      </w:r>
      <w:r w:rsidR="007F124B" w:rsidRPr="00251A1E">
        <w:rPr>
          <w:rFonts w:ascii="Arial" w:hAnsi="Arial" w:cs="Arial"/>
          <w:lang w:val="es-CL"/>
        </w:rPr>
        <w:t xml:space="preserve">nente 1, la TIR corresponde a </w:t>
      </w:r>
      <w:r w:rsidR="00920A8F">
        <w:rPr>
          <w:rFonts w:ascii="Arial" w:hAnsi="Arial" w:cs="Arial"/>
          <w:lang w:val="es-CL"/>
        </w:rPr>
        <w:t>22</w:t>
      </w:r>
      <w:r w:rsidR="000979E6">
        <w:rPr>
          <w:rFonts w:ascii="Arial" w:hAnsi="Arial" w:cs="Arial"/>
          <w:lang w:val="es-CL"/>
        </w:rPr>
        <w:t>.</w:t>
      </w:r>
      <w:r w:rsidR="00920A8F">
        <w:rPr>
          <w:rFonts w:ascii="Arial" w:hAnsi="Arial" w:cs="Arial"/>
          <w:lang w:val="es-CL"/>
        </w:rPr>
        <w:t>5</w:t>
      </w:r>
      <w:r w:rsidR="00B77DC0">
        <w:rPr>
          <w:rFonts w:ascii="Arial" w:hAnsi="Arial" w:cs="Arial"/>
          <w:lang w:val="es-CL"/>
        </w:rPr>
        <w:t>4</w:t>
      </w:r>
      <w:r w:rsidR="00AE1BD2" w:rsidRPr="00251A1E">
        <w:rPr>
          <w:rFonts w:ascii="Arial" w:hAnsi="Arial" w:cs="Arial"/>
          <w:lang w:val="es-CL"/>
        </w:rPr>
        <w:t>% y la raz</w:t>
      </w:r>
      <w:r w:rsidR="007F124B" w:rsidRPr="00251A1E">
        <w:rPr>
          <w:rFonts w:ascii="Arial" w:hAnsi="Arial" w:cs="Arial"/>
          <w:lang w:val="es-CL"/>
        </w:rPr>
        <w:t>ón beneficio – costo baja a 1.</w:t>
      </w:r>
      <w:r w:rsidR="00920A8F">
        <w:rPr>
          <w:rFonts w:ascii="Arial" w:hAnsi="Arial" w:cs="Arial"/>
          <w:lang w:val="es-CL"/>
        </w:rPr>
        <w:t>25</w:t>
      </w:r>
      <w:r w:rsidR="00AE1BD2" w:rsidRPr="00251A1E">
        <w:rPr>
          <w:rFonts w:ascii="Arial" w:hAnsi="Arial" w:cs="Arial"/>
          <w:lang w:val="es-CL"/>
        </w:rPr>
        <w:t>.</w:t>
      </w:r>
    </w:p>
    <w:p w14:paraId="0E8C3EC7" w14:textId="6B988833" w:rsidR="000062F7" w:rsidRPr="00251A1E" w:rsidRDefault="00B1511C" w:rsidP="007E1838">
      <w:pPr>
        <w:pStyle w:val="ListParagraph"/>
        <w:numPr>
          <w:ilvl w:val="0"/>
          <w:numId w:val="6"/>
        </w:numPr>
        <w:jc w:val="both"/>
        <w:rPr>
          <w:rFonts w:ascii="Arial" w:hAnsi="Arial" w:cs="Arial"/>
          <w:lang w:val="es-CL"/>
        </w:rPr>
      </w:pPr>
      <w:r w:rsidRPr="00251A1E">
        <w:rPr>
          <w:rFonts w:ascii="Arial" w:hAnsi="Arial" w:cs="Arial"/>
          <w:b/>
          <w:lang w:val="es-CL"/>
        </w:rPr>
        <w:t xml:space="preserve">Escenario 5: </w:t>
      </w:r>
      <w:r w:rsidR="000062F7" w:rsidRPr="00251A1E">
        <w:rPr>
          <w:rFonts w:ascii="Arial" w:hAnsi="Arial" w:cs="Arial"/>
          <w:lang w:val="es-CL"/>
        </w:rPr>
        <w:t>Si por el contrario a los escenarios anteriores asumimos un escenario más favorable para los beneficios, por ejemplo que el tiempo de ahorro pasa de 72.5 minutos a</w:t>
      </w:r>
      <w:r w:rsidR="008130A5" w:rsidRPr="00251A1E">
        <w:rPr>
          <w:rFonts w:ascii="Arial" w:hAnsi="Arial" w:cs="Arial"/>
          <w:lang w:val="es-CL"/>
        </w:rPr>
        <w:t xml:space="preserve"> 8</w:t>
      </w:r>
      <w:r w:rsidR="007F124B" w:rsidRPr="00251A1E">
        <w:rPr>
          <w:rFonts w:ascii="Arial" w:hAnsi="Arial" w:cs="Arial"/>
          <w:lang w:val="es-CL"/>
        </w:rPr>
        <w:t xml:space="preserve">0 minutos, la TIR aumenta a </w:t>
      </w:r>
      <w:r w:rsidR="00920A8F">
        <w:rPr>
          <w:rFonts w:ascii="Arial" w:hAnsi="Arial" w:cs="Arial"/>
          <w:lang w:val="es-CL"/>
        </w:rPr>
        <w:t>28</w:t>
      </w:r>
      <w:r w:rsidR="000979E6">
        <w:rPr>
          <w:rFonts w:ascii="Arial" w:hAnsi="Arial" w:cs="Arial"/>
          <w:lang w:val="es-CL"/>
        </w:rPr>
        <w:t>.</w:t>
      </w:r>
      <w:r w:rsidR="00920A8F">
        <w:rPr>
          <w:rFonts w:ascii="Arial" w:hAnsi="Arial" w:cs="Arial"/>
          <w:lang w:val="es-CL"/>
        </w:rPr>
        <w:t>51</w:t>
      </w:r>
      <w:r w:rsidR="000062F7" w:rsidRPr="00251A1E">
        <w:rPr>
          <w:rFonts w:ascii="Arial" w:hAnsi="Arial" w:cs="Arial"/>
          <w:lang w:val="es-CL"/>
        </w:rPr>
        <w:t xml:space="preserve">%, con una </w:t>
      </w:r>
      <w:r w:rsidR="008130A5" w:rsidRPr="00251A1E">
        <w:rPr>
          <w:rFonts w:ascii="Arial" w:hAnsi="Arial" w:cs="Arial"/>
          <w:lang w:val="es-CL"/>
        </w:rPr>
        <w:t>ra</w:t>
      </w:r>
      <w:r w:rsidR="007F124B" w:rsidRPr="00251A1E">
        <w:rPr>
          <w:rFonts w:ascii="Arial" w:hAnsi="Arial" w:cs="Arial"/>
          <w:lang w:val="es-CL"/>
        </w:rPr>
        <w:t>zón de beneficio-costo de 1.</w:t>
      </w:r>
      <w:r w:rsidR="00920A8F">
        <w:rPr>
          <w:rFonts w:ascii="Arial" w:hAnsi="Arial" w:cs="Arial"/>
          <w:lang w:val="es-CL"/>
        </w:rPr>
        <w:t>46</w:t>
      </w:r>
      <w:r w:rsidR="000062F7" w:rsidRPr="00251A1E">
        <w:rPr>
          <w:rFonts w:ascii="Arial" w:hAnsi="Arial" w:cs="Arial"/>
          <w:lang w:val="es-CL"/>
        </w:rPr>
        <w:t>. En el caso de no considerar los beneficios indirectos de la compo</w:t>
      </w:r>
      <w:r w:rsidR="008130A5" w:rsidRPr="00251A1E">
        <w:rPr>
          <w:rFonts w:ascii="Arial" w:hAnsi="Arial" w:cs="Arial"/>
          <w:lang w:val="es-CL"/>
        </w:rPr>
        <w:t>nen</w:t>
      </w:r>
      <w:r w:rsidR="007F124B" w:rsidRPr="00251A1E">
        <w:rPr>
          <w:rFonts w:ascii="Arial" w:hAnsi="Arial" w:cs="Arial"/>
          <w:lang w:val="es-CL"/>
        </w:rPr>
        <w:t xml:space="preserve">te 1, la TIR corresponde a </w:t>
      </w:r>
      <w:r w:rsidR="00920A8F">
        <w:rPr>
          <w:rFonts w:ascii="Arial" w:hAnsi="Arial" w:cs="Arial"/>
          <w:lang w:val="es-CL"/>
        </w:rPr>
        <w:t>27.04</w:t>
      </w:r>
      <w:r w:rsidR="000062F7" w:rsidRPr="00251A1E">
        <w:rPr>
          <w:rFonts w:ascii="Arial" w:hAnsi="Arial" w:cs="Arial"/>
          <w:lang w:val="es-CL"/>
        </w:rPr>
        <w:t>% y la razó</w:t>
      </w:r>
      <w:r w:rsidR="007F124B" w:rsidRPr="00251A1E">
        <w:rPr>
          <w:rFonts w:ascii="Arial" w:hAnsi="Arial" w:cs="Arial"/>
          <w:lang w:val="es-CL"/>
        </w:rPr>
        <w:t>n beneficio – costo llega a 1.</w:t>
      </w:r>
      <w:r w:rsidR="00920A8F">
        <w:rPr>
          <w:rFonts w:ascii="Arial" w:hAnsi="Arial" w:cs="Arial"/>
          <w:lang w:val="es-CL"/>
        </w:rPr>
        <w:t>41</w:t>
      </w:r>
      <w:r w:rsidR="000062F7" w:rsidRPr="00251A1E">
        <w:rPr>
          <w:rFonts w:ascii="Arial" w:hAnsi="Arial" w:cs="Arial"/>
          <w:lang w:val="es-CL"/>
        </w:rPr>
        <w:t>.</w:t>
      </w:r>
    </w:p>
    <w:p w14:paraId="0E8C3EC8" w14:textId="77777777" w:rsidR="00FC39CE" w:rsidRPr="00251A1E" w:rsidRDefault="00FC39CE" w:rsidP="007E1838">
      <w:pPr>
        <w:pStyle w:val="ListParagraph"/>
        <w:jc w:val="both"/>
        <w:rPr>
          <w:rFonts w:ascii="Arial" w:hAnsi="Arial" w:cs="Arial"/>
          <w:lang w:val="es-CL"/>
        </w:rPr>
      </w:pPr>
    </w:p>
    <w:p w14:paraId="0E8C3EC9" w14:textId="77777777" w:rsidR="00FE5A65" w:rsidRPr="00DE2D22" w:rsidRDefault="00FE5A65" w:rsidP="00DE2D22">
      <w:pPr>
        <w:pStyle w:val="ListParagraph"/>
        <w:numPr>
          <w:ilvl w:val="0"/>
          <w:numId w:val="7"/>
        </w:numPr>
        <w:ind w:hanging="720"/>
        <w:rPr>
          <w:rFonts w:ascii="Arial" w:hAnsi="Arial"/>
          <w:b/>
          <w:lang w:val="es-CL"/>
        </w:rPr>
      </w:pPr>
      <w:r w:rsidRPr="00DE2D22">
        <w:rPr>
          <w:rFonts w:ascii="Arial" w:hAnsi="Arial"/>
          <w:b/>
          <w:lang w:val="es-CL"/>
        </w:rPr>
        <w:t>Conclusiones</w:t>
      </w:r>
    </w:p>
    <w:p w14:paraId="0E8C3ECA" w14:textId="55AE0A08" w:rsidR="00FE5A65" w:rsidRPr="00251A1E" w:rsidRDefault="001D5796" w:rsidP="00DE2D22">
      <w:pPr>
        <w:pStyle w:val="ListParagraph"/>
        <w:numPr>
          <w:ilvl w:val="1"/>
          <w:numId w:val="8"/>
        </w:numPr>
        <w:spacing w:beforeLines="120" w:before="288" w:afterLines="120" w:after="288" w:line="240" w:lineRule="auto"/>
        <w:ind w:left="720" w:hanging="720"/>
        <w:contextualSpacing w:val="0"/>
        <w:jc w:val="both"/>
        <w:rPr>
          <w:rFonts w:ascii="Arial" w:hAnsi="Arial" w:cs="Arial"/>
          <w:lang w:val="es-CL"/>
        </w:rPr>
      </w:pPr>
      <w:r>
        <w:rPr>
          <w:rFonts w:ascii="Arial" w:hAnsi="Arial" w:cs="Arial"/>
          <w:lang w:val="es-CL"/>
        </w:rPr>
        <w:t>E</w:t>
      </w:r>
      <w:r w:rsidR="00FE5A65" w:rsidRPr="00251A1E">
        <w:rPr>
          <w:rFonts w:ascii="Arial" w:hAnsi="Arial" w:cs="Arial"/>
          <w:lang w:val="es-CL"/>
        </w:rPr>
        <w:t>l proyecto, aún sin considerar varias posibles fuentes de beneficios, presenta beneficios por sobre los costos. Todos los supuestos fueron construidos de la manera más conservadora posible y aun haciendo análisis de sensibilidad y llevando los supuestos a valores sustancialmente más bajos, se obtiene consistentemente una TIR por sobre el 12%</w:t>
      </w:r>
      <w:r w:rsidR="008130A5" w:rsidRPr="00251A1E">
        <w:rPr>
          <w:rFonts w:ascii="Arial" w:hAnsi="Arial" w:cs="Arial"/>
          <w:lang w:val="es-CL"/>
        </w:rPr>
        <w:t xml:space="preserve"> al considerar las componentes 1, 2 y 3</w:t>
      </w:r>
      <w:r w:rsidR="00021801" w:rsidRPr="00251A1E">
        <w:rPr>
          <w:rFonts w:ascii="Arial" w:hAnsi="Arial" w:cs="Arial"/>
          <w:lang w:val="es-CL"/>
        </w:rPr>
        <w:t xml:space="preserve">. Además, para casi todos los análisis de sensibilidad, basta </w:t>
      </w:r>
      <w:r w:rsidR="00367341">
        <w:rPr>
          <w:rFonts w:ascii="Arial" w:hAnsi="Arial" w:cs="Arial"/>
          <w:lang w:val="es-CL"/>
        </w:rPr>
        <w:t>el</w:t>
      </w:r>
      <w:r w:rsidR="00021801" w:rsidRPr="00251A1E">
        <w:rPr>
          <w:rFonts w:ascii="Arial" w:hAnsi="Arial" w:cs="Arial"/>
          <w:lang w:val="es-CL"/>
        </w:rPr>
        <w:t xml:space="preserve"> componente 2 y 3 para que el proyecto tenga beneficios mayores a los costos y un TIR superior al 12%.</w:t>
      </w:r>
    </w:p>
    <w:p w14:paraId="0E8C3ECB" w14:textId="77777777" w:rsidR="00394644" w:rsidRPr="00251A1E" w:rsidRDefault="00394644" w:rsidP="007E1838">
      <w:pPr>
        <w:jc w:val="both"/>
        <w:rPr>
          <w:rFonts w:ascii="Arial" w:hAnsi="Arial" w:cs="Arial"/>
          <w:lang w:val="es-CL"/>
        </w:rPr>
      </w:pPr>
    </w:p>
    <w:p w14:paraId="0E8C3ECC" w14:textId="77777777" w:rsidR="00394644" w:rsidRPr="00251A1E" w:rsidRDefault="00394644" w:rsidP="007E1838">
      <w:pPr>
        <w:jc w:val="both"/>
        <w:rPr>
          <w:rFonts w:ascii="Arial" w:hAnsi="Arial" w:cs="Arial"/>
          <w:lang w:val="es-CL"/>
        </w:rPr>
      </w:pPr>
      <w:r w:rsidRPr="00251A1E">
        <w:rPr>
          <w:rFonts w:ascii="Arial" w:hAnsi="Arial" w:cs="Arial"/>
          <w:lang w:val="es-CL"/>
        </w:rPr>
        <w:br w:type="page"/>
      </w:r>
    </w:p>
    <w:p w14:paraId="0E8C3ECD" w14:textId="77777777" w:rsidR="00394644" w:rsidRPr="00251A1E" w:rsidRDefault="00394644" w:rsidP="00394644">
      <w:pPr>
        <w:pStyle w:val="Heading1"/>
        <w:rPr>
          <w:rFonts w:ascii="Arial" w:hAnsi="Arial" w:cs="Arial"/>
          <w:sz w:val="22"/>
          <w:szCs w:val="22"/>
          <w:lang w:val="es-CL"/>
        </w:rPr>
      </w:pPr>
      <w:bookmarkStart w:id="11" w:name="_Toc496886931"/>
      <w:r w:rsidRPr="00251A1E">
        <w:rPr>
          <w:rFonts w:ascii="Arial" w:hAnsi="Arial" w:cs="Arial"/>
          <w:sz w:val="22"/>
          <w:szCs w:val="22"/>
          <w:lang w:val="es-CL"/>
        </w:rPr>
        <w:t>Anexos</w:t>
      </w:r>
      <w:bookmarkEnd w:id="11"/>
    </w:p>
    <w:p w14:paraId="0E8C3ECE" w14:textId="77777777" w:rsidR="00394644" w:rsidRPr="00251A1E" w:rsidRDefault="00394644" w:rsidP="00394644">
      <w:pPr>
        <w:rPr>
          <w:rFonts w:ascii="Arial" w:hAnsi="Arial" w:cs="Arial"/>
          <w:lang w:val="es-CL"/>
        </w:rPr>
      </w:pPr>
    </w:p>
    <w:p w14:paraId="0E8C3ECF" w14:textId="77777777" w:rsidR="00394644" w:rsidRPr="00251A1E" w:rsidRDefault="00394644" w:rsidP="00394644">
      <w:pPr>
        <w:rPr>
          <w:rFonts w:ascii="Arial" w:hAnsi="Arial" w:cs="Arial"/>
          <w:lang w:val="es-CL"/>
        </w:rPr>
      </w:pPr>
      <w:r w:rsidRPr="00251A1E">
        <w:rPr>
          <w:rFonts w:ascii="Arial" w:hAnsi="Arial" w:cs="Arial"/>
          <w:lang w:val="es-CL"/>
        </w:rPr>
        <w:t xml:space="preserve">Tabla de beneficios </w:t>
      </w:r>
    </w:p>
    <w:tbl>
      <w:tblPr>
        <w:tblW w:w="6396" w:type="dxa"/>
        <w:tblLook w:val="04A0" w:firstRow="1" w:lastRow="0" w:firstColumn="1" w:lastColumn="0" w:noHBand="0" w:noVBand="1"/>
      </w:tblPr>
      <w:tblGrid>
        <w:gridCol w:w="1980"/>
        <w:gridCol w:w="2808"/>
        <w:gridCol w:w="1746"/>
      </w:tblGrid>
      <w:tr w:rsidR="00394644" w:rsidRPr="00251A1E" w14:paraId="0E8C3ED2" w14:textId="77777777" w:rsidTr="005130B2">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C3ED0" w14:textId="77777777" w:rsidR="00394644" w:rsidRPr="00251A1E" w:rsidRDefault="00394644" w:rsidP="00394644">
            <w:pPr>
              <w:spacing w:after="0" w:line="240" w:lineRule="auto"/>
              <w:rPr>
                <w:rFonts w:ascii="Arial" w:eastAsia="Times New Roman" w:hAnsi="Arial" w:cs="Arial"/>
                <w:b/>
                <w:bCs/>
                <w:color w:val="000000"/>
              </w:rPr>
            </w:pPr>
            <w:r w:rsidRPr="00251A1E">
              <w:rPr>
                <w:rFonts w:ascii="Arial" w:eastAsia="Times New Roman" w:hAnsi="Arial" w:cs="Arial"/>
                <w:b/>
                <w:bCs/>
                <w:color w:val="000000"/>
              </w:rPr>
              <w:t> </w:t>
            </w:r>
          </w:p>
        </w:tc>
        <w:tc>
          <w:tcPr>
            <w:tcW w:w="441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8C3ED1" w14:textId="77777777" w:rsidR="00394644" w:rsidRPr="00251A1E" w:rsidRDefault="00394644" w:rsidP="00394644">
            <w:pPr>
              <w:spacing w:after="0" w:line="240" w:lineRule="auto"/>
              <w:jc w:val="center"/>
              <w:rPr>
                <w:rFonts w:ascii="Arial" w:eastAsia="Times New Roman" w:hAnsi="Arial" w:cs="Arial"/>
                <w:b/>
                <w:bCs/>
                <w:color w:val="000000"/>
              </w:rPr>
            </w:pPr>
            <w:r w:rsidRPr="00251A1E">
              <w:rPr>
                <w:rFonts w:ascii="Arial" w:eastAsia="Times New Roman" w:hAnsi="Arial" w:cs="Arial"/>
                <w:b/>
                <w:bCs/>
                <w:color w:val="000000"/>
              </w:rPr>
              <w:t>VPN beneficios por región</w:t>
            </w:r>
          </w:p>
        </w:tc>
      </w:tr>
      <w:tr w:rsidR="00394644" w:rsidRPr="00251A1E" w14:paraId="0E8C3ED6"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E8C3ED3" w14:textId="77777777" w:rsidR="00394644" w:rsidRPr="00251A1E" w:rsidRDefault="007D4DDC" w:rsidP="00394644">
            <w:pPr>
              <w:spacing w:after="0" w:line="240" w:lineRule="auto"/>
              <w:rPr>
                <w:rFonts w:ascii="Arial" w:eastAsia="Times New Roman" w:hAnsi="Arial" w:cs="Arial"/>
                <w:b/>
                <w:bCs/>
                <w:color w:val="000000"/>
              </w:rPr>
            </w:pPr>
            <w:r w:rsidRPr="00251A1E">
              <w:rPr>
                <w:rFonts w:ascii="Arial" w:eastAsia="Times New Roman" w:hAnsi="Arial" w:cs="Arial"/>
                <w:b/>
                <w:bCs/>
                <w:color w:val="000000"/>
              </w:rPr>
              <w:t>Departamento</w:t>
            </w:r>
          </w:p>
        </w:tc>
        <w:tc>
          <w:tcPr>
            <w:tcW w:w="2808" w:type="dxa"/>
            <w:tcBorders>
              <w:top w:val="nil"/>
              <w:left w:val="nil"/>
              <w:bottom w:val="single" w:sz="4" w:space="0" w:color="auto"/>
              <w:right w:val="single" w:sz="4" w:space="0" w:color="auto"/>
            </w:tcBorders>
            <w:shd w:val="clear" w:color="auto" w:fill="auto"/>
            <w:noWrap/>
            <w:vAlign w:val="bottom"/>
            <w:hideMark/>
          </w:tcPr>
          <w:p w14:paraId="0E8C3ED4" w14:textId="77777777" w:rsidR="00394644" w:rsidRPr="00251A1E" w:rsidRDefault="00394644" w:rsidP="00394644">
            <w:pPr>
              <w:spacing w:after="0" w:line="240" w:lineRule="auto"/>
              <w:jc w:val="center"/>
              <w:rPr>
                <w:rFonts w:ascii="Arial" w:eastAsia="Times New Roman" w:hAnsi="Arial" w:cs="Arial"/>
                <w:b/>
                <w:bCs/>
                <w:color w:val="000000"/>
              </w:rPr>
            </w:pPr>
            <w:r w:rsidRPr="00251A1E">
              <w:rPr>
                <w:rFonts w:ascii="Arial" w:eastAsia="Times New Roman" w:hAnsi="Arial" w:cs="Arial"/>
                <w:b/>
                <w:bCs/>
                <w:color w:val="000000"/>
              </w:rPr>
              <w:t>Soles</w:t>
            </w:r>
          </w:p>
        </w:tc>
        <w:tc>
          <w:tcPr>
            <w:tcW w:w="1608" w:type="dxa"/>
            <w:tcBorders>
              <w:top w:val="nil"/>
              <w:left w:val="nil"/>
              <w:bottom w:val="single" w:sz="4" w:space="0" w:color="auto"/>
              <w:right w:val="single" w:sz="4" w:space="0" w:color="auto"/>
            </w:tcBorders>
            <w:shd w:val="clear" w:color="auto" w:fill="auto"/>
            <w:noWrap/>
            <w:vAlign w:val="bottom"/>
            <w:hideMark/>
          </w:tcPr>
          <w:p w14:paraId="0E8C3ED5" w14:textId="77777777" w:rsidR="00394644" w:rsidRPr="00251A1E" w:rsidRDefault="00394644" w:rsidP="00394644">
            <w:pPr>
              <w:spacing w:after="0" w:line="240" w:lineRule="auto"/>
              <w:jc w:val="center"/>
              <w:rPr>
                <w:rFonts w:ascii="Arial" w:eastAsia="Times New Roman" w:hAnsi="Arial" w:cs="Arial"/>
                <w:b/>
                <w:bCs/>
                <w:color w:val="000000"/>
              </w:rPr>
            </w:pPr>
            <w:r w:rsidRPr="00251A1E">
              <w:rPr>
                <w:rFonts w:ascii="Arial" w:eastAsia="Times New Roman" w:hAnsi="Arial" w:cs="Arial"/>
                <w:b/>
                <w:bCs/>
                <w:color w:val="000000"/>
              </w:rPr>
              <w:t>US$</w:t>
            </w:r>
          </w:p>
        </w:tc>
      </w:tr>
      <w:tr w:rsidR="005130B2" w:rsidRPr="00251A1E" w14:paraId="0E8C3EDA"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D7"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Huánuco</w:t>
            </w:r>
          </w:p>
        </w:tc>
        <w:tc>
          <w:tcPr>
            <w:tcW w:w="2808" w:type="dxa"/>
            <w:tcBorders>
              <w:top w:val="nil"/>
              <w:left w:val="nil"/>
              <w:bottom w:val="single" w:sz="4" w:space="0" w:color="auto"/>
              <w:right w:val="single" w:sz="4" w:space="0" w:color="auto"/>
            </w:tcBorders>
            <w:shd w:val="clear" w:color="auto" w:fill="auto"/>
            <w:noWrap/>
            <w:hideMark/>
          </w:tcPr>
          <w:p w14:paraId="0E8C3ED8" w14:textId="77777777" w:rsidR="005130B2" w:rsidRPr="00251A1E" w:rsidRDefault="005130B2" w:rsidP="005130B2">
            <w:pPr>
              <w:jc w:val="center"/>
              <w:rPr>
                <w:rFonts w:ascii="Arial" w:hAnsi="Arial" w:cs="Arial"/>
              </w:rPr>
            </w:pPr>
            <w:r w:rsidRPr="00251A1E">
              <w:rPr>
                <w:rFonts w:ascii="Arial" w:hAnsi="Arial" w:cs="Arial"/>
              </w:rPr>
              <w:t>S/. 20,373,463.65</w:t>
            </w:r>
          </w:p>
        </w:tc>
        <w:tc>
          <w:tcPr>
            <w:tcW w:w="1608" w:type="dxa"/>
            <w:tcBorders>
              <w:top w:val="nil"/>
              <w:left w:val="nil"/>
              <w:bottom w:val="single" w:sz="4" w:space="0" w:color="auto"/>
              <w:right w:val="single" w:sz="4" w:space="0" w:color="auto"/>
            </w:tcBorders>
            <w:shd w:val="clear" w:color="auto" w:fill="auto"/>
            <w:noWrap/>
            <w:hideMark/>
          </w:tcPr>
          <w:p w14:paraId="0E8C3ED9" w14:textId="77777777" w:rsidR="005130B2" w:rsidRPr="00251A1E" w:rsidRDefault="005130B2" w:rsidP="005130B2">
            <w:pPr>
              <w:jc w:val="center"/>
              <w:rPr>
                <w:rFonts w:ascii="Arial" w:hAnsi="Arial" w:cs="Arial"/>
              </w:rPr>
            </w:pPr>
            <w:r w:rsidRPr="00251A1E">
              <w:rPr>
                <w:rFonts w:ascii="Arial" w:hAnsi="Arial" w:cs="Arial"/>
              </w:rPr>
              <w:t>$6,249,528.73</w:t>
            </w:r>
          </w:p>
        </w:tc>
      </w:tr>
      <w:tr w:rsidR="005130B2" w:rsidRPr="00251A1E" w14:paraId="0E8C3EDE"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DB"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San Martin</w:t>
            </w:r>
          </w:p>
        </w:tc>
        <w:tc>
          <w:tcPr>
            <w:tcW w:w="2808" w:type="dxa"/>
            <w:tcBorders>
              <w:top w:val="nil"/>
              <w:left w:val="nil"/>
              <w:bottom w:val="single" w:sz="4" w:space="0" w:color="auto"/>
              <w:right w:val="single" w:sz="4" w:space="0" w:color="auto"/>
            </w:tcBorders>
            <w:shd w:val="clear" w:color="auto" w:fill="auto"/>
            <w:noWrap/>
            <w:hideMark/>
          </w:tcPr>
          <w:p w14:paraId="0E8C3EDC" w14:textId="77777777" w:rsidR="005130B2" w:rsidRPr="00251A1E" w:rsidRDefault="005130B2" w:rsidP="005130B2">
            <w:pPr>
              <w:jc w:val="center"/>
              <w:rPr>
                <w:rFonts w:ascii="Arial" w:hAnsi="Arial" w:cs="Arial"/>
              </w:rPr>
            </w:pPr>
            <w:r w:rsidRPr="00251A1E">
              <w:rPr>
                <w:rFonts w:ascii="Arial" w:hAnsi="Arial" w:cs="Arial"/>
              </w:rPr>
              <w:t>S/. 20,978,760.19</w:t>
            </w:r>
          </w:p>
        </w:tc>
        <w:tc>
          <w:tcPr>
            <w:tcW w:w="1608" w:type="dxa"/>
            <w:tcBorders>
              <w:top w:val="nil"/>
              <w:left w:val="nil"/>
              <w:bottom w:val="single" w:sz="4" w:space="0" w:color="auto"/>
              <w:right w:val="single" w:sz="4" w:space="0" w:color="auto"/>
            </w:tcBorders>
            <w:shd w:val="clear" w:color="auto" w:fill="auto"/>
            <w:noWrap/>
            <w:hideMark/>
          </w:tcPr>
          <w:p w14:paraId="0E8C3EDD" w14:textId="77777777" w:rsidR="005130B2" w:rsidRPr="00251A1E" w:rsidRDefault="005130B2" w:rsidP="005130B2">
            <w:pPr>
              <w:jc w:val="center"/>
              <w:rPr>
                <w:rFonts w:ascii="Arial" w:hAnsi="Arial" w:cs="Arial"/>
              </w:rPr>
            </w:pPr>
            <w:r w:rsidRPr="00251A1E">
              <w:rPr>
                <w:rFonts w:ascii="Arial" w:hAnsi="Arial" w:cs="Arial"/>
              </w:rPr>
              <w:t>$6,435,202.51</w:t>
            </w:r>
          </w:p>
        </w:tc>
      </w:tr>
      <w:tr w:rsidR="005130B2" w:rsidRPr="00251A1E" w14:paraId="0E8C3EE2"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DF"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Loreto</w:t>
            </w:r>
          </w:p>
        </w:tc>
        <w:tc>
          <w:tcPr>
            <w:tcW w:w="2808" w:type="dxa"/>
            <w:tcBorders>
              <w:top w:val="nil"/>
              <w:left w:val="nil"/>
              <w:bottom w:val="single" w:sz="4" w:space="0" w:color="auto"/>
              <w:right w:val="single" w:sz="4" w:space="0" w:color="auto"/>
            </w:tcBorders>
            <w:shd w:val="clear" w:color="auto" w:fill="auto"/>
            <w:noWrap/>
            <w:hideMark/>
          </w:tcPr>
          <w:p w14:paraId="0E8C3EE0" w14:textId="77777777" w:rsidR="005130B2" w:rsidRPr="00251A1E" w:rsidRDefault="005130B2" w:rsidP="005130B2">
            <w:pPr>
              <w:jc w:val="center"/>
              <w:rPr>
                <w:rFonts w:ascii="Arial" w:hAnsi="Arial" w:cs="Arial"/>
              </w:rPr>
            </w:pPr>
            <w:r w:rsidRPr="00251A1E">
              <w:rPr>
                <w:rFonts w:ascii="Arial" w:hAnsi="Arial" w:cs="Arial"/>
              </w:rPr>
              <w:t>S/. 24,084,324.94</w:t>
            </w:r>
          </w:p>
        </w:tc>
        <w:tc>
          <w:tcPr>
            <w:tcW w:w="1608" w:type="dxa"/>
            <w:tcBorders>
              <w:top w:val="nil"/>
              <w:left w:val="nil"/>
              <w:bottom w:val="single" w:sz="4" w:space="0" w:color="auto"/>
              <w:right w:val="single" w:sz="4" w:space="0" w:color="auto"/>
            </w:tcBorders>
            <w:shd w:val="clear" w:color="auto" w:fill="auto"/>
            <w:noWrap/>
            <w:hideMark/>
          </w:tcPr>
          <w:p w14:paraId="0E8C3EE1" w14:textId="77777777" w:rsidR="005130B2" w:rsidRPr="00251A1E" w:rsidRDefault="005130B2" w:rsidP="005130B2">
            <w:pPr>
              <w:jc w:val="center"/>
              <w:rPr>
                <w:rFonts w:ascii="Arial" w:hAnsi="Arial" w:cs="Arial"/>
              </w:rPr>
            </w:pPr>
            <w:r w:rsidRPr="00251A1E">
              <w:rPr>
                <w:rFonts w:ascii="Arial" w:hAnsi="Arial" w:cs="Arial"/>
              </w:rPr>
              <w:t>$7,387,829.74</w:t>
            </w:r>
          </w:p>
        </w:tc>
      </w:tr>
      <w:tr w:rsidR="005130B2" w:rsidRPr="00251A1E" w14:paraId="0E8C3EE6"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E3"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Ayacucho</w:t>
            </w:r>
          </w:p>
        </w:tc>
        <w:tc>
          <w:tcPr>
            <w:tcW w:w="2808" w:type="dxa"/>
            <w:tcBorders>
              <w:top w:val="nil"/>
              <w:left w:val="nil"/>
              <w:bottom w:val="single" w:sz="4" w:space="0" w:color="auto"/>
              <w:right w:val="single" w:sz="4" w:space="0" w:color="auto"/>
            </w:tcBorders>
            <w:shd w:val="clear" w:color="auto" w:fill="auto"/>
            <w:noWrap/>
            <w:hideMark/>
          </w:tcPr>
          <w:p w14:paraId="0E8C3EE4" w14:textId="77777777" w:rsidR="005130B2" w:rsidRPr="00251A1E" w:rsidRDefault="005130B2" w:rsidP="005130B2">
            <w:pPr>
              <w:jc w:val="center"/>
              <w:rPr>
                <w:rFonts w:ascii="Arial" w:hAnsi="Arial" w:cs="Arial"/>
              </w:rPr>
            </w:pPr>
            <w:r w:rsidRPr="00251A1E">
              <w:rPr>
                <w:rFonts w:ascii="Arial" w:hAnsi="Arial" w:cs="Arial"/>
              </w:rPr>
              <w:t>S/. 14,617,453.13</w:t>
            </w:r>
          </w:p>
        </w:tc>
        <w:tc>
          <w:tcPr>
            <w:tcW w:w="1608" w:type="dxa"/>
            <w:tcBorders>
              <w:top w:val="nil"/>
              <w:left w:val="nil"/>
              <w:bottom w:val="single" w:sz="4" w:space="0" w:color="auto"/>
              <w:right w:val="single" w:sz="4" w:space="0" w:color="auto"/>
            </w:tcBorders>
            <w:shd w:val="clear" w:color="auto" w:fill="auto"/>
            <w:noWrap/>
            <w:hideMark/>
          </w:tcPr>
          <w:p w14:paraId="0E8C3EE5" w14:textId="77777777" w:rsidR="005130B2" w:rsidRPr="00251A1E" w:rsidRDefault="005130B2" w:rsidP="005130B2">
            <w:pPr>
              <w:jc w:val="center"/>
              <w:rPr>
                <w:rFonts w:ascii="Arial" w:hAnsi="Arial" w:cs="Arial"/>
              </w:rPr>
            </w:pPr>
            <w:r w:rsidRPr="00251A1E">
              <w:rPr>
                <w:rFonts w:ascii="Arial" w:hAnsi="Arial" w:cs="Arial"/>
              </w:rPr>
              <w:t>$4,483,881.33</w:t>
            </w:r>
          </w:p>
        </w:tc>
      </w:tr>
      <w:tr w:rsidR="005130B2" w:rsidRPr="00251A1E" w14:paraId="0E8C3EEA"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E7"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Huancavelica</w:t>
            </w:r>
          </w:p>
        </w:tc>
        <w:tc>
          <w:tcPr>
            <w:tcW w:w="2808" w:type="dxa"/>
            <w:tcBorders>
              <w:top w:val="nil"/>
              <w:left w:val="nil"/>
              <w:bottom w:val="single" w:sz="4" w:space="0" w:color="auto"/>
              <w:right w:val="single" w:sz="4" w:space="0" w:color="auto"/>
            </w:tcBorders>
            <w:shd w:val="clear" w:color="auto" w:fill="auto"/>
            <w:noWrap/>
            <w:hideMark/>
          </w:tcPr>
          <w:p w14:paraId="0E8C3EE8" w14:textId="77777777" w:rsidR="005130B2" w:rsidRPr="00251A1E" w:rsidRDefault="005130B2" w:rsidP="005130B2">
            <w:pPr>
              <w:jc w:val="center"/>
              <w:rPr>
                <w:rFonts w:ascii="Arial" w:hAnsi="Arial" w:cs="Arial"/>
              </w:rPr>
            </w:pPr>
            <w:r w:rsidRPr="00251A1E">
              <w:rPr>
                <w:rFonts w:ascii="Arial" w:hAnsi="Arial" w:cs="Arial"/>
              </w:rPr>
              <w:t>S/. 8,866,159.39</w:t>
            </w:r>
          </w:p>
        </w:tc>
        <w:tc>
          <w:tcPr>
            <w:tcW w:w="1608" w:type="dxa"/>
            <w:tcBorders>
              <w:top w:val="nil"/>
              <w:left w:val="nil"/>
              <w:bottom w:val="single" w:sz="4" w:space="0" w:color="auto"/>
              <w:right w:val="single" w:sz="4" w:space="0" w:color="auto"/>
            </w:tcBorders>
            <w:shd w:val="clear" w:color="auto" w:fill="auto"/>
            <w:noWrap/>
            <w:hideMark/>
          </w:tcPr>
          <w:p w14:paraId="0E8C3EE9" w14:textId="77777777" w:rsidR="005130B2" w:rsidRPr="00251A1E" w:rsidRDefault="005130B2" w:rsidP="005130B2">
            <w:pPr>
              <w:jc w:val="center"/>
              <w:rPr>
                <w:rFonts w:ascii="Arial" w:hAnsi="Arial" w:cs="Arial"/>
              </w:rPr>
            </w:pPr>
            <w:r w:rsidRPr="00251A1E">
              <w:rPr>
                <w:rFonts w:ascii="Arial" w:hAnsi="Arial" w:cs="Arial"/>
              </w:rPr>
              <w:t>$2,719,680.80</w:t>
            </w:r>
          </w:p>
        </w:tc>
      </w:tr>
      <w:tr w:rsidR="005130B2" w:rsidRPr="00251A1E" w14:paraId="0E8C3EEE"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EB"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Puno</w:t>
            </w:r>
          </w:p>
        </w:tc>
        <w:tc>
          <w:tcPr>
            <w:tcW w:w="2808" w:type="dxa"/>
            <w:tcBorders>
              <w:top w:val="nil"/>
              <w:left w:val="nil"/>
              <w:bottom w:val="single" w:sz="4" w:space="0" w:color="auto"/>
              <w:right w:val="single" w:sz="4" w:space="0" w:color="auto"/>
            </w:tcBorders>
            <w:shd w:val="clear" w:color="auto" w:fill="auto"/>
            <w:noWrap/>
            <w:hideMark/>
          </w:tcPr>
          <w:p w14:paraId="0E8C3EEC" w14:textId="77777777" w:rsidR="005130B2" w:rsidRPr="00251A1E" w:rsidRDefault="005130B2" w:rsidP="005130B2">
            <w:pPr>
              <w:jc w:val="center"/>
              <w:rPr>
                <w:rFonts w:ascii="Arial" w:hAnsi="Arial" w:cs="Arial"/>
              </w:rPr>
            </w:pPr>
            <w:r w:rsidRPr="00251A1E">
              <w:rPr>
                <w:rFonts w:ascii="Arial" w:hAnsi="Arial" w:cs="Arial"/>
              </w:rPr>
              <w:t>S/. 30,485,553.49</w:t>
            </w:r>
          </w:p>
        </w:tc>
        <w:tc>
          <w:tcPr>
            <w:tcW w:w="1608" w:type="dxa"/>
            <w:tcBorders>
              <w:top w:val="nil"/>
              <w:left w:val="nil"/>
              <w:bottom w:val="single" w:sz="4" w:space="0" w:color="auto"/>
              <w:right w:val="single" w:sz="4" w:space="0" w:color="auto"/>
            </w:tcBorders>
            <w:shd w:val="clear" w:color="auto" w:fill="auto"/>
            <w:noWrap/>
            <w:hideMark/>
          </w:tcPr>
          <w:p w14:paraId="0E8C3EED" w14:textId="77777777" w:rsidR="005130B2" w:rsidRPr="00251A1E" w:rsidRDefault="005130B2" w:rsidP="005130B2">
            <w:pPr>
              <w:jc w:val="center"/>
              <w:rPr>
                <w:rFonts w:ascii="Arial" w:hAnsi="Arial" w:cs="Arial"/>
              </w:rPr>
            </w:pPr>
            <w:r w:rsidRPr="00251A1E">
              <w:rPr>
                <w:rFonts w:ascii="Arial" w:hAnsi="Arial" w:cs="Arial"/>
              </w:rPr>
              <w:t>$9,351,396.78</w:t>
            </w:r>
          </w:p>
        </w:tc>
      </w:tr>
      <w:tr w:rsidR="005130B2" w:rsidRPr="00251A1E" w14:paraId="0E8C3EF2"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EF"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Apurimac</w:t>
            </w:r>
          </w:p>
        </w:tc>
        <w:tc>
          <w:tcPr>
            <w:tcW w:w="2808" w:type="dxa"/>
            <w:tcBorders>
              <w:top w:val="nil"/>
              <w:left w:val="nil"/>
              <w:bottom w:val="single" w:sz="4" w:space="0" w:color="auto"/>
              <w:right w:val="single" w:sz="4" w:space="0" w:color="auto"/>
            </w:tcBorders>
            <w:shd w:val="clear" w:color="auto" w:fill="auto"/>
            <w:noWrap/>
            <w:hideMark/>
          </w:tcPr>
          <w:p w14:paraId="0E8C3EF0" w14:textId="77777777" w:rsidR="005130B2" w:rsidRPr="00251A1E" w:rsidRDefault="005130B2" w:rsidP="005130B2">
            <w:pPr>
              <w:jc w:val="center"/>
              <w:rPr>
                <w:rFonts w:ascii="Arial" w:hAnsi="Arial" w:cs="Arial"/>
              </w:rPr>
            </w:pPr>
            <w:r w:rsidRPr="00251A1E">
              <w:rPr>
                <w:rFonts w:ascii="Arial" w:hAnsi="Arial" w:cs="Arial"/>
              </w:rPr>
              <w:t>S/. 10,856,674.88</w:t>
            </w:r>
          </w:p>
        </w:tc>
        <w:tc>
          <w:tcPr>
            <w:tcW w:w="1608" w:type="dxa"/>
            <w:tcBorders>
              <w:top w:val="nil"/>
              <w:left w:val="nil"/>
              <w:bottom w:val="single" w:sz="4" w:space="0" w:color="auto"/>
              <w:right w:val="single" w:sz="4" w:space="0" w:color="auto"/>
            </w:tcBorders>
            <w:shd w:val="clear" w:color="auto" w:fill="auto"/>
            <w:noWrap/>
            <w:hideMark/>
          </w:tcPr>
          <w:p w14:paraId="0E8C3EF1" w14:textId="77777777" w:rsidR="005130B2" w:rsidRPr="00251A1E" w:rsidRDefault="005130B2" w:rsidP="005130B2">
            <w:pPr>
              <w:jc w:val="center"/>
              <w:rPr>
                <w:rFonts w:ascii="Arial" w:hAnsi="Arial" w:cs="Arial"/>
              </w:rPr>
            </w:pPr>
            <w:r w:rsidRPr="00251A1E">
              <w:rPr>
                <w:rFonts w:ascii="Arial" w:hAnsi="Arial" w:cs="Arial"/>
              </w:rPr>
              <w:t>$3,330,268.37</w:t>
            </w:r>
          </w:p>
        </w:tc>
      </w:tr>
      <w:tr w:rsidR="005130B2" w:rsidRPr="00251A1E" w14:paraId="0E8C3EF6"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F3"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Amazonas</w:t>
            </w:r>
          </w:p>
        </w:tc>
        <w:tc>
          <w:tcPr>
            <w:tcW w:w="2808" w:type="dxa"/>
            <w:tcBorders>
              <w:top w:val="nil"/>
              <w:left w:val="nil"/>
              <w:bottom w:val="single" w:sz="4" w:space="0" w:color="auto"/>
              <w:right w:val="single" w:sz="4" w:space="0" w:color="auto"/>
            </w:tcBorders>
            <w:shd w:val="clear" w:color="auto" w:fill="auto"/>
            <w:noWrap/>
            <w:hideMark/>
          </w:tcPr>
          <w:p w14:paraId="0E8C3EF4" w14:textId="77777777" w:rsidR="005130B2" w:rsidRPr="00251A1E" w:rsidRDefault="005130B2" w:rsidP="005130B2">
            <w:pPr>
              <w:jc w:val="center"/>
              <w:rPr>
                <w:rFonts w:ascii="Arial" w:hAnsi="Arial" w:cs="Arial"/>
              </w:rPr>
            </w:pPr>
            <w:r w:rsidRPr="00251A1E">
              <w:rPr>
                <w:rFonts w:ascii="Arial" w:hAnsi="Arial" w:cs="Arial"/>
              </w:rPr>
              <w:t>S/. 9,577,257.06</w:t>
            </w:r>
          </w:p>
        </w:tc>
        <w:tc>
          <w:tcPr>
            <w:tcW w:w="1608" w:type="dxa"/>
            <w:tcBorders>
              <w:top w:val="nil"/>
              <w:left w:val="nil"/>
              <w:bottom w:val="single" w:sz="4" w:space="0" w:color="auto"/>
              <w:right w:val="single" w:sz="4" w:space="0" w:color="auto"/>
            </w:tcBorders>
            <w:shd w:val="clear" w:color="auto" w:fill="auto"/>
            <w:noWrap/>
            <w:hideMark/>
          </w:tcPr>
          <w:p w14:paraId="0E8C3EF5" w14:textId="77777777" w:rsidR="005130B2" w:rsidRPr="00251A1E" w:rsidRDefault="005130B2" w:rsidP="005130B2">
            <w:pPr>
              <w:jc w:val="center"/>
              <w:rPr>
                <w:rFonts w:ascii="Arial" w:hAnsi="Arial" w:cs="Arial"/>
              </w:rPr>
            </w:pPr>
            <w:r w:rsidRPr="00251A1E">
              <w:rPr>
                <w:rFonts w:ascii="Arial" w:hAnsi="Arial" w:cs="Arial"/>
              </w:rPr>
              <w:t>$2,937,808.92</w:t>
            </w:r>
          </w:p>
        </w:tc>
      </w:tr>
      <w:tr w:rsidR="005130B2" w:rsidRPr="00251A1E" w14:paraId="0E8C3EFA"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hideMark/>
          </w:tcPr>
          <w:p w14:paraId="0E8C3EF7"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Pasco</w:t>
            </w:r>
          </w:p>
        </w:tc>
        <w:tc>
          <w:tcPr>
            <w:tcW w:w="2808" w:type="dxa"/>
            <w:tcBorders>
              <w:top w:val="nil"/>
              <w:left w:val="nil"/>
              <w:bottom w:val="single" w:sz="4" w:space="0" w:color="auto"/>
              <w:right w:val="single" w:sz="4" w:space="0" w:color="auto"/>
            </w:tcBorders>
            <w:shd w:val="clear" w:color="auto" w:fill="auto"/>
            <w:noWrap/>
            <w:hideMark/>
          </w:tcPr>
          <w:p w14:paraId="0E8C3EF8" w14:textId="77777777" w:rsidR="005130B2" w:rsidRPr="00251A1E" w:rsidRDefault="005130B2" w:rsidP="005130B2">
            <w:pPr>
              <w:jc w:val="center"/>
              <w:rPr>
                <w:rFonts w:ascii="Arial" w:hAnsi="Arial" w:cs="Arial"/>
              </w:rPr>
            </w:pPr>
            <w:r w:rsidRPr="00251A1E">
              <w:rPr>
                <w:rFonts w:ascii="Arial" w:hAnsi="Arial" w:cs="Arial"/>
              </w:rPr>
              <w:t>S/. 6,131,249.40</w:t>
            </w:r>
          </w:p>
        </w:tc>
        <w:tc>
          <w:tcPr>
            <w:tcW w:w="1608" w:type="dxa"/>
            <w:tcBorders>
              <w:top w:val="nil"/>
              <w:left w:val="nil"/>
              <w:bottom w:val="single" w:sz="4" w:space="0" w:color="auto"/>
              <w:right w:val="single" w:sz="4" w:space="0" w:color="auto"/>
            </w:tcBorders>
            <w:shd w:val="clear" w:color="auto" w:fill="auto"/>
            <w:noWrap/>
            <w:hideMark/>
          </w:tcPr>
          <w:p w14:paraId="0E8C3EF9" w14:textId="77777777" w:rsidR="005130B2" w:rsidRPr="00251A1E" w:rsidRDefault="005130B2" w:rsidP="005130B2">
            <w:pPr>
              <w:jc w:val="center"/>
              <w:rPr>
                <w:rFonts w:ascii="Arial" w:hAnsi="Arial" w:cs="Arial"/>
              </w:rPr>
            </w:pPr>
            <w:r w:rsidRPr="00251A1E">
              <w:rPr>
                <w:rFonts w:ascii="Arial" w:hAnsi="Arial" w:cs="Arial"/>
              </w:rPr>
              <w:t>$1,880,751.35</w:t>
            </w:r>
          </w:p>
        </w:tc>
      </w:tr>
      <w:tr w:rsidR="005130B2" w:rsidRPr="00251A1E" w14:paraId="0E8C3EFE"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tcPr>
          <w:p w14:paraId="0E8C3EFB" w14:textId="77777777" w:rsidR="005130B2" w:rsidRPr="00251A1E" w:rsidRDefault="005130B2"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Moquegua</w:t>
            </w:r>
          </w:p>
        </w:tc>
        <w:tc>
          <w:tcPr>
            <w:tcW w:w="2808" w:type="dxa"/>
            <w:tcBorders>
              <w:top w:val="nil"/>
              <w:left w:val="nil"/>
              <w:bottom w:val="single" w:sz="4" w:space="0" w:color="auto"/>
              <w:right w:val="single" w:sz="4" w:space="0" w:color="auto"/>
            </w:tcBorders>
            <w:shd w:val="clear" w:color="auto" w:fill="auto"/>
            <w:noWrap/>
          </w:tcPr>
          <w:p w14:paraId="0E8C3EFC" w14:textId="77777777" w:rsidR="005130B2" w:rsidRPr="00251A1E" w:rsidRDefault="005130B2" w:rsidP="005130B2">
            <w:pPr>
              <w:jc w:val="center"/>
              <w:rPr>
                <w:rFonts w:ascii="Arial" w:hAnsi="Arial" w:cs="Arial"/>
              </w:rPr>
            </w:pPr>
            <w:r w:rsidRPr="00251A1E">
              <w:rPr>
                <w:rFonts w:ascii="Arial" w:hAnsi="Arial" w:cs="Arial"/>
              </w:rPr>
              <w:t>S/. 7,834,677.16</w:t>
            </w:r>
          </w:p>
        </w:tc>
        <w:tc>
          <w:tcPr>
            <w:tcW w:w="1608" w:type="dxa"/>
            <w:tcBorders>
              <w:top w:val="nil"/>
              <w:left w:val="nil"/>
              <w:bottom w:val="single" w:sz="4" w:space="0" w:color="auto"/>
              <w:right w:val="single" w:sz="4" w:space="0" w:color="auto"/>
            </w:tcBorders>
            <w:shd w:val="clear" w:color="auto" w:fill="auto"/>
            <w:noWrap/>
          </w:tcPr>
          <w:p w14:paraId="0E8C3EFD" w14:textId="77777777" w:rsidR="005130B2" w:rsidRPr="00251A1E" w:rsidRDefault="005130B2" w:rsidP="005130B2">
            <w:pPr>
              <w:jc w:val="center"/>
              <w:rPr>
                <w:rFonts w:ascii="Arial" w:hAnsi="Arial" w:cs="Arial"/>
              </w:rPr>
            </w:pPr>
            <w:r w:rsidRPr="00251A1E">
              <w:rPr>
                <w:rFonts w:ascii="Arial" w:hAnsi="Arial" w:cs="Arial"/>
              </w:rPr>
              <w:t>$2,403,275.20</w:t>
            </w:r>
          </w:p>
        </w:tc>
      </w:tr>
      <w:tr w:rsidR="00394644" w:rsidRPr="00251A1E" w14:paraId="0E8C3F02"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E8C3EFF" w14:textId="77777777" w:rsidR="00394644" w:rsidRPr="00251A1E" w:rsidRDefault="00394644"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rPr>
              <w:t>MAC Virtual</w:t>
            </w:r>
          </w:p>
        </w:tc>
        <w:tc>
          <w:tcPr>
            <w:tcW w:w="2808" w:type="dxa"/>
            <w:tcBorders>
              <w:top w:val="nil"/>
              <w:left w:val="nil"/>
              <w:bottom w:val="single" w:sz="4" w:space="0" w:color="auto"/>
              <w:right w:val="single" w:sz="4" w:space="0" w:color="auto"/>
            </w:tcBorders>
            <w:shd w:val="clear" w:color="auto" w:fill="auto"/>
            <w:noWrap/>
            <w:vAlign w:val="center"/>
            <w:hideMark/>
          </w:tcPr>
          <w:p w14:paraId="0E8C3F00"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S/.</w:t>
            </w:r>
            <w:r w:rsidR="005130B2" w:rsidRPr="00251A1E">
              <w:rPr>
                <w:rFonts w:ascii="Arial" w:eastAsia="Times New Roman" w:hAnsi="Arial" w:cs="Arial"/>
                <w:color w:val="000000"/>
                <w:lang w:val="es-CL"/>
              </w:rPr>
              <w:t xml:space="preserve"> </w:t>
            </w:r>
            <w:r w:rsidRPr="00251A1E">
              <w:rPr>
                <w:rFonts w:ascii="Arial" w:eastAsia="Times New Roman" w:hAnsi="Arial" w:cs="Arial"/>
                <w:color w:val="000000"/>
                <w:lang w:val="es-CL"/>
              </w:rPr>
              <w:t xml:space="preserve"> 29,969,253.49</w:t>
            </w:r>
          </w:p>
        </w:tc>
        <w:tc>
          <w:tcPr>
            <w:tcW w:w="1608" w:type="dxa"/>
            <w:tcBorders>
              <w:top w:val="nil"/>
              <w:left w:val="nil"/>
              <w:bottom w:val="single" w:sz="4" w:space="0" w:color="auto"/>
              <w:right w:val="single" w:sz="4" w:space="0" w:color="auto"/>
            </w:tcBorders>
            <w:shd w:val="clear" w:color="auto" w:fill="auto"/>
            <w:noWrap/>
            <w:vAlign w:val="center"/>
            <w:hideMark/>
          </w:tcPr>
          <w:p w14:paraId="0E8C3F01"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$9,193,022.54</w:t>
            </w:r>
          </w:p>
        </w:tc>
      </w:tr>
      <w:tr w:rsidR="00394644" w:rsidRPr="00251A1E" w14:paraId="0E8C3F06"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E8C3F03"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Componente 2</w:t>
            </w:r>
          </w:p>
        </w:tc>
        <w:tc>
          <w:tcPr>
            <w:tcW w:w="2808" w:type="dxa"/>
            <w:tcBorders>
              <w:top w:val="nil"/>
              <w:left w:val="nil"/>
              <w:bottom w:val="single" w:sz="4" w:space="0" w:color="auto"/>
              <w:right w:val="single" w:sz="4" w:space="0" w:color="auto"/>
            </w:tcBorders>
            <w:shd w:val="clear" w:color="auto" w:fill="auto"/>
            <w:noWrap/>
            <w:vAlign w:val="center"/>
            <w:hideMark/>
          </w:tcPr>
          <w:p w14:paraId="0E8C3F04" w14:textId="77777777" w:rsidR="00394644" w:rsidRPr="00251A1E" w:rsidRDefault="00394644" w:rsidP="005130B2">
            <w:pPr>
              <w:spacing w:after="0" w:line="240" w:lineRule="auto"/>
              <w:jc w:val="center"/>
              <w:rPr>
                <w:rFonts w:ascii="Arial" w:eastAsia="Times New Roman" w:hAnsi="Arial" w:cs="Arial"/>
                <w:color w:val="000000"/>
                <w:lang w:val="es-CL"/>
              </w:rPr>
            </w:pPr>
          </w:p>
        </w:tc>
        <w:tc>
          <w:tcPr>
            <w:tcW w:w="1608" w:type="dxa"/>
            <w:tcBorders>
              <w:top w:val="nil"/>
              <w:left w:val="nil"/>
              <w:bottom w:val="single" w:sz="4" w:space="0" w:color="auto"/>
              <w:right w:val="single" w:sz="4" w:space="0" w:color="auto"/>
            </w:tcBorders>
            <w:shd w:val="clear" w:color="auto" w:fill="auto"/>
            <w:noWrap/>
            <w:vAlign w:val="center"/>
            <w:hideMark/>
          </w:tcPr>
          <w:p w14:paraId="0E8C3F05"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$17,276,327.61</w:t>
            </w:r>
          </w:p>
        </w:tc>
      </w:tr>
      <w:tr w:rsidR="00394644" w:rsidRPr="00251A1E" w14:paraId="0E8C3F0A"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E8C3F07"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Componente 1</w:t>
            </w:r>
          </w:p>
        </w:tc>
        <w:tc>
          <w:tcPr>
            <w:tcW w:w="2808" w:type="dxa"/>
            <w:tcBorders>
              <w:top w:val="nil"/>
              <w:left w:val="nil"/>
              <w:bottom w:val="single" w:sz="4" w:space="0" w:color="auto"/>
              <w:right w:val="single" w:sz="4" w:space="0" w:color="auto"/>
            </w:tcBorders>
            <w:shd w:val="clear" w:color="auto" w:fill="auto"/>
            <w:noWrap/>
            <w:vAlign w:val="center"/>
            <w:hideMark/>
          </w:tcPr>
          <w:p w14:paraId="0E8C3F08" w14:textId="77777777" w:rsidR="00394644" w:rsidRPr="00251A1E" w:rsidRDefault="00394644" w:rsidP="005130B2">
            <w:pPr>
              <w:spacing w:after="0" w:line="240" w:lineRule="auto"/>
              <w:jc w:val="center"/>
              <w:rPr>
                <w:rFonts w:ascii="Arial" w:eastAsia="Times New Roman" w:hAnsi="Arial" w:cs="Arial"/>
                <w:color w:val="000000"/>
                <w:lang w:val="es-CL"/>
              </w:rPr>
            </w:pPr>
          </w:p>
        </w:tc>
        <w:tc>
          <w:tcPr>
            <w:tcW w:w="1608" w:type="dxa"/>
            <w:tcBorders>
              <w:top w:val="nil"/>
              <w:left w:val="nil"/>
              <w:bottom w:val="single" w:sz="4" w:space="0" w:color="auto"/>
              <w:right w:val="single" w:sz="4" w:space="0" w:color="auto"/>
            </w:tcBorders>
            <w:shd w:val="clear" w:color="auto" w:fill="auto"/>
            <w:noWrap/>
            <w:vAlign w:val="center"/>
            <w:hideMark/>
          </w:tcPr>
          <w:p w14:paraId="0E8C3F09"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$2,654,845.34</w:t>
            </w:r>
          </w:p>
        </w:tc>
      </w:tr>
      <w:tr w:rsidR="00394644" w:rsidRPr="00251A1E" w14:paraId="0E8C3F0E" w14:textId="77777777" w:rsidTr="005130B2">
        <w:trPr>
          <w:trHeight w:val="30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E8C3F0B"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Inversión</w:t>
            </w:r>
          </w:p>
        </w:tc>
        <w:tc>
          <w:tcPr>
            <w:tcW w:w="2808" w:type="dxa"/>
            <w:tcBorders>
              <w:top w:val="nil"/>
              <w:left w:val="nil"/>
              <w:bottom w:val="single" w:sz="4" w:space="0" w:color="auto"/>
              <w:right w:val="single" w:sz="4" w:space="0" w:color="auto"/>
            </w:tcBorders>
            <w:shd w:val="clear" w:color="auto" w:fill="auto"/>
            <w:noWrap/>
            <w:vAlign w:val="center"/>
            <w:hideMark/>
          </w:tcPr>
          <w:p w14:paraId="0E8C3F0C" w14:textId="77777777" w:rsidR="00394644" w:rsidRPr="00251A1E" w:rsidRDefault="00394644" w:rsidP="005130B2">
            <w:pPr>
              <w:spacing w:after="0" w:line="240" w:lineRule="auto"/>
              <w:jc w:val="center"/>
              <w:rPr>
                <w:rFonts w:ascii="Arial" w:eastAsia="Times New Roman" w:hAnsi="Arial" w:cs="Arial"/>
                <w:color w:val="000000"/>
                <w:lang w:val="es-CL"/>
              </w:rPr>
            </w:pPr>
            <w:r w:rsidRPr="00251A1E">
              <w:rPr>
                <w:rFonts w:ascii="Arial" w:eastAsia="Times New Roman" w:hAnsi="Arial" w:cs="Arial"/>
                <w:color w:val="000000"/>
                <w:lang w:val="es-CL"/>
              </w:rPr>
              <w:t xml:space="preserve">S/. </w:t>
            </w:r>
            <w:r w:rsidR="001D5796">
              <w:rPr>
                <w:rFonts w:ascii="Arial" w:eastAsia="Times New Roman" w:hAnsi="Arial" w:cs="Arial"/>
                <w:color w:val="000000"/>
                <w:lang w:val="es-CL"/>
              </w:rPr>
              <w:t>195</w:t>
            </w:r>
            <w:r w:rsidRPr="00251A1E">
              <w:rPr>
                <w:rFonts w:ascii="Arial" w:eastAsia="Times New Roman" w:hAnsi="Arial" w:cs="Arial"/>
                <w:color w:val="000000"/>
                <w:lang w:val="es-CL"/>
              </w:rPr>
              <w:t>,</w:t>
            </w:r>
            <w:r w:rsidR="001D5796">
              <w:rPr>
                <w:rFonts w:ascii="Arial" w:eastAsia="Times New Roman" w:hAnsi="Arial" w:cs="Arial"/>
                <w:color w:val="000000"/>
                <w:lang w:val="es-CL"/>
              </w:rPr>
              <w:t>6</w:t>
            </w:r>
            <w:r w:rsidRPr="00251A1E">
              <w:rPr>
                <w:rFonts w:ascii="Arial" w:eastAsia="Times New Roman" w:hAnsi="Arial" w:cs="Arial"/>
                <w:color w:val="000000"/>
                <w:lang w:val="es-CL"/>
              </w:rPr>
              <w:t>00,000.00</w:t>
            </w:r>
          </w:p>
        </w:tc>
        <w:tc>
          <w:tcPr>
            <w:tcW w:w="1608" w:type="dxa"/>
            <w:tcBorders>
              <w:top w:val="nil"/>
              <w:left w:val="nil"/>
              <w:bottom w:val="single" w:sz="4" w:space="0" w:color="auto"/>
              <w:right w:val="single" w:sz="4" w:space="0" w:color="auto"/>
            </w:tcBorders>
            <w:shd w:val="clear" w:color="auto" w:fill="auto"/>
            <w:noWrap/>
            <w:vAlign w:val="center"/>
            <w:hideMark/>
          </w:tcPr>
          <w:p w14:paraId="0E8C3F0D" w14:textId="77777777" w:rsidR="00394644" w:rsidRPr="00251A1E" w:rsidRDefault="00394644" w:rsidP="005130B2">
            <w:pPr>
              <w:spacing w:after="0" w:line="240" w:lineRule="auto"/>
              <w:jc w:val="center"/>
              <w:rPr>
                <w:rFonts w:ascii="Arial" w:eastAsia="Times New Roman" w:hAnsi="Arial" w:cs="Arial"/>
                <w:color w:val="000000"/>
              </w:rPr>
            </w:pPr>
            <w:r w:rsidRPr="00251A1E">
              <w:rPr>
                <w:rFonts w:ascii="Arial" w:eastAsia="Times New Roman" w:hAnsi="Arial" w:cs="Arial"/>
                <w:color w:val="000000"/>
                <w:lang w:val="es-CL"/>
              </w:rPr>
              <w:t>$</w:t>
            </w:r>
            <w:r w:rsidR="001D5796">
              <w:rPr>
                <w:rFonts w:ascii="Arial" w:eastAsia="Times New Roman" w:hAnsi="Arial" w:cs="Arial"/>
                <w:color w:val="000000"/>
                <w:lang w:val="es-CL"/>
              </w:rPr>
              <w:t>6</w:t>
            </w:r>
            <w:r w:rsidRPr="00251A1E">
              <w:rPr>
                <w:rFonts w:ascii="Arial" w:eastAsia="Times New Roman" w:hAnsi="Arial" w:cs="Arial"/>
                <w:color w:val="000000"/>
                <w:lang w:val="es-CL"/>
              </w:rPr>
              <w:t>0,000,000.0</w:t>
            </w:r>
            <w:r w:rsidRPr="00251A1E">
              <w:rPr>
                <w:rFonts w:ascii="Arial" w:eastAsia="Times New Roman" w:hAnsi="Arial" w:cs="Arial"/>
                <w:color w:val="000000"/>
              </w:rPr>
              <w:t>0</w:t>
            </w:r>
          </w:p>
        </w:tc>
      </w:tr>
      <w:tr w:rsidR="00394644" w:rsidRPr="00251A1E" w14:paraId="0E8C3F12" w14:textId="77777777" w:rsidTr="005130B2">
        <w:trPr>
          <w:trHeight w:val="300"/>
        </w:trPr>
        <w:tc>
          <w:tcPr>
            <w:tcW w:w="1980" w:type="dxa"/>
            <w:tcBorders>
              <w:top w:val="nil"/>
              <w:left w:val="single" w:sz="4" w:space="0" w:color="auto"/>
              <w:bottom w:val="single" w:sz="4" w:space="0" w:color="auto"/>
              <w:right w:val="single" w:sz="4" w:space="0" w:color="auto"/>
            </w:tcBorders>
            <w:shd w:val="clear" w:color="000000" w:fill="92D050"/>
            <w:noWrap/>
            <w:vAlign w:val="bottom"/>
            <w:hideMark/>
          </w:tcPr>
          <w:p w14:paraId="0E8C3F0F" w14:textId="77777777" w:rsidR="00394644" w:rsidRPr="00251A1E" w:rsidRDefault="00394644" w:rsidP="00394644">
            <w:pPr>
              <w:spacing w:after="0" w:line="240" w:lineRule="auto"/>
              <w:rPr>
                <w:rFonts w:ascii="Arial" w:eastAsia="Times New Roman" w:hAnsi="Arial" w:cs="Arial"/>
                <w:color w:val="000000"/>
              </w:rPr>
            </w:pPr>
            <w:r w:rsidRPr="00251A1E">
              <w:rPr>
                <w:rFonts w:ascii="Arial" w:eastAsia="Times New Roman" w:hAnsi="Arial" w:cs="Arial"/>
                <w:color w:val="000000"/>
              </w:rPr>
              <w:t>VPN</w:t>
            </w:r>
          </w:p>
        </w:tc>
        <w:tc>
          <w:tcPr>
            <w:tcW w:w="2808" w:type="dxa"/>
            <w:tcBorders>
              <w:top w:val="nil"/>
              <w:left w:val="nil"/>
              <w:bottom w:val="single" w:sz="4" w:space="0" w:color="auto"/>
              <w:right w:val="single" w:sz="4" w:space="0" w:color="auto"/>
            </w:tcBorders>
            <w:shd w:val="clear" w:color="000000" w:fill="92D050"/>
            <w:noWrap/>
            <w:vAlign w:val="bottom"/>
            <w:hideMark/>
          </w:tcPr>
          <w:p w14:paraId="0E8C3F10" w14:textId="77777777" w:rsidR="00394644" w:rsidRPr="00251A1E" w:rsidRDefault="00394644" w:rsidP="00394644">
            <w:pPr>
              <w:spacing w:after="0" w:line="240" w:lineRule="auto"/>
              <w:rPr>
                <w:rFonts w:ascii="Arial" w:eastAsia="Times New Roman" w:hAnsi="Arial" w:cs="Arial"/>
                <w:color w:val="000000"/>
              </w:rPr>
            </w:pPr>
            <w:r w:rsidRPr="00251A1E">
              <w:rPr>
                <w:rFonts w:ascii="Arial" w:eastAsia="Times New Roman" w:hAnsi="Arial" w:cs="Arial"/>
                <w:color w:val="000000"/>
              </w:rPr>
              <w:t> </w:t>
            </w:r>
          </w:p>
        </w:tc>
        <w:tc>
          <w:tcPr>
            <w:tcW w:w="1608" w:type="dxa"/>
            <w:tcBorders>
              <w:top w:val="nil"/>
              <w:left w:val="nil"/>
              <w:bottom w:val="single" w:sz="4" w:space="0" w:color="auto"/>
              <w:right w:val="single" w:sz="4" w:space="0" w:color="auto"/>
            </w:tcBorders>
            <w:shd w:val="clear" w:color="000000" w:fill="92D050"/>
            <w:noWrap/>
            <w:vAlign w:val="bottom"/>
            <w:hideMark/>
          </w:tcPr>
          <w:p w14:paraId="0E8C3F11" w14:textId="77777777" w:rsidR="00394644" w:rsidRPr="00251A1E" w:rsidRDefault="00736D47" w:rsidP="00394644">
            <w:pPr>
              <w:spacing w:after="0" w:line="240" w:lineRule="auto"/>
              <w:jc w:val="right"/>
              <w:rPr>
                <w:rFonts w:ascii="Arial" w:eastAsia="Times New Roman" w:hAnsi="Arial" w:cs="Arial"/>
                <w:color w:val="000000"/>
              </w:rPr>
            </w:pPr>
            <w:r w:rsidRPr="00251A1E">
              <w:rPr>
                <w:rFonts w:ascii="Arial" w:eastAsia="Times New Roman" w:hAnsi="Arial" w:cs="Arial"/>
                <w:color w:val="000000"/>
              </w:rPr>
              <w:t>$</w:t>
            </w:r>
            <w:r w:rsidR="001D5796">
              <w:rPr>
                <w:rFonts w:ascii="Arial" w:eastAsia="Times New Roman" w:hAnsi="Arial" w:cs="Arial"/>
                <w:color w:val="000000"/>
              </w:rPr>
              <w:t>1</w:t>
            </w:r>
            <w:r w:rsidRPr="00251A1E">
              <w:rPr>
                <w:rFonts w:ascii="Arial" w:eastAsia="Times New Roman" w:hAnsi="Arial" w:cs="Arial"/>
                <w:color w:val="000000"/>
              </w:rPr>
              <w:t>6,916,936.16</w:t>
            </w:r>
          </w:p>
        </w:tc>
      </w:tr>
    </w:tbl>
    <w:p w14:paraId="0E8C3F13" w14:textId="77777777" w:rsidR="00394644" w:rsidRPr="00251A1E" w:rsidRDefault="00394644" w:rsidP="00394644">
      <w:pPr>
        <w:rPr>
          <w:rFonts w:ascii="Arial" w:hAnsi="Arial" w:cs="Arial"/>
          <w:lang w:val="es-CL"/>
        </w:rPr>
      </w:pPr>
    </w:p>
    <w:sectPr w:rsidR="00394644" w:rsidRPr="00251A1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F1BB2" w14:textId="77777777" w:rsidR="00837DB8" w:rsidRDefault="00837DB8" w:rsidP="005C34C8">
      <w:pPr>
        <w:spacing w:after="0" w:line="240" w:lineRule="auto"/>
      </w:pPr>
      <w:r>
        <w:separator/>
      </w:r>
    </w:p>
  </w:endnote>
  <w:endnote w:type="continuationSeparator" w:id="0">
    <w:p w14:paraId="6A8CB2A8" w14:textId="77777777" w:rsidR="00837DB8" w:rsidRDefault="00837DB8" w:rsidP="005C34C8">
      <w:pPr>
        <w:spacing w:after="0" w:line="240" w:lineRule="auto"/>
      </w:pPr>
      <w:r>
        <w:continuationSeparator/>
      </w:r>
    </w:p>
  </w:endnote>
  <w:endnote w:type="continuationNotice" w:id="1">
    <w:p w14:paraId="772DD9DB" w14:textId="77777777" w:rsidR="00837DB8" w:rsidRDefault="00837D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931360"/>
      <w:docPartObj>
        <w:docPartGallery w:val="Page Numbers (Bottom of Page)"/>
        <w:docPartUnique/>
      </w:docPartObj>
    </w:sdtPr>
    <w:sdtEndPr>
      <w:rPr>
        <w:noProof/>
      </w:rPr>
    </w:sdtEndPr>
    <w:sdtContent>
      <w:p w14:paraId="0E8C3F18" w14:textId="7CDE0DEE" w:rsidR="00737C28" w:rsidRDefault="00737C28">
        <w:pPr>
          <w:pStyle w:val="Footer"/>
          <w:jc w:val="center"/>
        </w:pPr>
        <w:r>
          <w:fldChar w:fldCharType="begin"/>
        </w:r>
        <w:r>
          <w:instrText xml:space="preserve"> PAGE   \* MERGEFORMAT </w:instrText>
        </w:r>
        <w:r>
          <w:fldChar w:fldCharType="separate"/>
        </w:r>
        <w:r w:rsidR="005631F9">
          <w:rPr>
            <w:noProof/>
          </w:rPr>
          <w:t>4</w:t>
        </w:r>
        <w:r>
          <w:rPr>
            <w:noProof/>
          </w:rPr>
          <w:fldChar w:fldCharType="end"/>
        </w:r>
      </w:p>
    </w:sdtContent>
  </w:sdt>
  <w:p w14:paraId="0E8C3F19" w14:textId="77777777" w:rsidR="00737C28" w:rsidRDefault="00737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74333" w14:textId="77777777" w:rsidR="00837DB8" w:rsidRDefault="00837DB8" w:rsidP="005C34C8">
      <w:pPr>
        <w:spacing w:after="0" w:line="240" w:lineRule="auto"/>
      </w:pPr>
      <w:r>
        <w:separator/>
      </w:r>
    </w:p>
  </w:footnote>
  <w:footnote w:type="continuationSeparator" w:id="0">
    <w:p w14:paraId="06DAAB56" w14:textId="77777777" w:rsidR="00837DB8" w:rsidRDefault="00837DB8" w:rsidP="005C34C8">
      <w:pPr>
        <w:spacing w:after="0" w:line="240" w:lineRule="auto"/>
      </w:pPr>
      <w:r>
        <w:continuationSeparator/>
      </w:r>
    </w:p>
  </w:footnote>
  <w:footnote w:type="continuationNotice" w:id="1">
    <w:p w14:paraId="298144AB" w14:textId="77777777" w:rsidR="00837DB8" w:rsidRDefault="00837DB8">
      <w:pPr>
        <w:spacing w:after="0" w:line="240" w:lineRule="auto"/>
      </w:pPr>
    </w:p>
  </w:footnote>
  <w:footnote w:id="2">
    <w:p w14:paraId="0E8C3F1A" w14:textId="77777777" w:rsidR="00737C28" w:rsidRPr="00615B08" w:rsidRDefault="00737C28">
      <w:pPr>
        <w:pStyle w:val="FootnoteText"/>
        <w:rPr>
          <w:lang w:val="es-CL"/>
        </w:rPr>
      </w:pPr>
      <w:r>
        <w:rPr>
          <w:rStyle w:val="FootnoteReference"/>
        </w:rPr>
        <w:footnoteRef/>
      </w:r>
      <w:r w:rsidRPr="00615B08">
        <w:rPr>
          <w:lang w:val="es-CL"/>
        </w:rPr>
        <w:t xml:space="preserve"> </w:t>
      </w:r>
      <w:r>
        <w:rPr>
          <w:lang w:val="es-CL"/>
        </w:rPr>
        <w:t>Estudio de Deloitte para ChileAtiende.</w:t>
      </w:r>
    </w:p>
  </w:footnote>
  <w:footnote w:id="3">
    <w:p w14:paraId="0E8C3F1B" w14:textId="04CEE2EC" w:rsidR="00737C28" w:rsidRPr="00B15596" w:rsidRDefault="00737C28">
      <w:pPr>
        <w:pStyle w:val="FootnoteText"/>
        <w:rPr>
          <w:lang w:val="es-CL"/>
        </w:rPr>
      </w:pPr>
      <w:r>
        <w:rPr>
          <w:rStyle w:val="FootnoteReference"/>
        </w:rPr>
        <w:footnoteRef/>
      </w:r>
      <w:r w:rsidRPr="00B15596">
        <w:rPr>
          <w:lang w:val="es-CL"/>
        </w:rPr>
        <w:t xml:space="preserve"> </w:t>
      </w:r>
      <w:r>
        <w:rPr>
          <w:lang w:val="es-CL"/>
        </w:rPr>
        <w:t>Obtenido del INEI, en el informe de salarios para el año 2015. Se usa el promedio nacional para la rama económica “Servicios”. Equivalía aproximadamente a 475 dólares por mes.</w:t>
      </w:r>
    </w:p>
  </w:footnote>
  <w:footnote w:id="4">
    <w:p w14:paraId="0E8C3F1C" w14:textId="77777777" w:rsidR="00737C28" w:rsidRPr="00051930" w:rsidRDefault="00737C28" w:rsidP="00051930">
      <w:pPr>
        <w:ind w:left="180" w:hanging="180"/>
        <w:jc w:val="both"/>
        <w:rPr>
          <w:rFonts w:ascii="Arial" w:hAnsi="Arial" w:cs="Arial"/>
          <w:sz w:val="18"/>
          <w:szCs w:val="18"/>
          <w:lang w:val="es-CL"/>
        </w:rPr>
      </w:pPr>
      <w:r w:rsidRPr="00D26460">
        <w:rPr>
          <w:rStyle w:val="FootnoteReference"/>
          <w:sz w:val="20"/>
          <w:szCs w:val="20"/>
        </w:rPr>
        <w:footnoteRef/>
      </w:r>
      <w:r w:rsidRPr="00D26460">
        <w:rPr>
          <w:sz w:val="20"/>
          <w:szCs w:val="20"/>
          <w:lang w:val="es-CL"/>
        </w:rPr>
        <w:t xml:space="preserve"> </w:t>
      </w:r>
      <w:r w:rsidRPr="00051930">
        <w:rPr>
          <w:rFonts w:ascii="Arial" w:hAnsi="Arial" w:cs="Arial"/>
          <w:sz w:val="18"/>
          <w:szCs w:val="18"/>
          <w:lang w:val="es-CL"/>
        </w:rPr>
        <w:t xml:space="preserve">Estudios de evaluación para programas similares para Chile asumen que atenderán 1.3 trámites per cápita por año. </w:t>
      </w:r>
    </w:p>
  </w:footnote>
  <w:footnote w:id="5">
    <w:p w14:paraId="0E8C3F1D" w14:textId="77777777" w:rsidR="00737C28" w:rsidRPr="00051930" w:rsidRDefault="00737C28" w:rsidP="00051930">
      <w:pPr>
        <w:pStyle w:val="FootnoteText"/>
        <w:ind w:left="180" w:hanging="180"/>
        <w:jc w:val="both"/>
        <w:rPr>
          <w:rFonts w:ascii="Arial" w:hAnsi="Arial" w:cs="Arial"/>
          <w:sz w:val="18"/>
          <w:szCs w:val="18"/>
          <w:lang w:val="es-CL"/>
        </w:rPr>
      </w:pPr>
      <w:r w:rsidRPr="00051930">
        <w:rPr>
          <w:rStyle w:val="FootnoteReference"/>
          <w:rFonts w:ascii="Arial" w:hAnsi="Arial" w:cs="Arial"/>
          <w:sz w:val="18"/>
          <w:szCs w:val="18"/>
        </w:rPr>
        <w:footnoteRef/>
      </w:r>
      <w:r w:rsidRPr="00051930">
        <w:rPr>
          <w:rFonts w:ascii="Arial" w:hAnsi="Arial" w:cs="Arial"/>
          <w:sz w:val="18"/>
          <w:szCs w:val="18"/>
          <w:lang w:val="es-CL"/>
        </w:rPr>
        <w:t xml:space="preserve"> </w:t>
      </w:r>
      <w:r>
        <w:rPr>
          <w:rFonts w:ascii="Arial" w:hAnsi="Arial" w:cs="Arial"/>
          <w:sz w:val="18"/>
          <w:szCs w:val="18"/>
          <w:lang w:val="es-CL"/>
        </w:rPr>
        <w:t xml:space="preserve"> </w:t>
      </w:r>
      <w:r w:rsidRPr="00051930">
        <w:rPr>
          <w:rFonts w:ascii="Arial" w:hAnsi="Arial" w:cs="Arial"/>
          <w:sz w:val="18"/>
          <w:szCs w:val="18"/>
          <w:lang w:val="es-CL"/>
        </w:rPr>
        <w:t>Estudio “Satisfacción Ciudadana con la Calidad de la Atención y los Servicios de las Entidades Públicas”, IPSOS Public Affairs, 2017.</w:t>
      </w:r>
    </w:p>
  </w:footnote>
  <w:footnote w:id="6">
    <w:p w14:paraId="0E8C3F1E" w14:textId="77777777" w:rsidR="00737C28" w:rsidRPr="00051930" w:rsidRDefault="00737C28" w:rsidP="00051930">
      <w:pPr>
        <w:pStyle w:val="FootnoteText"/>
        <w:ind w:left="180" w:hanging="180"/>
        <w:jc w:val="both"/>
        <w:rPr>
          <w:rFonts w:ascii="Arial" w:hAnsi="Arial" w:cs="Arial"/>
          <w:sz w:val="18"/>
          <w:szCs w:val="18"/>
          <w:lang w:val="es-CL"/>
        </w:rPr>
      </w:pPr>
      <w:r w:rsidRPr="00051930">
        <w:rPr>
          <w:rStyle w:val="FootnoteReference"/>
          <w:rFonts w:ascii="Arial" w:hAnsi="Arial" w:cs="Arial"/>
          <w:sz w:val="18"/>
          <w:szCs w:val="18"/>
        </w:rPr>
        <w:footnoteRef/>
      </w:r>
      <w:r w:rsidRPr="00051930">
        <w:rPr>
          <w:rFonts w:ascii="Arial" w:hAnsi="Arial" w:cs="Arial"/>
          <w:sz w:val="18"/>
          <w:szCs w:val="18"/>
          <w:lang w:val="es-CL"/>
        </w:rPr>
        <w:t xml:space="preserve"> Los tiempos provienen del estudio “Actualización de Estudio de Demanda MAC Lima Sur”, realizad por DATA CONSULT en abril del 2017. Los datos vienen en tramos de tiempo y se usó el mínimo tiempo de cada tramo para calcular el promedio ponderado. </w:t>
      </w:r>
    </w:p>
  </w:footnote>
  <w:footnote w:id="7">
    <w:p w14:paraId="0E8C3F1F" w14:textId="77777777" w:rsidR="00737C28" w:rsidRPr="00B15596" w:rsidRDefault="00737C28">
      <w:pPr>
        <w:pStyle w:val="FootnoteText"/>
        <w:rPr>
          <w:lang w:val="es-CL"/>
        </w:rPr>
      </w:pPr>
      <w:r>
        <w:rPr>
          <w:rStyle w:val="FootnoteReference"/>
        </w:rPr>
        <w:footnoteRef/>
      </w:r>
      <w:r>
        <w:t xml:space="preserve"> </w:t>
      </w:r>
      <w:r>
        <w:rPr>
          <w:rFonts w:ascii="Arial" w:hAnsi="Arial" w:cs="Arial"/>
          <w:sz w:val="18"/>
          <w:szCs w:val="18"/>
        </w:rPr>
        <w:t xml:space="preserve">“Digital Efficiency Report,” UK Cabinet Office and Government Digital Service, November 2012. </w:t>
      </w:r>
      <w:hyperlink r:id="rId1" w:history="1">
        <w:r w:rsidRPr="00B15596">
          <w:rPr>
            <w:rStyle w:val="Hyperlink"/>
            <w:rFonts w:ascii="Arial" w:hAnsi="Arial" w:cs="Arial"/>
            <w:sz w:val="18"/>
            <w:szCs w:val="18"/>
            <w:lang w:val="es-CL"/>
          </w:rPr>
          <w:t>https://www.gov.uk/government/publications/digital-efficiency-report</w:t>
        </w:r>
      </w:hyperlink>
    </w:p>
  </w:footnote>
  <w:footnote w:id="8">
    <w:p w14:paraId="0E8C3F20" w14:textId="77777777" w:rsidR="00737C28" w:rsidRPr="006B4B74" w:rsidRDefault="00737C28">
      <w:pPr>
        <w:pStyle w:val="FootnoteText"/>
        <w:rPr>
          <w:lang w:val="es-CL"/>
        </w:rPr>
      </w:pPr>
      <w:r>
        <w:rPr>
          <w:rStyle w:val="FootnoteReference"/>
        </w:rPr>
        <w:footnoteRef/>
      </w:r>
      <w:r w:rsidRPr="006B4B74">
        <w:rPr>
          <w:lang w:val="es-CL"/>
        </w:rPr>
        <w:t xml:space="preserve"> </w:t>
      </w:r>
      <w:r>
        <w:rPr>
          <w:lang w:val="es-CL"/>
        </w:rPr>
        <w:t>Estudio “Satisfacción Ciudadana con la Calidad de la Atención y los Servicios de las Entidades Públicas”, IPSOS Public Affairs, 2017.</w:t>
      </w:r>
    </w:p>
  </w:footnote>
  <w:footnote w:id="9">
    <w:p w14:paraId="0E8C3F21" w14:textId="77777777" w:rsidR="00737C28" w:rsidRPr="001C55F2" w:rsidRDefault="00737C28" w:rsidP="001C55F2">
      <w:pPr>
        <w:pStyle w:val="FootnoteText"/>
        <w:ind w:left="360" w:hanging="360"/>
        <w:rPr>
          <w:rFonts w:ascii="Arial" w:hAnsi="Arial" w:cs="Arial"/>
          <w:lang w:val="es-CL"/>
        </w:rPr>
      </w:pPr>
      <w:r w:rsidRPr="005F3BC3">
        <w:rPr>
          <w:rStyle w:val="FootnoteReference"/>
          <w:rFonts w:ascii="Arial" w:hAnsi="Arial" w:cs="Arial"/>
          <w:sz w:val="18"/>
        </w:rPr>
        <w:footnoteRef/>
      </w:r>
      <w:r w:rsidRPr="001C55F2">
        <w:rPr>
          <w:rFonts w:ascii="Arial" w:hAnsi="Arial" w:cs="Arial"/>
          <w:sz w:val="18"/>
          <w:lang w:val="es-CL"/>
        </w:rPr>
        <w:t xml:space="preserve"> </w:t>
      </w:r>
      <w:r w:rsidRPr="001C55F2">
        <w:rPr>
          <w:rFonts w:ascii="Arial" w:hAnsi="Arial" w:cs="Arial"/>
          <w:sz w:val="18"/>
          <w:lang w:val="es-CL"/>
        </w:rPr>
        <w:tab/>
        <w:t>Los canales que preliminarmente se prevén son: telefónico, móvil y web.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28CE" w14:textId="77777777" w:rsidR="00737C28" w:rsidRDefault="00737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55375"/>
    <w:multiLevelType w:val="hybridMultilevel"/>
    <w:tmpl w:val="4A4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C75D8"/>
    <w:multiLevelType w:val="hybridMultilevel"/>
    <w:tmpl w:val="6B1A4F3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42230CCF"/>
    <w:multiLevelType w:val="hybridMultilevel"/>
    <w:tmpl w:val="477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64B86"/>
    <w:multiLevelType w:val="hybridMultilevel"/>
    <w:tmpl w:val="20ACF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4E7802"/>
    <w:multiLevelType w:val="hybridMultilevel"/>
    <w:tmpl w:val="92DA6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C23B6"/>
    <w:multiLevelType w:val="hybridMultilevel"/>
    <w:tmpl w:val="593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480C42"/>
    <w:multiLevelType w:val="hybridMultilevel"/>
    <w:tmpl w:val="0608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AA602E"/>
    <w:multiLevelType w:val="multilevel"/>
    <w:tmpl w:val="05BC74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EF"/>
    <w:rsid w:val="000062F7"/>
    <w:rsid w:val="00021801"/>
    <w:rsid w:val="00021BD3"/>
    <w:rsid w:val="00037A18"/>
    <w:rsid w:val="00047113"/>
    <w:rsid w:val="00051930"/>
    <w:rsid w:val="00054202"/>
    <w:rsid w:val="00091543"/>
    <w:rsid w:val="000979E6"/>
    <w:rsid w:val="000D2DBA"/>
    <w:rsid w:val="000D4A0D"/>
    <w:rsid w:val="000E1FCC"/>
    <w:rsid w:val="00100477"/>
    <w:rsid w:val="00114395"/>
    <w:rsid w:val="00123855"/>
    <w:rsid w:val="001307E9"/>
    <w:rsid w:val="00131C63"/>
    <w:rsid w:val="00142319"/>
    <w:rsid w:val="001441DB"/>
    <w:rsid w:val="00157623"/>
    <w:rsid w:val="00157B9B"/>
    <w:rsid w:val="0016009A"/>
    <w:rsid w:val="00180646"/>
    <w:rsid w:val="001853CE"/>
    <w:rsid w:val="001A20A3"/>
    <w:rsid w:val="001C55F2"/>
    <w:rsid w:val="001D5796"/>
    <w:rsid w:val="00210AA7"/>
    <w:rsid w:val="00212ABB"/>
    <w:rsid w:val="0021478C"/>
    <w:rsid w:val="00234A89"/>
    <w:rsid w:val="002457E5"/>
    <w:rsid w:val="00251A1E"/>
    <w:rsid w:val="002648AB"/>
    <w:rsid w:val="00270C08"/>
    <w:rsid w:val="002A78AC"/>
    <w:rsid w:val="002B2FFD"/>
    <w:rsid w:val="002D57D0"/>
    <w:rsid w:val="002E73BB"/>
    <w:rsid w:val="002F264E"/>
    <w:rsid w:val="00303C8F"/>
    <w:rsid w:val="003060F5"/>
    <w:rsid w:val="00306D3B"/>
    <w:rsid w:val="00307CDB"/>
    <w:rsid w:val="003100D4"/>
    <w:rsid w:val="003504EE"/>
    <w:rsid w:val="00355413"/>
    <w:rsid w:val="00367341"/>
    <w:rsid w:val="003702F3"/>
    <w:rsid w:val="00394644"/>
    <w:rsid w:val="003B3360"/>
    <w:rsid w:val="003B6832"/>
    <w:rsid w:val="003C0D0B"/>
    <w:rsid w:val="00400D8F"/>
    <w:rsid w:val="004131D1"/>
    <w:rsid w:val="0041430D"/>
    <w:rsid w:val="0045632A"/>
    <w:rsid w:val="00460D9B"/>
    <w:rsid w:val="00464012"/>
    <w:rsid w:val="00471213"/>
    <w:rsid w:val="004D172E"/>
    <w:rsid w:val="004F4E8D"/>
    <w:rsid w:val="005130B2"/>
    <w:rsid w:val="005268C2"/>
    <w:rsid w:val="005631F9"/>
    <w:rsid w:val="00564432"/>
    <w:rsid w:val="00577E35"/>
    <w:rsid w:val="00596E12"/>
    <w:rsid w:val="005B6708"/>
    <w:rsid w:val="005C049B"/>
    <w:rsid w:val="005C34C8"/>
    <w:rsid w:val="005F4090"/>
    <w:rsid w:val="005F776A"/>
    <w:rsid w:val="00615B08"/>
    <w:rsid w:val="00656A07"/>
    <w:rsid w:val="00684C68"/>
    <w:rsid w:val="00685F23"/>
    <w:rsid w:val="00690888"/>
    <w:rsid w:val="006B2C00"/>
    <w:rsid w:val="006B34F2"/>
    <w:rsid w:val="006B4B74"/>
    <w:rsid w:val="006F0549"/>
    <w:rsid w:val="006F52DD"/>
    <w:rsid w:val="00702884"/>
    <w:rsid w:val="00715249"/>
    <w:rsid w:val="007264B1"/>
    <w:rsid w:val="00736D47"/>
    <w:rsid w:val="00737C28"/>
    <w:rsid w:val="00742649"/>
    <w:rsid w:val="00757ED1"/>
    <w:rsid w:val="00794CAA"/>
    <w:rsid w:val="007A3154"/>
    <w:rsid w:val="007C102C"/>
    <w:rsid w:val="007D2DBC"/>
    <w:rsid w:val="007D4DDC"/>
    <w:rsid w:val="007E1838"/>
    <w:rsid w:val="007F124B"/>
    <w:rsid w:val="008057DF"/>
    <w:rsid w:val="008130A5"/>
    <w:rsid w:val="00814798"/>
    <w:rsid w:val="00826AF5"/>
    <w:rsid w:val="00837DB8"/>
    <w:rsid w:val="00851277"/>
    <w:rsid w:val="00865FD2"/>
    <w:rsid w:val="008700AA"/>
    <w:rsid w:val="008801B0"/>
    <w:rsid w:val="008A0336"/>
    <w:rsid w:val="008A1CE1"/>
    <w:rsid w:val="008F347D"/>
    <w:rsid w:val="00920A8F"/>
    <w:rsid w:val="0092789C"/>
    <w:rsid w:val="0093757F"/>
    <w:rsid w:val="00942E3B"/>
    <w:rsid w:val="00944171"/>
    <w:rsid w:val="009579AF"/>
    <w:rsid w:val="00964385"/>
    <w:rsid w:val="0097002B"/>
    <w:rsid w:val="00982A06"/>
    <w:rsid w:val="0099528E"/>
    <w:rsid w:val="009D5A1E"/>
    <w:rsid w:val="00A00097"/>
    <w:rsid w:val="00A05DB9"/>
    <w:rsid w:val="00A40EE0"/>
    <w:rsid w:val="00A4593E"/>
    <w:rsid w:val="00A62EDD"/>
    <w:rsid w:val="00A760CA"/>
    <w:rsid w:val="00A961FC"/>
    <w:rsid w:val="00AC2BDF"/>
    <w:rsid w:val="00AE0781"/>
    <w:rsid w:val="00AE1BD2"/>
    <w:rsid w:val="00AF14C0"/>
    <w:rsid w:val="00B11274"/>
    <w:rsid w:val="00B1511C"/>
    <w:rsid w:val="00B15596"/>
    <w:rsid w:val="00B34F14"/>
    <w:rsid w:val="00B4254C"/>
    <w:rsid w:val="00B46C0A"/>
    <w:rsid w:val="00B732A5"/>
    <w:rsid w:val="00B77DC0"/>
    <w:rsid w:val="00B97E50"/>
    <w:rsid w:val="00BD0AE4"/>
    <w:rsid w:val="00BD1E54"/>
    <w:rsid w:val="00BD550F"/>
    <w:rsid w:val="00BF5D86"/>
    <w:rsid w:val="00C062BA"/>
    <w:rsid w:val="00C27B79"/>
    <w:rsid w:val="00C512D9"/>
    <w:rsid w:val="00CA1FC7"/>
    <w:rsid w:val="00CD7D6A"/>
    <w:rsid w:val="00D26460"/>
    <w:rsid w:val="00DC4EFA"/>
    <w:rsid w:val="00DD236B"/>
    <w:rsid w:val="00DD2CC5"/>
    <w:rsid w:val="00DD6E74"/>
    <w:rsid w:val="00DE2D22"/>
    <w:rsid w:val="00DE4944"/>
    <w:rsid w:val="00DF20F2"/>
    <w:rsid w:val="00E024DD"/>
    <w:rsid w:val="00E20816"/>
    <w:rsid w:val="00E23B39"/>
    <w:rsid w:val="00E5058F"/>
    <w:rsid w:val="00E6090D"/>
    <w:rsid w:val="00EA644C"/>
    <w:rsid w:val="00EA6EB8"/>
    <w:rsid w:val="00EC46C4"/>
    <w:rsid w:val="00ED0685"/>
    <w:rsid w:val="00ED3B68"/>
    <w:rsid w:val="00F24EEF"/>
    <w:rsid w:val="00F30748"/>
    <w:rsid w:val="00F32E6B"/>
    <w:rsid w:val="00F47934"/>
    <w:rsid w:val="00F65A3C"/>
    <w:rsid w:val="00F769B9"/>
    <w:rsid w:val="00F77D80"/>
    <w:rsid w:val="00FA5E07"/>
    <w:rsid w:val="00FC177B"/>
    <w:rsid w:val="00FC39CE"/>
    <w:rsid w:val="00FE5A65"/>
    <w:rsid w:val="00FF4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C3D2A"/>
  <w15:docId w15:val="{F28981B6-FEB1-44FE-A77D-BD049709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A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062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A1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6090D"/>
    <w:pPr>
      <w:ind w:left="720"/>
      <w:contextualSpacing/>
    </w:pPr>
  </w:style>
  <w:style w:type="paragraph" w:styleId="Title">
    <w:name w:val="Title"/>
    <w:basedOn w:val="Normal"/>
    <w:link w:val="TitleChar"/>
    <w:qFormat/>
    <w:rsid w:val="005268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5268C2"/>
    <w:rPr>
      <w:rFonts w:ascii="Times New Roman" w:eastAsia="Times New Roman" w:hAnsi="Times New Roman" w:cs="Times New Roman"/>
      <w:sz w:val="24"/>
      <w:szCs w:val="20"/>
    </w:rPr>
  </w:style>
  <w:style w:type="paragraph" w:customStyle="1" w:styleId="Newpage">
    <w:name w:val="Newpage"/>
    <w:basedOn w:val="Normal"/>
    <w:rsid w:val="005268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uiPriority w:val="99"/>
    <w:semiHidden/>
    <w:unhideWhenUsed/>
    <w:rsid w:val="00210AA7"/>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210AA7"/>
    <w:rPr>
      <w:rFonts w:ascii="Cambria" w:eastAsia="MS Mincho" w:hAnsi="Cambria" w:cs="Times New Roman"/>
      <w:sz w:val="24"/>
      <w:szCs w:val="24"/>
      <w:lang w:eastAsia="ja-JP"/>
    </w:rPr>
  </w:style>
  <w:style w:type="character" w:customStyle="1" w:styleId="Heading2Char">
    <w:name w:val="Heading 2 Char"/>
    <w:basedOn w:val="DefaultParagraphFont"/>
    <w:link w:val="Heading2"/>
    <w:uiPriority w:val="9"/>
    <w:rsid w:val="00C062BA"/>
    <w:rPr>
      <w:rFonts w:asciiTheme="majorHAnsi" w:eastAsiaTheme="majorEastAsia" w:hAnsiTheme="majorHAnsi" w:cstheme="majorBidi"/>
      <w:color w:val="2E74B5" w:themeColor="accent1" w:themeShade="BF"/>
      <w:sz w:val="26"/>
      <w:szCs w:val="26"/>
    </w:rPr>
  </w:style>
  <w:style w:type="paragraph" w:styleId="FootnoteText">
    <w:name w:val="footnote text"/>
    <w:aliases w:val="fn"/>
    <w:basedOn w:val="Normal"/>
    <w:link w:val="FootnoteTextChar"/>
    <w:semiHidden/>
    <w:unhideWhenUsed/>
    <w:rsid w:val="005C34C8"/>
    <w:pPr>
      <w:spacing w:after="0" w:line="240" w:lineRule="auto"/>
    </w:pPr>
    <w:rPr>
      <w:sz w:val="20"/>
      <w:szCs w:val="20"/>
    </w:rPr>
  </w:style>
  <w:style w:type="character" w:customStyle="1" w:styleId="FootnoteTextChar">
    <w:name w:val="Footnote Text Char"/>
    <w:aliases w:val="fn Char"/>
    <w:basedOn w:val="DefaultParagraphFont"/>
    <w:link w:val="FootnoteText"/>
    <w:semiHidden/>
    <w:rsid w:val="005C34C8"/>
    <w:rPr>
      <w:sz w:val="20"/>
      <w:szCs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unhideWhenUsed/>
    <w:qFormat/>
    <w:rsid w:val="005C34C8"/>
    <w:rPr>
      <w:vertAlign w:val="superscript"/>
    </w:rPr>
  </w:style>
  <w:style w:type="character" w:styleId="Hyperlink">
    <w:name w:val="Hyperlink"/>
    <w:basedOn w:val="DefaultParagraphFont"/>
    <w:uiPriority w:val="99"/>
    <w:unhideWhenUsed/>
    <w:rsid w:val="005C34C8"/>
    <w:rPr>
      <w:color w:val="0000FF"/>
      <w:u w:val="single"/>
    </w:rPr>
  </w:style>
  <w:style w:type="table" w:customStyle="1" w:styleId="GridTable1Light1">
    <w:name w:val="Grid Table 1 Light1"/>
    <w:basedOn w:val="TableNormal"/>
    <w:uiPriority w:val="46"/>
    <w:rsid w:val="00306D3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306D3B"/>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15596"/>
    <w:rPr>
      <w:sz w:val="16"/>
      <w:szCs w:val="16"/>
    </w:rPr>
  </w:style>
  <w:style w:type="paragraph" w:styleId="CommentText">
    <w:name w:val="annotation text"/>
    <w:basedOn w:val="Normal"/>
    <w:link w:val="CommentTextChar"/>
    <w:uiPriority w:val="99"/>
    <w:semiHidden/>
    <w:unhideWhenUsed/>
    <w:rsid w:val="00B15596"/>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semiHidden/>
    <w:rsid w:val="00B15596"/>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B155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596"/>
    <w:rPr>
      <w:rFonts w:ascii="Segoe UI" w:hAnsi="Segoe UI" w:cs="Segoe UI"/>
      <w:sz w:val="18"/>
      <w:szCs w:val="18"/>
    </w:rPr>
  </w:style>
  <w:style w:type="paragraph" w:styleId="NoSpacing">
    <w:name w:val="No Spacing"/>
    <w:link w:val="NoSpacingChar"/>
    <w:uiPriority w:val="1"/>
    <w:qFormat/>
    <w:rsid w:val="00794CAA"/>
    <w:pPr>
      <w:spacing w:after="0" w:line="240" w:lineRule="auto"/>
    </w:pPr>
    <w:rPr>
      <w:rFonts w:ascii="Calibri" w:eastAsia="MS Mincho" w:hAnsi="Calibri" w:cs="Arial"/>
      <w:lang w:eastAsia="ja-JP"/>
    </w:rPr>
  </w:style>
  <w:style w:type="character" w:customStyle="1" w:styleId="NoSpacingChar">
    <w:name w:val="No Spacing Char"/>
    <w:link w:val="NoSpacing"/>
    <w:uiPriority w:val="1"/>
    <w:rsid w:val="00794CAA"/>
    <w:rPr>
      <w:rFonts w:ascii="Calibri" w:eastAsia="MS Mincho" w:hAnsi="Calibri" w:cs="Arial"/>
      <w:lang w:eastAsia="ja-JP"/>
    </w:rPr>
  </w:style>
  <w:style w:type="paragraph" w:styleId="TOCHeading">
    <w:name w:val="TOC Heading"/>
    <w:basedOn w:val="Heading1"/>
    <w:next w:val="Normal"/>
    <w:uiPriority w:val="39"/>
    <w:unhideWhenUsed/>
    <w:qFormat/>
    <w:rsid w:val="00251A1E"/>
    <w:pPr>
      <w:outlineLvl w:val="9"/>
    </w:pPr>
  </w:style>
  <w:style w:type="paragraph" w:styleId="TOC1">
    <w:name w:val="toc 1"/>
    <w:basedOn w:val="Normal"/>
    <w:next w:val="Normal"/>
    <w:autoRedefine/>
    <w:uiPriority w:val="39"/>
    <w:unhideWhenUsed/>
    <w:rsid w:val="00251A1E"/>
    <w:pPr>
      <w:spacing w:after="100"/>
    </w:pPr>
  </w:style>
  <w:style w:type="paragraph" w:styleId="TOC2">
    <w:name w:val="toc 2"/>
    <w:basedOn w:val="Normal"/>
    <w:next w:val="Normal"/>
    <w:autoRedefine/>
    <w:uiPriority w:val="39"/>
    <w:unhideWhenUsed/>
    <w:rsid w:val="00251A1E"/>
    <w:pPr>
      <w:spacing w:after="100"/>
      <w:ind w:left="220"/>
    </w:pPr>
  </w:style>
  <w:style w:type="paragraph" w:styleId="Header">
    <w:name w:val="header"/>
    <w:basedOn w:val="Normal"/>
    <w:link w:val="HeaderChar"/>
    <w:uiPriority w:val="99"/>
    <w:unhideWhenUsed/>
    <w:rsid w:val="00251A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A1E"/>
  </w:style>
  <w:style w:type="paragraph" w:styleId="Footer">
    <w:name w:val="footer"/>
    <w:basedOn w:val="Normal"/>
    <w:link w:val="FooterChar"/>
    <w:uiPriority w:val="99"/>
    <w:unhideWhenUsed/>
    <w:rsid w:val="00251A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A1E"/>
  </w:style>
  <w:style w:type="paragraph" w:styleId="CommentSubject">
    <w:name w:val="annotation subject"/>
    <w:basedOn w:val="CommentText"/>
    <w:next w:val="CommentText"/>
    <w:link w:val="CommentSubjectChar"/>
    <w:uiPriority w:val="99"/>
    <w:semiHidden/>
    <w:unhideWhenUsed/>
    <w:rsid w:val="005B6708"/>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5B6708"/>
    <w:rPr>
      <w:rFonts w:ascii="Times New Roman" w:eastAsia="Times New Roman" w:hAnsi="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850074">
      <w:bodyDiv w:val="1"/>
      <w:marLeft w:val="0"/>
      <w:marRight w:val="0"/>
      <w:marTop w:val="0"/>
      <w:marBottom w:val="0"/>
      <w:divBdr>
        <w:top w:val="none" w:sz="0" w:space="0" w:color="auto"/>
        <w:left w:val="none" w:sz="0" w:space="0" w:color="auto"/>
        <w:bottom w:val="none" w:sz="0" w:space="0" w:color="auto"/>
        <w:right w:val="none" w:sz="0" w:space="0" w:color="auto"/>
      </w:divBdr>
    </w:div>
    <w:div w:id="512840033">
      <w:bodyDiv w:val="1"/>
      <w:marLeft w:val="0"/>
      <w:marRight w:val="0"/>
      <w:marTop w:val="0"/>
      <w:marBottom w:val="0"/>
      <w:divBdr>
        <w:top w:val="none" w:sz="0" w:space="0" w:color="auto"/>
        <w:left w:val="none" w:sz="0" w:space="0" w:color="auto"/>
        <w:bottom w:val="none" w:sz="0" w:space="0" w:color="auto"/>
        <w:right w:val="none" w:sz="0" w:space="0" w:color="auto"/>
      </w:divBdr>
    </w:div>
    <w:div w:id="571620533">
      <w:bodyDiv w:val="1"/>
      <w:marLeft w:val="0"/>
      <w:marRight w:val="0"/>
      <w:marTop w:val="0"/>
      <w:marBottom w:val="0"/>
      <w:divBdr>
        <w:top w:val="none" w:sz="0" w:space="0" w:color="auto"/>
        <w:left w:val="none" w:sz="0" w:space="0" w:color="auto"/>
        <w:bottom w:val="none" w:sz="0" w:space="0" w:color="auto"/>
        <w:right w:val="none" w:sz="0" w:space="0" w:color="auto"/>
      </w:divBdr>
    </w:div>
    <w:div w:id="592201704">
      <w:bodyDiv w:val="1"/>
      <w:marLeft w:val="0"/>
      <w:marRight w:val="0"/>
      <w:marTop w:val="0"/>
      <w:marBottom w:val="0"/>
      <w:divBdr>
        <w:top w:val="none" w:sz="0" w:space="0" w:color="auto"/>
        <w:left w:val="none" w:sz="0" w:space="0" w:color="auto"/>
        <w:bottom w:val="none" w:sz="0" w:space="0" w:color="auto"/>
        <w:right w:val="none" w:sz="0" w:space="0" w:color="auto"/>
      </w:divBdr>
    </w:div>
    <w:div w:id="628781950">
      <w:bodyDiv w:val="1"/>
      <w:marLeft w:val="0"/>
      <w:marRight w:val="0"/>
      <w:marTop w:val="0"/>
      <w:marBottom w:val="0"/>
      <w:divBdr>
        <w:top w:val="none" w:sz="0" w:space="0" w:color="auto"/>
        <w:left w:val="none" w:sz="0" w:space="0" w:color="auto"/>
        <w:bottom w:val="none" w:sz="0" w:space="0" w:color="auto"/>
        <w:right w:val="none" w:sz="0" w:space="0" w:color="auto"/>
      </w:divBdr>
    </w:div>
    <w:div w:id="703675107">
      <w:bodyDiv w:val="1"/>
      <w:marLeft w:val="0"/>
      <w:marRight w:val="0"/>
      <w:marTop w:val="0"/>
      <w:marBottom w:val="0"/>
      <w:divBdr>
        <w:top w:val="none" w:sz="0" w:space="0" w:color="auto"/>
        <w:left w:val="none" w:sz="0" w:space="0" w:color="auto"/>
        <w:bottom w:val="none" w:sz="0" w:space="0" w:color="auto"/>
        <w:right w:val="none" w:sz="0" w:space="0" w:color="auto"/>
      </w:divBdr>
    </w:div>
    <w:div w:id="926503470">
      <w:bodyDiv w:val="1"/>
      <w:marLeft w:val="0"/>
      <w:marRight w:val="0"/>
      <w:marTop w:val="0"/>
      <w:marBottom w:val="0"/>
      <w:divBdr>
        <w:top w:val="none" w:sz="0" w:space="0" w:color="auto"/>
        <w:left w:val="none" w:sz="0" w:space="0" w:color="auto"/>
        <w:bottom w:val="none" w:sz="0" w:space="0" w:color="auto"/>
        <w:right w:val="none" w:sz="0" w:space="0" w:color="auto"/>
      </w:divBdr>
    </w:div>
    <w:div w:id="965699971">
      <w:bodyDiv w:val="1"/>
      <w:marLeft w:val="0"/>
      <w:marRight w:val="0"/>
      <w:marTop w:val="0"/>
      <w:marBottom w:val="0"/>
      <w:divBdr>
        <w:top w:val="none" w:sz="0" w:space="0" w:color="auto"/>
        <w:left w:val="none" w:sz="0" w:space="0" w:color="auto"/>
        <w:bottom w:val="none" w:sz="0" w:space="0" w:color="auto"/>
        <w:right w:val="none" w:sz="0" w:space="0" w:color="auto"/>
      </w:divBdr>
    </w:div>
    <w:div w:id="974985449">
      <w:bodyDiv w:val="1"/>
      <w:marLeft w:val="0"/>
      <w:marRight w:val="0"/>
      <w:marTop w:val="0"/>
      <w:marBottom w:val="0"/>
      <w:divBdr>
        <w:top w:val="none" w:sz="0" w:space="0" w:color="auto"/>
        <w:left w:val="none" w:sz="0" w:space="0" w:color="auto"/>
        <w:bottom w:val="none" w:sz="0" w:space="0" w:color="auto"/>
        <w:right w:val="none" w:sz="0" w:space="0" w:color="auto"/>
      </w:divBdr>
    </w:div>
    <w:div w:id="1492989138">
      <w:bodyDiv w:val="1"/>
      <w:marLeft w:val="0"/>
      <w:marRight w:val="0"/>
      <w:marTop w:val="0"/>
      <w:marBottom w:val="0"/>
      <w:divBdr>
        <w:top w:val="none" w:sz="0" w:space="0" w:color="auto"/>
        <w:left w:val="none" w:sz="0" w:space="0" w:color="auto"/>
        <w:bottom w:val="none" w:sz="0" w:space="0" w:color="auto"/>
        <w:right w:val="none" w:sz="0" w:space="0" w:color="auto"/>
      </w:divBdr>
    </w:div>
    <w:div w:id="1534922541">
      <w:bodyDiv w:val="1"/>
      <w:marLeft w:val="0"/>
      <w:marRight w:val="0"/>
      <w:marTop w:val="0"/>
      <w:marBottom w:val="0"/>
      <w:divBdr>
        <w:top w:val="none" w:sz="0" w:space="0" w:color="auto"/>
        <w:left w:val="none" w:sz="0" w:space="0" w:color="auto"/>
        <w:bottom w:val="none" w:sz="0" w:space="0" w:color="auto"/>
        <w:right w:val="none" w:sz="0" w:space="0" w:color="auto"/>
      </w:divBdr>
    </w:div>
    <w:div w:id="1775243179">
      <w:bodyDiv w:val="1"/>
      <w:marLeft w:val="0"/>
      <w:marRight w:val="0"/>
      <w:marTop w:val="0"/>
      <w:marBottom w:val="0"/>
      <w:divBdr>
        <w:top w:val="none" w:sz="0" w:space="0" w:color="auto"/>
        <w:left w:val="none" w:sz="0" w:space="0" w:color="auto"/>
        <w:bottom w:val="none" w:sz="0" w:space="0" w:color="auto"/>
        <w:right w:val="none" w:sz="0" w:space="0" w:color="auto"/>
      </w:divBdr>
    </w:div>
    <w:div w:id="1821998757">
      <w:bodyDiv w:val="1"/>
      <w:marLeft w:val="0"/>
      <w:marRight w:val="0"/>
      <w:marTop w:val="0"/>
      <w:marBottom w:val="0"/>
      <w:divBdr>
        <w:top w:val="none" w:sz="0" w:space="0" w:color="auto"/>
        <w:left w:val="none" w:sz="0" w:space="0" w:color="auto"/>
        <w:bottom w:val="none" w:sz="0" w:space="0" w:color="auto"/>
        <w:right w:val="none" w:sz="0" w:space="0" w:color="auto"/>
      </w:divBdr>
    </w:div>
    <w:div w:id="1824808447">
      <w:bodyDiv w:val="1"/>
      <w:marLeft w:val="0"/>
      <w:marRight w:val="0"/>
      <w:marTop w:val="0"/>
      <w:marBottom w:val="0"/>
      <w:divBdr>
        <w:top w:val="none" w:sz="0" w:space="0" w:color="auto"/>
        <w:left w:val="none" w:sz="0" w:space="0" w:color="auto"/>
        <w:bottom w:val="none" w:sz="0" w:space="0" w:color="auto"/>
        <w:right w:val="none" w:sz="0" w:space="0" w:color="auto"/>
      </w:divBdr>
    </w:div>
    <w:div w:id="212672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publications/digital-efficiency-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E490-CC44-4F26-861A-15C6E870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6533</Words>
  <Characters>37241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Eberhard</dc:creator>
  <cp:lastModifiedBy>Gonzalez, Melissa Maria Laura</cp:lastModifiedBy>
  <cp:revision>4</cp:revision>
  <dcterms:created xsi:type="dcterms:W3CDTF">2017-10-30T21:56:00Z</dcterms:created>
  <dcterms:modified xsi:type="dcterms:W3CDTF">2017-11-08T13:51:00Z</dcterms:modified>
</cp:coreProperties>
</file>