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65" w:rsidRDefault="005F2465" w:rsidP="00C868D9">
      <w:pPr>
        <w:jc w:val="center"/>
        <w:rPr>
          <w:b/>
          <w:bCs/>
          <w:sz w:val="48"/>
        </w:rPr>
      </w:pPr>
      <w:bookmarkStart w:id="0" w:name="_GoBack"/>
      <w:bookmarkEnd w:id="0"/>
      <w:r>
        <w:rPr>
          <w:b/>
          <w:bCs/>
          <w:sz w:val="48"/>
        </w:rPr>
        <w:t xml:space="preserve">Termos de Referência </w:t>
      </w:r>
    </w:p>
    <w:p w:rsidR="005F2465" w:rsidRPr="009D5DF6" w:rsidRDefault="005F2465" w:rsidP="00C868D9">
      <w:pPr>
        <w:numPr>
          <w:ilvl w:val="12"/>
          <w:numId w:val="0"/>
        </w:numPr>
        <w:jc w:val="center"/>
        <w:rPr>
          <w:b/>
          <w:bCs/>
          <w:i/>
          <w:iCs/>
          <w:sz w:val="32"/>
        </w:rPr>
      </w:pPr>
    </w:p>
    <w:p w:rsidR="005F2465" w:rsidRDefault="005F2465" w:rsidP="00C868D9"/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5F2465" w:rsidRPr="00A06FA6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  <w:r w:rsidRPr="00A06FA6">
        <w:rPr>
          <w:b/>
          <w:iCs/>
          <w:sz w:val="32"/>
          <w:szCs w:val="32"/>
        </w:rPr>
        <w:t>Cooperação Técnica</w:t>
      </w:r>
      <w:proofErr w:type="gramStart"/>
      <w:r w:rsidRPr="00A06FA6">
        <w:rPr>
          <w:b/>
          <w:iCs/>
          <w:sz w:val="32"/>
          <w:szCs w:val="32"/>
        </w:rPr>
        <w:t xml:space="preserve">  </w:t>
      </w:r>
      <w:proofErr w:type="gramEnd"/>
      <w:r w:rsidRPr="00A06FA6">
        <w:rPr>
          <w:b/>
          <w:iCs/>
          <w:sz w:val="32"/>
          <w:szCs w:val="32"/>
        </w:rPr>
        <w:t xml:space="preserve">BR – </w:t>
      </w:r>
      <w:r>
        <w:rPr>
          <w:b/>
          <w:iCs/>
          <w:sz w:val="32"/>
          <w:szCs w:val="32"/>
        </w:rPr>
        <w:t>T</w:t>
      </w:r>
      <w:r w:rsidRPr="00A06FA6">
        <w:rPr>
          <w:b/>
          <w:iCs/>
          <w:sz w:val="32"/>
          <w:szCs w:val="32"/>
        </w:rPr>
        <w:t>1295</w:t>
      </w: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  <w:r w:rsidRPr="00A06FA6">
        <w:rPr>
          <w:b/>
          <w:iCs/>
          <w:sz w:val="32"/>
          <w:szCs w:val="32"/>
        </w:rPr>
        <w:t>Apoio à Regulação do Setor de Água e Saneamento no Brasil</w:t>
      </w: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5F2465" w:rsidRPr="00F450CC" w:rsidRDefault="005F2465" w:rsidP="00C868D9">
      <w:pPr>
        <w:numPr>
          <w:ilvl w:val="12"/>
          <w:numId w:val="0"/>
        </w:numPr>
        <w:jc w:val="center"/>
        <w:rPr>
          <w:b/>
          <w:bCs/>
          <w:i/>
          <w:iCs/>
          <w:sz w:val="32"/>
          <w:szCs w:val="32"/>
        </w:rPr>
      </w:pPr>
      <w:r>
        <w:rPr>
          <w:b/>
          <w:iCs/>
          <w:sz w:val="32"/>
          <w:szCs w:val="32"/>
        </w:rPr>
        <w:t>(AQUAFUND)</w:t>
      </w:r>
    </w:p>
    <w:p w:rsidR="005F2465" w:rsidRDefault="005F2465" w:rsidP="00C868D9">
      <w:pPr>
        <w:numPr>
          <w:ilvl w:val="12"/>
          <w:numId w:val="0"/>
        </w:numPr>
        <w:jc w:val="center"/>
        <w:rPr>
          <w:b/>
          <w:i/>
          <w:iCs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Cs/>
          <w:i/>
          <w:iCs/>
          <w:sz w:val="32"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Cs/>
          <w:i/>
          <w:iCs/>
          <w:sz w:val="32"/>
        </w:rPr>
      </w:pPr>
    </w:p>
    <w:p w:rsidR="005F2465" w:rsidRDefault="005F2465" w:rsidP="00C868D9">
      <w:pPr>
        <w:numPr>
          <w:ilvl w:val="12"/>
          <w:numId w:val="0"/>
        </w:numPr>
        <w:rPr>
          <w:b/>
          <w:iCs/>
          <w:sz w:val="28"/>
        </w:rPr>
      </w:pPr>
    </w:p>
    <w:p w:rsidR="005F2465" w:rsidRDefault="005F2465" w:rsidP="00C868D9">
      <w:pPr>
        <w:numPr>
          <w:ilvl w:val="12"/>
          <w:numId w:val="0"/>
        </w:numPr>
        <w:jc w:val="center"/>
        <w:rPr>
          <w:b/>
          <w:iCs/>
          <w:sz w:val="28"/>
        </w:rPr>
      </w:pPr>
    </w:p>
    <w:p w:rsidR="005F2465" w:rsidRPr="00F450CC" w:rsidRDefault="005F2465" w:rsidP="00C868D9">
      <w:pPr>
        <w:numPr>
          <w:ilvl w:val="12"/>
          <w:numId w:val="0"/>
        </w:numPr>
        <w:jc w:val="center"/>
        <w:rPr>
          <w:b/>
          <w:bCs/>
          <w:sz w:val="32"/>
        </w:rPr>
      </w:pPr>
    </w:p>
    <w:p w:rsidR="005F2465" w:rsidRDefault="00FD380C" w:rsidP="00C868D9">
      <w:pPr>
        <w:numPr>
          <w:ilvl w:val="12"/>
          <w:numId w:val="0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Contratação de Consultoria para a realização de Estudos de Estrutura de Subsídios Tarifários e Indicadores de Benchmarking. </w:t>
      </w:r>
    </w:p>
    <w:p w:rsidR="00C868D9" w:rsidRPr="00C868D9" w:rsidRDefault="00120F60" w:rsidP="00C868D9">
      <w:pPr>
        <w:jc w:val="left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p w:rsidR="005E523D" w:rsidRPr="00DC4CA8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72151942"/>
      <w:bookmarkStart w:id="2" w:name="_Toc372152607"/>
      <w:r w:rsidRPr="00DC4CA8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bookmarkEnd w:id="1"/>
      <w:bookmarkEnd w:id="2"/>
      <w:r w:rsidR="00DC4CA8">
        <w:rPr>
          <w:rFonts w:ascii="Times New Roman" w:hAnsi="Times New Roman" w:cs="Times New Roman"/>
          <w:sz w:val="24"/>
          <w:szCs w:val="24"/>
        </w:rPr>
        <w:t>SITUAÇÃO ATUAL E MOTIVAÇÃO PARA A REALIZAÇÃO DOS ESTUDOS</w:t>
      </w:r>
    </w:p>
    <w:p w:rsidR="00DC4CA8" w:rsidRDefault="00DC4CA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372151943"/>
      <w:bookmarkStart w:id="4" w:name="_Toc372152608"/>
    </w:p>
    <w:p w:rsidR="005E5165" w:rsidRPr="00DC4CA8" w:rsidRDefault="009D1B0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C4CA8">
        <w:rPr>
          <w:rFonts w:ascii="Times New Roman" w:hAnsi="Times New Roman" w:cs="Times New Roman"/>
          <w:i/>
          <w:sz w:val="24"/>
          <w:szCs w:val="24"/>
        </w:rPr>
        <w:t xml:space="preserve">1.1 </w:t>
      </w:r>
      <w:r w:rsidR="005E5165" w:rsidRPr="00DC4CA8">
        <w:rPr>
          <w:rFonts w:ascii="Times New Roman" w:hAnsi="Times New Roman" w:cs="Times New Roman"/>
          <w:i/>
          <w:sz w:val="24"/>
          <w:szCs w:val="24"/>
        </w:rPr>
        <w:t>Breve histórico</w:t>
      </w:r>
      <w:proofErr w:type="gramEnd"/>
      <w:r w:rsidR="005E5165" w:rsidRPr="00DC4C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203E" w:rsidRPr="00DC4CA8">
        <w:rPr>
          <w:rFonts w:ascii="Times New Roman" w:hAnsi="Times New Roman" w:cs="Times New Roman"/>
          <w:i/>
          <w:sz w:val="24"/>
          <w:szCs w:val="24"/>
        </w:rPr>
        <w:t>sobre o</w:t>
      </w:r>
      <w:r w:rsidR="005E5165" w:rsidRPr="00DC4CA8">
        <w:rPr>
          <w:rFonts w:ascii="Times New Roman" w:hAnsi="Times New Roman" w:cs="Times New Roman"/>
          <w:i/>
          <w:sz w:val="24"/>
          <w:szCs w:val="24"/>
        </w:rPr>
        <w:t xml:space="preserve"> saneamento no Brasil</w:t>
      </w:r>
      <w:bookmarkEnd w:id="3"/>
      <w:bookmarkEnd w:id="4"/>
    </w:p>
    <w:p w:rsidR="005E523D" w:rsidRPr="00D608B6" w:rsidRDefault="0042419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Nas últimas três décadas, 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Brasil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vem obtendo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progresso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 substanciais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na cobe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rtura de serviços de saneamento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, sendo grande parte desse esforço fruto do Plano Nacional de Saneamento (PLANASA). Em áreas urbanas, o ac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 xml:space="preserve">esso </w:t>
      </w:r>
      <w:proofErr w:type="gramStart"/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proofErr w:type="gramEnd"/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água potável cresceu de 50% em 1968 para 91% em 1997, enquanto a cobertura dos serviços de esgotamento sanitário aumentou de 25% para 43% no mesmo período. Quando comparado com seus vizinhos latino-americanos, o Brasil apresenta índices elevados de 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abastecimento de água.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Todavia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, quando se trata de esgotamento, a cobertura é menor do que a de vários países vizinhos. Além disso, apenas 20% dos esgotos coletados são tratados – o que tem um impacto visivelmente negativo na qualidade ambiental de muitas bacias urbanas, além de impactos na saúde de populações expostas à poluição. 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Existe uma grande lacuna entre os níveis de cobertura dos serviços de saneamento no Brasil entre o norte e o sul do país, em geral, e entre as populações de baixa renda e de alta renda, em particular. Apesar do significativo progresso já alcançado, muito ainda precisa ser feito no setor saneamento para melhorar a eficiência e aumentar a cobertura dos serviços, de maneira a garantir acesso a todos os cidadãos e minimizar os impactos negativos sobre o meio ambiente. 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 situação atual dos serviços de saneamento no Brasil mostra que a universalização destes serviços deve ser encarada como prioritária para o desenvolvimento do País. A ausência de investimentos em itens tão fundamentais co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mo os serviços de saneamento te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m grande impacto sobre a saúde da população e o meio ambiente. 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 setor de saneamento passou por 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 xml:space="preserve">um período </w:t>
      </w:r>
      <w:r w:rsidR="00ED2654" w:rsidRPr="00D608B6">
        <w:rPr>
          <w:rFonts w:ascii="Times New Roman" w:hAnsi="Times New Roman" w:cs="Times New Roman"/>
          <w:b w:val="0"/>
          <w:sz w:val="24"/>
          <w:szCs w:val="24"/>
        </w:rPr>
        <w:t>difícil nos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últimos anos: a falta de uma Política Nacional e seus rebatimentos nos estados e municípios; o baixo nível de alocação de recursos orçamentários; os sucessivos contingenciamentos de recurs</w:t>
      </w:r>
      <w:r w:rsidR="000E4C49" w:rsidRPr="00D608B6">
        <w:rPr>
          <w:rFonts w:ascii="Times New Roman" w:hAnsi="Times New Roman" w:cs="Times New Roman"/>
          <w:b w:val="0"/>
          <w:sz w:val="24"/>
          <w:szCs w:val="24"/>
        </w:rPr>
        <w:t xml:space="preserve">os de financiamentos do FGTS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são alguns exemplos </w:t>
      </w:r>
      <w:r w:rsidR="00ED2654" w:rsidRPr="00D608B6">
        <w:rPr>
          <w:rFonts w:ascii="Times New Roman" w:hAnsi="Times New Roman" w:cs="Times New Roman"/>
          <w:b w:val="0"/>
          <w:sz w:val="24"/>
          <w:szCs w:val="24"/>
        </w:rPr>
        <w:t>dificuldades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ao qual o setor de saneamento foi submetido.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85849" w:rsidRPr="00D608B6" w:rsidRDefault="0028584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nova Política Nacional de Saneamento Ambiental </w:t>
      </w:r>
      <w:r w:rsidR="003A32BA" w:rsidRPr="00D608B6">
        <w:rPr>
          <w:rFonts w:ascii="Times New Roman" w:hAnsi="Times New Roman" w:cs="Times New Roman"/>
          <w:b w:val="0"/>
          <w:sz w:val="24"/>
          <w:szCs w:val="24"/>
        </w:rPr>
        <w:t xml:space="preserve">(Lei Federal nº 11.445/07)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traz boas perspectivas para o setor. No entanto, a possibilidade de decreto regulamentando </w:t>
      </w:r>
      <w:r w:rsidR="003A32BA" w:rsidRPr="00D608B6">
        <w:rPr>
          <w:rFonts w:ascii="Times New Roman" w:hAnsi="Times New Roman" w:cs="Times New Roman"/>
          <w:b w:val="0"/>
          <w:sz w:val="24"/>
          <w:szCs w:val="24"/>
        </w:rPr>
        <w:t>da referia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Lei pode trazer impactos ainda </w:t>
      </w:r>
      <w:r w:rsidR="005B29FF" w:rsidRPr="00D608B6">
        <w:rPr>
          <w:rFonts w:ascii="Times New Roman" w:hAnsi="Times New Roman" w:cs="Times New Roman"/>
          <w:b w:val="0"/>
          <w:sz w:val="24"/>
          <w:szCs w:val="24"/>
        </w:rPr>
        <w:t>não devidamente estudados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E523D" w:rsidRPr="00D608B6" w:rsidRDefault="0070452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Aos poucos, 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stamos assistindo à volta de recursos para o setor de saneamento - o FGTS passou a ser utilizado pelos prestadores públicos de saneamento a partir do ano de 2003 - uma conquista que deve ser comemorada por todos que lutaram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 xml:space="preserve"> pela liberação destes 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>recursos. 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ntretanto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,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ainda não estão definidos, de forma estruturada e permanente, os mecanismos que garantirão, ao longo dos próximos anos, a universalização dos serviços de saneamento com equidade para todos.</w:t>
      </w:r>
    </w:p>
    <w:p w:rsidR="005E523D" w:rsidRPr="00D608B6" w:rsidRDefault="003A32BA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Apesar dos avanços, 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saneamento ambiental, no qual se incluem o abastecimento de água, o esgotamento sanitário e de resíduos sólidos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a drenagem urbana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ainda 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apresenta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muitos desafios.</w:t>
      </w:r>
    </w:p>
    <w:p w:rsidR="005E523D" w:rsidRPr="00D608B6" w:rsidRDefault="0070452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Além disso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, políticas tarifárias abaixo das reais necessidades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 xml:space="preserve"> podem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prejudica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>r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a sustentabilidade do setor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 xml:space="preserve">. Se não houver contabilização de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desgaste 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 xml:space="preserve">dos </w:t>
      </w:r>
      <w:proofErr w:type="gramStart"/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>ativos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gramEnd"/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depreciação), 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 xml:space="preserve">o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planejamento estratégico adequ</w:t>
      </w:r>
      <w:r w:rsidR="00F83FA0" w:rsidRPr="00D608B6">
        <w:rPr>
          <w:rFonts w:ascii="Times New Roman" w:hAnsi="Times New Roman" w:cs="Times New Roman"/>
          <w:b w:val="0"/>
          <w:sz w:val="24"/>
          <w:szCs w:val="24"/>
        </w:rPr>
        <w:t>ado para substituição dos ativo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s no momento economicamente oportuno</w:t>
      </w:r>
      <w:r w:rsidR="003E7CB1" w:rsidRPr="00D608B6">
        <w:rPr>
          <w:rFonts w:ascii="Times New Roman" w:hAnsi="Times New Roman" w:cs="Times New Roman"/>
          <w:b w:val="0"/>
          <w:sz w:val="24"/>
          <w:szCs w:val="24"/>
        </w:rPr>
        <w:t xml:space="preserve"> fica comprometido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523D" w:rsidRPr="00DC4CA8" w:rsidRDefault="009D1B0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372151944"/>
      <w:bookmarkStart w:id="6" w:name="_Toc372152609"/>
      <w:proofErr w:type="gramStart"/>
      <w:r w:rsidRPr="00DC4CA8">
        <w:rPr>
          <w:rFonts w:ascii="Times New Roman" w:hAnsi="Times New Roman" w:cs="Times New Roman"/>
          <w:i/>
          <w:sz w:val="24"/>
          <w:szCs w:val="24"/>
        </w:rPr>
        <w:t xml:space="preserve">1.2 </w:t>
      </w:r>
      <w:r w:rsidR="00DB2AC1" w:rsidRPr="00DC4CA8">
        <w:rPr>
          <w:rFonts w:ascii="Times New Roman" w:hAnsi="Times New Roman" w:cs="Times New Roman"/>
          <w:i/>
          <w:sz w:val="24"/>
          <w:szCs w:val="24"/>
        </w:rPr>
        <w:t>Marco</w:t>
      </w:r>
      <w:proofErr w:type="gramEnd"/>
      <w:r w:rsidR="00DB2AC1" w:rsidRPr="00DC4CA8">
        <w:rPr>
          <w:rFonts w:ascii="Times New Roman" w:hAnsi="Times New Roman" w:cs="Times New Roman"/>
          <w:i/>
          <w:sz w:val="24"/>
          <w:szCs w:val="24"/>
        </w:rPr>
        <w:t xml:space="preserve"> R</w:t>
      </w:r>
      <w:r w:rsidR="005E523D" w:rsidRPr="00DC4CA8">
        <w:rPr>
          <w:rFonts w:ascii="Times New Roman" w:hAnsi="Times New Roman" w:cs="Times New Roman"/>
          <w:i/>
          <w:sz w:val="24"/>
          <w:szCs w:val="24"/>
        </w:rPr>
        <w:t>egulatório</w:t>
      </w:r>
      <w:bookmarkEnd w:id="5"/>
      <w:bookmarkEnd w:id="6"/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 Lei Federal 11.445/07, que estabelece as diretrizes nacionais para o saneamento básico, preconiza, entre outros, os princípios fundamentais da universalização e integralidade, demandando discussões sobre as inovações necessárias ao setor (BRASIL, 2007). O modelo hegemônico existente, especialmente no que concerne à universalização em áreas socialmente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4CA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vulneráveis, localizadas dentro e fora de áreas urbanas, não é capaz de responder a questões de como implementá-la de forma sustentável em termos financeiros, técnicos e ambientais.  Dois argumentos apoiam esta afirmação. 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 primeiro diz respeito aos contratos entre operadora e município, chamados de </w:t>
      </w:r>
      <w:r w:rsidRPr="00DC4CA8">
        <w:rPr>
          <w:rFonts w:ascii="Times New Roman" w:hAnsi="Times New Roman" w:cs="Times New Roman"/>
          <w:b w:val="0"/>
          <w:i/>
          <w:sz w:val="24"/>
          <w:szCs w:val="24"/>
        </w:rPr>
        <w:t>Contratos de Programa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. Em função do poder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concedente ser o município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>, nas áreas fora das Regiões Metropolitanas, os contratos firmados após 2007 partem da premissa de que o equilíbrio econômico-financeiro deve ser obtido isoladamente ao longo do período contratual, ou seja, por meio de tarifas cobradas, cuja arrecadação é das contas faturadas aos usuários dos serviços públicos prestados dentro da área urbana do município que contratou a concessionária. Essa metodologia rompeu o subsídio cruzado entre municípios.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O segundo diz respeito à evasão dos grandes usuários que, motivados pelos racionamentos e aumentos tarifários dos últimos dez anos, incorporaram fontes alternativas de abasteci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mento de água, que apontam a concessionária como a fornecedora menos viável pelos altos preços cobrados. De acordo com dados do Departamento de Águas e Energia Elétrica (DAEE), desde 1992 até maio de 2011, houve um aumento de 57.820 outorgas no estado de São Paulo, a usuários que consumiam acima de 500 m3 por mês (JULIANO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et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al., 2012b).  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Da mesma forma, a partir de estimativas feitas por Cardoso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et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al. (2008), prevê-se que em função do número de poços perfurados anualmente no Brasil, para cálculo a partir de 2008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>de 10.800 unidades, o que, se mantida essa projeção, representará 545.600 poços perfurados no Brasil até 2020.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Os valores provenientes do uso da fonte alternativa de cada uma dessas outorgas que deixam de ser arrecadados demonstram a evasão do </w:t>
      </w:r>
      <w:proofErr w:type="spellStart"/>
      <w:r w:rsidRPr="00D608B6">
        <w:rPr>
          <w:rFonts w:ascii="Times New Roman" w:hAnsi="Times New Roman" w:cs="Times New Roman"/>
          <w:b w:val="0"/>
          <w:sz w:val="24"/>
          <w:szCs w:val="24"/>
        </w:rPr>
        <w:t>subsidiador</w:t>
      </w:r>
      <w:proofErr w:type="spell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 representam falta do aporte previsto no estudo de viabilidade da concessão que seria necessário à produção, e distribuição de água e saneamento para usuários que fazem parte das metas contratuais de universalização dos serviços de saneamento básico no Estado de São Paulo, e que necessitam de equacionamento dos subsídios (JULIANO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et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al., 2012b). 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Esse comportamento dos grandes usuários rompe o mecanismo de subsídios cruzados entre as categorias (social, residencial, comercial e industrial) e usuários (pequenos e grandes).  Nesse sentido, difícil saber-se como a gestão empresarial e as políticas públicas responderão aos desafios da universalização dos serviços de saneamento frente ao desmonte desse mecanismo. </w:t>
      </w:r>
    </w:p>
    <w:p w:rsidR="00D618D9" w:rsidRPr="00D608B6" w:rsidRDefault="00D618D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Deve-se considerar ainda que, em um país das dimensões do Brasil, com taxas de urbanização e pobreza muito altas, assentamentos irregulares nas periferias e, em muitos casos, mesclados à “cidade legal”,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são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quase um corolário. Ao lado da grande demanda por moradias em 323 municípios brasileiros, segundo o censo demográfico de 2010, 11,4 milhões de pessoas vivem em aglomerados subnormais no Brasil (INSTITUTO BRASILEIRO DE GEOGRAFIA E ESTATÍSTICA, 2011). Esse número somente passa a ser considerado em objetivos e metas para provisão de serviços públicos de abastecimento de água e esgotamento sanitário após a regularização dessas áreas. Nesse sentido, o acréscimo de demanda por subsídios que serão necessários às famílias de baixa renda da “cidade ilegal” não vem sendo computado e nem incluído, subdimensionando os cálculos feitos a partir de bancos de dados oficiais, como os citados a seguir. 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523D" w:rsidRPr="00DC4CA8" w:rsidRDefault="009D1B0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" w:name="_Toc372151945"/>
      <w:bookmarkStart w:id="8" w:name="_Toc372152610"/>
      <w:r w:rsidRPr="00DC4CA8">
        <w:rPr>
          <w:rFonts w:ascii="Times New Roman" w:hAnsi="Times New Roman" w:cs="Times New Roman"/>
          <w:i/>
          <w:sz w:val="24"/>
          <w:szCs w:val="24"/>
        </w:rPr>
        <w:t xml:space="preserve">1.3 </w:t>
      </w:r>
      <w:r w:rsidR="005E523D" w:rsidRPr="00DC4CA8">
        <w:rPr>
          <w:rFonts w:ascii="Times New Roman" w:hAnsi="Times New Roman" w:cs="Times New Roman"/>
          <w:i/>
          <w:sz w:val="24"/>
          <w:szCs w:val="24"/>
        </w:rPr>
        <w:t>Desafio</w:t>
      </w:r>
      <w:r w:rsidRPr="00DC4CA8">
        <w:rPr>
          <w:rFonts w:ascii="Times New Roman" w:hAnsi="Times New Roman" w:cs="Times New Roman"/>
          <w:i/>
          <w:sz w:val="24"/>
          <w:szCs w:val="24"/>
        </w:rPr>
        <w:t>s</w:t>
      </w:r>
      <w:r w:rsidR="00FB1FB4" w:rsidRPr="00DC4CA8">
        <w:rPr>
          <w:rFonts w:ascii="Times New Roman" w:hAnsi="Times New Roman" w:cs="Times New Roman"/>
          <w:i/>
          <w:sz w:val="24"/>
          <w:szCs w:val="24"/>
        </w:rPr>
        <w:t xml:space="preserve"> da</w:t>
      </w:r>
      <w:r w:rsidR="00DB2AC1" w:rsidRPr="00DC4CA8">
        <w:rPr>
          <w:rFonts w:ascii="Times New Roman" w:hAnsi="Times New Roman" w:cs="Times New Roman"/>
          <w:i/>
          <w:sz w:val="24"/>
          <w:szCs w:val="24"/>
        </w:rPr>
        <w:t>s Revisões</w:t>
      </w:r>
      <w:r w:rsidR="00FB1FB4" w:rsidRPr="00DC4CA8">
        <w:rPr>
          <w:rFonts w:ascii="Times New Roman" w:hAnsi="Times New Roman" w:cs="Times New Roman"/>
          <w:i/>
          <w:sz w:val="24"/>
          <w:szCs w:val="24"/>
        </w:rPr>
        <w:t xml:space="preserve"> Tarifária</w:t>
      </w:r>
      <w:bookmarkEnd w:id="7"/>
      <w:bookmarkEnd w:id="8"/>
      <w:r w:rsidR="00DB2AC1" w:rsidRPr="00DC4CA8">
        <w:rPr>
          <w:rFonts w:ascii="Times New Roman" w:hAnsi="Times New Roman" w:cs="Times New Roman"/>
          <w:i/>
          <w:sz w:val="24"/>
          <w:szCs w:val="24"/>
        </w:rPr>
        <w:t>s</w:t>
      </w:r>
    </w:p>
    <w:p w:rsidR="00571389" w:rsidRPr="00D608B6" w:rsidRDefault="00DB2AC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372151946"/>
      <w:bookmarkStart w:id="10" w:name="_Toc372152611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09F7" w:rsidRPr="00D608B6">
        <w:rPr>
          <w:rFonts w:ascii="Times New Roman" w:hAnsi="Times New Roman" w:cs="Times New Roman"/>
          <w:b w:val="0"/>
          <w:sz w:val="24"/>
          <w:szCs w:val="24"/>
        </w:rPr>
        <w:t>Renovação Contratual</w:t>
      </w:r>
      <w:bookmarkEnd w:id="9"/>
      <w:bookmarkEnd w:id="10"/>
    </w:p>
    <w:p w:rsidR="00571389" w:rsidRPr="00D608B6" w:rsidRDefault="00FE554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</w:t>
      </w:r>
      <w:r w:rsidR="00C33E6D" w:rsidRPr="00D608B6">
        <w:rPr>
          <w:rFonts w:ascii="Times New Roman" w:hAnsi="Times New Roman" w:cs="Times New Roman"/>
          <w:b w:val="0"/>
          <w:sz w:val="24"/>
          <w:szCs w:val="24"/>
        </w:rPr>
        <w:t>esde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71389" w:rsidRPr="00D608B6">
        <w:rPr>
          <w:rFonts w:ascii="Times New Roman" w:hAnsi="Times New Roman" w:cs="Times New Roman"/>
          <w:b w:val="0"/>
          <w:sz w:val="24"/>
          <w:szCs w:val="24"/>
        </w:rPr>
        <w:t>2007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a</w:t>
      </w:r>
      <w:r w:rsidR="005B29FF" w:rsidRPr="00D608B6">
        <w:rPr>
          <w:rFonts w:ascii="Times New Roman" w:hAnsi="Times New Roman" w:cs="Times New Roman"/>
          <w:b w:val="0"/>
          <w:sz w:val="24"/>
          <w:szCs w:val="24"/>
        </w:rPr>
        <w:t>s concessionárias dos serviços públicos de saneamento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B29FF" w:rsidRPr="00D608B6">
        <w:rPr>
          <w:rFonts w:ascii="Times New Roman" w:hAnsi="Times New Roman" w:cs="Times New Roman"/>
          <w:b w:val="0"/>
          <w:sz w:val="24"/>
          <w:szCs w:val="24"/>
        </w:rPr>
        <w:t>vê</w:t>
      </w:r>
      <w:r w:rsidR="00C33E6D" w:rsidRPr="00D608B6">
        <w:rPr>
          <w:rFonts w:ascii="Times New Roman" w:hAnsi="Times New Roman" w:cs="Times New Roman"/>
          <w:b w:val="0"/>
          <w:sz w:val="24"/>
          <w:szCs w:val="24"/>
        </w:rPr>
        <w:t xml:space="preserve">m efetuando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um grande esforço para a renovação dos contratos de concessão com </w:t>
      </w:r>
      <w:r w:rsidR="00C33E6D" w:rsidRPr="00D608B6">
        <w:rPr>
          <w:rFonts w:ascii="Times New Roman" w:hAnsi="Times New Roman" w:cs="Times New Roman"/>
          <w:b w:val="0"/>
          <w:sz w:val="24"/>
          <w:szCs w:val="24"/>
        </w:rPr>
        <w:t xml:space="preserve">os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municípios</w:t>
      </w:r>
      <w:r w:rsidR="00C33E6D" w:rsidRPr="00D608B6">
        <w:rPr>
          <w:rFonts w:ascii="Times New Roman" w:hAnsi="Times New Roman" w:cs="Times New Roman"/>
          <w:b w:val="0"/>
          <w:sz w:val="24"/>
          <w:szCs w:val="24"/>
        </w:rPr>
        <w:t xml:space="preserve"> onde opera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r w:rsidR="007E5A53" w:rsidRPr="00D608B6">
        <w:rPr>
          <w:rFonts w:ascii="Times New Roman" w:hAnsi="Times New Roman" w:cs="Times New Roman"/>
          <w:b w:val="0"/>
          <w:sz w:val="24"/>
          <w:szCs w:val="24"/>
        </w:rPr>
        <w:t xml:space="preserve"> Ness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e process</w:t>
      </w:r>
      <w:r w:rsidR="00231C4D" w:rsidRPr="00D608B6">
        <w:rPr>
          <w:rFonts w:ascii="Times New Roman" w:hAnsi="Times New Roman" w:cs="Times New Roman"/>
          <w:b w:val="0"/>
          <w:sz w:val="24"/>
          <w:szCs w:val="24"/>
        </w:rPr>
        <w:t xml:space="preserve">o, a Companhia se comprometeu com planos de investimento para cada município e a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manutenção de austeridade dos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custos,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com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um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a nova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 xml:space="preserve">estrutura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contratual</w:t>
      </w:r>
      <w:r w:rsidR="007E5A53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 xml:space="preserve">baseada em metas </w:t>
      </w:r>
      <w:r w:rsidR="007E5A53" w:rsidRPr="00D608B6">
        <w:rPr>
          <w:rFonts w:ascii="Times New Roman" w:hAnsi="Times New Roman" w:cs="Times New Roman"/>
          <w:b w:val="0"/>
          <w:sz w:val="24"/>
          <w:szCs w:val="24"/>
        </w:rPr>
        <w:t>para a operação do negócio naquel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as unidades geo</w:t>
      </w:r>
      <w:r w:rsidR="007E5A53" w:rsidRPr="00D608B6">
        <w:rPr>
          <w:rFonts w:ascii="Times New Roman" w:hAnsi="Times New Roman" w:cs="Times New Roman"/>
          <w:b w:val="0"/>
          <w:sz w:val="24"/>
          <w:szCs w:val="24"/>
        </w:rPr>
        <w:t xml:space="preserve">gráficas. Esse cenário vai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tornar</w:t>
      </w:r>
      <w:r w:rsidR="007E5A53" w:rsidRPr="00D608B6">
        <w:rPr>
          <w:rFonts w:ascii="Times New Roman" w:hAnsi="Times New Roman" w:cs="Times New Roman"/>
          <w:b w:val="0"/>
          <w:sz w:val="24"/>
          <w:szCs w:val="24"/>
        </w:rPr>
        <w:t>-se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ainda mais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importante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nos próximos anos com a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s obrigações legais para a implantação do Marco Regulatório, como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renegociação de novos contratos, 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 xml:space="preserve">delegação dos 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serviços </w:t>
      </w:r>
      <w:proofErr w:type="gramStart"/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 xml:space="preserve"> uma entidade reguladora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. Este novo ambiente terá efeitos diretos sobre a estrutura e o valor das tarifas dos serviços, desafio que deve ser abordado em conjunto com </w:t>
      </w:r>
      <w:r w:rsidR="00A740D2" w:rsidRPr="00D608B6">
        <w:rPr>
          <w:rFonts w:ascii="Times New Roman" w:hAnsi="Times New Roman" w:cs="Times New Roman"/>
          <w:b w:val="0"/>
          <w:sz w:val="24"/>
          <w:szCs w:val="24"/>
        </w:rPr>
        <w:t>agência reguladora estadual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90F13" w:rsidRPr="00D608B6" w:rsidRDefault="00190F13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Outro aspecto que deve ser ressaltado é que o processo de renovação dos contratos está modificando o antigo cenário de subsídios no setor de saneamento, </w:t>
      </w:r>
      <w:r w:rsidR="00A740D2" w:rsidRPr="00D608B6">
        <w:rPr>
          <w:rFonts w:ascii="Times New Roman" w:hAnsi="Times New Roman" w:cs="Times New Roman"/>
          <w:b w:val="0"/>
          <w:sz w:val="24"/>
          <w:szCs w:val="24"/>
        </w:rPr>
        <w:t xml:space="preserve">motivados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pelo novo marco legal. Como tratar esta questão será um dos grandes desafios para a nova estrutura tarifária a ser proposta.</w:t>
      </w:r>
    </w:p>
    <w:p w:rsidR="00571389" w:rsidRPr="00D608B6" w:rsidRDefault="0057138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243" w:rsidRPr="00D608B6" w:rsidRDefault="00DB2AC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372151947"/>
      <w:bookmarkStart w:id="12" w:name="_Toc372152612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b.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09F7" w:rsidRPr="00D608B6">
        <w:rPr>
          <w:rFonts w:ascii="Times New Roman" w:hAnsi="Times New Roman" w:cs="Times New Roman"/>
          <w:b w:val="0"/>
          <w:sz w:val="24"/>
          <w:szCs w:val="24"/>
        </w:rPr>
        <w:t>Distorções na</w:t>
      </w:r>
      <w:r>
        <w:rPr>
          <w:rFonts w:ascii="Times New Roman" w:hAnsi="Times New Roman" w:cs="Times New Roman"/>
          <w:b w:val="0"/>
          <w:sz w:val="24"/>
          <w:szCs w:val="24"/>
        </w:rPr>
        <w:t>s</w:t>
      </w:r>
      <w:r w:rsidR="007009F7" w:rsidRPr="00D608B6">
        <w:rPr>
          <w:rFonts w:ascii="Times New Roman" w:hAnsi="Times New Roman" w:cs="Times New Roman"/>
          <w:b w:val="0"/>
          <w:sz w:val="24"/>
          <w:szCs w:val="24"/>
        </w:rPr>
        <w:t xml:space="preserve"> Estrutura</w:t>
      </w:r>
      <w:r>
        <w:rPr>
          <w:rFonts w:ascii="Times New Roman" w:hAnsi="Times New Roman" w:cs="Times New Roman"/>
          <w:b w:val="0"/>
          <w:sz w:val="24"/>
          <w:szCs w:val="24"/>
        </w:rPr>
        <w:t>s</w:t>
      </w:r>
      <w:r w:rsidR="007009F7" w:rsidRPr="00D608B6">
        <w:rPr>
          <w:rFonts w:ascii="Times New Roman" w:hAnsi="Times New Roman" w:cs="Times New Roman"/>
          <w:b w:val="0"/>
          <w:sz w:val="24"/>
          <w:szCs w:val="24"/>
        </w:rPr>
        <w:t xml:space="preserve"> Tarifária</w:t>
      </w:r>
      <w:bookmarkEnd w:id="11"/>
      <w:bookmarkEnd w:id="12"/>
      <w:r>
        <w:rPr>
          <w:rFonts w:ascii="Times New Roman" w:hAnsi="Times New Roman" w:cs="Times New Roman"/>
          <w:b w:val="0"/>
          <w:sz w:val="24"/>
          <w:szCs w:val="24"/>
        </w:rPr>
        <w:t>s</w:t>
      </w:r>
    </w:p>
    <w:p w:rsidR="00911B9B" w:rsidRPr="00D608B6" w:rsidRDefault="002D1BCC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atuais</w:t>
      </w:r>
      <w:r w:rsidR="00911B9B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estrutura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tarifária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179F" w:rsidRPr="00D608B6">
        <w:rPr>
          <w:rFonts w:ascii="Times New Roman" w:hAnsi="Times New Roman" w:cs="Times New Roman"/>
          <w:b w:val="0"/>
          <w:sz w:val="24"/>
          <w:szCs w:val="24"/>
        </w:rPr>
        <w:t>possuem</w:t>
      </w:r>
      <w:r w:rsidR="00911B9B" w:rsidRPr="00D608B6">
        <w:rPr>
          <w:rFonts w:ascii="Times New Roman" w:hAnsi="Times New Roman" w:cs="Times New Roman"/>
          <w:b w:val="0"/>
          <w:sz w:val="24"/>
          <w:szCs w:val="24"/>
        </w:rPr>
        <w:t xml:space="preserve"> algumas características que devem ser avaliadas e melhoradas, principalmente no que diz respeito a sua excessiva complexidade e eventuais distorções entre categorias de uso e faixas de consumo.</w:t>
      </w:r>
    </w:p>
    <w:p w:rsidR="00D961A3" w:rsidRPr="00D608B6" w:rsidRDefault="00911B9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Um exemplo disso </w:t>
      </w:r>
      <w:r w:rsidR="00FE554B" w:rsidRPr="00D608B6">
        <w:rPr>
          <w:rFonts w:ascii="Times New Roman" w:hAnsi="Times New Roman" w:cs="Times New Roman"/>
          <w:b w:val="0"/>
          <w:sz w:val="24"/>
          <w:szCs w:val="24"/>
        </w:rPr>
        <w:t>é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 excessiva progressividade das faixas de consumo. A estrutura em vigor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é progressiva, com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aumento acentuado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 xml:space="preserve">das tarifas para 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>grandes volumes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 xml:space="preserve"> de água consumidos no mês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F960FE" w:rsidRPr="00D608B6">
        <w:rPr>
          <w:rFonts w:ascii="Times New Roman" w:hAnsi="Times New Roman" w:cs="Times New Roman"/>
          <w:b w:val="0"/>
          <w:sz w:val="24"/>
          <w:szCs w:val="24"/>
        </w:rPr>
        <w:t>Isso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 vem promovendo a fuga dos grandes usuários para as fontes alternativas de abastecimento em função dos grandes valores </w:t>
      </w:r>
      <w:r w:rsidR="00F960FE" w:rsidRPr="00D608B6">
        <w:rPr>
          <w:rFonts w:ascii="Times New Roman" w:hAnsi="Times New Roman" w:cs="Times New Roman"/>
          <w:b w:val="0"/>
          <w:sz w:val="24"/>
          <w:szCs w:val="24"/>
        </w:rPr>
        <w:t>do metro cúbico de água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>. A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 evasão dos 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 xml:space="preserve">grandes 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usuários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residenciais, comerciais, i</w:t>
      </w:r>
      <w:r w:rsidR="00AD1D47" w:rsidRPr="00D608B6">
        <w:rPr>
          <w:rFonts w:ascii="Times New Roman" w:hAnsi="Times New Roman" w:cs="Times New Roman"/>
          <w:b w:val="0"/>
          <w:sz w:val="24"/>
          <w:szCs w:val="24"/>
        </w:rPr>
        <w:t>ndustriais ou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 xml:space="preserve"> públ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icos se repete em todo o Estado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. N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>essa situa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>ção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,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 xml:space="preserve"> tem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-se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 xml:space="preserve">um </w:t>
      </w:r>
      <w:r w:rsidR="00D961A3" w:rsidRPr="00D608B6">
        <w:rPr>
          <w:rFonts w:ascii="Times New Roman" w:hAnsi="Times New Roman" w:cs="Times New Roman"/>
          <w:b w:val="0"/>
          <w:sz w:val="24"/>
          <w:szCs w:val="24"/>
        </w:rPr>
        <w:t xml:space="preserve">potencial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desequilíbrio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22F" w:rsidRPr="00D608B6">
        <w:rPr>
          <w:rFonts w:ascii="Times New Roman" w:hAnsi="Times New Roman" w:cs="Times New Roman"/>
          <w:b w:val="0"/>
          <w:sz w:val="24"/>
          <w:szCs w:val="24"/>
        </w:rPr>
        <w:t>n</w:t>
      </w:r>
      <w:r w:rsidR="00BD3243" w:rsidRPr="00D608B6">
        <w:rPr>
          <w:rFonts w:ascii="Times New Roman" w:hAnsi="Times New Roman" w:cs="Times New Roman"/>
          <w:b w:val="0"/>
          <w:sz w:val="24"/>
          <w:szCs w:val="24"/>
        </w:rPr>
        <w:t>a estrutura de subsíd</w:t>
      </w:r>
      <w:r w:rsidR="00AC5B33" w:rsidRPr="00D608B6">
        <w:rPr>
          <w:rFonts w:ascii="Times New Roman" w:hAnsi="Times New Roman" w:cs="Times New Roman"/>
          <w:b w:val="0"/>
          <w:sz w:val="24"/>
          <w:szCs w:val="24"/>
        </w:rPr>
        <w:t>ios entre usuários e categorias.</w:t>
      </w:r>
      <w:r w:rsidR="002D1BCC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E523D" w:rsidRPr="00D608B6" w:rsidRDefault="0072179F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Reajustes tarifários vêm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ocorrendo nos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diversos estados/municípios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D961A3" w:rsidRPr="00D608B6">
        <w:rPr>
          <w:rFonts w:ascii="Times New Roman" w:hAnsi="Times New Roman" w:cs="Times New Roman"/>
          <w:b w:val="0"/>
          <w:sz w:val="24"/>
          <w:szCs w:val="24"/>
        </w:rPr>
        <w:t>Ainda assim, é fundamental que uma no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va estrutura tarifária garanta à</w:t>
      </w:r>
      <w:r w:rsidR="00D961A3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remuneração dos serviços</w:t>
      </w:r>
      <w:r w:rsidR="00D961A3" w:rsidRPr="00D608B6">
        <w:rPr>
          <w:rFonts w:ascii="Times New Roman" w:hAnsi="Times New Roman" w:cs="Times New Roman"/>
          <w:b w:val="0"/>
          <w:sz w:val="24"/>
          <w:szCs w:val="24"/>
        </w:rPr>
        <w:t xml:space="preserve"> maior competitividade neste segmento, pois ele é fundamental para a </w:t>
      </w:r>
      <w:r w:rsidR="0034564F" w:rsidRPr="00D608B6">
        <w:rPr>
          <w:rFonts w:ascii="Times New Roman" w:hAnsi="Times New Roman" w:cs="Times New Roman"/>
          <w:b w:val="0"/>
          <w:sz w:val="24"/>
          <w:szCs w:val="24"/>
        </w:rPr>
        <w:t xml:space="preserve">manutenção dos níveis de investimentos necessários à universalização dos serviços e metas contratuais de investimentos e receitas </w:t>
      </w:r>
      <w:r w:rsidR="00D961A3" w:rsidRPr="00D608B6">
        <w:rPr>
          <w:rFonts w:ascii="Times New Roman" w:hAnsi="Times New Roman" w:cs="Times New Roman"/>
          <w:b w:val="0"/>
          <w:sz w:val="24"/>
          <w:szCs w:val="24"/>
        </w:rPr>
        <w:t>de cada</w:t>
      </w:r>
      <w:r w:rsidR="0034564F" w:rsidRPr="00D608B6">
        <w:rPr>
          <w:rFonts w:ascii="Times New Roman" w:hAnsi="Times New Roman" w:cs="Times New Roman"/>
          <w:b w:val="0"/>
          <w:sz w:val="24"/>
          <w:szCs w:val="24"/>
        </w:rPr>
        <w:t xml:space="preserve"> município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, além dos níveis de eficiência necessários ao setor</w:t>
      </w:r>
      <w:r w:rsidR="0034564F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A existência de clientes com preços regulados e um crescente segmento de grandes clientes com a liberdade de fixação de preços é outro aspecto que deve ser abordado </w:t>
      </w:r>
      <w:r w:rsidR="008D7413" w:rsidRPr="00D608B6">
        <w:rPr>
          <w:rFonts w:ascii="Times New Roman" w:hAnsi="Times New Roman" w:cs="Times New Roman"/>
          <w:b w:val="0"/>
          <w:sz w:val="24"/>
          <w:szCs w:val="24"/>
        </w:rPr>
        <w:t>em conjunto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90F13" w:rsidRPr="00D608B6" w:rsidRDefault="00190F13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523D" w:rsidRPr="00DC4CA8" w:rsidRDefault="005E5165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372151950"/>
      <w:bookmarkStart w:id="14" w:name="_Toc372152615"/>
      <w:r w:rsidRPr="00DC4CA8">
        <w:rPr>
          <w:rFonts w:ascii="Times New Roman" w:hAnsi="Times New Roman" w:cs="Times New Roman"/>
          <w:sz w:val="24"/>
          <w:szCs w:val="24"/>
        </w:rPr>
        <w:t>2</w:t>
      </w:r>
      <w:r w:rsidR="005E523D" w:rsidRPr="00DC4CA8">
        <w:rPr>
          <w:rFonts w:ascii="Times New Roman" w:hAnsi="Times New Roman" w:cs="Times New Roman"/>
          <w:sz w:val="24"/>
          <w:szCs w:val="24"/>
        </w:rPr>
        <w:t xml:space="preserve">. </w:t>
      </w:r>
      <w:bookmarkEnd w:id="13"/>
      <w:bookmarkEnd w:id="14"/>
      <w:r w:rsidR="00DC4CA8">
        <w:rPr>
          <w:rFonts w:ascii="Times New Roman" w:hAnsi="Times New Roman" w:cs="Times New Roman"/>
          <w:sz w:val="24"/>
          <w:szCs w:val="24"/>
        </w:rPr>
        <w:t xml:space="preserve">OBJETIVOS DA CONTRATAÇAO </w:t>
      </w:r>
    </w:p>
    <w:p w:rsidR="005E523D" w:rsidRPr="00D608B6" w:rsidRDefault="00DC4CA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Os presentes termos de referência tratam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F5891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da contratação de </w:t>
      </w:r>
      <w:proofErr w:type="spellStart"/>
      <w:r w:rsidR="001F5891" w:rsidRPr="00D608B6">
        <w:rPr>
          <w:rFonts w:ascii="Times New Roman" w:hAnsi="Times New Roman" w:cs="Times New Roman"/>
          <w:b w:val="0"/>
          <w:sz w:val="24"/>
          <w:szCs w:val="24"/>
        </w:rPr>
        <w:t>de</w:t>
      </w:r>
      <w:proofErr w:type="spellEnd"/>
      <w:r w:rsidR="001F5891" w:rsidRPr="00D608B6">
        <w:rPr>
          <w:rFonts w:ascii="Times New Roman" w:hAnsi="Times New Roman" w:cs="Times New Roman"/>
          <w:b w:val="0"/>
          <w:sz w:val="24"/>
          <w:szCs w:val="24"/>
        </w:rPr>
        <w:t xml:space="preserve"> serviços de consultoria para 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realizar as seguintes atividades : </w:t>
      </w:r>
    </w:p>
    <w:p w:rsidR="001F5891" w:rsidRPr="00D608B6" w:rsidRDefault="001F589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F5891" w:rsidRPr="00D608B6" w:rsidRDefault="001F5891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Estudar os principais modelos de regulação econômica com possibilidade de utilização </w:t>
      </w:r>
      <w:r w:rsidR="005623EE" w:rsidRPr="00D608B6">
        <w:rPr>
          <w:rFonts w:ascii="Times New Roman" w:hAnsi="Times New Roman" w:cs="Times New Roman"/>
          <w:b w:val="0"/>
          <w:sz w:val="24"/>
          <w:szCs w:val="24"/>
        </w:rPr>
        <w:t xml:space="preserve">nas Agências e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na</w:t>
      </w:r>
      <w:r w:rsidR="005623EE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623EE" w:rsidRPr="00D608B6">
        <w:rPr>
          <w:rFonts w:ascii="Times New Roman" w:hAnsi="Times New Roman" w:cs="Times New Roman"/>
          <w:b w:val="0"/>
          <w:sz w:val="24"/>
          <w:szCs w:val="24"/>
        </w:rPr>
        <w:t>concessionárias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, identificando pontos fortes e fracos de cada um.</w:t>
      </w:r>
    </w:p>
    <w:p w:rsidR="001F5891" w:rsidRPr="00D608B6" w:rsidRDefault="001F5891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Recomendar 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>modelos</w:t>
      </w:r>
      <w:proofErr w:type="gramStart"/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de regulação econômica conforme a tipologia da região.</w:t>
      </w:r>
    </w:p>
    <w:p w:rsidR="001F5891" w:rsidRPr="00D608B6" w:rsidRDefault="001F5891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Estudar e recomendar 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>propostas de estruturas tarifárias que possam</w:t>
      </w:r>
      <w:proofErr w:type="gramStart"/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>ser aplicada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na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 concessionárias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F5891" w:rsidRPr="00D608B6" w:rsidRDefault="001F5891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Discutir de forma estruturada as propostas da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agência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reguladora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para a revisão tarifária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F5154" w:rsidRPr="00D608B6" w:rsidRDefault="002F5154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Realizar benchmark com outras empresas de saneamento e outros setores para embasar as discussões com a agência reguladora.</w:t>
      </w:r>
    </w:p>
    <w:p w:rsidR="00DB2AC1" w:rsidRDefault="001F5891" w:rsidP="00C868D9">
      <w:pPr>
        <w:pStyle w:val="Caption"/>
        <w:numPr>
          <w:ilvl w:val="0"/>
          <w:numId w:val="46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Estruturar na </w:t>
      </w:r>
      <w:proofErr w:type="gramStart"/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81024" w:rsidRPr="00D608B6">
        <w:rPr>
          <w:rFonts w:ascii="Times New Roman" w:hAnsi="Times New Roman" w:cs="Times New Roman"/>
          <w:b w:val="0"/>
          <w:sz w:val="24"/>
          <w:szCs w:val="24"/>
        </w:rPr>
        <w:t xml:space="preserve">os dados e planilhas de simulação para a discussão </w:t>
      </w:r>
      <w:r w:rsidR="00F935EA" w:rsidRPr="00D608B6">
        <w:rPr>
          <w:rFonts w:ascii="Times New Roman" w:hAnsi="Times New Roman" w:cs="Times New Roman"/>
          <w:b w:val="0"/>
          <w:sz w:val="24"/>
          <w:szCs w:val="24"/>
        </w:rPr>
        <w:t xml:space="preserve">e cálculos </w:t>
      </w:r>
      <w:r w:rsidR="00481024" w:rsidRPr="00D608B6">
        <w:rPr>
          <w:rFonts w:ascii="Times New Roman" w:hAnsi="Times New Roman" w:cs="Times New Roman"/>
          <w:b w:val="0"/>
          <w:sz w:val="24"/>
          <w:szCs w:val="24"/>
        </w:rPr>
        <w:t>tarifári</w:t>
      </w:r>
      <w:r w:rsidR="00F935EA" w:rsidRPr="00D608B6">
        <w:rPr>
          <w:rFonts w:ascii="Times New Roman" w:hAnsi="Times New Roman" w:cs="Times New Roman"/>
          <w:b w:val="0"/>
          <w:sz w:val="24"/>
          <w:szCs w:val="24"/>
        </w:rPr>
        <w:t>os</w:t>
      </w:r>
      <w:r w:rsidR="00481024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B2AC1" w:rsidRDefault="00DB2AC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5" w:name="_Toc372151951"/>
      <w:bookmarkStart w:id="16" w:name="_Toc372152616"/>
      <w:bookmarkStart w:id="17" w:name="_Toc217703081"/>
    </w:p>
    <w:p w:rsidR="005E523D" w:rsidRPr="00D608B6" w:rsidRDefault="0017604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3</w:t>
      </w:r>
      <w:r w:rsidR="00436EA0" w:rsidRPr="00FD380C">
        <w:rPr>
          <w:rFonts w:ascii="Times New Roman" w:hAnsi="Times New Roman" w:cs="Times New Roman"/>
          <w:sz w:val="24"/>
          <w:szCs w:val="24"/>
        </w:rPr>
        <w:t xml:space="preserve">. </w:t>
      </w:r>
      <w:bookmarkEnd w:id="15"/>
      <w:bookmarkEnd w:id="16"/>
      <w:r w:rsidR="00FD380C" w:rsidRPr="00FD380C">
        <w:rPr>
          <w:rFonts w:ascii="Times New Roman" w:hAnsi="Times New Roman" w:cs="Times New Roman"/>
          <w:sz w:val="24"/>
          <w:szCs w:val="24"/>
        </w:rPr>
        <w:t>ESCOPO DA CONSULTORIA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E523D" w:rsidRPr="00D608B6" w:rsidRDefault="00DB2AC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_Toc372151952"/>
      <w:bookmarkStart w:id="19" w:name="_Toc372152617"/>
      <w:bookmarkEnd w:id="17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a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E523D" w:rsidRPr="00FD380C">
        <w:rPr>
          <w:rFonts w:ascii="Times New Roman" w:hAnsi="Times New Roman" w:cs="Times New Roman"/>
          <w:b w:val="0"/>
          <w:i/>
          <w:sz w:val="24"/>
          <w:szCs w:val="24"/>
        </w:rPr>
        <w:t>Análise do</w:t>
      </w:r>
      <w:r w:rsidR="004D6A94" w:rsidRPr="00FD380C">
        <w:rPr>
          <w:rFonts w:ascii="Times New Roman" w:hAnsi="Times New Roman" w:cs="Times New Roman"/>
          <w:b w:val="0"/>
          <w:i/>
          <w:sz w:val="24"/>
          <w:szCs w:val="24"/>
        </w:rPr>
        <w:t>s</w:t>
      </w:r>
      <w:r w:rsidR="005E523D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Estudo</w:t>
      </w:r>
      <w:r w:rsidR="004D6A94" w:rsidRPr="00FD380C">
        <w:rPr>
          <w:rFonts w:ascii="Times New Roman" w:hAnsi="Times New Roman" w:cs="Times New Roman"/>
          <w:b w:val="0"/>
          <w:i/>
          <w:sz w:val="24"/>
          <w:szCs w:val="24"/>
        </w:rPr>
        <w:t>s</w:t>
      </w:r>
      <w:r w:rsidR="005E523D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de </w:t>
      </w:r>
      <w:r w:rsidR="004D6A94" w:rsidRPr="00FD380C">
        <w:rPr>
          <w:rFonts w:ascii="Times New Roman" w:hAnsi="Times New Roman" w:cs="Times New Roman"/>
          <w:b w:val="0"/>
          <w:i/>
          <w:sz w:val="24"/>
          <w:szCs w:val="24"/>
        </w:rPr>
        <w:t>Subsídios disponibilizados</w:t>
      </w:r>
      <w:bookmarkEnd w:id="18"/>
      <w:bookmarkEnd w:id="19"/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No início do projeto </w:t>
      </w:r>
      <w:r w:rsidR="00606A10" w:rsidRPr="00D608B6">
        <w:rPr>
          <w:rFonts w:ascii="Times New Roman" w:hAnsi="Times New Roman" w:cs="Times New Roman"/>
          <w:b w:val="0"/>
          <w:sz w:val="24"/>
          <w:szCs w:val="24"/>
        </w:rPr>
        <w:t>deverão ser revistos 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discutidos os critérios, resultados e recomendações do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estudo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 de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subsídio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 existente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, com reuniões </w:t>
      </w:r>
      <w:r w:rsidR="0074650F" w:rsidRPr="00D608B6">
        <w:rPr>
          <w:rFonts w:ascii="Times New Roman" w:hAnsi="Times New Roman" w:cs="Times New Roman"/>
          <w:b w:val="0"/>
          <w:sz w:val="24"/>
          <w:szCs w:val="24"/>
        </w:rPr>
        <w:t xml:space="preserve">de trabalho para 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>discutir</w:t>
      </w:r>
      <w:r w:rsidR="0074650F" w:rsidRPr="00D608B6">
        <w:rPr>
          <w:rFonts w:ascii="Times New Roman" w:hAnsi="Times New Roman" w:cs="Times New Roman"/>
          <w:b w:val="0"/>
          <w:sz w:val="24"/>
          <w:szCs w:val="24"/>
        </w:rPr>
        <w:t xml:space="preserve"> metodologia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>s e</w:t>
      </w:r>
      <w:r w:rsidR="0074650F" w:rsidRPr="00D608B6">
        <w:rPr>
          <w:rFonts w:ascii="Times New Roman" w:hAnsi="Times New Roman" w:cs="Times New Roman"/>
          <w:b w:val="0"/>
          <w:sz w:val="24"/>
          <w:szCs w:val="24"/>
        </w:rPr>
        <w:t xml:space="preserve"> resultados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 Este processo terá por objetivo identificar os pontos que dão sustentação às propostas metodológicas feit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>as nesse estudo e identificar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questões estratégicas 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>já abordadas pela empresa n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a definição de uma nova política tarifária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 xml:space="preserve"> e de subsídios.</w:t>
      </w:r>
    </w:p>
    <w:p w:rsidR="005E523D" w:rsidRPr="00D608B6" w:rsidRDefault="005E52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Será ainda objeto desta etapa a </w:t>
      </w:r>
      <w:r w:rsidR="00916CCF" w:rsidRPr="00D608B6">
        <w:rPr>
          <w:rFonts w:ascii="Times New Roman" w:hAnsi="Times New Roman" w:cs="Times New Roman"/>
          <w:b w:val="0"/>
          <w:sz w:val="24"/>
          <w:szCs w:val="24"/>
        </w:rPr>
        <w:t xml:space="preserve">organização geral do projeto: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discussão de metodologia</w:t>
      </w:r>
      <w:r w:rsidR="00916CCF" w:rsidRPr="00D608B6">
        <w:rPr>
          <w:rFonts w:ascii="Times New Roman" w:hAnsi="Times New Roman" w:cs="Times New Roman"/>
          <w:b w:val="0"/>
          <w:sz w:val="24"/>
          <w:szCs w:val="24"/>
        </w:rPr>
        <w:t>s, cronograma detalhado e alocação das equipes.</w:t>
      </w:r>
    </w:p>
    <w:p w:rsidR="00C87543" w:rsidRPr="00D608B6" w:rsidRDefault="00DB2AC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0" w:name="_Toc372151953"/>
      <w:bookmarkStart w:id="21" w:name="_Toc372152618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b</w:t>
      </w:r>
      <w:r w:rsidR="00C87543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C87543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7543" w:rsidRPr="00FD380C">
        <w:rPr>
          <w:rFonts w:ascii="Times New Roman" w:hAnsi="Times New Roman" w:cs="Times New Roman"/>
          <w:b w:val="0"/>
          <w:i/>
          <w:sz w:val="24"/>
          <w:szCs w:val="24"/>
        </w:rPr>
        <w:t>Benchmark de indicadores chave para comparação do desempenho</w:t>
      </w:r>
      <w:bookmarkEnd w:id="20"/>
      <w:bookmarkEnd w:id="21"/>
    </w:p>
    <w:p w:rsidR="00C87543" w:rsidRPr="00D608B6" w:rsidRDefault="00044B67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 consultoria contratada deve pesquisar e organizar dados de comparação de desempenho da</w:t>
      </w:r>
      <w:r w:rsidR="00977DA5" w:rsidRPr="00D608B6">
        <w:rPr>
          <w:rFonts w:ascii="Times New Roman" w:hAnsi="Times New Roman" w:cs="Times New Roman"/>
          <w:b w:val="0"/>
          <w:sz w:val="24"/>
          <w:szCs w:val="24"/>
        </w:rPr>
        <w:t>s Agências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 Devem ser coletados dados operacionais detalhados que garantam uma base de dados consistente para discussão de produtividade com a agência reguladora. Esta base terá papel fundamental para a discussão e argumentação no eventual cálculo do ‘Fator X’ de produtividade.</w:t>
      </w:r>
    </w:p>
    <w:p w:rsidR="001F1C6C" w:rsidRPr="00D608B6" w:rsidRDefault="00044B67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base de dados desenvolvida deve conter os dados internos da empresa, inclusive </w:t>
      </w:r>
      <w:r w:rsidR="004F02A9" w:rsidRPr="00D608B6">
        <w:rPr>
          <w:rFonts w:ascii="Times New Roman" w:hAnsi="Times New Roman" w:cs="Times New Roman"/>
          <w:b w:val="0"/>
          <w:sz w:val="24"/>
          <w:szCs w:val="24"/>
        </w:rPr>
        <w:t>por região geográfica e de</w:t>
      </w:r>
      <w:r w:rsidR="001F1C6C" w:rsidRPr="00D608B6">
        <w:rPr>
          <w:rFonts w:ascii="Times New Roman" w:hAnsi="Times New Roman" w:cs="Times New Roman"/>
          <w:b w:val="0"/>
          <w:sz w:val="24"/>
          <w:szCs w:val="24"/>
        </w:rPr>
        <w:t xml:space="preserve"> autoridade</w:t>
      </w:r>
      <w:r w:rsidR="003D2D40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1F1C6C" w:rsidRPr="00D608B6">
        <w:rPr>
          <w:rFonts w:ascii="Times New Roman" w:hAnsi="Times New Roman" w:cs="Times New Roman"/>
          <w:b w:val="0"/>
          <w:sz w:val="24"/>
          <w:szCs w:val="24"/>
        </w:rPr>
        <w:t xml:space="preserve"> funcionais (recursos humanos, marketing, etc.)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, dados de empresas de saneamento nacionais e internacionais, assim como dados de empresas de outros setores comparáveis como energia e gás. </w:t>
      </w:r>
      <w:r w:rsidR="001F1C6C" w:rsidRPr="00D608B6">
        <w:rPr>
          <w:rFonts w:ascii="Times New Roman" w:hAnsi="Times New Roman" w:cs="Times New Roman"/>
          <w:b w:val="0"/>
          <w:sz w:val="24"/>
          <w:szCs w:val="24"/>
        </w:rPr>
        <w:t xml:space="preserve">Os dados coletados devem ser operacionais, financeiros e administrativos. Alguns exemplos são: perdas físicas e comerciais de água, </w:t>
      </w:r>
      <w:r w:rsidR="001F1C6C"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>número de empregados para cada tipo de serviço/equipe, gastos com energia elétrica, nível de inadimplência, entre outros.</w:t>
      </w:r>
    </w:p>
    <w:p w:rsidR="001A299B" w:rsidRPr="00D608B6" w:rsidRDefault="00C87E8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Os dados e metodologia do estudo de tarifas mencionado acima devem ser avaliados e utilizados como ponto de partida para este item.</w:t>
      </w:r>
    </w:p>
    <w:p w:rsidR="008D53EC" w:rsidRPr="00D608B6" w:rsidRDefault="008D53EC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E3C31" w:rsidRPr="00D608B6" w:rsidRDefault="00635257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Primeira entrega: </w:t>
      </w:r>
      <w:proofErr w:type="gramStart"/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Relatório</w:t>
      </w:r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 xml:space="preserve"> sobre o benchmark</w:t>
      </w:r>
      <w:r w:rsidR="004F02A9" w:rsidRPr="00D608B6">
        <w:rPr>
          <w:rFonts w:ascii="Times New Roman" w:hAnsi="Times New Roman" w:cs="Times New Roman"/>
          <w:b w:val="0"/>
          <w:sz w:val="24"/>
          <w:szCs w:val="24"/>
        </w:rPr>
        <w:t xml:space="preserve"> nacional e internacional</w:t>
      </w:r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>. 2. P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 xml:space="preserve">lanilha com os dados do </w:t>
      </w:r>
      <w:r w:rsidR="000E3C31" w:rsidRPr="00D608B6">
        <w:rPr>
          <w:rFonts w:ascii="Times New Roman" w:hAnsi="Times New Roman" w:cs="Times New Roman"/>
          <w:b w:val="0"/>
          <w:i/>
          <w:sz w:val="24"/>
          <w:szCs w:val="24"/>
        </w:rPr>
        <w:t>benchmark</w:t>
      </w:r>
      <w:r w:rsidR="000E3C31" w:rsidRPr="00D608B6">
        <w:rPr>
          <w:rFonts w:ascii="Times New Roman" w:hAnsi="Times New Roman" w:cs="Times New Roman"/>
          <w:b w:val="0"/>
          <w:sz w:val="24"/>
          <w:szCs w:val="24"/>
        </w:rPr>
        <w:t xml:space="preserve"> que permita simulações de produtividade</w:t>
      </w:r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>. 3.</w:t>
      </w:r>
      <w:r w:rsidR="00900F69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21C7"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r w:rsidR="00900F69" w:rsidRPr="00D608B6">
        <w:rPr>
          <w:rFonts w:ascii="Times New Roman" w:hAnsi="Times New Roman" w:cs="Times New Roman"/>
          <w:b w:val="0"/>
          <w:sz w:val="24"/>
          <w:szCs w:val="24"/>
        </w:rPr>
        <w:t>rquivo de apresentação.</w:t>
      </w:r>
    </w:p>
    <w:p w:rsidR="00D31BB2" w:rsidRPr="00D608B6" w:rsidRDefault="00D31BB2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6509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c.</w:t>
      </w:r>
      <w:proofErr w:type="gramEnd"/>
      <w:r w:rsidR="004235DC" w:rsidRPr="00D608B6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 </w:t>
      </w:r>
      <w:r w:rsidR="00B50CCD" w:rsidRPr="00D608B6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Custos de R</w:t>
      </w:r>
      <w:r w:rsidR="00206509" w:rsidRPr="00D608B6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eferência</w:t>
      </w:r>
    </w:p>
    <w:p w:rsidR="00206509" w:rsidRPr="00D608B6" w:rsidRDefault="00B50CC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O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trabalho inclui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a identificação dos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custo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546EA" w:rsidRPr="00D608B6">
        <w:rPr>
          <w:rFonts w:ascii="Times New Roman" w:hAnsi="Times New Roman" w:cs="Times New Roman"/>
          <w:b w:val="0"/>
          <w:sz w:val="24"/>
          <w:szCs w:val="24"/>
        </w:rPr>
        <w:t xml:space="preserve">reais e 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>eficiente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 xml:space="preserve"> operadores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 xml:space="preserve">de diversas 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>características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, utilizando os dados </w:t>
      </w:r>
      <w:r w:rsidR="003546EA" w:rsidRPr="00D608B6">
        <w:rPr>
          <w:rFonts w:ascii="Times New Roman" w:hAnsi="Times New Roman" w:cs="Times New Roman"/>
          <w:b w:val="0"/>
          <w:sz w:val="24"/>
          <w:szCs w:val="24"/>
        </w:rPr>
        <w:t xml:space="preserve">reais e 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do </w:t>
      </w:r>
      <w:r w:rsidR="008D53EC" w:rsidRPr="00D608B6">
        <w:rPr>
          <w:rFonts w:ascii="Times New Roman" w:hAnsi="Times New Roman" w:cs="Times New Roman"/>
          <w:b w:val="0"/>
          <w:i/>
          <w:sz w:val="24"/>
          <w:szCs w:val="24"/>
        </w:rPr>
        <w:t>benchmark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, e estruturando </w:t>
      </w:r>
      <w:proofErr w:type="gramStart"/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o cálculo 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 xml:space="preserve">regionais 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>dos custos eficientes</w:t>
      </w:r>
      <w:proofErr w:type="gramEnd"/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9A3AE5" w:rsidRPr="00D608B6">
        <w:rPr>
          <w:rFonts w:ascii="Times New Roman" w:hAnsi="Times New Roman" w:cs="Times New Roman"/>
          <w:b w:val="0"/>
          <w:sz w:val="24"/>
          <w:szCs w:val="24"/>
        </w:rPr>
        <w:t>Os cust</w:t>
      </w:r>
      <w:r w:rsidR="002E4030" w:rsidRPr="00D608B6">
        <w:rPr>
          <w:rFonts w:ascii="Times New Roman" w:hAnsi="Times New Roman" w:cs="Times New Roman"/>
          <w:b w:val="0"/>
          <w:sz w:val="24"/>
          <w:szCs w:val="24"/>
        </w:rPr>
        <w:t>os d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>evem ser apurados por município e</w:t>
      </w:r>
      <w:r w:rsidR="002E4030" w:rsidRPr="00D608B6">
        <w:rPr>
          <w:rFonts w:ascii="Times New Roman" w:hAnsi="Times New Roman" w:cs="Times New Roman"/>
          <w:b w:val="0"/>
          <w:sz w:val="24"/>
          <w:szCs w:val="24"/>
        </w:rPr>
        <w:t xml:space="preserve"> regiã</w:t>
      </w:r>
      <w:r w:rsidR="00B539D0" w:rsidRPr="00D608B6">
        <w:rPr>
          <w:rFonts w:ascii="Times New Roman" w:hAnsi="Times New Roman" w:cs="Times New Roman"/>
          <w:b w:val="0"/>
          <w:sz w:val="24"/>
          <w:szCs w:val="24"/>
        </w:rPr>
        <w:t>o</w:t>
      </w:r>
      <w:r w:rsidR="009A3AE5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Esse estudo visa avaliar a eficiência relativa da</w:t>
      </w:r>
      <w:r w:rsidR="00977DA5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7DA5" w:rsidRPr="00D608B6">
        <w:rPr>
          <w:rFonts w:ascii="Times New Roman" w:hAnsi="Times New Roman" w:cs="Times New Roman"/>
          <w:b w:val="0"/>
          <w:sz w:val="24"/>
          <w:szCs w:val="24"/>
        </w:rPr>
        <w:t>concessionárias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e servirá de base para a análise da consistência do</w:t>
      </w:r>
      <w:r w:rsidR="00977DA5" w:rsidRPr="00D608B6">
        <w:rPr>
          <w:rFonts w:ascii="Times New Roman" w:hAnsi="Times New Roman" w:cs="Times New Roman"/>
          <w:b w:val="0"/>
          <w:sz w:val="24"/>
          <w:szCs w:val="24"/>
        </w:rPr>
        <w:t xml:space="preserve"> modelo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31BB2" w:rsidRPr="00D608B6" w:rsidRDefault="00D31BB2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6509" w:rsidRPr="00D608B6" w:rsidRDefault="00635257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Segunda entrega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proofErr w:type="gramStart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8D53EC" w:rsidRPr="00D608B6">
        <w:rPr>
          <w:rFonts w:ascii="Times New Roman" w:hAnsi="Times New Roman" w:cs="Times New Roman"/>
          <w:b w:val="0"/>
          <w:sz w:val="24"/>
          <w:szCs w:val="24"/>
        </w:rPr>
        <w:t>R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>elatório</w:t>
      </w:r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 xml:space="preserve"> sobre</w:t>
      </w:r>
      <w:r w:rsidR="00900F69" w:rsidRPr="00D608B6">
        <w:rPr>
          <w:rFonts w:ascii="Times New Roman" w:hAnsi="Times New Roman" w:cs="Times New Roman"/>
          <w:b w:val="0"/>
          <w:sz w:val="24"/>
          <w:szCs w:val="24"/>
        </w:rPr>
        <w:t xml:space="preserve"> custos eficientes</w:t>
      </w:r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2</w:t>
      </w:r>
      <w:proofErr w:type="gramEnd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. P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>lanilhas com as simulações</w:t>
      </w:r>
      <w:r w:rsidR="00B539D0" w:rsidRPr="00D608B6">
        <w:rPr>
          <w:rFonts w:ascii="Times New Roman" w:hAnsi="Times New Roman" w:cs="Times New Roman"/>
          <w:b w:val="0"/>
          <w:sz w:val="24"/>
          <w:szCs w:val="24"/>
        </w:rPr>
        <w:t xml:space="preserve"> dos custos eficientes</w:t>
      </w:r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3</w:t>
      </w:r>
      <w:proofErr w:type="gramEnd"/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570B8"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r w:rsidR="00900F69" w:rsidRPr="00D608B6">
        <w:rPr>
          <w:rFonts w:ascii="Times New Roman" w:hAnsi="Times New Roman" w:cs="Times New Roman"/>
          <w:b w:val="0"/>
          <w:sz w:val="24"/>
          <w:szCs w:val="24"/>
        </w:rPr>
        <w:t xml:space="preserve">rquivo de </w:t>
      </w:r>
      <w:r w:rsidR="00206509" w:rsidRPr="00D608B6">
        <w:rPr>
          <w:rFonts w:ascii="Times New Roman" w:hAnsi="Times New Roman" w:cs="Times New Roman"/>
          <w:b w:val="0"/>
          <w:sz w:val="24"/>
          <w:szCs w:val="24"/>
        </w:rPr>
        <w:t>apresentação.</w:t>
      </w:r>
    </w:p>
    <w:p w:rsidR="00206509" w:rsidRPr="00D608B6" w:rsidRDefault="0020650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299B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2" w:name="_Toc372151954"/>
      <w:bookmarkStart w:id="23" w:name="_Toc372152619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d</w:t>
      </w:r>
      <w:r w:rsidR="00C85DB1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C85DB1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F4878" w:rsidRPr="00D608B6">
        <w:rPr>
          <w:rFonts w:ascii="Times New Roman" w:hAnsi="Times New Roman" w:cs="Times New Roman"/>
          <w:b w:val="0"/>
          <w:sz w:val="24"/>
          <w:szCs w:val="24"/>
        </w:rPr>
        <w:t xml:space="preserve">Estruturação de banco de dados e sistematização </w:t>
      </w:r>
      <w:r w:rsidR="00EE3DFB" w:rsidRPr="00D608B6">
        <w:rPr>
          <w:rFonts w:ascii="Times New Roman" w:hAnsi="Times New Roman" w:cs="Times New Roman"/>
          <w:b w:val="0"/>
          <w:sz w:val="24"/>
          <w:szCs w:val="24"/>
        </w:rPr>
        <w:t>para</w:t>
      </w:r>
      <w:r w:rsidR="000F4878" w:rsidRPr="00D608B6">
        <w:rPr>
          <w:rFonts w:ascii="Times New Roman" w:hAnsi="Times New Roman" w:cs="Times New Roman"/>
          <w:b w:val="0"/>
          <w:sz w:val="24"/>
          <w:szCs w:val="24"/>
        </w:rPr>
        <w:t xml:space="preserve"> simulações</w:t>
      </w:r>
      <w:r w:rsidR="004D6A94" w:rsidRPr="00D608B6">
        <w:rPr>
          <w:rFonts w:ascii="Times New Roman" w:hAnsi="Times New Roman" w:cs="Times New Roman"/>
          <w:b w:val="0"/>
          <w:sz w:val="24"/>
          <w:szCs w:val="24"/>
        </w:rPr>
        <w:t xml:space="preserve"> de Indicadores de Eficiência.</w:t>
      </w:r>
      <w:bookmarkEnd w:id="22"/>
      <w:bookmarkEnd w:id="23"/>
    </w:p>
    <w:p w:rsidR="00F63635" w:rsidRPr="00D608B6" w:rsidRDefault="00F63635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 consultoria deverá organizar as fontes de informações que permitam o</w:t>
      </w:r>
      <w:r w:rsidR="0008691F" w:rsidRPr="00D608B6">
        <w:rPr>
          <w:rFonts w:ascii="Times New Roman" w:hAnsi="Times New Roman" w:cs="Times New Roman"/>
          <w:b w:val="0"/>
          <w:sz w:val="24"/>
          <w:szCs w:val="24"/>
        </w:rPr>
        <w:t xml:space="preserve"> desenvolvimento deste trabalho, incluindo atualizações necessárias.</w:t>
      </w:r>
    </w:p>
    <w:p w:rsidR="00392B96" w:rsidRPr="00D608B6" w:rsidRDefault="00392B96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8691F" w:rsidRPr="00D608B6" w:rsidRDefault="0008691F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Terceira entrega: </w:t>
      </w:r>
      <w:proofErr w:type="gramStart"/>
      <w:r w:rsidR="00266A19"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266A19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Planilhas/banco de dados com as informações que serão utilizadas ao longo deste trabalho.</w:t>
      </w:r>
    </w:p>
    <w:p w:rsidR="0038132B" w:rsidRPr="00D608B6" w:rsidRDefault="0038132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2EE4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4" w:name="_Toc372151955"/>
      <w:bookmarkStart w:id="25" w:name="_Toc372152620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e</w:t>
      </w:r>
      <w:proofErr w:type="gramEnd"/>
      <w:r w:rsidR="00742EE4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115561" w:rsidRPr="00FD380C">
        <w:rPr>
          <w:rFonts w:ascii="Times New Roman" w:hAnsi="Times New Roman" w:cs="Times New Roman"/>
          <w:b w:val="0"/>
          <w:i/>
          <w:sz w:val="24"/>
          <w:szCs w:val="24"/>
        </w:rPr>
        <w:t>Possíveis estruturas para</w:t>
      </w:r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subsídios</w:t>
      </w:r>
      <w:r w:rsidR="00115561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no saneamento</w:t>
      </w:r>
      <w:bookmarkEnd w:id="24"/>
      <w:bookmarkEnd w:id="25"/>
    </w:p>
    <w:p w:rsidR="00D25490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contratada deverá </w:t>
      </w:r>
      <w:r w:rsidR="00A7042D" w:rsidRPr="00D608B6">
        <w:rPr>
          <w:rFonts w:ascii="Times New Roman" w:hAnsi="Times New Roman" w:cs="Times New Roman"/>
          <w:b w:val="0"/>
          <w:sz w:val="24"/>
          <w:szCs w:val="24"/>
        </w:rPr>
        <w:t xml:space="preserve">analisar os estudos realizados e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apresentar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042D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5490" w:rsidRPr="00D608B6">
        <w:rPr>
          <w:rFonts w:ascii="Times New Roman" w:hAnsi="Times New Roman" w:cs="Times New Roman"/>
          <w:b w:val="0"/>
          <w:sz w:val="24"/>
          <w:szCs w:val="24"/>
        </w:rPr>
        <w:t>alternativas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para política de subsídios, considerando as recomendações do</w:t>
      </w:r>
      <w:r w:rsidR="00A7042D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estudo</w:t>
      </w:r>
      <w:r w:rsidR="00A7042D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de </w:t>
      </w:r>
      <w:r w:rsidR="00A7042D" w:rsidRPr="00D608B6">
        <w:rPr>
          <w:rFonts w:ascii="Times New Roman" w:hAnsi="Times New Roman" w:cs="Times New Roman"/>
          <w:b w:val="0"/>
          <w:sz w:val="24"/>
          <w:szCs w:val="24"/>
        </w:rPr>
        <w:t>subsídios disponibilizados e complementa-los.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Deverá indicar mediante atualização da base de dados a definição de grupo alvo, o consumo de subsistência e a agregação geográfica das tarifas (no caso de financiamento via subsídios cruzados entre usuários de diferentes municípios). Devem ser apresentados os fundamentos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considerados para sustentar a recomendação efetuada e as alternativas que existem, de acordo com a teoria e a prática internacional. Na análise destes tópicos será essencial ter uma atualização da estimativa dos custos e possíveis fontes de financiamento dos subsídios e dos agrupamentos de municípios viáveis para a adição de tarifas (subsídios geográficos), além da identificação dos municípios que são </w:t>
      </w:r>
      <w:proofErr w:type="spellStart"/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auto-sustentáveis</w:t>
      </w:r>
      <w:proofErr w:type="spellEnd"/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(que viabilizam o agrupamento com outros).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Os seguintes itens devem ser avaliados, entre outros: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Definição do público alvo e nível de consumo a ser subsidiado.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Definição dos serviços a serem subsidiados: água potável, esgoto sanitário, ligação, etc.</w:t>
      </w:r>
    </w:p>
    <w:p w:rsidR="00115561" w:rsidRPr="00D608B6" w:rsidRDefault="000B6FBF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Subsidio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="00115561" w:rsidRPr="00D608B6">
        <w:rPr>
          <w:rFonts w:ascii="Times New Roman" w:hAnsi="Times New Roman" w:cs="Times New Roman"/>
          <w:b w:val="0"/>
          <w:sz w:val="24"/>
          <w:szCs w:val="24"/>
        </w:rPr>
        <w:t xml:space="preserve"> oferta (investimentos a fundo perdido) ou à demanda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No caso de subsídios à demanda,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devem ser analisadas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vantagens e desvantagens das principais formas de aplicação, ou seja, subsídios cruzados e subsídios diretos (focados).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Em relação aos subsídios cruzados,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 xml:space="preserve">devem ser avaliados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grupos de usuários que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podem financiar os subsídios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Para a alternativa de subsídios cruzados geográficos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,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devem ser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examinados os 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 xml:space="preserve">possíveis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agrupamentos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 a identificação de municípios </w:t>
      </w:r>
      <w:proofErr w:type="spellStart"/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auto-sustentáveis</w:t>
      </w:r>
      <w:proofErr w:type="spellEnd"/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 não </w:t>
      </w:r>
      <w:proofErr w:type="spellStart"/>
      <w:r w:rsidRPr="00D608B6">
        <w:rPr>
          <w:rFonts w:ascii="Times New Roman" w:hAnsi="Times New Roman" w:cs="Times New Roman"/>
          <w:b w:val="0"/>
          <w:sz w:val="24"/>
          <w:szCs w:val="24"/>
        </w:rPr>
        <w:t>auto-sustentáveis</w:t>
      </w:r>
      <w:proofErr w:type="spellEnd"/>
      <w:r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115561" w:rsidRPr="00D608B6" w:rsidRDefault="0011556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Procediment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os e mecanismos para mudar a política de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subsídio</w:t>
      </w:r>
      <w:r w:rsidR="000B6FBF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014BE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Quart</w:t>
      </w:r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 xml:space="preserve">a entrega: </w:t>
      </w:r>
      <w:proofErr w:type="gramStart"/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. Relatório técnico sobre alternativas de subsídios</w:t>
      </w:r>
      <w:r w:rsidR="004F1FDD" w:rsidRPr="00D608B6">
        <w:rPr>
          <w:rFonts w:ascii="Times New Roman" w:hAnsi="Times New Roman" w:cs="Times New Roman"/>
          <w:b w:val="0"/>
          <w:sz w:val="24"/>
          <w:szCs w:val="24"/>
        </w:rPr>
        <w:t>, incluindo dificuldades de implantação de cada alternativa</w:t>
      </w:r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8132B" w:rsidRPr="00D608B6" w:rsidRDefault="000E383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</w:p>
    <w:p w:rsidR="00742EE4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6" w:name="_Toc372151956"/>
      <w:bookmarkStart w:id="27" w:name="_Toc372152621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f</w:t>
      </w:r>
      <w:r w:rsidR="00742EE4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742EE4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>Identificar os atributos que o modelo deve ter para promover os objetivos pretendidos</w:t>
      </w:r>
      <w:bookmarkEnd w:id="26"/>
      <w:bookmarkEnd w:id="27"/>
    </w:p>
    <w:p w:rsidR="00742EE4" w:rsidRPr="00D608B6" w:rsidRDefault="00206509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 consultoria deverá realizar análise estratégica dos agentes envolvidos na possível mudança da estrutura tarifária e os atributos desejados por cada agente.</w:t>
      </w:r>
      <w:r w:rsidR="00162733" w:rsidRPr="00D608B6">
        <w:rPr>
          <w:rFonts w:ascii="Times New Roman" w:hAnsi="Times New Roman" w:cs="Times New Roman"/>
          <w:b w:val="0"/>
          <w:sz w:val="24"/>
          <w:szCs w:val="24"/>
        </w:rPr>
        <w:t xml:space="preserve"> Para tanto, a consultoria deve participar nas reuniões estruturadas com as p</w:t>
      </w:r>
      <w:r w:rsidR="00B50CCD" w:rsidRPr="00D608B6">
        <w:rPr>
          <w:rFonts w:ascii="Times New Roman" w:hAnsi="Times New Roman" w:cs="Times New Roman"/>
          <w:b w:val="0"/>
          <w:sz w:val="24"/>
          <w:szCs w:val="24"/>
        </w:rPr>
        <w:t>artes, notadamente com a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B50CCD" w:rsidRPr="00D608B6">
        <w:rPr>
          <w:rFonts w:ascii="Times New Roman" w:hAnsi="Times New Roman" w:cs="Times New Roman"/>
          <w:b w:val="0"/>
          <w:sz w:val="24"/>
          <w:szCs w:val="24"/>
        </w:rPr>
        <w:t xml:space="preserve"> A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gências</w:t>
      </w:r>
      <w:r w:rsidR="00B50CC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61258" w:rsidRPr="00D608B6" w:rsidRDefault="0076125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014BE" w:rsidRPr="00D608B6" w:rsidRDefault="00B014BE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Q</w:t>
      </w:r>
      <w:r w:rsidR="00A045E0">
        <w:rPr>
          <w:rFonts w:ascii="Times New Roman" w:hAnsi="Times New Roman" w:cs="Times New Roman"/>
          <w:b w:val="0"/>
          <w:sz w:val="24"/>
          <w:szCs w:val="24"/>
        </w:rPr>
        <w:t>uint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entrega: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. Reuniões com os atores chave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2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>. Relatório da fase.</w:t>
      </w:r>
    </w:p>
    <w:p w:rsidR="0038132B" w:rsidRPr="00D608B6" w:rsidRDefault="000E383B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742EE4" w:rsidRPr="00FD380C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28" w:name="_Toc372151957"/>
      <w:bookmarkStart w:id="29" w:name="_Toc372152622"/>
      <w:proofErr w:type="gramStart"/>
      <w:r w:rsidRPr="00FD380C">
        <w:rPr>
          <w:rFonts w:ascii="Times New Roman" w:hAnsi="Times New Roman" w:cs="Times New Roman"/>
          <w:b w:val="0"/>
          <w:i/>
          <w:sz w:val="24"/>
          <w:szCs w:val="24"/>
        </w:rPr>
        <w:t>g</w:t>
      </w:r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>.</w:t>
      </w:r>
      <w:proofErr w:type="gramEnd"/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Definição e detalhamento de uma nova estrutura tarifária</w:t>
      </w:r>
      <w:bookmarkEnd w:id="28"/>
      <w:bookmarkEnd w:id="29"/>
    </w:p>
    <w:p w:rsidR="00105451" w:rsidRPr="00D608B6" w:rsidRDefault="0010545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contratada deverá apresentar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7DA5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as propostas para o novo modelo de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subsídio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s, avaliando o impacto para as partes envolvidas considerando os seguintes fatores</w:t>
      </w:r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, entre outros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</w:p>
    <w:p w:rsidR="00B014BE" w:rsidRPr="00D608B6" w:rsidRDefault="00B014BE" w:rsidP="00C868D9">
      <w:pPr>
        <w:pStyle w:val="Caption"/>
        <w:numPr>
          <w:ilvl w:val="0"/>
          <w:numId w:val="50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Sinal de escassez dos recursos hídricos</w:t>
      </w:r>
    </w:p>
    <w:p w:rsidR="00105451" w:rsidRPr="00D608B6" w:rsidRDefault="00E45826" w:rsidP="00C868D9">
      <w:pPr>
        <w:pStyle w:val="Caption"/>
        <w:numPr>
          <w:ilvl w:val="0"/>
          <w:numId w:val="50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P</w:t>
      </w:r>
      <w:r w:rsidR="00105451" w:rsidRPr="00D608B6">
        <w:rPr>
          <w:rFonts w:ascii="Times New Roman" w:hAnsi="Times New Roman" w:cs="Times New Roman"/>
          <w:b w:val="0"/>
          <w:sz w:val="24"/>
          <w:szCs w:val="24"/>
        </w:rPr>
        <w:t xml:space="preserve">olítica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de subsídios</w:t>
      </w:r>
    </w:p>
    <w:p w:rsidR="00105451" w:rsidRPr="00D608B6" w:rsidRDefault="00105451" w:rsidP="00C868D9">
      <w:pPr>
        <w:pStyle w:val="Caption"/>
        <w:numPr>
          <w:ilvl w:val="0"/>
          <w:numId w:val="50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Facilidade de implantação das mudanças</w:t>
      </w:r>
    </w:p>
    <w:p w:rsidR="00105451" w:rsidRPr="00D608B6" w:rsidRDefault="00105451" w:rsidP="00C868D9">
      <w:pPr>
        <w:pStyle w:val="Caption"/>
        <w:numPr>
          <w:ilvl w:val="0"/>
          <w:numId w:val="50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>O impacto de cada uma das alternativas de tarifação deve estar bastante claro e sedimentado para a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s concessionárias e agências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05451" w:rsidRPr="00D608B6" w:rsidRDefault="00105451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Baseado nas análises, resultados e recomendações até esta etapa, deverão ser apresentados os fundamentos considerados para sustentar a opção eleita neste estudo e as alternativas que existem, de acordo com a teoria e práticas internacionais mais adequadas à realidade local</w:t>
      </w:r>
      <w:r w:rsidR="004F1FDD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2EE4" w:rsidRPr="00D608B6" w:rsidRDefault="004F1FD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Nesta fase, a consultoria deverá realizar simulações de aplicação da nova estrutura tarifária.</w:t>
      </w:r>
    </w:p>
    <w:p w:rsidR="004F1FDD" w:rsidRPr="00D608B6" w:rsidRDefault="004F1FD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014BE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Sexta</w:t>
      </w:r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 xml:space="preserve"> entrega: </w:t>
      </w:r>
      <w:proofErr w:type="gramStart"/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. Relatório com proposta da nova estrutura tarifária</w:t>
      </w:r>
      <w:r w:rsidR="004F1FDD" w:rsidRPr="00D608B6">
        <w:rPr>
          <w:rFonts w:ascii="Times New Roman" w:hAnsi="Times New Roman" w:cs="Times New Roman"/>
          <w:b w:val="0"/>
          <w:sz w:val="24"/>
          <w:szCs w:val="24"/>
        </w:rPr>
        <w:t xml:space="preserve"> e simulações de aplicação da estrutura</w:t>
      </w:r>
      <w:r w:rsidR="00B014BE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014BE" w:rsidRPr="00FD380C" w:rsidRDefault="00B014BE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742EE4" w:rsidRPr="00FD380C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30" w:name="_Toc372151958"/>
      <w:bookmarkStart w:id="31" w:name="_Toc372152623"/>
      <w:proofErr w:type="gramStart"/>
      <w:r w:rsidRPr="00FD380C">
        <w:rPr>
          <w:rFonts w:ascii="Times New Roman" w:hAnsi="Times New Roman" w:cs="Times New Roman"/>
          <w:b w:val="0"/>
          <w:i/>
          <w:sz w:val="24"/>
          <w:szCs w:val="24"/>
        </w:rPr>
        <w:t>h</w:t>
      </w:r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>.</w:t>
      </w:r>
      <w:proofErr w:type="gramEnd"/>
      <w:r w:rsidR="00742EE4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Recomendação e proposta </w:t>
      </w:r>
      <w:bookmarkEnd w:id="30"/>
      <w:bookmarkEnd w:id="31"/>
      <w:r w:rsid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a ser entregue à Contratante. </w:t>
      </w:r>
    </w:p>
    <w:p w:rsidR="00607E64" w:rsidRPr="00D608B6" w:rsidRDefault="00607E6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 produto final dessa atividade será a recomendação do modelo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de subsídios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mais adequado às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condições de equilíbrio da concessão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. Deverão ser resumidas e colocadas em perspectiva as principais conclusões das etapas anteriores: premissas adotadas, resultados dos modelos, alternativas, políticas de subsídio e, principalmente, o impacto das alternativas para a sustentabilidade econômica da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prestação dos serviços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capacidade de pagamento da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população e a facilidade de implantação.</w:t>
      </w:r>
    </w:p>
    <w:p w:rsidR="005C1FF8" w:rsidRPr="00D608B6" w:rsidRDefault="005C1FF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45E0" w:rsidRDefault="00B014BE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A045E0">
        <w:rPr>
          <w:rFonts w:ascii="Times New Roman" w:hAnsi="Times New Roman" w:cs="Times New Roman"/>
          <w:b w:val="0"/>
          <w:sz w:val="24"/>
          <w:szCs w:val="24"/>
        </w:rPr>
        <w:t>étima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entrega: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. Nota técnica de recomendação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para o poder público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      2. Apresentação final.</w:t>
      </w:r>
    </w:p>
    <w:p w:rsidR="005C1FF8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2" w:name="_Toc372151959"/>
      <w:bookmarkStart w:id="33" w:name="_Toc372152624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D380C">
        <w:rPr>
          <w:rFonts w:ascii="Times New Roman" w:hAnsi="Times New Roman" w:cs="Times New Roman"/>
          <w:b w:val="0"/>
          <w:i/>
          <w:sz w:val="24"/>
          <w:szCs w:val="24"/>
        </w:rPr>
        <w:t>Discussões</w:t>
      </w:r>
      <w:r w:rsidR="005C1FF8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com </w:t>
      </w:r>
      <w:r w:rsidR="00474921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o </w:t>
      </w:r>
      <w:bookmarkEnd w:id="32"/>
      <w:bookmarkEnd w:id="33"/>
      <w:r w:rsidRPr="00FD380C">
        <w:rPr>
          <w:rFonts w:ascii="Times New Roman" w:hAnsi="Times New Roman" w:cs="Times New Roman"/>
          <w:b w:val="0"/>
          <w:i/>
          <w:sz w:val="24"/>
          <w:szCs w:val="24"/>
        </w:rPr>
        <w:t>Atores-Chave</w:t>
      </w:r>
    </w:p>
    <w:p w:rsidR="00DC1E28" w:rsidRPr="00D608B6" w:rsidRDefault="00DC1E2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consultoria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 xml:space="preserve">deverá </w:t>
      </w:r>
      <w:r w:rsidR="00DD47F3" w:rsidRPr="00D608B6">
        <w:rPr>
          <w:rFonts w:ascii="Times New Roman" w:hAnsi="Times New Roman" w:cs="Times New Roman"/>
          <w:b w:val="0"/>
          <w:sz w:val="24"/>
          <w:szCs w:val="24"/>
        </w:rPr>
        <w:t>avaliar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os possíveis trabalhos em curso e divulgado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 pel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os Ministérios das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 xml:space="preserve">Cidades, Saúde, Previdência e Casa Civil,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com o objetivo de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subsidiar contribuições mutuas nos estudos para o melhor resultado para os usuários dos serviços públicos de abastecimento de água e esgotamento sanitário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. Com base no diagnóstico efetuado e nas discussões mantidas com a equipe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 xml:space="preserve">técnica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da </w:t>
      </w:r>
      <w:r w:rsidR="00474921" w:rsidRPr="00D608B6">
        <w:rPr>
          <w:rFonts w:ascii="Times New Roman" w:hAnsi="Times New Roman" w:cs="Times New Roman"/>
          <w:b w:val="0"/>
          <w:sz w:val="24"/>
          <w:szCs w:val="24"/>
        </w:rPr>
        <w:t>ABES e nos workshops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, a consultoria elaborará as propostas de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adoção de um novo modelo de subsídios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C1E28" w:rsidRDefault="00DC1E2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Essa atividade contempla os seguintes produtos: elaboração de relatórios, apresentação e discussão do diagnóstico com a equipe técnica da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 assistência nas reuniões com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reguladores</w:t>
      </w:r>
      <w:proofErr w:type="gramEnd"/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, concessionárias, municípios e governo federal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, incluindo a elaboração do material necessário e r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ecomendações a serem entregues ao Governo Federal.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B1A74" w:rsidRPr="00D608B6" w:rsidRDefault="00BB1A7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 consultoria subsidiará a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na análise das propostas da </w:t>
      </w:r>
      <w:r w:rsidR="007868E6" w:rsidRPr="00D608B6">
        <w:rPr>
          <w:rFonts w:ascii="Times New Roman" w:hAnsi="Times New Roman" w:cs="Times New Roman"/>
          <w:b w:val="0"/>
          <w:sz w:val="24"/>
          <w:szCs w:val="24"/>
        </w:rPr>
        <w:t>do poder público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, executando as seguintes atividades:</w:t>
      </w:r>
    </w:p>
    <w:p w:rsidR="00BB1A74" w:rsidRPr="00D608B6" w:rsidRDefault="00BB1A74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Diagnóstico de todo material apresentado pela A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1A74" w:rsidRPr="00D608B6" w:rsidRDefault="008D1487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>Consolida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 xml:space="preserve">ção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crítica 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>d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o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 xml:space="preserve">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estudos 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>desenvolvido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1A74" w:rsidRPr="00D608B6" w:rsidRDefault="00BB1A74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Assistência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na elaboração de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 xml:space="preserve">propostas e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contrapropostas, argumentações e su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stentações a serem apresentadas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1A74" w:rsidRPr="00D608B6" w:rsidRDefault="00DD47F3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E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 xml:space="preserve">laboração do documento de manifestação formal da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="00BB1A74" w:rsidRPr="00D608B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1A74" w:rsidRPr="00D608B6" w:rsidRDefault="00BB1A74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Simulação de cenários;</w:t>
      </w:r>
    </w:p>
    <w:p w:rsidR="00BB1A74" w:rsidRPr="00D608B6" w:rsidRDefault="00BB1A74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Assistência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 em reuniões com participação dos representantes do Legislativo e Executivo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B1A74" w:rsidRPr="00D608B6" w:rsidRDefault="00BB1A74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Essa atividade contempla os seguintes produtos: elaboração de relatórios de diagnóstico, planilhas de simulação</w:t>
      </w:r>
      <w:r w:rsidR="00DD47F3" w:rsidRPr="00D608B6">
        <w:rPr>
          <w:rFonts w:ascii="Times New Roman" w:hAnsi="Times New Roman" w:cs="Times New Roman"/>
          <w:b w:val="0"/>
          <w:sz w:val="24"/>
          <w:szCs w:val="24"/>
        </w:rPr>
        <w:t>,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manifestação formal da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 acompanhamento nas reuniões de discussão, além de elaboração da documentação de apoio.</w:t>
      </w:r>
    </w:p>
    <w:p w:rsidR="005C1FF8" w:rsidRDefault="005C1FF8" w:rsidP="00C868D9">
      <w:pPr>
        <w:pStyle w:val="Caption"/>
        <w:numPr>
          <w:ilvl w:val="0"/>
          <w:numId w:val="49"/>
        </w:numPr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4" w:name="_Toc372151960"/>
      <w:bookmarkStart w:id="35" w:name="_Toc372152625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Dar suporte </w:t>
      </w:r>
      <w:r w:rsidR="00235774" w:rsidRPr="00D608B6">
        <w:rPr>
          <w:rFonts w:ascii="Times New Roman" w:hAnsi="Times New Roman" w:cs="Times New Roman"/>
          <w:b w:val="0"/>
          <w:sz w:val="24"/>
          <w:szCs w:val="24"/>
        </w:rPr>
        <w:t xml:space="preserve">técnico regulatório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com pareceres jurídicos que promovam a implantação do modelo.</w:t>
      </w:r>
      <w:bookmarkEnd w:id="34"/>
      <w:bookmarkEnd w:id="35"/>
    </w:p>
    <w:p w:rsidR="00DC1E28" w:rsidRPr="00D608B6" w:rsidRDefault="002D039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 consultoria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assistirá </w:t>
      </w:r>
      <w:proofErr w:type="gramStart"/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>à</w:t>
      </w:r>
      <w:proofErr w:type="gramEnd"/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 na avaliação das decisões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com a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 elaboração de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pareceres jurídicos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r w:rsidR="00FD38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Essa atividade contempla os seguintes produtos: elaboração de relatórios de diagnóstico dos resultados, apoio </w:t>
      </w:r>
      <w:r w:rsidR="00235774" w:rsidRPr="00D608B6">
        <w:rPr>
          <w:rFonts w:ascii="Times New Roman" w:hAnsi="Times New Roman" w:cs="Times New Roman"/>
          <w:b w:val="0"/>
          <w:sz w:val="24"/>
          <w:szCs w:val="24"/>
        </w:rPr>
        <w:t xml:space="preserve">técnico 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>na elaboração de recursos administrativo e</w:t>
      </w:r>
      <w:r w:rsidR="009F487F" w:rsidRPr="00D608B6">
        <w:rPr>
          <w:rFonts w:ascii="Times New Roman" w:hAnsi="Times New Roman" w:cs="Times New Roman"/>
          <w:b w:val="0"/>
          <w:sz w:val="24"/>
          <w:szCs w:val="24"/>
        </w:rPr>
        <w:t>/ou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 xml:space="preserve"> judicial, caso necessário, e acompanhamento nas reuniões de discussão com </w:t>
      </w:r>
      <w:r w:rsidR="007868E6" w:rsidRPr="00D608B6">
        <w:rPr>
          <w:rFonts w:ascii="Times New Roman" w:hAnsi="Times New Roman" w:cs="Times New Roman"/>
          <w:b w:val="0"/>
          <w:sz w:val="24"/>
          <w:szCs w:val="24"/>
        </w:rPr>
        <w:t>o Poder Público</w:t>
      </w:r>
      <w:r w:rsidR="00DC1E28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35774" w:rsidRPr="00D608B6" w:rsidRDefault="0023577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87999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6" w:name="_Toc372151961"/>
      <w:bookmarkStart w:id="37" w:name="_Toc372152626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j</w:t>
      </w:r>
      <w:proofErr w:type="gramEnd"/>
      <w:r w:rsidR="005C1FF8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C1FF8" w:rsidRPr="00FD380C">
        <w:rPr>
          <w:rFonts w:ascii="Times New Roman" w:hAnsi="Times New Roman" w:cs="Times New Roman"/>
          <w:b w:val="0"/>
          <w:i/>
          <w:sz w:val="24"/>
          <w:szCs w:val="24"/>
        </w:rPr>
        <w:t>Suporte na Implantação</w:t>
      </w:r>
      <w:r w:rsidR="000A11B7" w:rsidRPr="00FD380C">
        <w:rPr>
          <w:rFonts w:ascii="Times New Roman" w:hAnsi="Times New Roman" w:cs="Times New Roman"/>
          <w:b w:val="0"/>
          <w:i/>
          <w:sz w:val="24"/>
          <w:szCs w:val="24"/>
        </w:rPr>
        <w:t xml:space="preserve"> do Sistema de Indicadores</w:t>
      </w:r>
      <w:bookmarkEnd w:id="36"/>
      <w:bookmarkEnd w:id="37"/>
    </w:p>
    <w:p w:rsidR="00A045E0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8" w:name="_Toc372151962"/>
      <w:bookmarkStart w:id="39" w:name="_Toc372152627"/>
    </w:p>
    <w:p w:rsidR="005C1FF8" w:rsidRPr="00D608B6" w:rsidRDefault="005C1FF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1. Elaboração de Plano de implantação </w:t>
      </w:r>
      <w:r w:rsidR="000A11B7" w:rsidRPr="00D608B6">
        <w:rPr>
          <w:rFonts w:ascii="Times New Roman" w:hAnsi="Times New Roman" w:cs="Times New Roman"/>
          <w:b w:val="0"/>
          <w:sz w:val="24"/>
          <w:szCs w:val="24"/>
        </w:rPr>
        <w:t xml:space="preserve">e capacitação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do </w:t>
      </w:r>
      <w:r w:rsidR="000A11B7" w:rsidRPr="00D608B6">
        <w:rPr>
          <w:rFonts w:ascii="Times New Roman" w:hAnsi="Times New Roman" w:cs="Times New Roman"/>
          <w:b w:val="0"/>
          <w:sz w:val="24"/>
          <w:szCs w:val="24"/>
        </w:rPr>
        <w:t>sistema</w:t>
      </w:r>
      <w:bookmarkEnd w:id="38"/>
      <w:bookmarkEnd w:id="39"/>
    </w:p>
    <w:p w:rsidR="007D5628" w:rsidRPr="00D608B6" w:rsidRDefault="00070385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Deverá ser</w:t>
      </w:r>
      <w:r w:rsidR="007D5628" w:rsidRPr="00D608B6">
        <w:rPr>
          <w:rFonts w:ascii="Times New Roman" w:hAnsi="Times New Roman" w:cs="Times New Roman"/>
          <w:b w:val="0"/>
          <w:sz w:val="24"/>
          <w:szCs w:val="24"/>
        </w:rPr>
        <w:t xml:space="preserve"> elaborado um plano de ação com o objetivo de identificar as atividades, prazos e responsáveis n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ecessários para a implantação do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nov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 xml:space="preserve">modelo de </w:t>
      </w:r>
      <w:r w:rsidR="000A11B7" w:rsidRPr="00D608B6">
        <w:rPr>
          <w:rFonts w:ascii="Times New Roman" w:hAnsi="Times New Roman" w:cs="Times New Roman"/>
          <w:b w:val="0"/>
          <w:sz w:val="24"/>
          <w:szCs w:val="24"/>
        </w:rPr>
        <w:t>indicadores de eficiência</w:t>
      </w:r>
      <w:r w:rsidR="007D5628" w:rsidRPr="00D608B6">
        <w:rPr>
          <w:rFonts w:ascii="Times New Roman" w:hAnsi="Times New Roman" w:cs="Times New Roman"/>
          <w:b w:val="0"/>
          <w:sz w:val="24"/>
          <w:szCs w:val="24"/>
        </w:rPr>
        <w:t xml:space="preserve">. Este plano será discutido com </w:t>
      </w:r>
      <w:proofErr w:type="gramStart"/>
      <w:r w:rsidR="007D5628" w:rsidRPr="00D608B6"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r w:rsidR="008D148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proofErr w:type="gramEnd"/>
      <w:r w:rsidR="007D5628" w:rsidRPr="00D608B6">
        <w:rPr>
          <w:rFonts w:ascii="Times New Roman" w:hAnsi="Times New Roman" w:cs="Times New Roman"/>
          <w:b w:val="0"/>
          <w:sz w:val="24"/>
          <w:szCs w:val="24"/>
        </w:rPr>
        <w:t xml:space="preserve"> e assessorado pela c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ontratada durante a implantação.</w:t>
      </w:r>
    </w:p>
    <w:p w:rsidR="007D5628" w:rsidRPr="00D608B6" w:rsidRDefault="007D5628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Comporá ainda o relatório uma Nota Técnica a ser entregue na data de aceite.</w:t>
      </w:r>
    </w:p>
    <w:p w:rsidR="00A045E0" w:rsidRDefault="002378A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Primeira entrega: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>. Plano de implantação. 2. Apresentação do plano.</w:t>
      </w:r>
      <w:bookmarkStart w:id="40" w:name="_Toc372151963"/>
      <w:bookmarkStart w:id="41" w:name="_Toc372152628"/>
    </w:p>
    <w:p w:rsidR="005C1FF8" w:rsidRPr="00D608B6" w:rsidRDefault="000A11B7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2</w:t>
      </w:r>
      <w:r w:rsidR="005C1FF8" w:rsidRPr="00D608B6">
        <w:rPr>
          <w:rFonts w:ascii="Times New Roman" w:hAnsi="Times New Roman" w:cs="Times New Roman"/>
          <w:b w:val="0"/>
          <w:sz w:val="24"/>
          <w:szCs w:val="24"/>
        </w:rPr>
        <w:t>. Avaliação d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o</w:t>
      </w:r>
      <w:r w:rsidR="005C1FF8" w:rsidRPr="00D608B6">
        <w:rPr>
          <w:rFonts w:ascii="Times New Roman" w:hAnsi="Times New Roman" w:cs="Times New Roman"/>
          <w:b w:val="0"/>
          <w:sz w:val="24"/>
          <w:szCs w:val="24"/>
        </w:rPr>
        <w:t xml:space="preserve">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resultados</w:t>
      </w:r>
      <w:r w:rsidR="005C1FF8" w:rsidRPr="00D608B6">
        <w:rPr>
          <w:rFonts w:ascii="Times New Roman" w:hAnsi="Times New Roman" w:cs="Times New Roman"/>
          <w:b w:val="0"/>
          <w:sz w:val="24"/>
          <w:szCs w:val="24"/>
        </w:rPr>
        <w:t xml:space="preserve"> do modelo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de indicadores</w:t>
      </w:r>
      <w:r w:rsidR="005C1FF8" w:rsidRPr="00D608B6">
        <w:rPr>
          <w:rFonts w:ascii="Times New Roman" w:hAnsi="Times New Roman" w:cs="Times New Roman"/>
          <w:b w:val="0"/>
          <w:sz w:val="24"/>
          <w:szCs w:val="24"/>
        </w:rPr>
        <w:t>: recursos e sistemas de informa</w:t>
      </w:r>
      <w:r w:rsidR="002204A9" w:rsidRPr="00D608B6">
        <w:rPr>
          <w:rFonts w:ascii="Times New Roman" w:hAnsi="Times New Roman" w:cs="Times New Roman"/>
          <w:b w:val="0"/>
          <w:sz w:val="24"/>
          <w:szCs w:val="24"/>
        </w:rPr>
        <w:t>ções gerenciais</w:t>
      </w:r>
      <w:bookmarkEnd w:id="40"/>
      <w:bookmarkEnd w:id="41"/>
    </w:p>
    <w:p w:rsidR="00742EE4" w:rsidRPr="00D608B6" w:rsidRDefault="0082773D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Avaliação das modificações a serem feitas nos </w:t>
      </w:r>
      <w:r w:rsidR="002D0394" w:rsidRPr="00D608B6">
        <w:rPr>
          <w:rFonts w:ascii="Times New Roman" w:hAnsi="Times New Roman" w:cs="Times New Roman"/>
          <w:b w:val="0"/>
          <w:sz w:val="24"/>
          <w:szCs w:val="24"/>
        </w:rPr>
        <w:t xml:space="preserve">processos e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sistemas de informática e suporte na elaboração dos termos de referência para contratação de empresas para executar as mudanças</w:t>
      </w:r>
      <w:r w:rsidR="002D0394" w:rsidRPr="00D608B6">
        <w:rPr>
          <w:rFonts w:ascii="Times New Roman" w:hAnsi="Times New Roman" w:cs="Times New Roman"/>
          <w:b w:val="0"/>
          <w:sz w:val="24"/>
          <w:szCs w:val="24"/>
        </w:rPr>
        <w:t xml:space="preserve"> necessárias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378A4" w:rsidRPr="00D608B6" w:rsidRDefault="002378A4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Segunda entrega: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>. Relatório de avaliação.</w:t>
      </w:r>
    </w:p>
    <w:p w:rsidR="00B40303" w:rsidRPr="00D608B6" w:rsidRDefault="00B40303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523D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2" w:name="_Toc372151964"/>
      <w:bookmarkStart w:id="43" w:name="_Toc372152629"/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5E523D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FE52BE" w:rsidRPr="00D608B6">
        <w:rPr>
          <w:rFonts w:ascii="Times New Roman" w:hAnsi="Times New Roman" w:cs="Times New Roman"/>
          <w:b w:val="0"/>
          <w:sz w:val="24"/>
          <w:szCs w:val="24"/>
        </w:rPr>
        <w:t xml:space="preserve">Cronograma e </w:t>
      </w:r>
      <w:r w:rsidR="000120F5" w:rsidRPr="00D608B6">
        <w:rPr>
          <w:rFonts w:ascii="Times New Roman" w:hAnsi="Times New Roman" w:cs="Times New Roman"/>
          <w:b w:val="0"/>
          <w:sz w:val="24"/>
          <w:szCs w:val="24"/>
        </w:rPr>
        <w:t>Prazo Contratual</w:t>
      </w:r>
      <w:bookmarkEnd w:id="42"/>
      <w:bookmarkEnd w:id="43"/>
    </w:p>
    <w:p w:rsidR="002A44E5" w:rsidRPr="00D608B6" w:rsidRDefault="002A44E5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Os trabalhos de consultoria deverão ser executados em </w:t>
      </w:r>
      <w:r w:rsidR="005E211C" w:rsidRPr="00D608B6">
        <w:rPr>
          <w:rFonts w:ascii="Times New Roman" w:hAnsi="Times New Roman" w:cs="Times New Roman"/>
          <w:b w:val="0"/>
          <w:sz w:val="24"/>
          <w:szCs w:val="24"/>
        </w:rPr>
        <w:t>18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meses, contados a partir da data de contratação dos</w:t>
      </w:r>
      <w:r w:rsidR="000A11B7" w:rsidRPr="00D608B6">
        <w:rPr>
          <w:rFonts w:ascii="Times New Roman" w:hAnsi="Times New Roman" w:cs="Times New Roman"/>
          <w:b w:val="0"/>
          <w:sz w:val="24"/>
          <w:szCs w:val="24"/>
        </w:rPr>
        <w:t xml:space="preserve"> serviços</w:t>
      </w:r>
      <w:r w:rsidR="000E5B4E" w:rsidRPr="00D608B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A cada uma das ati</w:t>
      </w:r>
      <w:r w:rsidR="008D5AFC" w:rsidRPr="00D608B6">
        <w:rPr>
          <w:rFonts w:ascii="Times New Roman" w:hAnsi="Times New Roman" w:cs="Times New Roman"/>
          <w:b w:val="0"/>
          <w:sz w:val="24"/>
          <w:szCs w:val="24"/>
        </w:rPr>
        <w:t xml:space="preserve">vidades identificadas 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corresponderá </w:t>
      </w:r>
      <w:proofErr w:type="gramStart"/>
      <w:r w:rsidRPr="00D608B6">
        <w:rPr>
          <w:rFonts w:ascii="Times New Roman" w:hAnsi="Times New Roman" w:cs="Times New Roman"/>
          <w:b w:val="0"/>
          <w:sz w:val="24"/>
          <w:szCs w:val="24"/>
        </w:rPr>
        <w:t>a</w:t>
      </w:r>
      <w:proofErr w:type="gramEnd"/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entrega dos produtos definidos</w:t>
      </w:r>
      <w:r w:rsidR="005E211C" w:rsidRPr="00D608B6">
        <w:rPr>
          <w:rFonts w:ascii="Times New Roman" w:hAnsi="Times New Roman" w:cs="Times New Roman"/>
          <w:b w:val="0"/>
          <w:sz w:val="24"/>
          <w:szCs w:val="24"/>
        </w:rPr>
        <w:t xml:space="preserve"> na seção anterior.</w:t>
      </w:r>
    </w:p>
    <w:p w:rsidR="002A44E5" w:rsidRPr="00D608B6" w:rsidRDefault="005E211C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Durante toda a duração do projeto, </w:t>
      </w:r>
      <w:r w:rsidR="002A44E5" w:rsidRPr="00D608B6">
        <w:rPr>
          <w:rFonts w:ascii="Times New Roman" w:hAnsi="Times New Roman" w:cs="Times New Roman"/>
          <w:b w:val="0"/>
          <w:sz w:val="24"/>
          <w:szCs w:val="24"/>
        </w:rPr>
        <w:t xml:space="preserve">deverão ser realizadas reuniões com o grupo técnico da </w:t>
      </w:r>
      <w:r w:rsidR="000A11B7" w:rsidRPr="00D608B6">
        <w:rPr>
          <w:rFonts w:ascii="Times New Roman" w:hAnsi="Times New Roman" w:cs="Times New Roman"/>
          <w:b w:val="0"/>
          <w:sz w:val="24"/>
          <w:szCs w:val="24"/>
        </w:rPr>
        <w:t>ABES</w:t>
      </w:r>
      <w:r w:rsidR="002A44E5" w:rsidRPr="00D608B6">
        <w:rPr>
          <w:rFonts w:ascii="Times New Roman" w:hAnsi="Times New Roman" w:cs="Times New Roman"/>
          <w:b w:val="0"/>
          <w:sz w:val="24"/>
          <w:szCs w:val="24"/>
        </w:rPr>
        <w:t xml:space="preserve"> para a apresentação e discussão dos resultados parciais do trabalho de consultoria</w:t>
      </w:r>
      <w:r w:rsidR="008D5AFC" w:rsidRPr="00D608B6">
        <w:rPr>
          <w:rFonts w:ascii="Times New Roman" w:hAnsi="Times New Roman" w:cs="Times New Roman"/>
          <w:b w:val="0"/>
          <w:sz w:val="24"/>
          <w:szCs w:val="24"/>
        </w:rPr>
        <w:t xml:space="preserve"> por objeto de discussão</w:t>
      </w:r>
      <w:r w:rsidR="002A44E5" w:rsidRPr="00D608B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D5AFC" w:rsidRPr="00D608B6" w:rsidRDefault="008D5AFC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Mensalmente deverão ser realizadas reuniões de integração com o</w:t>
      </w:r>
      <w:r w:rsidR="005E211C" w:rsidRPr="00D608B6">
        <w:rPr>
          <w:rFonts w:ascii="Times New Roman" w:hAnsi="Times New Roman" w:cs="Times New Roman"/>
          <w:b w:val="0"/>
          <w:sz w:val="24"/>
          <w:szCs w:val="24"/>
        </w:rPr>
        <w:t xml:space="preserve"> comitê de gerenciamento do projeto.</w:t>
      </w:r>
    </w:p>
    <w:p w:rsidR="0086444F" w:rsidRPr="00D608B6" w:rsidRDefault="00A6036E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Os pagamentos serão </w:t>
      </w:r>
      <w:r w:rsidR="003A0D93" w:rsidRPr="00D608B6">
        <w:rPr>
          <w:rFonts w:ascii="Times New Roman" w:hAnsi="Times New Roman" w:cs="Times New Roman"/>
          <w:b w:val="0"/>
          <w:sz w:val="24"/>
          <w:szCs w:val="24"/>
        </w:rPr>
        <w:t>na sistemática do BID, a aprovação técnica deverá ocorrer no período de 15 dias. Os trabalhos devem ser realizados com reuniões intermediárias para</w:t>
      </w:r>
      <w:proofErr w:type="gramStart"/>
      <w:r w:rsidR="003A0D93" w:rsidRPr="00D608B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End"/>
      <w:r w:rsidR="003A0D93" w:rsidRPr="00D608B6">
        <w:rPr>
          <w:rFonts w:ascii="Times New Roman" w:hAnsi="Times New Roman" w:cs="Times New Roman"/>
          <w:b w:val="0"/>
          <w:sz w:val="24"/>
          <w:szCs w:val="24"/>
        </w:rPr>
        <w:t xml:space="preserve">permitir a </w:t>
      </w:r>
      <w:r w:rsidRPr="00D608B6">
        <w:rPr>
          <w:rFonts w:ascii="Times New Roman" w:hAnsi="Times New Roman" w:cs="Times New Roman"/>
          <w:b w:val="0"/>
          <w:sz w:val="24"/>
          <w:szCs w:val="24"/>
          <w:u w:val="single"/>
        </w:rPr>
        <w:t>aprovação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dos produtos de cada entrega</w:t>
      </w:r>
      <w:r w:rsidR="003A0D93" w:rsidRPr="00D608B6">
        <w:rPr>
          <w:rFonts w:ascii="Times New Roman" w:hAnsi="Times New Roman" w:cs="Times New Roman"/>
          <w:b w:val="0"/>
          <w:sz w:val="24"/>
          <w:szCs w:val="24"/>
        </w:rPr>
        <w:t xml:space="preserve"> em 15 dias corridos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>, somando-se o prazo para processamento do pagamento.</w:t>
      </w:r>
    </w:p>
    <w:p w:rsidR="005E211C" w:rsidRPr="00D608B6" w:rsidRDefault="005E211C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7568A" w:rsidRPr="00D608B6" w:rsidRDefault="00A045E0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4" w:name="_Toc372151966"/>
      <w:bookmarkStart w:id="45" w:name="_Toc372152631"/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87568A" w:rsidRPr="00D608B6">
        <w:rPr>
          <w:rFonts w:ascii="Times New Roman" w:hAnsi="Times New Roman" w:cs="Times New Roman"/>
          <w:b w:val="0"/>
          <w:sz w:val="24"/>
          <w:szCs w:val="24"/>
        </w:rPr>
        <w:t>. Equipe de Projeto</w:t>
      </w:r>
      <w:bookmarkEnd w:id="44"/>
      <w:bookmarkEnd w:id="45"/>
    </w:p>
    <w:p w:rsidR="0087568A" w:rsidRPr="00D608B6" w:rsidRDefault="0087568A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7568A" w:rsidRPr="00D608B6" w:rsidRDefault="002C2F7F" w:rsidP="00C868D9">
      <w:pPr>
        <w:pStyle w:val="Caption"/>
        <w:pBdr>
          <w:top w:val="none" w:sz="0" w:space="0" w:color="auto"/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8B6">
        <w:rPr>
          <w:rFonts w:ascii="Times New Roman" w:hAnsi="Times New Roman" w:cs="Times New Roman"/>
          <w:b w:val="0"/>
          <w:sz w:val="24"/>
          <w:szCs w:val="24"/>
        </w:rPr>
        <w:t>Para a execução das fases A e B, a</w:t>
      </w:r>
      <w:r w:rsidR="00FE52BE" w:rsidRPr="00D608B6">
        <w:rPr>
          <w:rFonts w:ascii="Times New Roman" w:hAnsi="Times New Roman" w:cs="Times New Roman"/>
          <w:b w:val="0"/>
          <w:sz w:val="24"/>
          <w:szCs w:val="24"/>
        </w:rPr>
        <w:t xml:space="preserve"> consultoria contratada deverá alocar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a equipe principal de projeto num raio de 2 km das</w:t>
      </w:r>
      <w:r w:rsidR="00DA24BB" w:rsidRPr="00D608B6">
        <w:rPr>
          <w:rFonts w:ascii="Times New Roman" w:hAnsi="Times New Roman" w:cs="Times New Roman"/>
          <w:b w:val="0"/>
          <w:sz w:val="24"/>
          <w:szCs w:val="24"/>
        </w:rPr>
        <w:t xml:space="preserve"> dependências da</w:t>
      </w:r>
      <w:r w:rsidR="00FE52BE" w:rsidRPr="00D608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624A2" w:rsidRPr="00D608B6">
        <w:rPr>
          <w:rFonts w:ascii="Times New Roman" w:hAnsi="Times New Roman" w:cs="Times New Roman"/>
          <w:b w:val="0"/>
          <w:sz w:val="24"/>
          <w:szCs w:val="24"/>
        </w:rPr>
        <w:t>ABES-SP</w:t>
      </w:r>
      <w:r w:rsidR="00FE52BE" w:rsidRPr="00D608B6">
        <w:rPr>
          <w:rFonts w:ascii="Times New Roman" w:hAnsi="Times New Roman" w:cs="Times New Roman"/>
          <w:b w:val="0"/>
          <w:sz w:val="24"/>
          <w:szCs w:val="24"/>
        </w:rPr>
        <w:t>.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Para as fases C e D, a</w:t>
      </w:r>
      <w:r w:rsidR="00E643C6" w:rsidRPr="00D608B6">
        <w:rPr>
          <w:rFonts w:ascii="Times New Roman" w:hAnsi="Times New Roman" w:cs="Times New Roman"/>
          <w:b w:val="0"/>
          <w:sz w:val="24"/>
          <w:szCs w:val="24"/>
        </w:rPr>
        <w:t xml:space="preserve"> alocação da</w:t>
      </w:r>
      <w:r w:rsidRPr="00D608B6">
        <w:rPr>
          <w:rFonts w:ascii="Times New Roman" w:hAnsi="Times New Roman" w:cs="Times New Roman"/>
          <w:b w:val="0"/>
          <w:sz w:val="24"/>
          <w:szCs w:val="24"/>
        </w:rPr>
        <w:t xml:space="preserve"> equipe deverá ser de acordo com a demanda do processo.</w:t>
      </w:r>
    </w:p>
    <w:sectPr w:rsidR="0087568A" w:rsidRPr="00D608B6" w:rsidSect="00E35926">
      <w:footerReference w:type="even" r:id="rId9"/>
      <w:footerReference w:type="default" r:id="rId10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44" w:rsidRDefault="00445E44" w:rsidP="009D1B00">
      <w:r>
        <w:separator/>
      </w:r>
    </w:p>
  </w:endnote>
  <w:endnote w:type="continuationSeparator" w:id="0">
    <w:p w:rsidR="00445E44" w:rsidRDefault="00445E44" w:rsidP="009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C0" w:rsidRDefault="004F63C0" w:rsidP="009D1B00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63C0" w:rsidRDefault="004F63C0" w:rsidP="009D1B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C0" w:rsidRDefault="004F63C0" w:rsidP="009D1B00">
    <w:pPr>
      <w:pStyle w:val="Footer"/>
    </w:pPr>
  </w:p>
  <w:p w:rsidR="004F63C0" w:rsidRDefault="004F63C0" w:rsidP="009D1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44" w:rsidRDefault="00445E44" w:rsidP="009D1B00">
      <w:r>
        <w:separator/>
      </w:r>
    </w:p>
  </w:footnote>
  <w:footnote w:type="continuationSeparator" w:id="0">
    <w:p w:rsidR="00445E44" w:rsidRDefault="00445E44" w:rsidP="009D1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6701B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053B8B"/>
    <w:multiLevelType w:val="hybridMultilevel"/>
    <w:tmpl w:val="8D986DAA"/>
    <w:lvl w:ilvl="0" w:tplc="CFD0D3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5567E8"/>
    <w:multiLevelType w:val="hybridMultilevel"/>
    <w:tmpl w:val="0B96EA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5AFB"/>
    <w:multiLevelType w:val="hybridMultilevel"/>
    <w:tmpl w:val="1FD491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E82B11"/>
    <w:multiLevelType w:val="hybridMultilevel"/>
    <w:tmpl w:val="B6CE9F3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00F1D"/>
    <w:multiLevelType w:val="hybridMultilevel"/>
    <w:tmpl w:val="F2A072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121360"/>
    <w:multiLevelType w:val="hybridMultilevel"/>
    <w:tmpl w:val="E4F425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C74D4"/>
    <w:multiLevelType w:val="hybridMultilevel"/>
    <w:tmpl w:val="853279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EA14F6"/>
    <w:multiLevelType w:val="hybridMultilevel"/>
    <w:tmpl w:val="CF8E17D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AEE405F"/>
    <w:multiLevelType w:val="hybridMultilevel"/>
    <w:tmpl w:val="FD9AC572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84324D"/>
    <w:multiLevelType w:val="hybridMultilevel"/>
    <w:tmpl w:val="C4A8EED0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2641504"/>
    <w:multiLevelType w:val="hybridMultilevel"/>
    <w:tmpl w:val="AE8A91EA"/>
    <w:lvl w:ilvl="0" w:tplc="5BCE846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41EDC"/>
    <w:multiLevelType w:val="hybridMultilevel"/>
    <w:tmpl w:val="4484EAE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346152"/>
    <w:multiLevelType w:val="hybridMultilevel"/>
    <w:tmpl w:val="B59A80F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8205D"/>
    <w:multiLevelType w:val="hybridMultilevel"/>
    <w:tmpl w:val="695081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240EB1"/>
    <w:multiLevelType w:val="hybridMultilevel"/>
    <w:tmpl w:val="93744A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382988"/>
    <w:multiLevelType w:val="hybridMultilevel"/>
    <w:tmpl w:val="E714A2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B61B4"/>
    <w:multiLevelType w:val="hybridMultilevel"/>
    <w:tmpl w:val="099CE6A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A84F10"/>
    <w:multiLevelType w:val="hybridMultilevel"/>
    <w:tmpl w:val="D0CA8C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966873"/>
    <w:multiLevelType w:val="hybridMultilevel"/>
    <w:tmpl w:val="DA604218"/>
    <w:lvl w:ilvl="0" w:tplc="1F7C1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E076F"/>
    <w:multiLevelType w:val="hybridMultilevel"/>
    <w:tmpl w:val="DECA90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3F3F94"/>
    <w:multiLevelType w:val="hybridMultilevel"/>
    <w:tmpl w:val="B6963ECE"/>
    <w:lvl w:ilvl="0" w:tplc="0416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38735E3E"/>
    <w:multiLevelType w:val="hybridMultilevel"/>
    <w:tmpl w:val="F9D279C6"/>
    <w:lvl w:ilvl="0" w:tplc="13F04D8A">
      <w:start w:val="1"/>
      <w:numFmt w:val="decimal"/>
      <w:lvlText w:val="a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  <w:szCs w:val="18"/>
      </w:rPr>
    </w:lvl>
    <w:lvl w:ilvl="1" w:tplc="185E26A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B432A2"/>
    <w:multiLevelType w:val="hybridMultilevel"/>
    <w:tmpl w:val="3ADA29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E59A0"/>
    <w:multiLevelType w:val="hybridMultilevel"/>
    <w:tmpl w:val="1CFEAC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EA67C4"/>
    <w:multiLevelType w:val="hybridMultilevel"/>
    <w:tmpl w:val="23F6F20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523CD2"/>
    <w:multiLevelType w:val="hybridMultilevel"/>
    <w:tmpl w:val="ED2E86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A1477D"/>
    <w:multiLevelType w:val="hybridMultilevel"/>
    <w:tmpl w:val="2350111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5E5983"/>
    <w:multiLevelType w:val="hybridMultilevel"/>
    <w:tmpl w:val="6DFE1606"/>
    <w:lvl w:ilvl="0" w:tplc="0416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>
    <w:nsid w:val="508012C5"/>
    <w:multiLevelType w:val="hybridMultilevel"/>
    <w:tmpl w:val="9D42603C"/>
    <w:lvl w:ilvl="0" w:tplc="C28E7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B112FD"/>
    <w:multiLevelType w:val="hybridMultilevel"/>
    <w:tmpl w:val="34E49CF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1224A"/>
    <w:multiLevelType w:val="hybridMultilevel"/>
    <w:tmpl w:val="38C2F5E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DB95A9D"/>
    <w:multiLevelType w:val="hybridMultilevel"/>
    <w:tmpl w:val="1EB8D4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A0FDE"/>
    <w:multiLevelType w:val="multilevel"/>
    <w:tmpl w:val="1FD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B1745"/>
    <w:multiLevelType w:val="hybridMultilevel"/>
    <w:tmpl w:val="48F42AA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300B3"/>
    <w:multiLevelType w:val="hybridMultilevel"/>
    <w:tmpl w:val="252C7602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E96CDF"/>
    <w:multiLevelType w:val="hybridMultilevel"/>
    <w:tmpl w:val="CF84B508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2A70FC"/>
    <w:multiLevelType w:val="hybridMultilevel"/>
    <w:tmpl w:val="ADCE5B54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52CE4276">
      <w:start w:val="1"/>
      <w:numFmt w:val="lowerRoman"/>
      <w:lvlText w:val="(%3)"/>
      <w:lvlJc w:val="left"/>
      <w:pPr>
        <w:ind w:left="2520" w:hanging="720"/>
      </w:pPr>
      <w:rPr>
        <w:rFonts w:cs="Times New Roman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6656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4A3E20"/>
    <w:multiLevelType w:val="hybridMultilevel"/>
    <w:tmpl w:val="36E45A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4D7CFF"/>
    <w:multiLevelType w:val="hybridMultilevel"/>
    <w:tmpl w:val="2E886B96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E420F1"/>
    <w:multiLevelType w:val="hybridMultilevel"/>
    <w:tmpl w:val="C6B6BF7A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09415D"/>
    <w:multiLevelType w:val="hybridMultilevel"/>
    <w:tmpl w:val="7A9C5976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C4727C3"/>
    <w:multiLevelType w:val="hybridMultilevel"/>
    <w:tmpl w:val="3CAC178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DE57F7"/>
    <w:multiLevelType w:val="hybridMultilevel"/>
    <w:tmpl w:val="D626F49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5E4396"/>
    <w:multiLevelType w:val="hybridMultilevel"/>
    <w:tmpl w:val="05E0CB7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8A6224"/>
    <w:multiLevelType w:val="hybridMultilevel"/>
    <w:tmpl w:val="8EC0D5F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1110F0"/>
    <w:multiLevelType w:val="hybridMultilevel"/>
    <w:tmpl w:val="EE1AD994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7306C6"/>
    <w:multiLevelType w:val="hybridMultilevel"/>
    <w:tmpl w:val="F1D8B52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C10CF4"/>
    <w:multiLevelType w:val="hybridMultilevel"/>
    <w:tmpl w:val="F80C7B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2F70BD"/>
    <w:multiLevelType w:val="hybridMultilevel"/>
    <w:tmpl w:val="C89A6B96"/>
    <w:lvl w:ilvl="0" w:tplc="2D102A3C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42"/>
  </w:num>
  <w:num w:numId="4">
    <w:abstractNumId w:val="25"/>
  </w:num>
  <w:num w:numId="5">
    <w:abstractNumId w:val="37"/>
  </w:num>
  <w:num w:numId="6">
    <w:abstractNumId w:val="39"/>
  </w:num>
  <w:num w:numId="7">
    <w:abstractNumId w:val="31"/>
  </w:num>
  <w:num w:numId="8">
    <w:abstractNumId w:val="8"/>
  </w:num>
  <w:num w:numId="9">
    <w:abstractNumId w:val="46"/>
  </w:num>
  <w:num w:numId="10">
    <w:abstractNumId w:val="35"/>
  </w:num>
  <w:num w:numId="11">
    <w:abstractNumId w:val="28"/>
  </w:num>
  <w:num w:numId="12">
    <w:abstractNumId w:val="3"/>
  </w:num>
  <w:num w:numId="13">
    <w:abstractNumId w:val="33"/>
  </w:num>
  <w:num w:numId="14">
    <w:abstractNumId w:val="40"/>
  </w:num>
  <w:num w:numId="15">
    <w:abstractNumId w:val="38"/>
  </w:num>
  <w:num w:numId="16">
    <w:abstractNumId w:val="18"/>
  </w:num>
  <w:num w:numId="17">
    <w:abstractNumId w:val="14"/>
  </w:num>
  <w:num w:numId="18">
    <w:abstractNumId w:val="7"/>
  </w:num>
  <w:num w:numId="19">
    <w:abstractNumId w:val="19"/>
  </w:num>
  <w:num w:numId="20">
    <w:abstractNumId w:val="36"/>
  </w:num>
  <w:num w:numId="21">
    <w:abstractNumId w:val="17"/>
  </w:num>
  <w:num w:numId="22">
    <w:abstractNumId w:val="11"/>
  </w:num>
  <w:num w:numId="23">
    <w:abstractNumId w:val="10"/>
  </w:num>
  <w:num w:numId="24">
    <w:abstractNumId w:val="49"/>
  </w:num>
  <w:num w:numId="25">
    <w:abstractNumId w:val="16"/>
  </w:num>
  <w:num w:numId="26">
    <w:abstractNumId w:val="20"/>
  </w:num>
  <w:num w:numId="27">
    <w:abstractNumId w:val="4"/>
  </w:num>
  <w:num w:numId="28">
    <w:abstractNumId w:val="12"/>
  </w:num>
  <w:num w:numId="29">
    <w:abstractNumId w:val="15"/>
  </w:num>
  <w:num w:numId="30">
    <w:abstractNumId w:val="6"/>
  </w:num>
  <w:num w:numId="31">
    <w:abstractNumId w:val="21"/>
  </w:num>
  <w:num w:numId="32">
    <w:abstractNumId w:val="45"/>
  </w:num>
  <w:num w:numId="33">
    <w:abstractNumId w:val="23"/>
  </w:num>
  <w:num w:numId="34">
    <w:abstractNumId w:val="30"/>
  </w:num>
  <w:num w:numId="35">
    <w:abstractNumId w:val="26"/>
  </w:num>
  <w:num w:numId="36">
    <w:abstractNumId w:val="48"/>
  </w:num>
  <w:num w:numId="37">
    <w:abstractNumId w:val="47"/>
  </w:num>
  <w:num w:numId="38">
    <w:abstractNumId w:val="43"/>
  </w:num>
  <w:num w:numId="39">
    <w:abstractNumId w:val="9"/>
  </w:num>
  <w:num w:numId="40">
    <w:abstractNumId w:val="24"/>
  </w:num>
  <w:num w:numId="41">
    <w:abstractNumId w:val="29"/>
  </w:num>
  <w:num w:numId="42">
    <w:abstractNumId w:val="2"/>
  </w:num>
  <w:num w:numId="43">
    <w:abstractNumId w:val="1"/>
  </w:num>
  <w:num w:numId="44">
    <w:abstractNumId w:val="22"/>
  </w:num>
  <w:num w:numId="45">
    <w:abstractNumId w:val="41"/>
  </w:num>
  <w:num w:numId="46">
    <w:abstractNumId w:val="34"/>
  </w:num>
  <w:num w:numId="47">
    <w:abstractNumId w:val="13"/>
  </w:num>
  <w:num w:numId="48">
    <w:abstractNumId w:val="44"/>
  </w:num>
  <w:num w:numId="49">
    <w:abstractNumId w:val="32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3D"/>
    <w:rsid w:val="000120F5"/>
    <w:rsid w:val="000171DF"/>
    <w:rsid w:val="00023EEF"/>
    <w:rsid w:val="000267F1"/>
    <w:rsid w:val="00044B67"/>
    <w:rsid w:val="0004556E"/>
    <w:rsid w:val="000533A2"/>
    <w:rsid w:val="000570B8"/>
    <w:rsid w:val="00070385"/>
    <w:rsid w:val="00081C06"/>
    <w:rsid w:val="0008691F"/>
    <w:rsid w:val="00092BAB"/>
    <w:rsid w:val="000A11B7"/>
    <w:rsid w:val="000B6FBF"/>
    <w:rsid w:val="000D108E"/>
    <w:rsid w:val="000E383B"/>
    <w:rsid w:val="000E3C31"/>
    <w:rsid w:val="000E4C49"/>
    <w:rsid w:val="000E5B4E"/>
    <w:rsid w:val="000F1168"/>
    <w:rsid w:val="000F25A5"/>
    <w:rsid w:val="000F4878"/>
    <w:rsid w:val="00100D56"/>
    <w:rsid w:val="00105451"/>
    <w:rsid w:val="001054C7"/>
    <w:rsid w:val="00110817"/>
    <w:rsid w:val="00115561"/>
    <w:rsid w:val="00120F60"/>
    <w:rsid w:val="0012324D"/>
    <w:rsid w:val="0013203E"/>
    <w:rsid w:val="00134D44"/>
    <w:rsid w:val="00135BED"/>
    <w:rsid w:val="00150994"/>
    <w:rsid w:val="00157713"/>
    <w:rsid w:val="0016073E"/>
    <w:rsid w:val="00162733"/>
    <w:rsid w:val="00170B3A"/>
    <w:rsid w:val="0017604D"/>
    <w:rsid w:val="001814BB"/>
    <w:rsid w:val="001832CF"/>
    <w:rsid w:val="001834D8"/>
    <w:rsid w:val="0018769E"/>
    <w:rsid w:val="00187D81"/>
    <w:rsid w:val="00190681"/>
    <w:rsid w:val="00190F13"/>
    <w:rsid w:val="001A210E"/>
    <w:rsid w:val="001A299B"/>
    <w:rsid w:val="001A2C69"/>
    <w:rsid w:val="001B12CE"/>
    <w:rsid w:val="001B1769"/>
    <w:rsid w:val="001D2BDB"/>
    <w:rsid w:val="001E05D3"/>
    <w:rsid w:val="001F0C0B"/>
    <w:rsid w:val="001F1C6C"/>
    <w:rsid w:val="001F5891"/>
    <w:rsid w:val="00200347"/>
    <w:rsid w:val="00206509"/>
    <w:rsid w:val="0021158F"/>
    <w:rsid w:val="002135E4"/>
    <w:rsid w:val="002204A9"/>
    <w:rsid w:val="00221961"/>
    <w:rsid w:val="00225347"/>
    <w:rsid w:val="00231C4D"/>
    <w:rsid w:val="00235774"/>
    <w:rsid w:val="002378A4"/>
    <w:rsid w:val="002571F5"/>
    <w:rsid w:val="002625FD"/>
    <w:rsid w:val="0026403F"/>
    <w:rsid w:val="00266A19"/>
    <w:rsid w:val="00271108"/>
    <w:rsid w:val="00281DEE"/>
    <w:rsid w:val="00285849"/>
    <w:rsid w:val="00286FC8"/>
    <w:rsid w:val="00293883"/>
    <w:rsid w:val="002A44E5"/>
    <w:rsid w:val="002A53A4"/>
    <w:rsid w:val="002B7A3B"/>
    <w:rsid w:val="002C2F7F"/>
    <w:rsid w:val="002C69AE"/>
    <w:rsid w:val="002D0394"/>
    <w:rsid w:val="002D1BCC"/>
    <w:rsid w:val="002E3C3F"/>
    <w:rsid w:val="002E4030"/>
    <w:rsid w:val="002F5154"/>
    <w:rsid w:val="002F5E85"/>
    <w:rsid w:val="002F7A23"/>
    <w:rsid w:val="003045B6"/>
    <w:rsid w:val="00312D30"/>
    <w:rsid w:val="003216D2"/>
    <w:rsid w:val="003224A3"/>
    <w:rsid w:val="0034564F"/>
    <w:rsid w:val="00345CDA"/>
    <w:rsid w:val="00345EC7"/>
    <w:rsid w:val="003546EA"/>
    <w:rsid w:val="0036446D"/>
    <w:rsid w:val="00366646"/>
    <w:rsid w:val="0037423B"/>
    <w:rsid w:val="0038132B"/>
    <w:rsid w:val="003840D6"/>
    <w:rsid w:val="00392B96"/>
    <w:rsid w:val="003A08C3"/>
    <w:rsid w:val="003A0D93"/>
    <w:rsid w:val="003A32BA"/>
    <w:rsid w:val="003A68D7"/>
    <w:rsid w:val="003B00E0"/>
    <w:rsid w:val="003B0427"/>
    <w:rsid w:val="003B1E99"/>
    <w:rsid w:val="003C05FC"/>
    <w:rsid w:val="003C79E1"/>
    <w:rsid w:val="003D2D40"/>
    <w:rsid w:val="003E4ACF"/>
    <w:rsid w:val="003E7CB1"/>
    <w:rsid w:val="003F201F"/>
    <w:rsid w:val="003F3955"/>
    <w:rsid w:val="00416F59"/>
    <w:rsid w:val="004217C9"/>
    <w:rsid w:val="004235DC"/>
    <w:rsid w:val="0042419B"/>
    <w:rsid w:val="0043167D"/>
    <w:rsid w:val="0043547D"/>
    <w:rsid w:val="00436EA0"/>
    <w:rsid w:val="00444E30"/>
    <w:rsid w:val="00445E44"/>
    <w:rsid w:val="00465FD5"/>
    <w:rsid w:val="00474921"/>
    <w:rsid w:val="004754DA"/>
    <w:rsid w:val="00481024"/>
    <w:rsid w:val="004876DF"/>
    <w:rsid w:val="00487999"/>
    <w:rsid w:val="00491BD3"/>
    <w:rsid w:val="00495FC7"/>
    <w:rsid w:val="0049696C"/>
    <w:rsid w:val="004A2B73"/>
    <w:rsid w:val="004B4744"/>
    <w:rsid w:val="004D1396"/>
    <w:rsid w:val="004D6A94"/>
    <w:rsid w:val="004E3DD1"/>
    <w:rsid w:val="004F02A9"/>
    <w:rsid w:val="004F1FDD"/>
    <w:rsid w:val="004F255A"/>
    <w:rsid w:val="004F63C0"/>
    <w:rsid w:val="0052442B"/>
    <w:rsid w:val="0052777C"/>
    <w:rsid w:val="00551215"/>
    <w:rsid w:val="005623EE"/>
    <w:rsid w:val="00571389"/>
    <w:rsid w:val="00574434"/>
    <w:rsid w:val="0057597C"/>
    <w:rsid w:val="005B29FF"/>
    <w:rsid w:val="005B2CAF"/>
    <w:rsid w:val="005C1FF8"/>
    <w:rsid w:val="005C4FCA"/>
    <w:rsid w:val="005C5A15"/>
    <w:rsid w:val="005D7AE1"/>
    <w:rsid w:val="005E211C"/>
    <w:rsid w:val="005E5165"/>
    <w:rsid w:val="005E523D"/>
    <w:rsid w:val="005F2465"/>
    <w:rsid w:val="005F3110"/>
    <w:rsid w:val="00604971"/>
    <w:rsid w:val="00606A10"/>
    <w:rsid w:val="006076BC"/>
    <w:rsid w:val="00607E64"/>
    <w:rsid w:val="00610D70"/>
    <w:rsid w:val="006220D8"/>
    <w:rsid w:val="00625BE5"/>
    <w:rsid w:val="00635257"/>
    <w:rsid w:val="00636DA1"/>
    <w:rsid w:val="00654AFF"/>
    <w:rsid w:val="00666BDD"/>
    <w:rsid w:val="006738EE"/>
    <w:rsid w:val="0067746C"/>
    <w:rsid w:val="00677F19"/>
    <w:rsid w:val="006919B2"/>
    <w:rsid w:val="006C099A"/>
    <w:rsid w:val="006C0A99"/>
    <w:rsid w:val="006C43EB"/>
    <w:rsid w:val="006E6B45"/>
    <w:rsid w:val="006F18E3"/>
    <w:rsid w:val="006F4261"/>
    <w:rsid w:val="007009F7"/>
    <w:rsid w:val="007042F1"/>
    <w:rsid w:val="00704528"/>
    <w:rsid w:val="00710BF7"/>
    <w:rsid w:val="00713FB0"/>
    <w:rsid w:val="00720542"/>
    <w:rsid w:val="0072179F"/>
    <w:rsid w:val="00725C68"/>
    <w:rsid w:val="00730AAD"/>
    <w:rsid w:val="00742EE4"/>
    <w:rsid w:val="0074650F"/>
    <w:rsid w:val="00761258"/>
    <w:rsid w:val="00762D08"/>
    <w:rsid w:val="0077669D"/>
    <w:rsid w:val="00782E92"/>
    <w:rsid w:val="007832EF"/>
    <w:rsid w:val="007868E6"/>
    <w:rsid w:val="00794642"/>
    <w:rsid w:val="007A1BB9"/>
    <w:rsid w:val="007C7027"/>
    <w:rsid w:val="007D5628"/>
    <w:rsid w:val="007E5A53"/>
    <w:rsid w:val="007F51B9"/>
    <w:rsid w:val="008121C7"/>
    <w:rsid w:val="00820768"/>
    <w:rsid w:val="00821A2B"/>
    <w:rsid w:val="00822202"/>
    <w:rsid w:val="008247F3"/>
    <w:rsid w:val="0082773D"/>
    <w:rsid w:val="00837A6D"/>
    <w:rsid w:val="00842AA0"/>
    <w:rsid w:val="008443A3"/>
    <w:rsid w:val="00844C9D"/>
    <w:rsid w:val="00852100"/>
    <w:rsid w:val="00853BBC"/>
    <w:rsid w:val="008543E8"/>
    <w:rsid w:val="0086444F"/>
    <w:rsid w:val="00864A71"/>
    <w:rsid w:val="00867A38"/>
    <w:rsid w:val="00871F75"/>
    <w:rsid w:val="00873CB6"/>
    <w:rsid w:val="0087568A"/>
    <w:rsid w:val="0089559D"/>
    <w:rsid w:val="00896315"/>
    <w:rsid w:val="008A2CDB"/>
    <w:rsid w:val="008A6362"/>
    <w:rsid w:val="008B5E62"/>
    <w:rsid w:val="008D1487"/>
    <w:rsid w:val="008D53EC"/>
    <w:rsid w:val="008D5AFC"/>
    <w:rsid w:val="008D7413"/>
    <w:rsid w:val="008E5ABB"/>
    <w:rsid w:val="008E6F24"/>
    <w:rsid w:val="008E7A0F"/>
    <w:rsid w:val="00900D28"/>
    <w:rsid w:val="00900F69"/>
    <w:rsid w:val="00911B9B"/>
    <w:rsid w:val="00916CCF"/>
    <w:rsid w:val="0093382A"/>
    <w:rsid w:val="00942C70"/>
    <w:rsid w:val="00952336"/>
    <w:rsid w:val="00977DA5"/>
    <w:rsid w:val="00984E46"/>
    <w:rsid w:val="00995D31"/>
    <w:rsid w:val="009A3AE5"/>
    <w:rsid w:val="009B25B1"/>
    <w:rsid w:val="009B680A"/>
    <w:rsid w:val="009C05FA"/>
    <w:rsid w:val="009C5D88"/>
    <w:rsid w:val="009C6354"/>
    <w:rsid w:val="009C744D"/>
    <w:rsid w:val="009D1B00"/>
    <w:rsid w:val="009E042C"/>
    <w:rsid w:val="009E15BB"/>
    <w:rsid w:val="009E5E7C"/>
    <w:rsid w:val="009E7E0B"/>
    <w:rsid w:val="009F487F"/>
    <w:rsid w:val="009F5B01"/>
    <w:rsid w:val="00A01705"/>
    <w:rsid w:val="00A045E0"/>
    <w:rsid w:val="00A31DC3"/>
    <w:rsid w:val="00A6036E"/>
    <w:rsid w:val="00A613DC"/>
    <w:rsid w:val="00A63797"/>
    <w:rsid w:val="00A6391E"/>
    <w:rsid w:val="00A63BAF"/>
    <w:rsid w:val="00A7042D"/>
    <w:rsid w:val="00A740D2"/>
    <w:rsid w:val="00A82944"/>
    <w:rsid w:val="00A8637B"/>
    <w:rsid w:val="00A9092B"/>
    <w:rsid w:val="00A90ECE"/>
    <w:rsid w:val="00AA2465"/>
    <w:rsid w:val="00AA5D5B"/>
    <w:rsid w:val="00AB7923"/>
    <w:rsid w:val="00AB7CAB"/>
    <w:rsid w:val="00AC5B33"/>
    <w:rsid w:val="00AD0CA6"/>
    <w:rsid w:val="00AD1D47"/>
    <w:rsid w:val="00AF0F93"/>
    <w:rsid w:val="00B014BE"/>
    <w:rsid w:val="00B07C16"/>
    <w:rsid w:val="00B109FA"/>
    <w:rsid w:val="00B26AD1"/>
    <w:rsid w:val="00B34D5D"/>
    <w:rsid w:val="00B40303"/>
    <w:rsid w:val="00B440F6"/>
    <w:rsid w:val="00B50CCD"/>
    <w:rsid w:val="00B527D9"/>
    <w:rsid w:val="00B539D0"/>
    <w:rsid w:val="00B604C0"/>
    <w:rsid w:val="00B624A2"/>
    <w:rsid w:val="00B654E2"/>
    <w:rsid w:val="00B70F44"/>
    <w:rsid w:val="00B76A21"/>
    <w:rsid w:val="00B827A2"/>
    <w:rsid w:val="00B83E22"/>
    <w:rsid w:val="00B85C21"/>
    <w:rsid w:val="00BB1A74"/>
    <w:rsid w:val="00BD096A"/>
    <w:rsid w:val="00BD3243"/>
    <w:rsid w:val="00C1478E"/>
    <w:rsid w:val="00C17270"/>
    <w:rsid w:val="00C218C9"/>
    <w:rsid w:val="00C33E6D"/>
    <w:rsid w:val="00C37CD3"/>
    <w:rsid w:val="00C40ECE"/>
    <w:rsid w:val="00C412AA"/>
    <w:rsid w:val="00C428BE"/>
    <w:rsid w:val="00C4666C"/>
    <w:rsid w:val="00C47CE0"/>
    <w:rsid w:val="00C5337C"/>
    <w:rsid w:val="00C673FA"/>
    <w:rsid w:val="00C85DB1"/>
    <w:rsid w:val="00C868D9"/>
    <w:rsid w:val="00C87543"/>
    <w:rsid w:val="00C87E8B"/>
    <w:rsid w:val="00C9287E"/>
    <w:rsid w:val="00C97647"/>
    <w:rsid w:val="00CA05C4"/>
    <w:rsid w:val="00CE10FA"/>
    <w:rsid w:val="00CF1CD6"/>
    <w:rsid w:val="00CF2B84"/>
    <w:rsid w:val="00CF4623"/>
    <w:rsid w:val="00D01CF9"/>
    <w:rsid w:val="00D21EE6"/>
    <w:rsid w:val="00D2453C"/>
    <w:rsid w:val="00D25490"/>
    <w:rsid w:val="00D31BB2"/>
    <w:rsid w:val="00D45856"/>
    <w:rsid w:val="00D608B6"/>
    <w:rsid w:val="00D618D9"/>
    <w:rsid w:val="00D63FC8"/>
    <w:rsid w:val="00D64C4A"/>
    <w:rsid w:val="00D67A09"/>
    <w:rsid w:val="00D95C52"/>
    <w:rsid w:val="00D961A3"/>
    <w:rsid w:val="00DA24BB"/>
    <w:rsid w:val="00DA4FA1"/>
    <w:rsid w:val="00DA511D"/>
    <w:rsid w:val="00DB03E8"/>
    <w:rsid w:val="00DB2AC1"/>
    <w:rsid w:val="00DB4F42"/>
    <w:rsid w:val="00DC1E28"/>
    <w:rsid w:val="00DC4CA8"/>
    <w:rsid w:val="00DD47F3"/>
    <w:rsid w:val="00DE4309"/>
    <w:rsid w:val="00DE79FA"/>
    <w:rsid w:val="00DF386B"/>
    <w:rsid w:val="00E053A5"/>
    <w:rsid w:val="00E35926"/>
    <w:rsid w:val="00E45826"/>
    <w:rsid w:val="00E503BC"/>
    <w:rsid w:val="00E643C6"/>
    <w:rsid w:val="00E64CB1"/>
    <w:rsid w:val="00E759C3"/>
    <w:rsid w:val="00E9674E"/>
    <w:rsid w:val="00EA2EB1"/>
    <w:rsid w:val="00EB42AC"/>
    <w:rsid w:val="00EB7E5F"/>
    <w:rsid w:val="00EC14CB"/>
    <w:rsid w:val="00EC422F"/>
    <w:rsid w:val="00ED2654"/>
    <w:rsid w:val="00EE3DFB"/>
    <w:rsid w:val="00EF2CE8"/>
    <w:rsid w:val="00F00CD8"/>
    <w:rsid w:val="00F0208A"/>
    <w:rsid w:val="00F21389"/>
    <w:rsid w:val="00F37674"/>
    <w:rsid w:val="00F4515F"/>
    <w:rsid w:val="00F468E2"/>
    <w:rsid w:val="00F63635"/>
    <w:rsid w:val="00F65A25"/>
    <w:rsid w:val="00F83FA0"/>
    <w:rsid w:val="00F84020"/>
    <w:rsid w:val="00F935EA"/>
    <w:rsid w:val="00F960FE"/>
    <w:rsid w:val="00FB0144"/>
    <w:rsid w:val="00FB1ECD"/>
    <w:rsid w:val="00FB1FB4"/>
    <w:rsid w:val="00FC0CE9"/>
    <w:rsid w:val="00FD082A"/>
    <w:rsid w:val="00FD380C"/>
    <w:rsid w:val="00FE20AD"/>
    <w:rsid w:val="00FE2D5E"/>
    <w:rsid w:val="00FE52BE"/>
    <w:rsid w:val="00FE554B"/>
    <w:rsid w:val="00FE640F"/>
    <w:rsid w:val="00FF399A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1B00"/>
    <w:pPr>
      <w:jc w:val="both"/>
    </w:pPr>
    <w:rPr>
      <w:rFonts w:ascii="Calibri" w:hAnsi="Calibri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7568A"/>
    <w:pPr>
      <w:keepNext/>
      <w:pBdr>
        <w:bottom w:val="single" w:sz="4" w:space="1" w:color="1F497D"/>
      </w:pBdr>
      <w:tabs>
        <w:tab w:val="left" w:pos="3804"/>
      </w:tabs>
      <w:spacing w:before="240" w:after="60"/>
      <w:outlineLvl w:val="0"/>
    </w:pPr>
    <w:rPr>
      <w:b/>
      <w:bCs/>
      <w:color w:val="1F497D"/>
      <w:kern w:val="28"/>
      <w:sz w:val="32"/>
      <w:szCs w:val="32"/>
    </w:rPr>
  </w:style>
  <w:style w:type="paragraph" w:styleId="Heading2">
    <w:name w:val="heading 2"/>
    <w:basedOn w:val="Normal"/>
    <w:next w:val="Normal"/>
    <w:qFormat/>
    <w:rsid w:val="00742EE4"/>
    <w:pPr>
      <w:keepNext/>
      <w:pBdr>
        <w:bottom w:val="single" w:sz="4" w:space="1" w:color="4F81BD"/>
      </w:pBdr>
      <w:spacing w:before="240" w:after="60"/>
      <w:outlineLvl w:val="1"/>
    </w:pPr>
    <w:rPr>
      <w:b/>
      <w:bCs/>
      <w:i/>
      <w:iCs/>
      <w:color w:val="4F81BD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5999"/>
    <w:pPr>
      <w:keepNext/>
      <w:spacing w:before="240" w:after="60"/>
      <w:outlineLvl w:val="2"/>
    </w:pPr>
    <w:rPr>
      <w:b/>
      <w:bCs/>
      <w:szCs w:val="26"/>
    </w:rPr>
  </w:style>
  <w:style w:type="paragraph" w:styleId="Heading5">
    <w:name w:val="heading 5"/>
    <w:basedOn w:val="Normal"/>
    <w:next w:val="Normal"/>
    <w:qFormat/>
    <w:rsid w:val="005E523D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E523D"/>
    <w:pPr>
      <w:keepNext/>
      <w:pBdr>
        <w:top w:val="single" w:sz="4" w:space="1" w:color="auto"/>
        <w:bottom w:val="single" w:sz="4" w:space="1" w:color="auto"/>
      </w:pBdr>
      <w:ind w:right="49"/>
      <w:jc w:val="center"/>
    </w:pPr>
    <w:rPr>
      <w:b/>
      <w:bCs/>
      <w:sz w:val="20"/>
      <w:szCs w:val="20"/>
    </w:rPr>
  </w:style>
  <w:style w:type="paragraph" w:customStyle="1" w:styleId="tx1">
    <w:name w:val="tx1"/>
    <w:basedOn w:val="Normal"/>
    <w:rsid w:val="005E523D"/>
    <w:rPr>
      <w:rFonts w:cs="Tahoma"/>
      <w:szCs w:val="20"/>
      <w:lang w:eastAsia="pt-BR"/>
    </w:rPr>
  </w:style>
  <w:style w:type="paragraph" w:styleId="FootnoteText">
    <w:name w:val="footnote text"/>
    <w:basedOn w:val="Normal"/>
    <w:semiHidden/>
    <w:rsid w:val="005E523D"/>
    <w:rPr>
      <w:sz w:val="16"/>
      <w:szCs w:val="20"/>
      <w:lang w:eastAsia="pt-BR"/>
    </w:rPr>
  </w:style>
  <w:style w:type="character" w:styleId="FootnoteReference">
    <w:name w:val="footnote reference"/>
    <w:basedOn w:val="DefaultParagraphFont"/>
    <w:semiHidden/>
    <w:rsid w:val="005E523D"/>
    <w:rPr>
      <w:rFonts w:cs="Times New Roman"/>
      <w:vertAlign w:val="superscript"/>
    </w:rPr>
  </w:style>
  <w:style w:type="paragraph" w:customStyle="1" w:styleId="bol1">
    <w:name w:val="bol_1"/>
    <w:basedOn w:val="tx1"/>
    <w:rsid w:val="005E523D"/>
    <w:pPr>
      <w:ind w:left="850" w:hanging="283"/>
    </w:pPr>
    <w:rPr>
      <w:rFonts w:cs="Times New Roman"/>
      <w:noProof/>
      <w:szCs w:val="22"/>
    </w:rPr>
  </w:style>
  <w:style w:type="paragraph" w:customStyle="1" w:styleId="listaquadradinho">
    <w:name w:val="lista_quadradinho"/>
    <w:basedOn w:val="Normal"/>
    <w:rsid w:val="005E523D"/>
    <w:pPr>
      <w:tabs>
        <w:tab w:val="num" w:pos="1134"/>
      </w:tabs>
      <w:spacing w:before="60" w:after="60"/>
      <w:ind w:left="1134" w:hanging="425"/>
    </w:pPr>
    <w:rPr>
      <w:rFonts w:ascii="Arial" w:hAnsi="Arial"/>
      <w:szCs w:val="20"/>
      <w:lang w:eastAsia="pt-BR"/>
    </w:rPr>
  </w:style>
  <w:style w:type="paragraph" w:customStyle="1" w:styleId="bol2">
    <w:name w:val="bol_2"/>
    <w:basedOn w:val="bol1"/>
    <w:rsid w:val="005E523D"/>
    <w:pPr>
      <w:spacing w:before="60" w:after="60"/>
      <w:ind w:left="993" w:hanging="284"/>
    </w:pPr>
    <w:rPr>
      <w:rFonts w:cs="Arial"/>
      <w:b/>
    </w:rPr>
  </w:style>
  <w:style w:type="paragraph" w:customStyle="1" w:styleId="PargrafodaLista1">
    <w:name w:val="Parágrafo da Lista1"/>
    <w:basedOn w:val="Normal"/>
    <w:rsid w:val="005E523D"/>
    <w:pPr>
      <w:ind w:left="708"/>
    </w:pPr>
  </w:style>
  <w:style w:type="paragraph" w:styleId="ListBullet3">
    <w:name w:val="List Bullet 3"/>
    <w:basedOn w:val="Normal"/>
    <w:autoRedefine/>
    <w:rsid w:val="005E523D"/>
    <w:pPr>
      <w:numPr>
        <w:numId w:val="1"/>
      </w:numPr>
    </w:pPr>
    <w:rPr>
      <w:rFonts w:ascii="Times New Roman" w:hAnsi="Times New Roman"/>
      <w:sz w:val="20"/>
      <w:szCs w:val="20"/>
      <w:lang w:eastAsia="pt-BR"/>
    </w:rPr>
  </w:style>
  <w:style w:type="paragraph" w:styleId="TOC1">
    <w:name w:val="toc 1"/>
    <w:basedOn w:val="Normal"/>
    <w:next w:val="Normal"/>
    <w:autoRedefine/>
    <w:uiPriority w:val="39"/>
    <w:rsid w:val="0017604D"/>
    <w:pPr>
      <w:tabs>
        <w:tab w:val="right" w:leader="dot" w:pos="9017"/>
      </w:tabs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5E5165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5E5165"/>
    <w:pPr>
      <w:ind w:left="440"/>
    </w:pPr>
  </w:style>
  <w:style w:type="character" w:styleId="Hyperlink">
    <w:name w:val="Hyperlink"/>
    <w:basedOn w:val="DefaultParagraphFont"/>
    <w:uiPriority w:val="99"/>
    <w:rsid w:val="005E5165"/>
    <w:rPr>
      <w:color w:val="0000FF"/>
      <w:u w:val="single"/>
    </w:rPr>
  </w:style>
  <w:style w:type="paragraph" w:styleId="Header">
    <w:name w:val="header"/>
    <w:basedOn w:val="Normal"/>
    <w:link w:val="HeaderChar"/>
    <w:rsid w:val="002A44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2A44E5"/>
    <w:rPr>
      <w:rFonts w:ascii="Book Antiqua" w:hAnsi="Book Antiqua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A44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2A44E5"/>
    <w:rPr>
      <w:rFonts w:ascii="Book Antiqua" w:hAnsi="Book Antiqua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2A44E5"/>
    <w:rPr>
      <w:rFonts w:cs="Times New Roman"/>
    </w:rPr>
  </w:style>
  <w:style w:type="paragraph" w:styleId="BalloonText">
    <w:name w:val="Balloon Text"/>
    <w:basedOn w:val="Normal"/>
    <w:link w:val="BalloonTextChar"/>
    <w:rsid w:val="00700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9F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A5D5B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customStyle="1" w:styleId="Heading3Char">
    <w:name w:val="Heading 3 Char"/>
    <w:basedOn w:val="DefaultParagraphFont"/>
    <w:link w:val="Heading3"/>
    <w:rsid w:val="00FF5999"/>
    <w:rPr>
      <w:rFonts w:ascii="Calibri" w:hAnsi="Calibri" w:cs="Arial"/>
      <w:b/>
      <w:bCs/>
      <w:sz w:val="24"/>
      <w:szCs w:val="26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53BBC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853BBC"/>
    <w:rPr>
      <w:rFonts w:ascii="Book Antiqua" w:hAnsi="Book Antiqua"/>
      <w:i/>
      <w:iCs/>
      <w:color w:val="000000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qFormat/>
    <w:rsid w:val="00231C4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31C4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231C4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231C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Infogrfico">
    <w:name w:val="Infográfico"/>
    <w:basedOn w:val="ListParagraph"/>
    <w:link w:val="InfogrficoChar"/>
    <w:qFormat/>
    <w:rsid w:val="001A2C69"/>
    <w:pPr>
      <w:ind w:left="0"/>
      <w:jc w:val="left"/>
    </w:pPr>
    <w:rPr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158F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InfogrficoChar">
    <w:name w:val="Infográfico Char"/>
    <w:basedOn w:val="ListParagraphChar"/>
    <w:link w:val="Infogrfico"/>
    <w:rsid w:val="001A2C69"/>
    <w:rPr>
      <w:rFonts w:ascii="Calibri" w:eastAsia="Calibri" w:hAnsi="Calibri" w:cs="Times New Roman"/>
      <w:sz w:val="16"/>
      <w:szCs w:val="24"/>
      <w:lang w:eastAsia="en-US"/>
    </w:rPr>
  </w:style>
  <w:style w:type="paragraph" w:styleId="Revision">
    <w:name w:val="Revision"/>
    <w:hidden/>
    <w:uiPriority w:val="99"/>
    <w:semiHidden/>
    <w:rsid w:val="008E6F24"/>
    <w:rPr>
      <w:rFonts w:ascii="Calibri" w:hAnsi="Calibri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D61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8D9"/>
    <w:pPr>
      <w:spacing w:after="20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18D9"/>
    <w:rPr>
      <w:rFonts w:asciiTheme="minorHAnsi" w:eastAsiaTheme="minorHAnsi" w:hAnsiTheme="minorHAnsi" w:cstheme="minorBidi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DA5"/>
    <w:pPr>
      <w:keepLines/>
      <w:pBdr>
        <w:bottom w:val="none" w:sz="0" w:space="0" w:color="auto"/>
      </w:pBdr>
      <w:tabs>
        <w:tab w:val="clear" w:pos="3804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1B00"/>
    <w:pPr>
      <w:jc w:val="both"/>
    </w:pPr>
    <w:rPr>
      <w:rFonts w:ascii="Calibri" w:hAnsi="Calibri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7568A"/>
    <w:pPr>
      <w:keepNext/>
      <w:pBdr>
        <w:bottom w:val="single" w:sz="4" w:space="1" w:color="1F497D"/>
      </w:pBdr>
      <w:tabs>
        <w:tab w:val="left" w:pos="3804"/>
      </w:tabs>
      <w:spacing w:before="240" w:after="60"/>
      <w:outlineLvl w:val="0"/>
    </w:pPr>
    <w:rPr>
      <w:b/>
      <w:bCs/>
      <w:color w:val="1F497D"/>
      <w:kern w:val="28"/>
      <w:sz w:val="32"/>
      <w:szCs w:val="32"/>
    </w:rPr>
  </w:style>
  <w:style w:type="paragraph" w:styleId="Heading2">
    <w:name w:val="heading 2"/>
    <w:basedOn w:val="Normal"/>
    <w:next w:val="Normal"/>
    <w:qFormat/>
    <w:rsid w:val="00742EE4"/>
    <w:pPr>
      <w:keepNext/>
      <w:pBdr>
        <w:bottom w:val="single" w:sz="4" w:space="1" w:color="4F81BD"/>
      </w:pBdr>
      <w:spacing w:before="240" w:after="60"/>
      <w:outlineLvl w:val="1"/>
    </w:pPr>
    <w:rPr>
      <w:b/>
      <w:bCs/>
      <w:i/>
      <w:iCs/>
      <w:color w:val="4F81BD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5999"/>
    <w:pPr>
      <w:keepNext/>
      <w:spacing w:before="240" w:after="60"/>
      <w:outlineLvl w:val="2"/>
    </w:pPr>
    <w:rPr>
      <w:b/>
      <w:bCs/>
      <w:szCs w:val="26"/>
    </w:rPr>
  </w:style>
  <w:style w:type="paragraph" w:styleId="Heading5">
    <w:name w:val="heading 5"/>
    <w:basedOn w:val="Normal"/>
    <w:next w:val="Normal"/>
    <w:qFormat/>
    <w:rsid w:val="005E523D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E523D"/>
    <w:pPr>
      <w:keepNext/>
      <w:pBdr>
        <w:top w:val="single" w:sz="4" w:space="1" w:color="auto"/>
        <w:bottom w:val="single" w:sz="4" w:space="1" w:color="auto"/>
      </w:pBdr>
      <w:ind w:right="49"/>
      <w:jc w:val="center"/>
    </w:pPr>
    <w:rPr>
      <w:b/>
      <w:bCs/>
      <w:sz w:val="20"/>
      <w:szCs w:val="20"/>
    </w:rPr>
  </w:style>
  <w:style w:type="paragraph" w:customStyle="1" w:styleId="tx1">
    <w:name w:val="tx1"/>
    <w:basedOn w:val="Normal"/>
    <w:rsid w:val="005E523D"/>
    <w:rPr>
      <w:rFonts w:cs="Tahoma"/>
      <w:szCs w:val="20"/>
      <w:lang w:eastAsia="pt-BR"/>
    </w:rPr>
  </w:style>
  <w:style w:type="paragraph" w:styleId="FootnoteText">
    <w:name w:val="footnote text"/>
    <w:basedOn w:val="Normal"/>
    <w:semiHidden/>
    <w:rsid w:val="005E523D"/>
    <w:rPr>
      <w:sz w:val="16"/>
      <w:szCs w:val="20"/>
      <w:lang w:eastAsia="pt-BR"/>
    </w:rPr>
  </w:style>
  <w:style w:type="character" w:styleId="FootnoteReference">
    <w:name w:val="footnote reference"/>
    <w:basedOn w:val="DefaultParagraphFont"/>
    <w:semiHidden/>
    <w:rsid w:val="005E523D"/>
    <w:rPr>
      <w:rFonts w:cs="Times New Roman"/>
      <w:vertAlign w:val="superscript"/>
    </w:rPr>
  </w:style>
  <w:style w:type="paragraph" w:customStyle="1" w:styleId="bol1">
    <w:name w:val="bol_1"/>
    <w:basedOn w:val="tx1"/>
    <w:rsid w:val="005E523D"/>
    <w:pPr>
      <w:ind w:left="850" w:hanging="283"/>
    </w:pPr>
    <w:rPr>
      <w:rFonts w:cs="Times New Roman"/>
      <w:noProof/>
      <w:szCs w:val="22"/>
    </w:rPr>
  </w:style>
  <w:style w:type="paragraph" w:customStyle="1" w:styleId="listaquadradinho">
    <w:name w:val="lista_quadradinho"/>
    <w:basedOn w:val="Normal"/>
    <w:rsid w:val="005E523D"/>
    <w:pPr>
      <w:tabs>
        <w:tab w:val="num" w:pos="1134"/>
      </w:tabs>
      <w:spacing w:before="60" w:after="60"/>
      <w:ind w:left="1134" w:hanging="425"/>
    </w:pPr>
    <w:rPr>
      <w:rFonts w:ascii="Arial" w:hAnsi="Arial"/>
      <w:szCs w:val="20"/>
      <w:lang w:eastAsia="pt-BR"/>
    </w:rPr>
  </w:style>
  <w:style w:type="paragraph" w:customStyle="1" w:styleId="bol2">
    <w:name w:val="bol_2"/>
    <w:basedOn w:val="bol1"/>
    <w:rsid w:val="005E523D"/>
    <w:pPr>
      <w:spacing w:before="60" w:after="60"/>
      <w:ind w:left="993" w:hanging="284"/>
    </w:pPr>
    <w:rPr>
      <w:rFonts w:cs="Arial"/>
      <w:b/>
    </w:rPr>
  </w:style>
  <w:style w:type="paragraph" w:customStyle="1" w:styleId="PargrafodaLista1">
    <w:name w:val="Parágrafo da Lista1"/>
    <w:basedOn w:val="Normal"/>
    <w:rsid w:val="005E523D"/>
    <w:pPr>
      <w:ind w:left="708"/>
    </w:pPr>
  </w:style>
  <w:style w:type="paragraph" w:styleId="ListBullet3">
    <w:name w:val="List Bullet 3"/>
    <w:basedOn w:val="Normal"/>
    <w:autoRedefine/>
    <w:rsid w:val="005E523D"/>
    <w:pPr>
      <w:numPr>
        <w:numId w:val="1"/>
      </w:numPr>
    </w:pPr>
    <w:rPr>
      <w:rFonts w:ascii="Times New Roman" w:hAnsi="Times New Roman"/>
      <w:sz w:val="20"/>
      <w:szCs w:val="20"/>
      <w:lang w:eastAsia="pt-BR"/>
    </w:rPr>
  </w:style>
  <w:style w:type="paragraph" w:styleId="TOC1">
    <w:name w:val="toc 1"/>
    <w:basedOn w:val="Normal"/>
    <w:next w:val="Normal"/>
    <w:autoRedefine/>
    <w:uiPriority w:val="39"/>
    <w:rsid w:val="0017604D"/>
    <w:pPr>
      <w:tabs>
        <w:tab w:val="right" w:leader="dot" w:pos="9017"/>
      </w:tabs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5E5165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5E5165"/>
    <w:pPr>
      <w:ind w:left="440"/>
    </w:pPr>
  </w:style>
  <w:style w:type="character" w:styleId="Hyperlink">
    <w:name w:val="Hyperlink"/>
    <w:basedOn w:val="DefaultParagraphFont"/>
    <w:uiPriority w:val="99"/>
    <w:rsid w:val="005E5165"/>
    <w:rPr>
      <w:color w:val="0000FF"/>
      <w:u w:val="single"/>
    </w:rPr>
  </w:style>
  <w:style w:type="paragraph" w:styleId="Header">
    <w:name w:val="header"/>
    <w:basedOn w:val="Normal"/>
    <w:link w:val="HeaderChar"/>
    <w:rsid w:val="002A44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2A44E5"/>
    <w:rPr>
      <w:rFonts w:ascii="Book Antiqua" w:hAnsi="Book Antiqua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A44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2A44E5"/>
    <w:rPr>
      <w:rFonts w:ascii="Book Antiqua" w:hAnsi="Book Antiqua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2A44E5"/>
    <w:rPr>
      <w:rFonts w:cs="Times New Roman"/>
    </w:rPr>
  </w:style>
  <w:style w:type="paragraph" w:styleId="BalloonText">
    <w:name w:val="Balloon Text"/>
    <w:basedOn w:val="Normal"/>
    <w:link w:val="BalloonTextChar"/>
    <w:rsid w:val="00700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9F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A5D5B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customStyle="1" w:styleId="Heading3Char">
    <w:name w:val="Heading 3 Char"/>
    <w:basedOn w:val="DefaultParagraphFont"/>
    <w:link w:val="Heading3"/>
    <w:rsid w:val="00FF5999"/>
    <w:rPr>
      <w:rFonts w:ascii="Calibri" w:hAnsi="Calibri" w:cs="Arial"/>
      <w:b/>
      <w:bCs/>
      <w:sz w:val="24"/>
      <w:szCs w:val="26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53BBC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853BBC"/>
    <w:rPr>
      <w:rFonts w:ascii="Book Antiqua" w:hAnsi="Book Antiqua"/>
      <w:i/>
      <w:iCs/>
      <w:color w:val="000000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qFormat/>
    <w:rsid w:val="00231C4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31C4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231C4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231C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Infogrfico">
    <w:name w:val="Infográfico"/>
    <w:basedOn w:val="ListParagraph"/>
    <w:link w:val="InfogrficoChar"/>
    <w:qFormat/>
    <w:rsid w:val="001A2C69"/>
    <w:pPr>
      <w:ind w:left="0"/>
      <w:jc w:val="left"/>
    </w:pPr>
    <w:rPr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158F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InfogrficoChar">
    <w:name w:val="Infográfico Char"/>
    <w:basedOn w:val="ListParagraphChar"/>
    <w:link w:val="Infogrfico"/>
    <w:rsid w:val="001A2C69"/>
    <w:rPr>
      <w:rFonts w:ascii="Calibri" w:eastAsia="Calibri" w:hAnsi="Calibri" w:cs="Times New Roman"/>
      <w:sz w:val="16"/>
      <w:szCs w:val="24"/>
      <w:lang w:eastAsia="en-US"/>
    </w:rPr>
  </w:style>
  <w:style w:type="paragraph" w:styleId="Revision">
    <w:name w:val="Revision"/>
    <w:hidden/>
    <w:uiPriority w:val="99"/>
    <w:semiHidden/>
    <w:rsid w:val="008E6F24"/>
    <w:rPr>
      <w:rFonts w:ascii="Calibri" w:hAnsi="Calibri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D61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8D9"/>
    <w:pPr>
      <w:spacing w:after="20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18D9"/>
    <w:rPr>
      <w:rFonts w:asciiTheme="minorHAnsi" w:eastAsiaTheme="minorHAnsi" w:hAnsiTheme="minorHAnsi" w:cstheme="minorBidi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DA5"/>
    <w:pPr>
      <w:keepLines/>
      <w:pBdr>
        <w:bottom w:val="none" w:sz="0" w:space="0" w:color="auto"/>
      </w:pBdr>
      <w:tabs>
        <w:tab w:val="clear" w:pos="3804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A550CB7BD3977429504049A47B6867C" ma:contentTypeVersion="0" ma:contentTypeDescription="A content type to manage public (operations) IDB documents" ma:contentTypeScope="" ma:versionID="152208da5a35c981a6f17bfb7e37763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38233873</IDBDocs_x0020_Number>
    <Document_x0020_Author xmlns="9c571b2f-e523-4ab2-ba2e-09e151a03ef4">Altafin, Irene Guimarães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BR-T1295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OS-ASA</Webtopic>
    <Identifier xmlns="9c571b2f-e523-4ab2-ba2e-09e151a03ef4"> TOR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B909B01D-46F1-4E04-BC5E-0ED49BBEE8FE}"/>
</file>

<file path=customXml/itemProps2.xml><?xml version="1.0" encoding="utf-8"?>
<ds:datastoreItem xmlns:ds="http://schemas.openxmlformats.org/officeDocument/2006/customXml" ds:itemID="{FCABBC58-7116-496F-A003-6EDBC112E459}"/>
</file>

<file path=customXml/itemProps3.xml><?xml version="1.0" encoding="utf-8"?>
<ds:datastoreItem xmlns:ds="http://schemas.openxmlformats.org/officeDocument/2006/customXml" ds:itemID="{7F6F5EA0-C4C6-4394-8ED9-005AA84B227B}"/>
</file>

<file path=customXml/itemProps4.xml><?xml version="1.0" encoding="utf-8"?>
<ds:datastoreItem xmlns:ds="http://schemas.openxmlformats.org/officeDocument/2006/customXml" ds:itemID="{A323B416-AE4B-4B69-9ED8-2380D58B3E2B}"/>
</file>

<file path=customXml/itemProps5.xml><?xml version="1.0" encoding="utf-8"?>
<ds:datastoreItem xmlns:ds="http://schemas.openxmlformats.org/officeDocument/2006/customXml" ds:itemID="{196195C7-BDAB-467A-9665-CEE1FBD4D99B}"/>
</file>

<file path=customXml/itemProps6.xml><?xml version="1.0" encoding="utf-8"?>
<ds:datastoreItem xmlns:ds="http://schemas.openxmlformats.org/officeDocument/2006/customXml" ds:itemID="{97B4F573-30D2-45BD-A405-F365BED6D4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3195</Words>
  <Characters>18328</Characters>
  <Application>Microsoft Office Word</Application>
  <DocSecurity>4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Bain &amp; Company, Inc.</Company>
  <LinksUpToDate>false</LinksUpToDate>
  <CharactersWithSpaces>21481</CharactersWithSpaces>
  <SharedDoc>false</SharedDoc>
  <HLinks>
    <vt:vector size="264" baseType="variant"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_Toc257127383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_Toc257127382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_Toc257127381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_Toc257127380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_Toc257127379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_Toc257127378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_Toc257127377</vt:lpwstr>
      </vt:variant>
      <vt:variant>
        <vt:i4>1245236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_Toc257127376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_Toc257127375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_Toc257127374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_Toc257127373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_Toc257127372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_Toc257127371</vt:lpwstr>
      </vt:variant>
      <vt:variant>
        <vt:i4>1245236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_Toc257127370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_Toc257127369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_Toc257127368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_Toc257127367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_Toc257127366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_Toc257127365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_Toc257127364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_Toc257127363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_Toc257127362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_Toc257127361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_Toc257127360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_Toc257127359</vt:lpwstr>
      </vt:variant>
      <vt:variant>
        <vt:i4>1114164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_Toc257127358</vt:lpwstr>
      </vt:variant>
      <vt:variant>
        <vt:i4>1114164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_Toc257127357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_Toc257127356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_Toc257127355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_Toc257127354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_Toc257127353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_Toc257127352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_Toc257127351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_Toc257127350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_Toc257127349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_Toc257127348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_Toc257127347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_Toc257127346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_Toc257127345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_Toc257127344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_Toc257127343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_Toc257127342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_Toc257127341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_Toc257127340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- TOR Estudios estructura subsidios tarifarios</dc:title>
  <dc:creator>feche.guimaraes@gmail.com</dc:creator>
  <cp:lastModifiedBy>Inter-American Development Bank</cp:lastModifiedBy>
  <cp:revision>2</cp:revision>
  <cp:lastPrinted>2010-04-13T19:15:00Z</cp:lastPrinted>
  <dcterms:created xsi:type="dcterms:W3CDTF">2013-11-27T15:02:00Z</dcterms:created>
  <dcterms:modified xsi:type="dcterms:W3CDTF">2013-11-27T15:02:00Z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0x01010046CF21643EE8D14686A648AA6DAD089200EA550CB7BD3977429504049A47B6867C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