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AD" w:rsidRPr="009D6689" w:rsidRDefault="00FA248D" w:rsidP="009D6689">
      <w:pPr>
        <w:spacing w:after="0" w:line="240" w:lineRule="auto"/>
        <w:jc w:val="center"/>
        <w:rPr>
          <w:rFonts w:ascii="Arial" w:hAnsi="Arial" w:cs="Arial"/>
          <w:b/>
          <w:u w:val="single"/>
        </w:rPr>
      </w:pPr>
      <w:r w:rsidRPr="009D6689">
        <w:rPr>
          <w:rFonts w:ascii="Arial" w:hAnsi="Arial" w:cs="Arial"/>
          <w:b/>
          <w:u w:val="single"/>
        </w:rPr>
        <w:t>Deployment of Cleaner Fuels and Renewable Energies in Barbados (BA-L1012)</w:t>
      </w:r>
    </w:p>
    <w:p w:rsidR="00FA248D" w:rsidRPr="009D6689" w:rsidRDefault="00FA248D" w:rsidP="009D6689">
      <w:pPr>
        <w:spacing w:after="0" w:line="240" w:lineRule="auto"/>
        <w:jc w:val="center"/>
        <w:rPr>
          <w:rFonts w:ascii="Arial" w:hAnsi="Arial" w:cs="Arial"/>
          <w:b/>
          <w:u w:val="single"/>
        </w:rPr>
      </w:pPr>
      <w:r w:rsidRPr="009D6689">
        <w:rPr>
          <w:rFonts w:ascii="Arial" w:hAnsi="Arial" w:cs="Arial"/>
          <w:b/>
          <w:u w:val="single"/>
        </w:rPr>
        <w:t>Gender Assessment</w:t>
      </w:r>
    </w:p>
    <w:p w:rsidR="00FA248D" w:rsidRPr="009D6689" w:rsidRDefault="00FA248D" w:rsidP="009D6689">
      <w:pPr>
        <w:jc w:val="both"/>
        <w:rPr>
          <w:rFonts w:ascii="Arial" w:hAnsi="Arial" w:cs="Arial"/>
          <w:b/>
        </w:rPr>
      </w:pPr>
    </w:p>
    <w:p w:rsidR="00FA248D" w:rsidRPr="009D6689" w:rsidRDefault="00FA248D" w:rsidP="009D6689">
      <w:pPr>
        <w:pStyle w:val="ListParagraph"/>
        <w:numPr>
          <w:ilvl w:val="0"/>
          <w:numId w:val="1"/>
        </w:numPr>
        <w:jc w:val="both"/>
        <w:rPr>
          <w:rFonts w:ascii="Arial" w:hAnsi="Arial" w:cs="Arial"/>
          <w:b/>
        </w:rPr>
      </w:pPr>
      <w:r w:rsidRPr="009D6689">
        <w:rPr>
          <w:rFonts w:ascii="Arial" w:hAnsi="Arial" w:cs="Arial"/>
          <w:b/>
        </w:rPr>
        <w:t>Context</w:t>
      </w:r>
    </w:p>
    <w:p w:rsidR="00662143" w:rsidRDefault="00662143" w:rsidP="009D6689">
      <w:pPr>
        <w:jc w:val="both"/>
        <w:rPr>
          <w:rFonts w:ascii="Arial" w:hAnsi="Arial" w:cs="Arial"/>
          <w:b/>
          <w:i/>
        </w:rPr>
      </w:pPr>
      <w:r w:rsidRPr="00662143">
        <w:rPr>
          <w:rFonts w:ascii="Arial" w:hAnsi="Arial" w:cs="Arial"/>
          <w:b/>
          <w:i/>
        </w:rPr>
        <w:t>Closing the Gender Gap</w:t>
      </w:r>
    </w:p>
    <w:p w:rsidR="004C28CB" w:rsidRPr="00662143" w:rsidRDefault="005325BF" w:rsidP="009D6689">
      <w:pPr>
        <w:jc w:val="both"/>
        <w:rPr>
          <w:rFonts w:ascii="Arial" w:hAnsi="Arial" w:cs="Arial"/>
          <w:b/>
          <w:i/>
        </w:rPr>
      </w:pPr>
      <w:r w:rsidRPr="009D6689">
        <w:rPr>
          <w:rFonts w:ascii="Arial" w:hAnsi="Arial" w:cs="Arial"/>
        </w:rPr>
        <w:t>According to the Human Development Index, Barbados has achieved a “very high” level of human development</w:t>
      </w:r>
      <w:r w:rsidR="00796113" w:rsidRPr="009D6689">
        <w:rPr>
          <w:rFonts w:ascii="Arial" w:hAnsi="Arial" w:cs="Arial"/>
        </w:rPr>
        <w:t xml:space="preserve"> which is reflected by high levels of school enrol</w:t>
      </w:r>
      <w:r w:rsidR="00306881">
        <w:rPr>
          <w:rFonts w:ascii="Arial" w:hAnsi="Arial" w:cs="Arial"/>
        </w:rPr>
        <w:t xml:space="preserve">lment, length of education, </w:t>
      </w:r>
      <w:r w:rsidR="00796113" w:rsidRPr="009D6689">
        <w:rPr>
          <w:rFonts w:ascii="Arial" w:hAnsi="Arial" w:cs="Arial"/>
        </w:rPr>
        <w:t>life expectancy and income per capita</w:t>
      </w:r>
      <w:r w:rsidR="00796113" w:rsidRPr="009D6689">
        <w:rPr>
          <w:rStyle w:val="FootnoteReference"/>
          <w:rFonts w:ascii="Arial" w:hAnsi="Arial" w:cs="Arial"/>
        </w:rPr>
        <w:footnoteReference w:id="1"/>
      </w:r>
      <w:r w:rsidR="00796113" w:rsidRPr="009D6689">
        <w:rPr>
          <w:rFonts w:ascii="Arial" w:hAnsi="Arial" w:cs="Arial"/>
        </w:rPr>
        <w:t xml:space="preserve">. Additionally, </w:t>
      </w:r>
      <w:r w:rsidR="009D6689" w:rsidRPr="009D6689">
        <w:rPr>
          <w:rFonts w:ascii="Arial" w:hAnsi="Arial" w:cs="Arial"/>
        </w:rPr>
        <w:t xml:space="preserve">according to Global Gender Gap Report (GGGR) developed by the World Economic Forum (WEF) </w:t>
      </w:r>
      <w:r w:rsidR="00796113" w:rsidRPr="009D6689">
        <w:rPr>
          <w:rFonts w:ascii="Arial" w:hAnsi="Arial" w:cs="Arial"/>
        </w:rPr>
        <w:t>Barbados was ranked</w:t>
      </w:r>
      <w:r w:rsidR="009D6689" w:rsidRPr="009D6689">
        <w:rPr>
          <w:rFonts w:ascii="Arial" w:hAnsi="Arial" w:cs="Arial"/>
        </w:rPr>
        <w:t xml:space="preserve"> as the </w:t>
      </w:r>
      <w:r w:rsidR="00CF7FD2">
        <w:rPr>
          <w:rFonts w:ascii="Arial" w:hAnsi="Arial" w:cs="Arial"/>
        </w:rPr>
        <w:t>24</w:t>
      </w:r>
      <w:r w:rsidR="009D6689" w:rsidRPr="009D6689">
        <w:rPr>
          <w:rFonts w:ascii="Arial" w:hAnsi="Arial" w:cs="Arial"/>
          <w:vertAlign w:val="superscript"/>
        </w:rPr>
        <w:t>th</w:t>
      </w:r>
      <w:r w:rsidR="009D6689" w:rsidRPr="009D6689">
        <w:rPr>
          <w:rFonts w:ascii="Arial" w:hAnsi="Arial" w:cs="Arial"/>
        </w:rPr>
        <w:t xml:space="preserve"> country in the world, the third country in Latin America and the Caribbean (LAC) and first country in the Ca</w:t>
      </w:r>
      <w:r w:rsidR="00306881">
        <w:rPr>
          <w:rFonts w:ascii="Arial" w:hAnsi="Arial" w:cs="Arial"/>
        </w:rPr>
        <w:t>ribbean that has closed</w:t>
      </w:r>
      <w:r w:rsidR="009D6689" w:rsidRPr="009D6689">
        <w:rPr>
          <w:rFonts w:ascii="Arial" w:hAnsi="Arial" w:cs="Arial"/>
        </w:rPr>
        <w:t xml:space="preserve"> gender gaps</w:t>
      </w:r>
      <w:r w:rsidR="00306881">
        <w:rPr>
          <w:rFonts w:ascii="Arial" w:hAnsi="Arial" w:cs="Arial"/>
        </w:rPr>
        <w:t xml:space="preserve"> (over 74%)</w:t>
      </w:r>
      <w:r w:rsidR="009D6689" w:rsidRPr="009D6689">
        <w:rPr>
          <w:rFonts w:ascii="Arial" w:hAnsi="Arial" w:cs="Arial"/>
        </w:rPr>
        <w:t xml:space="preserve">. </w:t>
      </w:r>
      <w:r w:rsidR="00CB56BE">
        <w:rPr>
          <w:rFonts w:ascii="Arial" w:hAnsi="Arial" w:cs="Arial"/>
        </w:rPr>
        <w:t>These</w:t>
      </w:r>
      <w:r w:rsidR="009D6689">
        <w:rPr>
          <w:rFonts w:ascii="Arial" w:hAnsi="Arial" w:cs="Arial"/>
        </w:rPr>
        <w:t xml:space="preserve"> advances in terms of gender equality </w:t>
      </w:r>
      <w:r w:rsidR="009267CB">
        <w:rPr>
          <w:rFonts w:ascii="Arial" w:hAnsi="Arial" w:cs="Arial"/>
        </w:rPr>
        <w:t>are</w:t>
      </w:r>
      <w:r w:rsidR="009D6689">
        <w:rPr>
          <w:rFonts w:ascii="Arial" w:hAnsi="Arial" w:cs="Arial"/>
        </w:rPr>
        <w:t xml:space="preserve"> </w:t>
      </w:r>
      <w:r w:rsidR="002A49C2">
        <w:rPr>
          <w:rFonts w:ascii="Arial" w:hAnsi="Arial" w:cs="Arial"/>
        </w:rPr>
        <w:t>also reflected by the progress</w:t>
      </w:r>
      <w:r w:rsidR="009D6689">
        <w:rPr>
          <w:rFonts w:ascii="Arial" w:hAnsi="Arial" w:cs="Arial"/>
        </w:rPr>
        <w:t xml:space="preserve"> made in </w:t>
      </w:r>
      <w:r w:rsidR="00CB56BE">
        <w:rPr>
          <w:rFonts w:ascii="Arial" w:hAnsi="Arial" w:cs="Arial"/>
        </w:rPr>
        <w:t xml:space="preserve">school </w:t>
      </w:r>
      <w:r w:rsidR="004C28CB">
        <w:rPr>
          <w:rFonts w:ascii="Arial" w:hAnsi="Arial" w:cs="Arial"/>
        </w:rPr>
        <w:t>enrol</w:t>
      </w:r>
      <w:r w:rsidR="00306881">
        <w:rPr>
          <w:rFonts w:ascii="Arial" w:hAnsi="Arial" w:cs="Arial"/>
        </w:rPr>
        <w:t>l</w:t>
      </w:r>
      <w:r w:rsidR="004C28CB">
        <w:rPr>
          <w:rFonts w:ascii="Arial" w:hAnsi="Arial" w:cs="Arial"/>
        </w:rPr>
        <w:t>ment and</w:t>
      </w:r>
      <w:r w:rsidR="009267CB">
        <w:rPr>
          <w:rFonts w:ascii="Arial" w:hAnsi="Arial" w:cs="Arial"/>
        </w:rPr>
        <w:t xml:space="preserve"> </w:t>
      </w:r>
      <w:r w:rsidR="00360832">
        <w:rPr>
          <w:rFonts w:ascii="Arial" w:hAnsi="Arial" w:cs="Arial"/>
        </w:rPr>
        <w:t>access to h</w:t>
      </w:r>
      <w:r w:rsidR="004C28CB">
        <w:rPr>
          <w:rFonts w:ascii="Arial" w:hAnsi="Arial" w:cs="Arial"/>
        </w:rPr>
        <w:t>ealth</w:t>
      </w:r>
      <w:r w:rsidR="009267CB">
        <w:rPr>
          <w:rFonts w:ascii="Arial" w:hAnsi="Arial" w:cs="Arial"/>
        </w:rPr>
        <w:t xml:space="preserve">. </w:t>
      </w:r>
      <w:r w:rsidR="00360832">
        <w:rPr>
          <w:rFonts w:ascii="Arial" w:hAnsi="Arial" w:cs="Arial"/>
        </w:rPr>
        <w:t>For example, t</w:t>
      </w:r>
      <w:r w:rsidR="009267CB">
        <w:rPr>
          <w:rFonts w:ascii="Arial" w:hAnsi="Arial" w:cs="Arial"/>
        </w:rPr>
        <w:t xml:space="preserve">he increase in the percentage </w:t>
      </w:r>
      <w:r w:rsidR="002A49C2">
        <w:rPr>
          <w:rFonts w:ascii="Arial" w:hAnsi="Arial" w:cs="Arial"/>
        </w:rPr>
        <w:t>of women enrolled</w:t>
      </w:r>
      <w:r w:rsidR="004D6D48">
        <w:rPr>
          <w:rFonts w:ascii="Arial" w:hAnsi="Arial" w:cs="Arial"/>
        </w:rPr>
        <w:t xml:space="preserve"> </w:t>
      </w:r>
      <w:r w:rsidR="009267CB">
        <w:rPr>
          <w:rFonts w:ascii="Arial" w:hAnsi="Arial" w:cs="Arial"/>
        </w:rPr>
        <w:t xml:space="preserve">in secondary and tertiary education between 2000 and 2014 is particularly high, passing from 91.3% to 100% and from </w:t>
      </w:r>
      <w:r w:rsidR="004D6D48">
        <w:rPr>
          <w:rFonts w:ascii="Arial" w:hAnsi="Arial" w:cs="Arial"/>
        </w:rPr>
        <w:t>59.5% to 90.6%, respectively</w:t>
      </w:r>
      <w:r w:rsidR="002A49C2">
        <w:rPr>
          <w:rFonts w:ascii="Arial" w:hAnsi="Arial" w:cs="Arial"/>
        </w:rPr>
        <w:t xml:space="preserve">. Also, </w:t>
      </w:r>
      <w:r w:rsidR="004D6D48">
        <w:rPr>
          <w:rFonts w:ascii="Arial" w:hAnsi="Arial" w:cs="Arial"/>
        </w:rPr>
        <w:t>when comparing those rates to those of men (from 92.5% to 98.9% and from 22.2% to 40.3%, respectively) it is clear that women’s educational enrol</w:t>
      </w:r>
      <w:r w:rsidR="00306881">
        <w:rPr>
          <w:rFonts w:ascii="Arial" w:hAnsi="Arial" w:cs="Arial"/>
        </w:rPr>
        <w:t>l</w:t>
      </w:r>
      <w:r w:rsidR="004D6D48">
        <w:rPr>
          <w:rFonts w:ascii="Arial" w:hAnsi="Arial" w:cs="Arial"/>
        </w:rPr>
        <w:t>ment, particularly in tertiary education, is higher</w:t>
      </w:r>
      <w:r w:rsidR="00C431EF">
        <w:rPr>
          <w:rStyle w:val="FootnoteReference"/>
          <w:rFonts w:ascii="Arial" w:hAnsi="Arial" w:cs="Arial"/>
        </w:rPr>
        <w:footnoteReference w:id="2"/>
      </w:r>
      <w:r w:rsidR="004D6D48">
        <w:rPr>
          <w:rFonts w:ascii="Arial" w:hAnsi="Arial" w:cs="Arial"/>
        </w:rPr>
        <w:t xml:space="preserve">. </w:t>
      </w:r>
      <w:r w:rsidR="00360832">
        <w:rPr>
          <w:rFonts w:ascii="Arial" w:hAnsi="Arial" w:cs="Arial"/>
        </w:rPr>
        <w:t>Moreover, women’s life exp</w:t>
      </w:r>
      <w:r w:rsidR="00306881">
        <w:rPr>
          <w:rFonts w:ascii="Arial" w:hAnsi="Arial" w:cs="Arial"/>
        </w:rPr>
        <w:t>ectancy has increased from 75.6 years</w:t>
      </w:r>
      <w:r w:rsidR="00360832">
        <w:rPr>
          <w:rFonts w:ascii="Arial" w:hAnsi="Arial" w:cs="Arial"/>
        </w:rPr>
        <w:t xml:space="preserve"> in 2000 </w:t>
      </w:r>
      <w:r w:rsidR="00306881">
        <w:rPr>
          <w:rFonts w:ascii="Arial" w:hAnsi="Arial" w:cs="Arial"/>
        </w:rPr>
        <w:t>to 78 years</w:t>
      </w:r>
      <w:r w:rsidR="00360832">
        <w:rPr>
          <w:rFonts w:ascii="Arial" w:hAnsi="Arial" w:cs="Arial"/>
        </w:rPr>
        <w:t xml:space="preserve"> in 2014 and hi</w:t>
      </w:r>
      <w:r w:rsidR="00306881">
        <w:rPr>
          <w:rFonts w:ascii="Arial" w:hAnsi="Arial" w:cs="Arial"/>
        </w:rPr>
        <w:t>gher than those of men (from 71 to 73.2 years</w:t>
      </w:r>
      <w:r w:rsidR="00360832">
        <w:rPr>
          <w:rFonts w:ascii="Arial" w:hAnsi="Arial" w:cs="Arial"/>
        </w:rPr>
        <w:t xml:space="preserve"> in the same period) and female mo</w:t>
      </w:r>
      <w:r w:rsidR="00306881">
        <w:rPr>
          <w:rFonts w:ascii="Arial" w:hAnsi="Arial" w:cs="Arial"/>
        </w:rPr>
        <w:t xml:space="preserve">rtality rate under 5 </w:t>
      </w:r>
      <w:r w:rsidR="004C28CB">
        <w:rPr>
          <w:rFonts w:ascii="Arial" w:hAnsi="Arial" w:cs="Arial"/>
        </w:rPr>
        <w:t>has</w:t>
      </w:r>
      <w:r w:rsidR="00360832">
        <w:rPr>
          <w:rFonts w:ascii="Arial" w:hAnsi="Arial" w:cs="Arial"/>
        </w:rPr>
        <w:t xml:space="preserve"> decreased from 14.9</w:t>
      </w:r>
      <w:r w:rsidR="00306881">
        <w:rPr>
          <w:rFonts w:ascii="Arial" w:hAnsi="Arial" w:cs="Arial"/>
        </w:rPr>
        <w:t>/1000</w:t>
      </w:r>
      <w:r w:rsidR="00360832">
        <w:rPr>
          <w:rFonts w:ascii="Arial" w:hAnsi="Arial" w:cs="Arial"/>
        </w:rPr>
        <w:t xml:space="preserve"> to 11.8</w:t>
      </w:r>
      <w:r w:rsidR="00306881">
        <w:rPr>
          <w:rFonts w:ascii="Arial" w:hAnsi="Arial" w:cs="Arial"/>
        </w:rPr>
        <w:t>/1000</w:t>
      </w:r>
      <w:r w:rsidR="00360832">
        <w:rPr>
          <w:rFonts w:ascii="Arial" w:hAnsi="Arial" w:cs="Arial"/>
        </w:rPr>
        <w:t xml:space="preserve"> in the same period (male m</w:t>
      </w:r>
      <w:r w:rsidR="00306881">
        <w:rPr>
          <w:rFonts w:ascii="Arial" w:hAnsi="Arial" w:cs="Arial"/>
        </w:rPr>
        <w:t>ortality rate under 5</w:t>
      </w:r>
      <w:r w:rsidR="00360832">
        <w:rPr>
          <w:rFonts w:ascii="Arial" w:hAnsi="Arial" w:cs="Arial"/>
        </w:rPr>
        <w:t xml:space="preserve"> decreased from 17.6</w:t>
      </w:r>
      <w:r w:rsidR="00306881">
        <w:rPr>
          <w:rFonts w:ascii="Arial" w:hAnsi="Arial" w:cs="Arial"/>
        </w:rPr>
        <w:t>/1000</w:t>
      </w:r>
      <w:r w:rsidR="00360832">
        <w:rPr>
          <w:rFonts w:ascii="Arial" w:hAnsi="Arial" w:cs="Arial"/>
        </w:rPr>
        <w:t xml:space="preserve"> to 14.1</w:t>
      </w:r>
      <w:r w:rsidR="00306881">
        <w:rPr>
          <w:rFonts w:ascii="Arial" w:hAnsi="Arial" w:cs="Arial"/>
        </w:rPr>
        <w:t>/1000</w:t>
      </w:r>
      <w:r w:rsidR="00360832">
        <w:rPr>
          <w:rFonts w:ascii="Arial" w:hAnsi="Arial" w:cs="Arial"/>
        </w:rPr>
        <w:t>).</w:t>
      </w:r>
      <w:r w:rsidR="0001617A">
        <w:rPr>
          <w:rFonts w:ascii="Arial" w:hAnsi="Arial" w:cs="Arial"/>
        </w:rPr>
        <w:t xml:space="preserve"> </w:t>
      </w:r>
      <w:r w:rsidR="004C28CB">
        <w:rPr>
          <w:rFonts w:ascii="Arial" w:hAnsi="Arial" w:cs="Arial"/>
        </w:rPr>
        <w:t>Moreover, Barbados has</w:t>
      </w:r>
      <w:r w:rsidR="006647C6">
        <w:rPr>
          <w:rFonts w:ascii="Arial" w:hAnsi="Arial" w:cs="Arial"/>
        </w:rPr>
        <w:t xml:space="preserve"> one of the highest female labor force participation rates of the Caribbean</w:t>
      </w:r>
      <w:r w:rsidR="00CD3F24">
        <w:rPr>
          <w:rFonts w:ascii="Arial" w:hAnsi="Arial" w:cs="Arial"/>
        </w:rPr>
        <w:t xml:space="preserve"> (62%</w:t>
      </w:r>
      <w:r w:rsidR="00CD3F24">
        <w:rPr>
          <w:rStyle w:val="FootnoteReference"/>
          <w:rFonts w:ascii="Arial" w:hAnsi="Arial" w:cs="Arial"/>
        </w:rPr>
        <w:footnoteReference w:id="3"/>
      </w:r>
      <w:r w:rsidR="00354A5E">
        <w:rPr>
          <w:rFonts w:ascii="Arial" w:hAnsi="Arial" w:cs="Arial"/>
        </w:rPr>
        <w:t xml:space="preserve"> vs a regional average of 56.7%</w:t>
      </w:r>
      <w:r w:rsidR="00306881">
        <w:rPr>
          <w:rFonts w:ascii="Arial" w:hAnsi="Arial" w:cs="Arial"/>
        </w:rPr>
        <w:t>, see graphic 1</w:t>
      </w:r>
      <w:r w:rsidR="00CD3F24">
        <w:rPr>
          <w:rFonts w:ascii="Arial" w:hAnsi="Arial" w:cs="Arial"/>
        </w:rPr>
        <w:t>).</w:t>
      </w:r>
    </w:p>
    <w:p w:rsidR="00CD3F24" w:rsidRPr="00CD3F24" w:rsidRDefault="00CD3F24" w:rsidP="00CD3F24">
      <w:pPr>
        <w:jc w:val="center"/>
        <w:rPr>
          <w:rFonts w:ascii="Arial" w:hAnsi="Arial" w:cs="Arial"/>
          <w:u w:val="single"/>
        </w:rPr>
      </w:pPr>
      <w:r w:rsidRPr="00CD3F24">
        <w:rPr>
          <w:rFonts w:ascii="Arial" w:hAnsi="Arial" w:cs="Arial"/>
          <w:u w:val="single"/>
        </w:rPr>
        <w:t>Graphic 1 – Labor Force Participation Rate in the Caribbean, 2013 (by sex)</w:t>
      </w:r>
    </w:p>
    <w:p w:rsidR="00CD3F24" w:rsidRDefault="00324E5B" w:rsidP="00CD3F24">
      <w:pPr>
        <w:jc w:val="center"/>
        <w:rPr>
          <w:rFonts w:ascii="Arial" w:hAnsi="Arial" w:cs="Arial"/>
        </w:rPr>
      </w:pPr>
      <w:r>
        <w:rPr>
          <w:noProof/>
        </w:rPr>
        <w:drawing>
          <wp:inline distT="0" distB="0" distL="0" distR="0" wp14:anchorId="446DA9B7" wp14:editId="385104BC">
            <wp:extent cx="4066309" cy="2348346"/>
            <wp:effectExtent l="0" t="0" r="1079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D3F24" w:rsidRPr="00CD3F24" w:rsidRDefault="00CD3F24" w:rsidP="00CD3F24">
      <w:pPr>
        <w:spacing w:after="0" w:line="240" w:lineRule="auto"/>
        <w:rPr>
          <w:rFonts w:ascii="Arial" w:hAnsi="Arial" w:cs="Arial"/>
          <w:sz w:val="16"/>
          <w:szCs w:val="16"/>
        </w:rPr>
      </w:pPr>
      <w:r w:rsidRPr="00CD3F24">
        <w:rPr>
          <w:rFonts w:ascii="Arial" w:hAnsi="Arial" w:cs="Arial"/>
          <w:sz w:val="16"/>
          <w:szCs w:val="16"/>
        </w:rPr>
        <w:t>Note: Data available only for 8 countries for 2013</w:t>
      </w:r>
    </w:p>
    <w:p w:rsidR="00CD3F24" w:rsidRPr="00232AD8" w:rsidRDefault="00324E5B" w:rsidP="00CD3F24">
      <w:pPr>
        <w:spacing w:after="0" w:line="240" w:lineRule="auto"/>
        <w:rPr>
          <w:rFonts w:ascii="Arial" w:hAnsi="Arial" w:cs="Arial"/>
          <w:sz w:val="16"/>
          <w:szCs w:val="16"/>
        </w:rPr>
      </w:pPr>
      <w:r w:rsidRPr="00232AD8">
        <w:rPr>
          <w:rFonts w:ascii="Arial" w:hAnsi="Arial" w:cs="Arial"/>
          <w:sz w:val="16"/>
          <w:szCs w:val="16"/>
        </w:rPr>
        <w:t>Source</w:t>
      </w:r>
      <w:r w:rsidR="00CD3F24" w:rsidRPr="00232AD8">
        <w:rPr>
          <w:rFonts w:ascii="Arial" w:hAnsi="Arial" w:cs="Arial"/>
          <w:sz w:val="16"/>
          <w:szCs w:val="16"/>
        </w:rPr>
        <w:t>:</w:t>
      </w:r>
      <w:r w:rsidRPr="00232AD8">
        <w:rPr>
          <w:rFonts w:ascii="Arial" w:hAnsi="Arial" w:cs="Arial"/>
          <w:sz w:val="16"/>
          <w:szCs w:val="16"/>
        </w:rPr>
        <w:t xml:space="preserve"> </w:t>
      </w:r>
      <w:r w:rsidR="00CD3F24" w:rsidRPr="00232AD8">
        <w:rPr>
          <w:rFonts w:ascii="Arial" w:hAnsi="Arial" w:cs="Arial"/>
          <w:sz w:val="16"/>
          <w:szCs w:val="16"/>
        </w:rPr>
        <w:t xml:space="preserve"> ILO (2013). ILOSTAT Database: Caribbean</w:t>
      </w:r>
    </w:p>
    <w:p w:rsidR="00662143" w:rsidRPr="00662143" w:rsidRDefault="00662143" w:rsidP="00AC107C">
      <w:pPr>
        <w:jc w:val="both"/>
        <w:rPr>
          <w:rFonts w:ascii="Arial" w:hAnsi="Arial" w:cs="Arial"/>
          <w:b/>
          <w:i/>
        </w:rPr>
      </w:pPr>
      <w:r w:rsidRPr="00662143">
        <w:rPr>
          <w:rFonts w:ascii="Arial" w:hAnsi="Arial" w:cs="Arial"/>
          <w:b/>
          <w:i/>
        </w:rPr>
        <w:lastRenderedPageBreak/>
        <w:t>Persistent Gender Inequalities</w:t>
      </w:r>
    </w:p>
    <w:p w:rsidR="00096131" w:rsidRDefault="00AC107C" w:rsidP="00AC107C">
      <w:pPr>
        <w:jc w:val="both"/>
        <w:rPr>
          <w:rFonts w:ascii="Arial" w:hAnsi="Arial" w:cs="Arial"/>
        </w:rPr>
      </w:pPr>
      <w:r w:rsidRPr="00AC107C">
        <w:rPr>
          <w:rFonts w:ascii="Arial" w:hAnsi="Arial" w:cs="Arial"/>
        </w:rPr>
        <w:t>However, there are still important gender ga</w:t>
      </w:r>
      <w:r>
        <w:rPr>
          <w:rFonts w:ascii="Arial" w:hAnsi="Arial" w:cs="Arial"/>
        </w:rPr>
        <w:t>ps that primarily affect women. In fact, even if women’</w:t>
      </w:r>
      <w:r w:rsidR="002A49C2">
        <w:rPr>
          <w:rFonts w:ascii="Arial" w:hAnsi="Arial" w:cs="Arial"/>
        </w:rPr>
        <w:t>s labor participation is among</w:t>
      </w:r>
      <w:r w:rsidR="00EF166B">
        <w:rPr>
          <w:rFonts w:ascii="Arial" w:hAnsi="Arial" w:cs="Arial"/>
        </w:rPr>
        <w:t xml:space="preserve"> the highest in the Caribbean</w:t>
      </w:r>
      <w:r>
        <w:rPr>
          <w:rFonts w:ascii="Arial" w:hAnsi="Arial" w:cs="Arial"/>
        </w:rPr>
        <w:t xml:space="preserve">, when doing a deeper analysis on </w:t>
      </w:r>
      <w:r w:rsidR="008D0908">
        <w:rPr>
          <w:rFonts w:ascii="Arial" w:hAnsi="Arial" w:cs="Arial"/>
        </w:rPr>
        <w:t>occupational roles and wages</w:t>
      </w:r>
      <w:r>
        <w:rPr>
          <w:rFonts w:ascii="Arial" w:hAnsi="Arial" w:cs="Arial"/>
        </w:rPr>
        <w:t xml:space="preserve">, it is possible to notice these gaps. </w:t>
      </w:r>
      <w:r w:rsidR="003509D0">
        <w:rPr>
          <w:rFonts w:ascii="Arial" w:hAnsi="Arial" w:cs="Arial"/>
        </w:rPr>
        <w:t>First,</w:t>
      </w:r>
      <w:r w:rsidR="007C5C39">
        <w:rPr>
          <w:rFonts w:ascii="Arial" w:hAnsi="Arial" w:cs="Arial"/>
        </w:rPr>
        <w:t xml:space="preserve"> </w:t>
      </w:r>
      <w:r>
        <w:rPr>
          <w:rFonts w:ascii="Arial" w:hAnsi="Arial" w:cs="Arial"/>
        </w:rPr>
        <w:t>occupational segregation is extremely evident in Barbados. Women are highly concentrated in sectors of the economy such as services, tourism</w:t>
      </w:r>
      <w:r w:rsidR="00324E5B">
        <w:rPr>
          <w:rFonts w:ascii="Arial" w:hAnsi="Arial" w:cs="Arial"/>
        </w:rPr>
        <w:t>,</w:t>
      </w:r>
      <w:r>
        <w:rPr>
          <w:rFonts w:ascii="Arial" w:hAnsi="Arial" w:cs="Arial"/>
        </w:rPr>
        <w:t xml:space="preserve"> and retail</w:t>
      </w:r>
      <w:r w:rsidR="00324E5B">
        <w:rPr>
          <w:rFonts w:ascii="Arial" w:hAnsi="Arial" w:cs="Arial"/>
        </w:rPr>
        <w:t>;</w:t>
      </w:r>
      <w:r>
        <w:rPr>
          <w:rFonts w:ascii="Arial" w:hAnsi="Arial" w:cs="Arial"/>
        </w:rPr>
        <w:t xml:space="preserve"> while men are more concentrated in construction, mining and transportation</w:t>
      </w:r>
      <w:r w:rsidR="00EF166B">
        <w:rPr>
          <w:rFonts w:ascii="Arial" w:hAnsi="Arial" w:cs="Arial"/>
        </w:rPr>
        <w:t>. For example, women represent over 66% of the total employees of the accommodation and food services sector, while men represent 92% of the construction, mining, and quarrying sector (see graphic 2). Specifically when analyzing the electricity, gas, steam, water and air condition</w:t>
      </w:r>
      <w:r w:rsidR="00306881">
        <w:rPr>
          <w:rFonts w:ascii="Arial" w:hAnsi="Arial" w:cs="Arial"/>
        </w:rPr>
        <w:t>ing</w:t>
      </w:r>
      <w:r w:rsidR="00EF166B">
        <w:rPr>
          <w:rFonts w:ascii="Arial" w:hAnsi="Arial" w:cs="Arial"/>
        </w:rPr>
        <w:t xml:space="preserve"> sector, it can be noticed that women also are under-represented in this sec</w:t>
      </w:r>
      <w:r w:rsidR="00781C78">
        <w:rPr>
          <w:rFonts w:ascii="Arial" w:hAnsi="Arial" w:cs="Arial"/>
        </w:rPr>
        <w:t>tor since they represent about 34</w:t>
      </w:r>
      <w:r w:rsidR="00EF166B">
        <w:rPr>
          <w:rFonts w:ascii="Arial" w:hAnsi="Arial" w:cs="Arial"/>
        </w:rPr>
        <w:t>% of the total number of employees</w:t>
      </w:r>
      <w:r w:rsidR="00324E5B">
        <w:rPr>
          <w:rFonts w:ascii="Arial" w:hAnsi="Arial" w:cs="Arial"/>
        </w:rPr>
        <w:t xml:space="preserve"> (see graphic 2)</w:t>
      </w:r>
      <w:r>
        <w:rPr>
          <w:rFonts w:ascii="Arial" w:hAnsi="Arial" w:cs="Arial"/>
        </w:rPr>
        <w:t xml:space="preserve">. </w:t>
      </w:r>
      <w:r w:rsidR="00324E5B">
        <w:rPr>
          <w:rFonts w:ascii="Arial" w:hAnsi="Arial" w:cs="Arial"/>
        </w:rPr>
        <w:t xml:space="preserve">This is important since </w:t>
      </w:r>
      <w:r w:rsidR="00096131">
        <w:rPr>
          <w:rFonts w:ascii="Arial" w:hAnsi="Arial" w:cs="Arial"/>
        </w:rPr>
        <w:t>women tend to work in sectors with</w:t>
      </w:r>
      <w:r w:rsidR="00324E5B">
        <w:rPr>
          <w:rFonts w:ascii="Arial" w:hAnsi="Arial" w:cs="Arial"/>
        </w:rPr>
        <w:t xml:space="preserve"> lower wages and less benefits.</w:t>
      </w:r>
      <w:r w:rsidR="002A49C2">
        <w:rPr>
          <w:rFonts w:ascii="Arial" w:hAnsi="Arial" w:cs="Arial"/>
        </w:rPr>
        <w:t xml:space="preserve"> </w:t>
      </w:r>
    </w:p>
    <w:p w:rsidR="00CD3F24" w:rsidRDefault="00034FBF" w:rsidP="00AC107C">
      <w:pPr>
        <w:jc w:val="both"/>
        <w:rPr>
          <w:rFonts w:ascii="Arial" w:hAnsi="Arial" w:cs="Arial"/>
        </w:rPr>
      </w:pPr>
      <w:r>
        <w:rPr>
          <w:rFonts w:ascii="Arial" w:hAnsi="Arial" w:cs="Arial"/>
        </w:rPr>
        <w:t xml:space="preserve">Second, gender income gap is still high in Barbados, with female employees earning less on average than male. </w:t>
      </w:r>
      <w:r w:rsidR="005F3BCC">
        <w:rPr>
          <w:rFonts w:ascii="Arial" w:hAnsi="Arial" w:cs="Arial"/>
        </w:rPr>
        <w:t>In fact, a</w:t>
      </w:r>
      <w:r>
        <w:rPr>
          <w:rFonts w:ascii="Arial" w:hAnsi="Arial" w:cs="Arial"/>
        </w:rPr>
        <w:t>ccording to an IDB study, women in Barbados earn</w:t>
      </w:r>
      <w:r w:rsidR="005F3BCC">
        <w:rPr>
          <w:rFonts w:ascii="Arial" w:hAnsi="Arial" w:cs="Arial"/>
        </w:rPr>
        <w:t xml:space="preserve"> between 14</w:t>
      </w:r>
      <w:r w:rsidR="00306881">
        <w:rPr>
          <w:rFonts w:ascii="Arial" w:hAnsi="Arial" w:cs="Arial"/>
        </w:rPr>
        <w:t>%</w:t>
      </w:r>
      <w:r w:rsidR="005F3BCC">
        <w:rPr>
          <w:rFonts w:ascii="Arial" w:hAnsi="Arial" w:cs="Arial"/>
        </w:rPr>
        <w:t xml:space="preserve"> </w:t>
      </w:r>
      <w:r w:rsidR="00306881">
        <w:rPr>
          <w:rFonts w:ascii="Arial" w:hAnsi="Arial" w:cs="Arial"/>
        </w:rPr>
        <w:t>and</w:t>
      </w:r>
      <w:r w:rsidR="005F3BCC">
        <w:rPr>
          <w:rFonts w:ascii="Arial" w:hAnsi="Arial" w:cs="Arial"/>
        </w:rPr>
        <w:t xml:space="preserve"> 27%</w:t>
      </w:r>
      <w:r>
        <w:rPr>
          <w:rFonts w:ascii="Arial" w:hAnsi="Arial" w:cs="Arial"/>
        </w:rPr>
        <w:t xml:space="preserve"> less than man</w:t>
      </w:r>
      <w:r>
        <w:rPr>
          <w:rStyle w:val="FootnoteReference"/>
          <w:rFonts w:ascii="Arial" w:hAnsi="Arial" w:cs="Arial"/>
        </w:rPr>
        <w:footnoteReference w:id="4"/>
      </w:r>
      <w:r>
        <w:rPr>
          <w:rFonts w:ascii="Arial" w:hAnsi="Arial" w:cs="Arial"/>
        </w:rPr>
        <w:t>.</w:t>
      </w:r>
      <w:r w:rsidR="005F3BCC">
        <w:rPr>
          <w:rFonts w:ascii="Arial" w:hAnsi="Arial" w:cs="Arial"/>
        </w:rPr>
        <w:t xml:space="preserve"> Lower earnings can be explained, in part, by t</w:t>
      </w:r>
      <w:r w:rsidR="00306881">
        <w:rPr>
          <w:rFonts w:ascii="Arial" w:hAnsi="Arial" w:cs="Arial"/>
        </w:rPr>
        <w:t>he type of job</w:t>
      </w:r>
      <w:r w:rsidR="00096131">
        <w:rPr>
          <w:rFonts w:ascii="Arial" w:hAnsi="Arial" w:cs="Arial"/>
        </w:rPr>
        <w:t>s</w:t>
      </w:r>
      <w:r w:rsidR="00306881">
        <w:rPr>
          <w:rFonts w:ascii="Arial" w:hAnsi="Arial" w:cs="Arial"/>
        </w:rPr>
        <w:t xml:space="preserve"> that women do</w:t>
      </w:r>
      <w:r w:rsidR="005F3BCC">
        <w:rPr>
          <w:rFonts w:ascii="Arial" w:hAnsi="Arial" w:cs="Arial"/>
        </w:rPr>
        <w:t>, but also by their concentrations in economic sectors than tend to be less</w:t>
      </w:r>
      <w:r w:rsidR="00096131">
        <w:rPr>
          <w:rFonts w:ascii="Arial" w:hAnsi="Arial" w:cs="Arial"/>
        </w:rPr>
        <w:t xml:space="preserve"> competitive</w:t>
      </w:r>
      <w:r w:rsidR="005F3BCC">
        <w:rPr>
          <w:rFonts w:ascii="Arial" w:hAnsi="Arial" w:cs="Arial"/>
        </w:rPr>
        <w:t xml:space="preserve">. </w:t>
      </w:r>
    </w:p>
    <w:p w:rsidR="00324E5B" w:rsidRPr="002A49C2" w:rsidRDefault="00324E5B" w:rsidP="00324E5B">
      <w:pPr>
        <w:jc w:val="center"/>
        <w:rPr>
          <w:rFonts w:ascii="Arial" w:hAnsi="Arial" w:cs="Arial"/>
          <w:u w:val="single"/>
        </w:rPr>
      </w:pPr>
      <w:r w:rsidRPr="002A49C2">
        <w:rPr>
          <w:rFonts w:ascii="Arial" w:hAnsi="Arial" w:cs="Arial"/>
          <w:u w:val="single"/>
        </w:rPr>
        <w:t>Graphic 2 – Male and Female Employment by Sector, 2012</w:t>
      </w:r>
    </w:p>
    <w:p w:rsidR="00324E5B" w:rsidRDefault="00324E5B" w:rsidP="00324E5B">
      <w:pPr>
        <w:jc w:val="center"/>
        <w:rPr>
          <w:rFonts w:ascii="Arial" w:hAnsi="Arial" w:cs="Arial"/>
        </w:rPr>
      </w:pPr>
      <w:r>
        <w:rPr>
          <w:rFonts w:ascii="Arial" w:hAnsi="Arial" w:cs="Arial"/>
          <w:noProof/>
        </w:rPr>
        <w:drawing>
          <wp:inline distT="0" distB="0" distL="0" distR="0" wp14:anchorId="0873CBD5" wp14:editId="5D5F66C5">
            <wp:extent cx="4723644" cy="301374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5560" cy="3014962"/>
                    </a:xfrm>
                    <a:prstGeom prst="rect">
                      <a:avLst/>
                    </a:prstGeom>
                    <a:noFill/>
                    <a:ln>
                      <a:noFill/>
                    </a:ln>
                  </pic:spPr>
                </pic:pic>
              </a:graphicData>
            </a:graphic>
          </wp:inline>
        </w:drawing>
      </w:r>
    </w:p>
    <w:p w:rsidR="008D0908" w:rsidRDefault="008D0908" w:rsidP="00EF166B">
      <w:pPr>
        <w:rPr>
          <w:rFonts w:ascii="Arial" w:hAnsi="Arial" w:cs="Arial"/>
          <w:u w:val="single"/>
        </w:rPr>
      </w:pPr>
    </w:p>
    <w:p w:rsidR="00A45732" w:rsidRDefault="00A45732" w:rsidP="008D0908">
      <w:pPr>
        <w:jc w:val="center"/>
        <w:rPr>
          <w:rFonts w:ascii="Arial" w:hAnsi="Arial" w:cs="Arial"/>
        </w:rPr>
      </w:pPr>
    </w:p>
    <w:p w:rsidR="00E33517" w:rsidRDefault="008D0908" w:rsidP="005526D3">
      <w:pPr>
        <w:jc w:val="both"/>
        <w:rPr>
          <w:rFonts w:ascii="Arial" w:hAnsi="Arial" w:cs="Arial"/>
        </w:rPr>
      </w:pPr>
      <w:r>
        <w:rPr>
          <w:rFonts w:ascii="Arial" w:hAnsi="Arial" w:cs="Arial"/>
        </w:rPr>
        <w:lastRenderedPageBreak/>
        <w:t>All these factors, contribute to higher levels of poverty among women than men</w:t>
      </w:r>
      <w:r w:rsidR="00B606FC">
        <w:rPr>
          <w:rFonts w:ascii="Arial" w:hAnsi="Arial" w:cs="Arial"/>
        </w:rPr>
        <w:t>, particularly women-headed households. In fact, women-headed households</w:t>
      </w:r>
      <w:r>
        <w:rPr>
          <w:rFonts w:ascii="Arial" w:hAnsi="Arial" w:cs="Arial"/>
        </w:rPr>
        <w:t xml:space="preserve"> account for 47.5% of all the househo</w:t>
      </w:r>
      <w:r w:rsidR="00B606FC">
        <w:rPr>
          <w:rFonts w:ascii="Arial" w:hAnsi="Arial" w:cs="Arial"/>
        </w:rPr>
        <w:t>lds in Barbados and the rate of poverty of these h</w:t>
      </w:r>
      <w:r w:rsidR="00096131">
        <w:rPr>
          <w:rFonts w:ascii="Arial" w:hAnsi="Arial" w:cs="Arial"/>
        </w:rPr>
        <w:t>ouseholds is 19.4% compared to</w:t>
      </w:r>
      <w:r w:rsidR="00B606FC">
        <w:rPr>
          <w:rFonts w:ascii="Arial" w:hAnsi="Arial" w:cs="Arial"/>
        </w:rPr>
        <w:t xml:space="preserve"> 11.5% in male-headed households</w:t>
      </w:r>
      <w:r>
        <w:rPr>
          <w:rStyle w:val="FootnoteReference"/>
          <w:rFonts w:ascii="Arial" w:hAnsi="Arial" w:cs="Arial"/>
        </w:rPr>
        <w:footnoteReference w:id="5"/>
      </w:r>
      <w:r>
        <w:rPr>
          <w:rFonts w:ascii="Arial" w:hAnsi="Arial" w:cs="Arial"/>
        </w:rPr>
        <w:t xml:space="preserve">. </w:t>
      </w:r>
      <w:r w:rsidR="00B606FC">
        <w:rPr>
          <w:rFonts w:ascii="Arial" w:hAnsi="Arial" w:cs="Arial"/>
        </w:rPr>
        <w:t xml:space="preserve">Finally, early motherhood has decreased in the past 30 years, but the fertility rate among 15 to 19 year-olds (in other words adolescent pregnancy) is still 40.8% in 2012 (compared with 46% in 1980). This is particularly important because it increases school dropouts among young women and, therefore, it decreases their likelihood of continuing tertiary education and </w:t>
      </w:r>
      <w:r w:rsidR="00727248">
        <w:rPr>
          <w:rFonts w:ascii="Arial" w:hAnsi="Arial" w:cs="Arial"/>
        </w:rPr>
        <w:t>accessing formal, stable</w:t>
      </w:r>
      <w:r w:rsidR="00096131">
        <w:rPr>
          <w:rFonts w:ascii="Arial" w:hAnsi="Arial" w:cs="Arial"/>
        </w:rPr>
        <w:t xml:space="preserve"> and high paying</w:t>
      </w:r>
      <w:r w:rsidR="00727248">
        <w:rPr>
          <w:rFonts w:ascii="Arial" w:hAnsi="Arial" w:cs="Arial"/>
        </w:rPr>
        <w:t xml:space="preserve"> jobs</w:t>
      </w:r>
      <w:r w:rsidR="00727248">
        <w:rPr>
          <w:rStyle w:val="FootnoteReference"/>
          <w:rFonts w:ascii="Arial" w:hAnsi="Arial" w:cs="Arial"/>
        </w:rPr>
        <w:footnoteReference w:id="6"/>
      </w:r>
      <w:r w:rsidR="00727248">
        <w:rPr>
          <w:rFonts w:ascii="Arial" w:hAnsi="Arial" w:cs="Arial"/>
        </w:rPr>
        <w:t xml:space="preserve">. </w:t>
      </w:r>
      <w:r w:rsidR="00B606FC">
        <w:rPr>
          <w:rFonts w:ascii="Arial" w:hAnsi="Arial" w:cs="Arial"/>
        </w:rPr>
        <w:t xml:space="preserve">  </w:t>
      </w:r>
    </w:p>
    <w:p w:rsidR="00662143" w:rsidRPr="00662143" w:rsidRDefault="00662143" w:rsidP="00662143">
      <w:pPr>
        <w:jc w:val="both"/>
        <w:rPr>
          <w:rFonts w:ascii="Arial" w:hAnsi="Arial" w:cs="Arial"/>
          <w:b/>
          <w:i/>
        </w:rPr>
      </w:pPr>
      <w:r w:rsidRPr="00662143">
        <w:rPr>
          <w:rFonts w:ascii="Arial" w:hAnsi="Arial" w:cs="Arial"/>
          <w:b/>
          <w:i/>
        </w:rPr>
        <w:t>Female Participation a</w:t>
      </w:r>
      <w:r w:rsidR="00B47E76">
        <w:rPr>
          <w:rFonts w:ascii="Arial" w:hAnsi="Arial" w:cs="Arial"/>
          <w:b/>
          <w:i/>
        </w:rPr>
        <w:t>t the Nacional Petroleum Corporation</w:t>
      </w:r>
    </w:p>
    <w:p w:rsidR="00662143" w:rsidRDefault="00662143" w:rsidP="005526D3">
      <w:pPr>
        <w:jc w:val="both"/>
        <w:rPr>
          <w:rFonts w:ascii="Arial" w:hAnsi="Arial" w:cs="Arial"/>
        </w:rPr>
      </w:pPr>
      <w:r>
        <w:rPr>
          <w:rFonts w:ascii="Arial" w:hAnsi="Arial" w:cs="Arial"/>
        </w:rPr>
        <w:t>In order to better underst</w:t>
      </w:r>
      <w:r w:rsidR="00096131">
        <w:rPr>
          <w:rFonts w:ascii="Arial" w:hAnsi="Arial" w:cs="Arial"/>
        </w:rPr>
        <w:t>and female participation rate at the</w:t>
      </w:r>
      <w:r>
        <w:rPr>
          <w:rFonts w:ascii="Arial" w:hAnsi="Arial" w:cs="Arial"/>
        </w:rPr>
        <w:t xml:space="preserve"> </w:t>
      </w:r>
      <w:r w:rsidR="00096131" w:rsidRPr="00096131">
        <w:rPr>
          <w:rFonts w:ascii="Arial" w:hAnsi="Arial" w:cs="Arial"/>
        </w:rPr>
        <w:t>Barbados National Oil Company Limited (BNOCL) and the National Petroleum Corporation (NPC)</w:t>
      </w:r>
      <w:r>
        <w:rPr>
          <w:rFonts w:ascii="Arial" w:hAnsi="Arial" w:cs="Arial"/>
        </w:rPr>
        <w:t>, the</w:t>
      </w:r>
      <w:r w:rsidR="00D01B88" w:rsidRPr="00D01B88">
        <w:rPr>
          <w:rFonts w:ascii="Arial" w:hAnsi="Arial" w:cs="Arial"/>
        </w:rPr>
        <w:t xml:space="preserve"> Deployment of Cleaner Fuels and Renewable Energies in Barbados</w:t>
      </w:r>
      <w:r w:rsidR="00D01B88">
        <w:rPr>
          <w:rFonts w:ascii="Arial" w:hAnsi="Arial" w:cs="Arial"/>
        </w:rPr>
        <w:t xml:space="preserve"> (</w:t>
      </w:r>
      <w:r>
        <w:rPr>
          <w:rFonts w:ascii="Arial" w:hAnsi="Arial" w:cs="Arial"/>
        </w:rPr>
        <w:t>BA-L1012</w:t>
      </w:r>
      <w:r w:rsidR="00D01B88">
        <w:rPr>
          <w:rFonts w:ascii="Arial" w:hAnsi="Arial" w:cs="Arial"/>
        </w:rPr>
        <w:t>)</w:t>
      </w:r>
      <w:r>
        <w:rPr>
          <w:rFonts w:ascii="Arial" w:hAnsi="Arial" w:cs="Arial"/>
        </w:rPr>
        <w:t xml:space="preserve"> project team collected sex-disaggregated data of the staff that currently </w:t>
      </w:r>
      <w:r w:rsidR="00B47E76">
        <w:rPr>
          <w:rFonts w:ascii="Arial" w:hAnsi="Arial" w:cs="Arial"/>
        </w:rPr>
        <w:t>works at the Nacional Petroleum Corporation (NPV). The data collection demonstrated that women only represent 25% of the total number of employees in the company</w:t>
      </w:r>
      <w:r w:rsidR="00BC1959">
        <w:rPr>
          <w:rFonts w:ascii="Arial" w:hAnsi="Arial" w:cs="Arial"/>
        </w:rPr>
        <w:t xml:space="preserve">. Moreover, when analyzing the number of women in </w:t>
      </w:r>
      <w:r w:rsidR="00927E8E">
        <w:rPr>
          <w:rFonts w:ascii="Arial" w:hAnsi="Arial" w:cs="Arial"/>
        </w:rPr>
        <w:t>management and technical positions, women represent only 28% of total managers and less than 4% of technical positions.</w:t>
      </w:r>
      <w:r w:rsidR="008316DF">
        <w:rPr>
          <w:rStyle w:val="FootnoteReference"/>
          <w:rFonts w:ascii="Arial" w:hAnsi="Arial" w:cs="Arial"/>
        </w:rPr>
        <w:footnoteReference w:id="7"/>
      </w:r>
    </w:p>
    <w:p w:rsidR="00D01B88" w:rsidRPr="00AC107C" w:rsidRDefault="00D01B88" w:rsidP="005526D3">
      <w:pPr>
        <w:jc w:val="both"/>
        <w:rPr>
          <w:rFonts w:ascii="Arial" w:hAnsi="Arial" w:cs="Arial"/>
        </w:rPr>
      </w:pPr>
    </w:p>
    <w:p w:rsidR="00FA248D" w:rsidRDefault="00FA248D" w:rsidP="009D6689">
      <w:pPr>
        <w:pStyle w:val="ListParagraph"/>
        <w:numPr>
          <w:ilvl w:val="0"/>
          <w:numId w:val="1"/>
        </w:numPr>
        <w:jc w:val="both"/>
        <w:rPr>
          <w:rFonts w:ascii="Arial" w:hAnsi="Arial" w:cs="Arial"/>
          <w:b/>
        </w:rPr>
      </w:pPr>
      <w:r w:rsidRPr="009D6689">
        <w:rPr>
          <w:rFonts w:ascii="Arial" w:hAnsi="Arial" w:cs="Arial"/>
          <w:b/>
        </w:rPr>
        <w:t xml:space="preserve">Justification </w:t>
      </w:r>
      <w:r w:rsidR="00D01B88">
        <w:rPr>
          <w:rFonts w:ascii="Arial" w:hAnsi="Arial" w:cs="Arial"/>
          <w:b/>
        </w:rPr>
        <w:t xml:space="preserve">for gender </w:t>
      </w:r>
      <w:proofErr w:type="spellStart"/>
      <w:r w:rsidR="00D01B88">
        <w:rPr>
          <w:rFonts w:ascii="Arial" w:hAnsi="Arial" w:cs="Arial"/>
          <w:b/>
        </w:rPr>
        <w:t>additionality</w:t>
      </w:r>
      <w:proofErr w:type="spellEnd"/>
      <w:r w:rsidR="00D01B88">
        <w:rPr>
          <w:rFonts w:ascii="Arial" w:hAnsi="Arial" w:cs="Arial"/>
          <w:b/>
        </w:rPr>
        <w:t xml:space="preserve"> in the project </w:t>
      </w:r>
    </w:p>
    <w:p w:rsidR="000415CD" w:rsidRPr="000415CD" w:rsidRDefault="00441A6A" w:rsidP="000415CD">
      <w:pPr>
        <w:jc w:val="both"/>
        <w:rPr>
          <w:rFonts w:ascii="Arial" w:hAnsi="Arial" w:cs="Arial"/>
        </w:rPr>
      </w:pPr>
      <w:r>
        <w:rPr>
          <w:rFonts w:ascii="Arial" w:hAnsi="Arial" w:cs="Arial"/>
        </w:rPr>
        <w:t xml:space="preserve">The objective of the </w:t>
      </w:r>
      <w:r w:rsidR="008C7006" w:rsidRPr="008C7006">
        <w:rPr>
          <w:rFonts w:ascii="Arial" w:hAnsi="Arial" w:cs="Arial"/>
        </w:rPr>
        <w:t>Deployment of Cleaner Fuels and Renewable Energies in Barbados</w:t>
      </w:r>
      <w:r w:rsidR="00CE3F02">
        <w:rPr>
          <w:rFonts w:ascii="Arial" w:hAnsi="Arial" w:cs="Arial"/>
        </w:rPr>
        <w:t xml:space="preserve"> project</w:t>
      </w:r>
      <w:r w:rsidR="005A2AB6">
        <w:rPr>
          <w:rFonts w:ascii="Arial" w:hAnsi="Arial" w:cs="Arial"/>
        </w:rPr>
        <w:t xml:space="preserve"> (BA-L1012)</w:t>
      </w:r>
      <w:r w:rsidR="00CE3F02">
        <w:rPr>
          <w:rFonts w:ascii="Arial" w:hAnsi="Arial" w:cs="Arial"/>
        </w:rPr>
        <w:t xml:space="preserve"> is</w:t>
      </w:r>
      <w:r w:rsidR="00CE3F02" w:rsidRPr="00CE3F02">
        <w:rPr>
          <w:rFonts w:ascii="Arial" w:hAnsi="Arial" w:cs="Arial"/>
        </w:rPr>
        <w:t xml:space="preserve"> to support Barbados’ energy security, by reducing its dependency on liquid fossil fuels and promoting the use of cleaner fuels and smart energy solutions</w:t>
      </w:r>
      <w:r w:rsidR="00CE3F02">
        <w:rPr>
          <w:rFonts w:ascii="Arial" w:hAnsi="Arial" w:cs="Arial"/>
        </w:rPr>
        <w:t>.</w:t>
      </w:r>
      <w:r w:rsidR="008C7006">
        <w:rPr>
          <w:rFonts w:ascii="Arial" w:hAnsi="Arial" w:cs="Arial"/>
        </w:rPr>
        <w:t xml:space="preserve"> To reach this goal, one of the activities included in the components of the project is to </w:t>
      </w:r>
      <w:r w:rsidR="00CE3F02">
        <w:rPr>
          <w:rFonts w:ascii="Arial" w:hAnsi="Arial" w:cs="Arial"/>
        </w:rPr>
        <w:t xml:space="preserve">training </w:t>
      </w:r>
      <w:r w:rsidR="000415CD">
        <w:rPr>
          <w:rFonts w:ascii="Arial" w:hAnsi="Arial" w:cs="Arial"/>
        </w:rPr>
        <w:t xml:space="preserve">staff of the new organization resulting from the </w:t>
      </w:r>
      <w:r w:rsidR="000415CD" w:rsidRPr="000415CD">
        <w:rPr>
          <w:rFonts w:ascii="Arial" w:hAnsi="Arial" w:cs="Arial"/>
        </w:rPr>
        <w:t>Barbados National Oil Company Limited</w:t>
      </w:r>
      <w:r w:rsidR="000415CD">
        <w:rPr>
          <w:rFonts w:ascii="Arial" w:hAnsi="Arial" w:cs="Arial"/>
        </w:rPr>
        <w:t xml:space="preserve"> (BNOCL) and </w:t>
      </w:r>
      <w:r w:rsidR="000415CD" w:rsidRPr="000415CD">
        <w:rPr>
          <w:rFonts w:ascii="Arial" w:hAnsi="Arial" w:cs="Arial"/>
        </w:rPr>
        <w:t>National Petroleum Corporation</w:t>
      </w:r>
      <w:r w:rsidR="000415CD">
        <w:rPr>
          <w:rFonts w:ascii="Arial" w:hAnsi="Arial" w:cs="Arial"/>
        </w:rPr>
        <w:t xml:space="preserve"> (NPC) amalgamation.</w:t>
      </w:r>
    </w:p>
    <w:p w:rsidR="00232AD8" w:rsidRDefault="00232AD8" w:rsidP="00232AD8">
      <w:pPr>
        <w:spacing w:after="0"/>
        <w:jc w:val="both"/>
        <w:rPr>
          <w:rFonts w:ascii="Arial" w:eastAsia="Arial" w:hAnsi="Arial" w:cs="Arial"/>
        </w:rPr>
      </w:pPr>
    </w:p>
    <w:p w:rsidR="00232AD8" w:rsidRPr="006E17BB" w:rsidRDefault="00232AD8" w:rsidP="00232AD8">
      <w:pPr>
        <w:spacing w:after="0"/>
        <w:jc w:val="both"/>
        <w:rPr>
          <w:rFonts w:ascii="Arial" w:eastAsia="Arial" w:hAnsi="Arial" w:cs="Arial"/>
        </w:rPr>
      </w:pPr>
      <w:r>
        <w:rPr>
          <w:rFonts w:ascii="Arial" w:eastAsia="Arial" w:hAnsi="Arial" w:cs="Arial"/>
          <w:b/>
          <w:i/>
        </w:rPr>
        <w:t>Justifica</w:t>
      </w:r>
      <w:r w:rsidRPr="006E17BB">
        <w:rPr>
          <w:rFonts w:ascii="Arial" w:eastAsia="Arial" w:hAnsi="Arial" w:cs="Arial"/>
          <w:b/>
          <w:i/>
        </w:rPr>
        <w:t>tion</w:t>
      </w:r>
    </w:p>
    <w:p w:rsidR="00232AD8" w:rsidRDefault="00E30312" w:rsidP="00232AD8">
      <w:pPr>
        <w:spacing w:after="0"/>
        <w:jc w:val="both"/>
        <w:rPr>
          <w:rFonts w:ascii="Arial" w:eastAsia="Arial" w:hAnsi="Arial" w:cs="Arial"/>
        </w:rPr>
      </w:pPr>
      <w:r>
        <w:rPr>
          <w:rFonts w:ascii="Arial" w:eastAsia="Arial" w:hAnsi="Arial" w:cs="Arial"/>
        </w:rPr>
        <w:t xml:space="preserve">Worldwide, </w:t>
      </w:r>
      <w:r w:rsidR="00232AD8" w:rsidRPr="006E17BB">
        <w:rPr>
          <w:rFonts w:ascii="Arial" w:eastAsia="Arial" w:hAnsi="Arial" w:cs="Arial"/>
        </w:rPr>
        <w:t>employment distribution by sectors confirm</w:t>
      </w:r>
      <w:r>
        <w:rPr>
          <w:rFonts w:ascii="Arial" w:eastAsia="Arial" w:hAnsi="Arial" w:cs="Arial"/>
        </w:rPr>
        <w:t>s</w:t>
      </w:r>
      <w:r w:rsidR="000415CD">
        <w:rPr>
          <w:rFonts w:ascii="Arial" w:eastAsia="Arial" w:hAnsi="Arial" w:cs="Arial"/>
        </w:rPr>
        <w:t xml:space="preserve"> that women </w:t>
      </w:r>
      <w:r w:rsidR="00232AD8" w:rsidRPr="006E17BB">
        <w:rPr>
          <w:rFonts w:ascii="Arial" w:eastAsia="Arial" w:hAnsi="Arial" w:cs="Arial"/>
        </w:rPr>
        <w:t>primarily</w:t>
      </w:r>
      <w:r w:rsidR="000415CD">
        <w:rPr>
          <w:rFonts w:ascii="Arial" w:eastAsia="Arial" w:hAnsi="Arial" w:cs="Arial"/>
        </w:rPr>
        <w:t xml:space="preserve"> work </w:t>
      </w:r>
      <w:r w:rsidR="00232AD8" w:rsidRPr="006E17BB">
        <w:rPr>
          <w:rFonts w:ascii="Arial" w:eastAsia="Arial" w:hAnsi="Arial" w:cs="Arial"/>
        </w:rPr>
        <w:t>in sectors such as communication services (31%), agriculture (27%) and retail (21%), but hardly work in sectors</w:t>
      </w:r>
      <w:r w:rsidR="00DB26F7">
        <w:rPr>
          <w:rFonts w:ascii="Arial" w:eastAsia="Arial" w:hAnsi="Arial" w:cs="Arial"/>
        </w:rPr>
        <w:t xml:space="preserve"> known as “non-traditional sectors”</w:t>
      </w:r>
      <w:r w:rsidR="00232AD8" w:rsidRPr="006E17BB">
        <w:rPr>
          <w:rFonts w:ascii="Arial" w:eastAsia="Arial" w:hAnsi="Arial" w:cs="Arial"/>
        </w:rPr>
        <w:t xml:space="preserve"> such as energy (electricity and mining combined make up for 1% of total number of women workin</w:t>
      </w:r>
      <w:r w:rsidR="00232AD8">
        <w:rPr>
          <w:rFonts w:ascii="Arial" w:eastAsia="Arial" w:hAnsi="Arial" w:cs="Arial"/>
        </w:rPr>
        <w:t>g in those sectors, see graphic 2</w:t>
      </w:r>
      <w:r w:rsidR="00232AD8" w:rsidRPr="006E17BB">
        <w:rPr>
          <w:rFonts w:ascii="Arial" w:eastAsia="Arial" w:hAnsi="Arial" w:cs="Arial"/>
        </w:rPr>
        <w:t>)</w:t>
      </w:r>
      <w:r w:rsidR="00DB26F7">
        <w:rPr>
          <w:rFonts w:ascii="Arial" w:eastAsia="Arial" w:hAnsi="Arial" w:cs="Arial"/>
        </w:rPr>
        <w:t>, construction or transport</w:t>
      </w:r>
      <w:r w:rsidR="00232AD8" w:rsidRPr="006E17BB">
        <w:rPr>
          <w:rFonts w:ascii="Arial" w:eastAsia="Arial" w:hAnsi="Arial" w:cs="Arial"/>
        </w:rPr>
        <w:t>.</w:t>
      </w:r>
    </w:p>
    <w:p w:rsidR="008220A3" w:rsidRDefault="008220A3" w:rsidP="00232AD8">
      <w:pPr>
        <w:spacing w:after="0"/>
        <w:jc w:val="both"/>
        <w:rPr>
          <w:rFonts w:ascii="Arial" w:eastAsia="Arial" w:hAnsi="Arial" w:cs="Arial"/>
        </w:rPr>
      </w:pPr>
    </w:p>
    <w:p w:rsidR="008220A3" w:rsidRDefault="008220A3" w:rsidP="00232AD8">
      <w:pPr>
        <w:spacing w:after="0"/>
        <w:jc w:val="both"/>
        <w:rPr>
          <w:rFonts w:ascii="Arial" w:eastAsia="Arial" w:hAnsi="Arial" w:cs="Arial"/>
        </w:rPr>
      </w:pPr>
    </w:p>
    <w:p w:rsidR="008220A3" w:rsidRDefault="008220A3" w:rsidP="00232AD8">
      <w:pPr>
        <w:spacing w:after="0"/>
        <w:jc w:val="both"/>
        <w:rPr>
          <w:rFonts w:ascii="Arial" w:eastAsia="Arial" w:hAnsi="Arial" w:cs="Arial"/>
        </w:rPr>
      </w:pPr>
    </w:p>
    <w:p w:rsidR="008220A3" w:rsidRPr="006E17BB" w:rsidRDefault="008220A3" w:rsidP="00232AD8">
      <w:pPr>
        <w:spacing w:after="0"/>
        <w:jc w:val="both"/>
        <w:rPr>
          <w:rFonts w:ascii="Arial" w:eastAsia="Arial" w:hAnsi="Arial" w:cs="Arial"/>
        </w:rPr>
      </w:pPr>
    </w:p>
    <w:p w:rsidR="00232AD8" w:rsidRPr="006E17BB" w:rsidRDefault="00232AD8" w:rsidP="00232AD8">
      <w:pPr>
        <w:spacing w:after="0"/>
        <w:jc w:val="both"/>
        <w:rPr>
          <w:rFonts w:ascii="Arial" w:eastAsia="Arial" w:hAnsi="Arial" w:cs="Arial"/>
        </w:rPr>
      </w:pPr>
    </w:p>
    <w:p w:rsidR="00232AD8" w:rsidRDefault="00232AD8" w:rsidP="00232AD8">
      <w:pPr>
        <w:spacing w:after="0"/>
        <w:jc w:val="center"/>
        <w:rPr>
          <w:rFonts w:ascii="Arial" w:eastAsia="Arial" w:hAnsi="Arial" w:cs="Arial"/>
          <w:u w:val="single"/>
        </w:rPr>
      </w:pPr>
      <w:r w:rsidRPr="006E17BB">
        <w:rPr>
          <w:rFonts w:ascii="Arial" w:eastAsia="Arial" w:hAnsi="Arial" w:cs="Arial"/>
          <w:u w:val="single"/>
        </w:rPr>
        <w:lastRenderedPageBreak/>
        <w:t>Gr</w:t>
      </w:r>
      <w:r>
        <w:rPr>
          <w:rFonts w:ascii="Arial" w:eastAsia="Arial" w:hAnsi="Arial" w:cs="Arial"/>
          <w:u w:val="single"/>
        </w:rPr>
        <w:t>aphic 2</w:t>
      </w:r>
      <w:r w:rsidRPr="006E17BB">
        <w:rPr>
          <w:rFonts w:ascii="Arial" w:eastAsia="Arial" w:hAnsi="Arial" w:cs="Arial"/>
          <w:u w:val="single"/>
        </w:rPr>
        <w:t xml:space="preserve"> - Female and Male Employment Distribution by Sectors</w:t>
      </w:r>
    </w:p>
    <w:p w:rsidR="00232AD8" w:rsidRPr="006E17BB" w:rsidRDefault="00232AD8" w:rsidP="00232AD8">
      <w:pPr>
        <w:spacing w:after="0"/>
        <w:jc w:val="both"/>
        <w:rPr>
          <w:rFonts w:ascii="Arial" w:eastAsia="Arial" w:hAnsi="Arial" w:cs="Arial"/>
        </w:rPr>
      </w:pPr>
    </w:p>
    <w:p w:rsidR="00232AD8" w:rsidRPr="006E17BB" w:rsidRDefault="00232AD8" w:rsidP="00232AD8">
      <w:pPr>
        <w:spacing w:after="0"/>
        <w:jc w:val="center"/>
        <w:rPr>
          <w:rFonts w:ascii="Arial" w:eastAsia="Arial" w:hAnsi="Arial" w:cs="Arial"/>
        </w:rPr>
      </w:pPr>
      <w:r>
        <w:rPr>
          <w:rFonts w:ascii="Arial" w:eastAsia="Arial" w:hAnsi="Arial" w:cs="Arial"/>
          <w:noProof/>
        </w:rPr>
        <w:drawing>
          <wp:inline distT="0" distB="0" distL="0" distR="0" wp14:anchorId="5201458E" wp14:editId="15D62E9B">
            <wp:extent cx="2651760" cy="2303989"/>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7459" cy="2308941"/>
                    </a:xfrm>
                    <a:prstGeom prst="rect">
                      <a:avLst/>
                    </a:prstGeom>
                    <a:noFill/>
                    <a:ln>
                      <a:noFill/>
                    </a:ln>
                  </pic:spPr>
                </pic:pic>
              </a:graphicData>
            </a:graphic>
          </wp:inline>
        </w:drawing>
      </w:r>
    </w:p>
    <w:p w:rsidR="00232AD8" w:rsidRDefault="00232AD8" w:rsidP="00232AD8">
      <w:pPr>
        <w:spacing w:after="0"/>
        <w:jc w:val="both"/>
        <w:rPr>
          <w:rFonts w:ascii="Arial" w:eastAsia="Arial" w:hAnsi="Arial" w:cs="Arial"/>
        </w:rPr>
      </w:pPr>
    </w:p>
    <w:p w:rsidR="00232AD8" w:rsidRPr="00E129F2" w:rsidRDefault="00232AD8" w:rsidP="00232AD8">
      <w:pPr>
        <w:spacing w:after="0"/>
        <w:jc w:val="both"/>
        <w:rPr>
          <w:rFonts w:ascii="Arial" w:eastAsia="Arial" w:hAnsi="Arial" w:cs="Arial"/>
          <w:sz w:val="16"/>
          <w:szCs w:val="16"/>
        </w:rPr>
      </w:pPr>
      <w:r w:rsidRPr="00E129F2">
        <w:rPr>
          <w:rFonts w:ascii="Arial" w:eastAsia="Arial" w:hAnsi="Arial" w:cs="Arial"/>
          <w:sz w:val="16"/>
          <w:szCs w:val="16"/>
        </w:rPr>
        <w:t>Source: World Bank (2012). World Development Report 2012: Gender Equality and Development.</w:t>
      </w:r>
    </w:p>
    <w:p w:rsidR="00232AD8" w:rsidRPr="006E17BB" w:rsidRDefault="00232AD8" w:rsidP="00232AD8">
      <w:pPr>
        <w:spacing w:after="0"/>
        <w:jc w:val="both"/>
        <w:rPr>
          <w:rFonts w:ascii="Arial" w:eastAsia="Arial" w:hAnsi="Arial" w:cs="Arial"/>
        </w:rPr>
      </w:pPr>
    </w:p>
    <w:p w:rsidR="00232AD8" w:rsidRPr="006E17BB" w:rsidRDefault="00232AD8" w:rsidP="00232AD8">
      <w:pPr>
        <w:spacing w:after="0"/>
        <w:jc w:val="both"/>
        <w:rPr>
          <w:rFonts w:ascii="Arial" w:eastAsia="Arial" w:hAnsi="Arial" w:cs="Arial"/>
        </w:rPr>
      </w:pPr>
      <w:r w:rsidRPr="006E17BB">
        <w:rPr>
          <w:rFonts w:ascii="Arial" w:eastAsia="Arial" w:hAnsi="Arial" w:cs="Arial"/>
        </w:rPr>
        <w:t>The concentration of female</w:t>
      </w:r>
      <w:r w:rsidR="00191329">
        <w:rPr>
          <w:rFonts w:ascii="Arial" w:eastAsia="Arial" w:hAnsi="Arial" w:cs="Arial"/>
        </w:rPr>
        <w:t>s</w:t>
      </w:r>
      <w:r w:rsidRPr="006E17BB">
        <w:rPr>
          <w:rFonts w:ascii="Arial" w:eastAsia="Arial" w:hAnsi="Arial" w:cs="Arial"/>
        </w:rPr>
        <w:t xml:space="preserve"> and males in different sectors constitu</w:t>
      </w:r>
      <w:r>
        <w:rPr>
          <w:rFonts w:ascii="Arial" w:eastAsia="Arial" w:hAnsi="Arial" w:cs="Arial"/>
        </w:rPr>
        <w:t>te one of the most significant</w:t>
      </w:r>
      <w:r w:rsidRPr="006E17BB">
        <w:rPr>
          <w:rFonts w:ascii="Arial" w:eastAsia="Arial" w:hAnsi="Arial" w:cs="Arial"/>
        </w:rPr>
        <w:t xml:space="preserve"> areas where gender inequality manifest</w:t>
      </w:r>
      <w:r w:rsidR="0010667C">
        <w:rPr>
          <w:rFonts w:ascii="Arial" w:eastAsia="Arial" w:hAnsi="Arial" w:cs="Arial"/>
        </w:rPr>
        <w:t xml:space="preserve">s itself </w:t>
      </w:r>
      <w:r w:rsidRPr="006E17BB">
        <w:rPr>
          <w:rFonts w:ascii="Arial" w:eastAsia="Arial" w:hAnsi="Arial" w:cs="Arial"/>
        </w:rPr>
        <w:t xml:space="preserve">when analyzing labor </w:t>
      </w:r>
      <w:r w:rsidR="00DB26F7" w:rsidRPr="006E17BB">
        <w:rPr>
          <w:rFonts w:ascii="Arial" w:eastAsia="Arial" w:hAnsi="Arial" w:cs="Arial"/>
        </w:rPr>
        <w:t>markets</w:t>
      </w:r>
      <w:r w:rsidRPr="006E17BB">
        <w:rPr>
          <w:rFonts w:ascii="Arial" w:eastAsia="Arial" w:hAnsi="Arial" w:cs="Arial"/>
        </w:rPr>
        <w:t xml:space="preserve"> and it is closely related to gender income gaps</w:t>
      </w:r>
      <w:r w:rsidRPr="006E17BB">
        <w:rPr>
          <w:rFonts w:ascii="Arial" w:eastAsia="Arial" w:hAnsi="Arial" w:cs="Arial"/>
          <w:vertAlign w:val="superscript"/>
        </w:rPr>
        <w:footnoteReference w:id="8"/>
      </w:r>
      <w:r w:rsidRPr="006E17BB">
        <w:rPr>
          <w:rFonts w:ascii="Arial" w:eastAsia="Arial" w:hAnsi="Arial" w:cs="Arial"/>
        </w:rPr>
        <w:t xml:space="preserve">. </w:t>
      </w:r>
      <w:r w:rsidR="000415CD">
        <w:rPr>
          <w:rFonts w:ascii="Arial" w:eastAsia="Arial" w:hAnsi="Arial" w:cs="Arial"/>
        </w:rPr>
        <w:t>In fact, a study by the</w:t>
      </w:r>
      <w:r w:rsidRPr="006E17BB">
        <w:rPr>
          <w:rFonts w:ascii="Arial" w:eastAsia="Arial" w:hAnsi="Arial" w:cs="Arial"/>
        </w:rPr>
        <w:t xml:space="preserve"> organization Wider Opportunities for Women found that in the US women that work in traditional sectors, such as services and retails, earn between 20% and 30% less than women that work in no</w:t>
      </w:r>
      <w:r w:rsidR="002C08EA">
        <w:rPr>
          <w:rFonts w:ascii="Arial" w:eastAsia="Arial" w:hAnsi="Arial" w:cs="Arial"/>
        </w:rPr>
        <w:t>n-</w:t>
      </w:r>
      <w:r w:rsidRPr="006E17BB">
        <w:rPr>
          <w:rFonts w:ascii="Arial" w:eastAsia="Arial" w:hAnsi="Arial" w:cs="Arial"/>
        </w:rPr>
        <w:t>traditional sectors</w:t>
      </w:r>
      <w:r w:rsidR="000415CD">
        <w:rPr>
          <w:rStyle w:val="FootnoteReference"/>
          <w:rFonts w:ascii="Arial" w:eastAsia="Arial" w:hAnsi="Arial" w:cs="Arial"/>
        </w:rPr>
        <w:footnoteReference w:id="9"/>
      </w:r>
      <w:r w:rsidRPr="006E17BB">
        <w:rPr>
          <w:rFonts w:ascii="Arial" w:eastAsia="Arial" w:hAnsi="Arial" w:cs="Arial"/>
        </w:rPr>
        <w:t xml:space="preserve"> (such as metalwork or truck drivers). Moreover, these non-traditional sectors tend to offer better benefits for its employees since they are highly unio</w:t>
      </w:r>
      <w:r>
        <w:rPr>
          <w:rFonts w:ascii="Arial" w:eastAsia="Arial" w:hAnsi="Arial" w:cs="Arial"/>
        </w:rPr>
        <w:t>ni</w:t>
      </w:r>
      <w:r w:rsidRPr="006E17BB">
        <w:rPr>
          <w:rFonts w:ascii="Arial" w:eastAsia="Arial" w:hAnsi="Arial" w:cs="Arial"/>
        </w:rPr>
        <w:t>zed and offer the possibilities of professional growth thro</w:t>
      </w:r>
      <w:r w:rsidR="00662143">
        <w:rPr>
          <w:rFonts w:ascii="Arial" w:eastAsia="Arial" w:hAnsi="Arial" w:cs="Arial"/>
        </w:rPr>
        <w:t xml:space="preserve">ugh promotions. </w:t>
      </w:r>
    </w:p>
    <w:p w:rsidR="00232AD8" w:rsidRDefault="00232AD8" w:rsidP="00232AD8">
      <w:pPr>
        <w:spacing w:after="0"/>
        <w:jc w:val="both"/>
      </w:pPr>
    </w:p>
    <w:p w:rsidR="00232AD8" w:rsidRDefault="00232AD8" w:rsidP="00232AD8">
      <w:pPr>
        <w:spacing w:after="0"/>
        <w:jc w:val="center"/>
      </w:pPr>
      <w:r>
        <w:rPr>
          <w:rFonts w:ascii="Arial" w:eastAsia="Arial" w:hAnsi="Arial" w:cs="Arial"/>
          <w:u w:val="single"/>
        </w:rPr>
        <w:t>Table 2 - Monthly Average Female Salary by Type of Work, USA</w:t>
      </w:r>
    </w:p>
    <w:p w:rsidR="00232AD8" w:rsidRDefault="00232AD8" w:rsidP="00232AD8">
      <w:pPr>
        <w:jc w:val="center"/>
        <w:rPr>
          <w:rFonts w:ascii="Arial" w:hAnsi="Arial" w:cs="Arial"/>
          <w:b/>
        </w:rPr>
      </w:pPr>
      <w:r>
        <w:rPr>
          <w:noProof/>
        </w:rPr>
        <w:drawing>
          <wp:inline distT="114300" distB="114300" distL="114300" distR="114300" wp14:anchorId="54C6B7DD" wp14:editId="66888508">
            <wp:extent cx="2712720" cy="1813560"/>
            <wp:effectExtent l="0" t="0" r="0" b="0"/>
            <wp:docPr id="8" name="image08.png" descr="Screen Shot 2016-07-03 at 3.52.44 PM.png"/>
            <wp:cNvGraphicFramePr/>
            <a:graphic xmlns:a="http://schemas.openxmlformats.org/drawingml/2006/main">
              <a:graphicData uri="http://schemas.openxmlformats.org/drawingml/2006/picture">
                <pic:pic xmlns:pic="http://schemas.openxmlformats.org/drawingml/2006/picture">
                  <pic:nvPicPr>
                    <pic:cNvPr id="0" name="image08.png" descr="Screen Shot 2016-07-03 at 3.52.44 PM.png"/>
                    <pic:cNvPicPr preferRelativeResize="0"/>
                  </pic:nvPicPr>
                  <pic:blipFill>
                    <a:blip r:embed="rId12"/>
                    <a:srcRect/>
                    <a:stretch>
                      <a:fillRect/>
                    </a:stretch>
                  </pic:blipFill>
                  <pic:spPr>
                    <a:xfrm>
                      <a:off x="0" y="0"/>
                      <a:ext cx="2714370" cy="1814663"/>
                    </a:xfrm>
                    <a:prstGeom prst="rect">
                      <a:avLst/>
                    </a:prstGeom>
                    <a:ln/>
                  </pic:spPr>
                </pic:pic>
              </a:graphicData>
            </a:graphic>
          </wp:inline>
        </w:drawing>
      </w:r>
    </w:p>
    <w:p w:rsidR="00232AD8" w:rsidRPr="00DE5BE2" w:rsidRDefault="00232AD8" w:rsidP="00232AD8">
      <w:pPr>
        <w:rPr>
          <w:rFonts w:ascii="Arial" w:hAnsi="Arial" w:cs="Arial"/>
          <w:b/>
        </w:rPr>
      </w:pPr>
      <w:r>
        <w:rPr>
          <w:rFonts w:ascii="Arial" w:eastAsia="Arial" w:hAnsi="Arial" w:cs="Arial"/>
          <w:sz w:val="16"/>
          <w:szCs w:val="16"/>
        </w:rPr>
        <w:t xml:space="preserve">Source: Wider Opportunities for Women (2010). </w:t>
      </w:r>
      <w:proofErr w:type="gramStart"/>
      <w:r>
        <w:rPr>
          <w:rFonts w:ascii="Arial" w:eastAsia="Arial" w:hAnsi="Arial" w:cs="Arial"/>
          <w:sz w:val="16"/>
          <w:szCs w:val="16"/>
        </w:rPr>
        <w:t>Women and Nontraditional Work.</w:t>
      </w:r>
      <w:proofErr w:type="gramEnd"/>
      <w:r>
        <w:rPr>
          <w:rFonts w:ascii="Arial" w:eastAsia="Arial" w:hAnsi="Arial" w:cs="Arial"/>
          <w:sz w:val="16"/>
          <w:szCs w:val="16"/>
        </w:rPr>
        <w:t xml:space="preserve"> Washington DC.</w:t>
      </w:r>
    </w:p>
    <w:p w:rsidR="0000415D" w:rsidRDefault="0012789B" w:rsidP="0000415D">
      <w:pPr>
        <w:spacing w:after="0"/>
        <w:jc w:val="both"/>
        <w:rPr>
          <w:rFonts w:ascii="Arial" w:eastAsia="Arial" w:hAnsi="Arial" w:cs="Arial"/>
        </w:rPr>
      </w:pPr>
      <w:r>
        <w:rPr>
          <w:rFonts w:ascii="Arial" w:eastAsia="Arial" w:hAnsi="Arial" w:cs="Arial"/>
        </w:rPr>
        <w:lastRenderedPageBreak/>
        <w:t xml:space="preserve">It is also important to highlight that </w:t>
      </w:r>
      <w:r w:rsidR="0000415D">
        <w:rPr>
          <w:rFonts w:ascii="Arial" w:eastAsia="Arial" w:hAnsi="Arial" w:cs="Arial"/>
        </w:rPr>
        <w:t>a lot of women that work in non-traditional sectors end up leaving those sectors because the companies and organizations they work for have not been able to adapt to the needs and demands of their female employees. This translates into very few women in technical and managerial positions in non-traditional sectors. In fact, a</w:t>
      </w:r>
      <w:r w:rsidR="0000415D" w:rsidRPr="0000415D">
        <w:rPr>
          <w:rFonts w:ascii="Arial" w:eastAsia="Arial" w:hAnsi="Arial" w:cs="Arial"/>
        </w:rPr>
        <w:t>ccording to an Ernst and Young survey, worldwide women made up 5% of executive board members, 19% of non-executive directors’ members and 14% of senior management leadership positions in the top 200 power and utilities companies in 2016</w:t>
      </w:r>
      <w:r w:rsidR="0000415D" w:rsidRPr="0000415D">
        <w:rPr>
          <w:rFonts w:ascii="Arial" w:eastAsia="Arial" w:hAnsi="Arial" w:cs="Arial"/>
          <w:vertAlign w:val="superscript"/>
        </w:rPr>
        <w:footnoteReference w:id="10"/>
      </w:r>
      <w:r w:rsidR="0000415D" w:rsidRPr="0000415D">
        <w:rPr>
          <w:rFonts w:ascii="Arial" w:eastAsia="Arial" w:hAnsi="Arial" w:cs="Arial"/>
        </w:rPr>
        <w:t>. When analyzing the Latin American and Caribbean (</w:t>
      </w:r>
      <w:r w:rsidR="00C20E17">
        <w:rPr>
          <w:rFonts w:ascii="Arial" w:eastAsia="Arial" w:hAnsi="Arial" w:cs="Arial"/>
        </w:rPr>
        <w:t>LAC</w:t>
      </w:r>
      <w:r w:rsidR="0000415D" w:rsidRPr="0000415D">
        <w:rPr>
          <w:rFonts w:ascii="Arial" w:eastAsia="Arial" w:hAnsi="Arial" w:cs="Arial"/>
        </w:rPr>
        <w:t>), the region has the highest percentage of female executive directors, but they only r</w:t>
      </w:r>
      <w:r w:rsidR="0000415D">
        <w:rPr>
          <w:rFonts w:ascii="Arial" w:eastAsia="Arial" w:hAnsi="Arial" w:cs="Arial"/>
        </w:rPr>
        <w:t xml:space="preserve">epresent 9% of the total executive directors </w:t>
      </w:r>
      <w:r w:rsidR="0000415D" w:rsidRPr="0000415D">
        <w:rPr>
          <w:rFonts w:ascii="Arial" w:eastAsia="Arial" w:hAnsi="Arial" w:cs="Arial"/>
        </w:rPr>
        <w:t xml:space="preserve">(or 2 executive directors when looking at absolute numbers). Moreover, in </w:t>
      </w:r>
      <w:r w:rsidR="00C20E17">
        <w:rPr>
          <w:rFonts w:ascii="Arial" w:eastAsia="Arial" w:hAnsi="Arial" w:cs="Arial"/>
        </w:rPr>
        <w:t>LAC</w:t>
      </w:r>
      <w:r w:rsidR="00C20E17" w:rsidRPr="0000415D">
        <w:rPr>
          <w:rFonts w:ascii="Arial" w:eastAsia="Arial" w:hAnsi="Arial" w:cs="Arial"/>
        </w:rPr>
        <w:t xml:space="preserve"> </w:t>
      </w:r>
      <w:r w:rsidR="0000415D" w:rsidRPr="0000415D">
        <w:rPr>
          <w:rFonts w:ascii="Arial" w:eastAsia="Arial" w:hAnsi="Arial" w:cs="Arial"/>
        </w:rPr>
        <w:t>7% of non-executive directors and 17% of senior management leaders are women (see gra</w:t>
      </w:r>
      <w:r w:rsidR="000A1A00">
        <w:rPr>
          <w:rFonts w:ascii="Arial" w:eastAsia="Arial" w:hAnsi="Arial" w:cs="Arial"/>
        </w:rPr>
        <w:t>phic 3</w:t>
      </w:r>
      <w:r w:rsidR="0000415D" w:rsidRPr="0000415D">
        <w:rPr>
          <w:rFonts w:ascii="Arial" w:eastAsia="Arial" w:hAnsi="Arial" w:cs="Arial"/>
        </w:rPr>
        <w:t>). Overall, women in the region represent only 19.7% of the total number of employees in the electricity, gas and water sector.</w:t>
      </w:r>
      <w:r w:rsidR="0000415D" w:rsidRPr="0000415D">
        <w:rPr>
          <w:rFonts w:ascii="Arial" w:eastAsia="Arial" w:hAnsi="Arial" w:cs="Arial"/>
          <w:vertAlign w:val="superscript"/>
        </w:rPr>
        <w:footnoteReference w:id="11"/>
      </w:r>
      <w:r w:rsidR="0000415D" w:rsidRPr="0000415D">
        <w:rPr>
          <w:rFonts w:ascii="Arial" w:eastAsia="Arial" w:hAnsi="Arial" w:cs="Arial"/>
        </w:rPr>
        <w:t xml:space="preserve"> </w:t>
      </w:r>
      <w:r w:rsidR="0000415D">
        <w:rPr>
          <w:rFonts w:ascii="Arial" w:eastAsia="Arial" w:hAnsi="Arial" w:cs="Arial"/>
        </w:rPr>
        <w:t>Hence, th</w:t>
      </w:r>
      <w:r w:rsidR="0000415D" w:rsidRPr="0000415D">
        <w:rPr>
          <w:rFonts w:ascii="Arial" w:eastAsia="Arial" w:hAnsi="Arial" w:cs="Arial"/>
        </w:rPr>
        <w:t xml:space="preserve">ese sectors need to not only </w:t>
      </w:r>
      <w:r w:rsidR="0000415D">
        <w:rPr>
          <w:rFonts w:ascii="Arial" w:eastAsia="Arial" w:hAnsi="Arial" w:cs="Arial"/>
        </w:rPr>
        <w:t xml:space="preserve">attract more women, but also need to </w:t>
      </w:r>
      <w:r w:rsidR="0000415D" w:rsidRPr="0000415D">
        <w:rPr>
          <w:rFonts w:ascii="Arial" w:eastAsia="Arial" w:hAnsi="Arial" w:cs="Arial"/>
        </w:rPr>
        <w:t>adapt their policies to encourage</w:t>
      </w:r>
      <w:r w:rsidR="0000415D">
        <w:rPr>
          <w:rFonts w:ascii="Arial" w:eastAsia="Arial" w:hAnsi="Arial" w:cs="Arial"/>
        </w:rPr>
        <w:t xml:space="preserve"> more work/life balance, and combine them with the development of</w:t>
      </w:r>
      <w:r w:rsidR="0000415D" w:rsidRPr="0000415D">
        <w:rPr>
          <w:rFonts w:ascii="Arial" w:eastAsia="Arial" w:hAnsi="Arial" w:cs="Arial"/>
        </w:rPr>
        <w:t xml:space="preserve"> programs that help women to gain new skills, develop their networks and propel their professional careers. Training programs are</w:t>
      </w:r>
      <w:r w:rsidR="0000415D">
        <w:rPr>
          <w:rFonts w:ascii="Arial" w:eastAsia="Arial" w:hAnsi="Arial" w:cs="Arial"/>
        </w:rPr>
        <w:t>,</w:t>
      </w:r>
      <w:r w:rsidR="0000415D" w:rsidRPr="0000415D">
        <w:rPr>
          <w:rFonts w:ascii="Arial" w:eastAsia="Arial" w:hAnsi="Arial" w:cs="Arial"/>
        </w:rPr>
        <w:t xml:space="preserve"> for example</w:t>
      </w:r>
      <w:r w:rsidR="0000415D">
        <w:rPr>
          <w:rFonts w:ascii="Arial" w:eastAsia="Arial" w:hAnsi="Arial" w:cs="Arial"/>
        </w:rPr>
        <w:t>, a good way to help women’s career in these sectors.</w:t>
      </w:r>
    </w:p>
    <w:p w:rsidR="0000415D" w:rsidRDefault="0000415D" w:rsidP="0000415D">
      <w:pPr>
        <w:spacing w:after="0"/>
        <w:jc w:val="both"/>
        <w:rPr>
          <w:rFonts w:ascii="Arial" w:eastAsia="Arial" w:hAnsi="Arial" w:cs="Arial"/>
        </w:rPr>
      </w:pPr>
    </w:p>
    <w:p w:rsidR="0000415D" w:rsidRPr="0000415D" w:rsidRDefault="0000415D" w:rsidP="0000415D">
      <w:pPr>
        <w:spacing w:after="0"/>
        <w:jc w:val="both"/>
        <w:rPr>
          <w:rFonts w:ascii="Arial" w:eastAsia="Arial" w:hAnsi="Arial" w:cs="Arial"/>
        </w:rPr>
      </w:pPr>
    </w:p>
    <w:p w:rsidR="0000415D" w:rsidRPr="0000415D" w:rsidRDefault="000A1A00" w:rsidP="0000415D">
      <w:pPr>
        <w:spacing w:after="0"/>
        <w:jc w:val="center"/>
        <w:rPr>
          <w:rFonts w:ascii="Arial" w:eastAsia="Arial" w:hAnsi="Arial" w:cs="Arial"/>
          <w:u w:val="single"/>
        </w:rPr>
      </w:pPr>
      <w:r>
        <w:rPr>
          <w:rFonts w:ascii="Arial" w:eastAsia="Arial" w:hAnsi="Arial" w:cs="Arial"/>
          <w:u w:val="single"/>
        </w:rPr>
        <w:t>Graphic 3</w:t>
      </w:r>
      <w:r w:rsidR="0000415D" w:rsidRPr="0000415D">
        <w:rPr>
          <w:rFonts w:ascii="Arial" w:eastAsia="Arial" w:hAnsi="Arial" w:cs="Arial"/>
          <w:u w:val="single"/>
        </w:rPr>
        <w:t xml:space="preserve"> – Geographical Breakdown of Women in Strategic Roles in top 200 utilities</w:t>
      </w:r>
    </w:p>
    <w:p w:rsidR="0000415D" w:rsidRPr="0000415D" w:rsidRDefault="0000415D" w:rsidP="0000415D">
      <w:pPr>
        <w:spacing w:after="0"/>
        <w:jc w:val="center"/>
        <w:rPr>
          <w:rFonts w:ascii="Arial" w:eastAsia="Arial" w:hAnsi="Arial" w:cs="Arial"/>
        </w:rPr>
      </w:pPr>
      <w:r w:rsidRPr="0000415D">
        <w:rPr>
          <w:rFonts w:ascii="Arial" w:eastAsia="Arial" w:hAnsi="Arial" w:cs="Arial"/>
          <w:noProof/>
        </w:rPr>
        <w:drawing>
          <wp:inline distT="0" distB="0" distL="0" distR="0" wp14:anchorId="62649D53" wp14:editId="48F45371">
            <wp:extent cx="4366124" cy="27279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70565" cy="2730735"/>
                    </a:xfrm>
                    <a:prstGeom prst="rect">
                      <a:avLst/>
                    </a:prstGeom>
                    <a:noFill/>
                    <a:ln>
                      <a:noFill/>
                    </a:ln>
                  </pic:spPr>
                </pic:pic>
              </a:graphicData>
            </a:graphic>
          </wp:inline>
        </w:drawing>
      </w:r>
    </w:p>
    <w:p w:rsidR="0000415D" w:rsidRPr="0000415D" w:rsidRDefault="0000415D" w:rsidP="0000415D">
      <w:pPr>
        <w:spacing w:after="0"/>
        <w:jc w:val="both"/>
        <w:rPr>
          <w:rFonts w:ascii="Arial" w:eastAsia="Arial" w:hAnsi="Arial" w:cs="Arial"/>
        </w:rPr>
      </w:pPr>
      <w:r w:rsidRPr="000A1A00">
        <w:rPr>
          <w:rFonts w:ascii="Arial" w:eastAsia="Arial" w:hAnsi="Arial" w:cs="Arial"/>
          <w:sz w:val="16"/>
          <w:szCs w:val="16"/>
        </w:rPr>
        <w:t>Source: Ernst and Young (2016). Women in Power and Utilities: Index 2016</w:t>
      </w:r>
      <w:r w:rsidRPr="0000415D">
        <w:rPr>
          <w:rFonts w:ascii="Arial" w:eastAsia="Arial" w:hAnsi="Arial" w:cs="Arial"/>
        </w:rPr>
        <w:t>.</w:t>
      </w:r>
    </w:p>
    <w:p w:rsidR="0012789B" w:rsidRDefault="0012789B" w:rsidP="00232AD8">
      <w:pPr>
        <w:spacing w:after="0"/>
        <w:jc w:val="both"/>
        <w:rPr>
          <w:rFonts w:ascii="Arial" w:eastAsia="Arial" w:hAnsi="Arial" w:cs="Arial"/>
        </w:rPr>
      </w:pPr>
    </w:p>
    <w:p w:rsidR="00232AD8" w:rsidRDefault="000A1A00" w:rsidP="00232AD8">
      <w:pPr>
        <w:spacing w:after="0"/>
        <w:jc w:val="both"/>
        <w:rPr>
          <w:rFonts w:ascii="Arial" w:eastAsia="Arial" w:hAnsi="Arial" w:cs="Arial"/>
        </w:rPr>
      </w:pPr>
      <w:r>
        <w:rPr>
          <w:rFonts w:ascii="Arial" w:eastAsia="Arial" w:hAnsi="Arial" w:cs="Arial"/>
        </w:rPr>
        <w:t>All this is relevant since the energy sector, particularly the R</w:t>
      </w:r>
      <w:r w:rsidR="008220A3">
        <w:rPr>
          <w:rFonts w:ascii="Arial" w:eastAsia="Arial" w:hAnsi="Arial" w:cs="Arial"/>
        </w:rPr>
        <w:t xml:space="preserve">enewable </w:t>
      </w:r>
      <w:r>
        <w:rPr>
          <w:rFonts w:ascii="Arial" w:eastAsia="Arial" w:hAnsi="Arial" w:cs="Arial"/>
        </w:rPr>
        <w:t>E</w:t>
      </w:r>
      <w:r w:rsidR="008220A3">
        <w:rPr>
          <w:rFonts w:ascii="Arial" w:eastAsia="Arial" w:hAnsi="Arial" w:cs="Arial"/>
        </w:rPr>
        <w:t>nergy</w:t>
      </w:r>
      <w:r>
        <w:rPr>
          <w:rFonts w:ascii="Arial" w:eastAsia="Arial" w:hAnsi="Arial" w:cs="Arial"/>
        </w:rPr>
        <w:t xml:space="preserve"> </w:t>
      </w:r>
      <w:r w:rsidR="008220A3">
        <w:rPr>
          <w:rFonts w:ascii="Arial" w:eastAsia="Arial" w:hAnsi="Arial" w:cs="Arial"/>
        </w:rPr>
        <w:t xml:space="preserve">(RE) </w:t>
      </w:r>
      <w:r>
        <w:rPr>
          <w:rFonts w:ascii="Arial" w:eastAsia="Arial" w:hAnsi="Arial" w:cs="Arial"/>
        </w:rPr>
        <w:t>sector continues to grow. I</w:t>
      </w:r>
      <w:r w:rsidR="00232AD8">
        <w:rPr>
          <w:rFonts w:ascii="Arial" w:eastAsia="Arial" w:hAnsi="Arial" w:cs="Arial"/>
        </w:rPr>
        <w:t>n 2013, worldwide over 6.5 million direct and indirect jobs were created in the renewable energy sector and according to the International Renewable Energy Agency (IRENA) more than 16.7 million jobs could be generated in this sector by 2030</w:t>
      </w:r>
      <w:r w:rsidR="00232AD8">
        <w:rPr>
          <w:rStyle w:val="FootnoteReference"/>
          <w:rFonts w:ascii="Arial" w:eastAsia="Arial" w:hAnsi="Arial" w:cs="Arial"/>
        </w:rPr>
        <w:footnoteReference w:id="12"/>
      </w:r>
      <w:r w:rsidR="00232AD8">
        <w:rPr>
          <w:rFonts w:ascii="Arial" w:eastAsia="Arial" w:hAnsi="Arial" w:cs="Arial"/>
        </w:rPr>
        <w:t xml:space="preserve">. </w:t>
      </w:r>
      <w:r w:rsidR="00232AD8" w:rsidRPr="009D427B">
        <w:rPr>
          <w:rFonts w:ascii="Arial" w:eastAsia="Arial" w:hAnsi="Arial" w:cs="Arial"/>
        </w:rPr>
        <w:t xml:space="preserve">For example, the United States is seeing a rapid rise in deployment of solar </w:t>
      </w:r>
      <w:r w:rsidR="00232AD8">
        <w:rPr>
          <w:rFonts w:ascii="Arial" w:eastAsia="Arial" w:hAnsi="Arial" w:cs="Arial"/>
        </w:rPr>
        <w:t>photovoltaic (</w:t>
      </w:r>
      <w:r w:rsidR="00232AD8" w:rsidRPr="009D427B">
        <w:rPr>
          <w:rFonts w:ascii="Arial" w:eastAsia="Arial" w:hAnsi="Arial" w:cs="Arial"/>
        </w:rPr>
        <w:t>PV</w:t>
      </w:r>
      <w:r w:rsidR="00232AD8">
        <w:rPr>
          <w:rFonts w:ascii="Arial" w:eastAsia="Arial" w:hAnsi="Arial" w:cs="Arial"/>
        </w:rPr>
        <w:t>)</w:t>
      </w:r>
      <w:r w:rsidR="00232AD8" w:rsidRPr="009D427B">
        <w:rPr>
          <w:rFonts w:ascii="Arial" w:eastAsia="Arial" w:hAnsi="Arial" w:cs="Arial"/>
        </w:rPr>
        <w:t xml:space="preserve"> in particular, </w:t>
      </w:r>
      <w:r w:rsidR="00232AD8" w:rsidRPr="009D427B">
        <w:rPr>
          <w:rFonts w:ascii="Arial" w:eastAsia="Arial" w:hAnsi="Arial" w:cs="Arial"/>
        </w:rPr>
        <w:lastRenderedPageBreak/>
        <w:t>along with strong investment in wind in several states and a leading focus on development of advanced biofuels. Overall, wind jobs in the US have increased by almost half - 43% - since last count to 73,000, whilst total solar employment surged 22% to 173,800 in 2014. And the employment of women in the US solar industry is on the rise, increasing from 26,700 to 37,500 last year</w:t>
      </w:r>
      <w:r w:rsidR="00232AD8">
        <w:rPr>
          <w:rStyle w:val="FootnoteReference"/>
          <w:rFonts w:ascii="Arial" w:eastAsia="Arial" w:hAnsi="Arial" w:cs="Arial"/>
        </w:rPr>
        <w:footnoteReference w:id="13"/>
      </w:r>
      <w:r w:rsidR="00232AD8" w:rsidRPr="009D427B">
        <w:rPr>
          <w:rFonts w:ascii="Arial" w:eastAsia="Arial" w:hAnsi="Arial" w:cs="Arial"/>
        </w:rPr>
        <w:t xml:space="preserve">. </w:t>
      </w:r>
      <w:r w:rsidR="00232AD8">
        <w:rPr>
          <w:rFonts w:ascii="Arial" w:eastAsia="Arial" w:hAnsi="Arial" w:cs="Arial"/>
        </w:rPr>
        <w:t>In the LAC region, Brazil has created a considerable number of jobs in the renewable energy sector. For example, in 2013, 32,000 people were employed in the wind industry; however, the sector is predominantly male since women only account for 20 to 24% of total jobs</w:t>
      </w:r>
      <w:r w:rsidR="00232AD8">
        <w:rPr>
          <w:rStyle w:val="FootnoteReference"/>
          <w:rFonts w:ascii="Arial" w:eastAsia="Arial" w:hAnsi="Arial" w:cs="Arial"/>
        </w:rPr>
        <w:footnoteReference w:id="14"/>
      </w:r>
      <w:r w:rsidR="00232AD8">
        <w:rPr>
          <w:rFonts w:ascii="Arial" w:eastAsia="Arial" w:hAnsi="Arial" w:cs="Arial"/>
        </w:rPr>
        <w:t xml:space="preserve">. </w:t>
      </w:r>
    </w:p>
    <w:p w:rsidR="00232AD8" w:rsidRPr="00231C2C" w:rsidRDefault="00232AD8" w:rsidP="00232AD8">
      <w:pPr>
        <w:spacing w:after="0"/>
        <w:jc w:val="both"/>
        <w:rPr>
          <w:rFonts w:ascii="Arial" w:eastAsia="Arial" w:hAnsi="Arial" w:cs="Arial"/>
        </w:rPr>
      </w:pPr>
      <w:r>
        <w:rPr>
          <w:rFonts w:ascii="Arial" w:eastAsia="Arial" w:hAnsi="Arial" w:cs="Arial"/>
        </w:rPr>
        <w:t xml:space="preserve"> </w:t>
      </w:r>
    </w:p>
    <w:p w:rsidR="00232AD8" w:rsidRDefault="00232AD8" w:rsidP="00232AD8">
      <w:pPr>
        <w:spacing w:after="0"/>
        <w:jc w:val="both"/>
        <w:rPr>
          <w:rFonts w:ascii="Arial" w:eastAsia="Arial" w:hAnsi="Arial" w:cs="Arial"/>
        </w:rPr>
      </w:pPr>
      <w:r>
        <w:rPr>
          <w:rFonts w:ascii="Arial" w:eastAsia="Arial" w:hAnsi="Arial" w:cs="Arial"/>
        </w:rPr>
        <w:t>Occupational segr</w:t>
      </w:r>
      <w:r w:rsidR="000A1A00">
        <w:rPr>
          <w:rFonts w:ascii="Arial" w:eastAsia="Arial" w:hAnsi="Arial" w:cs="Arial"/>
        </w:rPr>
        <w:t>egation is also a reality in Barbados</w:t>
      </w:r>
      <w:r w:rsidR="00114833">
        <w:rPr>
          <w:rFonts w:ascii="Arial" w:eastAsia="Arial" w:hAnsi="Arial" w:cs="Arial"/>
        </w:rPr>
        <w:t xml:space="preserve">. In fact, even if </w:t>
      </w:r>
      <w:r>
        <w:rPr>
          <w:rFonts w:ascii="Arial" w:eastAsia="Arial" w:hAnsi="Arial" w:cs="Arial"/>
        </w:rPr>
        <w:t>women’s labor participation is one of the highest of the Caribbean, the ra</w:t>
      </w:r>
      <w:r w:rsidR="00781C78">
        <w:rPr>
          <w:rFonts w:ascii="Arial" w:eastAsia="Arial" w:hAnsi="Arial" w:cs="Arial"/>
        </w:rPr>
        <w:t>te is still lower than men (62% vs 72</w:t>
      </w:r>
      <w:r>
        <w:rPr>
          <w:rFonts w:ascii="Arial" w:eastAsia="Arial" w:hAnsi="Arial" w:cs="Arial"/>
        </w:rPr>
        <w:t>%, respectively in 2013)</w:t>
      </w:r>
      <w:r w:rsidR="008877E2">
        <w:rPr>
          <w:rStyle w:val="FootnoteReference"/>
          <w:rFonts w:ascii="Arial" w:eastAsia="Arial" w:hAnsi="Arial" w:cs="Arial"/>
        </w:rPr>
        <w:footnoteReference w:id="15"/>
      </w:r>
      <w:r>
        <w:rPr>
          <w:rFonts w:ascii="Arial" w:eastAsia="Arial" w:hAnsi="Arial" w:cs="Arial"/>
        </w:rPr>
        <w:t xml:space="preserve">. Women in </w:t>
      </w:r>
      <w:r w:rsidR="00781C78">
        <w:rPr>
          <w:rFonts w:ascii="Arial" w:eastAsia="Arial" w:hAnsi="Arial" w:cs="Arial"/>
        </w:rPr>
        <w:t xml:space="preserve">Barbados </w:t>
      </w:r>
      <w:r>
        <w:rPr>
          <w:rFonts w:ascii="Arial" w:eastAsia="Arial" w:hAnsi="Arial" w:cs="Arial"/>
        </w:rPr>
        <w:t xml:space="preserve">earn </w:t>
      </w:r>
      <w:r w:rsidR="00781C78" w:rsidRPr="00781C78">
        <w:rPr>
          <w:rFonts w:ascii="Arial" w:eastAsia="Arial" w:hAnsi="Arial" w:cs="Arial"/>
        </w:rPr>
        <w:t xml:space="preserve">between 14% and 27% less than </w:t>
      </w:r>
      <w:r w:rsidR="00C20E17" w:rsidRPr="00781C78">
        <w:rPr>
          <w:rFonts w:ascii="Arial" w:eastAsia="Arial" w:hAnsi="Arial" w:cs="Arial"/>
        </w:rPr>
        <w:t>m</w:t>
      </w:r>
      <w:r w:rsidR="00C20E17">
        <w:rPr>
          <w:rFonts w:ascii="Arial" w:eastAsia="Arial" w:hAnsi="Arial" w:cs="Arial"/>
        </w:rPr>
        <w:t>e</w:t>
      </w:r>
      <w:r w:rsidR="00C20E17" w:rsidRPr="00781C78">
        <w:rPr>
          <w:rFonts w:ascii="Arial" w:eastAsia="Arial" w:hAnsi="Arial" w:cs="Arial"/>
        </w:rPr>
        <w:t>n</w:t>
      </w:r>
      <w:r w:rsidR="00781C78" w:rsidRPr="00781C78">
        <w:rPr>
          <w:rFonts w:ascii="Arial" w:eastAsia="Arial" w:hAnsi="Arial" w:cs="Arial"/>
          <w:vertAlign w:val="superscript"/>
        </w:rPr>
        <w:footnoteReference w:id="16"/>
      </w:r>
      <w:r w:rsidRPr="004F1334">
        <w:rPr>
          <w:rFonts w:ascii="Arial" w:eastAsia="Arial" w:hAnsi="Arial" w:cs="Arial"/>
        </w:rPr>
        <w:t xml:space="preserve">. And they are highly concentrated in </w:t>
      </w:r>
      <w:r w:rsidR="008220A3">
        <w:rPr>
          <w:rFonts w:ascii="Arial" w:eastAsia="Arial" w:hAnsi="Arial" w:cs="Arial"/>
        </w:rPr>
        <w:t>sectors that</w:t>
      </w:r>
      <w:r w:rsidRPr="004F1334">
        <w:rPr>
          <w:rFonts w:ascii="Arial" w:eastAsia="Arial" w:hAnsi="Arial" w:cs="Arial"/>
        </w:rPr>
        <w:t xml:space="preserve"> have lower salar</w:t>
      </w:r>
      <w:r>
        <w:rPr>
          <w:rFonts w:ascii="Arial" w:eastAsia="Arial" w:hAnsi="Arial" w:cs="Arial"/>
        </w:rPr>
        <w:t xml:space="preserve">ies and </w:t>
      </w:r>
      <w:proofErr w:type="gramStart"/>
      <w:r w:rsidR="008220A3">
        <w:rPr>
          <w:rFonts w:ascii="Arial" w:eastAsia="Arial" w:hAnsi="Arial" w:cs="Arial"/>
        </w:rPr>
        <w:t xml:space="preserve">less </w:t>
      </w:r>
      <w:r>
        <w:rPr>
          <w:rFonts w:ascii="Arial" w:eastAsia="Arial" w:hAnsi="Arial" w:cs="Arial"/>
        </w:rPr>
        <w:t>benefits</w:t>
      </w:r>
      <w:proofErr w:type="gramEnd"/>
      <w:r>
        <w:rPr>
          <w:rFonts w:ascii="Arial" w:eastAsia="Arial" w:hAnsi="Arial" w:cs="Arial"/>
        </w:rPr>
        <w:t xml:space="preserve">. For </w:t>
      </w:r>
      <w:r w:rsidR="00781C78">
        <w:rPr>
          <w:rFonts w:ascii="Arial" w:eastAsia="Arial" w:hAnsi="Arial" w:cs="Arial"/>
        </w:rPr>
        <w:t>example, women represent only 34</w:t>
      </w:r>
      <w:r>
        <w:rPr>
          <w:rFonts w:ascii="Arial" w:eastAsia="Arial" w:hAnsi="Arial" w:cs="Arial"/>
        </w:rPr>
        <w:t>% of the electricity sector</w:t>
      </w:r>
      <w:r w:rsidR="00781C78">
        <w:rPr>
          <w:rFonts w:ascii="Arial" w:eastAsia="Arial" w:hAnsi="Arial" w:cs="Arial"/>
        </w:rPr>
        <w:t>, but represent over 65% of the employees of the hotel and tourism sectors</w:t>
      </w:r>
      <w:r>
        <w:rPr>
          <w:rFonts w:ascii="Arial" w:eastAsia="Arial" w:hAnsi="Arial" w:cs="Arial"/>
        </w:rPr>
        <w:t xml:space="preserve">. </w:t>
      </w:r>
      <w:r w:rsidR="00927FD7">
        <w:rPr>
          <w:rFonts w:ascii="Arial" w:eastAsia="Arial" w:hAnsi="Arial" w:cs="Arial"/>
        </w:rPr>
        <w:t>E</w:t>
      </w:r>
      <w:r>
        <w:rPr>
          <w:rFonts w:ascii="Arial" w:eastAsia="Arial" w:hAnsi="Arial" w:cs="Arial"/>
        </w:rPr>
        <w:t xml:space="preserve">nergy projects financed </w:t>
      </w:r>
      <w:r w:rsidR="00114833">
        <w:rPr>
          <w:rFonts w:ascii="Arial" w:eastAsia="Arial" w:hAnsi="Arial" w:cs="Arial"/>
        </w:rPr>
        <w:t>by the IDB</w:t>
      </w:r>
      <w:r w:rsidR="008A692B">
        <w:rPr>
          <w:rFonts w:ascii="Arial" w:eastAsia="Arial" w:hAnsi="Arial" w:cs="Arial"/>
        </w:rPr>
        <w:t>, beyond</w:t>
      </w:r>
      <w:r w:rsidR="00927FD7">
        <w:rPr>
          <w:rFonts w:ascii="Arial" w:eastAsia="Arial" w:hAnsi="Arial" w:cs="Arial"/>
        </w:rPr>
        <w:t xml:space="preserve"> </w:t>
      </w:r>
      <w:r w:rsidR="008A692B">
        <w:rPr>
          <w:rFonts w:ascii="Arial" w:eastAsia="Arial" w:hAnsi="Arial" w:cs="Arial"/>
        </w:rPr>
        <w:t xml:space="preserve">supporting the development of the sector </w:t>
      </w:r>
      <w:r w:rsidR="00927FD7">
        <w:rPr>
          <w:rFonts w:ascii="Arial" w:eastAsia="Arial" w:hAnsi="Arial" w:cs="Arial"/>
        </w:rPr>
        <w:t>can provide</w:t>
      </w:r>
      <w:r w:rsidR="008A692B">
        <w:rPr>
          <w:rFonts w:ascii="Arial" w:eastAsia="Arial" w:hAnsi="Arial" w:cs="Arial"/>
        </w:rPr>
        <w:t>, if adequately targeted,</w:t>
      </w:r>
      <w:r w:rsidR="00927FD7">
        <w:rPr>
          <w:rFonts w:ascii="Arial" w:eastAsia="Arial" w:hAnsi="Arial" w:cs="Arial"/>
        </w:rPr>
        <w:t xml:space="preserve"> an opportunity to improve and expand economic opportunities for women</w:t>
      </w:r>
      <w:r>
        <w:rPr>
          <w:rFonts w:ascii="Arial" w:eastAsia="Arial" w:hAnsi="Arial" w:cs="Arial"/>
        </w:rPr>
        <w:t xml:space="preserve">. </w:t>
      </w:r>
    </w:p>
    <w:p w:rsidR="006D3A62" w:rsidRDefault="006D3A62" w:rsidP="00232AD8">
      <w:pPr>
        <w:spacing w:after="0"/>
        <w:jc w:val="both"/>
        <w:rPr>
          <w:rFonts w:ascii="Arial" w:eastAsia="Arial" w:hAnsi="Arial" w:cs="Arial"/>
        </w:rPr>
      </w:pPr>
    </w:p>
    <w:p w:rsidR="00232AD8" w:rsidRPr="005A2AB6" w:rsidRDefault="00231C2C" w:rsidP="005A2AB6">
      <w:pPr>
        <w:jc w:val="both"/>
        <w:rPr>
          <w:rFonts w:ascii="Arial" w:eastAsia="Arial" w:hAnsi="Arial" w:cs="Arial"/>
        </w:rPr>
      </w:pPr>
      <w:r>
        <w:rPr>
          <w:rFonts w:ascii="Arial" w:eastAsia="Arial" w:hAnsi="Arial" w:cs="Arial"/>
        </w:rPr>
        <w:t>Taking this into account, increasing women’s participation in non-traditional sectors, part</w:t>
      </w:r>
      <w:r w:rsidR="008220A3">
        <w:rPr>
          <w:rFonts w:ascii="Arial" w:eastAsia="Arial" w:hAnsi="Arial" w:cs="Arial"/>
        </w:rPr>
        <w:t>icularly in the RE</w:t>
      </w:r>
      <w:r>
        <w:rPr>
          <w:rFonts w:ascii="Arial" w:eastAsia="Arial" w:hAnsi="Arial" w:cs="Arial"/>
        </w:rPr>
        <w:t xml:space="preserve"> sector, could help them to: </w:t>
      </w:r>
      <w:proofErr w:type="spellStart"/>
      <w:r>
        <w:rPr>
          <w:rFonts w:ascii="Arial" w:eastAsia="Arial" w:hAnsi="Arial" w:cs="Arial"/>
        </w:rPr>
        <w:t>i</w:t>
      </w:r>
      <w:proofErr w:type="spellEnd"/>
      <w:r>
        <w:rPr>
          <w:rFonts w:ascii="Arial" w:eastAsia="Arial" w:hAnsi="Arial" w:cs="Arial"/>
        </w:rPr>
        <w:t xml:space="preserve">) increase their incomes; ii) provide them with more social benefits in the short and long term (health insurance, maternity leave and social security during retirement); and iii) grow professionally since they could have the possibility of being promoted within their companies. Also, taking advantage of women’s potential (they represent 50% of the population and possess over half of university degrees around the world) can result in: </w:t>
      </w:r>
      <w:proofErr w:type="spellStart"/>
      <w:r>
        <w:rPr>
          <w:rFonts w:ascii="Arial" w:eastAsia="Arial" w:hAnsi="Arial" w:cs="Arial"/>
        </w:rPr>
        <w:t>i</w:t>
      </w:r>
      <w:proofErr w:type="spellEnd"/>
      <w:r>
        <w:rPr>
          <w:rFonts w:ascii="Arial" w:eastAsia="Arial" w:hAnsi="Arial" w:cs="Arial"/>
        </w:rPr>
        <w:t>) greater productivity for the energy sector; ii)</w:t>
      </w:r>
      <w:r>
        <w:rPr>
          <w:rFonts w:eastAsiaTheme="minorEastAsia" w:hAnsi="Calibri"/>
          <w:color w:val="000000" w:themeColor="text1"/>
          <w:kern w:val="24"/>
          <w:sz w:val="50"/>
          <w:szCs w:val="50"/>
        </w:rPr>
        <w:t xml:space="preserve"> </w:t>
      </w:r>
      <w:r>
        <w:rPr>
          <w:rFonts w:ascii="Arial" w:eastAsia="Arial" w:hAnsi="Arial" w:cs="Arial"/>
        </w:rPr>
        <w:t>better response to</w:t>
      </w:r>
      <w:r w:rsidRPr="00114833">
        <w:rPr>
          <w:rFonts w:ascii="Arial" w:eastAsia="Arial" w:hAnsi="Arial" w:cs="Arial"/>
        </w:rPr>
        <w:t xml:space="preserve"> the increasing dem</w:t>
      </w:r>
      <w:r>
        <w:rPr>
          <w:rFonts w:ascii="Arial" w:eastAsia="Arial" w:hAnsi="Arial" w:cs="Arial"/>
        </w:rPr>
        <w:t>and of workers; and iii) faster economic growth</w:t>
      </w:r>
      <w:r>
        <w:rPr>
          <w:rFonts w:ascii="Arial" w:eastAsia="Arial" w:hAnsi="Arial" w:cs="Arial"/>
          <w:vertAlign w:val="superscript"/>
        </w:rPr>
        <w:footnoteReference w:id="17"/>
      </w:r>
      <w:r>
        <w:rPr>
          <w:rFonts w:ascii="Arial" w:eastAsia="Arial" w:hAnsi="Arial" w:cs="Arial"/>
        </w:rPr>
        <w:t>. To ensure this, it is necessary that not only more women are attracted to the sector, but also that women that are already working in the sector</w:t>
      </w:r>
      <w:r w:rsidR="0098674A">
        <w:rPr>
          <w:rFonts w:ascii="Arial" w:eastAsia="Arial" w:hAnsi="Arial" w:cs="Arial"/>
        </w:rPr>
        <w:t>,</w:t>
      </w:r>
      <w:r>
        <w:rPr>
          <w:rFonts w:ascii="Arial" w:eastAsia="Arial" w:hAnsi="Arial" w:cs="Arial"/>
        </w:rPr>
        <w:t xml:space="preserve"> stay in the sector and access the opportunities to grow within their professions. In that sense, energy and utility companies need to put in place programs that promote gender equality through the implementation of activities focused on developing women’s skills and encouraging growth within their professional careers</w:t>
      </w:r>
      <w:r w:rsidR="005A2AB6">
        <w:rPr>
          <w:rFonts w:ascii="Arial" w:eastAsia="Arial" w:hAnsi="Arial" w:cs="Arial"/>
        </w:rPr>
        <w:t>, among others.</w:t>
      </w:r>
      <w:r>
        <w:rPr>
          <w:rFonts w:ascii="Arial" w:eastAsia="Arial" w:hAnsi="Arial" w:cs="Arial"/>
        </w:rPr>
        <w:t xml:space="preserve"> </w:t>
      </w:r>
      <w:r w:rsidR="005A2AB6">
        <w:rPr>
          <w:rFonts w:ascii="Arial" w:eastAsia="Arial" w:hAnsi="Arial" w:cs="Arial"/>
        </w:rPr>
        <w:t xml:space="preserve">Therefore, training programs are </w:t>
      </w:r>
      <w:proofErr w:type="gramStart"/>
      <w:r w:rsidR="005A2AB6">
        <w:rPr>
          <w:rFonts w:ascii="Arial" w:eastAsia="Arial" w:hAnsi="Arial" w:cs="Arial"/>
        </w:rPr>
        <w:t>key</w:t>
      </w:r>
      <w:proofErr w:type="gramEnd"/>
      <w:r w:rsidR="005A2AB6" w:rsidRPr="005A2AB6">
        <w:rPr>
          <w:rFonts w:ascii="Arial" w:eastAsia="Arial" w:hAnsi="Arial" w:cs="Arial"/>
        </w:rPr>
        <w:t xml:space="preserve"> </w:t>
      </w:r>
      <w:r w:rsidR="005A2AB6">
        <w:rPr>
          <w:rFonts w:ascii="Arial" w:eastAsia="Arial" w:hAnsi="Arial" w:cs="Arial"/>
        </w:rPr>
        <w:t xml:space="preserve">to promote women’s participation and professional development. </w:t>
      </w:r>
      <w:r>
        <w:rPr>
          <w:rFonts w:ascii="Arial" w:eastAsia="Arial" w:hAnsi="Arial" w:cs="Arial"/>
        </w:rPr>
        <w:t xml:space="preserve">  </w:t>
      </w:r>
    </w:p>
    <w:p w:rsidR="00232AD8" w:rsidRDefault="00232AD8" w:rsidP="00232AD8">
      <w:pPr>
        <w:spacing w:after="0"/>
        <w:jc w:val="both"/>
        <w:rPr>
          <w:rFonts w:ascii="Arial" w:eastAsia="Arial" w:hAnsi="Arial" w:cs="Arial"/>
        </w:rPr>
      </w:pPr>
      <w:r>
        <w:rPr>
          <w:rFonts w:ascii="Arial" w:eastAsia="Arial" w:hAnsi="Arial" w:cs="Arial"/>
        </w:rPr>
        <w:t xml:space="preserve">Some impact evaluations have demonstrated that training women in non-traditional jobs resulted in not only an increase of their income, but also gains in practical skills, self-esteem, and social benefits for their families. For example, a training program for women in 39 occupations, primarily non-traditional occupations, carried out by the World Bank in Nepal demonstrated that the treatment group had increased their non-farm employment by 14 </w:t>
      </w:r>
      <w:r>
        <w:rPr>
          <w:rFonts w:ascii="Arial" w:eastAsia="Arial" w:hAnsi="Arial" w:cs="Arial"/>
        </w:rPr>
        <w:lastRenderedPageBreak/>
        <w:t>percentage points, for an overall gain in employment of 47% relative to the control group; and average monthly earnings increased by approximately 45% for the 2010 cohort and 66% for the 2011 cohort relative to the control group</w:t>
      </w:r>
      <w:r>
        <w:rPr>
          <w:rFonts w:ascii="Arial" w:eastAsia="Arial" w:hAnsi="Arial" w:cs="Arial"/>
          <w:vertAlign w:val="superscript"/>
        </w:rPr>
        <w:footnoteReference w:id="18"/>
      </w:r>
      <w:r>
        <w:rPr>
          <w:rFonts w:ascii="Arial" w:eastAsia="Arial" w:hAnsi="Arial" w:cs="Arial"/>
        </w:rPr>
        <w:t xml:space="preserve">. Another initiative carried by the World Bank in Bangladesh trained rural women on </w:t>
      </w:r>
      <w:proofErr w:type="spellStart"/>
      <w:r>
        <w:rPr>
          <w:rFonts w:ascii="Arial" w:eastAsia="Arial" w:hAnsi="Arial" w:cs="Arial"/>
        </w:rPr>
        <w:t>i</w:t>
      </w:r>
      <w:proofErr w:type="spellEnd"/>
      <w:r>
        <w:rPr>
          <w:rFonts w:ascii="Arial" w:eastAsia="Arial" w:hAnsi="Arial" w:cs="Arial"/>
        </w:rPr>
        <w:t xml:space="preserve">) direct current lamp assembly, accompanied by hands-on training with hardware, and ii) the role of the electronic components in an integrated electronic circuit and its operation. This program resulted in: </w:t>
      </w:r>
      <w:proofErr w:type="spellStart"/>
      <w:r>
        <w:rPr>
          <w:rFonts w:ascii="Arial" w:eastAsia="Arial" w:hAnsi="Arial" w:cs="Arial"/>
        </w:rPr>
        <w:t>i</w:t>
      </w:r>
      <w:proofErr w:type="spellEnd"/>
      <w:r>
        <w:rPr>
          <w:rFonts w:ascii="Arial" w:eastAsia="Arial" w:hAnsi="Arial" w:cs="Arial"/>
        </w:rPr>
        <w:t xml:space="preserve">) the creation of employment opportunities for women; ii) an increase of their family income; and 3) the development of women’s technical as well as managerial skills. </w:t>
      </w:r>
      <w:r w:rsidR="008220A3">
        <w:rPr>
          <w:rFonts w:ascii="Arial" w:eastAsia="Arial" w:hAnsi="Arial" w:cs="Arial"/>
        </w:rPr>
        <w:t xml:space="preserve">According to the evaluation, </w:t>
      </w:r>
      <w:r>
        <w:rPr>
          <w:rFonts w:ascii="Arial" w:eastAsia="Arial" w:hAnsi="Arial" w:cs="Arial"/>
        </w:rPr>
        <w:t>women’s daily average income has increase</w:t>
      </w:r>
      <w:r w:rsidR="008220A3">
        <w:rPr>
          <w:rFonts w:ascii="Arial" w:eastAsia="Arial" w:hAnsi="Arial" w:cs="Arial"/>
        </w:rPr>
        <w:t>d</w:t>
      </w:r>
      <w:r>
        <w:rPr>
          <w:rFonts w:ascii="Arial" w:eastAsia="Arial" w:hAnsi="Arial" w:cs="Arial"/>
        </w:rPr>
        <w:t xml:space="preserve"> by approximately $2 (the average households income in the intervened region was $50 per month)</w:t>
      </w:r>
      <w:r>
        <w:rPr>
          <w:rFonts w:ascii="Arial" w:eastAsia="Arial" w:hAnsi="Arial" w:cs="Arial"/>
          <w:vertAlign w:val="superscript"/>
        </w:rPr>
        <w:footnoteReference w:id="19"/>
      </w:r>
      <w:r w:rsidR="0093235D">
        <w:rPr>
          <w:rFonts w:ascii="Arial" w:eastAsia="Arial" w:hAnsi="Arial" w:cs="Arial"/>
        </w:rPr>
        <w:t>. Finally, in 2012 the Multilateral Investment Fund (MIF) implemented a sustainable water project in Mexico that included a</w:t>
      </w:r>
      <w:r w:rsidR="003C5D5D">
        <w:rPr>
          <w:rFonts w:ascii="Arial" w:eastAsia="Arial" w:hAnsi="Arial" w:cs="Arial"/>
        </w:rPr>
        <w:t xml:space="preserve"> pilot</w:t>
      </w:r>
      <w:r w:rsidR="0093235D">
        <w:rPr>
          <w:rFonts w:ascii="Arial" w:eastAsia="Arial" w:hAnsi="Arial" w:cs="Arial"/>
        </w:rPr>
        <w:t xml:space="preserve"> to train women as plumbers.</w:t>
      </w:r>
      <w:r>
        <w:rPr>
          <w:rFonts w:ascii="Arial" w:eastAsia="Arial" w:hAnsi="Arial" w:cs="Arial"/>
        </w:rPr>
        <w:t xml:space="preserve"> </w:t>
      </w:r>
      <w:r w:rsidR="003C5D5D">
        <w:rPr>
          <w:rFonts w:ascii="Arial" w:eastAsia="Arial" w:hAnsi="Arial" w:cs="Arial"/>
        </w:rPr>
        <w:t>The pilot program, called “Women Plumbers”,</w:t>
      </w:r>
      <w:r w:rsidR="0093235D">
        <w:rPr>
          <w:rFonts w:ascii="Arial" w:eastAsia="Arial" w:hAnsi="Arial" w:cs="Arial"/>
        </w:rPr>
        <w:t xml:space="preserve"> identified</w:t>
      </w:r>
      <w:r w:rsidR="0093235D" w:rsidRPr="0093235D">
        <w:rPr>
          <w:rFonts w:ascii="Arial" w:eastAsia="Arial" w:hAnsi="Arial" w:cs="Arial"/>
        </w:rPr>
        <w:t xml:space="preserve"> and train</w:t>
      </w:r>
      <w:r w:rsidR="0093235D">
        <w:rPr>
          <w:rFonts w:ascii="Arial" w:eastAsia="Arial" w:hAnsi="Arial" w:cs="Arial"/>
        </w:rPr>
        <w:t>ed</w:t>
      </w:r>
      <w:r w:rsidR="0093235D" w:rsidRPr="0093235D">
        <w:rPr>
          <w:rFonts w:ascii="Arial" w:eastAsia="Arial" w:hAnsi="Arial" w:cs="Arial"/>
        </w:rPr>
        <w:t xml:space="preserve"> te</w:t>
      </w:r>
      <w:r w:rsidR="0093235D">
        <w:rPr>
          <w:rFonts w:ascii="Arial" w:eastAsia="Arial" w:hAnsi="Arial" w:cs="Arial"/>
        </w:rPr>
        <w:t>chnical staff, mostly women, to</w:t>
      </w:r>
      <w:r w:rsidR="0093235D" w:rsidRPr="0093235D">
        <w:rPr>
          <w:rFonts w:ascii="Arial" w:eastAsia="Arial" w:hAnsi="Arial" w:cs="Arial"/>
        </w:rPr>
        <w:t xml:space="preserve"> be responsible for the replacement of existing water facilities with more efficient new ones</w:t>
      </w:r>
      <w:r w:rsidR="0093235D">
        <w:rPr>
          <w:rFonts w:ascii="Arial" w:eastAsia="Arial" w:hAnsi="Arial" w:cs="Arial"/>
        </w:rPr>
        <w:t xml:space="preserve">. By </w:t>
      </w:r>
      <w:r w:rsidR="00EC3FDB">
        <w:rPr>
          <w:rFonts w:ascii="Arial" w:eastAsia="Arial" w:hAnsi="Arial" w:cs="Arial"/>
        </w:rPr>
        <w:t xml:space="preserve">the end of </w:t>
      </w:r>
      <w:r w:rsidR="0093235D">
        <w:rPr>
          <w:rFonts w:ascii="Arial" w:eastAsia="Arial" w:hAnsi="Arial" w:cs="Arial"/>
        </w:rPr>
        <w:t xml:space="preserve">2014, the project generated </w:t>
      </w:r>
      <w:r w:rsidR="0093235D" w:rsidRPr="0093235D">
        <w:rPr>
          <w:rFonts w:ascii="Arial" w:eastAsia="Arial" w:hAnsi="Arial" w:cs="Arial"/>
        </w:rPr>
        <w:t xml:space="preserve">employment for about 50 women in the pilot stage, in an area </w:t>
      </w:r>
      <w:r w:rsidR="003C5D5D">
        <w:rPr>
          <w:rFonts w:ascii="Arial" w:eastAsia="Arial" w:hAnsi="Arial" w:cs="Arial"/>
        </w:rPr>
        <w:t xml:space="preserve">of the country </w:t>
      </w:r>
      <w:r w:rsidR="0093235D" w:rsidRPr="0093235D">
        <w:rPr>
          <w:rFonts w:ascii="Arial" w:eastAsia="Arial" w:hAnsi="Arial" w:cs="Arial"/>
        </w:rPr>
        <w:t>where jobs are hard to find</w:t>
      </w:r>
      <w:r w:rsidR="00E20471">
        <w:rPr>
          <w:rStyle w:val="FootnoteReference"/>
          <w:rFonts w:ascii="Arial" w:eastAsia="Arial" w:hAnsi="Arial" w:cs="Arial"/>
        </w:rPr>
        <w:footnoteReference w:id="20"/>
      </w:r>
      <w:r w:rsidR="0093235D">
        <w:rPr>
          <w:rFonts w:ascii="Arial" w:eastAsia="Arial" w:hAnsi="Arial" w:cs="Arial"/>
        </w:rPr>
        <w:t>.</w:t>
      </w:r>
    </w:p>
    <w:p w:rsidR="008220A3" w:rsidRDefault="008220A3" w:rsidP="00232AD8">
      <w:pPr>
        <w:spacing w:after="0"/>
        <w:jc w:val="both"/>
        <w:rPr>
          <w:rFonts w:ascii="Arial" w:eastAsia="Arial" w:hAnsi="Arial" w:cs="Arial"/>
        </w:rPr>
      </w:pPr>
    </w:p>
    <w:p w:rsidR="00232AD8" w:rsidRDefault="008220A3" w:rsidP="00232AD8">
      <w:pPr>
        <w:spacing w:after="0"/>
        <w:jc w:val="both"/>
      </w:pPr>
      <w:r>
        <w:rPr>
          <w:rFonts w:ascii="Arial" w:eastAsia="Arial" w:hAnsi="Arial" w:cs="Arial"/>
          <w:b/>
          <w:i/>
        </w:rPr>
        <w:t xml:space="preserve">Gender </w:t>
      </w:r>
      <w:proofErr w:type="spellStart"/>
      <w:r>
        <w:rPr>
          <w:rFonts w:ascii="Arial" w:eastAsia="Arial" w:hAnsi="Arial" w:cs="Arial"/>
          <w:b/>
          <w:i/>
        </w:rPr>
        <w:t>Additionality</w:t>
      </w:r>
      <w:proofErr w:type="spellEnd"/>
    </w:p>
    <w:p w:rsidR="005A2AB6" w:rsidRDefault="00232AD8" w:rsidP="00662143">
      <w:pPr>
        <w:spacing w:after="0"/>
        <w:jc w:val="both"/>
      </w:pPr>
      <w:r>
        <w:rPr>
          <w:rFonts w:ascii="Arial" w:eastAsia="Arial" w:hAnsi="Arial" w:cs="Arial"/>
        </w:rPr>
        <w:t>T</w:t>
      </w:r>
      <w:r w:rsidR="006B7707">
        <w:rPr>
          <w:rFonts w:ascii="Arial" w:eastAsia="Arial" w:hAnsi="Arial" w:cs="Arial"/>
        </w:rPr>
        <w:t>aking into account gender gaps in Barbados, t</w:t>
      </w:r>
      <w:r>
        <w:rPr>
          <w:rFonts w:ascii="Arial" w:eastAsia="Arial" w:hAnsi="Arial" w:cs="Arial"/>
        </w:rPr>
        <w:t>he project will</w:t>
      </w:r>
      <w:r w:rsidR="006B7707">
        <w:rPr>
          <w:rFonts w:ascii="Arial" w:eastAsia="Arial" w:hAnsi="Arial" w:cs="Arial"/>
        </w:rPr>
        <w:t xml:space="preserve"> include a</w:t>
      </w:r>
      <w:r>
        <w:rPr>
          <w:rFonts w:ascii="Arial" w:eastAsia="Arial" w:hAnsi="Arial" w:cs="Arial"/>
        </w:rPr>
        <w:t xml:space="preserve"> gender </w:t>
      </w:r>
      <w:r w:rsidR="006B7707">
        <w:rPr>
          <w:rFonts w:ascii="Arial" w:eastAsia="Arial" w:hAnsi="Arial" w:cs="Arial"/>
        </w:rPr>
        <w:t xml:space="preserve">activity, </w:t>
      </w:r>
      <w:r w:rsidR="006B7707" w:rsidRPr="006B7707">
        <w:rPr>
          <w:rFonts w:ascii="Arial" w:eastAsia="Arial" w:hAnsi="Arial" w:cs="Arial"/>
          <w:b/>
        </w:rPr>
        <w:t xml:space="preserve">as an </w:t>
      </w:r>
      <w:proofErr w:type="spellStart"/>
      <w:r w:rsidR="006B7707" w:rsidRPr="006B7707">
        <w:rPr>
          <w:rFonts w:ascii="Arial" w:eastAsia="Arial" w:hAnsi="Arial" w:cs="Arial"/>
          <w:b/>
        </w:rPr>
        <w:t>additionality</w:t>
      </w:r>
      <w:proofErr w:type="spellEnd"/>
      <w:r w:rsidR="006B7707">
        <w:rPr>
          <w:rFonts w:ascii="Arial" w:eastAsia="Arial" w:hAnsi="Arial" w:cs="Arial"/>
        </w:rPr>
        <w:t>, to encourage</w:t>
      </w:r>
      <w:r>
        <w:rPr>
          <w:rFonts w:ascii="Arial" w:eastAsia="Arial" w:hAnsi="Arial" w:cs="Arial"/>
        </w:rPr>
        <w:t xml:space="preserve"> women </w:t>
      </w:r>
      <w:r w:rsidR="005A2AB6">
        <w:rPr>
          <w:rFonts w:ascii="Arial" w:eastAsia="Arial" w:hAnsi="Arial" w:cs="Arial"/>
        </w:rPr>
        <w:t xml:space="preserve">that are </w:t>
      </w:r>
      <w:r w:rsidR="006B7707">
        <w:rPr>
          <w:rFonts w:ascii="Arial" w:eastAsia="Arial" w:hAnsi="Arial" w:cs="Arial"/>
        </w:rPr>
        <w:t xml:space="preserve">currently working at BNOCL and </w:t>
      </w:r>
      <w:r w:rsidR="006B7707" w:rsidRPr="00784214">
        <w:rPr>
          <w:rFonts w:ascii="Arial" w:eastAsia="Arial" w:hAnsi="Arial" w:cs="Arial"/>
        </w:rPr>
        <w:t>NPC</w:t>
      </w:r>
      <w:r w:rsidR="006B7707">
        <w:rPr>
          <w:rFonts w:ascii="Arial" w:eastAsia="Arial" w:hAnsi="Arial" w:cs="Arial"/>
        </w:rPr>
        <w:t xml:space="preserve"> </w:t>
      </w:r>
      <w:r w:rsidR="005A2AB6">
        <w:rPr>
          <w:rFonts w:ascii="Arial" w:eastAsia="Arial" w:hAnsi="Arial" w:cs="Arial"/>
        </w:rPr>
        <w:t>to develop new skills</w:t>
      </w:r>
      <w:r w:rsidR="006B7707">
        <w:rPr>
          <w:rFonts w:ascii="Arial" w:eastAsia="Arial" w:hAnsi="Arial" w:cs="Arial"/>
        </w:rPr>
        <w:t xml:space="preserve"> through the trainings that will be financed with “component 3 - </w:t>
      </w:r>
      <w:r w:rsidR="006B7707" w:rsidRPr="006B7707">
        <w:rPr>
          <w:rFonts w:ascii="Arial" w:eastAsia="Arial" w:hAnsi="Arial" w:cs="Arial"/>
        </w:rPr>
        <w:t>Technical Advisory Services</w:t>
      </w:r>
      <w:r>
        <w:rPr>
          <w:rFonts w:ascii="Arial" w:eastAsia="Arial" w:hAnsi="Arial" w:cs="Arial"/>
        </w:rPr>
        <w:t>.</w:t>
      </w:r>
      <w:r w:rsidR="006B7707">
        <w:rPr>
          <w:rFonts w:ascii="Arial" w:eastAsia="Arial" w:hAnsi="Arial" w:cs="Arial"/>
        </w:rPr>
        <w:t xml:space="preserve"> The next section provides more details. </w:t>
      </w:r>
      <w:r>
        <w:rPr>
          <w:rFonts w:ascii="Arial" w:eastAsia="Arial" w:hAnsi="Arial" w:cs="Arial"/>
        </w:rPr>
        <w:t xml:space="preserve"> </w:t>
      </w:r>
    </w:p>
    <w:p w:rsidR="00662143" w:rsidRDefault="00662143" w:rsidP="00662143">
      <w:pPr>
        <w:spacing w:after="0"/>
        <w:jc w:val="both"/>
      </w:pPr>
    </w:p>
    <w:p w:rsidR="00781C78" w:rsidRPr="00662143" w:rsidRDefault="00781C78" w:rsidP="00662143">
      <w:pPr>
        <w:spacing w:after="0"/>
        <w:jc w:val="both"/>
      </w:pPr>
    </w:p>
    <w:p w:rsidR="009D6689" w:rsidRDefault="005325BF" w:rsidP="009D6689">
      <w:pPr>
        <w:pStyle w:val="ListParagraph"/>
        <w:numPr>
          <w:ilvl w:val="0"/>
          <w:numId w:val="1"/>
        </w:numPr>
        <w:jc w:val="both"/>
        <w:rPr>
          <w:rFonts w:ascii="Arial" w:hAnsi="Arial" w:cs="Arial"/>
          <w:b/>
        </w:rPr>
      </w:pPr>
      <w:r w:rsidRPr="009D6689">
        <w:rPr>
          <w:rFonts w:ascii="Arial" w:hAnsi="Arial" w:cs="Arial"/>
          <w:b/>
        </w:rPr>
        <w:t>Gender Intervention</w:t>
      </w:r>
    </w:p>
    <w:p w:rsidR="005A2AB6" w:rsidRDefault="005A2AB6" w:rsidP="005A2AB6">
      <w:pPr>
        <w:spacing w:after="0"/>
        <w:jc w:val="both"/>
        <w:rPr>
          <w:rFonts w:ascii="Arial" w:eastAsia="Arial" w:hAnsi="Arial" w:cs="Arial"/>
        </w:rPr>
      </w:pPr>
      <w:r w:rsidRPr="00784214">
        <w:rPr>
          <w:rFonts w:ascii="Arial" w:eastAsia="Arial" w:hAnsi="Arial" w:cs="Arial"/>
        </w:rPr>
        <w:t xml:space="preserve">Based on the information provided in the previous sections, the Deployment of Cleaner Fuels and Renewable Energies in Barbados project (BA-L1012) will, therefore, include among its components, an activity to train </w:t>
      </w:r>
      <w:r w:rsidR="002A3B08" w:rsidRPr="002A3B08">
        <w:rPr>
          <w:rFonts w:ascii="Arial" w:eastAsia="Arial" w:hAnsi="Arial" w:cs="Arial"/>
        </w:rPr>
        <w:t xml:space="preserve">technical and management personnel of  </w:t>
      </w:r>
      <w:r w:rsidR="002A3B08" w:rsidRPr="00784214">
        <w:rPr>
          <w:rFonts w:ascii="Arial" w:eastAsia="Arial" w:hAnsi="Arial" w:cs="Arial"/>
        </w:rPr>
        <w:t>Barbados National Oil Company Limited (BNOCL) and the National Petroleum Corporation (NPC)</w:t>
      </w:r>
      <w:r w:rsidR="002A3B08">
        <w:rPr>
          <w:rFonts w:ascii="Arial" w:eastAsia="Arial" w:hAnsi="Arial" w:cs="Arial"/>
        </w:rPr>
        <w:t xml:space="preserve">, and any additional individuals needed, </w:t>
      </w:r>
      <w:r w:rsidR="002A3B08" w:rsidRPr="002A3B08">
        <w:rPr>
          <w:rFonts w:ascii="Arial" w:eastAsia="Arial" w:hAnsi="Arial" w:cs="Arial"/>
        </w:rPr>
        <w:t>in areas that will strengthen the ability to enter into PPP contracts</w:t>
      </w:r>
      <w:r w:rsidR="002A3B08">
        <w:rPr>
          <w:rFonts w:ascii="Arial" w:eastAsia="Arial" w:hAnsi="Arial" w:cs="Arial"/>
        </w:rPr>
        <w:t xml:space="preserve">, </w:t>
      </w:r>
      <w:r w:rsidR="002A3B08" w:rsidRPr="002A3B08">
        <w:rPr>
          <w:rFonts w:ascii="Arial" w:eastAsia="Arial" w:hAnsi="Arial" w:cs="Arial"/>
        </w:rPr>
        <w:t>to operate</w:t>
      </w:r>
      <w:r w:rsidR="002A3B08">
        <w:rPr>
          <w:rFonts w:ascii="Arial" w:eastAsia="Arial" w:hAnsi="Arial" w:cs="Arial"/>
        </w:rPr>
        <w:t xml:space="preserve"> and manage the </w:t>
      </w:r>
      <w:r w:rsidR="002A3B08" w:rsidRPr="00784214">
        <w:rPr>
          <w:rFonts w:ascii="Arial" w:eastAsia="Arial" w:hAnsi="Arial" w:cs="Arial"/>
        </w:rPr>
        <w:t>expansion of Natural Gas facilities, and in areas that will lead to achieving ISO certification</w:t>
      </w:r>
      <w:r w:rsidRPr="00784214">
        <w:rPr>
          <w:rFonts w:ascii="Arial" w:eastAsia="Arial" w:hAnsi="Arial" w:cs="Arial"/>
        </w:rPr>
        <w:t>. To ensure women’s participation in these training</w:t>
      </w:r>
      <w:r w:rsidR="002A3B08" w:rsidRPr="00784214">
        <w:rPr>
          <w:rFonts w:ascii="Arial" w:eastAsia="Arial" w:hAnsi="Arial" w:cs="Arial"/>
        </w:rPr>
        <w:t>s</w:t>
      </w:r>
      <w:r w:rsidRPr="00784214">
        <w:rPr>
          <w:rFonts w:ascii="Arial" w:eastAsia="Arial" w:hAnsi="Arial" w:cs="Arial"/>
        </w:rPr>
        <w:t xml:space="preserve">, the project will </w:t>
      </w:r>
      <w:r w:rsidR="00810CE1">
        <w:rPr>
          <w:rFonts w:ascii="Arial" w:eastAsia="Arial" w:hAnsi="Arial" w:cs="Arial"/>
        </w:rPr>
        <w:t xml:space="preserve">aim at ensuring that at least </w:t>
      </w:r>
      <w:r w:rsidR="00A65386">
        <w:rPr>
          <w:rFonts w:ascii="Arial" w:eastAsia="Arial" w:hAnsi="Arial" w:cs="Arial"/>
        </w:rPr>
        <w:t>30</w:t>
      </w:r>
      <w:r w:rsidRPr="00784214">
        <w:rPr>
          <w:rFonts w:ascii="Arial" w:eastAsia="Arial" w:hAnsi="Arial" w:cs="Arial"/>
        </w:rPr>
        <w:t>% of people trained by this project are women</w:t>
      </w:r>
      <w:bookmarkStart w:id="0" w:name="_GoBack"/>
      <w:bookmarkEnd w:id="0"/>
      <w:r w:rsidRPr="00784214">
        <w:rPr>
          <w:rFonts w:ascii="Arial" w:eastAsia="Arial" w:hAnsi="Arial" w:cs="Arial"/>
        </w:rPr>
        <w:t>. By including this target, the project expects tha</w:t>
      </w:r>
      <w:r w:rsidR="00177BA3" w:rsidRPr="00784214">
        <w:rPr>
          <w:rFonts w:ascii="Arial" w:eastAsia="Arial" w:hAnsi="Arial" w:cs="Arial"/>
        </w:rPr>
        <w:t xml:space="preserve">t women, regardless of their current position (administrative, technical or other) </w:t>
      </w:r>
      <w:r w:rsidRPr="00784214">
        <w:rPr>
          <w:rFonts w:ascii="Arial" w:eastAsia="Arial" w:hAnsi="Arial" w:cs="Arial"/>
        </w:rPr>
        <w:t>will not only access to these training opportunities, but also gain new skills, develop their professional networks and be exposed to new technology, resulting in better job opportunities in the clean energy sector.</w:t>
      </w:r>
    </w:p>
    <w:p w:rsidR="00E476A4" w:rsidRPr="00151932" w:rsidRDefault="00E476A4" w:rsidP="00E476A4">
      <w:pPr>
        <w:spacing w:after="0"/>
        <w:jc w:val="both"/>
        <w:rPr>
          <w:rFonts w:ascii="Arial" w:eastAsia="Arial" w:hAnsi="Arial" w:cs="Arial"/>
        </w:rPr>
      </w:pPr>
    </w:p>
    <w:p w:rsidR="009D6689" w:rsidRPr="009D6689" w:rsidRDefault="009D6689" w:rsidP="009D6689"/>
    <w:p w:rsidR="005325BF" w:rsidRPr="009D6689" w:rsidRDefault="005325BF" w:rsidP="009D6689">
      <w:pPr>
        <w:tabs>
          <w:tab w:val="left" w:pos="5945"/>
        </w:tabs>
      </w:pPr>
    </w:p>
    <w:sectPr w:rsidR="005325BF" w:rsidRPr="009D6689">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113" w:rsidRDefault="00796113" w:rsidP="00796113">
      <w:pPr>
        <w:spacing w:after="0" w:line="240" w:lineRule="auto"/>
      </w:pPr>
      <w:r>
        <w:separator/>
      </w:r>
    </w:p>
  </w:endnote>
  <w:endnote w:type="continuationSeparator" w:id="0">
    <w:p w:rsidR="00796113" w:rsidRDefault="00796113" w:rsidP="00796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388959"/>
      <w:docPartObj>
        <w:docPartGallery w:val="Page Numbers (Bottom of Page)"/>
        <w:docPartUnique/>
      </w:docPartObj>
    </w:sdtPr>
    <w:sdtEndPr>
      <w:rPr>
        <w:noProof/>
      </w:rPr>
    </w:sdtEndPr>
    <w:sdtContent>
      <w:p w:rsidR="009D6689" w:rsidRDefault="009D6689">
        <w:pPr>
          <w:pStyle w:val="Footer"/>
          <w:jc w:val="right"/>
        </w:pPr>
        <w:r>
          <w:fldChar w:fldCharType="begin"/>
        </w:r>
        <w:r>
          <w:instrText xml:space="preserve"> PAGE   \* MERGEFORMAT </w:instrText>
        </w:r>
        <w:r>
          <w:fldChar w:fldCharType="separate"/>
        </w:r>
        <w:r w:rsidR="00505E50">
          <w:rPr>
            <w:noProof/>
          </w:rPr>
          <w:t>7</w:t>
        </w:r>
        <w:r>
          <w:rPr>
            <w:noProof/>
          </w:rPr>
          <w:fldChar w:fldCharType="end"/>
        </w:r>
      </w:p>
    </w:sdtContent>
  </w:sdt>
  <w:p w:rsidR="009D6689" w:rsidRPr="009D6689" w:rsidRDefault="009D6689">
    <w:pPr>
      <w:pStyle w:val="Footer"/>
      <w:rPr>
        <w:rFonts w:ascii="Arial" w:hAnsi="Arial" w:cs="Arial"/>
        <w:sz w:val="16"/>
        <w:szCs w:val="16"/>
      </w:rPr>
    </w:pPr>
    <w:r w:rsidRPr="009D6689">
      <w:rPr>
        <w:rFonts w:ascii="Arial" w:hAnsi="Arial" w:cs="Arial"/>
        <w:sz w:val="16"/>
        <w:szCs w:val="16"/>
      </w:rPr>
      <w:t>Prepared by Andrea Monje Silva (SCL/GDI)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113" w:rsidRDefault="00796113" w:rsidP="00796113">
      <w:pPr>
        <w:spacing w:after="0" w:line="240" w:lineRule="auto"/>
      </w:pPr>
      <w:r>
        <w:separator/>
      </w:r>
    </w:p>
  </w:footnote>
  <w:footnote w:type="continuationSeparator" w:id="0">
    <w:p w:rsidR="00796113" w:rsidRDefault="00796113" w:rsidP="00796113">
      <w:pPr>
        <w:spacing w:after="0" w:line="240" w:lineRule="auto"/>
      </w:pPr>
      <w:r>
        <w:continuationSeparator/>
      </w:r>
    </w:p>
  </w:footnote>
  <w:footnote w:id="1">
    <w:p w:rsidR="00796113" w:rsidRPr="00306881" w:rsidRDefault="00796113">
      <w:pPr>
        <w:pStyle w:val="FootnoteText"/>
        <w:rPr>
          <w:rFonts w:ascii="Arial" w:hAnsi="Arial" w:cs="Arial"/>
          <w:sz w:val="18"/>
          <w:szCs w:val="18"/>
        </w:rPr>
      </w:pPr>
      <w:r w:rsidRPr="00306881">
        <w:rPr>
          <w:rStyle w:val="FootnoteReference"/>
          <w:rFonts w:ascii="Arial" w:hAnsi="Arial" w:cs="Arial"/>
          <w:sz w:val="18"/>
          <w:szCs w:val="18"/>
        </w:rPr>
        <w:footnoteRef/>
      </w:r>
      <w:r w:rsidRPr="00306881">
        <w:rPr>
          <w:rFonts w:ascii="Arial" w:hAnsi="Arial" w:cs="Arial"/>
          <w:sz w:val="18"/>
          <w:szCs w:val="18"/>
        </w:rPr>
        <w:t xml:space="preserve"> </w:t>
      </w:r>
      <w:proofErr w:type="gramStart"/>
      <w:r w:rsidRPr="00306881">
        <w:rPr>
          <w:rFonts w:ascii="Arial" w:hAnsi="Arial" w:cs="Arial"/>
          <w:sz w:val="18"/>
          <w:szCs w:val="18"/>
        </w:rPr>
        <w:t>CDB (2016).</w:t>
      </w:r>
      <w:proofErr w:type="gramEnd"/>
      <w:r w:rsidRPr="00306881">
        <w:rPr>
          <w:rFonts w:ascii="Arial" w:hAnsi="Arial" w:cs="Arial"/>
          <w:sz w:val="18"/>
          <w:szCs w:val="18"/>
        </w:rPr>
        <w:t xml:space="preserve"> </w:t>
      </w:r>
      <w:proofErr w:type="gramStart"/>
      <w:r w:rsidRPr="00306881">
        <w:rPr>
          <w:rFonts w:ascii="Arial" w:hAnsi="Arial" w:cs="Arial"/>
          <w:sz w:val="18"/>
          <w:szCs w:val="18"/>
        </w:rPr>
        <w:t>Barbados Country Gender Assessment.</w:t>
      </w:r>
      <w:proofErr w:type="gramEnd"/>
      <w:r w:rsidRPr="00306881">
        <w:rPr>
          <w:rFonts w:ascii="Arial" w:hAnsi="Arial" w:cs="Arial"/>
          <w:sz w:val="18"/>
          <w:szCs w:val="18"/>
        </w:rPr>
        <w:t xml:space="preserve"> </w:t>
      </w:r>
      <w:r w:rsidR="00285952" w:rsidRPr="00306881">
        <w:rPr>
          <w:rFonts w:ascii="Arial" w:hAnsi="Arial" w:cs="Arial"/>
          <w:sz w:val="18"/>
          <w:szCs w:val="18"/>
        </w:rPr>
        <w:t xml:space="preserve">CDB: </w:t>
      </w:r>
      <w:proofErr w:type="spellStart"/>
      <w:r w:rsidR="00285952" w:rsidRPr="00306881">
        <w:rPr>
          <w:rFonts w:ascii="Arial" w:hAnsi="Arial" w:cs="Arial"/>
          <w:sz w:val="18"/>
          <w:szCs w:val="18"/>
        </w:rPr>
        <w:t>Wildey</w:t>
      </w:r>
      <w:proofErr w:type="spellEnd"/>
      <w:r w:rsidR="00285952" w:rsidRPr="00306881">
        <w:rPr>
          <w:rFonts w:ascii="Arial" w:hAnsi="Arial" w:cs="Arial"/>
          <w:sz w:val="18"/>
          <w:szCs w:val="18"/>
        </w:rPr>
        <w:t>, Barbados.</w:t>
      </w:r>
    </w:p>
  </w:footnote>
  <w:footnote w:id="2">
    <w:p w:rsidR="00C431EF" w:rsidRPr="00784214" w:rsidRDefault="00C431EF">
      <w:pPr>
        <w:pStyle w:val="FootnoteText"/>
        <w:rPr>
          <w:rFonts w:ascii="Arial" w:hAnsi="Arial" w:cs="Arial"/>
          <w:sz w:val="18"/>
          <w:szCs w:val="18"/>
        </w:rPr>
      </w:pPr>
      <w:r w:rsidRPr="00306881">
        <w:rPr>
          <w:rStyle w:val="FootnoteReference"/>
          <w:rFonts w:ascii="Arial" w:hAnsi="Arial" w:cs="Arial"/>
          <w:sz w:val="18"/>
          <w:szCs w:val="18"/>
        </w:rPr>
        <w:footnoteRef/>
      </w:r>
      <w:r w:rsidRPr="00306881">
        <w:rPr>
          <w:rFonts w:ascii="Arial" w:hAnsi="Arial" w:cs="Arial"/>
          <w:sz w:val="18"/>
          <w:szCs w:val="18"/>
        </w:rPr>
        <w:t xml:space="preserve"> </w:t>
      </w:r>
      <w:proofErr w:type="gramStart"/>
      <w:r w:rsidRPr="00306881">
        <w:rPr>
          <w:rFonts w:ascii="Arial" w:hAnsi="Arial" w:cs="Arial"/>
          <w:sz w:val="18"/>
          <w:szCs w:val="18"/>
        </w:rPr>
        <w:t>World Bank (2014).</w:t>
      </w:r>
      <w:proofErr w:type="gramEnd"/>
      <w:r w:rsidRPr="00306881">
        <w:rPr>
          <w:rFonts w:ascii="Arial" w:hAnsi="Arial" w:cs="Arial"/>
          <w:sz w:val="18"/>
          <w:szCs w:val="18"/>
        </w:rPr>
        <w:t xml:space="preserve"> </w:t>
      </w:r>
      <w:proofErr w:type="spellStart"/>
      <w:r w:rsidRPr="00784214">
        <w:rPr>
          <w:rFonts w:ascii="Arial" w:hAnsi="Arial" w:cs="Arial"/>
          <w:sz w:val="18"/>
          <w:szCs w:val="18"/>
        </w:rPr>
        <w:t>GenderStats</w:t>
      </w:r>
      <w:proofErr w:type="spellEnd"/>
      <w:r w:rsidRPr="00784214">
        <w:rPr>
          <w:rFonts w:ascii="Arial" w:hAnsi="Arial" w:cs="Arial"/>
          <w:sz w:val="18"/>
          <w:szCs w:val="18"/>
        </w:rPr>
        <w:t xml:space="preserve">: Barbados. </w:t>
      </w:r>
    </w:p>
  </w:footnote>
  <w:footnote w:id="3">
    <w:p w:rsidR="00CD3F24" w:rsidRPr="00784214" w:rsidRDefault="00CD3F24">
      <w:pPr>
        <w:pStyle w:val="FootnoteText"/>
      </w:pPr>
      <w:r w:rsidRPr="00306881">
        <w:rPr>
          <w:rStyle w:val="FootnoteReference"/>
          <w:rFonts w:ascii="Arial" w:hAnsi="Arial" w:cs="Arial"/>
          <w:sz w:val="18"/>
          <w:szCs w:val="18"/>
        </w:rPr>
        <w:footnoteRef/>
      </w:r>
      <w:r w:rsidRPr="00784214">
        <w:rPr>
          <w:rFonts w:ascii="Arial" w:hAnsi="Arial" w:cs="Arial"/>
          <w:sz w:val="18"/>
          <w:szCs w:val="18"/>
        </w:rPr>
        <w:t xml:space="preserve"> </w:t>
      </w:r>
      <w:proofErr w:type="gramStart"/>
      <w:r w:rsidRPr="00784214">
        <w:rPr>
          <w:rFonts w:ascii="Arial" w:hAnsi="Arial" w:cs="Arial"/>
          <w:sz w:val="18"/>
          <w:szCs w:val="18"/>
        </w:rPr>
        <w:t>ILO (2013).</w:t>
      </w:r>
      <w:proofErr w:type="gramEnd"/>
      <w:r w:rsidRPr="00784214">
        <w:rPr>
          <w:rFonts w:ascii="Arial" w:hAnsi="Arial" w:cs="Arial"/>
          <w:sz w:val="18"/>
          <w:szCs w:val="18"/>
        </w:rPr>
        <w:t xml:space="preserve"> ILOSTAT Database: Barbados.</w:t>
      </w:r>
    </w:p>
  </w:footnote>
  <w:footnote w:id="4">
    <w:p w:rsidR="00034FBF" w:rsidRPr="00306881" w:rsidRDefault="00034FBF">
      <w:pPr>
        <w:pStyle w:val="FootnoteText"/>
        <w:rPr>
          <w:rFonts w:ascii="Arial" w:hAnsi="Arial" w:cs="Arial"/>
          <w:sz w:val="18"/>
          <w:szCs w:val="18"/>
        </w:rPr>
      </w:pPr>
      <w:r w:rsidRPr="00306881">
        <w:rPr>
          <w:rStyle w:val="FootnoteReference"/>
          <w:rFonts w:ascii="Arial" w:hAnsi="Arial" w:cs="Arial"/>
          <w:sz w:val="18"/>
          <w:szCs w:val="18"/>
        </w:rPr>
        <w:footnoteRef/>
      </w:r>
      <w:r w:rsidRPr="00306881">
        <w:rPr>
          <w:rFonts w:ascii="Arial" w:hAnsi="Arial" w:cs="Arial"/>
          <w:sz w:val="18"/>
          <w:szCs w:val="18"/>
        </w:rPr>
        <w:t xml:space="preserve"> </w:t>
      </w:r>
      <w:proofErr w:type="spellStart"/>
      <w:proofErr w:type="gramStart"/>
      <w:r w:rsidRPr="00306881">
        <w:rPr>
          <w:rFonts w:ascii="Arial" w:hAnsi="Arial" w:cs="Arial"/>
          <w:sz w:val="18"/>
          <w:szCs w:val="18"/>
        </w:rPr>
        <w:t>Bellony</w:t>
      </w:r>
      <w:proofErr w:type="spellEnd"/>
      <w:r w:rsidRPr="00306881">
        <w:rPr>
          <w:rFonts w:ascii="Arial" w:hAnsi="Arial" w:cs="Arial"/>
          <w:sz w:val="18"/>
          <w:szCs w:val="18"/>
        </w:rPr>
        <w:t xml:space="preserve">, </w:t>
      </w:r>
      <w:proofErr w:type="spellStart"/>
      <w:r w:rsidRPr="00306881">
        <w:rPr>
          <w:rFonts w:ascii="Arial" w:hAnsi="Arial" w:cs="Arial"/>
          <w:sz w:val="18"/>
          <w:szCs w:val="18"/>
        </w:rPr>
        <w:t>Annelle</w:t>
      </w:r>
      <w:proofErr w:type="spellEnd"/>
      <w:r w:rsidRPr="00306881">
        <w:rPr>
          <w:rFonts w:ascii="Arial" w:hAnsi="Arial" w:cs="Arial"/>
          <w:sz w:val="18"/>
          <w:szCs w:val="18"/>
        </w:rPr>
        <w:t xml:space="preserve">; </w:t>
      </w:r>
      <w:proofErr w:type="spellStart"/>
      <w:r w:rsidRPr="00306881">
        <w:rPr>
          <w:rFonts w:ascii="Arial" w:hAnsi="Arial" w:cs="Arial"/>
          <w:sz w:val="18"/>
          <w:szCs w:val="18"/>
        </w:rPr>
        <w:t>Hoyos</w:t>
      </w:r>
      <w:proofErr w:type="spellEnd"/>
      <w:r w:rsidRPr="00306881">
        <w:rPr>
          <w:rFonts w:ascii="Arial" w:hAnsi="Arial" w:cs="Arial"/>
          <w:sz w:val="18"/>
          <w:szCs w:val="18"/>
        </w:rPr>
        <w:t xml:space="preserve"> Alejandro; and </w:t>
      </w:r>
      <w:proofErr w:type="spellStart"/>
      <w:r w:rsidRPr="00306881">
        <w:rPr>
          <w:rFonts w:ascii="Arial" w:hAnsi="Arial" w:cs="Arial"/>
          <w:sz w:val="18"/>
          <w:szCs w:val="18"/>
        </w:rPr>
        <w:t>Nopo</w:t>
      </w:r>
      <w:proofErr w:type="spellEnd"/>
      <w:r w:rsidRPr="00306881">
        <w:rPr>
          <w:rFonts w:ascii="Arial" w:hAnsi="Arial" w:cs="Arial"/>
          <w:sz w:val="18"/>
          <w:szCs w:val="18"/>
        </w:rPr>
        <w:t>, Hugo (2010).</w:t>
      </w:r>
      <w:proofErr w:type="gramEnd"/>
      <w:r w:rsidR="005F3BCC" w:rsidRPr="00306881">
        <w:rPr>
          <w:rFonts w:ascii="Arial" w:hAnsi="Arial" w:cs="Arial"/>
          <w:sz w:val="18"/>
          <w:szCs w:val="18"/>
        </w:rPr>
        <w:t xml:space="preserve"> Gender Earning Gaps in the Caribbean: Evidence from Barbados and Jamaica. IDB: Washington DC.</w:t>
      </w:r>
      <w:r w:rsidRPr="00306881">
        <w:rPr>
          <w:rFonts w:ascii="Arial" w:hAnsi="Arial" w:cs="Arial"/>
          <w:sz w:val="18"/>
          <w:szCs w:val="18"/>
        </w:rPr>
        <w:t xml:space="preserve"> </w:t>
      </w:r>
    </w:p>
  </w:footnote>
  <w:footnote w:id="5">
    <w:p w:rsidR="008D0908" w:rsidRPr="006D3A62" w:rsidRDefault="008D0908">
      <w:pPr>
        <w:pStyle w:val="FootnoteText"/>
        <w:rPr>
          <w:rFonts w:ascii="Arial" w:hAnsi="Arial" w:cs="Arial"/>
          <w:sz w:val="18"/>
          <w:szCs w:val="18"/>
        </w:rPr>
      </w:pPr>
      <w:r w:rsidRPr="006D3A62">
        <w:rPr>
          <w:rStyle w:val="FootnoteReference"/>
          <w:rFonts w:ascii="Arial" w:hAnsi="Arial" w:cs="Arial"/>
          <w:sz w:val="18"/>
          <w:szCs w:val="18"/>
        </w:rPr>
        <w:footnoteRef/>
      </w:r>
      <w:r w:rsidRPr="006D3A62">
        <w:rPr>
          <w:rFonts w:ascii="Arial" w:hAnsi="Arial" w:cs="Arial"/>
          <w:sz w:val="18"/>
          <w:szCs w:val="18"/>
        </w:rPr>
        <w:t xml:space="preserve"> </w:t>
      </w:r>
      <w:proofErr w:type="gramStart"/>
      <w:r w:rsidRPr="006D3A62">
        <w:rPr>
          <w:rFonts w:ascii="Arial" w:hAnsi="Arial" w:cs="Arial"/>
          <w:sz w:val="18"/>
          <w:szCs w:val="18"/>
        </w:rPr>
        <w:t>CDB (2016).</w:t>
      </w:r>
      <w:proofErr w:type="gramEnd"/>
      <w:r w:rsidRPr="006D3A62">
        <w:rPr>
          <w:rFonts w:ascii="Arial" w:hAnsi="Arial" w:cs="Arial"/>
          <w:sz w:val="18"/>
          <w:szCs w:val="18"/>
        </w:rPr>
        <w:t xml:space="preserve"> </w:t>
      </w:r>
      <w:proofErr w:type="gramStart"/>
      <w:r w:rsidRPr="006D3A62">
        <w:rPr>
          <w:rFonts w:ascii="Arial" w:hAnsi="Arial" w:cs="Arial"/>
          <w:sz w:val="18"/>
          <w:szCs w:val="18"/>
        </w:rPr>
        <w:t>Barbados Country Gender Assessment.</w:t>
      </w:r>
      <w:proofErr w:type="gramEnd"/>
      <w:r w:rsidRPr="006D3A62">
        <w:rPr>
          <w:rFonts w:ascii="Arial" w:hAnsi="Arial" w:cs="Arial"/>
          <w:sz w:val="18"/>
          <w:szCs w:val="18"/>
        </w:rPr>
        <w:t xml:space="preserve"> CDB: </w:t>
      </w:r>
      <w:proofErr w:type="spellStart"/>
      <w:r w:rsidRPr="006D3A62">
        <w:rPr>
          <w:rFonts w:ascii="Arial" w:hAnsi="Arial" w:cs="Arial"/>
          <w:sz w:val="18"/>
          <w:szCs w:val="18"/>
        </w:rPr>
        <w:t>Wildey</w:t>
      </w:r>
      <w:proofErr w:type="spellEnd"/>
      <w:r w:rsidRPr="006D3A62">
        <w:rPr>
          <w:rFonts w:ascii="Arial" w:hAnsi="Arial" w:cs="Arial"/>
          <w:sz w:val="18"/>
          <w:szCs w:val="18"/>
        </w:rPr>
        <w:t>, Barbados.</w:t>
      </w:r>
    </w:p>
  </w:footnote>
  <w:footnote w:id="6">
    <w:p w:rsidR="00727248" w:rsidRPr="006D3A62" w:rsidRDefault="00727248">
      <w:pPr>
        <w:pStyle w:val="FootnoteText"/>
        <w:rPr>
          <w:rFonts w:ascii="Arial" w:hAnsi="Arial" w:cs="Arial"/>
          <w:sz w:val="18"/>
          <w:szCs w:val="18"/>
        </w:rPr>
      </w:pPr>
      <w:r w:rsidRPr="006D3A62">
        <w:rPr>
          <w:rStyle w:val="FootnoteReference"/>
          <w:rFonts w:ascii="Arial" w:hAnsi="Arial" w:cs="Arial"/>
          <w:sz w:val="18"/>
          <w:szCs w:val="18"/>
        </w:rPr>
        <w:footnoteRef/>
      </w:r>
      <w:r w:rsidRPr="006D3A62">
        <w:rPr>
          <w:rFonts w:ascii="Arial" w:hAnsi="Arial" w:cs="Arial"/>
          <w:sz w:val="18"/>
          <w:szCs w:val="18"/>
        </w:rPr>
        <w:t xml:space="preserve"> </w:t>
      </w:r>
      <w:proofErr w:type="gramStart"/>
      <w:r w:rsidRPr="006D3A62">
        <w:rPr>
          <w:rFonts w:ascii="Arial" w:hAnsi="Arial" w:cs="Arial"/>
          <w:sz w:val="18"/>
          <w:szCs w:val="18"/>
        </w:rPr>
        <w:t>CDB (2016).</w:t>
      </w:r>
      <w:proofErr w:type="gramEnd"/>
      <w:r w:rsidRPr="006D3A62">
        <w:rPr>
          <w:rFonts w:ascii="Arial" w:hAnsi="Arial" w:cs="Arial"/>
          <w:sz w:val="18"/>
          <w:szCs w:val="18"/>
        </w:rPr>
        <w:t xml:space="preserve"> </w:t>
      </w:r>
      <w:proofErr w:type="gramStart"/>
      <w:r w:rsidRPr="006D3A62">
        <w:rPr>
          <w:rFonts w:ascii="Arial" w:hAnsi="Arial" w:cs="Arial"/>
          <w:sz w:val="18"/>
          <w:szCs w:val="18"/>
        </w:rPr>
        <w:t>Barbados Country Gender Assessment.</w:t>
      </w:r>
      <w:proofErr w:type="gramEnd"/>
      <w:r w:rsidRPr="006D3A62">
        <w:rPr>
          <w:rFonts w:ascii="Arial" w:hAnsi="Arial" w:cs="Arial"/>
          <w:sz w:val="18"/>
          <w:szCs w:val="18"/>
        </w:rPr>
        <w:t xml:space="preserve"> CDB: </w:t>
      </w:r>
      <w:proofErr w:type="spellStart"/>
      <w:r w:rsidRPr="006D3A62">
        <w:rPr>
          <w:rFonts w:ascii="Arial" w:hAnsi="Arial" w:cs="Arial"/>
          <w:sz w:val="18"/>
          <w:szCs w:val="18"/>
        </w:rPr>
        <w:t>Wildey</w:t>
      </w:r>
      <w:proofErr w:type="spellEnd"/>
      <w:r w:rsidRPr="006D3A62">
        <w:rPr>
          <w:rFonts w:ascii="Arial" w:hAnsi="Arial" w:cs="Arial"/>
          <w:sz w:val="18"/>
          <w:szCs w:val="18"/>
        </w:rPr>
        <w:t>, Barbados</w:t>
      </w:r>
      <w:r w:rsidR="00662143" w:rsidRPr="006D3A62">
        <w:rPr>
          <w:rFonts w:ascii="Arial" w:hAnsi="Arial" w:cs="Arial"/>
          <w:sz w:val="18"/>
          <w:szCs w:val="18"/>
        </w:rPr>
        <w:t>.</w:t>
      </w:r>
    </w:p>
  </w:footnote>
  <w:footnote w:id="7">
    <w:p w:rsidR="008316DF" w:rsidRDefault="008316DF">
      <w:pPr>
        <w:pStyle w:val="FootnoteText"/>
      </w:pPr>
      <w:r w:rsidRPr="006D3A62">
        <w:rPr>
          <w:rStyle w:val="FootnoteReference"/>
          <w:rFonts w:ascii="Arial" w:hAnsi="Arial" w:cs="Arial"/>
          <w:sz w:val="18"/>
          <w:szCs w:val="18"/>
        </w:rPr>
        <w:footnoteRef/>
      </w:r>
      <w:r w:rsidRPr="006D3A62">
        <w:rPr>
          <w:rFonts w:ascii="Arial" w:hAnsi="Arial" w:cs="Arial"/>
          <w:sz w:val="18"/>
          <w:szCs w:val="18"/>
        </w:rPr>
        <w:t xml:space="preserve"> </w:t>
      </w:r>
      <w:proofErr w:type="gramStart"/>
      <w:r w:rsidRPr="006D3A62">
        <w:rPr>
          <w:rFonts w:ascii="Arial" w:hAnsi="Arial" w:cs="Arial"/>
          <w:sz w:val="18"/>
          <w:szCs w:val="18"/>
        </w:rPr>
        <w:t>NPC (2016).</w:t>
      </w:r>
      <w:proofErr w:type="gramEnd"/>
      <w:r w:rsidRPr="006D3A62">
        <w:rPr>
          <w:rFonts w:ascii="Arial" w:hAnsi="Arial" w:cs="Arial"/>
          <w:sz w:val="18"/>
          <w:szCs w:val="18"/>
        </w:rPr>
        <w:t xml:space="preserve"> </w:t>
      </w:r>
      <w:proofErr w:type="gramStart"/>
      <w:r w:rsidRPr="006D3A62">
        <w:rPr>
          <w:rFonts w:ascii="Arial" w:hAnsi="Arial" w:cs="Arial"/>
          <w:sz w:val="18"/>
          <w:szCs w:val="18"/>
        </w:rPr>
        <w:t>NPC Staff Composition Disaggregated by Sex.</w:t>
      </w:r>
      <w:proofErr w:type="gramEnd"/>
    </w:p>
  </w:footnote>
  <w:footnote w:id="8">
    <w:p w:rsidR="00232AD8" w:rsidRPr="002C08EA" w:rsidRDefault="00232AD8" w:rsidP="002C08EA">
      <w:pPr>
        <w:spacing w:after="0" w:line="240" w:lineRule="auto"/>
        <w:jc w:val="both"/>
        <w:rPr>
          <w:rFonts w:ascii="Arial" w:hAnsi="Arial" w:cs="Arial"/>
          <w:sz w:val="18"/>
          <w:szCs w:val="18"/>
        </w:rPr>
      </w:pPr>
      <w:r w:rsidRPr="002C08EA">
        <w:rPr>
          <w:rFonts w:ascii="Arial" w:hAnsi="Arial" w:cs="Arial"/>
          <w:sz w:val="18"/>
          <w:szCs w:val="18"/>
          <w:vertAlign w:val="superscript"/>
        </w:rPr>
        <w:footnoteRef/>
      </w:r>
      <w:r w:rsidRPr="002C08EA">
        <w:rPr>
          <w:rFonts w:ascii="Arial" w:hAnsi="Arial" w:cs="Arial"/>
          <w:sz w:val="18"/>
          <w:szCs w:val="18"/>
        </w:rPr>
        <w:t xml:space="preserve"> </w:t>
      </w:r>
      <w:r w:rsidRPr="002C08EA">
        <w:rPr>
          <w:rFonts w:ascii="Arial" w:eastAsia="Arial" w:hAnsi="Arial" w:cs="Arial"/>
          <w:sz w:val="18"/>
          <w:szCs w:val="18"/>
        </w:rPr>
        <w:t>The underutilization of the labor force influences the performance of the economy in a sub-optimal level of the economy since it produces less of what could, resulting in a low economic growth for country.</w:t>
      </w:r>
    </w:p>
  </w:footnote>
  <w:footnote w:id="9">
    <w:p w:rsidR="000415CD" w:rsidRPr="002C08EA" w:rsidRDefault="000415CD" w:rsidP="002C08EA">
      <w:pPr>
        <w:pStyle w:val="FootnoteText"/>
        <w:jc w:val="both"/>
        <w:rPr>
          <w:rFonts w:ascii="Arial" w:hAnsi="Arial" w:cs="Arial"/>
          <w:sz w:val="18"/>
          <w:szCs w:val="18"/>
        </w:rPr>
      </w:pPr>
      <w:r w:rsidRPr="002C08EA">
        <w:rPr>
          <w:rStyle w:val="FootnoteReference"/>
          <w:rFonts w:ascii="Arial" w:hAnsi="Arial" w:cs="Arial"/>
          <w:sz w:val="18"/>
          <w:szCs w:val="18"/>
        </w:rPr>
        <w:footnoteRef/>
      </w:r>
      <w:r w:rsidRPr="002C08EA">
        <w:rPr>
          <w:rFonts w:ascii="Arial" w:hAnsi="Arial" w:cs="Arial"/>
          <w:sz w:val="18"/>
          <w:szCs w:val="18"/>
        </w:rPr>
        <w:t xml:space="preserve"> </w:t>
      </w:r>
      <w:r w:rsidR="002C08EA">
        <w:rPr>
          <w:rFonts w:ascii="Arial" w:hAnsi="Arial" w:cs="Arial"/>
          <w:sz w:val="18"/>
          <w:szCs w:val="18"/>
        </w:rPr>
        <w:t>T</w:t>
      </w:r>
      <w:r w:rsidR="002C08EA" w:rsidRPr="002C08EA">
        <w:rPr>
          <w:rFonts w:ascii="Arial" w:hAnsi="Arial" w:cs="Arial"/>
          <w:sz w:val="18"/>
          <w:szCs w:val="18"/>
        </w:rPr>
        <w:t>he term “non</w:t>
      </w:r>
      <w:r w:rsidR="002C08EA">
        <w:rPr>
          <w:rFonts w:ascii="Arial" w:hAnsi="Arial" w:cs="Arial"/>
          <w:sz w:val="18"/>
          <w:szCs w:val="18"/>
        </w:rPr>
        <w:t>-traditional sectors” means occupations or sectors</w:t>
      </w:r>
      <w:r w:rsidR="002C08EA" w:rsidRPr="002C08EA">
        <w:rPr>
          <w:rFonts w:ascii="Arial" w:hAnsi="Arial" w:cs="Arial"/>
          <w:sz w:val="18"/>
          <w:szCs w:val="18"/>
        </w:rPr>
        <w:t xml:space="preserve"> of work for which individuals of one gender comprise less than 25 percent of individuals employed in each such occupation or field of work.</w:t>
      </w:r>
      <w:r w:rsidR="002C08EA">
        <w:rPr>
          <w:rFonts w:ascii="Arial" w:hAnsi="Arial" w:cs="Arial"/>
          <w:sz w:val="18"/>
          <w:szCs w:val="18"/>
        </w:rPr>
        <w:t xml:space="preserve"> See:</w:t>
      </w:r>
      <w:r w:rsidR="002C08EA" w:rsidRPr="002C08EA">
        <w:rPr>
          <w:rFonts w:ascii="Arial" w:eastAsia="Arial" w:hAnsi="Arial" w:cs="Arial"/>
          <w:color w:val="000000"/>
          <w:sz w:val="18"/>
          <w:szCs w:val="18"/>
        </w:rPr>
        <w:t xml:space="preserve"> </w:t>
      </w:r>
      <w:proofErr w:type="spellStart"/>
      <w:r w:rsidR="002C08EA" w:rsidRPr="002C08EA">
        <w:rPr>
          <w:rFonts w:ascii="Arial" w:hAnsi="Arial" w:cs="Arial"/>
          <w:sz w:val="18"/>
          <w:szCs w:val="18"/>
        </w:rPr>
        <w:t>Hegewisch</w:t>
      </w:r>
      <w:proofErr w:type="spellEnd"/>
      <w:r w:rsidR="002C08EA" w:rsidRPr="002C08EA">
        <w:rPr>
          <w:rFonts w:ascii="Arial" w:hAnsi="Arial" w:cs="Arial"/>
          <w:sz w:val="18"/>
          <w:szCs w:val="18"/>
        </w:rPr>
        <w:t xml:space="preserve">, Ariane and Hartmann, Heidi (2014). Occupational Segregation and the Gender Wage Gap: A Job Half Done. </w:t>
      </w:r>
      <w:proofErr w:type="gramStart"/>
      <w:r w:rsidR="002C08EA" w:rsidRPr="00784214">
        <w:rPr>
          <w:rFonts w:ascii="Arial" w:hAnsi="Arial" w:cs="Arial"/>
          <w:sz w:val="18"/>
          <w:szCs w:val="18"/>
        </w:rPr>
        <w:t>Institute for Women’s Policy Research.</w:t>
      </w:r>
      <w:proofErr w:type="gramEnd"/>
    </w:p>
  </w:footnote>
  <w:footnote w:id="10">
    <w:p w:rsidR="0000415D" w:rsidRPr="002445AC" w:rsidRDefault="0000415D" w:rsidP="0000415D">
      <w:pPr>
        <w:pStyle w:val="FootnoteText"/>
        <w:rPr>
          <w:rFonts w:ascii="Arial" w:hAnsi="Arial" w:cs="Arial"/>
          <w:sz w:val="18"/>
          <w:szCs w:val="18"/>
        </w:rPr>
      </w:pPr>
      <w:r w:rsidRPr="002445AC">
        <w:rPr>
          <w:rStyle w:val="FootnoteReference"/>
          <w:rFonts w:ascii="Arial" w:hAnsi="Arial" w:cs="Arial"/>
          <w:sz w:val="18"/>
          <w:szCs w:val="18"/>
        </w:rPr>
        <w:footnoteRef/>
      </w:r>
      <w:r w:rsidRPr="002445AC">
        <w:rPr>
          <w:rFonts w:ascii="Arial" w:hAnsi="Arial" w:cs="Arial"/>
          <w:sz w:val="18"/>
          <w:szCs w:val="18"/>
        </w:rPr>
        <w:t xml:space="preserve"> </w:t>
      </w:r>
      <w:proofErr w:type="gramStart"/>
      <w:r w:rsidRPr="002445AC">
        <w:rPr>
          <w:rFonts w:ascii="Arial" w:hAnsi="Arial" w:cs="Arial"/>
          <w:sz w:val="18"/>
          <w:szCs w:val="18"/>
        </w:rPr>
        <w:t>Ernst and Young (2016).</w:t>
      </w:r>
      <w:proofErr w:type="gramEnd"/>
      <w:r w:rsidRPr="002445AC">
        <w:rPr>
          <w:rFonts w:ascii="Arial" w:hAnsi="Arial" w:cs="Arial"/>
          <w:sz w:val="18"/>
          <w:szCs w:val="18"/>
        </w:rPr>
        <w:t xml:space="preserve"> Women in Power and Utilities: Index 2016.</w:t>
      </w:r>
    </w:p>
  </w:footnote>
  <w:footnote w:id="11">
    <w:p w:rsidR="0000415D" w:rsidRPr="008E47FA" w:rsidRDefault="0000415D" w:rsidP="0000415D">
      <w:pPr>
        <w:pStyle w:val="FootnoteText"/>
        <w:rPr>
          <w:lang w:val="es-ES_tradnl"/>
        </w:rPr>
      </w:pPr>
      <w:r w:rsidRPr="002445AC">
        <w:rPr>
          <w:rStyle w:val="FootnoteReference"/>
          <w:rFonts w:ascii="Arial" w:hAnsi="Arial" w:cs="Arial"/>
          <w:sz w:val="18"/>
          <w:szCs w:val="18"/>
        </w:rPr>
        <w:footnoteRef/>
      </w:r>
      <w:r w:rsidRPr="002445AC">
        <w:rPr>
          <w:rFonts w:ascii="Arial" w:hAnsi="Arial" w:cs="Arial"/>
          <w:sz w:val="18"/>
          <w:szCs w:val="18"/>
          <w:lang w:val="es-ES_tradnl"/>
        </w:rPr>
        <w:t xml:space="preserve"> IDB (2015). Sistema de Información de Mercados Laborares y Seguridad Social.</w:t>
      </w:r>
      <w:r w:rsidRPr="008E47FA">
        <w:rPr>
          <w:lang w:val="es-ES_tradnl"/>
        </w:rPr>
        <w:t xml:space="preserve"> </w:t>
      </w:r>
    </w:p>
  </w:footnote>
  <w:footnote w:id="12">
    <w:p w:rsidR="00232AD8" w:rsidRPr="002445AC" w:rsidRDefault="00232AD8" w:rsidP="00114833">
      <w:pPr>
        <w:pStyle w:val="FootnoteText"/>
        <w:jc w:val="both"/>
        <w:rPr>
          <w:rFonts w:ascii="Arial" w:hAnsi="Arial" w:cs="Arial"/>
          <w:sz w:val="18"/>
          <w:szCs w:val="18"/>
        </w:rPr>
      </w:pPr>
      <w:r w:rsidRPr="002445AC">
        <w:rPr>
          <w:rStyle w:val="FootnoteReference"/>
          <w:rFonts w:ascii="Arial" w:hAnsi="Arial" w:cs="Arial"/>
          <w:sz w:val="18"/>
          <w:szCs w:val="18"/>
        </w:rPr>
        <w:footnoteRef/>
      </w:r>
      <w:r w:rsidRPr="002445AC">
        <w:rPr>
          <w:rFonts w:ascii="Arial" w:hAnsi="Arial" w:cs="Arial"/>
          <w:sz w:val="18"/>
          <w:szCs w:val="18"/>
        </w:rPr>
        <w:t xml:space="preserve"> Marcos, Paloma (2014). Gender and Renewable Energy: Wind, Solar, Geothermal and Hydroelectric Energy. IDB: Washington, DC.</w:t>
      </w:r>
    </w:p>
  </w:footnote>
  <w:footnote w:id="13">
    <w:p w:rsidR="00232AD8" w:rsidRPr="008877E2" w:rsidRDefault="00232AD8" w:rsidP="00114833">
      <w:pPr>
        <w:pStyle w:val="FootnoteText"/>
        <w:jc w:val="both"/>
        <w:rPr>
          <w:rFonts w:ascii="Arial" w:hAnsi="Arial" w:cs="Arial"/>
          <w:sz w:val="18"/>
          <w:szCs w:val="18"/>
        </w:rPr>
      </w:pPr>
      <w:r w:rsidRPr="008877E2">
        <w:rPr>
          <w:rStyle w:val="FootnoteReference"/>
          <w:rFonts w:ascii="Arial" w:hAnsi="Arial" w:cs="Arial"/>
          <w:sz w:val="18"/>
          <w:szCs w:val="18"/>
        </w:rPr>
        <w:footnoteRef/>
      </w:r>
      <w:r w:rsidRPr="008877E2">
        <w:rPr>
          <w:rFonts w:ascii="Arial" w:hAnsi="Arial" w:cs="Arial"/>
          <w:sz w:val="18"/>
          <w:szCs w:val="18"/>
        </w:rPr>
        <w:t xml:space="preserve"> Aguilar, Lorena (</w:t>
      </w:r>
      <w:hyperlink r:id="rId1" w:history="1">
        <w:r w:rsidRPr="008877E2">
          <w:rPr>
            <w:rStyle w:val="Hyperlink"/>
            <w:rFonts w:ascii="Arial" w:hAnsi="Arial" w:cs="Arial"/>
            <w:sz w:val="18"/>
            <w:szCs w:val="18"/>
          </w:rPr>
          <w:t>2015</w:t>
        </w:r>
      </w:hyperlink>
      <w:r w:rsidRPr="008877E2">
        <w:rPr>
          <w:rFonts w:ascii="Arial" w:hAnsi="Arial" w:cs="Arial"/>
          <w:sz w:val="18"/>
          <w:szCs w:val="18"/>
        </w:rPr>
        <w:t>). Unleashing the Power of Women in the Renewable Energy Sector</w:t>
      </w:r>
    </w:p>
  </w:footnote>
  <w:footnote w:id="14">
    <w:p w:rsidR="00232AD8" w:rsidRPr="008877E2" w:rsidRDefault="00232AD8" w:rsidP="00114833">
      <w:pPr>
        <w:pStyle w:val="FootnoteText"/>
        <w:jc w:val="both"/>
        <w:rPr>
          <w:rFonts w:ascii="Arial" w:hAnsi="Arial" w:cs="Arial"/>
          <w:sz w:val="18"/>
          <w:szCs w:val="18"/>
        </w:rPr>
      </w:pPr>
      <w:r w:rsidRPr="008877E2">
        <w:rPr>
          <w:rStyle w:val="FootnoteReference"/>
          <w:rFonts w:ascii="Arial" w:hAnsi="Arial" w:cs="Arial"/>
          <w:sz w:val="18"/>
          <w:szCs w:val="18"/>
        </w:rPr>
        <w:footnoteRef/>
      </w:r>
      <w:r w:rsidRPr="008877E2">
        <w:rPr>
          <w:rFonts w:ascii="Arial" w:hAnsi="Arial" w:cs="Arial"/>
          <w:sz w:val="18"/>
          <w:szCs w:val="18"/>
        </w:rPr>
        <w:t xml:space="preserve"> Marcos, Paloma (2014). Gender and Renewable Energy: Wind, Solar, Geothermal and Hydroelectric Energy. IDB: Washington, DC.</w:t>
      </w:r>
    </w:p>
  </w:footnote>
  <w:footnote w:id="15">
    <w:p w:rsidR="008877E2" w:rsidRPr="008877E2" w:rsidRDefault="008877E2">
      <w:pPr>
        <w:pStyle w:val="FootnoteText"/>
        <w:rPr>
          <w:rFonts w:ascii="Arial" w:hAnsi="Arial" w:cs="Arial"/>
          <w:sz w:val="18"/>
          <w:szCs w:val="18"/>
        </w:rPr>
      </w:pPr>
      <w:r w:rsidRPr="008877E2">
        <w:rPr>
          <w:rStyle w:val="FootnoteReference"/>
          <w:rFonts w:ascii="Arial" w:hAnsi="Arial" w:cs="Arial"/>
          <w:sz w:val="18"/>
          <w:szCs w:val="18"/>
        </w:rPr>
        <w:footnoteRef/>
      </w:r>
      <w:r w:rsidRPr="008877E2">
        <w:rPr>
          <w:rFonts w:ascii="Arial" w:hAnsi="Arial" w:cs="Arial"/>
          <w:sz w:val="18"/>
          <w:szCs w:val="18"/>
        </w:rPr>
        <w:t xml:space="preserve"> </w:t>
      </w:r>
      <w:proofErr w:type="gramStart"/>
      <w:r w:rsidRPr="008877E2">
        <w:rPr>
          <w:rFonts w:ascii="Arial" w:hAnsi="Arial" w:cs="Arial"/>
          <w:sz w:val="18"/>
          <w:szCs w:val="18"/>
        </w:rPr>
        <w:t>ILO (2013).</w:t>
      </w:r>
      <w:proofErr w:type="gramEnd"/>
      <w:r w:rsidRPr="008877E2">
        <w:rPr>
          <w:rFonts w:ascii="Arial" w:hAnsi="Arial" w:cs="Arial"/>
          <w:sz w:val="18"/>
          <w:szCs w:val="18"/>
        </w:rPr>
        <w:t xml:space="preserve"> ILOSTAT Database: Caribbean</w:t>
      </w:r>
    </w:p>
  </w:footnote>
  <w:footnote w:id="16">
    <w:p w:rsidR="00781C78" w:rsidRPr="008877E2" w:rsidRDefault="00781C78" w:rsidP="00781C78">
      <w:pPr>
        <w:pStyle w:val="FootnoteText"/>
        <w:rPr>
          <w:rFonts w:ascii="Arial" w:hAnsi="Arial" w:cs="Arial"/>
          <w:sz w:val="18"/>
          <w:szCs w:val="18"/>
        </w:rPr>
      </w:pPr>
      <w:r w:rsidRPr="008877E2">
        <w:rPr>
          <w:rStyle w:val="FootnoteReference"/>
          <w:rFonts w:ascii="Arial" w:hAnsi="Arial" w:cs="Arial"/>
          <w:sz w:val="18"/>
          <w:szCs w:val="18"/>
        </w:rPr>
        <w:footnoteRef/>
      </w:r>
      <w:r w:rsidRPr="008877E2">
        <w:rPr>
          <w:rFonts w:ascii="Arial" w:hAnsi="Arial" w:cs="Arial"/>
          <w:sz w:val="18"/>
          <w:szCs w:val="18"/>
        </w:rPr>
        <w:t xml:space="preserve"> </w:t>
      </w:r>
      <w:proofErr w:type="spellStart"/>
      <w:proofErr w:type="gramStart"/>
      <w:r w:rsidRPr="008877E2">
        <w:rPr>
          <w:rFonts w:ascii="Arial" w:hAnsi="Arial" w:cs="Arial"/>
          <w:sz w:val="18"/>
          <w:szCs w:val="18"/>
        </w:rPr>
        <w:t>Bellony</w:t>
      </w:r>
      <w:proofErr w:type="spellEnd"/>
      <w:r w:rsidRPr="008877E2">
        <w:rPr>
          <w:rFonts w:ascii="Arial" w:hAnsi="Arial" w:cs="Arial"/>
          <w:sz w:val="18"/>
          <w:szCs w:val="18"/>
        </w:rPr>
        <w:t xml:space="preserve">, </w:t>
      </w:r>
      <w:proofErr w:type="spellStart"/>
      <w:r w:rsidRPr="008877E2">
        <w:rPr>
          <w:rFonts w:ascii="Arial" w:hAnsi="Arial" w:cs="Arial"/>
          <w:sz w:val="18"/>
          <w:szCs w:val="18"/>
        </w:rPr>
        <w:t>Annelle</w:t>
      </w:r>
      <w:proofErr w:type="spellEnd"/>
      <w:r w:rsidRPr="008877E2">
        <w:rPr>
          <w:rFonts w:ascii="Arial" w:hAnsi="Arial" w:cs="Arial"/>
          <w:sz w:val="18"/>
          <w:szCs w:val="18"/>
        </w:rPr>
        <w:t xml:space="preserve">; </w:t>
      </w:r>
      <w:proofErr w:type="spellStart"/>
      <w:r w:rsidRPr="008877E2">
        <w:rPr>
          <w:rFonts w:ascii="Arial" w:hAnsi="Arial" w:cs="Arial"/>
          <w:sz w:val="18"/>
          <w:szCs w:val="18"/>
        </w:rPr>
        <w:t>Hoyos</w:t>
      </w:r>
      <w:proofErr w:type="spellEnd"/>
      <w:r w:rsidRPr="008877E2">
        <w:rPr>
          <w:rFonts w:ascii="Arial" w:hAnsi="Arial" w:cs="Arial"/>
          <w:sz w:val="18"/>
          <w:szCs w:val="18"/>
        </w:rPr>
        <w:t xml:space="preserve"> Alejandro; and </w:t>
      </w:r>
      <w:proofErr w:type="spellStart"/>
      <w:r w:rsidRPr="008877E2">
        <w:rPr>
          <w:rFonts w:ascii="Arial" w:hAnsi="Arial" w:cs="Arial"/>
          <w:sz w:val="18"/>
          <w:szCs w:val="18"/>
        </w:rPr>
        <w:t>Nopo</w:t>
      </w:r>
      <w:proofErr w:type="spellEnd"/>
      <w:r w:rsidRPr="008877E2">
        <w:rPr>
          <w:rFonts w:ascii="Arial" w:hAnsi="Arial" w:cs="Arial"/>
          <w:sz w:val="18"/>
          <w:szCs w:val="18"/>
        </w:rPr>
        <w:t>, Hugo (2010).</w:t>
      </w:r>
      <w:proofErr w:type="gramEnd"/>
      <w:r w:rsidRPr="008877E2">
        <w:rPr>
          <w:rFonts w:ascii="Arial" w:hAnsi="Arial" w:cs="Arial"/>
          <w:sz w:val="18"/>
          <w:szCs w:val="18"/>
        </w:rPr>
        <w:t xml:space="preserve"> Gender Earning Gaps in the Caribbean: Evidence from Barbados and Jamaica. IDB: Washington DC. </w:t>
      </w:r>
    </w:p>
  </w:footnote>
  <w:footnote w:id="17">
    <w:p w:rsidR="00231C2C" w:rsidRPr="008877E2" w:rsidRDefault="00231C2C" w:rsidP="00E20471">
      <w:pPr>
        <w:spacing w:after="0" w:line="240" w:lineRule="auto"/>
        <w:jc w:val="both"/>
        <w:rPr>
          <w:rFonts w:ascii="Arial" w:hAnsi="Arial" w:cs="Arial"/>
          <w:sz w:val="18"/>
          <w:szCs w:val="18"/>
        </w:rPr>
      </w:pPr>
      <w:r w:rsidRPr="008877E2">
        <w:rPr>
          <w:rFonts w:ascii="Arial" w:hAnsi="Arial" w:cs="Arial"/>
          <w:sz w:val="18"/>
          <w:szCs w:val="18"/>
          <w:vertAlign w:val="superscript"/>
        </w:rPr>
        <w:footnoteRef/>
      </w:r>
      <w:r w:rsidRPr="008877E2">
        <w:rPr>
          <w:rFonts w:ascii="Arial" w:eastAsia="Arial" w:hAnsi="Arial" w:cs="Arial"/>
          <w:sz w:val="18"/>
          <w:szCs w:val="18"/>
        </w:rPr>
        <w:t xml:space="preserve"> Several studies have demonstrated that gender equality has negative impact in the economic development of a country. See: </w:t>
      </w:r>
      <w:proofErr w:type="spellStart"/>
      <w:r w:rsidRPr="008877E2">
        <w:rPr>
          <w:rFonts w:ascii="Arial" w:eastAsia="Arial" w:hAnsi="Arial" w:cs="Arial"/>
          <w:sz w:val="18"/>
          <w:szCs w:val="18"/>
        </w:rPr>
        <w:t>Cuberes</w:t>
      </w:r>
      <w:proofErr w:type="spellEnd"/>
      <w:r w:rsidRPr="008877E2">
        <w:rPr>
          <w:rFonts w:ascii="Arial" w:eastAsia="Arial" w:hAnsi="Arial" w:cs="Arial"/>
          <w:sz w:val="18"/>
          <w:szCs w:val="18"/>
        </w:rPr>
        <w:t xml:space="preserve"> and </w:t>
      </w:r>
      <w:proofErr w:type="spellStart"/>
      <w:r w:rsidRPr="008877E2">
        <w:rPr>
          <w:rFonts w:ascii="Arial" w:eastAsia="Arial" w:hAnsi="Arial" w:cs="Arial"/>
          <w:sz w:val="18"/>
          <w:szCs w:val="18"/>
        </w:rPr>
        <w:t>Teignier</w:t>
      </w:r>
      <w:proofErr w:type="spellEnd"/>
      <w:r w:rsidRPr="008877E2">
        <w:rPr>
          <w:rFonts w:ascii="Arial" w:eastAsia="Arial" w:hAnsi="Arial" w:cs="Arial"/>
          <w:sz w:val="18"/>
          <w:szCs w:val="18"/>
        </w:rPr>
        <w:t xml:space="preserve"> (2011 and 2015); </w:t>
      </w:r>
      <w:proofErr w:type="spellStart"/>
      <w:r w:rsidRPr="008877E2">
        <w:rPr>
          <w:rFonts w:ascii="Arial" w:eastAsia="Arial" w:hAnsi="Arial" w:cs="Arial"/>
          <w:sz w:val="18"/>
          <w:szCs w:val="18"/>
        </w:rPr>
        <w:t>Klasen</w:t>
      </w:r>
      <w:proofErr w:type="spellEnd"/>
      <w:r w:rsidRPr="008877E2">
        <w:rPr>
          <w:rFonts w:ascii="Arial" w:eastAsia="Arial" w:hAnsi="Arial" w:cs="Arial"/>
          <w:sz w:val="18"/>
          <w:szCs w:val="18"/>
        </w:rPr>
        <w:t xml:space="preserve"> (2002); and Dollar and </w:t>
      </w:r>
      <w:proofErr w:type="spellStart"/>
      <w:r w:rsidRPr="008877E2">
        <w:rPr>
          <w:rFonts w:ascii="Arial" w:eastAsia="Arial" w:hAnsi="Arial" w:cs="Arial"/>
          <w:sz w:val="18"/>
          <w:szCs w:val="18"/>
        </w:rPr>
        <w:t>Gatti</w:t>
      </w:r>
      <w:proofErr w:type="spellEnd"/>
      <w:r w:rsidRPr="008877E2">
        <w:rPr>
          <w:rFonts w:ascii="Arial" w:eastAsia="Arial" w:hAnsi="Arial" w:cs="Arial"/>
          <w:sz w:val="18"/>
          <w:szCs w:val="18"/>
        </w:rPr>
        <w:t xml:space="preserve"> (1999), among others.</w:t>
      </w:r>
    </w:p>
  </w:footnote>
  <w:footnote w:id="18">
    <w:p w:rsidR="00232AD8" w:rsidRPr="00E20471" w:rsidRDefault="00232AD8" w:rsidP="00E20471">
      <w:pPr>
        <w:spacing w:after="0" w:line="240" w:lineRule="auto"/>
        <w:jc w:val="both"/>
        <w:rPr>
          <w:rFonts w:ascii="Arial" w:hAnsi="Arial" w:cs="Arial"/>
          <w:sz w:val="18"/>
          <w:szCs w:val="18"/>
        </w:rPr>
      </w:pPr>
      <w:r w:rsidRPr="00E20471">
        <w:rPr>
          <w:rFonts w:ascii="Arial" w:hAnsi="Arial" w:cs="Arial"/>
          <w:sz w:val="18"/>
          <w:szCs w:val="18"/>
          <w:vertAlign w:val="superscript"/>
        </w:rPr>
        <w:footnoteRef/>
      </w:r>
      <w:r w:rsidRPr="00E20471">
        <w:rPr>
          <w:rFonts w:ascii="Arial" w:eastAsia="Arial" w:hAnsi="Arial" w:cs="Arial"/>
          <w:sz w:val="18"/>
          <w:szCs w:val="18"/>
        </w:rPr>
        <w:t xml:space="preserve"> </w:t>
      </w:r>
      <w:proofErr w:type="gramStart"/>
      <w:r w:rsidRPr="00E20471">
        <w:rPr>
          <w:rFonts w:ascii="Arial" w:eastAsia="Arial" w:hAnsi="Arial" w:cs="Arial"/>
          <w:sz w:val="18"/>
          <w:szCs w:val="18"/>
        </w:rPr>
        <w:t>World Bank (</w:t>
      </w:r>
      <w:hyperlink r:id="rId2">
        <w:r w:rsidRPr="00E20471">
          <w:rPr>
            <w:rFonts w:ascii="Arial" w:eastAsia="Arial" w:hAnsi="Arial" w:cs="Arial"/>
            <w:color w:val="1155CC"/>
            <w:sz w:val="18"/>
            <w:szCs w:val="18"/>
            <w:u w:val="single"/>
          </w:rPr>
          <w:t>2015</w:t>
        </w:r>
      </w:hyperlink>
      <w:r w:rsidRPr="00E20471">
        <w:rPr>
          <w:rFonts w:ascii="Arial" w:eastAsia="Arial" w:hAnsi="Arial" w:cs="Arial"/>
          <w:sz w:val="18"/>
          <w:szCs w:val="18"/>
        </w:rPr>
        <w:t>).</w:t>
      </w:r>
      <w:proofErr w:type="gramEnd"/>
      <w:r w:rsidRPr="00E20471">
        <w:rPr>
          <w:rFonts w:ascii="Arial" w:eastAsia="Arial" w:hAnsi="Arial" w:cs="Arial"/>
          <w:sz w:val="18"/>
          <w:szCs w:val="18"/>
        </w:rPr>
        <w:t xml:space="preserve"> </w:t>
      </w:r>
      <w:proofErr w:type="gramStart"/>
      <w:r w:rsidRPr="00E20471">
        <w:rPr>
          <w:rFonts w:ascii="Arial" w:eastAsia="Arial" w:hAnsi="Arial" w:cs="Arial"/>
          <w:sz w:val="18"/>
          <w:szCs w:val="18"/>
        </w:rPr>
        <w:t>Partnering for Gender Equality.</w:t>
      </w:r>
      <w:proofErr w:type="gramEnd"/>
      <w:r w:rsidRPr="00E20471">
        <w:rPr>
          <w:rFonts w:ascii="Arial" w:eastAsia="Arial" w:hAnsi="Arial" w:cs="Arial"/>
          <w:sz w:val="18"/>
          <w:szCs w:val="18"/>
        </w:rPr>
        <w:t xml:space="preserve"> </w:t>
      </w:r>
    </w:p>
  </w:footnote>
  <w:footnote w:id="19">
    <w:p w:rsidR="00232AD8" w:rsidRPr="00E20471" w:rsidRDefault="00232AD8" w:rsidP="00E20471">
      <w:pPr>
        <w:spacing w:after="0" w:line="240" w:lineRule="auto"/>
        <w:jc w:val="both"/>
        <w:rPr>
          <w:rFonts w:ascii="Arial" w:hAnsi="Arial" w:cs="Arial"/>
          <w:sz w:val="18"/>
          <w:szCs w:val="18"/>
        </w:rPr>
      </w:pPr>
      <w:r w:rsidRPr="00E20471">
        <w:rPr>
          <w:rFonts w:ascii="Arial" w:hAnsi="Arial" w:cs="Arial"/>
          <w:sz w:val="18"/>
          <w:szCs w:val="18"/>
          <w:vertAlign w:val="superscript"/>
        </w:rPr>
        <w:footnoteRef/>
      </w:r>
      <w:r w:rsidRPr="00E20471">
        <w:rPr>
          <w:rFonts w:ascii="Arial" w:eastAsia="Calibri" w:hAnsi="Arial" w:cs="Arial"/>
          <w:sz w:val="18"/>
          <w:szCs w:val="18"/>
        </w:rPr>
        <w:t xml:space="preserve"> </w:t>
      </w:r>
      <w:proofErr w:type="gramStart"/>
      <w:r w:rsidRPr="00E20471">
        <w:rPr>
          <w:rFonts w:ascii="Arial" w:eastAsia="Calibri" w:hAnsi="Arial" w:cs="Arial"/>
          <w:sz w:val="18"/>
          <w:szCs w:val="18"/>
        </w:rPr>
        <w:t>World Bank (2004).</w:t>
      </w:r>
      <w:proofErr w:type="gramEnd"/>
      <w:r w:rsidRPr="00E20471">
        <w:rPr>
          <w:rFonts w:ascii="Arial" w:eastAsia="Calibri" w:hAnsi="Arial" w:cs="Arial"/>
          <w:sz w:val="18"/>
          <w:szCs w:val="18"/>
        </w:rPr>
        <w:t xml:space="preserve"> </w:t>
      </w:r>
      <w:proofErr w:type="gramStart"/>
      <w:r w:rsidRPr="00E20471">
        <w:rPr>
          <w:rFonts w:ascii="Arial" w:eastAsia="Calibri" w:hAnsi="Arial" w:cs="Arial"/>
          <w:sz w:val="18"/>
          <w:szCs w:val="18"/>
        </w:rPr>
        <w:t>Opportunities for Women in Renewable Energy Technology Use in Bangladesh.</w:t>
      </w:r>
      <w:proofErr w:type="gramEnd"/>
      <w:r w:rsidRPr="00E20471">
        <w:rPr>
          <w:rFonts w:ascii="Arial" w:eastAsia="Calibri" w:hAnsi="Arial" w:cs="Arial"/>
          <w:sz w:val="18"/>
          <w:szCs w:val="18"/>
        </w:rPr>
        <w:t xml:space="preserve"> </w:t>
      </w:r>
    </w:p>
  </w:footnote>
  <w:footnote w:id="20">
    <w:p w:rsidR="00E20471" w:rsidRDefault="00E20471" w:rsidP="00E20471">
      <w:pPr>
        <w:pStyle w:val="FootnoteText"/>
        <w:jc w:val="both"/>
      </w:pPr>
      <w:r w:rsidRPr="00E20471">
        <w:rPr>
          <w:rStyle w:val="FootnoteReference"/>
          <w:rFonts w:ascii="Arial" w:hAnsi="Arial" w:cs="Arial"/>
          <w:sz w:val="18"/>
          <w:szCs w:val="18"/>
        </w:rPr>
        <w:footnoteRef/>
      </w:r>
      <w:r w:rsidRPr="00E20471">
        <w:rPr>
          <w:rFonts w:ascii="Arial" w:hAnsi="Arial" w:cs="Arial"/>
          <w:sz w:val="18"/>
          <w:szCs w:val="18"/>
        </w:rPr>
        <w:t xml:space="preserve"> </w:t>
      </w:r>
      <w:proofErr w:type="gramStart"/>
      <w:r w:rsidRPr="00E20471">
        <w:rPr>
          <w:rFonts w:ascii="Arial" w:hAnsi="Arial" w:cs="Arial"/>
          <w:sz w:val="18"/>
          <w:szCs w:val="18"/>
        </w:rPr>
        <w:t>MIF (</w:t>
      </w:r>
      <w:hyperlink r:id="rId3" w:history="1">
        <w:r w:rsidRPr="00E20471">
          <w:rPr>
            <w:rStyle w:val="Hyperlink"/>
            <w:rFonts w:ascii="Arial" w:hAnsi="Arial" w:cs="Arial"/>
            <w:sz w:val="18"/>
            <w:szCs w:val="18"/>
          </w:rPr>
          <w:t>2012</w:t>
        </w:r>
      </w:hyperlink>
      <w:r w:rsidRPr="00E20471">
        <w:rPr>
          <w:rFonts w:ascii="Arial" w:hAnsi="Arial" w:cs="Arial"/>
          <w:sz w:val="18"/>
          <w:szCs w:val="18"/>
        </w:rPr>
        <w:t>).</w:t>
      </w:r>
      <w:proofErr w:type="gramEnd"/>
      <w:r w:rsidRPr="00E20471">
        <w:rPr>
          <w:rFonts w:ascii="Arial" w:hAnsi="Arial" w:cs="Arial"/>
          <w:sz w:val="18"/>
          <w:szCs w:val="18"/>
        </w:rPr>
        <w:t xml:space="preserve"> Project Announce; and Berardi, Filippo (</w:t>
      </w:r>
      <w:hyperlink r:id="rId4" w:history="1">
        <w:r w:rsidRPr="00E20471">
          <w:rPr>
            <w:rStyle w:val="Hyperlink"/>
            <w:rFonts w:ascii="Arial" w:hAnsi="Arial" w:cs="Arial"/>
            <w:sz w:val="18"/>
            <w:szCs w:val="18"/>
          </w:rPr>
          <w:t>2015</w:t>
        </w:r>
      </w:hyperlink>
      <w:r w:rsidRPr="00E20471">
        <w:rPr>
          <w:rFonts w:ascii="Arial" w:hAnsi="Arial" w:cs="Arial"/>
          <w:sz w:val="18"/>
          <w:szCs w:val="18"/>
        </w:rPr>
        <w:t xml:space="preserve">). </w:t>
      </w:r>
      <w:proofErr w:type="gramStart"/>
      <w:r w:rsidRPr="00E20471">
        <w:rPr>
          <w:rFonts w:ascii="Arial" w:hAnsi="Arial" w:cs="Arial"/>
          <w:sz w:val="18"/>
          <w:szCs w:val="18"/>
        </w:rPr>
        <w:t>The energy, water and climate “win-win-win-win” solution.</w:t>
      </w:r>
      <w:proofErr w:type="gramEnd"/>
      <w:r w:rsidRPr="00E20471">
        <w:rPr>
          <w:rFonts w:ascii="Arial" w:hAnsi="Arial" w:cs="Arial"/>
          <w:sz w:val="18"/>
          <w:szCs w:val="18"/>
        </w:rPr>
        <w:t xml:space="preserve"> </w:t>
      </w:r>
      <w:proofErr w:type="spellStart"/>
      <w:r w:rsidRPr="00E20471">
        <w:rPr>
          <w:rFonts w:ascii="Arial" w:hAnsi="Arial" w:cs="Arial"/>
          <w:sz w:val="18"/>
          <w:szCs w:val="18"/>
        </w:rPr>
        <w:t>Fomin</w:t>
      </w:r>
      <w:proofErr w:type="spellEnd"/>
      <w:r w:rsidRPr="00E20471">
        <w:rPr>
          <w:rFonts w:ascii="Arial" w:hAnsi="Arial" w:cs="Arial"/>
          <w:sz w:val="18"/>
          <w:szCs w:val="18"/>
        </w:rPr>
        <w:t xml:space="preserve"> Blog.</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689" w:rsidRDefault="009D6689" w:rsidP="009D6689">
    <w:pPr>
      <w:pStyle w:val="Header"/>
      <w:jc w:val="right"/>
    </w:pPr>
    <w:r>
      <w:t>BA-L1012</w:t>
    </w:r>
  </w:p>
  <w:p w:rsidR="009D6689" w:rsidRDefault="000913D0" w:rsidP="000913D0">
    <w:pPr>
      <w:pStyle w:val="Header"/>
      <w:jc w:val="right"/>
    </w:pPr>
    <w:r>
      <w:t>09/30/1</w:t>
    </w:r>
    <w:r w:rsidR="009D6689">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25CB"/>
    <w:multiLevelType w:val="hybridMultilevel"/>
    <w:tmpl w:val="4C70DB42"/>
    <w:lvl w:ilvl="0" w:tplc="FA541B06">
      <w:start w:val="1"/>
      <w:numFmt w:val="bullet"/>
      <w:lvlText w:val="•"/>
      <w:lvlJc w:val="left"/>
      <w:pPr>
        <w:tabs>
          <w:tab w:val="num" w:pos="720"/>
        </w:tabs>
        <w:ind w:left="720" w:hanging="360"/>
      </w:pPr>
      <w:rPr>
        <w:rFonts w:ascii="Arial" w:hAnsi="Arial" w:hint="default"/>
      </w:rPr>
    </w:lvl>
    <w:lvl w:ilvl="1" w:tplc="2B90AFCE" w:tentative="1">
      <w:start w:val="1"/>
      <w:numFmt w:val="bullet"/>
      <w:lvlText w:val="•"/>
      <w:lvlJc w:val="left"/>
      <w:pPr>
        <w:tabs>
          <w:tab w:val="num" w:pos="1440"/>
        </w:tabs>
        <w:ind w:left="1440" w:hanging="360"/>
      </w:pPr>
      <w:rPr>
        <w:rFonts w:ascii="Arial" w:hAnsi="Arial" w:hint="default"/>
      </w:rPr>
    </w:lvl>
    <w:lvl w:ilvl="2" w:tplc="1E12EA74" w:tentative="1">
      <w:start w:val="1"/>
      <w:numFmt w:val="bullet"/>
      <w:lvlText w:val="•"/>
      <w:lvlJc w:val="left"/>
      <w:pPr>
        <w:tabs>
          <w:tab w:val="num" w:pos="2160"/>
        </w:tabs>
        <w:ind w:left="2160" w:hanging="360"/>
      </w:pPr>
      <w:rPr>
        <w:rFonts w:ascii="Arial" w:hAnsi="Arial" w:hint="default"/>
      </w:rPr>
    </w:lvl>
    <w:lvl w:ilvl="3" w:tplc="E408C5E8" w:tentative="1">
      <w:start w:val="1"/>
      <w:numFmt w:val="bullet"/>
      <w:lvlText w:val="•"/>
      <w:lvlJc w:val="left"/>
      <w:pPr>
        <w:tabs>
          <w:tab w:val="num" w:pos="2880"/>
        </w:tabs>
        <w:ind w:left="2880" w:hanging="360"/>
      </w:pPr>
      <w:rPr>
        <w:rFonts w:ascii="Arial" w:hAnsi="Arial" w:hint="default"/>
      </w:rPr>
    </w:lvl>
    <w:lvl w:ilvl="4" w:tplc="D8B06E8E" w:tentative="1">
      <w:start w:val="1"/>
      <w:numFmt w:val="bullet"/>
      <w:lvlText w:val="•"/>
      <w:lvlJc w:val="left"/>
      <w:pPr>
        <w:tabs>
          <w:tab w:val="num" w:pos="3600"/>
        </w:tabs>
        <w:ind w:left="3600" w:hanging="360"/>
      </w:pPr>
      <w:rPr>
        <w:rFonts w:ascii="Arial" w:hAnsi="Arial" w:hint="default"/>
      </w:rPr>
    </w:lvl>
    <w:lvl w:ilvl="5" w:tplc="D11E23A4" w:tentative="1">
      <w:start w:val="1"/>
      <w:numFmt w:val="bullet"/>
      <w:lvlText w:val="•"/>
      <w:lvlJc w:val="left"/>
      <w:pPr>
        <w:tabs>
          <w:tab w:val="num" w:pos="4320"/>
        </w:tabs>
        <w:ind w:left="4320" w:hanging="360"/>
      </w:pPr>
      <w:rPr>
        <w:rFonts w:ascii="Arial" w:hAnsi="Arial" w:hint="default"/>
      </w:rPr>
    </w:lvl>
    <w:lvl w:ilvl="6" w:tplc="BBA2B84E" w:tentative="1">
      <w:start w:val="1"/>
      <w:numFmt w:val="bullet"/>
      <w:lvlText w:val="•"/>
      <w:lvlJc w:val="left"/>
      <w:pPr>
        <w:tabs>
          <w:tab w:val="num" w:pos="5040"/>
        </w:tabs>
        <w:ind w:left="5040" w:hanging="360"/>
      </w:pPr>
      <w:rPr>
        <w:rFonts w:ascii="Arial" w:hAnsi="Arial" w:hint="default"/>
      </w:rPr>
    </w:lvl>
    <w:lvl w:ilvl="7" w:tplc="342A86E8" w:tentative="1">
      <w:start w:val="1"/>
      <w:numFmt w:val="bullet"/>
      <w:lvlText w:val="•"/>
      <w:lvlJc w:val="left"/>
      <w:pPr>
        <w:tabs>
          <w:tab w:val="num" w:pos="5760"/>
        </w:tabs>
        <w:ind w:left="5760" w:hanging="360"/>
      </w:pPr>
      <w:rPr>
        <w:rFonts w:ascii="Arial" w:hAnsi="Arial" w:hint="default"/>
      </w:rPr>
    </w:lvl>
    <w:lvl w:ilvl="8" w:tplc="D53C0C30" w:tentative="1">
      <w:start w:val="1"/>
      <w:numFmt w:val="bullet"/>
      <w:lvlText w:val="•"/>
      <w:lvlJc w:val="left"/>
      <w:pPr>
        <w:tabs>
          <w:tab w:val="num" w:pos="6480"/>
        </w:tabs>
        <w:ind w:left="6480" w:hanging="360"/>
      </w:pPr>
      <w:rPr>
        <w:rFonts w:ascii="Arial" w:hAnsi="Arial" w:hint="default"/>
      </w:rPr>
    </w:lvl>
  </w:abstractNum>
  <w:abstractNum w:abstractNumId="1">
    <w:nsid w:val="0C6C2C5F"/>
    <w:multiLevelType w:val="hybridMultilevel"/>
    <w:tmpl w:val="4C3CEEA6"/>
    <w:lvl w:ilvl="0" w:tplc="6B2262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48D"/>
    <w:rsid w:val="0000415D"/>
    <w:rsid w:val="0001617A"/>
    <w:rsid w:val="00034FBF"/>
    <w:rsid w:val="000415CD"/>
    <w:rsid w:val="000463AD"/>
    <w:rsid w:val="000913D0"/>
    <w:rsid w:val="00096131"/>
    <w:rsid w:val="000A1A00"/>
    <w:rsid w:val="0010667C"/>
    <w:rsid w:val="00114833"/>
    <w:rsid w:val="0012789B"/>
    <w:rsid w:val="0017758A"/>
    <w:rsid w:val="00177BA3"/>
    <w:rsid w:val="00191329"/>
    <w:rsid w:val="00231C2C"/>
    <w:rsid w:val="00232AD8"/>
    <w:rsid w:val="002445AC"/>
    <w:rsid w:val="002768E3"/>
    <w:rsid w:val="00285952"/>
    <w:rsid w:val="002A3B08"/>
    <w:rsid w:val="002A49C2"/>
    <w:rsid w:val="002C08EA"/>
    <w:rsid w:val="002D6957"/>
    <w:rsid w:val="00306881"/>
    <w:rsid w:val="00324E5B"/>
    <w:rsid w:val="003509D0"/>
    <w:rsid w:val="00354A5E"/>
    <w:rsid w:val="00360832"/>
    <w:rsid w:val="003C5D5D"/>
    <w:rsid w:val="003D736A"/>
    <w:rsid w:val="00441A6A"/>
    <w:rsid w:val="004C28CB"/>
    <w:rsid w:val="004D6D48"/>
    <w:rsid w:val="00505E50"/>
    <w:rsid w:val="005325BF"/>
    <w:rsid w:val="005526D3"/>
    <w:rsid w:val="00587E0A"/>
    <w:rsid w:val="005A2AB6"/>
    <w:rsid w:val="005F3BCC"/>
    <w:rsid w:val="00662143"/>
    <w:rsid w:val="006647C6"/>
    <w:rsid w:val="0068494A"/>
    <w:rsid w:val="00691C7B"/>
    <w:rsid w:val="006B7707"/>
    <w:rsid w:val="006D3A62"/>
    <w:rsid w:val="006D781E"/>
    <w:rsid w:val="00727248"/>
    <w:rsid w:val="00781C78"/>
    <w:rsid w:val="00784214"/>
    <w:rsid w:val="00796113"/>
    <w:rsid w:val="007C5C39"/>
    <w:rsid w:val="00810CE1"/>
    <w:rsid w:val="008220A3"/>
    <w:rsid w:val="008316DF"/>
    <w:rsid w:val="008705A6"/>
    <w:rsid w:val="008877E2"/>
    <w:rsid w:val="008A692B"/>
    <w:rsid w:val="008B0792"/>
    <w:rsid w:val="008C7006"/>
    <w:rsid w:val="008D0908"/>
    <w:rsid w:val="009267CB"/>
    <w:rsid w:val="00927E8E"/>
    <w:rsid w:val="00927FD7"/>
    <w:rsid w:val="0093235D"/>
    <w:rsid w:val="0098674A"/>
    <w:rsid w:val="00990410"/>
    <w:rsid w:val="009D6689"/>
    <w:rsid w:val="00A24E4D"/>
    <w:rsid w:val="00A45732"/>
    <w:rsid w:val="00A508AB"/>
    <w:rsid w:val="00A65386"/>
    <w:rsid w:val="00AC107C"/>
    <w:rsid w:val="00B2642F"/>
    <w:rsid w:val="00B47E76"/>
    <w:rsid w:val="00B606FC"/>
    <w:rsid w:val="00BC1959"/>
    <w:rsid w:val="00C15748"/>
    <w:rsid w:val="00C20E17"/>
    <w:rsid w:val="00C36AF7"/>
    <w:rsid w:val="00C431EF"/>
    <w:rsid w:val="00C512F5"/>
    <w:rsid w:val="00C82F45"/>
    <w:rsid w:val="00CB56BE"/>
    <w:rsid w:val="00CD3F24"/>
    <w:rsid w:val="00CE3F02"/>
    <w:rsid w:val="00CF7FD2"/>
    <w:rsid w:val="00D01B88"/>
    <w:rsid w:val="00DB26F7"/>
    <w:rsid w:val="00E20471"/>
    <w:rsid w:val="00E30312"/>
    <w:rsid w:val="00E33517"/>
    <w:rsid w:val="00E476A4"/>
    <w:rsid w:val="00EC3FDB"/>
    <w:rsid w:val="00EF166B"/>
    <w:rsid w:val="00EF6EC3"/>
    <w:rsid w:val="00F01049"/>
    <w:rsid w:val="00F91C82"/>
    <w:rsid w:val="00F9543D"/>
    <w:rsid w:val="00FA24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8D"/>
    <w:pPr>
      <w:ind w:left="720"/>
      <w:contextualSpacing/>
    </w:pPr>
  </w:style>
  <w:style w:type="paragraph" w:styleId="FootnoteText">
    <w:name w:val="footnote text"/>
    <w:basedOn w:val="Normal"/>
    <w:link w:val="FootnoteTextChar"/>
    <w:uiPriority w:val="99"/>
    <w:semiHidden/>
    <w:unhideWhenUsed/>
    <w:rsid w:val="007961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6113"/>
    <w:rPr>
      <w:sz w:val="20"/>
      <w:szCs w:val="20"/>
    </w:rPr>
  </w:style>
  <w:style w:type="character" w:styleId="FootnoteReference">
    <w:name w:val="footnote reference"/>
    <w:basedOn w:val="DefaultParagraphFont"/>
    <w:uiPriority w:val="99"/>
    <w:semiHidden/>
    <w:unhideWhenUsed/>
    <w:rsid w:val="00796113"/>
    <w:rPr>
      <w:vertAlign w:val="superscript"/>
    </w:rPr>
  </w:style>
  <w:style w:type="paragraph" w:styleId="Header">
    <w:name w:val="header"/>
    <w:basedOn w:val="Normal"/>
    <w:link w:val="HeaderChar"/>
    <w:uiPriority w:val="99"/>
    <w:unhideWhenUsed/>
    <w:rsid w:val="009D6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689"/>
  </w:style>
  <w:style w:type="paragraph" w:styleId="Footer">
    <w:name w:val="footer"/>
    <w:basedOn w:val="Normal"/>
    <w:link w:val="FooterChar"/>
    <w:uiPriority w:val="99"/>
    <w:unhideWhenUsed/>
    <w:rsid w:val="009D6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689"/>
  </w:style>
  <w:style w:type="paragraph" w:styleId="BalloonText">
    <w:name w:val="Balloon Text"/>
    <w:basedOn w:val="Normal"/>
    <w:link w:val="BalloonTextChar"/>
    <w:uiPriority w:val="99"/>
    <w:semiHidden/>
    <w:unhideWhenUsed/>
    <w:rsid w:val="00CD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F24"/>
    <w:rPr>
      <w:rFonts w:ascii="Tahoma" w:hAnsi="Tahoma" w:cs="Tahoma"/>
      <w:sz w:val="16"/>
      <w:szCs w:val="16"/>
    </w:rPr>
  </w:style>
  <w:style w:type="character" w:styleId="Hyperlink">
    <w:name w:val="Hyperlink"/>
    <w:basedOn w:val="DefaultParagraphFont"/>
    <w:uiPriority w:val="99"/>
    <w:unhideWhenUsed/>
    <w:rsid w:val="00232AD8"/>
    <w:rPr>
      <w:color w:val="0000FF" w:themeColor="hyperlink"/>
      <w:u w:val="single"/>
    </w:rPr>
  </w:style>
  <w:style w:type="character" w:styleId="FollowedHyperlink">
    <w:name w:val="FollowedHyperlink"/>
    <w:basedOn w:val="DefaultParagraphFont"/>
    <w:uiPriority w:val="99"/>
    <w:semiHidden/>
    <w:unhideWhenUsed/>
    <w:rsid w:val="00232AD8"/>
    <w:rPr>
      <w:color w:val="800080" w:themeColor="followedHyperlink"/>
      <w:u w:val="single"/>
    </w:rPr>
  </w:style>
  <w:style w:type="table" w:styleId="TableGrid">
    <w:name w:val="Table Grid"/>
    <w:basedOn w:val="TableNormal"/>
    <w:uiPriority w:val="59"/>
    <w:rsid w:val="00E47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674A"/>
    <w:rPr>
      <w:sz w:val="16"/>
      <w:szCs w:val="16"/>
    </w:rPr>
  </w:style>
  <w:style w:type="paragraph" w:styleId="CommentText">
    <w:name w:val="annotation text"/>
    <w:basedOn w:val="Normal"/>
    <w:link w:val="CommentTextChar"/>
    <w:uiPriority w:val="99"/>
    <w:semiHidden/>
    <w:unhideWhenUsed/>
    <w:rsid w:val="0098674A"/>
    <w:pPr>
      <w:spacing w:line="240" w:lineRule="auto"/>
    </w:pPr>
    <w:rPr>
      <w:sz w:val="20"/>
      <w:szCs w:val="20"/>
    </w:rPr>
  </w:style>
  <w:style w:type="character" w:customStyle="1" w:styleId="CommentTextChar">
    <w:name w:val="Comment Text Char"/>
    <w:basedOn w:val="DefaultParagraphFont"/>
    <w:link w:val="CommentText"/>
    <w:uiPriority w:val="99"/>
    <w:semiHidden/>
    <w:rsid w:val="0098674A"/>
    <w:rPr>
      <w:sz w:val="20"/>
      <w:szCs w:val="20"/>
    </w:rPr>
  </w:style>
  <w:style w:type="paragraph" w:styleId="CommentSubject">
    <w:name w:val="annotation subject"/>
    <w:basedOn w:val="CommentText"/>
    <w:next w:val="CommentText"/>
    <w:link w:val="CommentSubjectChar"/>
    <w:uiPriority w:val="99"/>
    <w:semiHidden/>
    <w:unhideWhenUsed/>
    <w:rsid w:val="0098674A"/>
    <w:rPr>
      <w:b/>
      <w:bCs/>
    </w:rPr>
  </w:style>
  <w:style w:type="character" w:customStyle="1" w:styleId="CommentSubjectChar">
    <w:name w:val="Comment Subject Char"/>
    <w:basedOn w:val="CommentTextChar"/>
    <w:link w:val="CommentSubject"/>
    <w:uiPriority w:val="99"/>
    <w:semiHidden/>
    <w:rsid w:val="0098674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8D"/>
    <w:pPr>
      <w:ind w:left="720"/>
      <w:contextualSpacing/>
    </w:pPr>
  </w:style>
  <w:style w:type="paragraph" w:styleId="FootnoteText">
    <w:name w:val="footnote text"/>
    <w:basedOn w:val="Normal"/>
    <w:link w:val="FootnoteTextChar"/>
    <w:uiPriority w:val="99"/>
    <w:semiHidden/>
    <w:unhideWhenUsed/>
    <w:rsid w:val="007961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6113"/>
    <w:rPr>
      <w:sz w:val="20"/>
      <w:szCs w:val="20"/>
    </w:rPr>
  </w:style>
  <w:style w:type="character" w:styleId="FootnoteReference">
    <w:name w:val="footnote reference"/>
    <w:basedOn w:val="DefaultParagraphFont"/>
    <w:uiPriority w:val="99"/>
    <w:semiHidden/>
    <w:unhideWhenUsed/>
    <w:rsid w:val="00796113"/>
    <w:rPr>
      <w:vertAlign w:val="superscript"/>
    </w:rPr>
  </w:style>
  <w:style w:type="paragraph" w:styleId="Header">
    <w:name w:val="header"/>
    <w:basedOn w:val="Normal"/>
    <w:link w:val="HeaderChar"/>
    <w:uiPriority w:val="99"/>
    <w:unhideWhenUsed/>
    <w:rsid w:val="009D6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689"/>
  </w:style>
  <w:style w:type="paragraph" w:styleId="Footer">
    <w:name w:val="footer"/>
    <w:basedOn w:val="Normal"/>
    <w:link w:val="FooterChar"/>
    <w:uiPriority w:val="99"/>
    <w:unhideWhenUsed/>
    <w:rsid w:val="009D6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689"/>
  </w:style>
  <w:style w:type="paragraph" w:styleId="BalloonText">
    <w:name w:val="Balloon Text"/>
    <w:basedOn w:val="Normal"/>
    <w:link w:val="BalloonTextChar"/>
    <w:uiPriority w:val="99"/>
    <w:semiHidden/>
    <w:unhideWhenUsed/>
    <w:rsid w:val="00CD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F24"/>
    <w:rPr>
      <w:rFonts w:ascii="Tahoma" w:hAnsi="Tahoma" w:cs="Tahoma"/>
      <w:sz w:val="16"/>
      <w:szCs w:val="16"/>
    </w:rPr>
  </w:style>
  <w:style w:type="character" w:styleId="Hyperlink">
    <w:name w:val="Hyperlink"/>
    <w:basedOn w:val="DefaultParagraphFont"/>
    <w:uiPriority w:val="99"/>
    <w:unhideWhenUsed/>
    <w:rsid w:val="00232AD8"/>
    <w:rPr>
      <w:color w:val="0000FF" w:themeColor="hyperlink"/>
      <w:u w:val="single"/>
    </w:rPr>
  </w:style>
  <w:style w:type="character" w:styleId="FollowedHyperlink">
    <w:name w:val="FollowedHyperlink"/>
    <w:basedOn w:val="DefaultParagraphFont"/>
    <w:uiPriority w:val="99"/>
    <w:semiHidden/>
    <w:unhideWhenUsed/>
    <w:rsid w:val="00232AD8"/>
    <w:rPr>
      <w:color w:val="800080" w:themeColor="followedHyperlink"/>
      <w:u w:val="single"/>
    </w:rPr>
  </w:style>
  <w:style w:type="table" w:styleId="TableGrid">
    <w:name w:val="Table Grid"/>
    <w:basedOn w:val="TableNormal"/>
    <w:uiPriority w:val="59"/>
    <w:rsid w:val="00E47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674A"/>
    <w:rPr>
      <w:sz w:val="16"/>
      <w:szCs w:val="16"/>
    </w:rPr>
  </w:style>
  <w:style w:type="paragraph" w:styleId="CommentText">
    <w:name w:val="annotation text"/>
    <w:basedOn w:val="Normal"/>
    <w:link w:val="CommentTextChar"/>
    <w:uiPriority w:val="99"/>
    <w:semiHidden/>
    <w:unhideWhenUsed/>
    <w:rsid w:val="0098674A"/>
    <w:pPr>
      <w:spacing w:line="240" w:lineRule="auto"/>
    </w:pPr>
    <w:rPr>
      <w:sz w:val="20"/>
      <w:szCs w:val="20"/>
    </w:rPr>
  </w:style>
  <w:style w:type="character" w:customStyle="1" w:styleId="CommentTextChar">
    <w:name w:val="Comment Text Char"/>
    <w:basedOn w:val="DefaultParagraphFont"/>
    <w:link w:val="CommentText"/>
    <w:uiPriority w:val="99"/>
    <w:semiHidden/>
    <w:rsid w:val="0098674A"/>
    <w:rPr>
      <w:sz w:val="20"/>
      <w:szCs w:val="20"/>
    </w:rPr>
  </w:style>
  <w:style w:type="paragraph" w:styleId="CommentSubject">
    <w:name w:val="annotation subject"/>
    <w:basedOn w:val="CommentText"/>
    <w:next w:val="CommentText"/>
    <w:link w:val="CommentSubjectChar"/>
    <w:uiPriority w:val="99"/>
    <w:semiHidden/>
    <w:unhideWhenUsed/>
    <w:rsid w:val="0098674A"/>
    <w:rPr>
      <w:b/>
      <w:bCs/>
    </w:rPr>
  </w:style>
  <w:style w:type="character" w:customStyle="1" w:styleId="CommentSubjectChar">
    <w:name w:val="Comment Subject Char"/>
    <w:basedOn w:val="CommentTextChar"/>
    <w:link w:val="CommentSubject"/>
    <w:uiPriority w:val="99"/>
    <w:semiHidden/>
    <w:rsid w:val="009867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861568">
      <w:bodyDiv w:val="1"/>
      <w:marLeft w:val="0"/>
      <w:marRight w:val="0"/>
      <w:marTop w:val="0"/>
      <w:marBottom w:val="0"/>
      <w:divBdr>
        <w:top w:val="none" w:sz="0" w:space="0" w:color="auto"/>
        <w:left w:val="none" w:sz="0" w:space="0" w:color="auto"/>
        <w:bottom w:val="none" w:sz="0" w:space="0" w:color="auto"/>
        <w:right w:val="none" w:sz="0" w:space="0" w:color="auto"/>
      </w:divBdr>
      <w:divsChild>
        <w:div w:id="1158227961">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www.fomin.org/en-us/Home/News/PressReleases/PAMexicoPlumbers.aspx" TargetMode="External"/><Relationship Id="rId2" Type="http://schemas.openxmlformats.org/officeDocument/2006/relationships/hyperlink" Target="http://documents.worldbank.org/curated/en/465841467999715075/pdf/101061-AR-P133146-PUBLIC-Box393257B-WBG-GenderTrustFunds-Report-2015.pdf" TargetMode="External"/><Relationship Id="rId1" Type="http://schemas.openxmlformats.org/officeDocument/2006/relationships/hyperlink" Target="http://www.huffingtonpost.com/lorena-aguilar/unleashing-the-power-of-w_b_8338842.html" TargetMode="External"/><Relationship Id="rId4" Type="http://schemas.openxmlformats.org/officeDocument/2006/relationships/hyperlink" Target="https://www.fomin.org/en-us/Home/FOMINblog/Blogs/DetailsBlog/ArtMID/13858/ArticleID/2806/The-energy-water-and-climate-win-win-win-win-solution.asp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monjesilva\Documents\INE%20-%20ENE\Genero%20y%20Energia\AMS%20ILO%20-%20Caribbean%20Labor%20particip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Sheet1!$B$2</c:f>
              <c:strCache>
                <c:ptCount val="1"/>
                <c:pt idx="0">
                  <c:v>Male</c:v>
                </c:pt>
              </c:strCache>
            </c:strRef>
          </c:tx>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Sheet1!$B$3:$B$10</c:f>
              <c:numCache>
                <c:formatCode>General</c:formatCode>
                <c:ptCount val="8"/>
                <c:pt idx="0">
                  <c:v>72</c:v>
                </c:pt>
                <c:pt idx="1">
                  <c:v>76.099999999999994</c:v>
                </c:pt>
                <c:pt idx="2">
                  <c:v>87.1</c:v>
                </c:pt>
                <c:pt idx="3">
                  <c:v>67.900000000000006</c:v>
                </c:pt>
                <c:pt idx="4">
                  <c:v>70</c:v>
                </c:pt>
                <c:pt idx="5">
                  <c:v>75.5</c:v>
                </c:pt>
                <c:pt idx="6">
                  <c:v>75.599999999999994</c:v>
                </c:pt>
                <c:pt idx="7">
                  <c:v>71.400000000000006</c:v>
                </c:pt>
              </c:numCache>
            </c:numRef>
          </c:val>
        </c:ser>
        <c:ser>
          <c:idx val="1"/>
          <c:order val="1"/>
          <c:tx>
            <c:strRef>
              <c:f>Sheet1!$C$2</c:f>
              <c:strCache>
                <c:ptCount val="1"/>
                <c:pt idx="0">
                  <c:v>Female</c:v>
                </c:pt>
              </c:strCache>
            </c:strRef>
          </c:tx>
          <c:spPr>
            <a:solidFill>
              <a:srgbClr val="FFFF00"/>
            </a:solidFill>
          </c:spPr>
          <c:invertIfNegative val="0"/>
          <c:cat>
            <c:strRef>
              <c:f>Sheet1!$A$3:$A$10</c:f>
              <c:strCache>
                <c:ptCount val="8"/>
                <c:pt idx="0">
                  <c:v>Barbados</c:v>
                </c:pt>
                <c:pt idx="1">
                  <c:v>Bahamas</c:v>
                </c:pt>
                <c:pt idx="2">
                  <c:v>Cuba</c:v>
                </c:pt>
                <c:pt idx="3">
                  <c:v>Dominican Republic</c:v>
                </c:pt>
                <c:pt idx="4">
                  <c:v>Jamaica</c:v>
                </c:pt>
                <c:pt idx="5">
                  <c:v>St. Lucia</c:v>
                </c:pt>
                <c:pt idx="6">
                  <c:v>Suriname</c:v>
                </c:pt>
                <c:pt idx="7">
                  <c:v>Trinidad and Tobago</c:v>
                </c:pt>
              </c:strCache>
            </c:strRef>
          </c:cat>
          <c:val>
            <c:numRef>
              <c:f>Sheet1!$C$3:$C$10</c:f>
              <c:numCache>
                <c:formatCode>General</c:formatCode>
                <c:ptCount val="8"/>
                <c:pt idx="0">
                  <c:v>62</c:v>
                </c:pt>
                <c:pt idx="1">
                  <c:v>69.8</c:v>
                </c:pt>
                <c:pt idx="2">
                  <c:v>57.3</c:v>
                </c:pt>
                <c:pt idx="3">
                  <c:v>44.5</c:v>
                </c:pt>
                <c:pt idx="4">
                  <c:v>56.2</c:v>
                </c:pt>
                <c:pt idx="5">
                  <c:v>63.4</c:v>
                </c:pt>
                <c:pt idx="6">
                  <c:v>49</c:v>
                </c:pt>
                <c:pt idx="7">
                  <c:v>51.4</c:v>
                </c:pt>
              </c:numCache>
            </c:numRef>
          </c:val>
        </c:ser>
        <c:dLbls>
          <c:showLegendKey val="0"/>
          <c:showVal val="0"/>
          <c:showCatName val="0"/>
          <c:showSerName val="0"/>
          <c:showPercent val="0"/>
          <c:showBubbleSize val="0"/>
        </c:dLbls>
        <c:gapWidth val="150"/>
        <c:axId val="201603328"/>
        <c:axId val="201610368"/>
      </c:barChart>
      <c:catAx>
        <c:axId val="201603328"/>
        <c:scaling>
          <c:orientation val="minMax"/>
        </c:scaling>
        <c:delete val="0"/>
        <c:axPos val="b"/>
        <c:majorTickMark val="out"/>
        <c:minorTickMark val="none"/>
        <c:tickLblPos val="nextTo"/>
        <c:crossAx val="201610368"/>
        <c:crosses val="autoZero"/>
        <c:auto val="1"/>
        <c:lblAlgn val="ctr"/>
        <c:lblOffset val="100"/>
        <c:noMultiLvlLbl val="0"/>
      </c:catAx>
      <c:valAx>
        <c:axId val="201610368"/>
        <c:scaling>
          <c:orientation val="minMax"/>
        </c:scaling>
        <c:delete val="0"/>
        <c:axPos val="l"/>
        <c:majorGridlines/>
        <c:numFmt formatCode="General" sourceLinked="1"/>
        <c:majorTickMark val="out"/>
        <c:minorTickMark val="none"/>
        <c:tickLblPos val="nextTo"/>
        <c:crossAx val="201603328"/>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40446189</IDBDocs_x0020_Number>
    <Document_x0020_Author xmlns="9c571b2f-e523-4ab2-ba2e-09e151a03ef4">Gischler Blanco, Christiaan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2F5B677-4F08-4989-BD84-4AC7433FB6BD}"/>
</file>

<file path=customXml/itemProps2.xml><?xml version="1.0" encoding="utf-8"?>
<ds:datastoreItem xmlns:ds="http://schemas.openxmlformats.org/officeDocument/2006/customXml" ds:itemID="{089732D4-B7CC-4192-A94E-CB670E3E5608}"/>
</file>

<file path=customXml/itemProps3.xml><?xml version="1.0" encoding="utf-8"?>
<ds:datastoreItem xmlns:ds="http://schemas.openxmlformats.org/officeDocument/2006/customXml" ds:itemID="{240A8195-8619-477F-9F30-29DF72F4CF77}"/>
</file>

<file path=customXml/itemProps4.xml><?xml version="1.0" encoding="utf-8"?>
<ds:datastoreItem xmlns:ds="http://schemas.openxmlformats.org/officeDocument/2006/customXml" ds:itemID="{6FC4CF26-4D6B-4F4B-9B26-C520CED592DC}"/>
</file>

<file path=customXml/itemProps5.xml><?xml version="1.0" encoding="utf-8"?>
<ds:datastoreItem xmlns:ds="http://schemas.openxmlformats.org/officeDocument/2006/customXml" ds:itemID="{516A5D4B-B96E-4653-BA4F-5DDBAE18EDA7}"/>
</file>

<file path=customXml/itemProps6.xml><?xml version="1.0" encoding="utf-8"?>
<ds:datastoreItem xmlns:ds="http://schemas.openxmlformats.org/officeDocument/2006/customXml" ds:itemID="{8A942094-011D-4ACC-BC23-68639DF858DC}"/>
</file>

<file path=docProps/app.xml><?xml version="1.0" encoding="utf-8"?>
<Properties xmlns="http://schemas.openxmlformats.org/officeDocument/2006/extended-properties" xmlns:vt="http://schemas.openxmlformats.org/officeDocument/2006/docPropsVTypes">
  <Template>Normal.dotm</Template>
  <TotalTime>2780</TotalTime>
  <Pages>7</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BA-L1012_POD_OEL_Gender Analysis</dc:title>
  <dc:creator>IADB</dc:creator>
  <cp:lastModifiedBy>IADB</cp:lastModifiedBy>
  <cp:revision>52</cp:revision>
  <dcterms:created xsi:type="dcterms:W3CDTF">2016-07-26T15:00:00Z</dcterms:created>
  <dcterms:modified xsi:type="dcterms:W3CDTF">2016-10-14T18:46:00Z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0x01010046CF21643EE8D14686A648AA6DAD0892009F2B426C0FE0044990EFC0F50AD13FDD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