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2.xml" ContentType="application/vnd.openxmlformats-officedocument.drawingml.chart+xml"/>
  <Override PartName="/word/theme/themeOverride2.xml" ContentType="application/vnd.openxmlformats-officedocument.themeOverride+xml"/>
  <Override PartName="/word/theme/themeOverride1.xml" ContentType="application/vnd.openxmlformats-officedocument.themeOverride+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76C" w:rsidRPr="00567F29" w:rsidRDefault="00BD376C" w:rsidP="005F7D46">
      <w:pPr>
        <w:jc w:val="center"/>
        <w:rPr>
          <w:rFonts w:ascii="Arial" w:hAnsi="Arial" w:cs="Arial"/>
          <w:sz w:val="22"/>
        </w:rPr>
      </w:pPr>
      <w:r w:rsidRPr="00567F29">
        <w:rPr>
          <w:rFonts w:ascii="Arial" w:hAnsi="Arial" w:cs="Arial"/>
          <w:sz w:val="22"/>
        </w:rPr>
        <w:t>DOCUMENT OF THE INTER-AMERICAN DEVELOPMENT BANK</w:t>
      </w:r>
    </w:p>
    <w:p w:rsidR="00BD376C" w:rsidRPr="00567F29" w:rsidRDefault="00BD376C" w:rsidP="005F7D46">
      <w:pPr>
        <w:jc w:val="center"/>
        <w:rPr>
          <w:rFonts w:ascii="Arial" w:hAnsi="Arial" w:cs="Arial"/>
          <w:sz w:val="22"/>
        </w:rPr>
      </w:pPr>
    </w:p>
    <w:p w:rsidR="009F3DE6" w:rsidRPr="00567F29" w:rsidRDefault="009F3DE6" w:rsidP="005F7D46">
      <w:pPr>
        <w:jc w:val="center"/>
        <w:rPr>
          <w:rFonts w:ascii="Arial" w:hAnsi="Arial" w:cs="Arial"/>
          <w:sz w:val="22"/>
        </w:rPr>
      </w:pPr>
    </w:p>
    <w:p w:rsidR="00BD376C" w:rsidRPr="00567F29" w:rsidRDefault="00BD376C" w:rsidP="005F7D46">
      <w:pPr>
        <w:jc w:val="center"/>
        <w:rPr>
          <w:rFonts w:ascii="Arial" w:hAnsi="Arial" w:cs="Arial"/>
          <w:szCs w:val="28"/>
        </w:rPr>
      </w:pPr>
    </w:p>
    <w:p w:rsidR="00BD376C" w:rsidRPr="00567F29" w:rsidRDefault="00BD376C" w:rsidP="005F7D46">
      <w:pPr>
        <w:jc w:val="center"/>
        <w:rPr>
          <w:rFonts w:ascii="Arial" w:hAnsi="Arial" w:cs="Arial"/>
          <w:b/>
          <w:bCs/>
          <w:szCs w:val="28"/>
        </w:rPr>
      </w:pPr>
      <w:r w:rsidRPr="00567F29">
        <w:rPr>
          <w:rFonts w:ascii="Arial" w:hAnsi="Arial" w:cs="Arial"/>
          <w:b/>
          <w:bCs/>
          <w:szCs w:val="28"/>
        </w:rPr>
        <w:t>BARBADOS</w:t>
      </w:r>
    </w:p>
    <w:p w:rsidR="00BD376C" w:rsidRPr="00567F29" w:rsidRDefault="00BD376C" w:rsidP="005F7D46">
      <w:pPr>
        <w:jc w:val="center"/>
        <w:rPr>
          <w:rFonts w:ascii="Arial" w:hAnsi="Arial" w:cs="Arial"/>
          <w:b/>
          <w:bCs/>
          <w:szCs w:val="28"/>
        </w:rPr>
      </w:pPr>
    </w:p>
    <w:p w:rsidR="009F3DE6" w:rsidRPr="00567F29" w:rsidRDefault="009F3DE6" w:rsidP="005F7D46">
      <w:pPr>
        <w:jc w:val="center"/>
        <w:rPr>
          <w:rFonts w:ascii="Arial" w:hAnsi="Arial" w:cs="Arial"/>
          <w:b/>
          <w:bCs/>
          <w:szCs w:val="28"/>
        </w:rPr>
      </w:pPr>
    </w:p>
    <w:p w:rsidR="00BD376C" w:rsidRPr="00567F29" w:rsidRDefault="00BD376C" w:rsidP="005F7D46">
      <w:pPr>
        <w:jc w:val="center"/>
        <w:rPr>
          <w:rFonts w:ascii="Arial" w:hAnsi="Arial" w:cs="Arial"/>
          <w:b/>
          <w:bCs/>
          <w:szCs w:val="28"/>
        </w:rPr>
      </w:pPr>
      <w:r w:rsidRPr="00567F29">
        <w:rPr>
          <w:rFonts w:ascii="Arial" w:hAnsi="Arial" w:cs="Arial"/>
          <w:b/>
          <w:bCs/>
          <w:szCs w:val="28"/>
        </w:rPr>
        <w:t>Deployment of Cleaner Fuels and Renewable Energies in Barbados</w:t>
      </w:r>
    </w:p>
    <w:p w:rsidR="009F3DE6" w:rsidRPr="00567F29" w:rsidRDefault="009F3DE6" w:rsidP="005F7D46">
      <w:pPr>
        <w:jc w:val="center"/>
        <w:rPr>
          <w:rFonts w:ascii="Arial" w:hAnsi="Arial" w:cs="Arial"/>
          <w:b/>
          <w:bCs/>
          <w:szCs w:val="28"/>
        </w:rPr>
      </w:pPr>
    </w:p>
    <w:p w:rsidR="00BD376C" w:rsidRPr="00567F29" w:rsidRDefault="009F3DE6" w:rsidP="005F7D46">
      <w:pPr>
        <w:jc w:val="center"/>
        <w:rPr>
          <w:rFonts w:ascii="Arial" w:hAnsi="Arial" w:cs="Arial"/>
          <w:b/>
          <w:bCs/>
          <w:szCs w:val="28"/>
        </w:rPr>
      </w:pPr>
      <w:r w:rsidRPr="00567F29">
        <w:rPr>
          <w:rFonts w:ascii="Arial" w:hAnsi="Arial" w:cs="Arial"/>
          <w:b/>
          <w:bCs/>
          <w:szCs w:val="28"/>
        </w:rPr>
        <w:t>(</w:t>
      </w:r>
      <w:r w:rsidR="00BD376C" w:rsidRPr="00567F29">
        <w:rPr>
          <w:rFonts w:ascii="Arial" w:hAnsi="Arial" w:cs="Arial"/>
          <w:b/>
          <w:bCs/>
          <w:szCs w:val="28"/>
        </w:rPr>
        <w:t>BA-L1012</w:t>
      </w:r>
      <w:r w:rsidRPr="00567F29">
        <w:rPr>
          <w:rFonts w:ascii="Arial" w:hAnsi="Arial" w:cs="Arial"/>
          <w:b/>
          <w:bCs/>
          <w:szCs w:val="28"/>
        </w:rPr>
        <w:t>)</w:t>
      </w:r>
    </w:p>
    <w:p w:rsidR="00BD376C" w:rsidRPr="00567F29" w:rsidRDefault="00BD376C" w:rsidP="005F7D46">
      <w:pPr>
        <w:jc w:val="center"/>
        <w:rPr>
          <w:rFonts w:ascii="Arial" w:hAnsi="Arial" w:cs="Arial"/>
          <w:b/>
          <w:bCs/>
          <w:sz w:val="22"/>
        </w:rPr>
      </w:pPr>
    </w:p>
    <w:p w:rsidR="009F3DE6" w:rsidRPr="00567F29" w:rsidRDefault="009F3DE6" w:rsidP="005F7D46">
      <w:pPr>
        <w:jc w:val="center"/>
        <w:rPr>
          <w:rFonts w:ascii="Arial" w:hAnsi="Arial" w:cs="Arial"/>
          <w:b/>
          <w:bCs/>
          <w:sz w:val="22"/>
        </w:rPr>
      </w:pPr>
    </w:p>
    <w:p w:rsidR="009F3DE6" w:rsidRPr="00567F29" w:rsidRDefault="009F3DE6" w:rsidP="005F7D46">
      <w:pPr>
        <w:jc w:val="center"/>
        <w:rPr>
          <w:rFonts w:ascii="Arial" w:hAnsi="Arial" w:cs="Arial"/>
          <w:b/>
          <w:bCs/>
          <w:sz w:val="22"/>
        </w:rPr>
      </w:pPr>
    </w:p>
    <w:p w:rsidR="00BD376C" w:rsidRPr="00567F29" w:rsidRDefault="00BD376C" w:rsidP="005F7D46">
      <w:pPr>
        <w:jc w:val="center"/>
        <w:rPr>
          <w:rFonts w:ascii="Arial" w:hAnsi="Arial" w:cs="Arial"/>
          <w:b/>
          <w:bCs/>
          <w:sz w:val="22"/>
        </w:rPr>
      </w:pPr>
      <w:r w:rsidRPr="00567F29">
        <w:rPr>
          <w:rFonts w:ascii="Arial" w:hAnsi="Arial" w:cs="Arial"/>
          <w:b/>
          <w:bCs/>
          <w:sz w:val="22"/>
        </w:rPr>
        <w:t>MONITORING AND EVALUATION PLAN</w:t>
      </w:r>
    </w:p>
    <w:p w:rsidR="00BD376C" w:rsidRPr="00567F29" w:rsidRDefault="00BD376C" w:rsidP="005F7D46">
      <w:pPr>
        <w:jc w:val="center"/>
        <w:rPr>
          <w:rFonts w:ascii="Arial" w:hAnsi="Arial" w:cs="Arial"/>
          <w:sz w:val="22"/>
        </w:rPr>
      </w:pPr>
    </w:p>
    <w:p w:rsidR="00BD376C" w:rsidRPr="00567F29" w:rsidRDefault="00BD376C" w:rsidP="005F7D46">
      <w:pPr>
        <w:jc w:val="center"/>
        <w:rPr>
          <w:rFonts w:ascii="Arial" w:hAnsi="Arial" w:cs="Arial"/>
          <w:sz w:val="22"/>
        </w:rPr>
      </w:pPr>
    </w:p>
    <w:p w:rsidR="009F3DE6" w:rsidRPr="00567F29" w:rsidRDefault="009F3DE6" w:rsidP="005F7D46">
      <w:pPr>
        <w:tabs>
          <w:tab w:val="left" w:pos="1440"/>
          <w:tab w:val="left" w:pos="3060"/>
        </w:tabs>
        <w:jc w:val="center"/>
        <w:rPr>
          <w:rFonts w:ascii="Arial" w:hAnsi="Arial" w:cs="Arial"/>
          <w:sz w:val="20"/>
        </w:rPr>
      </w:pPr>
    </w:p>
    <w:p w:rsidR="009F3DE6" w:rsidRPr="00567F29" w:rsidRDefault="009F3DE6" w:rsidP="005F7D46">
      <w:pPr>
        <w:tabs>
          <w:tab w:val="left" w:pos="1440"/>
          <w:tab w:val="left" w:pos="3060"/>
        </w:tabs>
        <w:jc w:val="center"/>
        <w:rPr>
          <w:rFonts w:ascii="Arial" w:hAnsi="Arial" w:cs="Arial"/>
          <w:sz w:val="20"/>
        </w:rPr>
      </w:pPr>
    </w:p>
    <w:p w:rsidR="009F3DE6" w:rsidRPr="00567F29" w:rsidRDefault="009F3DE6" w:rsidP="005F7D46">
      <w:pPr>
        <w:tabs>
          <w:tab w:val="left" w:pos="1440"/>
          <w:tab w:val="left" w:pos="3060"/>
        </w:tabs>
        <w:jc w:val="center"/>
        <w:rPr>
          <w:rFonts w:ascii="Arial" w:hAnsi="Arial" w:cs="Arial"/>
          <w:sz w:val="20"/>
        </w:rPr>
      </w:pPr>
    </w:p>
    <w:p w:rsidR="009F3DE6" w:rsidRPr="00567F29" w:rsidRDefault="009F3DE6" w:rsidP="005F7D46">
      <w:pPr>
        <w:tabs>
          <w:tab w:val="left" w:pos="1440"/>
          <w:tab w:val="left" w:pos="3060"/>
        </w:tabs>
        <w:jc w:val="center"/>
        <w:rPr>
          <w:rFonts w:ascii="Arial" w:hAnsi="Arial" w:cs="Arial"/>
          <w:sz w:val="20"/>
        </w:rPr>
      </w:pPr>
    </w:p>
    <w:p w:rsidR="009F3DE6" w:rsidRPr="00567F29" w:rsidRDefault="009F3DE6" w:rsidP="005F7D46">
      <w:pPr>
        <w:tabs>
          <w:tab w:val="left" w:pos="1440"/>
          <w:tab w:val="left" w:pos="3060"/>
        </w:tabs>
        <w:jc w:val="center"/>
        <w:rPr>
          <w:rFonts w:ascii="Arial" w:hAnsi="Arial" w:cs="Arial"/>
          <w:sz w:val="20"/>
        </w:rPr>
      </w:pPr>
    </w:p>
    <w:p w:rsidR="009F3DE6" w:rsidRPr="00567F29" w:rsidRDefault="00AE5E5A" w:rsidP="005F7D46">
      <w:pPr>
        <w:pBdr>
          <w:top w:val="single" w:sz="4" w:space="1" w:color="auto"/>
          <w:left w:val="single" w:sz="4" w:space="4" w:color="auto"/>
          <w:bottom w:val="single" w:sz="4" w:space="1" w:color="auto"/>
          <w:right w:val="single" w:sz="4" w:space="4" w:color="auto"/>
        </w:pBdr>
        <w:jc w:val="center"/>
        <w:rPr>
          <w:rFonts w:ascii="Arial" w:hAnsi="Arial" w:cs="Arial"/>
          <w:b/>
          <w:sz w:val="20"/>
        </w:rPr>
      </w:pPr>
      <w:r w:rsidRPr="00AE5E5A">
        <w:rPr>
          <w:rFonts w:ascii="Arial" w:hAnsi="Arial" w:cs="Arial"/>
          <w:sz w:val="18"/>
        </w:rPr>
        <w:t xml:space="preserve">This document was prepared by the project team consisting of: Christiaan Gischler (INE/ENE), Team Leader; Adriana Valencia (DSP/DCO), Co-Team Leader; Martin Duhart (INO/SMC); Camila González; Joel Hernández; Stephanie Suber and Carlos Sucre (INE/ENE); Vinicio Rodriguez;  Denise </w:t>
      </w:r>
      <w:proofErr w:type="spellStart"/>
      <w:r w:rsidRPr="00AE5E5A">
        <w:rPr>
          <w:rFonts w:ascii="Arial" w:hAnsi="Arial" w:cs="Arial"/>
          <w:sz w:val="18"/>
        </w:rPr>
        <w:t>Salabie</w:t>
      </w:r>
      <w:proofErr w:type="spellEnd"/>
      <w:r w:rsidRPr="00AE5E5A">
        <w:rPr>
          <w:rFonts w:ascii="Arial" w:hAnsi="Arial" w:cs="Arial"/>
          <w:sz w:val="18"/>
        </w:rPr>
        <w:t xml:space="preserve"> and </w:t>
      </w:r>
      <w:proofErr w:type="spellStart"/>
      <w:r w:rsidRPr="00AE5E5A">
        <w:rPr>
          <w:rFonts w:ascii="Arial" w:hAnsi="Arial" w:cs="Arial"/>
          <w:sz w:val="18"/>
        </w:rPr>
        <w:t>María</w:t>
      </w:r>
      <w:proofErr w:type="spellEnd"/>
      <w:r w:rsidRPr="00AE5E5A">
        <w:rPr>
          <w:rFonts w:ascii="Arial" w:hAnsi="Arial" w:cs="Arial"/>
          <w:sz w:val="18"/>
        </w:rPr>
        <w:t xml:space="preserve"> Padilla (FMP/CBA); </w:t>
      </w:r>
      <w:proofErr w:type="spellStart"/>
      <w:r w:rsidRPr="00AE5E5A">
        <w:rPr>
          <w:rFonts w:ascii="Arial" w:hAnsi="Arial" w:cs="Arial"/>
          <w:sz w:val="18"/>
        </w:rPr>
        <w:t>Camilo</w:t>
      </w:r>
      <w:proofErr w:type="spellEnd"/>
      <w:r w:rsidRPr="00AE5E5A">
        <w:rPr>
          <w:rFonts w:ascii="Arial" w:hAnsi="Arial" w:cs="Arial"/>
          <w:sz w:val="18"/>
        </w:rPr>
        <w:t xml:space="preserve"> Gómez; Leanne Rapson and Rochelle Franklin (CCB/CBA); </w:t>
      </w:r>
      <w:proofErr w:type="spellStart"/>
      <w:r w:rsidRPr="00AE5E5A">
        <w:rPr>
          <w:rFonts w:ascii="Arial" w:hAnsi="Arial" w:cs="Arial"/>
          <w:sz w:val="18"/>
        </w:rPr>
        <w:t>Raúl</w:t>
      </w:r>
      <w:proofErr w:type="spellEnd"/>
      <w:r w:rsidRPr="00AE5E5A">
        <w:rPr>
          <w:rFonts w:ascii="Arial" w:hAnsi="Arial" w:cs="Arial"/>
          <w:sz w:val="18"/>
        </w:rPr>
        <w:t xml:space="preserve"> </w:t>
      </w:r>
      <w:proofErr w:type="spellStart"/>
      <w:r w:rsidRPr="00AE5E5A">
        <w:rPr>
          <w:rFonts w:ascii="Arial" w:hAnsi="Arial" w:cs="Arial"/>
          <w:sz w:val="18"/>
        </w:rPr>
        <w:t>Muñóz</w:t>
      </w:r>
      <w:proofErr w:type="spellEnd"/>
      <w:r w:rsidRPr="00AE5E5A">
        <w:rPr>
          <w:rFonts w:ascii="Arial" w:hAnsi="Arial" w:cs="Arial"/>
          <w:sz w:val="18"/>
        </w:rPr>
        <w:t xml:space="preserve"> (VPS/ESG); </w:t>
      </w:r>
      <w:proofErr w:type="spellStart"/>
      <w:r w:rsidRPr="00AE5E5A">
        <w:rPr>
          <w:rFonts w:ascii="Arial" w:hAnsi="Arial" w:cs="Arial"/>
          <w:sz w:val="18"/>
        </w:rPr>
        <w:t>Escarlata</w:t>
      </w:r>
      <w:proofErr w:type="spellEnd"/>
      <w:r w:rsidRPr="00AE5E5A">
        <w:rPr>
          <w:rFonts w:ascii="Arial" w:hAnsi="Arial" w:cs="Arial"/>
          <w:sz w:val="18"/>
        </w:rPr>
        <w:t xml:space="preserve"> </w:t>
      </w:r>
      <w:proofErr w:type="spellStart"/>
      <w:r w:rsidRPr="00AE5E5A">
        <w:rPr>
          <w:rFonts w:ascii="Arial" w:hAnsi="Arial" w:cs="Arial"/>
          <w:sz w:val="18"/>
        </w:rPr>
        <w:t>Baza</w:t>
      </w:r>
      <w:proofErr w:type="spellEnd"/>
      <w:r w:rsidRPr="00AE5E5A">
        <w:rPr>
          <w:rFonts w:ascii="Arial" w:hAnsi="Arial" w:cs="Arial"/>
          <w:sz w:val="18"/>
        </w:rPr>
        <w:t xml:space="preserve"> and </w:t>
      </w:r>
      <w:proofErr w:type="spellStart"/>
      <w:r w:rsidRPr="00AE5E5A">
        <w:rPr>
          <w:rFonts w:ascii="Arial" w:hAnsi="Arial" w:cs="Arial"/>
          <w:sz w:val="18"/>
        </w:rPr>
        <w:t>Betina</w:t>
      </w:r>
      <w:proofErr w:type="spellEnd"/>
      <w:r w:rsidRPr="00AE5E5A">
        <w:rPr>
          <w:rFonts w:ascii="Arial" w:hAnsi="Arial" w:cs="Arial"/>
          <w:sz w:val="18"/>
        </w:rPr>
        <w:t xml:space="preserve"> </w:t>
      </w:r>
      <w:proofErr w:type="spellStart"/>
      <w:r w:rsidRPr="00AE5E5A">
        <w:rPr>
          <w:rFonts w:ascii="Arial" w:hAnsi="Arial" w:cs="Arial"/>
          <w:sz w:val="18"/>
        </w:rPr>
        <w:t>Hennig</w:t>
      </w:r>
      <w:proofErr w:type="spellEnd"/>
      <w:r w:rsidRPr="00AE5E5A">
        <w:rPr>
          <w:rFonts w:ascii="Arial" w:hAnsi="Arial" w:cs="Arial"/>
          <w:sz w:val="18"/>
        </w:rPr>
        <w:t xml:space="preserve"> (LEG/SGO).</w:t>
      </w:r>
    </w:p>
    <w:p w:rsidR="00BD376C" w:rsidRPr="00567F29" w:rsidRDefault="009F3DE6" w:rsidP="005F7D46">
      <w:pPr>
        <w:jc w:val="both"/>
        <w:rPr>
          <w:rFonts w:ascii="Arial" w:hAnsi="Arial" w:cs="Arial"/>
          <w:sz w:val="22"/>
        </w:rPr>
      </w:pPr>
      <w:r w:rsidRPr="00567F29">
        <w:rPr>
          <w:rFonts w:ascii="Arial" w:hAnsi="Arial" w:cs="Arial"/>
          <w:sz w:val="20"/>
        </w:rPr>
        <w:br w:type="page"/>
      </w:r>
      <w:r w:rsidR="00BD376C" w:rsidRPr="00567F29">
        <w:rPr>
          <w:rFonts w:ascii="Arial" w:hAnsi="Arial" w:cs="Arial"/>
          <w:b/>
          <w:szCs w:val="28"/>
        </w:rPr>
        <w:lastRenderedPageBreak/>
        <w:t>CONTENT</w:t>
      </w:r>
    </w:p>
    <w:sdt>
      <w:sdtPr>
        <w:rPr>
          <w:rFonts w:ascii="Arial" w:eastAsiaTheme="minorHAnsi" w:hAnsi="Arial" w:cs="Arial"/>
          <w:b w:val="0"/>
          <w:bCs w:val="0"/>
          <w:color w:val="262626" w:themeColor="text1" w:themeTint="D9"/>
          <w:sz w:val="24"/>
          <w:szCs w:val="22"/>
          <w:lang w:eastAsia="en-US"/>
        </w:rPr>
        <w:id w:val="1354145143"/>
        <w:docPartObj>
          <w:docPartGallery w:val="Table of Contents"/>
          <w:docPartUnique/>
        </w:docPartObj>
      </w:sdtPr>
      <w:sdtEndPr>
        <w:rPr>
          <w:noProof/>
        </w:rPr>
      </w:sdtEndPr>
      <w:sdtContent>
        <w:p w:rsidR="009D6BA4" w:rsidRPr="00567F29" w:rsidRDefault="009D6BA4">
          <w:pPr>
            <w:pStyle w:val="TOCHeading"/>
            <w:rPr>
              <w:rFonts w:ascii="Arial" w:hAnsi="Arial" w:cs="Arial"/>
            </w:rPr>
          </w:pPr>
          <w:r w:rsidRPr="00567F29">
            <w:rPr>
              <w:rFonts w:ascii="Arial" w:hAnsi="Arial" w:cs="Arial"/>
            </w:rPr>
            <w:t>Table of Contents</w:t>
          </w:r>
        </w:p>
        <w:p w:rsidR="00BD50CD" w:rsidRPr="0016708E" w:rsidRDefault="009D6BA4">
          <w:pPr>
            <w:pStyle w:val="TOC1"/>
            <w:tabs>
              <w:tab w:val="left" w:pos="480"/>
              <w:tab w:val="right" w:leader="dot" w:pos="9350"/>
            </w:tabs>
            <w:rPr>
              <w:rFonts w:ascii="Arial" w:eastAsiaTheme="minorEastAsia" w:hAnsi="Arial" w:cs="Arial"/>
              <w:noProof/>
              <w:color w:val="auto"/>
              <w:sz w:val="22"/>
            </w:rPr>
          </w:pPr>
          <w:r w:rsidRPr="0016708E">
            <w:rPr>
              <w:rFonts w:ascii="Arial" w:hAnsi="Arial" w:cs="Arial"/>
              <w:sz w:val="22"/>
            </w:rPr>
            <w:fldChar w:fldCharType="begin"/>
          </w:r>
          <w:r w:rsidRPr="0016708E">
            <w:rPr>
              <w:rFonts w:ascii="Arial" w:hAnsi="Arial" w:cs="Arial"/>
              <w:sz w:val="22"/>
            </w:rPr>
            <w:instrText xml:space="preserve"> TOC \o "1-3" \h \z \u </w:instrText>
          </w:r>
          <w:r w:rsidRPr="0016708E">
            <w:rPr>
              <w:rFonts w:ascii="Arial" w:hAnsi="Arial" w:cs="Arial"/>
              <w:sz w:val="22"/>
            </w:rPr>
            <w:fldChar w:fldCharType="separate"/>
          </w:r>
          <w:hyperlink w:anchor="_Toc464207158" w:history="1">
            <w:r w:rsidR="00BD50CD" w:rsidRPr="0016708E">
              <w:rPr>
                <w:rStyle w:val="Hyperlink"/>
                <w:rFonts w:ascii="Arial" w:hAnsi="Arial" w:cs="Arial"/>
                <w:noProof/>
                <w:sz w:val="22"/>
              </w:rPr>
              <w:t>1</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Introduction</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_Toc464207158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5</w:t>
            </w:r>
            <w:r w:rsidR="00BD50CD" w:rsidRPr="0016708E">
              <w:rPr>
                <w:rFonts w:ascii="Arial" w:hAnsi="Arial" w:cs="Arial"/>
                <w:noProof/>
                <w:webHidden/>
                <w:sz w:val="22"/>
              </w:rPr>
              <w:fldChar w:fldCharType="end"/>
            </w:r>
          </w:hyperlink>
        </w:p>
        <w:p w:rsidR="00BD50CD" w:rsidRPr="0016708E" w:rsidRDefault="009F6564">
          <w:pPr>
            <w:pStyle w:val="TOC1"/>
            <w:tabs>
              <w:tab w:val="left" w:pos="480"/>
              <w:tab w:val="right" w:leader="dot" w:pos="9350"/>
            </w:tabs>
            <w:rPr>
              <w:rFonts w:ascii="Arial" w:eastAsiaTheme="minorEastAsia" w:hAnsi="Arial" w:cs="Arial"/>
              <w:noProof/>
              <w:color w:val="auto"/>
              <w:sz w:val="22"/>
            </w:rPr>
          </w:pPr>
          <w:hyperlink w:anchor="_Toc464207159" w:history="1">
            <w:r w:rsidR="00BD50CD" w:rsidRPr="0016708E">
              <w:rPr>
                <w:rStyle w:val="Hyperlink"/>
                <w:rFonts w:ascii="Arial" w:hAnsi="Arial" w:cs="Arial"/>
                <w:noProof/>
                <w:sz w:val="22"/>
              </w:rPr>
              <w:t>2</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Monitoring</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_Toc464207159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8</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0" w:history="1">
            <w:r w:rsidR="00BD50CD" w:rsidRPr="0016708E">
              <w:rPr>
                <w:rStyle w:val="Hyperlink"/>
                <w:rFonts w:ascii="Arial" w:hAnsi="Arial" w:cs="Arial"/>
                <w:noProof/>
                <w:sz w:val="22"/>
              </w:rPr>
              <w:t>2.1</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Indicators</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_Toc464207160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8</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1" w:history="1">
            <w:r w:rsidR="00BD50CD" w:rsidRPr="0016708E">
              <w:rPr>
                <w:rStyle w:val="Hyperlink"/>
                <w:rFonts w:ascii="Arial" w:hAnsi="Arial" w:cs="Arial"/>
                <w:noProof/>
                <w:sz w:val="22"/>
              </w:rPr>
              <w:t>2.2</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Data Collection and Instruments to Monitor the Project Indicators</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_Toc464207161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11</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2" w:history="1">
            <w:r w:rsidR="00BD50CD" w:rsidRPr="0016708E">
              <w:rPr>
                <w:rStyle w:val="Hyperlink"/>
                <w:rFonts w:ascii="Arial" w:hAnsi="Arial" w:cs="Arial"/>
                <w:noProof/>
                <w:sz w:val="22"/>
              </w:rPr>
              <w:t>2.3</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Reporting</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_Toc464207162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13</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3" w:history="1">
            <w:r w:rsidR="00BD50CD" w:rsidRPr="0016708E">
              <w:rPr>
                <w:rStyle w:val="Hyperlink"/>
                <w:rFonts w:ascii="Arial" w:hAnsi="Arial" w:cs="Arial"/>
                <w:noProof/>
                <w:sz w:val="22"/>
              </w:rPr>
              <w:t>2.4</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Monitoring Coordination, Work Plan and Budget</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_Toc464207163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14</w:t>
            </w:r>
            <w:r w:rsidR="00BD50CD" w:rsidRPr="0016708E">
              <w:rPr>
                <w:rFonts w:ascii="Arial" w:hAnsi="Arial" w:cs="Arial"/>
                <w:noProof/>
                <w:webHidden/>
                <w:sz w:val="22"/>
              </w:rPr>
              <w:fldChar w:fldCharType="end"/>
            </w:r>
          </w:hyperlink>
        </w:p>
        <w:p w:rsidR="00BD50CD" w:rsidRPr="0016708E" w:rsidRDefault="009F6564">
          <w:pPr>
            <w:pStyle w:val="TOC1"/>
            <w:tabs>
              <w:tab w:val="left" w:pos="480"/>
              <w:tab w:val="right" w:leader="dot" w:pos="9350"/>
            </w:tabs>
            <w:rPr>
              <w:rFonts w:ascii="Arial" w:eastAsiaTheme="minorEastAsia" w:hAnsi="Arial" w:cs="Arial"/>
              <w:noProof/>
              <w:color w:val="auto"/>
              <w:sz w:val="22"/>
            </w:rPr>
          </w:pPr>
          <w:hyperlink w:anchor="_Toc464207164" w:history="1">
            <w:r w:rsidR="00BD50CD" w:rsidRPr="0016708E">
              <w:rPr>
                <w:rStyle w:val="Hyperlink"/>
                <w:rFonts w:ascii="Arial" w:hAnsi="Arial" w:cs="Arial"/>
                <w:noProof/>
                <w:sz w:val="22"/>
              </w:rPr>
              <w:t>3</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Evaluation</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_Toc464207164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21</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5" w:history="1">
            <w:r w:rsidR="00BD50CD" w:rsidRPr="0016708E">
              <w:rPr>
                <w:rStyle w:val="Hyperlink"/>
                <w:rFonts w:ascii="Arial" w:hAnsi="Arial" w:cs="Arial"/>
                <w:noProof/>
                <w:sz w:val="22"/>
              </w:rPr>
              <w:t>3.1</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Indicators</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_Toc464207165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21</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6" w:history="1">
            <w:r w:rsidR="00BD50CD" w:rsidRPr="0016708E">
              <w:rPr>
                <w:rStyle w:val="Hyperlink"/>
                <w:rFonts w:ascii="Arial" w:hAnsi="Arial" w:cs="Arial"/>
                <w:noProof/>
                <w:sz w:val="22"/>
              </w:rPr>
              <w:t>3.2</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Main Evaluation Questions</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_Toc464207166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21</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7" w:history="1">
            <w:r w:rsidR="00BD50CD" w:rsidRPr="0016708E">
              <w:rPr>
                <w:rStyle w:val="Hyperlink"/>
                <w:rFonts w:ascii="Arial" w:hAnsi="Arial" w:cs="Arial"/>
                <w:noProof/>
                <w:sz w:val="22"/>
              </w:rPr>
              <w:t>3.3</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Existing Knowledge</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_Toc464207167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22</w:t>
            </w:r>
            <w:r w:rsidR="00BD50CD" w:rsidRPr="0016708E">
              <w:rPr>
                <w:rFonts w:ascii="Arial" w:hAnsi="Arial" w:cs="Arial"/>
                <w:noProof/>
                <w:webHidden/>
                <w:sz w:val="22"/>
              </w:rPr>
              <w:fldChar w:fldCharType="end"/>
            </w:r>
          </w:hyperlink>
        </w:p>
        <w:p w:rsidR="00BD50CD" w:rsidRPr="0016708E" w:rsidRDefault="009F6564">
          <w:pPr>
            <w:pStyle w:val="TOC3"/>
            <w:tabs>
              <w:tab w:val="left" w:pos="1320"/>
              <w:tab w:val="right" w:leader="dot" w:pos="9350"/>
            </w:tabs>
            <w:rPr>
              <w:rFonts w:ascii="Arial" w:eastAsiaTheme="minorEastAsia" w:hAnsi="Arial" w:cs="Arial"/>
              <w:noProof/>
              <w:color w:val="auto"/>
              <w:sz w:val="22"/>
            </w:rPr>
          </w:pPr>
          <w:hyperlink w:anchor="_Toc464207168" w:history="1">
            <w:r w:rsidR="00BD50CD" w:rsidRPr="0016708E">
              <w:rPr>
                <w:rStyle w:val="Hyperlink"/>
                <w:rFonts w:ascii="Arial" w:hAnsi="Arial" w:cs="Arial"/>
                <w:noProof/>
                <w:sz w:val="22"/>
              </w:rPr>
              <w:t>3.3.1</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Ex-Ante Cost-Benefit Analysis</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_Toc464207168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23</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69" w:history="1">
            <w:r w:rsidR="00BD50CD" w:rsidRPr="0016708E">
              <w:rPr>
                <w:rStyle w:val="Hyperlink"/>
                <w:rFonts w:ascii="Arial" w:hAnsi="Arial" w:cs="Arial"/>
                <w:noProof/>
                <w:sz w:val="22"/>
              </w:rPr>
              <w:t>3.4</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Key Impact Indicators and Methodology</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_Toc464207169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24</w:t>
            </w:r>
            <w:r w:rsidR="00BD50CD" w:rsidRPr="0016708E">
              <w:rPr>
                <w:rFonts w:ascii="Arial" w:hAnsi="Arial" w:cs="Arial"/>
                <w:noProof/>
                <w:webHidden/>
                <w:sz w:val="22"/>
              </w:rPr>
              <w:fldChar w:fldCharType="end"/>
            </w:r>
          </w:hyperlink>
        </w:p>
        <w:p w:rsidR="00BD50CD" w:rsidRPr="0016708E" w:rsidRDefault="009F6564">
          <w:pPr>
            <w:pStyle w:val="TOC3"/>
            <w:tabs>
              <w:tab w:val="left" w:pos="1320"/>
              <w:tab w:val="right" w:leader="dot" w:pos="9350"/>
            </w:tabs>
            <w:rPr>
              <w:rFonts w:ascii="Arial" w:eastAsiaTheme="minorEastAsia" w:hAnsi="Arial" w:cs="Arial"/>
              <w:noProof/>
              <w:color w:val="auto"/>
              <w:sz w:val="22"/>
            </w:rPr>
          </w:pPr>
          <w:hyperlink w:anchor="_Toc464207170" w:history="1">
            <w:r w:rsidR="00BD50CD" w:rsidRPr="0016708E">
              <w:rPr>
                <w:rStyle w:val="Hyperlink"/>
                <w:rFonts w:ascii="Arial" w:hAnsi="Arial" w:cs="Arial"/>
                <w:noProof/>
                <w:sz w:val="22"/>
              </w:rPr>
              <w:t>3.4.1</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Impact Indicator Calculation Methodology</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_Toc464207170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25</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71" w:history="1">
            <w:r w:rsidR="00BD50CD" w:rsidRPr="0016708E">
              <w:rPr>
                <w:rStyle w:val="Hyperlink"/>
                <w:rFonts w:ascii="Arial" w:hAnsi="Arial" w:cs="Arial"/>
                <w:noProof/>
                <w:sz w:val="22"/>
              </w:rPr>
              <w:t>3.5</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Key Outcome Indicators</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_Toc464207171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26</w:t>
            </w:r>
            <w:r w:rsidR="00BD50CD" w:rsidRPr="0016708E">
              <w:rPr>
                <w:rFonts w:ascii="Arial" w:hAnsi="Arial" w:cs="Arial"/>
                <w:noProof/>
                <w:webHidden/>
                <w:sz w:val="22"/>
              </w:rPr>
              <w:fldChar w:fldCharType="end"/>
            </w:r>
          </w:hyperlink>
        </w:p>
        <w:p w:rsidR="00BD50CD" w:rsidRPr="0016708E" w:rsidRDefault="009F6564">
          <w:pPr>
            <w:pStyle w:val="TOC3"/>
            <w:tabs>
              <w:tab w:val="left" w:pos="1320"/>
              <w:tab w:val="right" w:leader="dot" w:pos="9350"/>
            </w:tabs>
            <w:rPr>
              <w:rFonts w:ascii="Arial" w:eastAsiaTheme="minorEastAsia" w:hAnsi="Arial" w:cs="Arial"/>
              <w:noProof/>
              <w:color w:val="auto"/>
              <w:sz w:val="22"/>
            </w:rPr>
          </w:pPr>
          <w:hyperlink w:anchor="_Toc464207172" w:history="1">
            <w:r w:rsidR="00BD50CD" w:rsidRPr="0016708E">
              <w:rPr>
                <w:rStyle w:val="Hyperlink"/>
                <w:rFonts w:ascii="Arial" w:hAnsi="Arial" w:cs="Arial"/>
                <w:noProof/>
                <w:sz w:val="22"/>
              </w:rPr>
              <w:t>3.5.1</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Outcome Indicator Calculation Methodology</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_Toc464207172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26</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73" w:history="1">
            <w:r w:rsidR="00BD50CD" w:rsidRPr="0016708E">
              <w:rPr>
                <w:rStyle w:val="Hyperlink"/>
                <w:rFonts w:ascii="Arial" w:hAnsi="Arial" w:cs="Arial"/>
                <w:noProof/>
                <w:sz w:val="22"/>
              </w:rPr>
              <w:t>3.6</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Mid-project Evaluation</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_Toc464207173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27</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74" w:history="1">
            <w:r w:rsidR="00BD50CD" w:rsidRPr="0016708E">
              <w:rPr>
                <w:rStyle w:val="Hyperlink"/>
                <w:rFonts w:ascii="Arial" w:hAnsi="Arial" w:cs="Arial"/>
                <w:noProof/>
                <w:sz w:val="22"/>
              </w:rPr>
              <w:t>3.7</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Final Project Evaluation</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_Toc464207174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28</w:t>
            </w:r>
            <w:r w:rsidR="00BD50CD" w:rsidRPr="0016708E">
              <w:rPr>
                <w:rFonts w:ascii="Arial" w:hAnsi="Arial" w:cs="Arial"/>
                <w:noProof/>
                <w:webHidden/>
                <w:sz w:val="22"/>
              </w:rPr>
              <w:fldChar w:fldCharType="end"/>
            </w:r>
          </w:hyperlink>
        </w:p>
        <w:p w:rsidR="00BD50CD" w:rsidRPr="0016708E" w:rsidRDefault="009F6564">
          <w:pPr>
            <w:pStyle w:val="TOC3"/>
            <w:tabs>
              <w:tab w:val="left" w:pos="1320"/>
              <w:tab w:val="right" w:leader="dot" w:pos="9350"/>
            </w:tabs>
            <w:rPr>
              <w:rFonts w:ascii="Arial" w:eastAsiaTheme="minorEastAsia" w:hAnsi="Arial" w:cs="Arial"/>
              <w:noProof/>
              <w:color w:val="auto"/>
              <w:sz w:val="22"/>
            </w:rPr>
          </w:pPr>
          <w:hyperlink w:anchor="_Toc464207175" w:history="1">
            <w:r w:rsidR="00BD50CD" w:rsidRPr="0016708E">
              <w:rPr>
                <w:rStyle w:val="Hyperlink"/>
                <w:rFonts w:ascii="Arial" w:hAnsi="Arial" w:cs="Arial"/>
                <w:noProof/>
                <w:sz w:val="22"/>
              </w:rPr>
              <w:t>3.7.1</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Ex-poste CBA methodology</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_Toc464207175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29</w:t>
            </w:r>
            <w:r w:rsidR="00BD50CD" w:rsidRPr="0016708E">
              <w:rPr>
                <w:rFonts w:ascii="Arial" w:hAnsi="Arial" w:cs="Arial"/>
                <w:noProof/>
                <w:webHidden/>
                <w:sz w:val="22"/>
              </w:rPr>
              <w:fldChar w:fldCharType="end"/>
            </w:r>
          </w:hyperlink>
        </w:p>
        <w:p w:rsidR="00BD50CD" w:rsidRPr="0016708E" w:rsidRDefault="009F6564">
          <w:pPr>
            <w:pStyle w:val="TOC2"/>
            <w:tabs>
              <w:tab w:val="left" w:pos="880"/>
              <w:tab w:val="right" w:leader="dot" w:pos="9350"/>
            </w:tabs>
            <w:rPr>
              <w:rFonts w:ascii="Arial" w:eastAsiaTheme="minorEastAsia" w:hAnsi="Arial" w:cs="Arial"/>
              <w:noProof/>
              <w:color w:val="auto"/>
              <w:sz w:val="22"/>
            </w:rPr>
          </w:pPr>
          <w:hyperlink w:anchor="_Toc464207176" w:history="1">
            <w:r w:rsidR="00BD50CD" w:rsidRPr="0016708E">
              <w:rPr>
                <w:rStyle w:val="Hyperlink"/>
                <w:rFonts w:ascii="Arial" w:hAnsi="Arial" w:cs="Arial"/>
                <w:noProof/>
                <w:sz w:val="22"/>
              </w:rPr>
              <w:t>3.8</w:t>
            </w:r>
            <w:r w:rsidR="00BD50CD" w:rsidRPr="0016708E">
              <w:rPr>
                <w:rFonts w:ascii="Arial" w:eastAsiaTheme="minorEastAsia" w:hAnsi="Arial" w:cs="Arial"/>
                <w:noProof/>
                <w:color w:val="auto"/>
                <w:sz w:val="22"/>
              </w:rPr>
              <w:tab/>
            </w:r>
            <w:r w:rsidR="00BD50CD" w:rsidRPr="0016708E">
              <w:rPr>
                <w:rStyle w:val="Hyperlink"/>
                <w:rFonts w:ascii="Arial" w:hAnsi="Arial" w:cs="Arial"/>
                <w:noProof/>
                <w:sz w:val="22"/>
              </w:rPr>
              <w:t>Evaluation Coordination, Work Plan and Budget</w:t>
            </w:r>
            <w:r w:rsidR="00BD50CD" w:rsidRPr="0016708E">
              <w:rPr>
                <w:rFonts w:ascii="Arial" w:hAnsi="Arial" w:cs="Arial"/>
                <w:noProof/>
                <w:webHidden/>
                <w:sz w:val="22"/>
              </w:rPr>
              <w:tab/>
            </w:r>
            <w:r w:rsidR="00BD50CD" w:rsidRPr="0016708E">
              <w:rPr>
                <w:rFonts w:ascii="Arial" w:hAnsi="Arial" w:cs="Arial"/>
                <w:noProof/>
                <w:webHidden/>
                <w:sz w:val="22"/>
              </w:rPr>
              <w:fldChar w:fldCharType="begin"/>
            </w:r>
            <w:r w:rsidR="00BD50CD" w:rsidRPr="0016708E">
              <w:rPr>
                <w:rFonts w:ascii="Arial" w:hAnsi="Arial" w:cs="Arial"/>
                <w:noProof/>
                <w:webHidden/>
                <w:sz w:val="22"/>
              </w:rPr>
              <w:instrText xml:space="preserve"> PAGEREF _Toc464207176 \h </w:instrText>
            </w:r>
            <w:r w:rsidR="00BD50CD" w:rsidRPr="0016708E">
              <w:rPr>
                <w:rFonts w:ascii="Arial" w:hAnsi="Arial" w:cs="Arial"/>
                <w:noProof/>
                <w:webHidden/>
                <w:sz w:val="22"/>
              </w:rPr>
            </w:r>
            <w:r w:rsidR="00BD50CD" w:rsidRPr="0016708E">
              <w:rPr>
                <w:rFonts w:ascii="Arial" w:hAnsi="Arial" w:cs="Arial"/>
                <w:noProof/>
                <w:webHidden/>
                <w:sz w:val="22"/>
              </w:rPr>
              <w:fldChar w:fldCharType="separate"/>
            </w:r>
            <w:r w:rsidR="00BD50CD" w:rsidRPr="0016708E">
              <w:rPr>
                <w:rFonts w:ascii="Arial" w:hAnsi="Arial" w:cs="Arial"/>
                <w:noProof/>
                <w:webHidden/>
                <w:sz w:val="22"/>
              </w:rPr>
              <w:t>30</w:t>
            </w:r>
            <w:r w:rsidR="00BD50CD" w:rsidRPr="0016708E">
              <w:rPr>
                <w:rFonts w:ascii="Arial" w:hAnsi="Arial" w:cs="Arial"/>
                <w:noProof/>
                <w:webHidden/>
                <w:sz w:val="22"/>
              </w:rPr>
              <w:fldChar w:fldCharType="end"/>
            </w:r>
          </w:hyperlink>
        </w:p>
        <w:p w:rsidR="009D6BA4" w:rsidRPr="00567F29" w:rsidRDefault="009D6BA4">
          <w:pPr>
            <w:rPr>
              <w:rFonts w:ascii="Arial" w:hAnsi="Arial" w:cs="Arial"/>
            </w:rPr>
          </w:pPr>
          <w:r w:rsidRPr="0016708E">
            <w:rPr>
              <w:rFonts w:ascii="Arial" w:hAnsi="Arial" w:cs="Arial"/>
              <w:b/>
              <w:bCs/>
              <w:noProof/>
              <w:sz w:val="22"/>
            </w:rPr>
            <w:fldChar w:fldCharType="end"/>
          </w:r>
        </w:p>
      </w:sdtContent>
    </w:sdt>
    <w:p w:rsidR="003316C0" w:rsidRPr="00567F29" w:rsidRDefault="003316C0" w:rsidP="005F7D46">
      <w:pPr>
        <w:jc w:val="both"/>
        <w:rPr>
          <w:rFonts w:ascii="Arial" w:hAnsi="Arial" w:cs="Arial"/>
          <w:sz w:val="22"/>
        </w:rPr>
      </w:pPr>
    </w:p>
    <w:p w:rsidR="003316C0" w:rsidRPr="00567F29" w:rsidRDefault="003316C0" w:rsidP="005F7D46">
      <w:pPr>
        <w:jc w:val="both"/>
        <w:rPr>
          <w:rFonts w:ascii="Arial" w:hAnsi="Arial" w:cs="Arial"/>
          <w:sz w:val="22"/>
        </w:rPr>
      </w:pPr>
      <w:r w:rsidRPr="00567F29">
        <w:rPr>
          <w:rFonts w:ascii="Arial" w:hAnsi="Arial" w:cs="Arial"/>
          <w:sz w:val="22"/>
        </w:rPr>
        <w:br w:type="page"/>
      </w:r>
    </w:p>
    <w:p w:rsidR="00BD376C" w:rsidRPr="00567F29" w:rsidRDefault="00BD376C" w:rsidP="005F7D46">
      <w:pPr>
        <w:jc w:val="both"/>
        <w:rPr>
          <w:rFonts w:ascii="Arial" w:hAnsi="Arial" w:cs="Arial"/>
          <w:sz w:val="22"/>
        </w:rPr>
      </w:pPr>
      <w:r w:rsidRPr="00567F29">
        <w:rPr>
          <w:rFonts w:ascii="Arial" w:hAnsi="Arial" w:cs="Arial"/>
          <w:sz w:val="22"/>
        </w:rPr>
        <w:lastRenderedPageBreak/>
        <w:t>ABBREVIATIONS</w:t>
      </w:r>
    </w:p>
    <w:p w:rsidR="006B4997" w:rsidRPr="00567F29" w:rsidRDefault="006B4997" w:rsidP="005F7D46">
      <w:pPr>
        <w:jc w:val="both"/>
        <w:rPr>
          <w:rFonts w:ascii="Arial" w:hAnsi="Arial" w:cs="Arial"/>
          <w:sz w:val="22"/>
        </w:rPr>
      </w:pPr>
      <w:r w:rsidRPr="00567F29">
        <w:rPr>
          <w:rFonts w:ascii="Arial" w:hAnsi="Arial" w:cs="Arial"/>
          <w:sz w:val="22"/>
        </w:rPr>
        <w:t>AOP: Annual Operations Plan</w:t>
      </w:r>
    </w:p>
    <w:p w:rsidR="009A0CD8" w:rsidRPr="00567F29" w:rsidRDefault="009A0CD8" w:rsidP="005F7D46">
      <w:pPr>
        <w:jc w:val="both"/>
        <w:rPr>
          <w:rFonts w:ascii="Arial" w:hAnsi="Arial" w:cs="Arial"/>
          <w:sz w:val="22"/>
        </w:rPr>
      </w:pPr>
      <w:r w:rsidRPr="00567F29">
        <w:rPr>
          <w:rFonts w:ascii="Arial" w:hAnsi="Arial" w:cs="Arial"/>
          <w:sz w:val="22"/>
        </w:rPr>
        <w:t>BL&amp;P: Barbados Light &amp; Power</w:t>
      </w:r>
    </w:p>
    <w:p w:rsidR="009A0CD8" w:rsidRPr="00567F29" w:rsidRDefault="009A0CD8" w:rsidP="005F7D46">
      <w:pPr>
        <w:jc w:val="both"/>
        <w:rPr>
          <w:rFonts w:ascii="Arial" w:hAnsi="Arial" w:cs="Arial"/>
          <w:sz w:val="22"/>
        </w:rPr>
      </w:pPr>
      <w:r w:rsidRPr="00567F29">
        <w:rPr>
          <w:rFonts w:ascii="Arial" w:hAnsi="Arial" w:cs="Arial"/>
          <w:sz w:val="22"/>
        </w:rPr>
        <w:t>BNOCL: Barbados National Oil Company Limited</w:t>
      </w:r>
    </w:p>
    <w:p w:rsidR="003147E8" w:rsidRPr="00567F29" w:rsidRDefault="003147E8" w:rsidP="005F7D46">
      <w:pPr>
        <w:jc w:val="both"/>
        <w:rPr>
          <w:rFonts w:ascii="Arial" w:hAnsi="Arial" w:cs="Arial"/>
          <w:sz w:val="22"/>
        </w:rPr>
      </w:pPr>
      <w:r w:rsidRPr="00567F29">
        <w:rPr>
          <w:rFonts w:ascii="Arial" w:hAnsi="Arial" w:cs="Arial"/>
          <w:sz w:val="22"/>
        </w:rPr>
        <w:t>CBA: Cost-Benefit Analysis</w:t>
      </w:r>
    </w:p>
    <w:p w:rsidR="009A0CD8" w:rsidRPr="00567F29" w:rsidRDefault="009A0CD8" w:rsidP="005F7D46">
      <w:pPr>
        <w:jc w:val="both"/>
        <w:rPr>
          <w:rFonts w:ascii="Arial" w:hAnsi="Arial" w:cs="Arial"/>
          <w:sz w:val="22"/>
        </w:rPr>
      </w:pPr>
      <w:r w:rsidRPr="00567F29">
        <w:rPr>
          <w:rFonts w:ascii="Arial" w:hAnsi="Arial" w:cs="Arial"/>
          <w:sz w:val="22"/>
        </w:rPr>
        <w:t>CNG: compressed natural gas</w:t>
      </w:r>
    </w:p>
    <w:p w:rsidR="009A0CD8" w:rsidRPr="00567F29" w:rsidRDefault="009A0CD8" w:rsidP="005F7D46">
      <w:pPr>
        <w:jc w:val="both"/>
        <w:rPr>
          <w:rFonts w:ascii="Arial" w:hAnsi="Arial" w:cs="Arial"/>
          <w:sz w:val="22"/>
        </w:rPr>
      </w:pPr>
      <w:r w:rsidRPr="00567F29">
        <w:rPr>
          <w:rFonts w:ascii="Arial" w:hAnsi="Arial" w:cs="Arial"/>
          <w:sz w:val="22"/>
        </w:rPr>
        <w:t>CO2: carbon dioxide</w:t>
      </w:r>
    </w:p>
    <w:p w:rsidR="003147E8" w:rsidRPr="00567F29" w:rsidRDefault="009A0CD8" w:rsidP="005F7D46">
      <w:pPr>
        <w:jc w:val="both"/>
        <w:rPr>
          <w:rFonts w:ascii="Arial" w:hAnsi="Arial" w:cs="Arial"/>
          <w:sz w:val="22"/>
        </w:rPr>
      </w:pPr>
      <w:r w:rsidRPr="00567F29">
        <w:rPr>
          <w:rFonts w:ascii="Arial" w:hAnsi="Arial" w:cs="Arial"/>
          <w:sz w:val="22"/>
        </w:rPr>
        <w:t>EA: Executing Agency</w:t>
      </w:r>
    </w:p>
    <w:p w:rsidR="009A0CD8" w:rsidRPr="00567F29" w:rsidRDefault="009A0CD8" w:rsidP="005F7D46">
      <w:pPr>
        <w:jc w:val="both"/>
        <w:rPr>
          <w:rFonts w:ascii="Arial" w:hAnsi="Arial" w:cs="Arial"/>
          <w:sz w:val="22"/>
        </w:rPr>
      </w:pPr>
      <w:r w:rsidRPr="00567F29">
        <w:rPr>
          <w:rFonts w:ascii="Arial" w:hAnsi="Arial" w:cs="Arial"/>
          <w:sz w:val="22"/>
        </w:rPr>
        <w:t>EE: energy efficiency</w:t>
      </w:r>
    </w:p>
    <w:p w:rsidR="003147E8" w:rsidRPr="00567F29" w:rsidRDefault="003147E8" w:rsidP="005F7D46">
      <w:pPr>
        <w:jc w:val="both"/>
        <w:rPr>
          <w:rFonts w:ascii="Arial" w:hAnsi="Arial" w:cs="Arial"/>
          <w:sz w:val="22"/>
        </w:rPr>
      </w:pPr>
      <w:r w:rsidRPr="00567F29">
        <w:rPr>
          <w:rFonts w:ascii="Arial" w:hAnsi="Arial" w:cs="Arial"/>
          <w:sz w:val="22"/>
        </w:rPr>
        <w:t xml:space="preserve">ELPA: Electric Light and Power Act </w:t>
      </w:r>
    </w:p>
    <w:p w:rsidR="003147E8" w:rsidRPr="00567F29" w:rsidRDefault="003147E8" w:rsidP="005F7D46">
      <w:pPr>
        <w:jc w:val="both"/>
        <w:rPr>
          <w:rFonts w:ascii="Arial" w:hAnsi="Arial" w:cs="Arial"/>
          <w:sz w:val="22"/>
        </w:rPr>
      </w:pPr>
      <w:r w:rsidRPr="00567F29">
        <w:rPr>
          <w:rFonts w:ascii="Arial" w:hAnsi="Arial" w:cs="Arial"/>
          <w:sz w:val="22"/>
        </w:rPr>
        <w:t>ESA: Environmental and Social Assessment</w:t>
      </w:r>
    </w:p>
    <w:p w:rsidR="003147E8" w:rsidRPr="00567F29" w:rsidRDefault="003147E8" w:rsidP="005F7D46">
      <w:pPr>
        <w:jc w:val="both"/>
        <w:rPr>
          <w:rFonts w:ascii="Arial" w:hAnsi="Arial" w:cs="Arial"/>
          <w:sz w:val="22"/>
        </w:rPr>
      </w:pPr>
      <w:r w:rsidRPr="00567F29">
        <w:rPr>
          <w:rFonts w:ascii="Arial" w:hAnsi="Arial" w:cs="Arial"/>
          <w:sz w:val="22"/>
        </w:rPr>
        <w:t xml:space="preserve">ESMP: Environmental and Social Management Plan </w:t>
      </w:r>
    </w:p>
    <w:p w:rsidR="009A0CD8" w:rsidRPr="00567F29" w:rsidRDefault="009A0CD8" w:rsidP="005F7D46">
      <w:pPr>
        <w:jc w:val="both"/>
        <w:rPr>
          <w:rFonts w:ascii="Arial" w:hAnsi="Arial" w:cs="Arial"/>
          <w:sz w:val="22"/>
        </w:rPr>
      </w:pPr>
      <w:r w:rsidRPr="00567F29">
        <w:rPr>
          <w:rFonts w:ascii="Arial" w:hAnsi="Arial" w:cs="Arial"/>
          <w:sz w:val="22"/>
        </w:rPr>
        <w:t>GHG: greenhouse gas</w:t>
      </w:r>
    </w:p>
    <w:p w:rsidR="009A0CD8" w:rsidRPr="00567F29" w:rsidRDefault="009A0CD8" w:rsidP="005F7D46">
      <w:pPr>
        <w:jc w:val="both"/>
        <w:rPr>
          <w:rFonts w:ascii="Arial" w:hAnsi="Arial" w:cs="Arial"/>
          <w:sz w:val="22"/>
        </w:rPr>
      </w:pPr>
      <w:r w:rsidRPr="00567F29">
        <w:rPr>
          <w:rFonts w:ascii="Arial" w:hAnsi="Arial" w:cs="Arial"/>
          <w:sz w:val="22"/>
        </w:rPr>
        <w:t>GIS: geographic information system</w:t>
      </w:r>
    </w:p>
    <w:p w:rsidR="009A0CD8" w:rsidRPr="00567F29" w:rsidRDefault="009A0CD8" w:rsidP="005F7D46">
      <w:pPr>
        <w:jc w:val="both"/>
        <w:rPr>
          <w:rFonts w:ascii="Arial" w:hAnsi="Arial" w:cs="Arial"/>
          <w:sz w:val="22"/>
        </w:rPr>
      </w:pPr>
      <w:r w:rsidRPr="00567F29">
        <w:rPr>
          <w:rFonts w:ascii="Arial" w:hAnsi="Arial" w:cs="Arial"/>
          <w:sz w:val="22"/>
        </w:rPr>
        <w:t>GOB: Government of Barbados M&amp;E: Monitoring and Evaluation</w:t>
      </w:r>
    </w:p>
    <w:p w:rsidR="009A0CD8" w:rsidRPr="00567F29" w:rsidRDefault="009A0CD8" w:rsidP="005F7D46">
      <w:pPr>
        <w:jc w:val="both"/>
        <w:rPr>
          <w:rFonts w:ascii="Arial" w:hAnsi="Arial" w:cs="Arial"/>
          <w:sz w:val="22"/>
        </w:rPr>
      </w:pPr>
      <w:r w:rsidRPr="00567F29">
        <w:rPr>
          <w:rFonts w:ascii="Arial" w:hAnsi="Arial" w:cs="Arial"/>
          <w:sz w:val="22"/>
        </w:rPr>
        <w:t>HFO: heavy fuel oil</w:t>
      </w:r>
    </w:p>
    <w:p w:rsidR="009A0CD8" w:rsidRPr="00567F29" w:rsidRDefault="009A0CD8" w:rsidP="005F7D46">
      <w:pPr>
        <w:jc w:val="both"/>
        <w:rPr>
          <w:rFonts w:ascii="Arial" w:hAnsi="Arial" w:cs="Arial"/>
          <w:sz w:val="22"/>
        </w:rPr>
      </w:pPr>
      <w:r w:rsidRPr="00567F29">
        <w:rPr>
          <w:rFonts w:ascii="Arial" w:hAnsi="Arial" w:cs="Arial"/>
          <w:sz w:val="22"/>
        </w:rPr>
        <w:t>IDB: Inter-American Development Bank</w:t>
      </w:r>
    </w:p>
    <w:p w:rsidR="006B4997" w:rsidRPr="00567F29" w:rsidRDefault="006B4997" w:rsidP="005F7D46">
      <w:pPr>
        <w:jc w:val="both"/>
        <w:rPr>
          <w:rFonts w:ascii="Arial" w:hAnsi="Arial" w:cs="Arial"/>
          <w:sz w:val="22"/>
        </w:rPr>
      </w:pPr>
      <w:r w:rsidRPr="00567F29">
        <w:rPr>
          <w:rFonts w:ascii="Arial" w:hAnsi="Arial" w:cs="Arial"/>
          <w:sz w:val="22"/>
        </w:rPr>
        <w:t>INDC: Intended Nationally Determined Contribution</w:t>
      </w:r>
    </w:p>
    <w:p w:rsidR="009A0CD8" w:rsidRPr="00567F29" w:rsidRDefault="009A0CD8" w:rsidP="005F7D46">
      <w:pPr>
        <w:jc w:val="both"/>
        <w:rPr>
          <w:rFonts w:ascii="Arial" w:hAnsi="Arial" w:cs="Arial"/>
          <w:sz w:val="22"/>
        </w:rPr>
      </w:pPr>
      <w:r w:rsidRPr="00567F29">
        <w:rPr>
          <w:rFonts w:ascii="Arial" w:hAnsi="Arial" w:cs="Arial"/>
          <w:sz w:val="22"/>
        </w:rPr>
        <w:t>LNG: liquefied natural gas</w:t>
      </w:r>
    </w:p>
    <w:p w:rsidR="009A0CD8" w:rsidRPr="00567F29" w:rsidRDefault="009A0CD8" w:rsidP="005F7D46">
      <w:pPr>
        <w:jc w:val="both"/>
        <w:rPr>
          <w:rFonts w:ascii="Arial" w:hAnsi="Arial" w:cs="Arial"/>
          <w:sz w:val="22"/>
        </w:rPr>
      </w:pPr>
      <w:proofErr w:type="spellStart"/>
      <w:r w:rsidRPr="00567F29">
        <w:rPr>
          <w:rFonts w:ascii="Arial" w:hAnsi="Arial" w:cs="Arial"/>
          <w:sz w:val="22"/>
        </w:rPr>
        <w:t>MMcfd</w:t>
      </w:r>
      <w:proofErr w:type="spellEnd"/>
      <w:r w:rsidRPr="00567F29">
        <w:rPr>
          <w:rFonts w:ascii="Arial" w:hAnsi="Arial" w:cs="Arial"/>
          <w:sz w:val="22"/>
        </w:rPr>
        <w:t>: Million cubic feet per day</w:t>
      </w:r>
    </w:p>
    <w:p w:rsidR="00F67625" w:rsidRPr="00567F29" w:rsidRDefault="00F67625" w:rsidP="005F7D46">
      <w:pPr>
        <w:jc w:val="both"/>
        <w:rPr>
          <w:rFonts w:ascii="Arial" w:hAnsi="Arial" w:cs="Arial"/>
          <w:sz w:val="22"/>
        </w:rPr>
      </w:pPr>
      <w:r w:rsidRPr="00567F29">
        <w:rPr>
          <w:rFonts w:ascii="Arial" w:hAnsi="Arial" w:cs="Arial"/>
          <w:sz w:val="22"/>
        </w:rPr>
        <w:t>NG: natural gas</w:t>
      </w:r>
    </w:p>
    <w:p w:rsidR="00B26DA5" w:rsidRPr="00567F29" w:rsidRDefault="00B26DA5" w:rsidP="005F7D46">
      <w:pPr>
        <w:jc w:val="both"/>
        <w:rPr>
          <w:rFonts w:ascii="Arial" w:hAnsi="Arial" w:cs="Arial"/>
          <w:sz w:val="22"/>
        </w:rPr>
      </w:pPr>
      <w:r w:rsidRPr="00567F29">
        <w:rPr>
          <w:rFonts w:ascii="Arial" w:hAnsi="Arial" w:cs="Arial"/>
          <w:sz w:val="22"/>
        </w:rPr>
        <w:t>NPC: National Petroleum Company</w:t>
      </w:r>
    </w:p>
    <w:p w:rsidR="006B4997" w:rsidRPr="00567F29" w:rsidRDefault="006B4997" w:rsidP="005F7D46">
      <w:pPr>
        <w:jc w:val="both"/>
        <w:rPr>
          <w:rFonts w:ascii="Arial" w:hAnsi="Arial" w:cs="Arial"/>
          <w:sz w:val="22"/>
        </w:rPr>
      </w:pPr>
      <w:r w:rsidRPr="00567F29">
        <w:rPr>
          <w:rFonts w:ascii="Arial" w:hAnsi="Arial" w:cs="Arial"/>
          <w:sz w:val="22"/>
        </w:rPr>
        <w:t>OM: Operations Manual</w:t>
      </w:r>
    </w:p>
    <w:p w:rsidR="006B4997" w:rsidRPr="00567F29" w:rsidRDefault="006B4997" w:rsidP="005F7D46">
      <w:pPr>
        <w:jc w:val="both"/>
        <w:rPr>
          <w:rFonts w:ascii="Arial" w:hAnsi="Arial" w:cs="Arial"/>
          <w:sz w:val="22"/>
        </w:rPr>
      </w:pPr>
      <w:r w:rsidRPr="00567F29">
        <w:rPr>
          <w:rFonts w:ascii="Arial" w:hAnsi="Arial" w:cs="Arial"/>
          <w:sz w:val="22"/>
        </w:rPr>
        <w:t>PCR: Project Closure Report</w:t>
      </w:r>
    </w:p>
    <w:p w:rsidR="006B4997" w:rsidRPr="00567F29" w:rsidRDefault="006B4997" w:rsidP="005F7D46">
      <w:pPr>
        <w:jc w:val="both"/>
        <w:rPr>
          <w:rFonts w:ascii="Arial" w:hAnsi="Arial" w:cs="Arial"/>
          <w:sz w:val="22"/>
        </w:rPr>
      </w:pPr>
      <w:r w:rsidRPr="00567F29">
        <w:rPr>
          <w:rFonts w:ascii="Arial" w:hAnsi="Arial" w:cs="Arial"/>
          <w:sz w:val="22"/>
        </w:rPr>
        <w:t xml:space="preserve">PEP: </w:t>
      </w:r>
      <w:proofErr w:type="spellStart"/>
      <w:r w:rsidRPr="00567F29">
        <w:rPr>
          <w:rFonts w:ascii="Arial" w:hAnsi="Arial" w:cs="Arial"/>
          <w:sz w:val="22"/>
        </w:rPr>
        <w:t>P</w:t>
      </w:r>
      <w:r w:rsidR="003147E8" w:rsidRPr="00567F29">
        <w:rPr>
          <w:rFonts w:ascii="Arial" w:hAnsi="Arial" w:cs="Arial"/>
          <w:sz w:val="22"/>
        </w:rPr>
        <w:t>luriannual</w:t>
      </w:r>
      <w:proofErr w:type="spellEnd"/>
      <w:r w:rsidRPr="00567F29">
        <w:rPr>
          <w:rFonts w:ascii="Arial" w:hAnsi="Arial" w:cs="Arial"/>
          <w:sz w:val="22"/>
        </w:rPr>
        <w:t xml:space="preserve"> Execution Plan</w:t>
      </w:r>
    </w:p>
    <w:p w:rsidR="003316C0" w:rsidRPr="00567F29" w:rsidRDefault="009A0CD8" w:rsidP="005F7D46">
      <w:pPr>
        <w:jc w:val="both"/>
        <w:rPr>
          <w:rFonts w:ascii="Arial" w:hAnsi="Arial" w:cs="Arial"/>
          <w:sz w:val="22"/>
        </w:rPr>
      </w:pPr>
      <w:r w:rsidRPr="00567F29">
        <w:rPr>
          <w:rFonts w:ascii="Arial" w:hAnsi="Arial" w:cs="Arial"/>
          <w:sz w:val="22"/>
        </w:rPr>
        <w:t>PMR: Progress Monitoring Report</w:t>
      </w:r>
    </w:p>
    <w:p w:rsidR="006B4997" w:rsidRPr="00567F29" w:rsidRDefault="006B4997" w:rsidP="005F7D46">
      <w:pPr>
        <w:jc w:val="both"/>
        <w:rPr>
          <w:rFonts w:ascii="Arial" w:hAnsi="Arial" w:cs="Arial"/>
          <w:sz w:val="22"/>
        </w:rPr>
      </w:pPr>
      <w:r w:rsidRPr="00567F29">
        <w:rPr>
          <w:rFonts w:ascii="Arial" w:hAnsi="Arial" w:cs="Arial"/>
          <w:sz w:val="22"/>
        </w:rPr>
        <w:lastRenderedPageBreak/>
        <w:t>PP: Procurement Plan</w:t>
      </w:r>
    </w:p>
    <w:p w:rsidR="003316C0" w:rsidRPr="00567F29" w:rsidRDefault="003316C0" w:rsidP="005F7D46">
      <w:pPr>
        <w:jc w:val="both"/>
        <w:rPr>
          <w:rFonts w:ascii="Arial" w:hAnsi="Arial" w:cs="Arial"/>
          <w:sz w:val="22"/>
        </w:rPr>
      </w:pPr>
      <w:r w:rsidRPr="00567F29">
        <w:rPr>
          <w:rFonts w:ascii="Arial" w:hAnsi="Arial" w:cs="Arial"/>
          <w:sz w:val="22"/>
        </w:rPr>
        <w:t>PPP: Public-Private Partnership</w:t>
      </w:r>
    </w:p>
    <w:p w:rsidR="009A0CD8" w:rsidRPr="00567F29" w:rsidRDefault="009A0CD8" w:rsidP="005F7D46">
      <w:pPr>
        <w:jc w:val="both"/>
        <w:rPr>
          <w:rFonts w:ascii="Arial" w:hAnsi="Arial" w:cs="Arial"/>
          <w:sz w:val="22"/>
        </w:rPr>
      </w:pPr>
      <w:r w:rsidRPr="00567F29">
        <w:rPr>
          <w:rFonts w:ascii="Arial" w:hAnsi="Arial" w:cs="Arial"/>
          <w:sz w:val="22"/>
        </w:rPr>
        <w:t>RE: renewable energy</w:t>
      </w:r>
    </w:p>
    <w:p w:rsidR="00834426" w:rsidRPr="00567F29" w:rsidRDefault="00834426" w:rsidP="005F7D46">
      <w:pPr>
        <w:jc w:val="both"/>
        <w:rPr>
          <w:rFonts w:ascii="Arial" w:hAnsi="Arial" w:cs="Arial"/>
          <w:sz w:val="22"/>
        </w:rPr>
      </w:pPr>
      <w:r w:rsidRPr="00567F29">
        <w:rPr>
          <w:rFonts w:ascii="Arial" w:hAnsi="Arial" w:cs="Arial"/>
          <w:sz w:val="22"/>
        </w:rPr>
        <w:t>SCADA: supervisory control and data acquisition</w:t>
      </w:r>
    </w:p>
    <w:p w:rsidR="003147E8" w:rsidRPr="00567F29" w:rsidRDefault="003147E8" w:rsidP="005F7D46">
      <w:pPr>
        <w:jc w:val="both"/>
        <w:rPr>
          <w:rFonts w:ascii="Arial" w:hAnsi="Arial" w:cs="Arial"/>
          <w:sz w:val="22"/>
        </w:rPr>
      </w:pPr>
      <w:r w:rsidRPr="00567F29">
        <w:rPr>
          <w:rFonts w:ascii="Arial" w:hAnsi="Arial" w:cs="Arial"/>
          <w:sz w:val="22"/>
        </w:rPr>
        <w:t>SEFB: Sustainable Energy Framework for Barbados</w:t>
      </w:r>
    </w:p>
    <w:p w:rsidR="006B4997" w:rsidRPr="00567F29" w:rsidRDefault="006B4997" w:rsidP="005F7D46">
      <w:pPr>
        <w:jc w:val="both"/>
        <w:rPr>
          <w:rFonts w:ascii="Arial" w:hAnsi="Arial" w:cs="Arial"/>
          <w:sz w:val="22"/>
        </w:rPr>
      </w:pPr>
      <w:r w:rsidRPr="00567F29">
        <w:rPr>
          <w:rFonts w:ascii="Arial" w:hAnsi="Arial" w:cs="Arial"/>
          <w:sz w:val="22"/>
        </w:rPr>
        <w:t>UNFCCC: UN Framework Convention on Climate Change</w:t>
      </w:r>
    </w:p>
    <w:p w:rsidR="009A0CD8" w:rsidRPr="00567F29" w:rsidRDefault="009A0CD8" w:rsidP="005F7D46">
      <w:pPr>
        <w:jc w:val="both"/>
        <w:rPr>
          <w:rFonts w:ascii="Arial" w:hAnsi="Arial" w:cs="Arial"/>
          <w:sz w:val="22"/>
        </w:rPr>
      </w:pPr>
      <w:r w:rsidRPr="00567F29">
        <w:rPr>
          <w:rFonts w:ascii="Arial" w:hAnsi="Arial" w:cs="Arial"/>
          <w:sz w:val="22"/>
        </w:rPr>
        <w:t>VS LNG terminal: very small LNG terminal</w:t>
      </w:r>
    </w:p>
    <w:p w:rsidR="009A0CD8" w:rsidRPr="00567F29" w:rsidRDefault="009A0CD8" w:rsidP="005F7D46">
      <w:pPr>
        <w:jc w:val="both"/>
        <w:rPr>
          <w:rFonts w:ascii="Arial" w:hAnsi="Arial" w:cs="Arial"/>
          <w:sz w:val="22"/>
        </w:rPr>
      </w:pPr>
      <w:r w:rsidRPr="00567F29">
        <w:rPr>
          <w:rFonts w:ascii="Arial" w:hAnsi="Arial" w:cs="Arial"/>
          <w:sz w:val="22"/>
        </w:rPr>
        <w:t>XPMR: Extended Progress Monitoring Report</w:t>
      </w:r>
    </w:p>
    <w:p w:rsidR="009A0CD8" w:rsidRPr="00567F29" w:rsidRDefault="009A0CD8" w:rsidP="005F7D46">
      <w:pPr>
        <w:jc w:val="both"/>
        <w:rPr>
          <w:rFonts w:ascii="Arial" w:hAnsi="Arial" w:cs="Arial"/>
          <w:sz w:val="22"/>
        </w:rPr>
      </w:pPr>
    </w:p>
    <w:p w:rsidR="00567F29" w:rsidRDefault="00567F29">
      <w:pPr>
        <w:rPr>
          <w:rFonts w:ascii="Arial" w:hAnsi="Arial" w:cs="Arial"/>
          <w:sz w:val="22"/>
        </w:rPr>
      </w:pPr>
      <w:r>
        <w:rPr>
          <w:rFonts w:ascii="Arial" w:hAnsi="Arial" w:cs="Arial"/>
          <w:sz w:val="22"/>
        </w:rPr>
        <w:br w:type="page"/>
      </w:r>
    </w:p>
    <w:p w:rsidR="00BD376C" w:rsidRDefault="00BD376C" w:rsidP="005F7D46">
      <w:pPr>
        <w:pStyle w:val="Heading1"/>
        <w:jc w:val="both"/>
        <w:rPr>
          <w:rFonts w:ascii="Arial" w:hAnsi="Arial" w:cs="Arial"/>
          <w:sz w:val="24"/>
        </w:rPr>
      </w:pPr>
      <w:bookmarkStart w:id="0" w:name="_Toc464207158"/>
      <w:r w:rsidRPr="00567F29">
        <w:rPr>
          <w:rFonts w:ascii="Arial" w:hAnsi="Arial" w:cs="Arial"/>
          <w:sz w:val="24"/>
        </w:rPr>
        <w:lastRenderedPageBreak/>
        <w:t>Introduction</w:t>
      </w:r>
      <w:bookmarkEnd w:id="0"/>
    </w:p>
    <w:p w:rsidR="00567F29" w:rsidRPr="00567F29" w:rsidRDefault="00567F29" w:rsidP="00567F29"/>
    <w:p w:rsidR="00D754A2" w:rsidRPr="00567F29" w:rsidRDefault="00394F58" w:rsidP="005F7D46">
      <w:pPr>
        <w:jc w:val="both"/>
        <w:rPr>
          <w:rFonts w:ascii="Arial" w:hAnsi="Arial" w:cs="Arial"/>
          <w:sz w:val="22"/>
        </w:rPr>
      </w:pPr>
      <w:r w:rsidRPr="00567F29">
        <w:rPr>
          <w:rFonts w:ascii="Arial" w:hAnsi="Arial" w:cs="Arial"/>
          <w:sz w:val="22"/>
        </w:rPr>
        <w:t>The Inter-American Development Bank (IDB) is preparing a loan operation (Loan BA-L1012) for the Government of Barbados (GOB) to support the deployment of cleaner fuels and renewable energies in the country</w:t>
      </w:r>
      <w:r w:rsidR="005D0C61" w:rsidRPr="00567F29">
        <w:rPr>
          <w:rFonts w:ascii="Arial" w:hAnsi="Arial" w:cs="Arial"/>
          <w:sz w:val="22"/>
        </w:rPr>
        <w:t xml:space="preserve"> (the Project). </w:t>
      </w:r>
      <w:r w:rsidR="00FA51F1" w:rsidRPr="00567F29">
        <w:rPr>
          <w:rFonts w:ascii="Arial" w:hAnsi="Arial" w:cs="Arial"/>
          <w:sz w:val="22"/>
        </w:rPr>
        <w:t xml:space="preserve">Barbados has </w:t>
      </w:r>
      <w:r w:rsidR="00D754A2" w:rsidRPr="00567F29">
        <w:rPr>
          <w:rFonts w:ascii="Arial" w:hAnsi="Arial" w:cs="Arial"/>
          <w:sz w:val="22"/>
        </w:rPr>
        <w:t>made significant progress in developing</w:t>
      </w:r>
      <w:r w:rsidR="00FA51F1" w:rsidRPr="00567F29">
        <w:rPr>
          <w:rFonts w:ascii="Arial" w:hAnsi="Arial" w:cs="Arial"/>
          <w:sz w:val="22"/>
        </w:rPr>
        <w:t xml:space="preserve"> its renewable energy (RE) endowment</w:t>
      </w:r>
      <w:r w:rsidR="00D754A2" w:rsidRPr="00567F29">
        <w:rPr>
          <w:rFonts w:ascii="Arial" w:hAnsi="Arial" w:cs="Arial"/>
          <w:sz w:val="22"/>
        </w:rPr>
        <w:t xml:space="preserve">, but the </w:t>
      </w:r>
      <w:r w:rsidR="00FA51F1" w:rsidRPr="00567F29">
        <w:rPr>
          <w:rFonts w:ascii="Arial" w:hAnsi="Arial" w:cs="Arial"/>
          <w:sz w:val="22"/>
        </w:rPr>
        <w:t xml:space="preserve">country </w:t>
      </w:r>
      <w:r w:rsidR="00D754A2" w:rsidRPr="00567F29">
        <w:rPr>
          <w:rFonts w:ascii="Arial" w:hAnsi="Arial" w:cs="Arial"/>
          <w:sz w:val="22"/>
        </w:rPr>
        <w:t xml:space="preserve">is still </w:t>
      </w:r>
      <w:r w:rsidR="00FA51F1" w:rsidRPr="00567F29">
        <w:rPr>
          <w:rFonts w:ascii="Arial" w:hAnsi="Arial" w:cs="Arial"/>
          <w:sz w:val="22"/>
        </w:rPr>
        <w:t xml:space="preserve">dependent on costly imported liquid fossil fuels for power generation. The government’s priorities in the energy sector, according to the National Sustainable Energy Policy (NSEP), are to reduce electricity prices, increase energy security, increase the use of cleaner fuels and reduce negative environmental impacts. </w:t>
      </w:r>
    </w:p>
    <w:p w:rsidR="00D754A2" w:rsidRPr="00567F29" w:rsidRDefault="00FA51F1" w:rsidP="005F7D46">
      <w:pPr>
        <w:jc w:val="both"/>
        <w:rPr>
          <w:rFonts w:ascii="Arial" w:hAnsi="Arial" w:cs="Arial"/>
          <w:sz w:val="22"/>
        </w:rPr>
      </w:pPr>
      <w:r w:rsidRPr="00567F29">
        <w:rPr>
          <w:rFonts w:ascii="Arial" w:hAnsi="Arial" w:cs="Arial"/>
          <w:sz w:val="22"/>
        </w:rPr>
        <w:t xml:space="preserve">As a result, and as mentioned in the Barbados </w:t>
      </w:r>
      <w:r w:rsidR="00D754A2" w:rsidRPr="00567F29">
        <w:rPr>
          <w:rFonts w:ascii="Arial" w:hAnsi="Arial" w:cs="Arial"/>
          <w:sz w:val="22"/>
        </w:rPr>
        <w:t>Medium-Term Growth and Development Strategy (2013-2020</w:t>
      </w:r>
      <w:r w:rsidRPr="00567F29">
        <w:rPr>
          <w:rFonts w:ascii="Arial" w:hAnsi="Arial" w:cs="Arial"/>
          <w:sz w:val="22"/>
        </w:rPr>
        <w:t xml:space="preserve">), Barbados is seeking to promote energy efficiency (EE) and RE, and ensure a reliable source of </w:t>
      </w:r>
      <w:r w:rsidR="00D754A2" w:rsidRPr="00567F29">
        <w:rPr>
          <w:rFonts w:ascii="Arial" w:hAnsi="Arial" w:cs="Arial"/>
          <w:sz w:val="22"/>
        </w:rPr>
        <w:t>cleaner fuels for power generation</w:t>
      </w:r>
      <w:r w:rsidRPr="00567F29">
        <w:rPr>
          <w:rFonts w:ascii="Arial" w:hAnsi="Arial" w:cs="Arial"/>
          <w:sz w:val="22"/>
        </w:rPr>
        <w:t xml:space="preserve">. </w:t>
      </w:r>
      <w:r w:rsidR="00D754A2" w:rsidRPr="00567F29">
        <w:rPr>
          <w:rFonts w:ascii="Arial" w:hAnsi="Arial" w:cs="Arial"/>
          <w:sz w:val="22"/>
        </w:rPr>
        <w:t>The Barbados Intended Nationally Determined Contribution (INDC) submission to the UNFCCC (September 28, 2015) stated that Barbados</w:t>
      </w:r>
      <w:r w:rsidRPr="00567F29">
        <w:rPr>
          <w:rFonts w:ascii="Arial" w:hAnsi="Arial" w:cs="Arial"/>
          <w:sz w:val="22"/>
        </w:rPr>
        <w:t xml:space="preserve"> </w:t>
      </w:r>
      <w:r w:rsidR="00D754A2" w:rsidRPr="00567F29">
        <w:rPr>
          <w:rFonts w:ascii="Arial" w:hAnsi="Arial" w:cs="Arial"/>
          <w:sz w:val="22"/>
        </w:rPr>
        <w:t>aims to have RE provide 65</w:t>
      </w:r>
      <w:r w:rsidRPr="00567F29">
        <w:rPr>
          <w:rFonts w:ascii="Arial" w:hAnsi="Arial" w:cs="Arial"/>
          <w:sz w:val="22"/>
        </w:rPr>
        <w:t xml:space="preserve">% </w:t>
      </w:r>
      <w:r w:rsidR="00D754A2" w:rsidRPr="00567F29">
        <w:rPr>
          <w:rFonts w:ascii="Arial" w:hAnsi="Arial" w:cs="Arial"/>
          <w:sz w:val="22"/>
        </w:rPr>
        <w:t>of peak electricity demand by 2030</w:t>
      </w:r>
      <w:r w:rsidRPr="00567F29">
        <w:rPr>
          <w:rFonts w:ascii="Arial" w:hAnsi="Arial" w:cs="Arial"/>
          <w:sz w:val="22"/>
        </w:rPr>
        <w:t xml:space="preserve"> and </w:t>
      </w:r>
      <w:r w:rsidR="00D754A2" w:rsidRPr="00567F29">
        <w:rPr>
          <w:rFonts w:ascii="Arial" w:hAnsi="Arial" w:cs="Arial"/>
          <w:sz w:val="22"/>
        </w:rPr>
        <w:t>achieve a 22</w:t>
      </w:r>
      <w:r w:rsidRPr="00567F29">
        <w:rPr>
          <w:rFonts w:ascii="Arial" w:hAnsi="Arial" w:cs="Arial"/>
          <w:sz w:val="22"/>
        </w:rPr>
        <w:t xml:space="preserve">% </w:t>
      </w:r>
      <w:r w:rsidR="00D754A2" w:rsidRPr="00567F29">
        <w:rPr>
          <w:rFonts w:ascii="Arial" w:hAnsi="Arial" w:cs="Arial"/>
          <w:sz w:val="22"/>
        </w:rPr>
        <w:t xml:space="preserve">reduction in electricity consumption by 2029 relative to business as usual scenario. In order to facilitate higher RE penetration, Barbados </w:t>
      </w:r>
      <w:r w:rsidRPr="00567F29">
        <w:rPr>
          <w:rFonts w:ascii="Arial" w:hAnsi="Arial" w:cs="Arial"/>
          <w:sz w:val="22"/>
        </w:rPr>
        <w:t xml:space="preserve">is </w:t>
      </w:r>
      <w:r w:rsidR="00D754A2" w:rsidRPr="00567F29">
        <w:rPr>
          <w:rFonts w:ascii="Arial" w:hAnsi="Arial" w:cs="Arial"/>
          <w:sz w:val="22"/>
        </w:rPr>
        <w:t xml:space="preserve">looking to NG as a </w:t>
      </w:r>
      <w:proofErr w:type="spellStart"/>
      <w:r w:rsidR="00D754A2" w:rsidRPr="00567F29">
        <w:rPr>
          <w:rFonts w:ascii="Arial" w:hAnsi="Arial" w:cs="Arial"/>
          <w:sz w:val="22"/>
        </w:rPr>
        <w:t>baseload</w:t>
      </w:r>
      <w:proofErr w:type="spellEnd"/>
      <w:r w:rsidR="00D754A2" w:rsidRPr="00567F29">
        <w:rPr>
          <w:rFonts w:ascii="Arial" w:hAnsi="Arial" w:cs="Arial"/>
          <w:sz w:val="22"/>
        </w:rPr>
        <w:t xml:space="preserve"> energy source for the power sector that could further reduce carbon emissions, reduce electricity tariffs and provide an alternative to switch away from HFO in the short term. </w:t>
      </w:r>
    </w:p>
    <w:p w:rsidR="00FA51F1" w:rsidRPr="00567F29" w:rsidRDefault="00CB16FB" w:rsidP="005F7D46">
      <w:pPr>
        <w:jc w:val="both"/>
        <w:rPr>
          <w:rFonts w:ascii="Arial" w:hAnsi="Arial" w:cs="Arial"/>
          <w:sz w:val="22"/>
        </w:rPr>
      </w:pPr>
      <w:r w:rsidRPr="00567F29">
        <w:rPr>
          <w:rFonts w:ascii="Arial" w:hAnsi="Arial" w:cs="Arial"/>
          <w:sz w:val="22"/>
        </w:rPr>
        <w:t>The Barbados National Oil Company, Limited (</w:t>
      </w:r>
      <w:r w:rsidR="00FA51F1" w:rsidRPr="00567F29">
        <w:rPr>
          <w:rFonts w:ascii="Arial" w:hAnsi="Arial" w:cs="Arial"/>
          <w:sz w:val="22"/>
        </w:rPr>
        <w:t>BNOCL</w:t>
      </w:r>
      <w:r w:rsidRPr="00567F29">
        <w:rPr>
          <w:rFonts w:ascii="Arial" w:hAnsi="Arial" w:cs="Arial"/>
          <w:sz w:val="22"/>
        </w:rPr>
        <w:t>)</w:t>
      </w:r>
      <w:r w:rsidR="00FA51F1" w:rsidRPr="00567F29">
        <w:rPr>
          <w:rFonts w:ascii="Arial" w:hAnsi="Arial" w:cs="Arial"/>
          <w:sz w:val="22"/>
        </w:rPr>
        <w:t xml:space="preserve"> has already installed an LNG facility at the Woodbourne Terminal (Micro LNG Plant) with cap</w:t>
      </w:r>
      <w:r w:rsidRPr="00567F29">
        <w:rPr>
          <w:rFonts w:ascii="Arial" w:hAnsi="Arial" w:cs="Arial"/>
          <w:sz w:val="22"/>
        </w:rPr>
        <w:t xml:space="preserve">acity to handle </w:t>
      </w:r>
      <w:proofErr w:type="spellStart"/>
      <w:r w:rsidRPr="00567F29">
        <w:rPr>
          <w:rFonts w:ascii="Arial" w:hAnsi="Arial" w:cs="Arial"/>
          <w:sz w:val="22"/>
        </w:rPr>
        <w:t>iso</w:t>
      </w:r>
      <w:proofErr w:type="spellEnd"/>
      <w:r w:rsidRPr="00567F29">
        <w:rPr>
          <w:rFonts w:ascii="Arial" w:hAnsi="Arial" w:cs="Arial"/>
          <w:sz w:val="22"/>
        </w:rPr>
        <w:t>-containers</w:t>
      </w:r>
      <w:r w:rsidR="00FA51F1" w:rsidRPr="00567F29">
        <w:rPr>
          <w:rFonts w:ascii="Arial" w:hAnsi="Arial" w:cs="Arial"/>
          <w:sz w:val="22"/>
        </w:rPr>
        <w:t xml:space="preserve"> to supply a NG demand of around 0.5 </w:t>
      </w:r>
      <w:proofErr w:type="spellStart"/>
      <w:r w:rsidR="00FA51F1" w:rsidRPr="00567F29">
        <w:rPr>
          <w:rFonts w:ascii="Arial" w:hAnsi="Arial" w:cs="Arial"/>
          <w:sz w:val="22"/>
        </w:rPr>
        <w:t>mmcfpd</w:t>
      </w:r>
      <w:proofErr w:type="spellEnd"/>
      <w:r w:rsidR="00FA51F1" w:rsidRPr="00567F29">
        <w:rPr>
          <w:rFonts w:ascii="Arial" w:hAnsi="Arial" w:cs="Arial"/>
          <w:sz w:val="22"/>
        </w:rPr>
        <w:t xml:space="preserve">. However, there is a need to expand its capacity in order to satisfy total demand of 2-3 </w:t>
      </w:r>
      <w:proofErr w:type="spellStart"/>
      <w:r w:rsidR="00FA51F1" w:rsidRPr="00567F29">
        <w:rPr>
          <w:rFonts w:ascii="Arial" w:hAnsi="Arial" w:cs="Arial"/>
          <w:sz w:val="22"/>
        </w:rPr>
        <w:t>mmcfpd</w:t>
      </w:r>
      <w:proofErr w:type="spellEnd"/>
      <w:r w:rsidR="00FA51F1" w:rsidRPr="00567F29">
        <w:rPr>
          <w:rFonts w:ascii="Arial" w:hAnsi="Arial" w:cs="Arial"/>
          <w:sz w:val="22"/>
        </w:rPr>
        <w:t xml:space="preserve"> and avoid costly NG shortages.</w:t>
      </w:r>
    </w:p>
    <w:p w:rsidR="00FA51F1" w:rsidRPr="00567F29" w:rsidRDefault="00FA51F1" w:rsidP="005F7D46">
      <w:pPr>
        <w:jc w:val="both"/>
        <w:rPr>
          <w:rFonts w:ascii="Arial" w:hAnsi="Arial" w:cs="Arial"/>
          <w:sz w:val="22"/>
        </w:rPr>
      </w:pPr>
      <w:r w:rsidRPr="00567F29">
        <w:rPr>
          <w:rFonts w:ascii="Arial" w:hAnsi="Arial" w:cs="Arial"/>
          <w:sz w:val="22"/>
        </w:rPr>
        <w:t>In addition to meeting current demand</w:t>
      </w:r>
      <w:r w:rsidR="00CB16FB" w:rsidRPr="00567F29">
        <w:rPr>
          <w:rFonts w:ascii="Arial" w:hAnsi="Arial" w:cs="Arial"/>
          <w:sz w:val="22"/>
        </w:rPr>
        <w:t>,</w:t>
      </w:r>
      <w:r w:rsidRPr="00567F29">
        <w:rPr>
          <w:rFonts w:ascii="Arial" w:hAnsi="Arial" w:cs="Arial"/>
          <w:sz w:val="22"/>
        </w:rPr>
        <w:t xml:space="preserve"> the government is planning steps that could eventually enable the use of NG for power generation. BL&amp;P has already shown interest in using NG in some of their facilities. To this end</w:t>
      </w:r>
      <w:r w:rsidR="00CB16FB" w:rsidRPr="00567F29">
        <w:rPr>
          <w:rFonts w:ascii="Arial" w:hAnsi="Arial" w:cs="Arial"/>
          <w:sz w:val="22"/>
        </w:rPr>
        <w:t>,</w:t>
      </w:r>
      <w:r w:rsidRPr="00567F29">
        <w:rPr>
          <w:rFonts w:ascii="Arial" w:hAnsi="Arial" w:cs="Arial"/>
          <w:sz w:val="22"/>
        </w:rPr>
        <w:t xml:space="preserve"> </w:t>
      </w:r>
      <w:r w:rsidR="00CB16FB" w:rsidRPr="00567F29">
        <w:rPr>
          <w:rFonts w:ascii="Arial" w:hAnsi="Arial" w:cs="Arial"/>
          <w:sz w:val="22"/>
        </w:rPr>
        <w:t>the National Petroleum Company (</w:t>
      </w:r>
      <w:r w:rsidRPr="00567F29">
        <w:rPr>
          <w:rFonts w:ascii="Arial" w:hAnsi="Arial" w:cs="Arial"/>
          <w:sz w:val="22"/>
        </w:rPr>
        <w:t>NPC</w:t>
      </w:r>
      <w:r w:rsidR="00CB16FB" w:rsidRPr="00567F29">
        <w:rPr>
          <w:rFonts w:ascii="Arial" w:hAnsi="Arial" w:cs="Arial"/>
          <w:sz w:val="22"/>
        </w:rPr>
        <w:t>)</w:t>
      </w:r>
      <w:r w:rsidRPr="00567F29">
        <w:rPr>
          <w:rFonts w:ascii="Arial" w:hAnsi="Arial" w:cs="Arial"/>
          <w:sz w:val="22"/>
        </w:rPr>
        <w:t xml:space="preserve"> is planning the process of establishing a Public-Private partnership (PPP) to import LNG for power generation. In order to support this process, the IDB will collaborate with its private sector arm, the Inter-American Investment Corporation (IIC).</w:t>
      </w:r>
    </w:p>
    <w:p w:rsidR="00567F29" w:rsidRDefault="00947DF6" w:rsidP="00947DF6">
      <w:pPr>
        <w:jc w:val="both"/>
        <w:rPr>
          <w:rFonts w:ascii="Arial" w:hAnsi="Arial" w:cs="Arial"/>
          <w:sz w:val="22"/>
        </w:rPr>
      </w:pPr>
      <w:r w:rsidRPr="00947DF6">
        <w:rPr>
          <w:rFonts w:ascii="Arial" w:hAnsi="Arial" w:cs="Arial"/>
          <w:sz w:val="22"/>
        </w:rPr>
        <w:t>The objective of this project is to enhance Barbados’ energy security and sustainability by diversifying its energy matrix through promoting the use of cleaner fuels for power generation, and increasing the use of RE sources. Specific objectives include: to (</w:t>
      </w:r>
      <w:proofErr w:type="spellStart"/>
      <w:r w:rsidRPr="00947DF6">
        <w:rPr>
          <w:rFonts w:ascii="Arial" w:hAnsi="Arial" w:cs="Arial"/>
          <w:sz w:val="22"/>
        </w:rPr>
        <w:t>i</w:t>
      </w:r>
      <w:proofErr w:type="spellEnd"/>
      <w:r w:rsidRPr="00947DF6">
        <w:rPr>
          <w:rFonts w:ascii="Arial" w:hAnsi="Arial" w:cs="Arial"/>
          <w:sz w:val="22"/>
        </w:rPr>
        <w:t>) upgrade existing NG infrastructure to ensure NG service continuity; (ii) increase EE and RE applications within NPC’s and BNOCL’s operations to reduce GHG emissions; (iii) enable implementation of a PPP project to import and supply LNG for power generation; and (iv) provide technical support to NPC and BNOCL to foster organizational and operational efficiency.</w:t>
      </w:r>
      <w:r w:rsidR="00394F58" w:rsidRPr="00567F29">
        <w:rPr>
          <w:rFonts w:ascii="Arial" w:hAnsi="Arial" w:cs="Arial"/>
          <w:sz w:val="22"/>
        </w:rPr>
        <w:t xml:space="preserve"> </w:t>
      </w:r>
      <w:r w:rsidR="00FA51F1" w:rsidRPr="00567F29">
        <w:rPr>
          <w:rFonts w:ascii="Arial" w:hAnsi="Arial" w:cs="Arial"/>
          <w:sz w:val="22"/>
        </w:rPr>
        <w:t>Each Component is described in greater detail below.</w:t>
      </w:r>
      <w:r w:rsidR="00567F29">
        <w:rPr>
          <w:rFonts w:ascii="Arial" w:hAnsi="Arial" w:cs="Arial"/>
          <w:sz w:val="22"/>
        </w:rPr>
        <w:br w:type="page"/>
      </w:r>
    </w:p>
    <w:p w:rsidR="00913256" w:rsidRPr="00567F29" w:rsidRDefault="00913256" w:rsidP="005F7D46">
      <w:pPr>
        <w:jc w:val="both"/>
        <w:rPr>
          <w:rFonts w:ascii="Arial" w:hAnsi="Arial" w:cs="Arial"/>
          <w:sz w:val="22"/>
        </w:rPr>
      </w:pPr>
      <w:r w:rsidRPr="00567F29">
        <w:rPr>
          <w:rFonts w:ascii="Arial" w:hAnsi="Arial" w:cs="Arial"/>
          <w:sz w:val="22"/>
        </w:rPr>
        <w:lastRenderedPageBreak/>
        <w:t xml:space="preserve">Component </w:t>
      </w:r>
      <w:r w:rsidR="006D6C60" w:rsidRPr="00567F29">
        <w:rPr>
          <w:rFonts w:ascii="Arial" w:hAnsi="Arial" w:cs="Arial"/>
          <w:sz w:val="22"/>
        </w:rPr>
        <w:t>1</w:t>
      </w:r>
      <w:r w:rsidRPr="00567F29">
        <w:rPr>
          <w:rFonts w:ascii="Arial" w:hAnsi="Arial" w:cs="Arial"/>
          <w:sz w:val="22"/>
        </w:rPr>
        <w:t xml:space="preserve"> of the Project</w:t>
      </w:r>
      <w:r w:rsidR="00FF2A71" w:rsidRPr="00567F29">
        <w:rPr>
          <w:rFonts w:ascii="Arial" w:hAnsi="Arial" w:cs="Arial"/>
          <w:sz w:val="22"/>
        </w:rPr>
        <w:t>, Natural Gas Infrastructure,</w:t>
      </w:r>
      <w:r w:rsidRPr="00567F29">
        <w:rPr>
          <w:rFonts w:ascii="Arial" w:hAnsi="Arial" w:cs="Arial"/>
          <w:sz w:val="22"/>
        </w:rPr>
        <w:t xml:space="preserve"> will </w:t>
      </w:r>
      <w:r w:rsidR="00C84C42" w:rsidRPr="00567F29">
        <w:rPr>
          <w:rFonts w:ascii="Arial" w:hAnsi="Arial" w:cs="Arial"/>
          <w:sz w:val="22"/>
        </w:rPr>
        <w:t>provide US$</w:t>
      </w:r>
      <w:r w:rsidR="006D6C60" w:rsidRPr="00567F29">
        <w:rPr>
          <w:rFonts w:ascii="Arial" w:hAnsi="Arial" w:cs="Arial"/>
          <w:sz w:val="22"/>
        </w:rPr>
        <w:t>25.02</w:t>
      </w:r>
      <w:r w:rsidR="00C84C42" w:rsidRPr="00567F29">
        <w:rPr>
          <w:rFonts w:ascii="Arial" w:hAnsi="Arial" w:cs="Arial"/>
          <w:sz w:val="22"/>
        </w:rPr>
        <w:t xml:space="preserve"> million to </w:t>
      </w:r>
      <w:r w:rsidRPr="00567F29">
        <w:rPr>
          <w:rFonts w:ascii="Arial" w:hAnsi="Arial" w:cs="Arial"/>
          <w:sz w:val="22"/>
        </w:rPr>
        <w:t xml:space="preserve">finance activities to upgrade </w:t>
      </w:r>
      <w:r w:rsidR="00C84C42" w:rsidRPr="00567F29">
        <w:rPr>
          <w:rFonts w:ascii="Arial" w:hAnsi="Arial" w:cs="Arial"/>
          <w:sz w:val="22"/>
        </w:rPr>
        <w:t xml:space="preserve">Barbados’ </w:t>
      </w:r>
      <w:r w:rsidRPr="00567F29">
        <w:rPr>
          <w:rFonts w:ascii="Arial" w:hAnsi="Arial" w:cs="Arial"/>
          <w:sz w:val="22"/>
        </w:rPr>
        <w:t>existing NG infrastructure under two sub-components:</w:t>
      </w:r>
    </w:p>
    <w:p w:rsidR="00913256" w:rsidRPr="00567F29" w:rsidRDefault="00913256" w:rsidP="005F7D46">
      <w:pPr>
        <w:pStyle w:val="ListParagraph"/>
        <w:numPr>
          <w:ilvl w:val="0"/>
          <w:numId w:val="14"/>
        </w:numPr>
        <w:jc w:val="both"/>
        <w:rPr>
          <w:rFonts w:ascii="Arial" w:hAnsi="Arial" w:cs="Arial"/>
          <w:sz w:val="22"/>
        </w:rPr>
      </w:pPr>
      <w:r w:rsidRPr="00567F29">
        <w:rPr>
          <w:rFonts w:ascii="Arial" w:hAnsi="Arial" w:cs="Arial"/>
          <w:b/>
          <w:sz w:val="22"/>
        </w:rPr>
        <w:t xml:space="preserve">Sub-component </w:t>
      </w:r>
      <w:r w:rsidR="006D6C60" w:rsidRPr="00567F29">
        <w:rPr>
          <w:rFonts w:ascii="Arial" w:hAnsi="Arial" w:cs="Arial"/>
          <w:b/>
          <w:sz w:val="22"/>
        </w:rPr>
        <w:t>1</w:t>
      </w:r>
      <w:r w:rsidRPr="00567F29">
        <w:rPr>
          <w:rFonts w:ascii="Arial" w:hAnsi="Arial" w:cs="Arial"/>
          <w:b/>
          <w:sz w:val="22"/>
        </w:rPr>
        <w:t>.1 – NG Infrastructure upgrade</w:t>
      </w:r>
      <w:r w:rsidRPr="00567F29">
        <w:rPr>
          <w:rFonts w:ascii="Arial" w:hAnsi="Arial" w:cs="Arial"/>
          <w:sz w:val="22"/>
        </w:rPr>
        <w:t>: Infrastructure upgrades may include:</w:t>
      </w:r>
    </w:p>
    <w:p w:rsidR="00913256" w:rsidRPr="00567F29" w:rsidRDefault="00913256" w:rsidP="005F7D46">
      <w:pPr>
        <w:pStyle w:val="ListParagraph"/>
        <w:numPr>
          <w:ilvl w:val="1"/>
          <w:numId w:val="14"/>
        </w:numPr>
        <w:jc w:val="both"/>
        <w:rPr>
          <w:rFonts w:ascii="Arial" w:hAnsi="Arial" w:cs="Arial"/>
          <w:sz w:val="22"/>
        </w:rPr>
      </w:pPr>
      <w:r w:rsidRPr="00567F29">
        <w:rPr>
          <w:rFonts w:ascii="Arial" w:hAnsi="Arial" w:cs="Arial"/>
          <w:sz w:val="22"/>
        </w:rPr>
        <w:t>developing a geographic information system (GIS) of the NPC-BNOCL network;</w:t>
      </w:r>
    </w:p>
    <w:p w:rsidR="00913256" w:rsidRPr="00567F29" w:rsidRDefault="00913256" w:rsidP="005F7D46">
      <w:pPr>
        <w:pStyle w:val="ListParagraph"/>
        <w:numPr>
          <w:ilvl w:val="1"/>
          <w:numId w:val="14"/>
        </w:numPr>
        <w:jc w:val="both"/>
        <w:rPr>
          <w:rFonts w:ascii="Arial" w:hAnsi="Arial" w:cs="Arial"/>
          <w:sz w:val="22"/>
        </w:rPr>
      </w:pPr>
      <w:r w:rsidRPr="00567F29">
        <w:rPr>
          <w:rFonts w:ascii="Arial" w:hAnsi="Arial" w:cs="Arial"/>
          <w:sz w:val="22"/>
        </w:rPr>
        <w:t>updating the Supervisory Control and Data Acquisition (SCADA) of NG processing and distribution;</w:t>
      </w:r>
    </w:p>
    <w:p w:rsidR="00913256" w:rsidRPr="00567F29" w:rsidRDefault="00913256" w:rsidP="005F7D46">
      <w:pPr>
        <w:pStyle w:val="ListParagraph"/>
        <w:numPr>
          <w:ilvl w:val="1"/>
          <w:numId w:val="14"/>
        </w:numPr>
        <w:jc w:val="both"/>
        <w:rPr>
          <w:rFonts w:ascii="Arial" w:hAnsi="Arial" w:cs="Arial"/>
          <w:sz w:val="22"/>
        </w:rPr>
      </w:pPr>
      <w:r w:rsidRPr="00567F29">
        <w:rPr>
          <w:rFonts w:ascii="Arial" w:hAnsi="Arial" w:cs="Arial"/>
          <w:sz w:val="22"/>
        </w:rPr>
        <w:t>replacing and upgrading meters, including automated meter infrastructure;</w:t>
      </w:r>
    </w:p>
    <w:p w:rsidR="00913256" w:rsidRPr="00567F29" w:rsidRDefault="00913256" w:rsidP="005F7D46">
      <w:pPr>
        <w:pStyle w:val="ListParagraph"/>
        <w:numPr>
          <w:ilvl w:val="1"/>
          <w:numId w:val="14"/>
        </w:numPr>
        <w:jc w:val="both"/>
        <w:rPr>
          <w:rFonts w:ascii="Arial" w:hAnsi="Arial" w:cs="Arial"/>
          <w:sz w:val="22"/>
        </w:rPr>
      </w:pPr>
      <w:r w:rsidRPr="00567F29">
        <w:rPr>
          <w:rFonts w:ascii="Arial" w:hAnsi="Arial" w:cs="Arial"/>
          <w:sz w:val="22"/>
        </w:rPr>
        <w:t>modernizing the NPC-BNOCL transportation fleet; and,</w:t>
      </w:r>
    </w:p>
    <w:p w:rsidR="00913256" w:rsidRPr="00567F29" w:rsidRDefault="00913256" w:rsidP="005F7D46">
      <w:pPr>
        <w:pStyle w:val="ListParagraph"/>
        <w:numPr>
          <w:ilvl w:val="1"/>
          <w:numId w:val="14"/>
        </w:numPr>
        <w:jc w:val="both"/>
        <w:rPr>
          <w:rFonts w:ascii="Arial" w:hAnsi="Arial" w:cs="Arial"/>
          <w:sz w:val="22"/>
        </w:rPr>
      </w:pPr>
      <w:proofErr w:type="gramStart"/>
      <w:r w:rsidRPr="00567F29">
        <w:rPr>
          <w:rFonts w:ascii="Arial" w:hAnsi="Arial" w:cs="Arial"/>
          <w:sz w:val="22"/>
        </w:rPr>
        <w:t>replacing</w:t>
      </w:r>
      <w:proofErr w:type="gramEnd"/>
      <w:r w:rsidRPr="00567F29">
        <w:rPr>
          <w:rFonts w:ascii="Arial" w:hAnsi="Arial" w:cs="Arial"/>
          <w:sz w:val="22"/>
        </w:rPr>
        <w:t>, realigning and installing NG pipelines for transmission and distribution and upgrading distribution stations.</w:t>
      </w:r>
    </w:p>
    <w:p w:rsidR="00913256" w:rsidRPr="00567F29" w:rsidRDefault="00C84C42" w:rsidP="005F7D46">
      <w:pPr>
        <w:pStyle w:val="ListParagraph"/>
        <w:numPr>
          <w:ilvl w:val="0"/>
          <w:numId w:val="14"/>
        </w:numPr>
        <w:jc w:val="both"/>
        <w:rPr>
          <w:rFonts w:ascii="Arial" w:hAnsi="Arial" w:cs="Arial"/>
          <w:sz w:val="22"/>
        </w:rPr>
      </w:pPr>
      <w:r w:rsidRPr="00567F29">
        <w:rPr>
          <w:rFonts w:ascii="Arial" w:hAnsi="Arial" w:cs="Arial"/>
          <w:b/>
          <w:sz w:val="22"/>
        </w:rPr>
        <w:t xml:space="preserve">Sub-component </w:t>
      </w:r>
      <w:r w:rsidR="006D6C60" w:rsidRPr="00567F29">
        <w:rPr>
          <w:rFonts w:ascii="Arial" w:hAnsi="Arial" w:cs="Arial"/>
          <w:b/>
          <w:sz w:val="22"/>
        </w:rPr>
        <w:t>1</w:t>
      </w:r>
      <w:r w:rsidR="00913256" w:rsidRPr="00567F29">
        <w:rPr>
          <w:rFonts w:ascii="Arial" w:hAnsi="Arial" w:cs="Arial"/>
          <w:b/>
          <w:sz w:val="22"/>
        </w:rPr>
        <w:t>.2 – Expansion of Micro LNG Plant at Woodbourne</w:t>
      </w:r>
      <w:r w:rsidR="00913256" w:rsidRPr="00567F29">
        <w:rPr>
          <w:rFonts w:ascii="Arial" w:hAnsi="Arial" w:cs="Arial"/>
          <w:sz w:val="22"/>
        </w:rPr>
        <w:t>, including:</w:t>
      </w:r>
    </w:p>
    <w:p w:rsidR="00913256" w:rsidRPr="00567F29" w:rsidRDefault="00913256" w:rsidP="005F7D46">
      <w:pPr>
        <w:pStyle w:val="ListParagraph"/>
        <w:numPr>
          <w:ilvl w:val="1"/>
          <w:numId w:val="14"/>
        </w:numPr>
        <w:jc w:val="both"/>
        <w:rPr>
          <w:rFonts w:ascii="Arial" w:hAnsi="Arial" w:cs="Arial"/>
          <w:sz w:val="22"/>
        </w:rPr>
      </w:pPr>
      <w:r w:rsidRPr="00567F29">
        <w:rPr>
          <w:rFonts w:ascii="Arial" w:hAnsi="Arial" w:cs="Arial"/>
          <w:sz w:val="22"/>
        </w:rPr>
        <w:t xml:space="preserve">An LNG unloading facility for </w:t>
      </w:r>
      <w:proofErr w:type="spellStart"/>
      <w:r w:rsidRPr="00567F29">
        <w:rPr>
          <w:rFonts w:ascii="Arial" w:hAnsi="Arial" w:cs="Arial"/>
          <w:sz w:val="22"/>
        </w:rPr>
        <w:t>iso</w:t>
      </w:r>
      <w:proofErr w:type="spellEnd"/>
      <w:r w:rsidRPr="00567F29">
        <w:rPr>
          <w:rFonts w:ascii="Arial" w:hAnsi="Arial" w:cs="Arial"/>
          <w:sz w:val="22"/>
        </w:rPr>
        <w:t xml:space="preserve">-container reception (up to 2 </w:t>
      </w:r>
      <w:proofErr w:type="spellStart"/>
      <w:r w:rsidRPr="00567F29">
        <w:rPr>
          <w:rFonts w:ascii="Arial" w:hAnsi="Arial" w:cs="Arial"/>
          <w:sz w:val="22"/>
        </w:rPr>
        <w:t>MMcfd</w:t>
      </w:r>
      <w:proofErr w:type="spellEnd"/>
      <w:r w:rsidRPr="00567F29">
        <w:rPr>
          <w:rFonts w:ascii="Arial" w:hAnsi="Arial" w:cs="Arial"/>
          <w:sz w:val="22"/>
        </w:rPr>
        <w:t>);</w:t>
      </w:r>
    </w:p>
    <w:p w:rsidR="00913256" w:rsidRPr="00567F29" w:rsidRDefault="00913256" w:rsidP="005F7D46">
      <w:pPr>
        <w:pStyle w:val="ListParagraph"/>
        <w:numPr>
          <w:ilvl w:val="1"/>
          <w:numId w:val="14"/>
        </w:numPr>
        <w:jc w:val="both"/>
        <w:rPr>
          <w:rFonts w:ascii="Arial" w:hAnsi="Arial" w:cs="Arial"/>
          <w:sz w:val="22"/>
        </w:rPr>
      </w:pPr>
      <w:r w:rsidRPr="00567F29">
        <w:rPr>
          <w:rFonts w:ascii="Arial" w:hAnsi="Arial" w:cs="Arial"/>
          <w:sz w:val="22"/>
        </w:rPr>
        <w:t>A cryogenic LNG storage tank and related equipment;</w:t>
      </w:r>
    </w:p>
    <w:p w:rsidR="00913256" w:rsidRPr="00567F29" w:rsidRDefault="00913256" w:rsidP="005F7D46">
      <w:pPr>
        <w:pStyle w:val="ListParagraph"/>
        <w:numPr>
          <w:ilvl w:val="1"/>
          <w:numId w:val="14"/>
        </w:numPr>
        <w:jc w:val="both"/>
        <w:rPr>
          <w:rFonts w:ascii="Arial" w:hAnsi="Arial" w:cs="Arial"/>
          <w:sz w:val="22"/>
        </w:rPr>
      </w:pPr>
      <w:r w:rsidRPr="00567F29">
        <w:rPr>
          <w:rFonts w:ascii="Arial" w:hAnsi="Arial" w:cs="Arial"/>
          <w:sz w:val="22"/>
        </w:rPr>
        <w:t>emergency equipment; and</w:t>
      </w:r>
    </w:p>
    <w:p w:rsidR="00913256" w:rsidRPr="00567F29" w:rsidRDefault="00913256" w:rsidP="005F7D46">
      <w:pPr>
        <w:pStyle w:val="ListParagraph"/>
        <w:numPr>
          <w:ilvl w:val="1"/>
          <w:numId w:val="14"/>
        </w:numPr>
        <w:jc w:val="both"/>
        <w:rPr>
          <w:rFonts w:ascii="Arial" w:hAnsi="Arial" w:cs="Arial"/>
          <w:sz w:val="22"/>
        </w:rPr>
      </w:pPr>
      <w:proofErr w:type="gramStart"/>
      <w:r w:rsidRPr="00567F29">
        <w:rPr>
          <w:rFonts w:ascii="Arial" w:hAnsi="Arial" w:cs="Arial"/>
          <w:sz w:val="22"/>
        </w:rPr>
        <w:t>a</w:t>
      </w:r>
      <w:proofErr w:type="gramEnd"/>
      <w:r w:rsidRPr="00567F29">
        <w:rPr>
          <w:rFonts w:ascii="Arial" w:hAnsi="Arial" w:cs="Arial"/>
          <w:sz w:val="22"/>
        </w:rPr>
        <w:t xml:space="preserve"> gas buffering system.</w:t>
      </w:r>
    </w:p>
    <w:p w:rsidR="00913256" w:rsidRPr="00567F29" w:rsidRDefault="00913256" w:rsidP="005F7D46">
      <w:pPr>
        <w:jc w:val="both"/>
        <w:rPr>
          <w:rFonts w:ascii="Arial" w:hAnsi="Arial" w:cs="Arial"/>
          <w:sz w:val="22"/>
        </w:rPr>
      </w:pPr>
      <w:r w:rsidRPr="00567F29">
        <w:rPr>
          <w:rFonts w:ascii="Arial" w:hAnsi="Arial" w:cs="Arial"/>
          <w:sz w:val="22"/>
        </w:rPr>
        <w:t xml:space="preserve">Component </w:t>
      </w:r>
      <w:r w:rsidR="006D6C60" w:rsidRPr="00567F29">
        <w:rPr>
          <w:rFonts w:ascii="Arial" w:hAnsi="Arial" w:cs="Arial"/>
          <w:sz w:val="22"/>
        </w:rPr>
        <w:t>2</w:t>
      </w:r>
      <w:r w:rsidRPr="00567F29">
        <w:rPr>
          <w:rFonts w:ascii="Arial" w:hAnsi="Arial" w:cs="Arial"/>
          <w:sz w:val="22"/>
        </w:rPr>
        <w:t xml:space="preserve"> of the Project</w:t>
      </w:r>
      <w:r w:rsidR="00FF2A71" w:rsidRPr="00567F29">
        <w:rPr>
          <w:rFonts w:ascii="Arial" w:hAnsi="Arial" w:cs="Arial"/>
          <w:sz w:val="22"/>
        </w:rPr>
        <w:t>, Smart Energy Solutions,</w:t>
      </w:r>
      <w:r w:rsidRPr="00567F29">
        <w:rPr>
          <w:rFonts w:ascii="Arial" w:hAnsi="Arial" w:cs="Arial"/>
          <w:sz w:val="22"/>
        </w:rPr>
        <w:t xml:space="preserve"> will </w:t>
      </w:r>
      <w:r w:rsidR="00C84C42" w:rsidRPr="00567F29">
        <w:rPr>
          <w:rFonts w:ascii="Arial" w:hAnsi="Arial" w:cs="Arial"/>
          <w:sz w:val="22"/>
        </w:rPr>
        <w:t>provide US$</w:t>
      </w:r>
      <w:r w:rsidR="006D6C60" w:rsidRPr="00567F29">
        <w:rPr>
          <w:rFonts w:ascii="Arial" w:hAnsi="Arial" w:cs="Arial"/>
          <w:sz w:val="22"/>
        </w:rPr>
        <w:t>3.35</w:t>
      </w:r>
      <w:r w:rsidR="00C84C42" w:rsidRPr="00567F29">
        <w:rPr>
          <w:rFonts w:ascii="Arial" w:hAnsi="Arial" w:cs="Arial"/>
          <w:sz w:val="22"/>
        </w:rPr>
        <w:t xml:space="preserve"> million to </w:t>
      </w:r>
      <w:r w:rsidRPr="00567F29">
        <w:rPr>
          <w:rFonts w:ascii="Arial" w:hAnsi="Arial" w:cs="Arial"/>
          <w:sz w:val="22"/>
        </w:rPr>
        <w:t xml:space="preserve">finance solutions to increase energy efficiency (EE) and the use of renewable energy (RE) in NPC-BNOCL facilities including: </w:t>
      </w:r>
    </w:p>
    <w:p w:rsidR="00913256" w:rsidRPr="00567F29" w:rsidRDefault="00913256" w:rsidP="005F7D46">
      <w:pPr>
        <w:pStyle w:val="ListParagraph"/>
        <w:numPr>
          <w:ilvl w:val="0"/>
          <w:numId w:val="17"/>
        </w:numPr>
        <w:jc w:val="both"/>
        <w:rPr>
          <w:rFonts w:ascii="Arial" w:hAnsi="Arial" w:cs="Arial"/>
          <w:sz w:val="22"/>
        </w:rPr>
      </w:pPr>
      <w:r w:rsidRPr="00567F29">
        <w:rPr>
          <w:rFonts w:ascii="Arial" w:hAnsi="Arial" w:cs="Arial"/>
          <w:sz w:val="22"/>
        </w:rPr>
        <w:t>installing PV (300 kW) and smart systems in NPC-BNOCL facilities;</w:t>
      </w:r>
    </w:p>
    <w:p w:rsidR="00913256" w:rsidRPr="00567F29" w:rsidRDefault="00913256" w:rsidP="005F7D46">
      <w:pPr>
        <w:pStyle w:val="ListParagraph"/>
        <w:numPr>
          <w:ilvl w:val="0"/>
          <w:numId w:val="17"/>
        </w:numPr>
        <w:jc w:val="both"/>
        <w:rPr>
          <w:rFonts w:ascii="Arial" w:hAnsi="Arial" w:cs="Arial"/>
          <w:sz w:val="22"/>
        </w:rPr>
      </w:pPr>
      <w:r w:rsidRPr="00567F29">
        <w:rPr>
          <w:rFonts w:ascii="Arial" w:hAnsi="Arial" w:cs="Arial"/>
          <w:sz w:val="22"/>
        </w:rPr>
        <w:t>converting compressors from NG to solar PV plus plant retrofits;</w:t>
      </w:r>
    </w:p>
    <w:p w:rsidR="00913256" w:rsidRPr="00567F29" w:rsidRDefault="00913256" w:rsidP="005F7D46">
      <w:pPr>
        <w:pStyle w:val="ListParagraph"/>
        <w:numPr>
          <w:ilvl w:val="0"/>
          <w:numId w:val="17"/>
        </w:numPr>
        <w:jc w:val="both"/>
        <w:rPr>
          <w:rFonts w:ascii="Arial" w:hAnsi="Arial" w:cs="Arial"/>
          <w:sz w:val="22"/>
        </w:rPr>
      </w:pPr>
      <w:r w:rsidRPr="00567F29">
        <w:rPr>
          <w:rFonts w:ascii="Arial" w:hAnsi="Arial" w:cs="Arial"/>
          <w:sz w:val="22"/>
        </w:rPr>
        <w:t>installing a 850kW wind turbine, and</w:t>
      </w:r>
    </w:p>
    <w:p w:rsidR="00913256" w:rsidRPr="00567F29" w:rsidRDefault="00913256" w:rsidP="005F7D46">
      <w:pPr>
        <w:pStyle w:val="ListParagraph"/>
        <w:numPr>
          <w:ilvl w:val="0"/>
          <w:numId w:val="17"/>
        </w:numPr>
        <w:jc w:val="both"/>
        <w:rPr>
          <w:rFonts w:ascii="Arial" w:hAnsi="Arial" w:cs="Arial"/>
          <w:sz w:val="22"/>
        </w:rPr>
      </w:pPr>
      <w:proofErr w:type="gramStart"/>
      <w:r w:rsidRPr="00567F29">
        <w:rPr>
          <w:rFonts w:ascii="Arial" w:hAnsi="Arial" w:cs="Arial"/>
          <w:sz w:val="22"/>
        </w:rPr>
        <w:t>installing</w:t>
      </w:r>
      <w:proofErr w:type="gramEnd"/>
      <w:r w:rsidRPr="00567F29">
        <w:rPr>
          <w:rFonts w:ascii="Arial" w:hAnsi="Arial" w:cs="Arial"/>
          <w:sz w:val="22"/>
        </w:rPr>
        <w:t xml:space="preserve"> EE and/or RE equipment in buildings.</w:t>
      </w:r>
    </w:p>
    <w:p w:rsidR="006D6C60" w:rsidRPr="00567F29" w:rsidRDefault="006D6C60" w:rsidP="005F7D46">
      <w:pPr>
        <w:jc w:val="both"/>
        <w:rPr>
          <w:rFonts w:ascii="Arial" w:hAnsi="Arial" w:cs="Arial"/>
          <w:sz w:val="22"/>
        </w:rPr>
      </w:pPr>
      <w:r w:rsidRPr="00567F29">
        <w:rPr>
          <w:rFonts w:ascii="Arial" w:hAnsi="Arial" w:cs="Arial"/>
          <w:sz w:val="22"/>
        </w:rPr>
        <w:t xml:space="preserve">Component 3 of the Project, Technical Advisory Services, will provide US$4.05 million to finance consultancy services through two sub-components: </w:t>
      </w:r>
    </w:p>
    <w:p w:rsidR="006D6C60" w:rsidRPr="00567F29" w:rsidRDefault="006D6C60" w:rsidP="001B6CDF">
      <w:pPr>
        <w:pStyle w:val="ListParagraph"/>
        <w:numPr>
          <w:ilvl w:val="0"/>
          <w:numId w:val="13"/>
        </w:numPr>
        <w:jc w:val="both"/>
        <w:rPr>
          <w:rFonts w:ascii="Arial" w:hAnsi="Arial" w:cs="Arial"/>
          <w:sz w:val="22"/>
        </w:rPr>
      </w:pPr>
      <w:r w:rsidRPr="00567F29">
        <w:rPr>
          <w:rFonts w:ascii="Arial" w:hAnsi="Arial" w:cs="Arial"/>
          <w:b/>
          <w:sz w:val="22"/>
        </w:rPr>
        <w:t xml:space="preserve">Sub-component 3.1 – </w:t>
      </w:r>
      <w:r w:rsidR="008B325D">
        <w:rPr>
          <w:rFonts w:ascii="Arial" w:hAnsi="Arial" w:cs="Arial"/>
          <w:b/>
          <w:sz w:val="22"/>
        </w:rPr>
        <w:t>Institutional Strengthening</w:t>
      </w:r>
      <w:r w:rsidRPr="00567F29">
        <w:rPr>
          <w:rFonts w:ascii="Arial" w:hAnsi="Arial" w:cs="Arial"/>
          <w:sz w:val="22"/>
        </w:rPr>
        <w:t xml:space="preserve">: </w:t>
      </w:r>
      <w:r w:rsidR="00947DF6" w:rsidRPr="00947DF6">
        <w:rPr>
          <w:rFonts w:ascii="Arial" w:hAnsi="Arial" w:cs="Arial"/>
          <w:sz w:val="22"/>
        </w:rPr>
        <w:t>consultancy services: (</w:t>
      </w:r>
      <w:proofErr w:type="spellStart"/>
      <w:r w:rsidR="00947DF6" w:rsidRPr="00947DF6">
        <w:rPr>
          <w:rFonts w:ascii="Arial" w:hAnsi="Arial" w:cs="Arial"/>
          <w:sz w:val="22"/>
        </w:rPr>
        <w:t>i</w:t>
      </w:r>
      <w:proofErr w:type="spellEnd"/>
      <w:r w:rsidR="00947DF6" w:rsidRPr="00947DF6">
        <w:rPr>
          <w:rFonts w:ascii="Arial" w:hAnsi="Arial" w:cs="Arial"/>
          <w:sz w:val="22"/>
        </w:rPr>
        <w:t>) to provide training for NPC/BNOCL in areas including: (a) negotiating and entering into PPP contracts; (b) large infrastructure project design, execution, and management; and (c) quantification of gross and net GHG emissions of projects; and (ii) to develop studies  for improving: (a) corporate governance, environmental, legal and regulatory functions; (b) quality management systems ; and (c) information technology applications to monitor and control the NG supply chain.</w:t>
      </w:r>
      <w:r w:rsidRPr="00567F29">
        <w:rPr>
          <w:rFonts w:ascii="Arial" w:hAnsi="Arial" w:cs="Arial"/>
          <w:sz w:val="22"/>
        </w:rPr>
        <w:t xml:space="preserve"> </w:t>
      </w:r>
    </w:p>
    <w:p w:rsidR="006D6C60" w:rsidRPr="00567F29" w:rsidRDefault="006D6C60" w:rsidP="005F7D46">
      <w:pPr>
        <w:pStyle w:val="ListParagraph"/>
        <w:numPr>
          <w:ilvl w:val="0"/>
          <w:numId w:val="13"/>
        </w:numPr>
        <w:jc w:val="both"/>
        <w:rPr>
          <w:rFonts w:ascii="Arial" w:hAnsi="Arial" w:cs="Arial"/>
          <w:sz w:val="22"/>
        </w:rPr>
      </w:pPr>
      <w:r w:rsidRPr="00567F29">
        <w:rPr>
          <w:rFonts w:ascii="Arial" w:hAnsi="Arial" w:cs="Arial"/>
          <w:b/>
          <w:sz w:val="22"/>
        </w:rPr>
        <w:t xml:space="preserve">Sub-component 3.2 – Public-Private Partnership (PPP) for </w:t>
      </w:r>
      <w:r w:rsidR="005F7D46" w:rsidRPr="00567F29">
        <w:rPr>
          <w:rFonts w:ascii="Arial" w:hAnsi="Arial" w:cs="Arial"/>
          <w:b/>
          <w:sz w:val="22"/>
        </w:rPr>
        <w:t xml:space="preserve">the construction of a </w:t>
      </w:r>
      <w:r w:rsidRPr="00567F29">
        <w:rPr>
          <w:rFonts w:ascii="Arial" w:hAnsi="Arial" w:cs="Arial"/>
          <w:b/>
          <w:sz w:val="22"/>
        </w:rPr>
        <w:t>Very Small (VS) LNG Plant</w:t>
      </w:r>
      <w:r w:rsidRPr="00567F29">
        <w:rPr>
          <w:rFonts w:ascii="Arial" w:hAnsi="Arial" w:cs="Arial"/>
          <w:sz w:val="22"/>
        </w:rPr>
        <w:t xml:space="preserve">: Consultancy services will facilitate the establishment of a PPP </w:t>
      </w:r>
      <w:r w:rsidR="005F7D46" w:rsidRPr="00567F29">
        <w:rPr>
          <w:rFonts w:ascii="Arial" w:hAnsi="Arial" w:cs="Arial"/>
          <w:sz w:val="22"/>
        </w:rPr>
        <w:t xml:space="preserve">for the construction of facilities </w:t>
      </w:r>
      <w:r w:rsidRPr="00567F29">
        <w:rPr>
          <w:rFonts w:ascii="Arial" w:hAnsi="Arial" w:cs="Arial"/>
          <w:sz w:val="22"/>
        </w:rPr>
        <w:t>to import LNG for power generation, with support from IIC, including:</w:t>
      </w:r>
    </w:p>
    <w:p w:rsidR="006D6C60" w:rsidRPr="00567F29" w:rsidRDefault="006D6C60" w:rsidP="005F7D46">
      <w:pPr>
        <w:pStyle w:val="ListParagraph"/>
        <w:numPr>
          <w:ilvl w:val="1"/>
          <w:numId w:val="13"/>
        </w:numPr>
        <w:jc w:val="both"/>
        <w:rPr>
          <w:rFonts w:ascii="Arial" w:hAnsi="Arial" w:cs="Arial"/>
          <w:sz w:val="22"/>
        </w:rPr>
      </w:pPr>
      <w:r w:rsidRPr="00567F29">
        <w:rPr>
          <w:rFonts w:ascii="Arial" w:hAnsi="Arial" w:cs="Arial"/>
          <w:sz w:val="22"/>
        </w:rPr>
        <w:t>support to procurement and negotiation processes for the selection of a private sector partner and the structuring of a PPP to build and operate the VS LNG Plant;</w:t>
      </w:r>
    </w:p>
    <w:p w:rsidR="006D6C60" w:rsidRPr="00567F29" w:rsidRDefault="006D6C60" w:rsidP="005F7D46">
      <w:pPr>
        <w:pStyle w:val="ListParagraph"/>
        <w:numPr>
          <w:ilvl w:val="1"/>
          <w:numId w:val="13"/>
        </w:numPr>
        <w:jc w:val="both"/>
        <w:rPr>
          <w:rFonts w:ascii="Arial" w:hAnsi="Arial" w:cs="Arial"/>
          <w:sz w:val="22"/>
        </w:rPr>
      </w:pPr>
      <w:r w:rsidRPr="00567F29">
        <w:rPr>
          <w:rFonts w:ascii="Arial" w:hAnsi="Arial" w:cs="Arial"/>
          <w:sz w:val="22"/>
        </w:rPr>
        <w:lastRenderedPageBreak/>
        <w:t>support to procurement and negotiation processes to secure at least 18 million cubic feet per day (</w:t>
      </w:r>
      <w:proofErr w:type="spellStart"/>
      <w:r w:rsidRPr="00567F29">
        <w:rPr>
          <w:rFonts w:ascii="Arial" w:hAnsi="Arial" w:cs="Arial"/>
          <w:sz w:val="22"/>
        </w:rPr>
        <w:t>MMcfd</w:t>
      </w:r>
      <w:proofErr w:type="spellEnd"/>
      <w:r w:rsidRPr="00567F29">
        <w:rPr>
          <w:rFonts w:ascii="Arial" w:hAnsi="Arial" w:cs="Arial"/>
          <w:sz w:val="22"/>
        </w:rPr>
        <w:t>) supply of LNG under the PPP scheme; and,</w:t>
      </w:r>
    </w:p>
    <w:p w:rsidR="006D6C60" w:rsidRPr="00567F29" w:rsidRDefault="006D6C60" w:rsidP="005F7D46">
      <w:pPr>
        <w:pStyle w:val="ListParagraph"/>
        <w:numPr>
          <w:ilvl w:val="1"/>
          <w:numId w:val="13"/>
        </w:numPr>
        <w:jc w:val="both"/>
        <w:rPr>
          <w:rFonts w:ascii="Arial" w:hAnsi="Arial" w:cs="Arial"/>
          <w:sz w:val="22"/>
        </w:rPr>
      </w:pPr>
      <w:r w:rsidRPr="00567F29">
        <w:rPr>
          <w:rFonts w:ascii="Arial" w:hAnsi="Arial" w:cs="Arial"/>
          <w:sz w:val="22"/>
        </w:rPr>
        <w:t xml:space="preserve"> </w:t>
      </w:r>
      <w:proofErr w:type="gramStart"/>
      <w:r w:rsidRPr="00567F29">
        <w:rPr>
          <w:rFonts w:ascii="Arial" w:hAnsi="Arial" w:cs="Arial"/>
          <w:sz w:val="22"/>
        </w:rPr>
        <w:t>capacity</w:t>
      </w:r>
      <w:proofErr w:type="gramEnd"/>
      <w:r w:rsidRPr="00567F29">
        <w:rPr>
          <w:rFonts w:ascii="Arial" w:hAnsi="Arial" w:cs="Arial"/>
          <w:sz w:val="22"/>
        </w:rPr>
        <w:t xml:space="preserve"> building for structuring and managing the PPP contract.</w:t>
      </w:r>
    </w:p>
    <w:p w:rsidR="006D6C60" w:rsidRPr="00567F29" w:rsidRDefault="006D6C60" w:rsidP="005F7D46">
      <w:pPr>
        <w:jc w:val="both"/>
        <w:rPr>
          <w:rFonts w:ascii="Arial" w:hAnsi="Arial" w:cs="Arial"/>
          <w:sz w:val="22"/>
        </w:rPr>
      </w:pPr>
      <w:r w:rsidRPr="00567F29">
        <w:rPr>
          <w:rFonts w:ascii="Arial" w:hAnsi="Arial" w:cs="Arial"/>
          <w:sz w:val="22"/>
        </w:rPr>
        <w:t>The cost of the program is estimated to be US$34 million, including t</w:t>
      </w:r>
      <w:r w:rsidR="00CB16FB" w:rsidRPr="00567F29">
        <w:rPr>
          <w:rFonts w:ascii="Arial" w:hAnsi="Arial" w:cs="Arial"/>
          <w:sz w:val="22"/>
        </w:rPr>
        <w:t>he three Components noted above,</w:t>
      </w:r>
      <w:r w:rsidRPr="00567F29">
        <w:rPr>
          <w:rFonts w:ascii="Arial" w:hAnsi="Arial" w:cs="Arial"/>
          <w:sz w:val="22"/>
        </w:rPr>
        <w:t xml:space="preserve"> resources to provide monitoring and evaluation for the program</w:t>
      </w:r>
      <w:r w:rsidR="00CB16FB" w:rsidRPr="00567F29">
        <w:rPr>
          <w:rFonts w:ascii="Arial" w:hAnsi="Arial" w:cs="Arial"/>
          <w:sz w:val="22"/>
        </w:rPr>
        <w:t>,</w:t>
      </w:r>
      <w:r w:rsidRPr="00567F29">
        <w:rPr>
          <w:rFonts w:ascii="Arial" w:hAnsi="Arial" w:cs="Arial"/>
          <w:sz w:val="22"/>
        </w:rPr>
        <w:t xml:space="preserve"> and project management.</w:t>
      </w:r>
    </w:p>
    <w:p w:rsidR="00FA51F1" w:rsidRPr="00567F29" w:rsidRDefault="00C84C42" w:rsidP="005F7D46">
      <w:pPr>
        <w:jc w:val="both"/>
        <w:rPr>
          <w:rFonts w:ascii="Arial" w:hAnsi="Arial" w:cs="Arial"/>
          <w:sz w:val="22"/>
        </w:rPr>
      </w:pPr>
      <w:r w:rsidRPr="00567F29">
        <w:rPr>
          <w:rFonts w:ascii="Arial" w:hAnsi="Arial" w:cs="Arial"/>
          <w:sz w:val="22"/>
        </w:rPr>
        <w:t xml:space="preserve">The Project will be evaluated based on </w:t>
      </w:r>
      <w:r w:rsidR="00CA23FE" w:rsidRPr="00567F29">
        <w:rPr>
          <w:rFonts w:ascii="Arial" w:hAnsi="Arial" w:cs="Arial"/>
          <w:sz w:val="22"/>
        </w:rPr>
        <w:t xml:space="preserve">whether the actions that are supported by the Project </w:t>
      </w:r>
      <w:r w:rsidRPr="00567F29">
        <w:rPr>
          <w:rFonts w:ascii="Arial" w:hAnsi="Arial" w:cs="Arial"/>
          <w:sz w:val="22"/>
        </w:rPr>
        <w:t>(</w:t>
      </w:r>
      <w:proofErr w:type="spellStart"/>
      <w:r w:rsidRPr="00567F29">
        <w:rPr>
          <w:rFonts w:ascii="Arial" w:hAnsi="Arial" w:cs="Arial"/>
          <w:sz w:val="22"/>
        </w:rPr>
        <w:t>i</w:t>
      </w:r>
      <w:proofErr w:type="spellEnd"/>
      <w:r w:rsidRPr="00567F29">
        <w:rPr>
          <w:rFonts w:ascii="Arial" w:hAnsi="Arial" w:cs="Arial"/>
          <w:sz w:val="22"/>
        </w:rPr>
        <w:t xml:space="preserve">) </w:t>
      </w:r>
      <w:r w:rsidR="008E4E7F">
        <w:rPr>
          <w:rFonts w:ascii="Arial" w:hAnsi="Arial" w:cs="Arial"/>
          <w:sz w:val="22"/>
        </w:rPr>
        <w:t>ensure NG service continuity, (ii) increase</w:t>
      </w:r>
      <w:r w:rsidR="008E4E7F" w:rsidRPr="00567F29">
        <w:rPr>
          <w:rFonts w:ascii="Arial" w:hAnsi="Arial" w:cs="Arial"/>
          <w:sz w:val="22"/>
        </w:rPr>
        <w:t xml:space="preserve"> </w:t>
      </w:r>
      <w:r w:rsidR="008E4E7F">
        <w:rPr>
          <w:rFonts w:ascii="Arial" w:hAnsi="Arial" w:cs="Arial"/>
          <w:sz w:val="22"/>
        </w:rPr>
        <w:t xml:space="preserve">the </w:t>
      </w:r>
      <w:r w:rsidR="008E4E7F" w:rsidRPr="00567F29">
        <w:rPr>
          <w:rFonts w:ascii="Arial" w:hAnsi="Arial" w:cs="Arial"/>
          <w:sz w:val="22"/>
        </w:rPr>
        <w:t>number of LNG suppliers to Barbados</w:t>
      </w:r>
      <w:r w:rsidR="008E4E7F">
        <w:rPr>
          <w:rFonts w:ascii="Arial" w:hAnsi="Arial" w:cs="Arial"/>
          <w:sz w:val="22"/>
        </w:rPr>
        <w:t xml:space="preserve"> to enhance energy security, (iii) </w:t>
      </w:r>
      <w:r w:rsidR="008E4E7F" w:rsidRPr="00567F29">
        <w:rPr>
          <w:rFonts w:ascii="Arial" w:hAnsi="Arial" w:cs="Arial"/>
          <w:sz w:val="22"/>
        </w:rPr>
        <w:t xml:space="preserve">reduced </w:t>
      </w:r>
      <w:r w:rsidR="008E4E7F">
        <w:rPr>
          <w:rFonts w:ascii="Arial" w:hAnsi="Arial" w:cs="Arial"/>
          <w:sz w:val="22"/>
        </w:rPr>
        <w:t>CO2</w:t>
      </w:r>
      <w:r w:rsidR="008E4E7F" w:rsidRPr="00567F29">
        <w:rPr>
          <w:rFonts w:ascii="Arial" w:hAnsi="Arial" w:cs="Arial"/>
          <w:sz w:val="22"/>
        </w:rPr>
        <w:t xml:space="preserve"> emissions from </w:t>
      </w:r>
      <w:r w:rsidR="001C3494">
        <w:rPr>
          <w:rFonts w:ascii="Arial" w:hAnsi="Arial" w:cs="Arial"/>
          <w:sz w:val="22"/>
        </w:rPr>
        <w:t xml:space="preserve">NPC/BNOCL operational and administrative facilities, (iv) </w:t>
      </w:r>
      <w:r w:rsidR="00CA23FE" w:rsidRPr="00567F29">
        <w:rPr>
          <w:rFonts w:ascii="Arial" w:hAnsi="Arial" w:cs="Arial"/>
          <w:sz w:val="22"/>
        </w:rPr>
        <w:t xml:space="preserve">increase operational efficiency in NG transmission and distribution, </w:t>
      </w:r>
      <w:r w:rsidR="001C3494">
        <w:rPr>
          <w:rFonts w:ascii="Arial" w:hAnsi="Arial" w:cs="Arial"/>
          <w:sz w:val="22"/>
        </w:rPr>
        <w:t xml:space="preserve">and, </w:t>
      </w:r>
      <w:r w:rsidR="00CA23FE" w:rsidRPr="00567F29">
        <w:rPr>
          <w:rFonts w:ascii="Arial" w:hAnsi="Arial" w:cs="Arial"/>
          <w:sz w:val="22"/>
        </w:rPr>
        <w:t>(</w:t>
      </w:r>
      <w:r w:rsidR="001C3494">
        <w:rPr>
          <w:rFonts w:ascii="Arial" w:hAnsi="Arial" w:cs="Arial"/>
          <w:sz w:val="22"/>
        </w:rPr>
        <w:t>v</w:t>
      </w:r>
      <w:r w:rsidR="00CA23FE" w:rsidRPr="00567F29">
        <w:rPr>
          <w:rFonts w:ascii="Arial" w:hAnsi="Arial" w:cs="Arial"/>
          <w:sz w:val="22"/>
        </w:rPr>
        <w:t xml:space="preserve">) </w:t>
      </w:r>
      <w:r w:rsidR="001C3494">
        <w:rPr>
          <w:rFonts w:ascii="Arial" w:hAnsi="Arial" w:cs="Arial"/>
          <w:sz w:val="22"/>
        </w:rPr>
        <w:t xml:space="preserve">increase </w:t>
      </w:r>
      <w:r w:rsidR="00CA23FE" w:rsidRPr="00567F29">
        <w:rPr>
          <w:rFonts w:ascii="Arial" w:hAnsi="Arial" w:cs="Arial"/>
          <w:sz w:val="22"/>
        </w:rPr>
        <w:t>private sector part</w:t>
      </w:r>
      <w:r w:rsidR="001C3494">
        <w:rPr>
          <w:rFonts w:ascii="Arial" w:hAnsi="Arial" w:cs="Arial"/>
          <w:sz w:val="22"/>
        </w:rPr>
        <w:t xml:space="preserve">icipation to develop </w:t>
      </w:r>
      <w:r w:rsidR="00CA23FE" w:rsidRPr="00567F29">
        <w:rPr>
          <w:rFonts w:ascii="Arial" w:hAnsi="Arial" w:cs="Arial"/>
          <w:sz w:val="22"/>
        </w:rPr>
        <w:t>a</w:t>
      </w:r>
      <w:r w:rsidR="001C3494">
        <w:rPr>
          <w:rFonts w:ascii="Arial" w:hAnsi="Arial" w:cs="Arial"/>
          <w:sz w:val="22"/>
        </w:rPr>
        <w:t>n</w:t>
      </w:r>
      <w:r w:rsidR="00CA23FE" w:rsidRPr="00567F29">
        <w:rPr>
          <w:rFonts w:ascii="Arial" w:hAnsi="Arial" w:cs="Arial"/>
          <w:sz w:val="22"/>
        </w:rPr>
        <w:t xml:space="preserve"> LNG project</w:t>
      </w:r>
      <w:r w:rsidR="001C3494">
        <w:rPr>
          <w:rFonts w:ascii="Arial" w:hAnsi="Arial" w:cs="Arial"/>
          <w:sz w:val="22"/>
        </w:rPr>
        <w:t xml:space="preserve">. </w:t>
      </w:r>
      <w:r w:rsidR="00CA23FE" w:rsidRPr="00567F29">
        <w:rPr>
          <w:rFonts w:ascii="Arial" w:hAnsi="Arial" w:cs="Arial"/>
          <w:sz w:val="22"/>
        </w:rPr>
        <w:t>. The Project’s impact will also be evaluated based on its effect on Barbados’ total GHG emissions resulting from power generation and its effect on Barbados’ average national electricity tariff.</w:t>
      </w:r>
    </w:p>
    <w:p w:rsidR="00CA23FE" w:rsidRPr="00567F29" w:rsidRDefault="00CA23FE" w:rsidP="005F7D46">
      <w:pPr>
        <w:jc w:val="both"/>
        <w:rPr>
          <w:rFonts w:ascii="Arial" w:hAnsi="Arial" w:cs="Arial"/>
          <w:sz w:val="22"/>
        </w:rPr>
      </w:pPr>
      <w:r w:rsidRPr="00567F29">
        <w:rPr>
          <w:rFonts w:ascii="Arial" w:hAnsi="Arial" w:cs="Arial"/>
          <w:sz w:val="22"/>
        </w:rPr>
        <w:t xml:space="preserve">In order to monitor and evaluate the expected results of the Project, a before and after assessment methodology will be used, as well as an ex-post cost-benefit analysis. </w:t>
      </w:r>
      <w:r w:rsidR="00BD7826" w:rsidRPr="00567F29">
        <w:rPr>
          <w:rFonts w:ascii="Arial" w:hAnsi="Arial" w:cs="Arial"/>
          <w:sz w:val="22"/>
        </w:rPr>
        <w:t>The</w:t>
      </w:r>
      <w:r w:rsidR="00BD376C" w:rsidRPr="00567F29">
        <w:rPr>
          <w:rFonts w:ascii="Arial" w:hAnsi="Arial" w:cs="Arial"/>
          <w:sz w:val="22"/>
        </w:rPr>
        <w:t xml:space="preserve"> key monitoring tools</w:t>
      </w:r>
      <w:r w:rsidR="00BD7826" w:rsidRPr="00567F29">
        <w:rPr>
          <w:rFonts w:ascii="Arial" w:hAnsi="Arial" w:cs="Arial"/>
          <w:sz w:val="22"/>
        </w:rPr>
        <w:t xml:space="preserve"> for the M&amp;E plan include </w:t>
      </w:r>
      <w:r w:rsidR="00980C34" w:rsidRPr="00567F29">
        <w:rPr>
          <w:rFonts w:ascii="Arial" w:hAnsi="Arial" w:cs="Arial"/>
          <w:sz w:val="22"/>
        </w:rPr>
        <w:t xml:space="preserve">maintaining records during the implementation process, measuring electricity consumption at NPC-BNOCL facilities, and measuring </w:t>
      </w:r>
      <w:r w:rsidRPr="00567F29">
        <w:rPr>
          <w:rFonts w:ascii="Arial" w:hAnsi="Arial" w:cs="Arial"/>
          <w:sz w:val="22"/>
        </w:rPr>
        <w:t>NPC-BNOCL operational costs</w:t>
      </w:r>
      <w:r w:rsidR="00980C34" w:rsidRPr="00567F29">
        <w:rPr>
          <w:rFonts w:ascii="Arial" w:hAnsi="Arial" w:cs="Arial"/>
          <w:sz w:val="22"/>
        </w:rPr>
        <w:t xml:space="preserve"> and </w:t>
      </w:r>
      <w:r w:rsidRPr="00567F29">
        <w:rPr>
          <w:rFonts w:ascii="Arial" w:hAnsi="Arial" w:cs="Arial"/>
          <w:sz w:val="22"/>
        </w:rPr>
        <w:t xml:space="preserve">NG </w:t>
      </w:r>
      <w:r w:rsidR="00980C34" w:rsidRPr="00567F29">
        <w:rPr>
          <w:rFonts w:ascii="Arial" w:hAnsi="Arial" w:cs="Arial"/>
          <w:sz w:val="22"/>
        </w:rPr>
        <w:t>sales to end users</w:t>
      </w:r>
      <w:r w:rsidR="00BD7826" w:rsidRPr="00567F29">
        <w:rPr>
          <w:rFonts w:ascii="Arial" w:hAnsi="Arial" w:cs="Arial"/>
          <w:sz w:val="22"/>
        </w:rPr>
        <w:t xml:space="preserve">. The </w:t>
      </w:r>
      <w:r w:rsidR="00BD376C" w:rsidRPr="00567F29">
        <w:rPr>
          <w:rFonts w:ascii="Arial" w:hAnsi="Arial" w:cs="Arial"/>
          <w:sz w:val="22"/>
        </w:rPr>
        <w:t>evaluation</w:t>
      </w:r>
      <w:r w:rsidR="00BD7826" w:rsidRPr="00567F29">
        <w:rPr>
          <w:rFonts w:ascii="Arial" w:hAnsi="Arial" w:cs="Arial"/>
          <w:sz w:val="22"/>
        </w:rPr>
        <w:t xml:space="preserve"> </w:t>
      </w:r>
      <w:r w:rsidR="00BD376C" w:rsidRPr="00567F29">
        <w:rPr>
          <w:rFonts w:ascii="Arial" w:hAnsi="Arial" w:cs="Arial"/>
          <w:sz w:val="22"/>
        </w:rPr>
        <w:t>methodologies</w:t>
      </w:r>
      <w:r w:rsidR="00BD7826" w:rsidRPr="00567F29">
        <w:rPr>
          <w:rFonts w:ascii="Arial" w:hAnsi="Arial" w:cs="Arial"/>
          <w:sz w:val="22"/>
        </w:rPr>
        <w:t xml:space="preserve"> include </w:t>
      </w:r>
      <w:r w:rsidR="005D0C61" w:rsidRPr="00567F29">
        <w:rPr>
          <w:rFonts w:ascii="Arial" w:hAnsi="Arial" w:cs="Arial"/>
          <w:sz w:val="22"/>
        </w:rPr>
        <w:t>before and after analysis of key outcome indicators and an ex-poste cost-benefit analysis</w:t>
      </w:r>
      <w:r w:rsidR="00BD7826" w:rsidRPr="00567F29">
        <w:rPr>
          <w:rFonts w:ascii="Arial" w:hAnsi="Arial" w:cs="Arial"/>
          <w:sz w:val="22"/>
        </w:rPr>
        <w:t xml:space="preserve">. </w:t>
      </w:r>
      <w:r w:rsidRPr="00567F29">
        <w:rPr>
          <w:rFonts w:ascii="Arial" w:hAnsi="Arial" w:cs="Arial"/>
          <w:sz w:val="22"/>
        </w:rPr>
        <w:t>The ex-poste cost-benefit analysis of the investments funded by the Project will follow the same assumption</w:t>
      </w:r>
      <w:r w:rsidR="00CB16FB" w:rsidRPr="00567F29">
        <w:rPr>
          <w:rFonts w:ascii="Arial" w:hAnsi="Arial" w:cs="Arial"/>
          <w:sz w:val="22"/>
        </w:rPr>
        <w:t>s</w:t>
      </w:r>
      <w:r w:rsidRPr="00567F29">
        <w:rPr>
          <w:rFonts w:ascii="Arial" w:hAnsi="Arial" w:cs="Arial"/>
          <w:sz w:val="22"/>
        </w:rPr>
        <w:t xml:space="preserve">, methodology, and modeling parameters as the ex-ante cost-benefit analysis that was performed as part of the </w:t>
      </w:r>
      <w:r w:rsidR="00D937ED" w:rsidRPr="00567F29">
        <w:rPr>
          <w:rFonts w:ascii="Arial" w:hAnsi="Arial" w:cs="Arial"/>
          <w:sz w:val="22"/>
        </w:rPr>
        <w:t>loan preparation process.</w:t>
      </w:r>
    </w:p>
    <w:p w:rsidR="00D937ED" w:rsidRPr="00567F29" w:rsidRDefault="00D937ED" w:rsidP="005F7D46">
      <w:pPr>
        <w:jc w:val="both"/>
        <w:rPr>
          <w:rFonts w:ascii="Arial" w:hAnsi="Arial" w:cs="Arial"/>
          <w:sz w:val="22"/>
        </w:rPr>
      </w:pPr>
      <w:r w:rsidRPr="00567F29">
        <w:rPr>
          <w:rFonts w:ascii="Arial" w:hAnsi="Arial" w:cs="Arial"/>
          <w:sz w:val="22"/>
        </w:rPr>
        <w:t xml:space="preserve">The Project will be executed by the National Petroleum Corporation (NPC) of Barbados, or the newly created NPC-BNOCL entity following the amalgamation of the two. Within the NPC, a </w:t>
      </w:r>
      <w:r w:rsidR="0040641B" w:rsidRPr="00567F29">
        <w:rPr>
          <w:rFonts w:ascii="Arial" w:hAnsi="Arial" w:cs="Arial"/>
          <w:sz w:val="22"/>
        </w:rPr>
        <w:t>Project Executing Unit</w:t>
      </w:r>
      <w:r w:rsidRPr="00567F29">
        <w:rPr>
          <w:rFonts w:ascii="Arial" w:hAnsi="Arial" w:cs="Arial"/>
          <w:sz w:val="22"/>
        </w:rPr>
        <w:t xml:space="preserve"> (</w:t>
      </w:r>
      <w:r w:rsidR="0040641B" w:rsidRPr="00567F29">
        <w:rPr>
          <w:rFonts w:ascii="Arial" w:hAnsi="Arial" w:cs="Arial"/>
          <w:sz w:val="22"/>
        </w:rPr>
        <w:t>PEU</w:t>
      </w:r>
      <w:r w:rsidRPr="00567F29">
        <w:rPr>
          <w:rFonts w:ascii="Arial" w:hAnsi="Arial" w:cs="Arial"/>
          <w:sz w:val="22"/>
        </w:rPr>
        <w:t>) will be established and given primary responsibility for coordinating and executing the investments that will be financed by the Project. The</w:t>
      </w:r>
      <w:r w:rsidR="005D0C61" w:rsidRPr="00567F29">
        <w:rPr>
          <w:rFonts w:ascii="Arial" w:hAnsi="Arial" w:cs="Arial"/>
          <w:sz w:val="22"/>
        </w:rPr>
        <w:t xml:space="preserve"> </w:t>
      </w:r>
      <w:r w:rsidR="0040641B" w:rsidRPr="00567F29">
        <w:rPr>
          <w:rFonts w:ascii="Arial" w:hAnsi="Arial" w:cs="Arial"/>
          <w:sz w:val="22"/>
        </w:rPr>
        <w:t>PEU</w:t>
      </w:r>
      <w:r w:rsidR="005D0C61" w:rsidRPr="00567F29">
        <w:rPr>
          <w:rFonts w:ascii="Arial" w:hAnsi="Arial" w:cs="Arial"/>
          <w:sz w:val="22"/>
        </w:rPr>
        <w:t xml:space="preserve"> </w:t>
      </w:r>
      <w:r w:rsidRPr="00567F29">
        <w:rPr>
          <w:rFonts w:ascii="Arial" w:hAnsi="Arial" w:cs="Arial"/>
          <w:sz w:val="22"/>
        </w:rPr>
        <w:t xml:space="preserve">will </w:t>
      </w:r>
      <w:r w:rsidR="005D0C61" w:rsidRPr="00567F29">
        <w:rPr>
          <w:rFonts w:ascii="Arial" w:hAnsi="Arial" w:cs="Arial"/>
          <w:sz w:val="22"/>
        </w:rPr>
        <w:t>have primary</w:t>
      </w:r>
      <w:r w:rsidR="00BD7826" w:rsidRPr="00567F29">
        <w:rPr>
          <w:rFonts w:ascii="Arial" w:hAnsi="Arial" w:cs="Arial"/>
          <w:sz w:val="22"/>
        </w:rPr>
        <w:t xml:space="preserve"> </w:t>
      </w:r>
      <w:r w:rsidR="005D0C61" w:rsidRPr="00567F29">
        <w:rPr>
          <w:rFonts w:ascii="Arial" w:hAnsi="Arial" w:cs="Arial"/>
          <w:sz w:val="22"/>
        </w:rPr>
        <w:t>responsibility for all monitoring and evaluation activities</w:t>
      </w:r>
      <w:r w:rsidRPr="00567F29">
        <w:rPr>
          <w:rFonts w:ascii="Arial" w:hAnsi="Arial" w:cs="Arial"/>
          <w:sz w:val="22"/>
        </w:rPr>
        <w:t xml:space="preserve"> related to the Project, including gathering the required data, analyzing progress toward the stated goals, and preparing the required progress and assessment reports</w:t>
      </w:r>
      <w:r w:rsidR="00354A25" w:rsidRPr="00567F29">
        <w:rPr>
          <w:rFonts w:ascii="Arial" w:hAnsi="Arial" w:cs="Arial"/>
          <w:sz w:val="22"/>
        </w:rPr>
        <w:t xml:space="preserve"> such as the Annual Operating Plans (AOP), the </w:t>
      </w:r>
      <w:proofErr w:type="spellStart"/>
      <w:r w:rsidR="00354A25" w:rsidRPr="00567F29">
        <w:rPr>
          <w:rFonts w:ascii="Arial" w:hAnsi="Arial" w:cs="Arial"/>
          <w:sz w:val="22"/>
        </w:rPr>
        <w:t>Pluriannual</w:t>
      </w:r>
      <w:proofErr w:type="spellEnd"/>
      <w:r w:rsidR="00354A25" w:rsidRPr="00567F29">
        <w:rPr>
          <w:rFonts w:ascii="Arial" w:hAnsi="Arial" w:cs="Arial"/>
          <w:sz w:val="22"/>
        </w:rPr>
        <w:t xml:space="preserve"> Execution Plan (PEP), and the Procurement Plan (PP)</w:t>
      </w:r>
      <w:r w:rsidR="00BD376C" w:rsidRPr="00567F29">
        <w:rPr>
          <w:rFonts w:ascii="Arial" w:hAnsi="Arial" w:cs="Arial"/>
          <w:sz w:val="22"/>
        </w:rPr>
        <w:t>.</w:t>
      </w:r>
      <w:r w:rsidRPr="00567F29">
        <w:rPr>
          <w:rFonts w:ascii="Arial" w:hAnsi="Arial" w:cs="Arial"/>
          <w:sz w:val="22"/>
        </w:rPr>
        <w:t xml:space="preserve"> </w:t>
      </w:r>
    </w:p>
    <w:p w:rsidR="00BD376C" w:rsidRPr="00567F29" w:rsidRDefault="00D937ED" w:rsidP="005F7D46">
      <w:pPr>
        <w:jc w:val="both"/>
        <w:rPr>
          <w:rFonts w:ascii="Arial" w:hAnsi="Arial" w:cs="Arial"/>
          <w:sz w:val="22"/>
        </w:rPr>
      </w:pPr>
      <w:r w:rsidRPr="00567F29">
        <w:rPr>
          <w:rFonts w:ascii="Arial" w:hAnsi="Arial" w:cs="Arial"/>
          <w:sz w:val="22"/>
        </w:rPr>
        <w:t xml:space="preserve">The </w:t>
      </w:r>
      <w:r w:rsidR="0040641B" w:rsidRPr="00567F29">
        <w:rPr>
          <w:rFonts w:ascii="Arial" w:hAnsi="Arial" w:cs="Arial"/>
          <w:sz w:val="22"/>
        </w:rPr>
        <w:t>PEU</w:t>
      </w:r>
      <w:r w:rsidRPr="00567F29">
        <w:rPr>
          <w:rFonts w:ascii="Arial" w:hAnsi="Arial" w:cs="Arial"/>
          <w:sz w:val="22"/>
        </w:rPr>
        <w:t xml:space="preserve"> will also be responsible </w:t>
      </w:r>
      <w:r w:rsidR="00CB16FB" w:rsidRPr="00567F29">
        <w:rPr>
          <w:rFonts w:ascii="Arial" w:hAnsi="Arial" w:cs="Arial"/>
          <w:sz w:val="22"/>
        </w:rPr>
        <w:t>for</w:t>
      </w:r>
      <w:r w:rsidRPr="00567F29">
        <w:rPr>
          <w:rFonts w:ascii="Arial" w:hAnsi="Arial" w:cs="Arial"/>
          <w:sz w:val="22"/>
        </w:rPr>
        <w:t xml:space="preserve"> gather</w:t>
      </w:r>
      <w:r w:rsidR="00CB16FB" w:rsidRPr="00567F29">
        <w:rPr>
          <w:rFonts w:ascii="Arial" w:hAnsi="Arial" w:cs="Arial"/>
          <w:sz w:val="22"/>
        </w:rPr>
        <w:t>ing</w:t>
      </w:r>
      <w:r w:rsidRPr="00567F29">
        <w:rPr>
          <w:rFonts w:ascii="Arial" w:hAnsi="Arial" w:cs="Arial"/>
          <w:sz w:val="22"/>
        </w:rPr>
        <w:t xml:space="preserve"> from other Barbados government bodies and private sector companies any needed data or input that may be required for Project monitoring and evaluation.  For example, the </w:t>
      </w:r>
      <w:r w:rsidR="00CB16FB" w:rsidRPr="00567F29">
        <w:rPr>
          <w:rFonts w:ascii="Arial" w:hAnsi="Arial" w:cs="Arial"/>
          <w:sz w:val="22"/>
        </w:rPr>
        <w:t>Barbados government</w:t>
      </w:r>
      <w:r w:rsidRPr="00567F29">
        <w:rPr>
          <w:rFonts w:ascii="Arial" w:hAnsi="Arial" w:cs="Arial"/>
          <w:sz w:val="22"/>
        </w:rPr>
        <w:t xml:space="preserve"> will provide data on Barbados’ future total GHG emissions resulting from power generation</w:t>
      </w:r>
      <w:r w:rsidR="00CB16FB" w:rsidRPr="00567F29">
        <w:rPr>
          <w:rFonts w:ascii="Arial" w:hAnsi="Arial" w:cs="Arial"/>
          <w:sz w:val="22"/>
        </w:rPr>
        <w:t xml:space="preserve"> that it gathers in order to report its progress toward implementing and meeting its INDC obligations under the UNFCCC</w:t>
      </w:r>
      <w:r w:rsidRPr="00567F29">
        <w:rPr>
          <w:rFonts w:ascii="Arial" w:hAnsi="Arial" w:cs="Arial"/>
          <w:sz w:val="22"/>
        </w:rPr>
        <w:t>. In addition, Barbados Light and Power (BL&amp;P), a privately held utility</w:t>
      </w:r>
      <w:r w:rsidR="00CB16FB" w:rsidRPr="00567F29">
        <w:rPr>
          <w:rFonts w:ascii="Arial" w:hAnsi="Arial" w:cs="Arial"/>
          <w:sz w:val="22"/>
        </w:rPr>
        <w:t xml:space="preserve"> that</w:t>
      </w:r>
      <w:r w:rsidRPr="00567F29">
        <w:rPr>
          <w:rFonts w:ascii="Arial" w:hAnsi="Arial" w:cs="Arial"/>
          <w:sz w:val="22"/>
        </w:rPr>
        <w:t xml:space="preserve"> provides Barbados’ electricity supply, will provide data on the future average national electricity tariffs. </w:t>
      </w:r>
    </w:p>
    <w:p w:rsidR="00C84C42" w:rsidRPr="00567F29" w:rsidRDefault="005720A1" w:rsidP="005F7D46">
      <w:pPr>
        <w:jc w:val="both"/>
        <w:rPr>
          <w:rFonts w:ascii="Arial" w:hAnsi="Arial" w:cs="Arial"/>
          <w:sz w:val="22"/>
        </w:rPr>
      </w:pPr>
      <w:r w:rsidRPr="00567F29">
        <w:rPr>
          <w:rFonts w:ascii="Arial" w:hAnsi="Arial" w:cs="Arial"/>
          <w:sz w:val="22"/>
        </w:rPr>
        <w:t xml:space="preserve">The </w:t>
      </w:r>
      <w:r w:rsidR="0040641B" w:rsidRPr="00567F29">
        <w:rPr>
          <w:rFonts w:ascii="Arial" w:hAnsi="Arial" w:cs="Arial"/>
          <w:sz w:val="22"/>
        </w:rPr>
        <w:t>PEU</w:t>
      </w:r>
      <w:r w:rsidRPr="00567F29">
        <w:rPr>
          <w:rFonts w:ascii="Arial" w:hAnsi="Arial" w:cs="Arial"/>
          <w:sz w:val="22"/>
        </w:rPr>
        <w:t xml:space="preserve"> will be supported by the Project Team at the IDB, including specialists from the Energy/Infrastructure Department and the Barbados country office. Specialist consultants are also expected to be contracted to support the ex-poste cost-benefit analysis.</w:t>
      </w:r>
    </w:p>
    <w:p w:rsidR="00BD376C" w:rsidRPr="00567F29" w:rsidRDefault="00BD376C" w:rsidP="005F7D46">
      <w:pPr>
        <w:pStyle w:val="Heading1"/>
        <w:jc w:val="both"/>
        <w:rPr>
          <w:rFonts w:ascii="Arial" w:hAnsi="Arial" w:cs="Arial"/>
          <w:sz w:val="24"/>
        </w:rPr>
      </w:pPr>
      <w:bookmarkStart w:id="1" w:name="_Toc464207159"/>
      <w:r w:rsidRPr="00567F29">
        <w:rPr>
          <w:rFonts w:ascii="Arial" w:hAnsi="Arial" w:cs="Arial"/>
          <w:sz w:val="24"/>
        </w:rPr>
        <w:lastRenderedPageBreak/>
        <w:t>Monitoring</w:t>
      </w:r>
      <w:bookmarkEnd w:id="1"/>
    </w:p>
    <w:p w:rsidR="001C02CD" w:rsidRPr="00567F29" w:rsidRDefault="00BD376C" w:rsidP="005F7D46">
      <w:pPr>
        <w:jc w:val="both"/>
        <w:rPr>
          <w:rFonts w:ascii="Arial" w:hAnsi="Arial" w:cs="Arial"/>
          <w:sz w:val="22"/>
        </w:rPr>
      </w:pPr>
      <w:r w:rsidRPr="00567F29">
        <w:rPr>
          <w:rFonts w:ascii="Arial" w:hAnsi="Arial" w:cs="Arial"/>
          <w:sz w:val="22"/>
        </w:rPr>
        <w:t>The purpose of this section is to describe the monitoring process</w:t>
      </w:r>
      <w:r w:rsidR="001C02CD" w:rsidRPr="00567F29">
        <w:rPr>
          <w:rFonts w:ascii="Arial" w:hAnsi="Arial" w:cs="Arial"/>
          <w:sz w:val="22"/>
        </w:rPr>
        <w:t xml:space="preserve"> for the three components of the Project: </w:t>
      </w:r>
      <w:r w:rsidR="00C44DEF" w:rsidRPr="00567F29">
        <w:rPr>
          <w:rFonts w:ascii="Arial" w:hAnsi="Arial" w:cs="Arial"/>
          <w:sz w:val="22"/>
        </w:rPr>
        <w:t>Natural Gas Infrastructure</w:t>
      </w:r>
      <w:r w:rsidR="00CB16FB" w:rsidRPr="00567F29">
        <w:rPr>
          <w:rFonts w:ascii="Arial" w:hAnsi="Arial" w:cs="Arial"/>
          <w:sz w:val="22"/>
        </w:rPr>
        <w:t xml:space="preserve">, </w:t>
      </w:r>
      <w:r w:rsidR="001C02CD" w:rsidRPr="00567F29">
        <w:rPr>
          <w:rFonts w:ascii="Arial" w:hAnsi="Arial" w:cs="Arial"/>
          <w:sz w:val="22"/>
        </w:rPr>
        <w:t>Smart Energy Solutions</w:t>
      </w:r>
      <w:r w:rsidR="00CB16FB" w:rsidRPr="00567F29">
        <w:rPr>
          <w:rFonts w:ascii="Arial" w:hAnsi="Arial" w:cs="Arial"/>
          <w:sz w:val="22"/>
        </w:rPr>
        <w:t>, and Technical Advisory Services</w:t>
      </w:r>
      <w:r w:rsidRPr="00567F29">
        <w:rPr>
          <w:rFonts w:ascii="Arial" w:hAnsi="Arial" w:cs="Arial"/>
          <w:sz w:val="22"/>
        </w:rPr>
        <w:t>.</w:t>
      </w:r>
      <w:r w:rsidR="001C02CD" w:rsidRPr="00567F29">
        <w:rPr>
          <w:rFonts w:ascii="Arial" w:hAnsi="Arial" w:cs="Arial"/>
          <w:sz w:val="22"/>
        </w:rPr>
        <w:t xml:space="preserve"> For each component, the specific indicators, data collection methods, reporting, and monitoring coordination, work plan, and budget are provided.</w:t>
      </w:r>
    </w:p>
    <w:p w:rsidR="00BD376C" w:rsidRPr="00567F29" w:rsidRDefault="00BD376C" w:rsidP="005F7D46">
      <w:pPr>
        <w:pStyle w:val="Heading2"/>
        <w:jc w:val="both"/>
        <w:rPr>
          <w:rFonts w:ascii="Arial" w:hAnsi="Arial" w:cs="Arial"/>
          <w:sz w:val="24"/>
        </w:rPr>
      </w:pPr>
      <w:bookmarkStart w:id="2" w:name="_Toc464207160"/>
      <w:r w:rsidRPr="00567F29">
        <w:rPr>
          <w:rFonts w:ascii="Arial" w:hAnsi="Arial" w:cs="Arial"/>
          <w:sz w:val="24"/>
        </w:rPr>
        <w:t>Indicators</w:t>
      </w:r>
      <w:bookmarkEnd w:id="2"/>
    </w:p>
    <w:p w:rsidR="00567F29" w:rsidRPr="00567F29" w:rsidRDefault="00C44DEF" w:rsidP="005F7D46">
      <w:pPr>
        <w:jc w:val="both"/>
        <w:rPr>
          <w:rFonts w:ascii="Arial" w:hAnsi="Arial" w:cs="Arial"/>
          <w:sz w:val="22"/>
        </w:rPr>
      </w:pPr>
      <w:r w:rsidRPr="00567F29">
        <w:rPr>
          <w:rFonts w:ascii="Arial" w:hAnsi="Arial" w:cs="Arial"/>
          <w:sz w:val="22"/>
        </w:rPr>
        <w:t xml:space="preserve">Table 1 below lists the </w:t>
      </w:r>
      <w:r w:rsidR="0027214B" w:rsidRPr="00567F29">
        <w:rPr>
          <w:rFonts w:ascii="Arial" w:hAnsi="Arial" w:cs="Arial"/>
          <w:sz w:val="22"/>
        </w:rPr>
        <w:t xml:space="preserve">Indicators </w:t>
      </w:r>
      <w:r w:rsidRPr="00567F29">
        <w:rPr>
          <w:rFonts w:ascii="Arial" w:hAnsi="Arial" w:cs="Arial"/>
          <w:sz w:val="22"/>
        </w:rPr>
        <w:t xml:space="preserve">that </w:t>
      </w:r>
      <w:r w:rsidR="0027214B" w:rsidRPr="00567F29">
        <w:rPr>
          <w:rFonts w:ascii="Arial" w:hAnsi="Arial" w:cs="Arial"/>
          <w:sz w:val="22"/>
        </w:rPr>
        <w:t xml:space="preserve">have been defined for </w:t>
      </w:r>
      <w:r w:rsidR="00FF2A71" w:rsidRPr="00567F29">
        <w:rPr>
          <w:rFonts w:ascii="Arial" w:hAnsi="Arial" w:cs="Arial"/>
          <w:sz w:val="22"/>
        </w:rPr>
        <w:t xml:space="preserve">each Component’s </w:t>
      </w:r>
      <w:r w:rsidR="0027214B" w:rsidRPr="00567F29">
        <w:rPr>
          <w:rFonts w:ascii="Arial" w:hAnsi="Arial" w:cs="Arial"/>
          <w:sz w:val="22"/>
        </w:rPr>
        <w:t xml:space="preserve">outputs. </w:t>
      </w:r>
      <w:r w:rsidRPr="00567F29">
        <w:rPr>
          <w:rFonts w:ascii="Arial" w:hAnsi="Arial" w:cs="Arial"/>
          <w:sz w:val="22"/>
        </w:rPr>
        <w:t>The table also defines the frequency of measurement, and the source of verification for each Indicator.</w:t>
      </w:r>
    </w:p>
    <w:p w:rsidR="00BD376C" w:rsidRPr="00567F29" w:rsidRDefault="00BD376C" w:rsidP="005F7D46">
      <w:pPr>
        <w:pStyle w:val="Caption"/>
        <w:jc w:val="both"/>
        <w:rPr>
          <w:rFonts w:ascii="Arial" w:hAnsi="Arial" w:cs="Arial"/>
          <w:sz w:val="22"/>
        </w:rPr>
      </w:pPr>
      <w:r w:rsidRPr="00567F29">
        <w:rPr>
          <w:rFonts w:ascii="Arial" w:hAnsi="Arial" w:cs="Arial"/>
          <w:sz w:val="22"/>
        </w:rPr>
        <w:t>Table 1</w:t>
      </w:r>
      <w:r w:rsidR="00E572C9" w:rsidRPr="00567F29">
        <w:rPr>
          <w:rFonts w:ascii="Arial" w:hAnsi="Arial" w:cs="Arial"/>
          <w:sz w:val="22"/>
        </w:rPr>
        <w:t>: Project Output Indicators by Component</w:t>
      </w:r>
    </w:p>
    <w:tbl>
      <w:tblPr>
        <w:tblW w:w="5000" w:type="pct"/>
        <w:tblLook w:val="04A0" w:firstRow="1" w:lastRow="0" w:firstColumn="1" w:lastColumn="0" w:noHBand="0" w:noVBand="1"/>
      </w:tblPr>
      <w:tblGrid>
        <w:gridCol w:w="2792"/>
        <w:gridCol w:w="2015"/>
        <w:gridCol w:w="1793"/>
        <w:gridCol w:w="2976"/>
      </w:tblGrid>
      <w:tr w:rsidR="001178F8" w:rsidRPr="00D57783" w:rsidTr="004B6BEB">
        <w:trPr>
          <w:trHeight w:val="615"/>
          <w:tblHeader/>
        </w:trPr>
        <w:tc>
          <w:tcPr>
            <w:tcW w:w="1458" w:type="pct"/>
            <w:tcBorders>
              <w:top w:val="single" w:sz="4" w:space="0" w:color="auto"/>
              <w:left w:val="single" w:sz="4" w:space="0" w:color="auto"/>
              <w:bottom w:val="single" w:sz="4" w:space="0" w:color="auto"/>
              <w:right w:val="single" w:sz="4" w:space="0" w:color="auto"/>
            </w:tcBorders>
            <w:shd w:val="clear" w:color="000000" w:fill="262626"/>
            <w:vAlign w:val="center"/>
            <w:hideMark/>
          </w:tcPr>
          <w:p w:rsidR="001178F8" w:rsidRPr="00D57783" w:rsidRDefault="001178F8" w:rsidP="001178F8">
            <w:pPr>
              <w:spacing w:after="0" w:line="240" w:lineRule="auto"/>
              <w:jc w:val="center"/>
              <w:rPr>
                <w:rFonts w:ascii="Arial" w:eastAsia="Times New Roman" w:hAnsi="Arial" w:cs="Arial"/>
                <w:color w:val="FFFFFF"/>
                <w:sz w:val="18"/>
                <w:szCs w:val="20"/>
              </w:rPr>
            </w:pPr>
            <w:r w:rsidRPr="00D57783">
              <w:rPr>
                <w:rFonts w:ascii="Arial" w:eastAsia="Times New Roman" w:hAnsi="Arial" w:cs="Arial"/>
                <w:color w:val="FFFFFF"/>
                <w:sz w:val="18"/>
                <w:szCs w:val="20"/>
              </w:rPr>
              <w:t>Indicator</w:t>
            </w:r>
          </w:p>
        </w:tc>
        <w:tc>
          <w:tcPr>
            <w:tcW w:w="1052" w:type="pct"/>
            <w:tcBorders>
              <w:top w:val="single" w:sz="4" w:space="0" w:color="auto"/>
              <w:left w:val="nil"/>
              <w:bottom w:val="single" w:sz="4" w:space="0" w:color="auto"/>
              <w:right w:val="single" w:sz="4" w:space="0" w:color="auto"/>
            </w:tcBorders>
            <w:shd w:val="clear" w:color="000000" w:fill="262626"/>
            <w:vAlign w:val="center"/>
            <w:hideMark/>
          </w:tcPr>
          <w:p w:rsidR="001178F8" w:rsidRPr="00D57783" w:rsidRDefault="001178F8" w:rsidP="001178F8">
            <w:pPr>
              <w:spacing w:after="0" w:line="240" w:lineRule="auto"/>
              <w:jc w:val="center"/>
              <w:rPr>
                <w:rFonts w:ascii="Arial" w:eastAsia="Times New Roman" w:hAnsi="Arial" w:cs="Arial"/>
                <w:color w:val="FFFFFF"/>
                <w:sz w:val="18"/>
                <w:szCs w:val="20"/>
              </w:rPr>
            </w:pPr>
            <w:r w:rsidRPr="00D57783">
              <w:rPr>
                <w:rFonts w:ascii="Arial" w:eastAsia="Times New Roman" w:hAnsi="Arial" w:cs="Arial"/>
                <w:color w:val="FFFFFF"/>
                <w:sz w:val="18"/>
                <w:szCs w:val="20"/>
              </w:rPr>
              <w:t>Formula</w:t>
            </w:r>
          </w:p>
        </w:tc>
        <w:tc>
          <w:tcPr>
            <w:tcW w:w="936" w:type="pct"/>
            <w:tcBorders>
              <w:top w:val="single" w:sz="4" w:space="0" w:color="auto"/>
              <w:left w:val="nil"/>
              <w:bottom w:val="single" w:sz="4" w:space="0" w:color="auto"/>
              <w:right w:val="single" w:sz="4" w:space="0" w:color="auto"/>
            </w:tcBorders>
            <w:shd w:val="clear" w:color="000000" w:fill="262626"/>
            <w:vAlign w:val="center"/>
            <w:hideMark/>
          </w:tcPr>
          <w:p w:rsidR="001178F8" w:rsidRPr="00D57783" w:rsidRDefault="001178F8" w:rsidP="001178F8">
            <w:pPr>
              <w:spacing w:after="0" w:line="240" w:lineRule="auto"/>
              <w:jc w:val="center"/>
              <w:rPr>
                <w:rFonts w:ascii="Arial" w:eastAsia="Times New Roman" w:hAnsi="Arial" w:cs="Arial"/>
                <w:color w:val="FFFFFF"/>
                <w:sz w:val="18"/>
                <w:szCs w:val="20"/>
              </w:rPr>
            </w:pPr>
            <w:r w:rsidRPr="00D57783">
              <w:rPr>
                <w:rFonts w:ascii="Arial" w:eastAsia="Times New Roman" w:hAnsi="Arial" w:cs="Arial"/>
                <w:color w:val="FFFFFF"/>
                <w:sz w:val="18"/>
                <w:szCs w:val="20"/>
              </w:rPr>
              <w:t>Frequency of Measurement</w:t>
            </w:r>
          </w:p>
        </w:tc>
        <w:tc>
          <w:tcPr>
            <w:tcW w:w="1554" w:type="pct"/>
            <w:tcBorders>
              <w:top w:val="single" w:sz="4" w:space="0" w:color="auto"/>
              <w:left w:val="nil"/>
              <w:bottom w:val="single" w:sz="4" w:space="0" w:color="auto"/>
              <w:right w:val="single" w:sz="4" w:space="0" w:color="auto"/>
            </w:tcBorders>
            <w:shd w:val="clear" w:color="000000" w:fill="262626"/>
            <w:vAlign w:val="center"/>
            <w:hideMark/>
          </w:tcPr>
          <w:p w:rsidR="001178F8" w:rsidRPr="00D57783" w:rsidRDefault="001178F8" w:rsidP="001178F8">
            <w:pPr>
              <w:spacing w:after="0" w:line="240" w:lineRule="auto"/>
              <w:jc w:val="center"/>
              <w:rPr>
                <w:rFonts w:ascii="Arial" w:eastAsia="Times New Roman" w:hAnsi="Arial" w:cs="Arial"/>
                <w:color w:val="FFFFFF"/>
                <w:sz w:val="18"/>
                <w:szCs w:val="20"/>
              </w:rPr>
            </w:pPr>
            <w:r w:rsidRPr="00D57783">
              <w:rPr>
                <w:rFonts w:ascii="Arial" w:eastAsia="Times New Roman" w:hAnsi="Arial" w:cs="Arial"/>
                <w:color w:val="FFFFFF"/>
                <w:sz w:val="18"/>
                <w:szCs w:val="20"/>
              </w:rPr>
              <w:t>Source of Verification</w:t>
            </w:r>
          </w:p>
        </w:tc>
      </w:tr>
      <w:tr w:rsidR="001178F8" w:rsidRPr="00D57783" w:rsidTr="004B6BEB">
        <w:trPr>
          <w:trHeight w:val="255"/>
          <w:tblHeader/>
        </w:trPr>
        <w:tc>
          <w:tcPr>
            <w:tcW w:w="5000" w:type="pct"/>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1178F8" w:rsidRPr="00D57783" w:rsidRDefault="001178F8" w:rsidP="001178F8">
            <w:pPr>
              <w:spacing w:after="0" w:line="240" w:lineRule="auto"/>
              <w:jc w:val="center"/>
              <w:rPr>
                <w:rFonts w:ascii="Arial" w:eastAsia="Times New Roman" w:hAnsi="Arial" w:cs="Arial"/>
                <w:b/>
                <w:bCs/>
                <w:color w:val="auto"/>
                <w:sz w:val="18"/>
                <w:szCs w:val="20"/>
              </w:rPr>
            </w:pPr>
            <w:r w:rsidRPr="00D57783">
              <w:rPr>
                <w:rFonts w:ascii="Arial" w:eastAsia="Times New Roman" w:hAnsi="Arial" w:cs="Arial"/>
                <w:b/>
                <w:bCs/>
                <w:color w:val="auto"/>
                <w:sz w:val="18"/>
                <w:szCs w:val="20"/>
              </w:rPr>
              <w:t>Output Indicators</w:t>
            </w: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rsidR="001178F8" w:rsidRPr="00D57783" w:rsidRDefault="001178F8" w:rsidP="001178F8">
            <w:pPr>
              <w:spacing w:after="0" w:line="240" w:lineRule="auto"/>
              <w:jc w:val="center"/>
              <w:rPr>
                <w:rFonts w:ascii="Arial" w:eastAsia="Times New Roman" w:hAnsi="Arial" w:cs="Arial"/>
                <w:color w:val="FFFFFF"/>
                <w:sz w:val="18"/>
                <w:szCs w:val="20"/>
              </w:rPr>
            </w:pPr>
            <w:r w:rsidRPr="00D57783">
              <w:rPr>
                <w:rFonts w:ascii="Arial" w:eastAsia="Times New Roman" w:hAnsi="Arial" w:cs="Arial"/>
                <w:color w:val="FFFFFF"/>
                <w:sz w:val="18"/>
                <w:szCs w:val="20"/>
              </w:rPr>
              <w:t>Component 1: Natural Gas Infrastructure</w:t>
            </w: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DAEEF3"/>
            <w:vAlign w:val="center"/>
            <w:hideMark/>
          </w:tcPr>
          <w:p w:rsidR="001178F8" w:rsidRPr="00D57783" w:rsidRDefault="001178F8" w:rsidP="001178F8">
            <w:pPr>
              <w:spacing w:after="0" w:line="240" w:lineRule="auto"/>
              <w:rPr>
                <w:rFonts w:ascii="Arial" w:eastAsia="Times New Roman" w:hAnsi="Arial" w:cs="Arial"/>
                <w:b/>
                <w:bCs/>
                <w:color w:val="auto"/>
                <w:sz w:val="18"/>
                <w:szCs w:val="20"/>
              </w:rPr>
            </w:pPr>
            <w:r w:rsidRPr="00D57783">
              <w:rPr>
                <w:rFonts w:ascii="Arial" w:eastAsia="Times New Roman" w:hAnsi="Arial" w:cs="Arial"/>
                <w:b/>
                <w:bCs/>
                <w:color w:val="auto"/>
                <w:sz w:val="18"/>
                <w:szCs w:val="20"/>
              </w:rPr>
              <w:t xml:space="preserve">Expected Result 1: Ensure NG service continuity </w:t>
            </w: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DAEEF3"/>
            <w:vAlign w:val="center"/>
            <w:hideMark/>
          </w:tcPr>
          <w:p w:rsidR="001178F8" w:rsidRPr="00D57783" w:rsidRDefault="001178F8" w:rsidP="001178F8">
            <w:pPr>
              <w:spacing w:after="0" w:line="240" w:lineRule="auto"/>
              <w:rPr>
                <w:rFonts w:ascii="Arial" w:eastAsia="Times New Roman" w:hAnsi="Arial" w:cs="Arial"/>
                <w:b/>
                <w:bCs/>
                <w:color w:val="auto"/>
                <w:sz w:val="18"/>
                <w:szCs w:val="20"/>
              </w:rPr>
            </w:pPr>
            <w:r w:rsidRPr="00D57783">
              <w:rPr>
                <w:rFonts w:ascii="Arial" w:eastAsia="Times New Roman" w:hAnsi="Arial" w:cs="Arial"/>
                <w:b/>
                <w:bCs/>
                <w:color w:val="auto"/>
                <w:sz w:val="18"/>
                <w:szCs w:val="20"/>
              </w:rPr>
              <w:t>Expected Results 2: Increase the number of LNG suppliers to Barbados to enhance energy security</w:t>
            </w:r>
          </w:p>
        </w:tc>
      </w:tr>
      <w:tr w:rsidR="001178F8" w:rsidRPr="00D57783" w:rsidTr="004B6BEB">
        <w:trPr>
          <w:trHeight w:val="69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rPr>
                <w:rFonts w:ascii="Arial" w:eastAsia="Times New Roman" w:hAnsi="Arial" w:cs="Arial"/>
                <w:color w:val="262626"/>
                <w:sz w:val="18"/>
                <w:szCs w:val="20"/>
              </w:rPr>
            </w:pPr>
            <w:r w:rsidRPr="00D57783">
              <w:rPr>
                <w:rFonts w:ascii="Arial" w:eastAsia="Times New Roman" w:hAnsi="Arial" w:cs="Arial"/>
                <w:color w:val="262626"/>
                <w:sz w:val="18"/>
                <w:szCs w:val="20"/>
              </w:rPr>
              <w:t>Monitoring and control systems upgraded/replaced</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of systems upgraded or replaced</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 reports from NPC/BNOCL</w:t>
            </w:r>
          </w:p>
        </w:tc>
      </w:tr>
      <w:tr w:rsidR="001178F8" w:rsidRPr="00D57783" w:rsidTr="004B6BEB">
        <w:trPr>
          <w:trHeight w:val="855"/>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rPr>
                <w:rFonts w:ascii="Arial" w:eastAsia="Times New Roman" w:hAnsi="Arial" w:cs="Arial"/>
                <w:color w:val="262626"/>
                <w:sz w:val="18"/>
                <w:szCs w:val="20"/>
              </w:rPr>
            </w:pPr>
            <w:r w:rsidRPr="00D57783">
              <w:rPr>
                <w:rFonts w:ascii="Arial" w:eastAsia="Times New Roman" w:hAnsi="Arial" w:cs="Arial"/>
                <w:color w:val="262626"/>
                <w:sz w:val="18"/>
                <w:szCs w:val="20"/>
              </w:rPr>
              <w:t>Pipelines for transmission and distribution replaced, realigned and/or installed</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Km of pipeline installed, replaced, realigned and installed</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 reports from NPC/BNOCL</w:t>
            </w:r>
          </w:p>
        </w:tc>
      </w:tr>
      <w:tr w:rsidR="001178F8" w:rsidRPr="00D57783" w:rsidTr="004B6BEB">
        <w:trPr>
          <w:trHeight w:val="69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rPr>
                <w:rFonts w:ascii="Arial" w:eastAsia="Times New Roman" w:hAnsi="Arial" w:cs="Arial"/>
                <w:color w:val="262626"/>
                <w:sz w:val="18"/>
                <w:szCs w:val="20"/>
              </w:rPr>
            </w:pPr>
            <w:r w:rsidRPr="00D57783">
              <w:rPr>
                <w:rFonts w:ascii="Arial" w:eastAsia="Times New Roman" w:hAnsi="Arial" w:cs="Arial"/>
                <w:color w:val="262626"/>
                <w:sz w:val="18"/>
                <w:szCs w:val="20"/>
              </w:rPr>
              <w:t>NG distribution stations upgraded</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stations</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 reports from NPC/BNOCL</w:t>
            </w:r>
          </w:p>
        </w:tc>
      </w:tr>
      <w:tr w:rsidR="001178F8" w:rsidRPr="00D57783" w:rsidTr="004B6BEB">
        <w:trPr>
          <w:trHeight w:val="69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rPr>
                <w:rFonts w:ascii="Arial" w:eastAsia="Times New Roman" w:hAnsi="Arial" w:cs="Arial"/>
                <w:color w:val="262626"/>
                <w:sz w:val="18"/>
                <w:szCs w:val="20"/>
              </w:rPr>
            </w:pPr>
            <w:r w:rsidRPr="00D57783">
              <w:rPr>
                <w:rFonts w:ascii="Arial" w:eastAsia="Times New Roman" w:hAnsi="Arial" w:cs="Arial"/>
                <w:color w:val="262626"/>
                <w:sz w:val="18"/>
                <w:szCs w:val="20"/>
              </w:rPr>
              <w:t>On-road NG distribution fleet acquired or modernized</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vehicles</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 reports from NPC/BNOCL</w:t>
            </w:r>
          </w:p>
        </w:tc>
      </w:tr>
      <w:tr w:rsidR="001178F8" w:rsidRPr="00D57783" w:rsidTr="004B6BEB">
        <w:trPr>
          <w:trHeight w:val="69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rPr>
                <w:rFonts w:ascii="Arial" w:eastAsia="Times New Roman" w:hAnsi="Arial" w:cs="Arial"/>
                <w:color w:val="262626"/>
                <w:sz w:val="18"/>
                <w:szCs w:val="20"/>
              </w:rPr>
            </w:pPr>
            <w:r w:rsidRPr="00D57783">
              <w:rPr>
                <w:rFonts w:ascii="Arial" w:eastAsia="Times New Roman" w:hAnsi="Arial" w:cs="Arial"/>
                <w:color w:val="262626"/>
                <w:sz w:val="18"/>
                <w:szCs w:val="20"/>
              </w:rPr>
              <w:t>Micro LNG Plant at Woodbourne expanded</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million cubic feet per day (</w:t>
            </w:r>
            <w:proofErr w:type="spellStart"/>
            <w:r w:rsidRPr="00D57783">
              <w:rPr>
                <w:rFonts w:ascii="Arial" w:eastAsia="Times New Roman" w:hAnsi="Arial" w:cs="Arial"/>
                <w:color w:val="262626"/>
                <w:sz w:val="18"/>
                <w:szCs w:val="20"/>
              </w:rPr>
              <w:t>mmcfpd</w:t>
            </w:r>
            <w:proofErr w:type="spellEnd"/>
            <w:r w:rsidRPr="00D57783">
              <w:rPr>
                <w:rFonts w:ascii="Arial" w:eastAsia="Times New Roman" w:hAnsi="Arial" w:cs="Arial"/>
                <w:color w:val="262626"/>
                <w:sz w:val="18"/>
                <w:szCs w:val="20"/>
              </w:rPr>
              <w:t>)</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 reports from NPC/BNOCL</w:t>
            </w: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rsidR="001178F8" w:rsidRPr="00D57783" w:rsidRDefault="001178F8" w:rsidP="001178F8">
            <w:pPr>
              <w:spacing w:after="0" w:line="240" w:lineRule="auto"/>
              <w:jc w:val="center"/>
              <w:rPr>
                <w:rFonts w:ascii="Arial" w:eastAsia="Times New Roman" w:hAnsi="Arial" w:cs="Arial"/>
                <w:color w:val="FFFFFF"/>
                <w:sz w:val="18"/>
                <w:szCs w:val="20"/>
              </w:rPr>
            </w:pPr>
            <w:r w:rsidRPr="00D57783">
              <w:rPr>
                <w:rFonts w:ascii="Arial" w:eastAsia="Times New Roman" w:hAnsi="Arial" w:cs="Arial"/>
                <w:color w:val="FFFFFF"/>
                <w:sz w:val="18"/>
                <w:szCs w:val="20"/>
              </w:rPr>
              <w:t>Component 2: Smart Energy Solutions</w:t>
            </w: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DAEEF3"/>
            <w:vAlign w:val="center"/>
            <w:hideMark/>
          </w:tcPr>
          <w:p w:rsidR="001178F8" w:rsidRPr="00D57783" w:rsidRDefault="001178F8" w:rsidP="001178F8">
            <w:pPr>
              <w:spacing w:after="0" w:line="240" w:lineRule="auto"/>
              <w:rPr>
                <w:rFonts w:ascii="Arial" w:eastAsia="Times New Roman" w:hAnsi="Arial" w:cs="Arial"/>
                <w:b/>
                <w:bCs/>
                <w:color w:val="auto"/>
                <w:sz w:val="18"/>
                <w:szCs w:val="20"/>
              </w:rPr>
            </w:pPr>
            <w:r w:rsidRPr="00D57783">
              <w:rPr>
                <w:rFonts w:ascii="Arial" w:eastAsia="Times New Roman" w:hAnsi="Arial" w:cs="Arial"/>
                <w:b/>
                <w:bCs/>
                <w:color w:val="auto"/>
                <w:sz w:val="18"/>
                <w:szCs w:val="20"/>
              </w:rPr>
              <w:t>Expected Result 3: Reduce CO2 emission reductions from NPC/BNOCL operational and administrative facilities</w:t>
            </w:r>
          </w:p>
        </w:tc>
      </w:tr>
      <w:tr w:rsidR="001178F8" w:rsidRPr="00D57783" w:rsidTr="004B6BEB">
        <w:trPr>
          <w:trHeight w:val="765"/>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RE capacity installed in NPC/BNOCL/newly created entity facilities</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kW</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 reports from NPC/BNOCL</w:t>
            </w:r>
          </w:p>
        </w:tc>
      </w:tr>
      <w:tr w:rsidR="001178F8" w:rsidRPr="00D57783" w:rsidTr="004B6BEB">
        <w:trPr>
          <w:trHeight w:val="1275"/>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Energy Efficiency and/or RE equipment installed in NPC/BNOCL/newly created entity’s operational and administrative facilities</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Binary (no/yes)</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End of project</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 reports from NPC/BNOCL.</w:t>
            </w: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rsidR="001178F8" w:rsidRPr="00D57783" w:rsidRDefault="001178F8" w:rsidP="001178F8">
            <w:pPr>
              <w:spacing w:after="0" w:line="240" w:lineRule="auto"/>
              <w:jc w:val="center"/>
              <w:rPr>
                <w:rFonts w:ascii="Arial" w:eastAsia="Times New Roman" w:hAnsi="Arial" w:cs="Arial"/>
                <w:color w:val="FFFFFF"/>
                <w:sz w:val="18"/>
                <w:szCs w:val="20"/>
              </w:rPr>
            </w:pPr>
            <w:r w:rsidRPr="00D57783">
              <w:rPr>
                <w:rFonts w:ascii="Arial" w:eastAsia="Times New Roman" w:hAnsi="Arial" w:cs="Arial"/>
                <w:color w:val="FFFFFF"/>
                <w:sz w:val="18"/>
                <w:szCs w:val="20"/>
              </w:rPr>
              <w:t>Component 3: Technical Advisory Services</w:t>
            </w: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DAEEF3"/>
            <w:vAlign w:val="center"/>
            <w:hideMark/>
          </w:tcPr>
          <w:p w:rsidR="001178F8" w:rsidRPr="00D57783" w:rsidRDefault="001178F8" w:rsidP="001178F8">
            <w:pPr>
              <w:spacing w:after="0" w:line="240" w:lineRule="auto"/>
              <w:rPr>
                <w:rFonts w:ascii="Arial" w:eastAsia="Times New Roman" w:hAnsi="Arial" w:cs="Arial"/>
                <w:b/>
                <w:bCs/>
                <w:color w:val="auto"/>
                <w:sz w:val="18"/>
                <w:szCs w:val="20"/>
              </w:rPr>
            </w:pPr>
            <w:r w:rsidRPr="00D57783">
              <w:rPr>
                <w:rFonts w:ascii="Arial" w:eastAsia="Times New Roman" w:hAnsi="Arial" w:cs="Arial"/>
                <w:b/>
                <w:bCs/>
                <w:color w:val="auto"/>
                <w:sz w:val="18"/>
                <w:szCs w:val="20"/>
              </w:rPr>
              <w:t>Expected Result 4: Increased operational efficiency in NG transmission and distribution</w:t>
            </w:r>
          </w:p>
        </w:tc>
      </w:tr>
      <w:tr w:rsidR="001178F8" w:rsidRPr="00D57783" w:rsidTr="004B6BEB">
        <w:trPr>
          <w:trHeight w:val="1785"/>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lastRenderedPageBreak/>
              <w:t>Studies developed to improve NPC/BNOCL/newly created entity’s corporate governance, environmental, legal and regulatory functions, quality management systems, and information technology</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studies</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xml:space="preserve">Semi-annual reports from NPC/BNOCL and final reports of the studies. </w:t>
            </w:r>
          </w:p>
        </w:tc>
      </w:tr>
      <w:tr w:rsidR="001178F8" w:rsidRPr="00D57783" w:rsidTr="004B6BEB">
        <w:trPr>
          <w:trHeight w:val="765"/>
        </w:trPr>
        <w:tc>
          <w:tcPr>
            <w:tcW w:w="1458" w:type="pct"/>
            <w:vMerge w:val="restar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NPC/BNOCL/newly created entity personnel trained in technical and management areas to support NG expansion.</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of men</w:t>
            </w:r>
          </w:p>
        </w:tc>
        <w:tc>
          <w:tcPr>
            <w:tcW w:w="936" w:type="pct"/>
            <w:vMerge w:val="restar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vMerge w:val="restart"/>
            <w:tcBorders>
              <w:top w:val="nil"/>
              <w:left w:val="single" w:sz="4" w:space="0" w:color="auto"/>
              <w:bottom w:val="single" w:sz="4" w:space="0" w:color="000000"/>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xml:space="preserve">Semi-annual reports from NPC/BNOCL </w:t>
            </w:r>
          </w:p>
        </w:tc>
      </w:tr>
      <w:tr w:rsidR="001178F8" w:rsidRPr="00D57783" w:rsidTr="004B6BEB">
        <w:trPr>
          <w:trHeight w:val="480"/>
        </w:trPr>
        <w:tc>
          <w:tcPr>
            <w:tcW w:w="1458" w:type="pct"/>
            <w:vMerge/>
            <w:tcBorders>
              <w:top w:val="nil"/>
              <w:left w:val="single" w:sz="4" w:space="0" w:color="auto"/>
              <w:bottom w:val="single" w:sz="4" w:space="0" w:color="auto"/>
              <w:right w:val="single" w:sz="4" w:space="0" w:color="auto"/>
            </w:tcBorders>
            <w:vAlign w:val="center"/>
            <w:hideMark/>
          </w:tcPr>
          <w:p w:rsidR="001178F8" w:rsidRPr="00D57783" w:rsidRDefault="001178F8" w:rsidP="001178F8">
            <w:pPr>
              <w:spacing w:after="0" w:line="240" w:lineRule="auto"/>
              <w:rPr>
                <w:rFonts w:ascii="Arial" w:eastAsia="Times New Roman" w:hAnsi="Arial" w:cs="Arial"/>
                <w:color w:val="262626"/>
                <w:sz w:val="18"/>
                <w:szCs w:val="20"/>
              </w:rPr>
            </w:pP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of women</w:t>
            </w:r>
          </w:p>
        </w:tc>
        <w:tc>
          <w:tcPr>
            <w:tcW w:w="936" w:type="pct"/>
            <w:vMerge/>
            <w:tcBorders>
              <w:top w:val="nil"/>
              <w:left w:val="single" w:sz="4" w:space="0" w:color="auto"/>
              <w:bottom w:val="single" w:sz="4" w:space="0" w:color="auto"/>
              <w:right w:val="single" w:sz="4" w:space="0" w:color="auto"/>
            </w:tcBorders>
            <w:vAlign w:val="center"/>
            <w:hideMark/>
          </w:tcPr>
          <w:p w:rsidR="001178F8" w:rsidRPr="00D57783" w:rsidRDefault="001178F8" w:rsidP="001178F8">
            <w:pPr>
              <w:spacing w:after="0" w:line="240" w:lineRule="auto"/>
              <w:rPr>
                <w:rFonts w:ascii="Arial" w:eastAsia="Times New Roman" w:hAnsi="Arial" w:cs="Arial"/>
                <w:color w:val="262626"/>
                <w:sz w:val="18"/>
                <w:szCs w:val="20"/>
              </w:rPr>
            </w:pPr>
          </w:p>
        </w:tc>
        <w:tc>
          <w:tcPr>
            <w:tcW w:w="1554" w:type="pct"/>
            <w:vMerge/>
            <w:tcBorders>
              <w:top w:val="nil"/>
              <w:left w:val="single" w:sz="4" w:space="0" w:color="auto"/>
              <w:bottom w:val="single" w:sz="4" w:space="0" w:color="000000"/>
              <w:right w:val="single" w:sz="4" w:space="0" w:color="auto"/>
            </w:tcBorders>
            <w:vAlign w:val="center"/>
            <w:hideMark/>
          </w:tcPr>
          <w:p w:rsidR="001178F8" w:rsidRPr="00D57783" w:rsidRDefault="001178F8" w:rsidP="001178F8">
            <w:pPr>
              <w:spacing w:after="0" w:line="240" w:lineRule="auto"/>
              <w:rPr>
                <w:rFonts w:ascii="Arial" w:eastAsia="Times New Roman" w:hAnsi="Arial" w:cs="Arial"/>
                <w:color w:val="262626"/>
                <w:sz w:val="18"/>
                <w:szCs w:val="20"/>
              </w:rPr>
            </w:pPr>
          </w:p>
        </w:tc>
      </w:tr>
      <w:tr w:rsidR="001178F8" w:rsidRPr="00D57783"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DAEEF3"/>
            <w:vAlign w:val="center"/>
            <w:hideMark/>
          </w:tcPr>
          <w:p w:rsidR="001178F8" w:rsidRPr="00D57783" w:rsidRDefault="001178F8" w:rsidP="001178F8">
            <w:pPr>
              <w:spacing w:after="0" w:line="240" w:lineRule="auto"/>
              <w:rPr>
                <w:rFonts w:ascii="Arial" w:eastAsia="Times New Roman" w:hAnsi="Arial" w:cs="Arial"/>
                <w:b/>
                <w:bCs/>
                <w:color w:val="auto"/>
                <w:sz w:val="18"/>
                <w:szCs w:val="20"/>
              </w:rPr>
            </w:pPr>
            <w:r w:rsidRPr="00D57783">
              <w:rPr>
                <w:rFonts w:ascii="Arial" w:eastAsia="Times New Roman" w:hAnsi="Arial" w:cs="Arial"/>
                <w:b/>
                <w:bCs/>
                <w:color w:val="auto"/>
                <w:sz w:val="18"/>
                <w:szCs w:val="20"/>
              </w:rPr>
              <w:t>Expected Result 5: Increase private sector participation to develop an LNG project</w:t>
            </w:r>
          </w:p>
        </w:tc>
      </w:tr>
      <w:tr w:rsidR="001178F8" w:rsidRPr="00D57783" w:rsidTr="004B6BEB">
        <w:trPr>
          <w:trHeight w:val="765"/>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xml:space="preserve">Bidding documents developed to secure 18 </w:t>
            </w:r>
            <w:proofErr w:type="spellStart"/>
            <w:r w:rsidRPr="00D57783">
              <w:rPr>
                <w:rFonts w:ascii="Arial" w:eastAsia="Times New Roman" w:hAnsi="Arial" w:cs="Arial"/>
                <w:color w:val="262626"/>
                <w:sz w:val="18"/>
                <w:szCs w:val="20"/>
              </w:rPr>
              <w:t>mmcfd</w:t>
            </w:r>
            <w:proofErr w:type="spellEnd"/>
            <w:r w:rsidRPr="00D57783">
              <w:rPr>
                <w:rFonts w:ascii="Arial" w:eastAsia="Times New Roman" w:hAnsi="Arial" w:cs="Arial"/>
                <w:color w:val="262626"/>
                <w:sz w:val="18"/>
                <w:szCs w:val="20"/>
              </w:rPr>
              <w:t xml:space="preserve"> supply of LNG using a PPP scheme</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Bidding documents package</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xml:space="preserve">Bidding documents which will be attached to the Semi-annual reports from NPC/BNOCL. </w:t>
            </w:r>
          </w:p>
        </w:tc>
      </w:tr>
      <w:tr w:rsidR="001178F8" w:rsidRPr="00D57783" w:rsidTr="004B6BEB">
        <w:trPr>
          <w:trHeight w:val="765"/>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Bidding documents developed to select a private sector partner for a PPP LNG project</w:t>
            </w:r>
          </w:p>
        </w:tc>
        <w:tc>
          <w:tcPr>
            <w:tcW w:w="1052"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Bidding documents package</w:t>
            </w:r>
          </w:p>
        </w:tc>
        <w:tc>
          <w:tcPr>
            <w:tcW w:w="936"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Semi-Annually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D57783" w:rsidRDefault="001178F8" w:rsidP="001178F8">
            <w:pPr>
              <w:spacing w:after="0" w:line="240" w:lineRule="auto"/>
              <w:jc w:val="center"/>
              <w:rPr>
                <w:rFonts w:ascii="Arial" w:eastAsia="Times New Roman" w:hAnsi="Arial" w:cs="Arial"/>
                <w:color w:val="262626"/>
                <w:sz w:val="18"/>
                <w:szCs w:val="20"/>
              </w:rPr>
            </w:pPr>
            <w:r w:rsidRPr="00D57783">
              <w:rPr>
                <w:rFonts w:ascii="Arial" w:eastAsia="Times New Roman" w:hAnsi="Arial" w:cs="Arial"/>
                <w:color w:val="262626"/>
                <w:sz w:val="18"/>
                <w:szCs w:val="20"/>
              </w:rPr>
              <w:t xml:space="preserve">Bidding documents which will be attached to the Semi-annual reports from NPC/BNOCL. </w:t>
            </w:r>
          </w:p>
        </w:tc>
      </w:tr>
    </w:tbl>
    <w:p w:rsidR="00761CA9" w:rsidRPr="00567F29" w:rsidRDefault="00761CA9" w:rsidP="005F7D46">
      <w:pPr>
        <w:jc w:val="both"/>
        <w:rPr>
          <w:rFonts w:ascii="Arial" w:hAnsi="Arial" w:cs="Arial"/>
          <w:sz w:val="18"/>
          <w:szCs w:val="20"/>
        </w:rPr>
      </w:pPr>
    </w:p>
    <w:p w:rsidR="00761CA9" w:rsidRPr="00567F29" w:rsidRDefault="0027214B" w:rsidP="005F7D46">
      <w:pPr>
        <w:jc w:val="both"/>
        <w:rPr>
          <w:rFonts w:ascii="Arial" w:hAnsi="Arial" w:cs="Arial"/>
          <w:sz w:val="22"/>
        </w:rPr>
      </w:pPr>
      <w:r w:rsidRPr="00567F29">
        <w:rPr>
          <w:rFonts w:ascii="Arial" w:hAnsi="Arial" w:cs="Arial"/>
          <w:sz w:val="22"/>
        </w:rPr>
        <w:t xml:space="preserve">These indicators </w:t>
      </w:r>
      <w:r w:rsidR="00980C34" w:rsidRPr="00567F29">
        <w:rPr>
          <w:rFonts w:ascii="Arial" w:hAnsi="Arial" w:cs="Arial"/>
          <w:sz w:val="22"/>
        </w:rPr>
        <w:t xml:space="preserve">and their expected timing are </w:t>
      </w:r>
      <w:r w:rsidRPr="00567F29">
        <w:rPr>
          <w:rFonts w:ascii="Arial" w:hAnsi="Arial" w:cs="Arial"/>
          <w:sz w:val="22"/>
        </w:rPr>
        <w:t xml:space="preserve">defined in the </w:t>
      </w:r>
      <w:r w:rsidR="00980C34" w:rsidRPr="00567F29">
        <w:rPr>
          <w:rFonts w:ascii="Arial" w:hAnsi="Arial" w:cs="Arial"/>
          <w:sz w:val="22"/>
        </w:rPr>
        <w:t>R</w:t>
      </w:r>
      <w:r w:rsidRPr="00567F29">
        <w:rPr>
          <w:rFonts w:ascii="Arial" w:hAnsi="Arial" w:cs="Arial"/>
          <w:sz w:val="22"/>
        </w:rPr>
        <w:t xml:space="preserve">esults </w:t>
      </w:r>
      <w:r w:rsidR="00980C34" w:rsidRPr="00567F29">
        <w:rPr>
          <w:rFonts w:ascii="Arial" w:hAnsi="Arial" w:cs="Arial"/>
          <w:sz w:val="22"/>
        </w:rPr>
        <w:t>M</w:t>
      </w:r>
      <w:r w:rsidRPr="00567F29">
        <w:rPr>
          <w:rFonts w:ascii="Arial" w:hAnsi="Arial" w:cs="Arial"/>
          <w:sz w:val="22"/>
        </w:rPr>
        <w:t xml:space="preserve">atrix. </w:t>
      </w:r>
      <w:r w:rsidR="00936F16" w:rsidRPr="00567F29">
        <w:rPr>
          <w:rFonts w:ascii="Arial" w:hAnsi="Arial" w:cs="Arial"/>
          <w:sz w:val="22"/>
        </w:rPr>
        <w:t xml:space="preserve">Baseline data for each of the indicators exists through NPC’s management and monitoring of its business operations, through </w:t>
      </w:r>
      <w:r w:rsidR="00CB16FB" w:rsidRPr="00567F29">
        <w:rPr>
          <w:rFonts w:ascii="Arial" w:hAnsi="Arial" w:cs="Arial"/>
          <w:sz w:val="22"/>
        </w:rPr>
        <w:t>BL&amp;P</w:t>
      </w:r>
      <w:r w:rsidR="00936F16" w:rsidRPr="00567F29">
        <w:rPr>
          <w:rFonts w:ascii="Arial" w:hAnsi="Arial" w:cs="Arial"/>
          <w:sz w:val="22"/>
        </w:rPr>
        <w:t xml:space="preserve">’s management and monitoring of its business operations, or through Barbados’ monitoring and analysis as part of its commitments under the UNFCCC. The </w:t>
      </w:r>
      <w:r w:rsidR="0040641B" w:rsidRPr="00567F29">
        <w:rPr>
          <w:rFonts w:ascii="Arial" w:hAnsi="Arial" w:cs="Arial"/>
          <w:sz w:val="22"/>
        </w:rPr>
        <w:t>PEU</w:t>
      </w:r>
      <w:r w:rsidR="00936F16" w:rsidRPr="00567F29">
        <w:rPr>
          <w:rFonts w:ascii="Arial" w:hAnsi="Arial" w:cs="Arial"/>
          <w:sz w:val="22"/>
        </w:rPr>
        <w:t xml:space="preserve"> will be responsible for gathering the required baseline data and monitoring the evolution of these indictors. </w:t>
      </w:r>
    </w:p>
    <w:p w:rsidR="00521E19" w:rsidRPr="00567F29" w:rsidRDefault="00521E19" w:rsidP="005F7D46">
      <w:pPr>
        <w:jc w:val="both"/>
        <w:rPr>
          <w:rFonts w:ascii="Arial" w:hAnsi="Arial" w:cs="Arial"/>
          <w:sz w:val="22"/>
        </w:rPr>
      </w:pPr>
      <w:r w:rsidRPr="00567F29">
        <w:rPr>
          <w:rFonts w:ascii="Arial" w:hAnsi="Arial" w:cs="Arial"/>
          <w:sz w:val="22"/>
        </w:rPr>
        <w:t>The following table shows the Physical Progress as planned during project execution by Output and Component.</w:t>
      </w:r>
    </w:p>
    <w:p w:rsidR="001419E2" w:rsidRDefault="001419E2">
      <w:pPr>
        <w:rPr>
          <w:rFonts w:ascii="Arial" w:hAnsi="Arial" w:cs="Arial"/>
          <w:sz w:val="22"/>
        </w:rPr>
      </w:pPr>
      <w:r>
        <w:rPr>
          <w:rFonts w:ascii="Arial" w:hAnsi="Arial" w:cs="Arial"/>
          <w:sz w:val="22"/>
        </w:rPr>
        <w:br w:type="page"/>
      </w:r>
    </w:p>
    <w:p w:rsidR="004B6BEB" w:rsidRDefault="004B6BEB" w:rsidP="00521E19">
      <w:pPr>
        <w:pStyle w:val="Caption"/>
        <w:jc w:val="both"/>
        <w:rPr>
          <w:rFonts w:ascii="Arial" w:hAnsi="Arial" w:cs="Arial"/>
          <w:sz w:val="22"/>
        </w:rPr>
        <w:sectPr w:rsidR="004B6BEB" w:rsidSect="001419E2">
          <w:pgSz w:w="12240" w:h="15840"/>
          <w:pgMar w:top="1440" w:right="1440" w:bottom="1440" w:left="1440" w:header="720" w:footer="720" w:gutter="0"/>
          <w:cols w:space="720"/>
          <w:docGrid w:linePitch="360"/>
        </w:sectPr>
      </w:pPr>
    </w:p>
    <w:p w:rsidR="00521E19" w:rsidRPr="00567F29" w:rsidRDefault="00521E19" w:rsidP="00521E19">
      <w:pPr>
        <w:pStyle w:val="Caption"/>
        <w:jc w:val="both"/>
        <w:rPr>
          <w:rFonts w:ascii="Arial" w:hAnsi="Arial" w:cs="Arial"/>
          <w:sz w:val="22"/>
        </w:rPr>
      </w:pPr>
      <w:r w:rsidRPr="00567F29">
        <w:rPr>
          <w:rFonts w:ascii="Arial" w:hAnsi="Arial" w:cs="Arial"/>
          <w:sz w:val="22"/>
        </w:rPr>
        <w:lastRenderedPageBreak/>
        <w:t>Table 2: Project Execution Timeline by Output and Milestone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1"/>
        <w:gridCol w:w="1472"/>
        <w:gridCol w:w="1033"/>
        <w:gridCol w:w="849"/>
        <w:gridCol w:w="849"/>
        <w:gridCol w:w="849"/>
        <w:gridCol w:w="849"/>
        <w:gridCol w:w="849"/>
        <w:gridCol w:w="849"/>
        <w:gridCol w:w="859"/>
        <w:gridCol w:w="1897"/>
      </w:tblGrid>
      <w:tr w:rsidR="008B325D" w:rsidRPr="00D57783" w:rsidTr="004B6BEB">
        <w:trPr>
          <w:trHeight w:val="765"/>
          <w:tblHeader/>
        </w:trPr>
        <w:tc>
          <w:tcPr>
            <w:tcW w:w="1071"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Indicator</w:t>
            </w:r>
          </w:p>
        </w:tc>
        <w:tc>
          <w:tcPr>
            <w:tcW w:w="559"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Unit</w:t>
            </w:r>
          </w:p>
        </w:tc>
        <w:tc>
          <w:tcPr>
            <w:tcW w:w="392"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Baseline (2015)</w:t>
            </w:r>
          </w:p>
        </w:tc>
        <w:tc>
          <w:tcPr>
            <w:tcW w:w="322"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Year 1</w:t>
            </w:r>
          </w:p>
        </w:tc>
        <w:tc>
          <w:tcPr>
            <w:tcW w:w="322"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Year 2</w:t>
            </w:r>
          </w:p>
        </w:tc>
        <w:tc>
          <w:tcPr>
            <w:tcW w:w="322"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Year 3</w:t>
            </w:r>
          </w:p>
        </w:tc>
        <w:tc>
          <w:tcPr>
            <w:tcW w:w="322"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Year 4</w:t>
            </w:r>
          </w:p>
        </w:tc>
        <w:tc>
          <w:tcPr>
            <w:tcW w:w="322"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Year 5</w:t>
            </w:r>
          </w:p>
        </w:tc>
        <w:tc>
          <w:tcPr>
            <w:tcW w:w="322"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Year 6</w:t>
            </w:r>
          </w:p>
        </w:tc>
        <w:tc>
          <w:tcPr>
            <w:tcW w:w="326"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Final Target (EOP)</w:t>
            </w:r>
          </w:p>
        </w:tc>
        <w:tc>
          <w:tcPr>
            <w:tcW w:w="723" w:type="pct"/>
            <w:shd w:val="clear" w:color="000000" w:fill="262626"/>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Source of Verification</w:t>
            </w:r>
          </w:p>
        </w:tc>
      </w:tr>
      <w:tr w:rsidR="008B325D" w:rsidRPr="00D57783" w:rsidTr="004B6BEB">
        <w:trPr>
          <w:trHeight w:val="255"/>
        </w:trPr>
        <w:tc>
          <w:tcPr>
            <w:tcW w:w="5000" w:type="pct"/>
            <w:gridSpan w:val="11"/>
            <w:shd w:val="clear" w:color="000000" w:fill="215967"/>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Component 1: Natural Gas Infrastructure</w:t>
            </w:r>
          </w:p>
        </w:tc>
      </w:tr>
      <w:tr w:rsidR="008B325D" w:rsidRPr="00D57783" w:rsidTr="004B6BEB">
        <w:trPr>
          <w:trHeight w:val="255"/>
        </w:trPr>
        <w:tc>
          <w:tcPr>
            <w:tcW w:w="5000" w:type="pct"/>
            <w:gridSpan w:val="11"/>
            <w:shd w:val="clear" w:color="000000" w:fill="DAEEF3"/>
            <w:vAlign w:val="center"/>
            <w:hideMark/>
          </w:tcPr>
          <w:p w:rsidR="008B325D" w:rsidRPr="00D57783" w:rsidRDefault="008B325D" w:rsidP="00EF4E98">
            <w:pPr>
              <w:spacing w:after="0" w:line="240" w:lineRule="auto"/>
              <w:rPr>
                <w:rFonts w:ascii="Arial" w:eastAsia="Times New Roman" w:hAnsi="Arial" w:cs="Arial"/>
                <w:b/>
                <w:bCs/>
                <w:color w:val="auto"/>
                <w:sz w:val="20"/>
                <w:szCs w:val="20"/>
              </w:rPr>
            </w:pPr>
            <w:r w:rsidRPr="00D57783">
              <w:rPr>
                <w:rFonts w:ascii="Arial" w:eastAsia="Times New Roman" w:hAnsi="Arial" w:cs="Arial"/>
                <w:b/>
                <w:bCs/>
                <w:color w:val="auto"/>
                <w:sz w:val="20"/>
                <w:szCs w:val="20"/>
              </w:rPr>
              <w:t>Component 1 Outputs</w:t>
            </w:r>
          </w:p>
        </w:tc>
      </w:tr>
      <w:tr w:rsidR="008B325D" w:rsidRPr="00D57783" w:rsidTr="004B6BEB">
        <w:trPr>
          <w:trHeight w:val="765"/>
        </w:trPr>
        <w:tc>
          <w:tcPr>
            <w:tcW w:w="1071" w:type="pct"/>
            <w:shd w:val="clear" w:color="auto" w:fill="auto"/>
            <w:vAlign w:val="center"/>
            <w:hideMark/>
          </w:tcPr>
          <w:p w:rsidR="008B325D" w:rsidRPr="00D57783" w:rsidRDefault="008B325D" w:rsidP="00EF4E98">
            <w:pPr>
              <w:spacing w:after="0" w:line="240" w:lineRule="auto"/>
              <w:rPr>
                <w:rFonts w:ascii="Arial" w:eastAsia="Times New Roman" w:hAnsi="Arial" w:cs="Arial"/>
                <w:color w:val="262626"/>
                <w:sz w:val="20"/>
                <w:szCs w:val="20"/>
              </w:rPr>
            </w:pPr>
            <w:r w:rsidRPr="00D57783">
              <w:rPr>
                <w:rFonts w:ascii="Arial" w:eastAsia="Times New Roman" w:hAnsi="Arial" w:cs="Arial"/>
                <w:color w:val="262626"/>
                <w:sz w:val="20"/>
                <w:szCs w:val="20"/>
              </w:rPr>
              <w:t>Monitoring and control systems upgraded/replaced</w:t>
            </w:r>
            <w:r w:rsidR="00DC6619">
              <w:rPr>
                <w:rStyle w:val="FootnoteReference"/>
                <w:rFonts w:eastAsia="Times New Roman" w:cs="Arial"/>
                <w:color w:val="262626"/>
                <w:sz w:val="20"/>
                <w:szCs w:val="20"/>
              </w:rPr>
              <w:footnoteReference w:id="1"/>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of systems upgraded or replaced</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3</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Semi-annual reports from NPC/BNOCL </w:t>
            </w:r>
          </w:p>
        </w:tc>
      </w:tr>
      <w:tr w:rsidR="008B325D" w:rsidRPr="00D57783" w:rsidTr="004B6BEB">
        <w:trPr>
          <w:trHeight w:val="1275"/>
        </w:trPr>
        <w:tc>
          <w:tcPr>
            <w:tcW w:w="1071" w:type="pct"/>
            <w:shd w:val="clear" w:color="auto" w:fill="auto"/>
            <w:vAlign w:val="center"/>
            <w:hideMark/>
          </w:tcPr>
          <w:p w:rsidR="008B325D" w:rsidRPr="00D57783" w:rsidRDefault="008B325D" w:rsidP="00EF4E98">
            <w:pPr>
              <w:spacing w:after="0" w:line="240" w:lineRule="auto"/>
              <w:rPr>
                <w:rFonts w:ascii="Arial" w:eastAsia="Times New Roman" w:hAnsi="Arial" w:cs="Arial"/>
                <w:color w:val="262626"/>
                <w:sz w:val="20"/>
                <w:szCs w:val="20"/>
              </w:rPr>
            </w:pPr>
            <w:r w:rsidRPr="00D57783">
              <w:rPr>
                <w:rFonts w:ascii="Arial" w:eastAsia="Times New Roman" w:hAnsi="Arial" w:cs="Arial"/>
                <w:color w:val="262626"/>
                <w:sz w:val="20"/>
                <w:szCs w:val="20"/>
              </w:rPr>
              <w:t>Pipelines for transmission and distribution replaced, realigned and/or installed</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Km of pipeline installed, replaced, realigned and installed</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2</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4</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4</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10</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Semi-annual reports from NPC/BNOCL </w:t>
            </w:r>
          </w:p>
        </w:tc>
      </w:tr>
      <w:tr w:rsidR="008B325D" w:rsidRPr="00D57783" w:rsidTr="004B6BEB">
        <w:trPr>
          <w:trHeight w:val="765"/>
        </w:trPr>
        <w:tc>
          <w:tcPr>
            <w:tcW w:w="1071" w:type="pct"/>
            <w:shd w:val="clear" w:color="auto" w:fill="auto"/>
            <w:vAlign w:val="center"/>
            <w:hideMark/>
          </w:tcPr>
          <w:p w:rsidR="008B325D" w:rsidRPr="00D57783" w:rsidRDefault="008B325D" w:rsidP="00EF4E98">
            <w:pPr>
              <w:spacing w:after="0" w:line="240" w:lineRule="auto"/>
              <w:rPr>
                <w:rFonts w:ascii="Arial" w:eastAsia="Times New Roman" w:hAnsi="Arial" w:cs="Arial"/>
                <w:color w:val="262626"/>
                <w:sz w:val="20"/>
                <w:szCs w:val="20"/>
              </w:rPr>
            </w:pPr>
            <w:r w:rsidRPr="00D57783">
              <w:rPr>
                <w:rFonts w:ascii="Arial" w:eastAsia="Times New Roman" w:hAnsi="Arial" w:cs="Arial"/>
                <w:color w:val="262626"/>
                <w:sz w:val="20"/>
                <w:szCs w:val="20"/>
              </w:rPr>
              <w:t>NG distribution stations upgraded</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stations</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Semi-annual reports from NPC/BNOCL</w:t>
            </w:r>
          </w:p>
        </w:tc>
      </w:tr>
      <w:tr w:rsidR="008B325D" w:rsidRPr="00D57783" w:rsidTr="004B6BEB">
        <w:trPr>
          <w:trHeight w:val="765"/>
        </w:trPr>
        <w:tc>
          <w:tcPr>
            <w:tcW w:w="1071" w:type="pct"/>
            <w:shd w:val="clear" w:color="auto" w:fill="auto"/>
            <w:vAlign w:val="center"/>
            <w:hideMark/>
          </w:tcPr>
          <w:p w:rsidR="008B325D" w:rsidRPr="00D57783" w:rsidRDefault="008B325D" w:rsidP="00EF4E98">
            <w:pPr>
              <w:spacing w:after="0" w:line="240" w:lineRule="auto"/>
              <w:rPr>
                <w:rFonts w:ascii="Arial" w:eastAsia="Times New Roman" w:hAnsi="Arial" w:cs="Arial"/>
                <w:color w:val="262626"/>
                <w:sz w:val="20"/>
                <w:szCs w:val="20"/>
              </w:rPr>
            </w:pPr>
            <w:r w:rsidRPr="00D57783">
              <w:rPr>
                <w:rFonts w:ascii="Arial" w:eastAsia="Times New Roman" w:hAnsi="Arial" w:cs="Arial"/>
                <w:color w:val="262626"/>
                <w:sz w:val="20"/>
                <w:szCs w:val="20"/>
              </w:rPr>
              <w:t>On-road NG distribution fleet acquired or modernized</w:t>
            </w:r>
            <w:r w:rsidR="00DC6619">
              <w:rPr>
                <w:rStyle w:val="FootnoteReference"/>
                <w:rFonts w:eastAsia="Times New Roman" w:cs="Arial"/>
                <w:color w:val="262626"/>
                <w:sz w:val="20"/>
                <w:szCs w:val="20"/>
              </w:rPr>
              <w:footnoteReference w:id="2"/>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vehicles</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7</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7</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Semi-annual reports from NPC/BNOCL</w:t>
            </w:r>
          </w:p>
        </w:tc>
      </w:tr>
      <w:tr w:rsidR="008B325D" w:rsidRPr="00D57783" w:rsidTr="004B6BEB">
        <w:trPr>
          <w:trHeight w:val="765"/>
        </w:trPr>
        <w:tc>
          <w:tcPr>
            <w:tcW w:w="1071" w:type="pct"/>
            <w:shd w:val="clear" w:color="auto" w:fill="auto"/>
            <w:vAlign w:val="center"/>
            <w:hideMark/>
          </w:tcPr>
          <w:p w:rsidR="008B325D" w:rsidRPr="00D57783" w:rsidRDefault="008B325D" w:rsidP="00EF4E98">
            <w:pPr>
              <w:spacing w:after="0" w:line="240" w:lineRule="auto"/>
              <w:rPr>
                <w:rFonts w:ascii="Arial" w:eastAsia="Times New Roman" w:hAnsi="Arial" w:cs="Arial"/>
                <w:color w:val="262626"/>
                <w:sz w:val="20"/>
                <w:szCs w:val="20"/>
              </w:rPr>
            </w:pPr>
            <w:r w:rsidRPr="00D57783">
              <w:rPr>
                <w:rFonts w:ascii="Arial" w:eastAsia="Times New Roman" w:hAnsi="Arial" w:cs="Arial"/>
                <w:color w:val="262626"/>
                <w:sz w:val="20"/>
                <w:szCs w:val="20"/>
              </w:rPr>
              <w:t>Micro LNG Plant at Woodbourne expanded</w:t>
            </w:r>
            <w:r w:rsidR="00DC6619">
              <w:rPr>
                <w:rStyle w:val="FootnoteReference"/>
                <w:rFonts w:eastAsia="Times New Roman" w:cs="Arial"/>
                <w:color w:val="262626"/>
                <w:sz w:val="20"/>
                <w:szCs w:val="20"/>
              </w:rPr>
              <w:footnoteReference w:id="3"/>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Binary (No/Yes)</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Semi-annual reports from NPC/BNOCL </w:t>
            </w:r>
          </w:p>
        </w:tc>
      </w:tr>
      <w:tr w:rsidR="008B325D" w:rsidRPr="00D57783" w:rsidTr="004B6BEB">
        <w:trPr>
          <w:trHeight w:val="255"/>
        </w:trPr>
        <w:tc>
          <w:tcPr>
            <w:tcW w:w="5000" w:type="pct"/>
            <w:gridSpan w:val="11"/>
            <w:shd w:val="clear" w:color="000000" w:fill="215967"/>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Component 2: Smart Energy Solutions</w:t>
            </w:r>
          </w:p>
        </w:tc>
      </w:tr>
      <w:tr w:rsidR="008B325D" w:rsidRPr="00D57783" w:rsidTr="004B6BEB">
        <w:trPr>
          <w:trHeight w:val="255"/>
        </w:trPr>
        <w:tc>
          <w:tcPr>
            <w:tcW w:w="5000" w:type="pct"/>
            <w:gridSpan w:val="11"/>
            <w:shd w:val="clear" w:color="000000" w:fill="DAEEF3"/>
            <w:vAlign w:val="center"/>
            <w:hideMark/>
          </w:tcPr>
          <w:p w:rsidR="008B325D" w:rsidRPr="00D57783" w:rsidRDefault="008B325D" w:rsidP="00EF4E98">
            <w:pPr>
              <w:spacing w:after="0" w:line="240" w:lineRule="auto"/>
              <w:rPr>
                <w:rFonts w:ascii="Arial" w:eastAsia="Times New Roman" w:hAnsi="Arial" w:cs="Arial"/>
                <w:b/>
                <w:bCs/>
                <w:color w:val="auto"/>
                <w:sz w:val="20"/>
                <w:szCs w:val="20"/>
              </w:rPr>
            </w:pPr>
            <w:r w:rsidRPr="00D57783">
              <w:rPr>
                <w:rFonts w:ascii="Arial" w:eastAsia="Times New Roman" w:hAnsi="Arial" w:cs="Arial"/>
                <w:b/>
                <w:bCs/>
                <w:color w:val="auto"/>
                <w:sz w:val="20"/>
                <w:szCs w:val="20"/>
              </w:rPr>
              <w:t>Component 2 Outputs</w:t>
            </w:r>
          </w:p>
        </w:tc>
      </w:tr>
      <w:tr w:rsidR="008B325D" w:rsidRPr="00D57783" w:rsidTr="004B6BEB">
        <w:trPr>
          <w:trHeight w:val="765"/>
        </w:trPr>
        <w:tc>
          <w:tcPr>
            <w:tcW w:w="1071"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RE capacity installed in NPC/BNOCL/newly created entity facilities</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kW</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300</w:t>
            </w:r>
          </w:p>
        </w:tc>
        <w:tc>
          <w:tcPr>
            <w:tcW w:w="322" w:type="pct"/>
            <w:shd w:val="clear" w:color="auto" w:fill="auto"/>
            <w:vAlign w:val="center"/>
            <w:hideMark/>
          </w:tcPr>
          <w:p w:rsidR="008B325D" w:rsidRPr="00D57783" w:rsidRDefault="00DC661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DC661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8</w:t>
            </w:r>
            <w:r w:rsidR="008B325D" w:rsidRPr="00D57783">
              <w:rPr>
                <w:rFonts w:ascii="Arial" w:eastAsia="Times New Roman" w:hAnsi="Arial" w:cs="Arial"/>
                <w:color w:val="262626"/>
                <w:sz w:val="20"/>
                <w:szCs w:val="20"/>
              </w:rPr>
              <w:t>50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1,150</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Semi-annual reports from NPC/BNOCL</w:t>
            </w:r>
            <w:r w:rsidR="00DC6619">
              <w:rPr>
                <w:rStyle w:val="FootnoteReference"/>
                <w:rFonts w:eastAsia="Times New Roman" w:cs="Arial"/>
                <w:color w:val="262626"/>
                <w:sz w:val="20"/>
                <w:szCs w:val="20"/>
              </w:rPr>
              <w:footnoteReference w:id="4"/>
            </w:r>
            <w:r w:rsidRPr="00D57783">
              <w:rPr>
                <w:rFonts w:ascii="Arial" w:eastAsia="Times New Roman" w:hAnsi="Arial" w:cs="Arial"/>
                <w:color w:val="262626"/>
                <w:sz w:val="20"/>
                <w:szCs w:val="20"/>
              </w:rPr>
              <w:t xml:space="preserve"> </w:t>
            </w:r>
          </w:p>
        </w:tc>
      </w:tr>
      <w:tr w:rsidR="008B325D" w:rsidRPr="00D57783" w:rsidTr="004B6BEB">
        <w:trPr>
          <w:trHeight w:val="1275"/>
        </w:trPr>
        <w:tc>
          <w:tcPr>
            <w:tcW w:w="1071"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lastRenderedPageBreak/>
              <w:t>Energy Efficiency and/or RE equipment installed in NPC/BNOCL/newly created entity’s operational and administrative facilities</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Binary (no/yes)</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1178F8"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1</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Semi-annual reports from NPC/BNOCL</w:t>
            </w:r>
            <w:r w:rsidR="00DC6619">
              <w:rPr>
                <w:rStyle w:val="FootnoteReference"/>
                <w:rFonts w:eastAsia="Times New Roman" w:cs="Arial"/>
                <w:color w:val="262626"/>
                <w:sz w:val="20"/>
                <w:szCs w:val="20"/>
              </w:rPr>
              <w:footnoteReference w:id="5"/>
            </w:r>
            <w:r w:rsidRPr="00D57783">
              <w:rPr>
                <w:rFonts w:ascii="Arial" w:eastAsia="Times New Roman" w:hAnsi="Arial" w:cs="Arial"/>
                <w:color w:val="262626"/>
                <w:sz w:val="20"/>
                <w:szCs w:val="20"/>
              </w:rPr>
              <w:t xml:space="preserve"> </w:t>
            </w:r>
          </w:p>
        </w:tc>
      </w:tr>
      <w:tr w:rsidR="008B325D" w:rsidRPr="00D57783" w:rsidTr="004B6BEB">
        <w:trPr>
          <w:trHeight w:val="255"/>
        </w:trPr>
        <w:tc>
          <w:tcPr>
            <w:tcW w:w="5000" w:type="pct"/>
            <w:gridSpan w:val="11"/>
            <w:shd w:val="clear" w:color="000000" w:fill="215967"/>
            <w:vAlign w:val="center"/>
            <w:hideMark/>
          </w:tcPr>
          <w:p w:rsidR="008B325D" w:rsidRPr="00D57783" w:rsidRDefault="008B325D" w:rsidP="00EF4E98">
            <w:pPr>
              <w:spacing w:after="0" w:line="240" w:lineRule="auto"/>
              <w:jc w:val="center"/>
              <w:rPr>
                <w:rFonts w:ascii="Arial" w:eastAsia="Times New Roman" w:hAnsi="Arial" w:cs="Arial"/>
                <w:color w:val="FFFFFF"/>
                <w:sz w:val="20"/>
                <w:szCs w:val="20"/>
              </w:rPr>
            </w:pPr>
            <w:r w:rsidRPr="00D57783">
              <w:rPr>
                <w:rFonts w:ascii="Arial" w:eastAsia="Times New Roman" w:hAnsi="Arial" w:cs="Arial"/>
                <w:color w:val="FFFFFF"/>
                <w:sz w:val="20"/>
                <w:szCs w:val="20"/>
              </w:rPr>
              <w:t>Component 3: Technical Advisory Services</w:t>
            </w:r>
          </w:p>
        </w:tc>
      </w:tr>
      <w:tr w:rsidR="008B325D" w:rsidRPr="00D57783" w:rsidTr="004B6BEB">
        <w:trPr>
          <w:trHeight w:val="255"/>
        </w:trPr>
        <w:tc>
          <w:tcPr>
            <w:tcW w:w="5000" w:type="pct"/>
            <w:gridSpan w:val="11"/>
            <w:shd w:val="clear" w:color="000000" w:fill="DAEEF3"/>
            <w:vAlign w:val="center"/>
            <w:hideMark/>
          </w:tcPr>
          <w:p w:rsidR="008B325D" w:rsidRPr="00D57783" w:rsidRDefault="008B325D" w:rsidP="00EF4E98">
            <w:pPr>
              <w:spacing w:after="0" w:line="240" w:lineRule="auto"/>
              <w:rPr>
                <w:rFonts w:ascii="Arial" w:eastAsia="Times New Roman" w:hAnsi="Arial" w:cs="Arial"/>
                <w:b/>
                <w:bCs/>
                <w:color w:val="auto"/>
                <w:sz w:val="20"/>
                <w:szCs w:val="20"/>
              </w:rPr>
            </w:pPr>
            <w:r w:rsidRPr="00D57783">
              <w:rPr>
                <w:rFonts w:ascii="Arial" w:eastAsia="Times New Roman" w:hAnsi="Arial" w:cs="Arial"/>
                <w:b/>
                <w:bCs/>
                <w:color w:val="auto"/>
                <w:sz w:val="20"/>
                <w:szCs w:val="20"/>
              </w:rPr>
              <w:t>Component 3 Outputs</w:t>
            </w:r>
          </w:p>
        </w:tc>
      </w:tr>
      <w:tr w:rsidR="008B325D" w:rsidRPr="00D57783" w:rsidTr="004B6BEB">
        <w:trPr>
          <w:trHeight w:val="2040"/>
        </w:trPr>
        <w:tc>
          <w:tcPr>
            <w:tcW w:w="1071"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Studies developed to improve NPC/BNOCL/newly created entity’s corporate governance, environmental, legal and regulatory functions, quality management systems, and information technology</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studies</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2</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4</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Semi-annual reports from NPC/BNOCL and final reports of the studies. </w:t>
            </w:r>
          </w:p>
        </w:tc>
      </w:tr>
      <w:tr w:rsidR="008B325D" w:rsidRPr="00D57783" w:rsidTr="004B6BEB">
        <w:trPr>
          <w:trHeight w:val="765"/>
        </w:trPr>
        <w:tc>
          <w:tcPr>
            <w:tcW w:w="1071" w:type="pct"/>
            <w:vMerge w:val="restar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NPC/BNOCL/newly created entity personnel trained in technical and management areas to support NG expansion.</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of men</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4</w:t>
            </w:r>
          </w:p>
        </w:tc>
        <w:tc>
          <w:tcPr>
            <w:tcW w:w="322"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4</w:t>
            </w:r>
          </w:p>
        </w:tc>
        <w:tc>
          <w:tcPr>
            <w:tcW w:w="322"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5</w:t>
            </w:r>
          </w:p>
        </w:tc>
        <w:tc>
          <w:tcPr>
            <w:tcW w:w="322"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5</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18</w:t>
            </w:r>
          </w:p>
        </w:tc>
        <w:tc>
          <w:tcPr>
            <w:tcW w:w="723" w:type="pct"/>
            <w:vMerge w:val="restar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Semi-annual reports from NPC/BNOCL </w:t>
            </w:r>
            <w:r w:rsidR="004F1C89">
              <w:rPr>
                <w:rFonts w:ascii="Arial" w:eastAsia="Times New Roman" w:hAnsi="Arial" w:cs="Arial"/>
                <w:color w:val="262626"/>
                <w:sz w:val="20"/>
                <w:szCs w:val="20"/>
              </w:rPr>
              <w:t>(a minimum of 7 women will be trained in technical and managerial areas)</w:t>
            </w:r>
          </w:p>
        </w:tc>
      </w:tr>
      <w:tr w:rsidR="008B325D" w:rsidRPr="00D57783" w:rsidTr="004B6BEB">
        <w:trPr>
          <w:trHeight w:val="585"/>
        </w:trPr>
        <w:tc>
          <w:tcPr>
            <w:tcW w:w="1071" w:type="pct"/>
            <w:vMerge/>
            <w:vAlign w:val="center"/>
            <w:hideMark/>
          </w:tcPr>
          <w:p w:rsidR="008B325D" w:rsidRPr="00D57783" w:rsidRDefault="008B325D" w:rsidP="00EF4E98">
            <w:pPr>
              <w:spacing w:after="0" w:line="240" w:lineRule="auto"/>
              <w:rPr>
                <w:rFonts w:ascii="Arial" w:eastAsia="Times New Roman" w:hAnsi="Arial" w:cs="Arial"/>
                <w:color w:val="262626"/>
                <w:sz w:val="20"/>
                <w:szCs w:val="20"/>
              </w:rPr>
            </w:pP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of women</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2</w:t>
            </w:r>
          </w:p>
        </w:tc>
        <w:tc>
          <w:tcPr>
            <w:tcW w:w="322"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2</w:t>
            </w:r>
          </w:p>
        </w:tc>
        <w:tc>
          <w:tcPr>
            <w:tcW w:w="322"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2</w:t>
            </w:r>
          </w:p>
        </w:tc>
        <w:tc>
          <w:tcPr>
            <w:tcW w:w="322"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4F1C89" w:rsidP="00EF4E98">
            <w:pPr>
              <w:spacing w:after="0" w:line="240" w:lineRule="auto"/>
              <w:jc w:val="center"/>
              <w:rPr>
                <w:rFonts w:ascii="Arial" w:eastAsia="Times New Roman" w:hAnsi="Arial" w:cs="Arial"/>
                <w:color w:val="262626"/>
                <w:sz w:val="20"/>
                <w:szCs w:val="20"/>
              </w:rPr>
            </w:pPr>
            <w:r>
              <w:rPr>
                <w:rFonts w:ascii="Arial" w:eastAsia="Times New Roman" w:hAnsi="Arial" w:cs="Arial"/>
                <w:color w:val="262626"/>
                <w:sz w:val="20"/>
                <w:szCs w:val="20"/>
              </w:rPr>
              <w:t>7</w:t>
            </w:r>
          </w:p>
        </w:tc>
        <w:tc>
          <w:tcPr>
            <w:tcW w:w="723" w:type="pct"/>
            <w:vMerge/>
            <w:vAlign w:val="center"/>
            <w:hideMark/>
          </w:tcPr>
          <w:p w:rsidR="008B325D" w:rsidRPr="00D57783" w:rsidRDefault="008B325D" w:rsidP="00EF4E98">
            <w:pPr>
              <w:spacing w:after="0" w:line="240" w:lineRule="auto"/>
              <w:rPr>
                <w:rFonts w:ascii="Arial" w:eastAsia="Times New Roman" w:hAnsi="Arial" w:cs="Arial"/>
                <w:color w:val="262626"/>
                <w:sz w:val="20"/>
                <w:szCs w:val="20"/>
              </w:rPr>
            </w:pPr>
          </w:p>
        </w:tc>
      </w:tr>
      <w:tr w:rsidR="008B325D" w:rsidRPr="00D57783" w:rsidTr="004B6BEB">
        <w:trPr>
          <w:trHeight w:val="1530"/>
        </w:trPr>
        <w:tc>
          <w:tcPr>
            <w:tcW w:w="1071"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Bidding documents developed to secure 18 </w:t>
            </w:r>
            <w:proofErr w:type="spellStart"/>
            <w:r w:rsidRPr="00D57783">
              <w:rPr>
                <w:rFonts w:ascii="Arial" w:eastAsia="Times New Roman" w:hAnsi="Arial" w:cs="Arial"/>
                <w:color w:val="262626"/>
                <w:sz w:val="20"/>
                <w:szCs w:val="20"/>
              </w:rPr>
              <w:t>mmcfd</w:t>
            </w:r>
            <w:proofErr w:type="spellEnd"/>
            <w:r w:rsidRPr="00D57783">
              <w:rPr>
                <w:rFonts w:ascii="Arial" w:eastAsia="Times New Roman" w:hAnsi="Arial" w:cs="Arial"/>
                <w:color w:val="262626"/>
                <w:sz w:val="20"/>
                <w:szCs w:val="20"/>
              </w:rPr>
              <w:t xml:space="preserve"> supply of LNG using a PPP scheme</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Bidding documents package</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Bidding documents which will be attached to the Semi-annual reports from NPC/BNOCL. </w:t>
            </w:r>
          </w:p>
        </w:tc>
      </w:tr>
      <w:tr w:rsidR="008B325D" w:rsidRPr="00D57783" w:rsidTr="004B6BEB">
        <w:trPr>
          <w:trHeight w:val="1530"/>
        </w:trPr>
        <w:tc>
          <w:tcPr>
            <w:tcW w:w="1071"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lastRenderedPageBreak/>
              <w:t>Bidding documents developed to select a private sector partner for a PPP LNG project</w:t>
            </w:r>
          </w:p>
        </w:tc>
        <w:tc>
          <w:tcPr>
            <w:tcW w:w="559"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Bidding documents package</w:t>
            </w:r>
          </w:p>
        </w:tc>
        <w:tc>
          <w:tcPr>
            <w:tcW w:w="39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2"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0</w:t>
            </w:r>
          </w:p>
        </w:tc>
        <w:tc>
          <w:tcPr>
            <w:tcW w:w="326"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1</w:t>
            </w:r>
          </w:p>
        </w:tc>
        <w:tc>
          <w:tcPr>
            <w:tcW w:w="723" w:type="pct"/>
            <w:shd w:val="clear" w:color="auto" w:fill="auto"/>
            <w:vAlign w:val="center"/>
            <w:hideMark/>
          </w:tcPr>
          <w:p w:rsidR="008B325D" w:rsidRPr="00D57783" w:rsidRDefault="008B325D" w:rsidP="00EF4E98">
            <w:pPr>
              <w:spacing w:after="0" w:line="240" w:lineRule="auto"/>
              <w:jc w:val="center"/>
              <w:rPr>
                <w:rFonts w:ascii="Arial" w:eastAsia="Times New Roman" w:hAnsi="Arial" w:cs="Arial"/>
                <w:color w:val="262626"/>
                <w:sz w:val="20"/>
                <w:szCs w:val="20"/>
              </w:rPr>
            </w:pPr>
            <w:r w:rsidRPr="00D57783">
              <w:rPr>
                <w:rFonts w:ascii="Arial" w:eastAsia="Times New Roman" w:hAnsi="Arial" w:cs="Arial"/>
                <w:color w:val="262626"/>
                <w:sz w:val="20"/>
                <w:szCs w:val="20"/>
              </w:rPr>
              <w:t xml:space="preserve">Bidding documents which will be attached to the Semi-annual reports from NPC/BNOCL. </w:t>
            </w:r>
          </w:p>
        </w:tc>
      </w:tr>
    </w:tbl>
    <w:p w:rsidR="004B6BEB" w:rsidRDefault="004B6BEB" w:rsidP="00521E19">
      <w:pPr>
        <w:jc w:val="both"/>
        <w:rPr>
          <w:rFonts w:ascii="Arial" w:hAnsi="Arial" w:cs="Arial"/>
          <w:sz w:val="22"/>
        </w:rPr>
      </w:pPr>
    </w:p>
    <w:p w:rsidR="004B6BEB" w:rsidRDefault="004B6BEB">
      <w:pPr>
        <w:rPr>
          <w:rFonts w:ascii="Arial" w:hAnsi="Arial" w:cs="Arial"/>
          <w:sz w:val="22"/>
        </w:rPr>
      </w:pPr>
      <w:r>
        <w:rPr>
          <w:rFonts w:ascii="Arial" w:hAnsi="Arial" w:cs="Arial"/>
          <w:sz w:val="22"/>
        </w:rPr>
        <w:br w:type="page"/>
      </w:r>
    </w:p>
    <w:p w:rsidR="004B6BEB" w:rsidRDefault="004B6BEB" w:rsidP="005F7D46">
      <w:pPr>
        <w:pStyle w:val="Heading2"/>
        <w:jc w:val="both"/>
        <w:rPr>
          <w:rFonts w:ascii="Arial" w:hAnsi="Arial" w:cs="Arial"/>
          <w:sz w:val="24"/>
        </w:rPr>
        <w:sectPr w:rsidR="004B6BEB" w:rsidSect="004B6BEB">
          <w:pgSz w:w="15840" w:h="12240" w:orient="landscape"/>
          <w:pgMar w:top="1440" w:right="1440" w:bottom="1440" w:left="1440" w:header="720" w:footer="720" w:gutter="0"/>
          <w:cols w:space="720"/>
          <w:docGrid w:linePitch="360"/>
        </w:sectPr>
      </w:pPr>
      <w:bookmarkStart w:id="3" w:name="_Toc464207161"/>
    </w:p>
    <w:p w:rsidR="00BD376C" w:rsidRPr="00567F29" w:rsidRDefault="00BD376C" w:rsidP="005F7D46">
      <w:pPr>
        <w:pStyle w:val="Heading2"/>
        <w:jc w:val="both"/>
        <w:rPr>
          <w:rFonts w:ascii="Arial" w:hAnsi="Arial" w:cs="Arial"/>
          <w:sz w:val="24"/>
        </w:rPr>
      </w:pPr>
      <w:r w:rsidRPr="00567F29">
        <w:rPr>
          <w:rFonts w:ascii="Arial" w:hAnsi="Arial" w:cs="Arial"/>
          <w:sz w:val="24"/>
        </w:rPr>
        <w:lastRenderedPageBreak/>
        <w:t>Data Collection and Instruments</w:t>
      </w:r>
      <w:r w:rsidR="00E72B26" w:rsidRPr="00567F29">
        <w:rPr>
          <w:rFonts w:ascii="Arial" w:hAnsi="Arial" w:cs="Arial"/>
          <w:sz w:val="24"/>
        </w:rPr>
        <w:t xml:space="preserve"> to Monitor the Project Indicators</w:t>
      </w:r>
      <w:bookmarkEnd w:id="3"/>
    </w:p>
    <w:p w:rsidR="00554D01" w:rsidRPr="00567F29" w:rsidRDefault="00554D01" w:rsidP="005F7D46">
      <w:pPr>
        <w:jc w:val="both"/>
        <w:rPr>
          <w:rFonts w:ascii="Arial" w:hAnsi="Arial" w:cs="Arial"/>
          <w:sz w:val="22"/>
        </w:rPr>
      </w:pPr>
      <w:r w:rsidRPr="00567F29">
        <w:rPr>
          <w:rFonts w:ascii="Arial" w:hAnsi="Arial" w:cs="Arial"/>
          <w:sz w:val="22"/>
        </w:rPr>
        <w:t xml:space="preserve">The National Petroleum Corporation (NPC) of Barbados, or the newly created NPC-BNOCL entity following the amalgamation of the two, will be the Project Executing Agency (EA). Within the NPC, a </w:t>
      </w:r>
      <w:r w:rsidR="0040641B" w:rsidRPr="00567F29">
        <w:rPr>
          <w:rFonts w:ascii="Arial" w:hAnsi="Arial" w:cs="Arial"/>
          <w:sz w:val="22"/>
        </w:rPr>
        <w:t>Project Executing Unit</w:t>
      </w:r>
      <w:r w:rsidRPr="00567F29">
        <w:rPr>
          <w:rFonts w:ascii="Arial" w:hAnsi="Arial" w:cs="Arial"/>
          <w:sz w:val="22"/>
        </w:rPr>
        <w:t xml:space="preserve"> (</w:t>
      </w:r>
      <w:r w:rsidR="0040641B" w:rsidRPr="00567F29">
        <w:rPr>
          <w:rFonts w:ascii="Arial" w:hAnsi="Arial" w:cs="Arial"/>
          <w:sz w:val="22"/>
        </w:rPr>
        <w:t>PEU</w:t>
      </w:r>
      <w:r w:rsidRPr="00567F29">
        <w:rPr>
          <w:rFonts w:ascii="Arial" w:hAnsi="Arial" w:cs="Arial"/>
          <w:sz w:val="22"/>
        </w:rPr>
        <w:t xml:space="preserve">) will be established and given primary responsibility for coordinating and executing the investments that will be financed by the Project. The </w:t>
      </w:r>
      <w:r w:rsidR="0040641B" w:rsidRPr="00567F29">
        <w:rPr>
          <w:rFonts w:ascii="Arial" w:hAnsi="Arial" w:cs="Arial"/>
          <w:sz w:val="22"/>
        </w:rPr>
        <w:t>PEU</w:t>
      </w:r>
      <w:r w:rsidRPr="00567F29">
        <w:rPr>
          <w:rFonts w:ascii="Arial" w:hAnsi="Arial" w:cs="Arial"/>
          <w:sz w:val="22"/>
        </w:rPr>
        <w:t xml:space="preserve"> will also have primary responsibility for all monitoring and evaluation activities related to the Project, including gathering the required data, analyzing progress toward the stated goals, and preparing the required progress and assessment reports.</w:t>
      </w:r>
    </w:p>
    <w:p w:rsidR="00354A25" w:rsidRPr="00567F29" w:rsidRDefault="00354A25" w:rsidP="005F7D46">
      <w:pPr>
        <w:jc w:val="both"/>
        <w:rPr>
          <w:rFonts w:ascii="Arial" w:hAnsi="Arial" w:cs="Arial"/>
          <w:sz w:val="22"/>
        </w:rPr>
      </w:pPr>
      <w:r w:rsidRPr="00567F29">
        <w:rPr>
          <w:rFonts w:ascii="Arial" w:hAnsi="Arial" w:cs="Arial"/>
          <w:sz w:val="22"/>
        </w:rPr>
        <w:t xml:space="preserve">The </w:t>
      </w:r>
      <w:r w:rsidR="0040641B" w:rsidRPr="00567F29">
        <w:rPr>
          <w:rFonts w:ascii="Arial" w:hAnsi="Arial" w:cs="Arial"/>
          <w:sz w:val="22"/>
        </w:rPr>
        <w:t>PEU</w:t>
      </w:r>
      <w:r w:rsidRPr="00567F29">
        <w:rPr>
          <w:rFonts w:ascii="Arial" w:hAnsi="Arial" w:cs="Arial"/>
          <w:sz w:val="22"/>
        </w:rPr>
        <w:t xml:space="preserve"> will develop the following activities to support the planning and execution of the Project:</w:t>
      </w:r>
    </w:p>
    <w:p w:rsidR="00354A25" w:rsidRPr="00567F29" w:rsidRDefault="00CB16FB" w:rsidP="005F7D46">
      <w:pPr>
        <w:pStyle w:val="ListParagraph"/>
        <w:numPr>
          <w:ilvl w:val="0"/>
          <w:numId w:val="24"/>
        </w:numPr>
        <w:jc w:val="both"/>
        <w:rPr>
          <w:rFonts w:ascii="Arial" w:hAnsi="Arial" w:cs="Arial"/>
          <w:b/>
          <w:sz w:val="22"/>
        </w:rPr>
      </w:pPr>
      <w:r w:rsidRPr="00567F29">
        <w:rPr>
          <w:rFonts w:ascii="Arial" w:hAnsi="Arial" w:cs="Arial"/>
          <w:b/>
          <w:sz w:val="22"/>
        </w:rPr>
        <w:t xml:space="preserve">Project </w:t>
      </w:r>
      <w:r w:rsidR="00354A25" w:rsidRPr="00567F29">
        <w:rPr>
          <w:rFonts w:ascii="Arial" w:hAnsi="Arial" w:cs="Arial"/>
          <w:b/>
          <w:sz w:val="22"/>
        </w:rPr>
        <w:t xml:space="preserve">Operations Manual (OM). </w:t>
      </w:r>
      <w:r w:rsidR="00354A25" w:rsidRPr="00567F29">
        <w:rPr>
          <w:rFonts w:ascii="Arial" w:hAnsi="Arial" w:cs="Arial"/>
          <w:sz w:val="22"/>
        </w:rPr>
        <w:t>The Project Operations Manual will detail</w:t>
      </w:r>
      <w:r w:rsidR="00C85CA0" w:rsidRPr="00567F29">
        <w:rPr>
          <w:rFonts w:ascii="Arial" w:hAnsi="Arial" w:cs="Arial"/>
          <w:sz w:val="22"/>
        </w:rPr>
        <w:t xml:space="preserve"> all roles, responsibilities, specific individual members, and operational arrangements that may be required for the </w:t>
      </w:r>
      <w:r w:rsidR="0040641B" w:rsidRPr="00567F29">
        <w:rPr>
          <w:rFonts w:ascii="Arial" w:hAnsi="Arial" w:cs="Arial"/>
          <w:sz w:val="22"/>
        </w:rPr>
        <w:t>PEU</w:t>
      </w:r>
      <w:r w:rsidR="00C85CA0" w:rsidRPr="00567F29">
        <w:rPr>
          <w:rFonts w:ascii="Arial" w:hAnsi="Arial" w:cs="Arial"/>
          <w:sz w:val="22"/>
        </w:rPr>
        <w:t xml:space="preserve"> to execute the Project. The OM must include th</w:t>
      </w:r>
      <w:r w:rsidRPr="00567F29">
        <w:rPr>
          <w:rFonts w:ascii="Arial" w:hAnsi="Arial" w:cs="Arial"/>
          <w:sz w:val="22"/>
        </w:rPr>
        <w:t>e principles and requirements f</w:t>
      </w:r>
      <w:r w:rsidR="00C85CA0" w:rsidRPr="00567F29">
        <w:rPr>
          <w:rFonts w:ascii="Arial" w:hAnsi="Arial" w:cs="Arial"/>
          <w:sz w:val="22"/>
        </w:rPr>
        <w:t>r</w:t>
      </w:r>
      <w:r w:rsidRPr="00567F29">
        <w:rPr>
          <w:rFonts w:ascii="Arial" w:hAnsi="Arial" w:cs="Arial"/>
          <w:sz w:val="22"/>
        </w:rPr>
        <w:t>o</w:t>
      </w:r>
      <w:r w:rsidR="00C85CA0" w:rsidRPr="00567F29">
        <w:rPr>
          <w:rFonts w:ascii="Arial" w:hAnsi="Arial" w:cs="Arial"/>
          <w:sz w:val="22"/>
        </w:rPr>
        <w:t xml:space="preserve">m the Environmental and Social Management Plan (ESMP) draft annexed to the Environmental and Social Assessment (ESA), as well as the terms of reference for each of the </w:t>
      </w:r>
      <w:r w:rsidR="0040641B" w:rsidRPr="00567F29">
        <w:rPr>
          <w:rFonts w:ascii="Arial" w:hAnsi="Arial" w:cs="Arial"/>
          <w:sz w:val="22"/>
        </w:rPr>
        <w:t>PEU</w:t>
      </w:r>
      <w:r w:rsidR="00C85CA0" w:rsidRPr="00567F29">
        <w:rPr>
          <w:rFonts w:ascii="Arial" w:hAnsi="Arial" w:cs="Arial"/>
          <w:sz w:val="22"/>
        </w:rPr>
        <w:t xml:space="preserve">’s members. The OM will also be used to revise and update existing planning instruments that will </w:t>
      </w:r>
      <w:r w:rsidR="008D5E46" w:rsidRPr="00567F29">
        <w:rPr>
          <w:rFonts w:ascii="Arial" w:hAnsi="Arial" w:cs="Arial"/>
          <w:sz w:val="22"/>
        </w:rPr>
        <w:t>form the</w:t>
      </w:r>
      <w:r w:rsidR="00C85CA0" w:rsidRPr="00567F29">
        <w:rPr>
          <w:rFonts w:ascii="Arial" w:hAnsi="Arial" w:cs="Arial"/>
          <w:sz w:val="22"/>
        </w:rPr>
        <w:t xml:space="preserve"> baseline for project monitoring and evaluation and as the initial entry for the project monitoring report (PMR). </w:t>
      </w:r>
      <w:r w:rsidR="008D5E46" w:rsidRPr="00567F29">
        <w:rPr>
          <w:rFonts w:ascii="Arial" w:hAnsi="Arial" w:cs="Arial"/>
          <w:sz w:val="22"/>
        </w:rPr>
        <w:t xml:space="preserve">These instruments include the Results Matrix, the Risk Matrix, the initial </w:t>
      </w:r>
      <w:proofErr w:type="spellStart"/>
      <w:r w:rsidR="008D5E46" w:rsidRPr="00567F29">
        <w:rPr>
          <w:rFonts w:ascii="Arial" w:hAnsi="Arial" w:cs="Arial"/>
          <w:sz w:val="22"/>
        </w:rPr>
        <w:t>Pluriannua</w:t>
      </w:r>
      <w:r w:rsidR="00F063E0" w:rsidRPr="00567F29">
        <w:rPr>
          <w:rFonts w:ascii="Arial" w:hAnsi="Arial" w:cs="Arial"/>
          <w:sz w:val="22"/>
        </w:rPr>
        <w:t>l</w:t>
      </w:r>
      <w:proofErr w:type="spellEnd"/>
      <w:r w:rsidR="00F063E0" w:rsidRPr="00567F29">
        <w:rPr>
          <w:rFonts w:ascii="Arial" w:hAnsi="Arial" w:cs="Arial"/>
          <w:sz w:val="22"/>
        </w:rPr>
        <w:t xml:space="preserve"> Execution Plan (PEP),</w:t>
      </w:r>
      <w:r w:rsidR="008D5E46" w:rsidRPr="00567F29">
        <w:rPr>
          <w:rFonts w:ascii="Arial" w:hAnsi="Arial" w:cs="Arial"/>
          <w:sz w:val="22"/>
        </w:rPr>
        <w:t xml:space="preserve"> the initial 12-month Annual Operating Plan (AOP)</w:t>
      </w:r>
      <w:r w:rsidR="00F063E0" w:rsidRPr="00567F29">
        <w:rPr>
          <w:rFonts w:ascii="Arial" w:hAnsi="Arial" w:cs="Arial"/>
          <w:sz w:val="22"/>
        </w:rPr>
        <w:t>, and the initial Procurement Plan (PP) for the first 12 months of the Project</w:t>
      </w:r>
      <w:r w:rsidR="008D5E46" w:rsidRPr="00567F29">
        <w:rPr>
          <w:rFonts w:ascii="Arial" w:hAnsi="Arial" w:cs="Arial"/>
          <w:sz w:val="22"/>
        </w:rPr>
        <w:t xml:space="preserve">. </w:t>
      </w:r>
      <w:r w:rsidR="00C85CA0" w:rsidRPr="00567F29">
        <w:rPr>
          <w:rFonts w:ascii="Arial" w:hAnsi="Arial" w:cs="Arial"/>
          <w:sz w:val="22"/>
        </w:rPr>
        <w:t>The OM must be completed and approved by the EA prior to the first disbursement of the loan.</w:t>
      </w:r>
    </w:p>
    <w:p w:rsidR="0040641B" w:rsidRPr="00567F29" w:rsidRDefault="0040641B" w:rsidP="0040641B">
      <w:pPr>
        <w:pStyle w:val="ListParagraph"/>
        <w:jc w:val="both"/>
        <w:rPr>
          <w:rFonts w:ascii="Arial" w:hAnsi="Arial" w:cs="Arial"/>
          <w:b/>
          <w:sz w:val="22"/>
        </w:rPr>
      </w:pPr>
    </w:p>
    <w:p w:rsidR="008D5E46" w:rsidRPr="00567F29" w:rsidRDefault="008D5E46" w:rsidP="005F7D46">
      <w:pPr>
        <w:pStyle w:val="ListParagraph"/>
        <w:numPr>
          <w:ilvl w:val="0"/>
          <w:numId w:val="24"/>
        </w:numPr>
        <w:jc w:val="both"/>
        <w:rPr>
          <w:rFonts w:ascii="Arial" w:hAnsi="Arial" w:cs="Arial"/>
          <w:b/>
          <w:sz w:val="22"/>
        </w:rPr>
      </w:pPr>
      <w:proofErr w:type="spellStart"/>
      <w:r w:rsidRPr="00567F29">
        <w:rPr>
          <w:rFonts w:ascii="Arial" w:hAnsi="Arial" w:cs="Arial"/>
          <w:b/>
          <w:sz w:val="22"/>
        </w:rPr>
        <w:t>Pluriannual</w:t>
      </w:r>
      <w:proofErr w:type="spellEnd"/>
      <w:r w:rsidRPr="00567F29">
        <w:rPr>
          <w:rFonts w:ascii="Arial" w:hAnsi="Arial" w:cs="Arial"/>
          <w:b/>
          <w:sz w:val="22"/>
        </w:rPr>
        <w:t xml:space="preserve"> Execution Plan (PEP) and Annual Operations Plan (AOP). </w:t>
      </w:r>
      <w:r w:rsidRPr="00567F29">
        <w:rPr>
          <w:rFonts w:ascii="Arial" w:hAnsi="Arial" w:cs="Arial"/>
          <w:sz w:val="22"/>
        </w:rPr>
        <w:t xml:space="preserve">The PEP and AOP consolidate all activities that will be developed as part of the Project execution, including detail by project and a timeline of both physical and financial progress. In each semi-annual report (noted below), the </w:t>
      </w:r>
      <w:r w:rsidR="0040641B" w:rsidRPr="00567F29">
        <w:rPr>
          <w:rFonts w:ascii="Arial" w:hAnsi="Arial" w:cs="Arial"/>
          <w:sz w:val="22"/>
        </w:rPr>
        <w:t>PEU</w:t>
      </w:r>
      <w:r w:rsidRPr="00567F29">
        <w:rPr>
          <w:rFonts w:ascii="Arial" w:hAnsi="Arial" w:cs="Arial"/>
          <w:sz w:val="22"/>
        </w:rPr>
        <w:t xml:space="preserve"> will present the PEP and AOP for the following 12 months. The AOP will include details on the Project’s progress and execution of activities including goals, results, budget, and implementation schedule. The PEP will detail the project’s progress and implementation schedule for the outstanding years of the loan. </w:t>
      </w:r>
    </w:p>
    <w:p w:rsidR="0040641B" w:rsidRPr="00567F29" w:rsidRDefault="0040641B" w:rsidP="0040641B">
      <w:pPr>
        <w:pStyle w:val="ListParagraph"/>
        <w:rPr>
          <w:rFonts w:ascii="Arial" w:hAnsi="Arial" w:cs="Arial"/>
          <w:b/>
          <w:sz w:val="22"/>
        </w:rPr>
      </w:pPr>
    </w:p>
    <w:p w:rsidR="008D5E46" w:rsidRPr="00567F29" w:rsidRDefault="008D5E46" w:rsidP="005F7D46">
      <w:pPr>
        <w:pStyle w:val="ListParagraph"/>
        <w:numPr>
          <w:ilvl w:val="0"/>
          <w:numId w:val="24"/>
        </w:numPr>
        <w:jc w:val="both"/>
        <w:rPr>
          <w:rFonts w:ascii="Arial" w:hAnsi="Arial" w:cs="Arial"/>
          <w:b/>
          <w:sz w:val="22"/>
        </w:rPr>
      </w:pPr>
      <w:r w:rsidRPr="00567F29">
        <w:rPr>
          <w:rFonts w:ascii="Arial" w:hAnsi="Arial" w:cs="Arial"/>
          <w:b/>
          <w:sz w:val="22"/>
        </w:rPr>
        <w:t>Procurement Plan</w:t>
      </w:r>
      <w:r w:rsidR="00F063E0" w:rsidRPr="00567F29">
        <w:rPr>
          <w:rFonts w:ascii="Arial" w:hAnsi="Arial" w:cs="Arial"/>
          <w:b/>
          <w:sz w:val="22"/>
        </w:rPr>
        <w:t xml:space="preserve"> (PP)</w:t>
      </w:r>
      <w:r w:rsidRPr="00567F29">
        <w:rPr>
          <w:rFonts w:ascii="Arial" w:hAnsi="Arial" w:cs="Arial"/>
          <w:b/>
          <w:sz w:val="22"/>
        </w:rPr>
        <w:t>.</w:t>
      </w:r>
      <w:r w:rsidR="00F063E0" w:rsidRPr="00567F29">
        <w:rPr>
          <w:rFonts w:ascii="Arial" w:hAnsi="Arial" w:cs="Arial"/>
          <w:b/>
          <w:sz w:val="22"/>
        </w:rPr>
        <w:t xml:space="preserve"> </w:t>
      </w:r>
      <w:r w:rsidR="00F063E0" w:rsidRPr="00567F29">
        <w:rPr>
          <w:rFonts w:ascii="Arial" w:hAnsi="Arial" w:cs="Arial"/>
          <w:sz w:val="22"/>
        </w:rPr>
        <w:t xml:space="preserve"> The PP includes details on all works, goods, and services that will be required to implement the Project during a determined period of time. The initial PP covers the expected procurement requirements for the first 12 months of the Project. It will be updated at least once every 12 months, and can be amended as often as necessary, by agreement between the EA and the IDB. The PP will include details on procurement of works, goods, and non-consulting services and their compliance with IDB policies (GN-2349-9), as well as the procurement of consulting services and their compliance with IDB policies for selecting and contracting consultants financed by the IDB (GN-2350-9) that exceed established thresholds.</w:t>
      </w:r>
    </w:p>
    <w:p w:rsidR="00BF6BF1" w:rsidRPr="00567F29" w:rsidRDefault="00F063E0" w:rsidP="005F7D46">
      <w:pPr>
        <w:jc w:val="both"/>
        <w:rPr>
          <w:rFonts w:ascii="Arial" w:hAnsi="Arial" w:cs="Arial"/>
          <w:sz w:val="22"/>
        </w:rPr>
      </w:pPr>
      <w:r w:rsidRPr="00567F29">
        <w:rPr>
          <w:rFonts w:ascii="Arial" w:hAnsi="Arial" w:cs="Arial"/>
          <w:sz w:val="22"/>
        </w:rPr>
        <w:lastRenderedPageBreak/>
        <w:t>The principle methods of verification for project monitoring will be administrative and contractual documents prepared and gathered by the EA. These documents will include</w:t>
      </w:r>
      <w:r w:rsidR="00BF6BF1" w:rsidRPr="00567F29">
        <w:rPr>
          <w:rFonts w:ascii="Arial" w:hAnsi="Arial" w:cs="Arial"/>
          <w:sz w:val="22"/>
        </w:rPr>
        <w:t>: (</w:t>
      </w:r>
      <w:proofErr w:type="spellStart"/>
      <w:r w:rsidR="00BF6BF1" w:rsidRPr="00567F29">
        <w:rPr>
          <w:rFonts w:ascii="Arial" w:hAnsi="Arial" w:cs="Arial"/>
          <w:sz w:val="22"/>
        </w:rPr>
        <w:t>i</w:t>
      </w:r>
      <w:proofErr w:type="spellEnd"/>
      <w:r w:rsidR="00BF6BF1" w:rsidRPr="00567F29">
        <w:rPr>
          <w:rFonts w:ascii="Arial" w:hAnsi="Arial" w:cs="Arial"/>
          <w:sz w:val="22"/>
        </w:rPr>
        <w:t xml:space="preserve">) NPC annual reports and audited financial statements; (ii) signed contracts for the purchase of goods and services; (iii) final reports from consulting services; (iv) evaluation reports; (v) tender process, bidding, and award documents; and (vi) technical data on system operations. </w:t>
      </w:r>
    </w:p>
    <w:p w:rsidR="00F063E0" w:rsidRPr="00567F29" w:rsidRDefault="00BF6BF1" w:rsidP="005F7D46">
      <w:pPr>
        <w:jc w:val="both"/>
        <w:rPr>
          <w:rFonts w:ascii="Arial" w:hAnsi="Arial" w:cs="Arial"/>
          <w:sz w:val="22"/>
        </w:rPr>
      </w:pPr>
      <w:r w:rsidRPr="00567F29">
        <w:rPr>
          <w:rFonts w:ascii="Arial" w:hAnsi="Arial" w:cs="Arial"/>
          <w:sz w:val="22"/>
        </w:rPr>
        <w:t>In addition, data from other government entities or private companies will also be required. This data includes total GHG emission data (from the Barbados government) and electricity tariff rates (from BL&amp;P)</w:t>
      </w:r>
      <w:r w:rsidR="0040641B" w:rsidRPr="00567F29">
        <w:rPr>
          <w:rFonts w:ascii="Arial" w:hAnsi="Arial" w:cs="Arial"/>
          <w:sz w:val="22"/>
        </w:rPr>
        <w:t>.</w:t>
      </w:r>
    </w:p>
    <w:p w:rsidR="00BD376C" w:rsidRPr="00567F29" w:rsidRDefault="00BF6BF1" w:rsidP="005F7D46">
      <w:pPr>
        <w:jc w:val="both"/>
        <w:rPr>
          <w:rFonts w:ascii="Arial" w:hAnsi="Arial" w:cs="Arial"/>
          <w:sz w:val="22"/>
        </w:rPr>
      </w:pPr>
      <w:r w:rsidRPr="00567F29">
        <w:rPr>
          <w:rFonts w:ascii="Arial" w:hAnsi="Arial" w:cs="Arial"/>
          <w:sz w:val="22"/>
        </w:rPr>
        <w:t>In each case, data recording, gathering, and reporting instruments, processes and forms are already in place or will be included as part of the Project investment, and do not require a special design. For example, i</w:t>
      </w:r>
      <w:r w:rsidR="00980C34" w:rsidRPr="00567F29">
        <w:rPr>
          <w:rFonts w:ascii="Arial" w:hAnsi="Arial" w:cs="Arial"/>
          <w:sz w:val="22"/>
        </w:rPr>
        <w:t xml:space="preserve">nformation on the number of personnel that are trained will be captured during the training process. Progress toward developing the bidding documents and implementing the bidding process will also be gathered by the Executing Agency (EA) and recorded against the established work plan throughout the implementation process. </w:t>
      </w:r>
    </w:p>
    <w:p w:rsidR="00761CA9" w:rsidRPr="00567F29" w:rsidRDefault="00761CA9" w:rsidP="005F7D46">
      <w:pPr>
        <w:jc w:val="both"/>
        <w:rPr>
          <w:rFonts w:ascii="Arial" w:hAnsi="Arial" w:cs="Arial"/>
          <w:sz w:val="22"/>
        </w:rPr>
      </w:pPr>
      <w:r w:rsidRPr="00567F29">
        <w:rPr>
          <w:rFonts w:ascii="Arial" w:hAnsi="Arial" w:cs="Arial"/>
          <w:sz w:val="22"/>
        </w:rPr>
        <w:t xml:space="preserve">The EA will gather information on the progress toward implementing the monitoring and control systems upgrades; NG pipeline replacement, realignment, and installing; vehicle fleet upgrade, and </w:t>
      </w:r>
      <w:proofErr w:type="spellStart"/>
      <w:r w:rsidRPr="00567F29">
        <w:rPr>
          <w:rFonts w:ascii="Arial" w:hAnsi="Arial" w:cs="Arial"/>
          <w:sz w:val="22"/>
        </w:rPr>
        <w:t>mico</w:t>
      </w:r>
      <w:proofErr w:type="spellEnd"/>
      <w:r w:rsidRPr="00567F29">
        <w:rPr>
          <w:rFonts w:ascii="Arial" w:hAnsi="Arial" w:cs="Arial"/>
          <w:sz w:val="22"/>
        </w:rPr>
        <w:t>-LNG facility expansion. This information will be recorded against the established work plan throughout the implementation process. The EA will also gather information on the number of customers added, NG distribution system downtime, NG volume sold, and the price at which it was sold through its ongoing operations and business management.</w:t>
      </w:r>
    </w:p>
    <w:p w:rsidR="00761CA9" w:rsidRPr="00567F29" w:rsidRDefault="00761CA9" w:rsidP="005F7D46">
      <w:pPr>
        <w:jc w:val="both"/>
        <w:rPr>
          <w:rFonts w:ascii="Arial" w:hAnsi="Arial" w:cs="Arial"/>
          <w:sz w:val="22"/>
        </w:rPr>
      </w:pPr>
      <w:r w:rsidRPr="00567F29">
        <w:rPr>
          <w:rFonts w:ascii="Arial" w:hAnsi="Arial" w:cs="Arial"/>
          <w:sz w:val="22"/>
        </w:rPr>
        <w:t xml:space="preserve">The </w:t>
      </w:r>
      <w:r w:rsidR="00D71420" w:rsidRPr="00567F29">
        <w:rPr>
          <w:rFonts w:ascii="Arial" w:hAnsi="Arial" w:cs="Arial"/>
          <w:sz w:val="22"/>
        </w:rPr>
        <w:t xml:space="preserve">natural gas pipeline </w:t>
      </w:r>
      <w:r w:rsidRPr="00567F29">
        <w:rPr>
          <w:rFonts w:ascii="Arial" w:hAnsi="Arial" w:cs="Arial"/>
          <w:sz w:val="22"/>
        </w:rPr>
        <w:t>system upgrades will include monitoring equipment that will gather the data required to measure the outcome indicators. These monitors will include the advanced meters installed at customer sites and improved monitoring to detect NG leaks.</w:t>
      </w:r>
    </w:p>
    <w:p w:rsidR="00761CA9" w:rsidRPr="00567F29" w:rsidRDefault="00761CA9" w:rsidP="005F7D46">
      <w:pPr>
        <w:jc w:val="both"/>
        <w:rPr>
          <w:rFonts w:ascii="Arial" w:hAnsi="Arial" w:cs="Arial"/>
          <w:sz w:val="22"/>
        </w:rPr>
      </w:pPr>
      <w:r w:rsidRPr="00567F29">
        <w:rPr>
          <w:rFonts w:ascii="Arial" w:hAnsi="Arial" w:cs="Arial"/>
          <w:sz w:val="22"/>
        </w:rPr>
        <w:t>Information on the progress toward implementing the renewable energy, smart energy, and energy efficiency systems will be gathered by the Executing Agency (EA) and recorded against the established work plan throughout the implementation process. The EA will also gather information on the electricity consumed in its facilities and the volume of natural gas sold to BL&amp;P for electricity generation through its ongoing operations and business management.</w:t>
      </w:r>
    </w:p>
    <w:p w:rsidR="00761CA9" w:rsidRPr="00567F29" w:rsidRDefault="00761CA9" w:rsidP="005F7D46">
      <w:pPr>
        <w:jc w:val="both"/>
        <w:rPr>
          <w:rFonts w:ascii="Arial" w:hAnsi="Arial" w:cs="Arial"/>
          <w:sz w:val="22"/>
        </w:rPr>
      </w:pPr>
      <w:r w:rsidRPr="00567F29">
        <w:rPr>
          <w:rFonts w:ascii="Arial" w:hAnsi="Arial" w:cs="Arial"/>
          <w:sz w:val="22"/>
        </w:rPr>
        <w:t>BL&amp;P will also monitor and record the total amount of electricity produced using natural gas each year as part of its ongoing operations and business management.</w:t>
      </w:r>
    </w:p>
    <w:p w:rsidR="00BF6BF1" w:rsidRPr="00567F29" w:rsidRDefault="00BF6BF1" w:rsidP="005F7D46">
      <w:pPr>
        <w:jc w:val="both"/>
        <w:rPr>
          <w:rFonts w:ascii="Arial" w:hAnsi="Arial" w:cs="Arial"/>
          <w:sz w:val="22"/>
        </w:rPr>
      </w:pPr>
      <w:r w:rsidRPr="00567F29">
        <w:rPr>
          <w:rFonts w:ascii="Arial" w:hAnsi="Arial" w:cs="Arial"/>
          <w:sz w:val="22"/>
        </w:rPr>
        <w:t>The required information will be recorded in the PMR</w:t>
      </w:r>
      <w:r w:rsidR="00D71420" w:rsidRPr="00567F29">
        <w:rPr>
          <w:rFonts w:ascii="Arial" w:hAnsi="Arial" w:cs="Arial"/>
          <w:sz w:val="22"/>
        </w:rPr>
        <w:t xml:space="preserve"> and the results provided in the applicable report noted below.</w:t>
      </w:r>
    </w:p>
    <w:p w:rsidR="00BD376C" w:rsidRPr="00567F29" w:rsidRDefault="00BD376C" w:rsidP="005F7D46">
      <w:pPr>
        <w:pStyle w:val="Heading2"/>
        <w:jc w:val="both"/>
        <w:rPr>
          <w:rFonts w:ascii="Arial" w:hAnsi="Arial" w:cs="Arial"/>
          <w:sz w:val="24"/>
        </w:rPr>
      </w:pPr>
      <w:bookmarkStart w:id="4" w:name="_Toc464207162"/>
      <w:r w:rsidRPr="00567F29">
        <w:rPr>
          <w:rFonts w:ascii="Arial" w:hAnsi="Arial" w:cs="Arial"/>
          <w:sz w:val="24"/>
        </w:rPr>
        <w:t>Reporting</w:t>
      </w:r>
      <w:bookmarkEnd w:id="4"/>
    </w:p>
    <w:p w:rsidR="00D71420" w:rsidRPr="00567F29" w:rsidRDefault="0027214B" w:rsidP="005F7D46">
      <w:pPr>
        <w:jc w:val="both"/>
        <w:rPr>
          <w:rFonts w:ascii="Arial" w:hAnsi="Arial" w:cs="Arial"/>
          <w:sz w:val="22"/>
        </w:rPr>
      </w:pPr>
      <w:r w:rsidRPr="00567F29">
        <w:rPr>
          <w:rFonts w:ascii="Arial" w:hAnsi="Arial" w:cs="Arial"/>
          <w:sz w:val="22"/>
        </w:rPr>
        <w:t xml:space="preserve">The Executing Agency (EA) will submit </w:t>
      </w:r>
      <w:r w:rsidR="004756EC" w:rsidRPr="00567F29">
        <w:rPr>
          <w:rFonts w:ascii="Arial" w:hAnsi="Arial" w:cs="Arial"/>
          <w:sz w:val="22"/>
        </w:rPr>
        <w:t>semi-</w:t>
      </w:r>
      <w:r w:rsidR="00664E2C" w:rsidRPr="00567F29">
        <w:rPr>
          <w:rFonts w:ascii="Arial" w:hAnsi="Arial" w:cs="Arial"/>
          <w:sz w:val="22"/>
        </w:rPr>
        <w:t>annual</w:t>
      </w:r>
      <w:r w:rsidRPr="00567F29">
        <w:rPr>
          <w:rFonts w:ascii="Arial" w:hAnsi="Arial" w:cs="Arial"/>
          <w:sz w:val="22"/>
        </w:rPr>
        <w:t xml:space="preserve"> reports describing progress toward completing </w:t>
      </w:r>
      <w:r w:rsidR="00D71420" w:rsidRPr="00567F29">
        <w:rPr>
          <w:rFonts w:ascii="Arial" w:hAnsi="Arial" w:cs="Arial"/>
          <w:sz w:val="22"/>
        </w:rPr>
        <w:t xml:space="preserve">each of the Project Components throughout the duration of the loan program. These reports will be produced by the </w:t>
      </w:r>
      <w:r w:rsidR="0040641B" w:rsidRPr="00567F29">
        <w:rPr>
          <w:rFonts w:ascii="Arial" w:hAnsi="Arial" w:cs="Arial"/>
          <w:sz w:val="22"/>
        </w:rPr>
        <w:t>PEU</w:t>
      </w:r>
      <w:r w:rsidR="00D71420" w:rsidRPr="00567F29">
        <w:rPr>
          <w:rFonts w:ascii="Arial" w:hAnsi="Arial" w:cs="Arial"/>
          <w:sz w:val="22"/>
        </w:rPr>
        <w:t xml:space="preserve"> and submitted to the IDB Energy/Infrastructure D</w:t>
      </w:r>
      <w:r w:rsidR="00CB16FB" w:rsidRPr="00567F29">
        <w:rPr>
          <w:rFonts w:ascii="Arial" w:hAnsi="Arial" w:cs="Arial"/>
          <w:sz w:val="22"/>
        </w:rPr>
        <w:t>epartment</w:t>
      </w:r>
      <w:r w:rsidR="00D71420" w:rsidRPr="00567F29">
        <w:rPr>
          <w:rFonts w:ascii="Arial" w:hAnsi="Arial" w:cs="Arial"/>
          <w:sz w:val="22"/>
        </w:rPr>
        <w:t xml:space="preserve"> via the IDB team leader. Each report must be submitted no later than 60 days after the end of the reporting period.</w:t>
      </w:r>
    </w:p>
    <w:p w:rsidR="00D71420" w:rsidRPr="00567F29" w:rsidRDefault="00D71420" w:rsidP="005F7D46">
      <w:pPr>
        <w:jc w:val="both"/>
        <w:rPr>
          <w:rFonts w:ascii="Arial" w:hAnsi="Arial" w:cs="Arial"/>
          <w:sz w:val="22"/>
        </w:rPr>
      </w:pPr>
      <w:r w:rsidRPr="00567F29">
        <w:rPr>
          <w:rFonts w:ascii="Arial" w:hAnsi="Arial" w:cs="Arial"/>
          <w:sz w:val="22"/>
        </w:rPr>
        <w:lastRenderedPageBreak/>
        <w:t xml:space="preserve">The semi-annual report will present to the IDB the degree of fulfillment of the output indicators and progress toward the outcomes of the Results Matrix as recorded in the updated PEP, AOP, and PP. This will allow the Bank to monitor these indicators using the Bank’s PMR tool. </w:t>
      </w:r>
    </w:p>
    <w:p w:rsidR="00D71420" w:rsidRPr="00567F29" w:rsidRDefault="00D71420" w:rsidP="005F7D46">
      <w:pPr>
        <w:jc w:val="both"/>
        <w:rPr>
          <w:rFonts w:ascii="Arial" w:hAnsi="Arial" w:cs="Arial"/>
          <w:sz w:val="22"/>
        </w:rPr>
      </w:pPr>
      <w:r w:rsidRPr="00567F29">
        <w:rPr>
          <w:rFonts w:ascii="Arial" w:hAnsi="Arial" w:cs="Arial"/>
          <w:sz w:val="22"/>
        </w:rPr>
        <w:t>The semi-annual reports must include, at a minimum: (</w:t>
      </w:r>
      <w:proofErr w:type="spellStart"/>
      <w:r w:rsidRPr="00567F29">
        <w:rPr>
          <w:rFonts w:ascii="Arial" w:hAnsi="Arial" w:cs="Arial"/>
          <w:sz w:val="22"/>
        </w:rPr>
        <w:t>i</w:t>
      </w:r>
      <w:proofErr w:type="spellEnd"/>
      <w:r w:rsidRPr="00567F29">
        <w:rPr>
          <w:rFonts w:ascii="Arial" w:hAnsi="Arial" w:cs="Arial"/>
          <w:sz w:val="22"/>
        </w:rPr>
        <w:t xml:space="preserve">) compliance with contractual obligations; (ii) description and general information on the completed activities; (iii) progress toward </w:t>
      </w:r>
      <w:r w:rsidR="00713B66" w:rsidRPr="00567F29">
        <w:rPr>
          <w:rFonts w:ascii="Arial" w:hAnsi="Arial" w:cs="Arial"/>
          <w:sz w:val="22"/>
        </w:rPr>
        <w:t>project execution indicators, the agreed disbursement calendar, and timelines for physical progress in implementing the program investments; iv) financial summary of the program; (v) description of any procurement tenders that have been carried out; (vi) evaluation of any contracting companies carrying out physical works; (vii) socio-environmental management of the project, including timelines, results, and measures implemented to ensure compliance with socio-environmental obligations; (viii) a detailed activities program and execution plan for the following 12 months; (ix) estimated cash for the following 12 months; (x) potential developments or events that could put the execution of the Project at risk; and, (xi) updates to the Project PEP, AOP, and PP.</w:t>
      </w:r>
    </w:p>
    <w:p w:rsidR="00713B66" w:rsidRDefault="00713B66" w:rsidP="005F7D46">
      <w:pPr>
        <w:jc w:val="both"/>
        <w:rPr>
          <w:rFonts w:ascii="Arial" w:hAnsi="Arial" w:cs="Arial"/>
          <w:sz w:val="22"/>
        </w:rPr>
      </w:pPr>
      <w:r w:rsidRPr="00567F29">
        <w:rPr>
          <w:rFonts w:ascii="Arial" w:hAnsi="Arial" w:cs="Arial"/>
          <w:sz w:val="22"/>
        </w:rPr>
        <w:t xml:space="preserve">The semi-annual reports must include all relevant information to understand the progress toward meeting the project output and outcome indicators and to identify any areas that require improvement in data collection, processing, analysis and reporting. </w:t>
      </w:r>
      <w:r w:rsidR="003C5E2A" w:rsidRPr="00567F29">
        <w:rPr>
          <w:rFonts w:ascii="Arial" w:hAnsi="Arial" w:cs="Arial"/>
          <w:sz w:val="22"/>
        </w:rPr>
        <w:t xml:space="preserve"> </w:t>
      </w:r>
      <w:r w:rsidR="00CB16FB" w:rsidRPr="00567F29">
        <w:rPr>
          <w:rFonts w:ascii="Arial" w:hAnsi="Arial" w:cs="Arial"/>
          <w:sz w:val="22"/>
        </w:rPr>
        <w:t xml:space="preserve">In addition, the EA will present to the Bank a mid-project interim evaluation after the earliest of three years after the project initiation or once 50% of the Project resources have been disbursed. This mid-project evaluation will assess the level of completion of the project output indicators (see Table 1) in order to determine the project implementation status. This evaluation will be used to propose any changes in the project scope or process that may be required in order to reach the project’s targets. </w:t>
      </w:r>
      <w:r w:rsidR="003C5E2A" w:rsidRPr="00567F29">
        <w:rPr>
          <w:rFonts w:ascii="Arial" w:hAnsi="Arial" w:cs="Arial"/>
          <w:sz w:val="22"/>
        </w:rPr>
        <w:t xml:space="preserve">Finally, after completing 90% of the Project’s disbursements, the EA will present to the Bank the Final Project Evaluation Report which will include, among other requirements, the ex-poste cost-benefit evaluation of the Components financed under the Project. This report will serve as the basis for the Bank to prepare a Project </w:t>
      </w:r>
      <w:r w:rsidR="00421E84">
        <w:rPr>
          <w:rFonts w:ascii="Arial" w:hAnsi="Arial" w:cs="Arial"/>
          <w:sz w:val="22"/>
        </w:rPr>
        <w:t>Completion</w:t>
      </w:r>
      <w:r w:rsidR="003C5E2A" w:rsidRPr="00567F29">
        <w:rPr>
          <w:rFonts w:ascii="Arial" w:hAnsi="Arial" w:cs="Arial"/>
          <w:sz w:val="22"/>
        </w:rPr>
        <w:t xml:space="preserve"> Report (PCR) once the project execution is completed</w:t>
      </w:r>
      <w:r w:rsidR="00421E84">
        <w:rPr>
          <w:rFonts w:ascii="Arial" w:hAnsi="Arial" w:cs="Arial"/>
          <w:sz w:val="22"/>
        </w:rPr>
        <w:t xml:space="preserve"> (</w:t>
      </w:r>
      <w:r w:rsidR="00421E84" w:rsidRPr="00421E84">
        <w:rPr>
          <w:rFonts w:ascii="Arial" w:hAnsi="Arial" w:cs="Arial"/>
          <w:sz w:val="22"/>
        </w:rPr>
        <w:t>OP-1242-3</w:t>
      </w:r>
      <w:r w:rsidR="00421E84">
        <w:rPr>
          <w:rFonts w:ascii="Arial" w:hAnsi="Arial" w:cs="Arial"/>
          <w:sz w:val="22"/>
        </w:rPr>
        <w:t>)</w:t>
      </w:r>
      <w:r w:rsidR="003C5E2A" w:rsidRPr="00567F29">
        <w:rPr>
          <w:rFonts w:ascii="Arial" w:hAnsi="Arial" w:cs="Arial"/>
          <w:sz w:val="22"/>
        </w:rPr>
        <w:t>.</w:t>
      </w:r>
    </w:p>
    <w:p w:rsidR="00421E84" w:rsidRPr="00567F29" w:rsidRDefault="00421E84" w:rsidP="00421E84">
      <w:pPr>
        <w:jc w:val="both"/>
        <w:rPr>
          <w:rFonts w:ascii="Arial" w:hAnsi="Arial" w:cs="Arial"/>
          <w:sz w:val="22"/>
        </w:rPr>
      </w:pPr>
      <w:r w:rsidRPr="00421E84">
        <w:rPr>
          <w:rFonts w:ascii="Arial" w:hAnsi="Arial" w:cs="Arial"/>
          <w:sz w:val="22"/>
        </w:rPr>
        <w:t>The PCR is a record of an operation’s performance at the end of its execution phase, undertaken</w:t>
      </w:r>
      <w:r>
        <w:rPr>
          <w:rFonts w:ascii="Arial" w:hAnsi="Arial" w:cs="Arial"/>
          <w:sz w:val="22"/>
        </w:rPr>
        <w:t xml:space="preserve"> </w:t>
      </w:r>
      <w:r w:rsidRPr="00421E84">
        <w:rPr>
          <w:rFonts w:ascii="Arial" w:hAnsi="Arial" w:cs="Arial"/>
          <w:sz w:val="22"/>
        </w:rPr>
        <w:t>as a self-evaluation by the IDB’s unit responsible for the project. The PCR is the Bank’s</w:t>
      </w:r>
      <w:r>
        <w:rPr>
          <w:rFonts w:ascii="Arial" w:hAnsi="Arial" w:cs="Arial"/>
          <w:sz w:val="22"/>
        </w:rPr>
        <w:t xml:space="preserve"> </w:t>
      </w:r>
      <w:r w:rsidRPr="00421E84">
        <w:rPr>
          <w:rFonts w:ascii="Arial" w:hAnsi="Arial" w:cs="Arial"/>
          <w:sz w:val="22"/>
        </w:rPr>
        <w:t>Management main instrument for documenting concrete results to its shareholders and</w:t>
      </w:r>
      <w:r>
        <w:rPr>
          <w:rFonts w:ascii="Arial" w:hAnsi="Arial" w:cs="Arial"/>
          <w:sz w:val="22"/>
        </w:rPr>
        <w:t xml:space="preserve"> </w:t>
      </w:r>
      <w:r w:rsidRPr="00421E84">
        <w:rPr>
          <w:rFonts w:ascii="Arial" w:hAnsi="Arial" w:cs="Arial"/>
          <w:sz w:val="22"/>
        </w:rPr>
        <w:t>disseminating the lessons of a project’s experience.</w:t>
      </w:r>
      <w:r>
        <w:rPr>
          <w:rFonts w:ascii="Arial" w:hAnsi="Arial" w:cs="Arial"/>
          <w:sz w:val="22"/>
        </w:rPr>
        <w:t xml:space="preserve"> </w:t>
      </w:r>
      <w:r w:rsidRPr="00421E84">
        <w:rPr>
          <w:rFonts w:ascii="Arial" w:hAnsi="Arial" w:cs="Arial"/>
          <w:sz w:val="22"/>
        </w:rPr>
        <w:t xml:space="preserve">The PCR is </w:t>
      </w:r>
      <w:r>
        <w:rPr>
          <w:rFonts w:ascii="Arial" w:hAnsi="Arial" w:cs="Arial"/>
          <w:sz w:val="22"/>
        </w:rPr>
        <w:t xml:space="preserve">also </w:t>
      </w:r>
      <w:r w:rsidRPr="00421E84">
        <w:rPr>
          <w:rFonts w:ascii="Arial" w:hAnsi="Arial" w:cs="Arial"/>
          <w:sz w:val="22"/>
        </w:rPr>
        <w:t>a tool for accountability and learning. The accountability objective addresses the</w:t>
      </w:r>
      <w:r>
        <w:rPr>
          <w:rFonts w:ascii="Arial" w:hAnsi="Arial" w:cs="Arial"/>
          <w:sz w:val="22"/>
        </w:rPr>
        <w:t xml:space="preserve"> </w:t>
      </w:r>
      <w:r w:rsidRPr="00421E84">
        <w:rPr>
          <w:rFonts w:ascii="Arial" w:hAnsi="Arial" w:cs="Arial"/>
          <w:sz w:val="22"/>
        </w:rPr>
        <w:t>need for the Bank to ensure that the proceeds of the project are used for the purposes for which</w:t>
      </w:r>
      <w:r>
        <w:rPr>
          <w:rFonts w:ascii="Arial" w:hAnsi="Arial" w:cs="Arial"/>
          <w:sz w:val="22"/>
        </w:rPr>
        <w:t xml:space="preserve"> </w:t>
      </w:r>
      <w:r w:rsidRPr="00421E84">
        <w:rPr>
          <w:rFonts w:ascii="Arial" w:hAnsi="Arial" w:cs="Arial"/>
          <w:sz w:val="22"/>
        </w:rPr>
        <w:t>the project was granted, with due attention to effectiveness and efficiency. The learning objective</w:t>
      </w:r>
      <w:r>
        <w:rPr>
          <w:rFonts w:ascii="Arial" w:hAnsi="Arial" w:cs="Arial"/>
          <w:sz w:val="22"/>
        </w:rPr>
        <w:t xml:space="preserve"> </w:t>
      </w:r>
      <w:r w:rsidRPr="00421E84">
        <w:rPr>
          <w:rFonts w:ascii="Arial" w:hAnsi="Arial" w:cs="Arial"/>
          <w:sz w:val="22"/>
        </w:rPr>
        <w:t>aims to replicate successes and avoid mistakes in the future by providing lessons to guide the</w:t>
      </w:r>
      <w:r>
        <w:rPr>
          <w:rFonts w:ascii="Arial" w:hAnsi="Arial" w:cs="Arial"/>
          <w:sz w:val="22"/>
        </w:rPr>
        <w:t xml:space="preserve"> </w:t>
      </w:r>
      <w:r w:rsidRPr="00421E84">
        <w:rPr>
          <w:rFonts w:ascii="Arial" w:hAnsi="Arial" w:cs="Arial"/>
          <w:sz w:val="22"/>
        </w:rPr>
        <w:t>execution of ongoing projects and the design of future ones.</w:t>
      </w:r>
    </w:p>
    <w:p w:rsidR="00BD376C" w:rsidRPr="00567F29" w:rsidRDefault="00BD376C" w:rsidP="005F7D46">
      <w:pPr>
        <w:pStyle w:val="Heading2"/>
        <w:jc w:val="both"/>
        <w:rPr>
          <w:rFonts w:ascii="Arial" w:hAnsi="Arial" w:cs="Arial"/>
          <w:sz w:val="24"/>
        </w:rPr>
      </w:pPr>
      <w:bookmarkStart w:id="5" w:name="_Toc464207163"/>
      <w:r w:rsidRPr="00567F29">
        <w:rPr>
          <w:rFonts w:ascii="Arial" w:hAnsi="Arial" w:cs="Arial"/>
          <w:sz w:val="24"/>
        </w:rPr>
        <w:t>Monitoring Coordination, Work Plan and Budget</w:t>
      </w:r>
      <w:bookmarkEnd w:id="5"/>
    </w:p>
    <w:p w:rsidR="00BD376C" w:rsidRPr="00567F29" w:rsidRDefault="00BD376C" w:rsidP="005F7D46">
      <w:pPr>
        <w:jc w:val="both"/>
        <w:rPr>
          <w:rFonts w:ascii="Arial" w:hAnsi="Arial" w:cs="Arial"/>
          <w:sz w:val="22"/>
        </w:rPr>
      </w:pPr>
      <w:r w:rsidRPr="00567F29">
        <w:rPr>
          <w:rFonts w:ascii="Arial" w:hAnsi="Arial" w:cs="Arial"/>
          <w:sz w:val="22"/>
        </w:rPr>
        <w:t xml:space="preserve">The </w:t>
      </w:r>
      <w:r w:rsidR="0040641B" w:rsidRPr="00567F29">
        <w:rPr>
          <w:rFonts w:ascii="Arial" w:hAnsi="Arial" w:cs="Arial"/>
          <w:sz w:val="22"/>
        </w:rPr>
        <w:t>PEU</w:t>
      </w:r>
      <w:r w:rsidR="00686753" w:rsidRPr="00567F29">
        <w:rPr>
          <w:rFonts w:ascii="Arial" w:hAnsi="Arial" w:cs="Arial"/>
          <w:sz w:val="22"/>
        </w:rPr>
        <w:t xml:space="preserve"> is responsible</w:t>
      </w:r>
      <w:r w:rsidR="002F557A" w:rsidRPr="00567F29">
        <w:rPr>
          <w:rFonts w:ascii="Arial" w:hAnsi="Arial" w:cs="Arial"/>
          <w:sz w:val="22"/>
        </w:rPr>
        <w:t>, among other outputs,</w:t>
      </w:r>
      <w:r w:rsidR="00686753" w:rsidRPr="00567F29">
        <w:rPr>
          <w:rFonts w:ascii="Arial" w:hAnsi="Arial" w:cs="Arial"/>
          <w:sz w:val="22"/>
        </w:rPr>
        <w:t xml:space="preserve"> for </w:t>
      </w:r>
      <w:r w:rsidR="002F557A" w:rsidRPr="00567F29">
        <w:rPr>
          <w:rFonts w:ascii="Arial" w:hAnsi="Arial" w:cs="Arial"/>
          <w:sz w:val="22"/>
        </w:rPr>
        <w:t>the following activities: (</w:t>
      </w:r>
      <w:proofErr w:type="spellStart"/>
      <w:r w:rsidR="002F557A" w:rsidRPr="00567F29">
        <w:rPr>
          <w:rFonts w:ascii="Arial" w:hAnsi="Arial" w:cs="Arial"/>
          <w:sz w:val="22"/>
        </w:rPr>
        <w:t>i</w:t>
      </w:r>
      <w:proofErr w:type="spellEnd"/>
      <w:r w:rsidR="002F557A" w:rsidRPr="00567F29">
        <w:rPr>
          <w:rFonts w:ascii="Arial" w:hAnsi="Arial" w:cs="Arial"/>
          <w:sz w:val="22"/>
        </w:rPr>
        <w:t xml:space="preserve">) planning the execution of the loan; (ii) </w:t>
      </w:r>
      <w:r w:rsidR="00686753" w:rsidRPr="00567F29">
        <w:rPr>
          <w:rFonts w:ascii="Arial" w:hAnsi="Arial" w:cs="Arial"/>
          <w:sz w:val="22"/>
        </w:rPr>
        <w:t xml:space="preserve">preparing </w:t>
      </w:r>
      <w:r w:rsidR="002F557A" w:rsidRPr="00567F29">
        <w:rPr>
          <w:rFonts w:ascii="Arial" w:hAnsi="Arial" w:cs="Arial"/>
          <w:sz w:val="22"/>
        </w:rPr>
        <w:t xml:space="preserve">and updating </w:t>
      </w:r>
      <w:r w:rsidR="00686753" w:rsidRPr="00567F29">
        <w:rPr>
          <w:rFonts w:ascii="Arial" w:hAnsi="Arial" w:cs="Arial"/>
          <w:sz w:val="22"/>
        </w:rPr>
        <w:t xml:space="preserve">the </w:t>
      </w:r>
      <w:r w:rsidR="002F557A" w:rsidRPr="00567F29">
        <w:rPr>
          <w:rFonts w:ascii="Arial" w:hAnsi="Arial" w:cs="Arial"/>
          <w:sz w:val="22"/>
        </w:rPr>
        <w:t xml:space="preserve">semi-annual </w:t>
      </w:r>
      <w:r w:rsidR="00686753" w:rsidRPr="00567F29">
        <w:rPr>
          <w:rFonts w:ascii="Arial" w:hAnsi="Arial" w:cs="Arial"/>
          <w:sz w:val="22"/>
        </w:rPr>
        <w:t>monitoring reports noted</w:t>
      </w:r>
      <w:r w:rsidR="002F557A" w:rsidRPr="00567F29">
        <w:rPr>
          <w:rFonts w:ascii="Arial" w:hAnsi="Arial" w:cs="Arial"/>
          <w:sz w:val="22"/>
        </w:rPr>
        <w:t xml:space="preserve">, which will include updates of the AOP, PEP, and PP; (iii) contracting and monitoring work progress for all contracted </w:t>
      </w:r>
      <w:r w:rsidR="00951AAB" w:rsidRPr="00567F29">
        <w:rPr>
          <w:rFonts w:ascii="Arial" w:hAnsi="Arial" w:cs="Arial"/>
          <w:sz w:val="22"/>
        </w:rPr>
        <w:t xml:space="preserve">specialized </w:t>
      </w:r>
      <w:r w:rsidR="002F557A" w:rsidRPr="00567F29">
        <w:rPr>
          <w:rFonts w:ascii="Arial" w:hAnsi="Arial" w:cs="Arial"/>
          <w:sz w:val="22"/>
        </w:rPr>
        <w:t>services</w:t>
      </w:r>
      <w:r w:rsidR="00951AAB" w:rsidRPr="00567F29">
        <w:rPr>
          <w:rFonts w:ascii="Arial" w:hAnsi="Arial" w:cs="Arial"/>
          <w:sz w:val="22"/>
        </w:rPr>
        <w:t>, consulting, and procured goods</w:t>
      </w:r>
      <w:r w:rsidR="002F557A" w:rsidRPr="00567F29">
        <w:rPr>
          <w:rFonts w:ascii="Arial" w:hAnsi="Arial" w:cs="Arial"/>
          <w:sz w:val="22"/>
        </w:rPr>
        <w:t>; (iv) collecting</w:t>
      </w:r>
      <w:r w:rsidR="00951AAB" w:rsidRPr="00567F29">
        <w:rPr>
          <w:rFonts w:ascii="Arial" w:hAnsi="Arial" w:cs="Arial"/>
          <w:sz w:val="22"/>
        </w:rPr>
        <w:t xml:space="preserve">, </w:t>
      </w:r>
      <w:r w:rsidR="00951AAB" w:rsidRPr="00567F29">
        <w:rPr>
          <w:rFonts w:ascii="Arial" w:hAnsi="Arial" w:cs="Arial"/>
          <w:sz w:val="22"/>
        </w:rPr>
        <w:lastRenderedPageBreak/>
        <w:t>maintaining, and making accessible</w:t>
      </w:r>
      <w:r w:rsidR="002F557A" w:rsidRPr="00567F29">
        <w:rPr>
          <w:rFonts w:ascii="Arial" w:hAnsi="Arial" w:cs="Arial"/>
          <w:sz w:val="22"/>
        </w:rPr>
        <w:t xml:space="preserve"> the required data and updating progress toward the outcome and output indica</w:t>
      </w:r>
      <w:r w:rsidR="00951AAB" w:rsidRPr="00567F29">
        <w:rPr>
          <w:rFonts w:ascii="Arial" w:hAnsi="Arial" w:cs="Arial"/>
          <w:sz w:val="22"/>
        </w:rPr>
        <w:t>tors noted above; (v) collecting, maintaining, and making accessible the required project execution data; and, (vi) supervising the socio-environmental impacts of the project implementation</w:t>
      </w:r>
      <w:r w:rsidR="00686753" w:rsidRPr="00567F29">
        <w:rPr>
          <w:rFonts w:ascii="Arial" w:hAnsi="Arial" w:cs="Arial"/>
          <w:sz w:val="22"/>
        </w:rPr>
        <w:t xml:space="preserve">. It is expected that the </w:t>
      </w:r>
      <w:r w:rsidR="0040641B" w:rsidRPr="00567F29">
        <w:rPr>
          <w:rFonts w:ascii="Arial" w:hAnsi="Arial" w:cs="Arial"/>
          <w:sz w:val="22"/>
        </w:rPr>
        <w:t>PEU</w:t>
      </w:r>
      <w:r w:rsidR="00686753" w:rsidRPr="00567F29">
        <w:rPr>
          <w:rFonts w:ascii="Arial" w:hAnsi="Arial" w:cs="Arial"/>
          <w:sz w:val="22"/>
        </w:rPr>
        <w:t xml:space="preserve"> team will spend </w:t>
      </w:r>
      <w:r w:rsidR="00702CD5" w:rsidRPr="00567F29">
        <w:rPr>
          <w:rFonts w:ascii="Arial" w:hAnsi="Arial" w:cs="Arial"/>
          <w:sz w:val="22"/>
        </w:rPr>
        <w:t xml:space="preserve">the equivalent of </w:t>
      </w:r>
      <w:r w:rsidR="00686753" w:rsidRPr="00567F29">
        <w:rPr>
          <w:rFonts w:ascii="Arial" w:hAnsi="Arial" w:cs="Arial"/>
          <w:sz w:val="22"/>
        </w:rPr>
        <w:t xml:space="preserve">roughly </w:t>
      </w:r>
      <w:r w:rsidR="00951AAB" w:rsidRPr="00567F29">
        <w:rPr>
          <w:rFonts w:ascii="Arial" w:hAnsi="Arial" w:cs="Arial"/>
          <w:sz w:val="22"/>
        </w:rPr>
        <w:t>7</w:t>
      </w:r>
      <w:r w:rsidR="004756EC" w:rsidRPr="00567F29">
        <w:rPr>
          <w:rFonts w:ascii="Arial" w:hAnsi="Arial" w:cs="Arial"/>
          <w:sz w:val="22"/>
        </w:rPr>
        <w:t xml:space="preserve">0 </w:t>
      </w:r>
      <w:r w:rsidR="00702CD5" w:rsidRPr="00567F29">
        <w:rPr>
          <w:rFonts w:ascii="Arial" w:hAnsi="Arial" w:cs="Arial"/>
          <w:sz w:val="22"/>
        </w:rPr>
        <w:t>man-</w:t>
      </w:r>
      <w:r w:rsidR="004756EC" w:rsidRPr="00567F29">
        <w:rPr>
          <w:rFonts w:ascii="Arial" w:hAnsi="Arial" w:cs="Arial"/>
          <w:sz w:val="22"/>
        </w:rPr>
        <w:t>days per year</w:t>
      </w:r>
      <w:r w:rsidR="00686753" w:rsidRPr="00567F29">
        <w:rPr>
          <w:rFonts w:ascii="Arial" w:hAnsi="Arial" w:cs="Arial"/>
          <w:sz w:val="22"/>
        </w:rPr>
        <w:t xml:space="preserve"> dedicated to M&amp;E activities. </w:t>
      </w:r>
    </w:p>
    <w:p w:rsidR="00951AAB" w:rsidRPr="00567F29" w:rsidRDefault="00951AAB" w:rsidP="005F7D46">
      <w:pPr>
        <w:jc w:val="both"/>
        <w:rPr>
          <w:rFonts w:ascii="Arial" w:hAnsi="Arial" w:cs="Arial"/>
          <w:sz w:val="22"/>
        </w:rPr>
      </w:pPr>
      <w:r w:rsidRPr="00567F29">
        <w:rPr>
          <w:rFonts w:ascii="Arial" w:hAnsi="Arial" w:cs="Arial"/>
          <w:sz w:val="22"/>
        </w:rPr>
        <w:t xml:space="preserve">The IDB, through the Project Team Leaders, is responsible for coordinating and assuring that the monitoring plan complies with all technical and quality requirements and is completed on schedule.  The IDB team will achieve this through semi-annual technical visits with the EA in order to review progress of works and make adjustments based on execution.  Fiduciary oversight visits will be conducted once a year. External audits of accounting and operations are also planned to validate the use of the loan proceeds and the operational internal controls and processes to be implemented by the EA. This information will be analyzed every six months. </w:t>
      </w:r>
    </w:p>
    <w:p w:rsidR="00A07516" w:rsidRPr="00567F29" w:rsidRDefault="00A07516" w:rsidP="005F7D46">
      <w:pPr>
        <w:jc w:val="both"/>
        <w:rPr>
          <w:rFonts w:ascii="Arial" w:hAnsi="Arial" w:cs="Arial"/>
          <w:sz w:val="22"/>
        </w:rPr>
      </w:pPr>
      <w:r w:rsidRPr="00567F29">
        <w:rPr>
          <w:rFonts w:ascii="Arial" w:hAnsi="Arial" w:cs="Arial"/>
          <w:sz w:val="22"/>
        </w:rPr>
        <w:t>The Project indicators results at the end of the Project execution must be included in the PCR which will be completed by the IDB country office</w:t>
      </w:r>
      <w:r w:rsidR="00253518" w:rsidRPr="00567F29">
        <w:rPr>
          <w:rFonts w:ascii="Arial" w:hAnsi="Arial" w:cs="Arial"/>
          <w:sz w:val="22"/>
        </w:rPr>
        <w:t xml:space="preserve"> with the support of Energy Department specialists.</w:t>
      </w:r>
    </w:p>
    <w:p w:rsidR="00147B3B" w:rsidRPr="00567F29" w:rsidRDefault="00147B3B" w:rsidP="005F7D46">
      <w:pPr>
        <w:jc w:val="both"/>
        <w:rPr>
          <w:rFonts w:ascii="Arial" w:hAnsi="Arial" w:cs="Arial"/>
          <w:sz w:val="22"/>
        </w:rPr>
      </w:pPr>
      <w:r w:rsidRPr="00567F29">
        <w:rPr>
          <w:rFonts w:ascii="Arial" w:hAnsi="Arial" w:cs="Arial"/>
          <w:sz w:val="22"/>
        </w:rPr>
        <w:t>The following table shows the different Monitoring, Evaluation and Reporting activities including the timeline for data collection.</w:t>
      </w:r>
    </w:p>
    <w:p w:rsidR="00147B3B" w:rsidRPr="00567F29" w:rsidRDefault="00147B3B" w:rsidP="00147B3B">
      <w:pPr>
        <w:spacing w:after="0" w:line="240" w:lineRule="auto"/>
        <w:jc w:val="center"/>
        <w:rPr>
          <w:rFonts w:ascii="Arial" w:eastAsia="Times New Roman" w:hAnsi="Arial" w:cs="Arial"/>
          <w:b/>
          <w:bCs/>
          <w:color w:val="auto"/>
          <w:sz w:val="20"/>
          <w:szCs w:val="20"/>
        </w:rPr>
        <w:sectPr w:rsidR="00147B3B" w:rsidRPr="00567F29" w:rsidSect="004B6BEB">
          <w:pgSz w:w="12240" w:h="15840"/>
          <w:pgMar w:top="1440" w:right="1440" w:bottom="1440" w:left="1440" w:header="720" w:footer="720" w:gutter="0"/>
          <w:cols w:space="720"/>
          <w:docGrid w:linePitch="360"/>
        </w:sectPr>
      </w:pPr>
    </w:p>
    <w:p w:rsidR="00521E19" w:rsidRPr="00567F29" w:rsidRDefault="00521E19" w:rsidP="00521E19">
      <w:pPr>
        <w:pStyle w:val="Caption"/>
        <w:jc w:val="both"/>
        <w:rPr>
          <w:rFonts w:ascii="Arial" w:hAnsi="Arial" w:cs="Arial"/>
          <w:sz w:val="22"/>
        </w:rPr>
      </w:pPr>
      <w:r w:rsidRPr="00567F29">
        <w:rPr>
          <w:rFonts w:ascii="Arial" w:hAnsi="Arial" w:cs="Arial"/>
          <w:sz w:val="22"/>
        </w:rPr>
        <w:lastRenderedPageBreak/>
        <w:t>Table 3: Monitoring and Reporting Work Plan</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72"/>
        <w:gridCol w:w="328"/>
        <w:gridCol w:w="383"/>
        <w:gridCol w:w="408"/>
        <w:gridCol w:w="275"/>
        <w:gridCol w:w="260"/>
        <w:gridCol w:w="68"/>
        <w:gridCol w:w="299"/>
        <w:gridCol w:w="84"/>
        <w:gridCol w:w="281"/>
        <w:gridCol w:w="126"/>
        <w:gridCol w:w="241"/>
        <w:gridCol w:w="31"/>
        <w:gridCol w:w="328"/>
        <w:gridCol w:w="8"/>
        <w:gridCol w:w="376"/>
        <w:gridCol w:w="366"/>
        <w:gridCol w:w="39"/>
        <w:gridCol w:w="273"/>
        <w:gridCol w:w="56"/>
        <w:gridCol w:w="272"/>
        <w:gridCol w:w="96"/>
        <w:gridCol w:w="287"/>
        <w:gridCol w:w="79"/>
        <w:gridCol w:w="329"/>
        <w:gridCol w:w="37"/>
        <w:gridCol w:w="235"/>
        <w:gridCol w:w="132"/>
        <w:gridCol w:w="197"/>
        <w:gridCol w:w="170"/>
        <w:gridCol w:w="213"/>
        <w:gridCol w:w="152"/>
        <w:gridCol w:w="258"/>
        <w:gridCol w:w="109"/>
        <w:gridCol w:w="164"/>
        <w:gridCol w:w="203"/>
        <w:gridCol w:w="127"/>
        <w:gridCol w:w="241"/>
        <w:gridCol w:w="143"/>
        <w:gridCol w:w="224"/>
        <w:gridCol w:w="182"/>
        <w:gridCol w:w="185"/>
        <w:gridCol w:w="367"/>
        <w:gridCol w:w="111"/>
        <w:gridCol w:w="256"/>
        <w:gridCol w:w="367"/>
        <w:gridCol w:w="50"/>
        <w:gridCol w:w="317"/>
        <w:gridCol w:w="301"/>
        <w:gridCol w:w="767"/>
      </w:tblGrid>
      <w:tr w:rsidR="00947DF6" w:rsidRPr="00947DF6" w:rsidTr="002C5C17">
        <w:trPr>
          <w:trHeight w:val="255"/>
          <w:tblHeader/>
        </w:trPr>
        <w:tc>
          <w:tcPr>
            <w:tcW w:w="5000" w:type="pct"/>
            <w:gridSpan w:val="51"/>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b/>
                <w:bCs/>
                <w:color w:val="auto"/>
                <w:sz w:val="20"/>
                <w:szCs w:val="20"/>
              </w:rPr>
            </w:pPr>
            <w:r w:rsidRPr="00947DF6">
              <w:rPr>
                <w:rFonts w:ascii="Arial" w:eastAsia="Times New Roman" w:hAnsi="Arial" w:cs="Arial"/>
                <w:b/>
                <w:bCs/>
                <w:color w:val="auto"/>
                <w:sz w:val="20"/>
                <w:szCs w:val="20"/>
              </w:rPr>
              <w:t>BA-L1012 Monitoring and Reporting Work Plan</w:t>
            </w:r>
          </w:p>
        </w:tc>
      </w:tr>
      <w:tr w:rsidR="00947DF6" w:rsidRPr="00947DF6" w:rsidTr="002C5C17">
        <w:trPr>
          <w:trHeight w:val="510"/>
          <w:tblHeader/>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b/>
                <w:bCs/>
                <w:color w:val="auto"/>
                <w:sz w:val="20"/>
                <w:szCs w:val="20"/>
              </w:rPr>
            </w:pPr>
            <w:r w:rsidRPr="00947DF6">
              <w:rPr>
                <w:rFonts w:ascii="Arial" w:eastAsia="Times New Roman" w:hAnsi="Arial" w:cs="Arial"/>
                <w:b/>
                <w:bCs/>
                <w:color w:val="auto"/>
                <w:sz w:val="20"/>
                <w:szCs w:val="20"/>
              </w:rPr>
              <w:t>Monitoring and Evaluation Plan</w:t>
            </w:r>
          </w:p>
        </w:tc>
        <w:tc>
          <w:tcPr>
            <w:tcW w:w="527" w:type="pct"/>
            <w:gridSpan w:val="4"/>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Year 1</w:t>
            </w:r>
          </w:p>
        </w:tc>
        <w:tc>
          <w:tcPr>
            <w:tcW w:w="528" w:type="pct"/>
            <w:gridSpan w:val="7"/>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Year 2</w:t>
            </w:r>
          </w:p>
        </w:tc>
        <w:tc>
          <w:tcPr>
            <w:tcW w:w="527" w:type="pct"/>
            <w:gridSpan w:val="7"/>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Year 3</w:t>
            </w:r>
          </w:p>
        </w:tc>
        <w:tc>
          <w:tcPr>
            <w:tcW w:w="527" w:type="pct"/>
            <w:gridSpan w:val="7"/>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Year 4</w:t>
            </w:r>
          </w:p>
        </w:tc>
        <w:tc>
          <w:tcPr>
            <w:tcW w:w="529" w:type="pct"/>
            <w:gridSpan w:val="8"/>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Year 5</w:t>
            </w:r>
          </w:p>
        </w:tc>
        <w:tc>
          <w:tcPr>
            <w:tcW w:w="527" w:type="pct"/>
            <w:gridSpan w:val="8"/>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Year 6</w:t>
            </w:r>
          </w:p>
        </w:tc>
        <w:tc>
          <w:tcPr>
            <w:tcW w:w="251"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Lead</w:t>
            </w:r>
          </w:p>
        </w:tc>
        <w:tc>
          <w:tcPr>
            <w:tcW w:w="255"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 xml:space="preserve">Cost </w:t>
            </w:r>
            <w:r w:rsidRPr="00947DF6">
              <w:rPr>
                <w:rFonts w:ascii="Arial" w:eastAsia="Times New Roman" w:hAnsi="Arial" w:cs="Arial"/>
                <w:color w:val="auto"/>
                <w:sz w:val="20"/>
                <w:szCs w:val="20"/>
              </w:rPr>
              <w:br/>
              <w:t>(US$ '000)</w:t>
            </w:r>
          </w:p>
        </w:tc>
        <w:tc>
          <w:tcPr>
            <w:tcW w:w="525"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Financing</w:t>
            </w:r>
          </w:p>
        </w:tc>
      </w:tr>
      <w:tr w:rsidR="002C5C17" w:rsidRPr="00947DF6" w:rsidTr="002C5C17">
        <w:trPr>
          <w:trHeight w:val="255"/>
          <w:tblHeader/>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auto"/>
                <w:sz w:val="20"/>
                <w:szCs w:val="20"/>
              </w:rPr>
            </w:pPr>
            <w:r w:rsidRPr="00947DF6">
              <w:rPr>
                <w:rFonts w:ascii="Arial" w:eastAsia="Times New Roman" w:hAnsi="Arial" w:cs="Arial"/>
                <w:color w:val="auto"/>
                <w:sz w:val="20"/>
                <w:szCs w:val="20"/>
              </w:rPr>
              <w:t> </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w:t>
            </w: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w:t>
            </w: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III</w:t>
            </w: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IV</w:t>
            </w: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w:t>
            </w: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w:t>
            </w: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III</w:t>
            </w: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IV</w:t>
            </w: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w:t>
            </w: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w:t>
            </w: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III</w:t>
            </w: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IV</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w:t>
            </w: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w:t>
            </w: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III</w:t>
            </w: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IV</w:t>
            </w: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w:t>
            </w: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w:t>
            </w: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III</w:t>
            </w: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IV</w:t>
            </w: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w:t>
            </w: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w:t>
            </w: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III</w:t>
            </w: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IV</w:t>
            </w:r>
          </w:p>
        </w:tc>
        <w:tc>
          <w:tcPr>
            <w:tcW w:w="251"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255"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525"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r>
      <w:tr w:rsidR="00947DF6" w:rsidRPr="00947DF6" w:rsidTr="002C5C17">
        <w:trPr>
          <w:trHeight w:val="255"/>
        </w:trPr>
        <w:tc>
          <w:tcPr>
            <w:tcW w:w="5000" w:type="pct"/>
            <w:gridSpan w:val="51"/>
            <w:shd w:val="clear" w:color="000000" w:fill="0D0D0D"/>
            <w:vAlign w:val="center"/>
            <w:hideMark/>
          </w:tcPr>
          <w:p w:rsidR="00947DF6" w:rsidRPr="00947DF6" w:rsidRDefault="00947DF6" w:rsidP="00947DF6">
            <w:pPr>
              <w:spacing w:after="0" w:line="240" w:lineRule="auto"/>
              <w:jc w:val="center"/>
              <w:rPr>
                <w:rFonts w:ascii="Arial" w:eastAsia="Times New Roman" w:hAnsi="Arial" w:cs="Arial"/>
                <w:color w:val="FFFFFF"/>
                <w:sz w:val="20"/>
                <w:szCs w:val="20"/>
              </w:rPr>
            </w:pPr>
            <w:r w:rsidRPr="00947DF6">
              <w:rPr>
                <w:rFonts w:ascii="Arial" w:eastAsia="Times New Roman" w:hAnsi="Arial" w:cs="Arial"/>
                <w:color w:val="FFFFFF"/>
                <w:sz w:val="20"/>
                <w:szCs w:val="20"/>
              </w:rPr>
              <w:t>Monitoring and Reporting Activities</w:t>
            </w:r>
          </w:p>
        </w:tc>
      </w:tr>
      <w:tr w:rsidR="002C5C17" w:rsidRPr="00947DF6" w:rsidTr="002C5C17">
        <w:trPr>
          <w:trHeight w:val="255"/>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Operation Kickoff meeting</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restart"/>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30</w:t>
            </w:r>
          </w:p>
        </w:tc>
        <w:tc>
          <w:tcPr>
            <w:tcW w:w="525" w:type="pct"/>
            <w:gridSpan w:val="3"/>
            <w:vMerge w:val="restart"/>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r>
      <w:tr w:rsidR="002C5C17" w:rsidRPr="00947DF6" w:rsidTr="002C5C17">
        <w:trPr>
          <w:trHeight w:val="51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Project Monitoring Report Workshop (Initial Plan)</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255"/>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Fiduciary Workshop</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255"/>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Procurement training</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255"/>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Ongoing fiduciary monitoring</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51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Semi-annual meetings and technical supervision visits</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51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Environmental and social supervision visits</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615"/>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auto"/>
                <w:sz w:val="20"/>
                <w:szCs w:val="20"/>
              </w:rPr>
            </w:pPr>
            <w:r w:rsidRPr="00947DF6">
              <w:rPr>
                <w:rFonts w:ascii="Arial" w:eastAsia="Times New Roman" w:hAnsi="Arial" w:cs="Arial"/>
                <w:color w:val="auto"/>
                <w:sz w:val="20"/>
                <w:szCs w:val="20"/>
              </w:rPr>
              <w:t>Operations Manual (OM)</w:t>
            </w: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c>
          <w:tcPr>
            <w:tcW w:w="251"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PEU</w:t>
            </w:r>
          </w:p>
        </w:tc>
        <w:tc>
          <w:tcPr>
            <w:tcW w:w="255" w:type="pct"/>
            <w:gridSpan w:val="3"/>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5</w:t>
            </w:r>
          </w:p>
        </w:tc>
        <w:tc>
          <w:tcPr>
            <w:tcW w:w="525" w:type="pct"/>
            <w:gridSpan w:val="3"/>
            <w:vMerge w:val="restar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r w:rsidRPr="00947DF6">
              <w:rPr>
                <w:rFonts w:ascii="Arial" w:eastAsia="Times New Roman" w:hAnsi="Arial" w:cs="Arial"/>
                <w:color w:val="auto"/>
                <w:sz w:val="20"/>
                <w:szCs w:val="20"/>
              </w:rPr>
              <w:t>Included in Project Management cost</w:t>
            </w:r>
          </w:p>
        </w:tc>
      </w:tr>
      <w:tr w:rsidR="002C5C17" w:rsidRPr="00947DF6" w:rsidTr="002C5C17">
        <w:trPr>
          <w:trHeight w:val="51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 xml:space="preserve">Completion of monitoring and evaluation tools (PEP, AOP, PP) </w:t>
            </w: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PEU</w:t>
            </w:r>
          </w:p>
        </w:tc>
        <w:tc>
          <w:tcPr>
            <w:tcW w:w="255" w:type="pct"/>
            <w:gridSpan w:val="3"/>
            <w:vMerge w:val="restart"/>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60</w:t>
            </w: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r>
      <w:tr w:rsidR="002C5C17" w:rsidRPr="00947DF6" w:rsidTr="002C5C17">
        <w:trPr>
          <w:trHeight w:val="51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Prepare semi-annual progress reports</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PEU</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auto"/>
                <w:sz w:val="20"/>
                <w:szCs w:val="20"/>
              </w:rPr>
            </w:pPr>
          </w:p>
        </w:tc>
      </w:tr>
      <w:tr w:rsidR="002C5C17" w:rsidRPr="00947DF6" w:rsidTr="002C5C17">
        <w:trPr>
          <w:trHeight w:val="765"/>
        </w:trPr>
        <w:tc>
          <w:tcPr>
            <w:tcW w:w="805" w:type="pct"/>
            <w:shd w:val="clear" w:color="auto" w:fill="auto"/>
            <w:vAlign w:val="center"/>
            <w:hideMark/>
          </w:tcPr>
          <w:p w:rsidR="00947DF6" w:rsidRPr="00947DF6" w:rsidRDefault="004B6BEB"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Analyze</w:t>
            </w:r>
            <w:r w:rsidR="00947DF6" w:rsidRPr="00947DF6">
              <w:rPr>
                <w:rFonts w:ascii="Arial" w:eastAsia="Times New Roman" w:hAnsi="Arial" w:cs="Arial"/>
                <w:color w:val="262626"/>
                <w:sz w:val="20"/>
                <w:szCs w:val="20"/>
              </w:rPr>
              <w:t xml:space="preserve"> and approve monitoring and evaluation tools (PEP, AOP, PP) </w:t>
            </w: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restart"/>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6</w:t>
            </w:r>
          </w:p>
        </w:tc>
        <w:tc>
          <w:tcPr>
            <w:tcW w:w="525" w:type="pct"/>
            <w:gridSpan w:val="3"/>
            <w:vMerge w:val="restart"/>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r>
      <w:tr w:rsidR="002C5C17" w:rsidRPr="00947DF6" w:rsidTr="002C5C17">
        <w:trPr>
          <w:trHeight w:val="510"/>
        </w:trPr>
        <w:tc>
          <w:tcPr>
            <w:tcW w:w="805" w:type="pct"/>
            <w:shd w:val="clear" w:color="auto" w:fill="auto"/>
            <w:vAlign w:val="center"/>
            <w:hideMark/>
          </w:tcPr>
          <w:p w:rsidR="00947DF6" w:rsidRPr="00947DF6" w:rsidRDefault="004B6BEB"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Analyze</w:t>
            </w:r>
            <w:r w:rsidR="00947DF6" w:rsidRPr="00947DF6">
              <w:rPr>
                <w:rFonts w:ascii="Arial" w:eastAsia="Times New Roman" w:hAnsi="Arial" w:cs="Arial"/>
                <w:color w:val="262626"/>
                <w:sz w:val="20"/>
                <w:szCs w:val="20"/>
              </w:rPr>
              <w:t xml:space="preserve"> and approve  semi-annual </w:t>
            </w:r>
            <w:r w:rsidR="00947DF6" w:rsidRPr="00947DF6">
              <w:rPr>
                <w:rFonts w:ascii="Arial" w:eastAsia="Times New Roman" w:hAnsi="Arial" w:cs="Arial"/>
                <w:color w:val="262626"/>
                <w:sz w:val="20"/>
                <w:szCs w:val="20"/>
              </w:rPr>
              <w:lastRenderedPageBreak/>
              <w:t>progress reports</w:t>
            </w: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510"/>
        </w:trPr>
        <w:tc>
          <w:tcPr>
            <w:tcW w:w="805" w:type="pct"/>
            <w:shd w:val="clear" w:color="auto" w:fill="auto"/>
            <w:vAlign w:val="center"/>
            <w:hideMark/>
          </w:tcPr>
          <w:p w:rsidR="00947DF6" w:rsidRPr="00947DF6" w:rsidRDefault="004B6BEB"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lastRenderedPageBreak/>
              <w:t>Analyze</w:t>
            </w:r>
            <w:r w:rsidR="00947DF6" w:rsidRPr="00947DF6">
              <w:rPr>
                <w:rFonts w:ascii="Arial" w:eastAsia="Times New Roman" w:hAnsi="Arial" w:cs="Arial"/>
                <w:color w:val="262626"/>
                <w:sz w:val="20"/>
                <w:szCs w:val="20"/>
              </w:rPr>
              <w:t xml:space="preserve"> and approve disbursement requests</w:t>
            </w: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c>
          <w:tcPr>
            <w:tcW w:w="255"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w:t>
            </w:r>
          </w:p>
        </w:tc>
        <w:tc>
          <w:tcPr>
            <w:tcW w:w="525"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IDB</w:t>
            </w:r>
          </w:p>
        </w:tc>
      </w:tr>
      <w:tr w:rsidR="00947DF6" w:rsidRPr="00947DF6" w:rsidTr="002C5C17">
        <w:trPr>
          <w:trHeight w:val="255"/>
        </w:trPr>
        <w:tc>
          <w:tcPr>
            <w:tcW w:w="5000" w:type="pct"/>
            <w:gridSpan w:val="51"/>
            <w:shd w:val="clear" w:color="000000" w:fill="0D0D0D"/>
            <w:vAlign w:val="center"/>
            <w:hideMark/>
          </w:tcPr>
          <w:p w:rsidR="00947DF6" w:rsidRPr="00947DF6" w:rsidRDefault="00947DF6" w:rsidP="00947DF6">
            <w:pPr>
              <w:spacing w:after="0" w:line="240" w:lineRule="auto"/>
              <w:jc w:val="center"/>
              <w:rPr>
                <w:rFonts w:ascii="Arial" w:eastAsia="Times New Roman" w:hAnsi="Arial" w:cs="Arial"/>
                <w:color w:val="FFFFFF"/>
                <w:sz w:val="20"/>
                <w:szCs w:val="20"/>
              </w:rPr>
            </w:pPr>
            <w:r w:rsidRPr="00947DF6">
              <w:rPr>
                <w:rFonts w:ascii="Arial" w:eastAsia="Times New Roman" w:hAnsi="Arial" w:cs="Arial"/>
                <w:color w:val="FFFFFF"/>
                <w:sz w:val="20"/>
                <w:szCs w:val="20"/>
              </w:rPr>
              <w:t>Data Collection Activities</w:t>
            </w:r>
          </w:p>
        </w:tc>
      </w:tr>
      <w:tr w:rsidR="002C5C17" w:rsidRPr="00947DF6" w:rsidTr="002C5C17">
        <w:trPr>
          <w:trHeight w:val="72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Component 1: Natural Gas Infrastructure</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PEU</w:t>
            </w:r>
          </w:p>
        </w:tc>
        <w:tc>
          <w:tcPr>
            <w:tcW w:w="255" w:type="pct"/>
            <w:gridSpan w:val="3"/>
            <w:vMerge w:val="restart"/>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60</w:t>
            </w:r>
          </w:p>
        </w:tc>
        <w:tc>
          <w:tcPr>
            <w:tcW w:w="525" w:type="pct"/>
            <w:gridSpan w:val="3"/>
            <w:vMerge w:val="restar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Included in Project Management cost</w:t>
            </w:r>
          </w:p>
        </w:tc>
      </w:tr>
      <w:tr w:rsidR="002C5C17" w:rsidRPr="00947DF6" w:rsidTr="002C5C17">
        <w:trPr>
          <w:trHeight w:val="51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Component 2: Smart Energy Solutions</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PEU</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947DF6" w:rsidTr="002C5C17">
        <w:trPr>
          <w:trHeight w:val="510"/>
        </w:trPr>
        <w:tc>
          <w:tcPr>
            <w:tcW w:w="805" w:type="pct"/>
            <w:shd w:val="clear" w:color="auto" w:fill="auto"/>
            <w:vAlign w:val="center"/>
            <w:hideMark/>
          </w:tcPr>
          <w:p w:rsidR="00947DF6" w:rsidRPr="00947DF6" w:rsidRDefault="00947DF6" w:rsidP="00947DF6">
            <w:pPr>
              <w:spacing w:after="0" w:line="240" w:lineRule="auto"/>
              <w:rPr>
                <w:rFonts w:ascii="Arial" w:eastAsia="Times New Roman" w:hAnsi="Arial" w:cs="Arial"/>
                <w:color w:val="262626"/>
                <w:sz w:val="20"/>
                <w:szCs w:val="20"/>
              </w:rPr>
            </w:pPr>
            <w:r w:rsidRPr="00947DF6">
              <w:rPr>
                <w:rFonts w:ascii="Arial" w:eastAsia="Times New Roman" w:hAnsi="Arial" w:cs="Arial"/>
                <w:color w:val="262626"/>
                <w:sz w:val="20"/>
                <w:szCs w:val="20"/>
              </w:rPr>
              <w:t>Component 3: Technical Advisory Services</w:t>
            </w:r>
          </w:p>
        </w:tc>
        <w:tc>
          <w:tcPr>
            <w:tcW w:w="103"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4"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03"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25"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145" w:type="pct"/>
            <w:gridSpan w:val="2"/>
            <w:shd w:val="clear" w:color="000000" w:fill="92D050"/>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154" w:type="pct"/>
            <w:gridSpan w:val="2"/>
            <w:shd w:val="clear" w:color="auto" w:fill="auto"/>
            <w:vAlign w:val="center"/>
            <w:hideMark/>
          </w:tcPr>
          <w:p w:rsidR="00947DF6" w:rsidRPr="00947DF6" w:rsidRDefault="00947DF6" w:rsidP="00947DF6">
            <w:pPr>
              <w:spacing w:after="0" w:line="240" w:lineRule="auto"/>
              <w:jc w:val="center"/>
              <w:rPr>
                <w:rFonts w:ascii="Arial" w:eastAsia="Times New Roman" w:hAnsi="Arial" w:cs="Arial"/>
                <w:color w:val="262626"/>
                <w:sz w:val="20"/>
                <w:szCs w:val="20"/>
              </w:rPr>
            </w:pPr>
          </w:p>
        </w:tc>
        <w:tc>
          <w:tcPr>
            <w:tcW w:w="251" w:type="pct"/>
            <w:gridSpan w:val="3"/>
            <w:shd w:val="clear" w:color="auto" w:fill="auto"/>
            <w:noWrap/>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r w:rsidRPr="00947DF6">
              <w:rPr>
                <w:rFonts w:ascii="Arial" w:eastAsia="Times New Roman" w:hAnsi="Arial" w:cs="Arial"/>
                <w:color w:val="000000"/>
                <w:sz w:val="20"/>
                <w:szCs w:val="20"/>
              </w:rPr>
              <w:t>PEU</w:t>
            </w:r>
          </w:p>
        </w:tc>
        <w:tc>
          <w:tcPr>
            <w:tcW w:w="25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c>
          <w:tcPr>
            <w:tcW w:w="525" w:type="pct"/>
            <w:gridSpan w:val="3"/>
            <w:vMerge/>
            <w:vAlign w:val="center"/>
            <w:hideMark/>
          </w:tcPr>
          <w:p w:rsidR="00947DF6" w:rsidRPr="00947DF6" w:rsidRDefault="00947DF6" w:rsidP="00947DF6">
            <w:pPr>
              <w:spacing w:after="0" w:line="240" w:lineRule="auto"/>
              <w:jc w:val="center"/>
              <w:rPr>
                <w:rFonts w:ascii="Arial" w:eastAsia="Times New Roman" w:hAnsi="Arial" w:cs="Arial"/>
                <w:color w:val="000000"/>
                <w:sz w:val="20"/>
                <w:szCs w:val="20"/>
              </w:rPr>
            </w:pPr>
          </w:p>
        </w:tc>
      </w:tr>
      <w:tr w:rsidR="002C5C17" w:rsidRPr="002C5C17" w:rsidTr="002C5C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534" w:type="pct"/>
            <w:gridSpan w:val="7"/>
            <w:tcBorders>
              <w:top w:val="single" w:sz="4" w:space="0" w:color="auto"/>
              <w:left w:val="single" w:sz="4" w:space="0" w:color="auto"/>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Total Budget for Monitoring Activities</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3"/>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43" w:type="pct"/>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3"/>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114" w:type="pct"/>
            <w:tcBorders>
              <w:top w:val="single" w:sz="4" w:space="0" w:color="auto"/>
              <w:left w:val="nil"/>
              <w:bottom w:val="single" w:sz="4" w:space="0" w:color="auto"/>
              <w:right w:val="single" w:sz="4" w:space="0" w:color="auto"/>
            </w:tcBorders>
            <w:shd w:val="clear" w:color="auto" w:fill="auto"/>
            <w:noWrap/>
            <w:vAlign w:val="center"/>
            <w:hideMark/>
          </w:tcPr>
          <w:p w:rsidR="002C5C17" w:rsidRPr="002C5C17" w:rsidRDefault="002C5C17" w:rsidP="002C5C17">
            <w:pPr>
              <w:spacing w:after="0" w:line="240" w:lineRule="auto"/>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2C5C17" w:rsidRPr="002C5C17" w:rsidRDefault="002C5C17" w:rsidP="002C5C17">
            <w:pPr>
              <w:spacing w:after="0" w:line="240" w:lineRule="auto"/>
              <w:jc w:val="right"/>
              <w:rPr>
                <w:rFonts w:ascii="Arial" w:eastAsia="Times New Roman" w:hAnsi="Arial" w:cs="Arial"/>
                <w:b/>
                <w:bCs/>
                <w:color w:val="000000"/>
                <w:sz w:val="20"/>
                <w:szCs w:val="20"/>
              </w:rPr>
            </w:pPr>
            <w:r w:rsidRPr="002C5C17">
              <w:rPr>
                <w:rFonts w:ascii="Arial" w:eastAsia="Times New Roman" w:hAnsi="Arial" w:cs="Arial"/>
                <w:b/>
                <w:bCs/>
                <w:color w:val="000000"/>
                <w:sz w:val="20"/>
                <w:szCs w:val="20"/>
              </w:rPr>
              <w:t>161</w:t>
            </w:r>
          </w:p>
        </w:tc>
      </w:tr>
    </w:tbl>
    <w:p w:rsidR="00AA7C32" w:rsidRDefault="00AA7C32" w:rsidP="00147B3B">
      <w:pPr>
        <w:rPr>
          <w:rFonts w:ascii="Arial" w:eastAsia="Times New Roman" w:hAnsi="Arial" w:cs="Arial"/>
          <w:color w:val="262626"/>
          <w:sz w:val="20"/>
          <w:szCs w:val="20"/>
        </w:rPr>
      </w:pPr>
    </w:p>
    <w:p w:rsidR="00147B3B" w:rsidRPr="00567F29" w:rsidRDefault="00147B3B" w:rsidP="00147B3B">
      <w:pPr>
        <w:rPr>
          <w:rFonts w:ascii="Arial" w:hAnsi="Arial" w:cs="Arial"/>
          <w:sz w:val="22"/>
        </w:rPr>
        <w:sectPr w:rsidR="00147B3B" w:rsidRPr="00567F29" w:rsidSect="004B6BEB">
          <w:pgSz w:w="15840" w:h="12240" w:orient="landscape"/>
          <w:pgMar w:top="1440" w:right="1440" w:bottom="1440" w:left="1440" w:header="720" w:footer="720" w:gutter="0"/>
          <w:cols w:space="720"/>
          <w:docGrid w:linePitch="360"/>
        </w:sectPr>
      </w:pPr>
      <w:r w:rsidRPr="00567F29">
        <w:rPr>
          <w:rFonts w:ascii="Arial" w:eastAsia="Times New Roman" w:hAnsi="Arial" w:cs="Arial"/>
          <w:color w:val="262626"/>
          <w:sz w:val="20"/>
          <w:szCs w:val="20"/>
        </w:rPr>
        <w:t>*** To be submitted to the Bank no later than 120 days after the final disbursement justification</w:t>
      </w:r>
    </w:p>
    <w:p w:rsidR="00521E19" w:rsidRPr="00567F29" w:rsidRDefault="00521E19" w:rsidP="00521E19">
      <w:pPr>
        <w:jc w:val="both"/>
        <w:rPr>
          <w:rFonts w:ascii="Arial" w:hAnsi="Arial" w:cs="Arial"/>
          <w:sz w:val="22"/>
        </w:rPr>
      </w:pPr>
      <w:r w:rsidRPr="00567F29">
        <w:rPr>
          <w:rFonts w:ascii="Arial" w:hAnsi="Arial" w:cs="Arial"/>
          <w:sz w:val="22"/>
        </w:rPr>
        <w:lastRenderedPageBreak/>
        <w:t xml:space="preserve">These indicators and their expected timing are defined in the Results Matrix. Baseline data for each of the indicators exists through NPC’s management and monitoring of its business operations, through BL&amp;P’s management and monitoring of its business operations, or through Barbados’ monitoring and analysis as part of its commitments under the UNFCCC. The PEU will be responsible for gathering the required baseline data and monitoring the evolution of these indictors. </w:t>
      </w:r>
    </w:p>
    <w:p w:rsidR="00521E19" w:rsidRPr="00567F29" w:rsidRDefault="00521E19" w:rsidP="00521E19">
      <w:pPr>
        <w:jc w:val="both"/>
        <w:rPr>
          <w:rFonts w:ascii="Arial" w:hAnsi="Arial" w:cs="Arial"/>
          <w:sz w:val="22"/>
        </w:rPr>
      </w:pPr>
      <w:r w:rsidRPr="00567F29">
        <w:rPr>
          <w:rFonts w:ascii="Arial" w:hAnsi="Arial" w:cs="Arial"/>
          <w:sz w:val="22"/>
        </w:rPr>
        <w:t>The following table shows the total Project Costs by component.</w:t>
      </w:r>
    </w:p>
    <w:p w:rsidR="005A506E" w:rsidRPr="00567F29" w:rsidRDefault="005A506E" w:rsidP="005F7D46">
      <w:pPr>
        <w:pStyle w:val="Caption"/>
        <w:jc w:val="both"/>
        <w:rPr>
          <w:rFonts w:ascii="Arial" w:hAnsi="Arial" w:cs="Arial"/>
          <w:sz w:val="22"/>
        </w:rPr>
      </w:pPr>
      <w:r w:rsidRPr="00567F29">
        <w:rPr>
          <w:rFonts w:ascii="Arial" w:hAnsi="Arial" w:cs="Arial"/>
          <w:sz w:val="22"/>
        </w:rPr>
        <w:t xml:space="preserve">Table </w:t>
      </w:r>
      <w:r w:rsidR="00521E19" w:rsidRPr="00567F29">
        <w:rPr>
          <w:rFonts w:ascii="Arial" w:hAnsi="Arial" w:cs="Arial"/>
          <w:sz w:val="22"/>
        </w:rPr>
        <w:t>4</w:t>
      </w:r>
      <w:r w:rsidRPr="00567F29">
        <w:rPr>
          <w:rFonts w:ascii="Arial" w:hAnsi="Arial" w:cs="Arial"/>
          <w:sz w:val="22"/>
        </w:rPr>
        <w:t>: Project Costs by Component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5"/>
        <w:gridCol w:w="3911"/>
      </w:tblGrid>
      <w:tr w:rsidR="005A506E" w:rsidRPr="00567F29" w:rsidTr="00E02766">
        <w:trPr>
          <w:trHeight w:val="341"/>
          <w:jc w:val="center"/>
        </w:trPr>
        <w:tc>
          <w:tcPr>
            <w:tcW w:w="3516" w:type="pct"/>
            <w:shd w:val="clear" w:color="000000" w:fill="F2F2F2"/>
            <w:noWrap/>
            <w:vAlign w:val="center"/>
            <w:hideMark/>
          </w:tcPr>
          <w:p w:rsidR="005A506E" w:rsidRPr="00567F29" w:rsidRDefault="005A506E" w:rsidP="005F7D46">
            <w:pPr>
              <w:spacing w:after="0" w:line="240" w:lineRule="auto"/>
              <w:jc w:val="both"/>
              <w:rPr>
                <w:rFonts w:ascii="Arial" w:eastAsia="Times New Roman" w:hAnsi="Arial" w:cs="Arial"/>
                <w:b/>
                <w:bCs/>
                <w:color w:val="000000"/>
                <w:sz w:val="18"/>
                <w:szCs w:val="20"/>
              </w:rPr>
            </w:pPr>
            <w:r w:rsidRPr="00567F29">
              <w:rPr>
                <w:rFonts w:ascii="Arial" w:eastAsia="Times New Roman" w:hAnsi="Arial" w:cs="Arial"/>
                <w:b/>
                <w:bCs/>
                <w:color w:val="000000"/>
                <w:sz w:val="18"/>
                <w:szCs w:val="20"/>
              </w:rPr>
              <w:t>Component</w:t>
            </w:r>
          </w:p>
        </w:tc>
        <w:tc>
          <w:tcPr>
            <w:tcW w:w="1484" w:type="pct"/>
            <w:shd w:val="clear" w:color="000000" w:fill="F2F2F2"/>
            <w:vAlign w:val="center"/>
            <w:hideMark/>
          </w:tcPr>
          <w:p w:rsidR="005A506E" w:rsidRPr="00567F29" w:rsidRDefault="005A506E" w:rsidP="005F7D46">
            <w:pPr>
              <w:spacing w:after="0" w:line="240" w:lineRule="auto"/>
              <w:jc w:val="both"/>
              <w:rPr>
                <w:rFonts w:ascii="Arial" w:eastAsia="Times New Roman" w:hAnsi="Arial" w:cs="Arial"/>
                <w:b/>
                <w:bCs/>
                <w:color w:val="000000"/>
                <w:sz w:val="18"/>
                <w:szCs w:val="20"/>
              </w:rPr>
            </w:pPr>
            <w:r w:rsidRPr="00567F29">
              <w:rPr>
                <w:rFonts w:ascii="Arial" w:eastAsia="Times New Roman" w:hAnsi="Arial" w:cs="Arial"/>
                <w:b/>
                <w:bCs/>
                <w:color w:val="000000"/>
                <w:sz w:val="18"/>
                <w:szCs w:val="20"/>
              </w:rPr>
              <w:t>IDB (OC loan)</w:t>
            </w:r>
          </w:p>
        </w:tc>
      </w:tr>
      <w:tr w:rsidR="005A506E" w:rsidRPr="00567F29" w:rsidTr="00E02766">
        <w:trPr>
          <w:trHeight w:val="20"/>
          <w:jc w:val="center"/>
        </w:trPr>
        <w:tc>
          <w:tcPr>
            <w:tcW w:w="3516" w:type="pct"/>
            <w:shd w:val="clear" w:color="auto" w:fill="auto"/>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 xml:space="preserve">Component 1. NG Infrastructure </w:t>
            </w:r>
          </w:p>
        </w:tc>
        <w:tc>
          <w:tcPr>
            <w:tcW w:w="1484" w:type="pct"/>
            <w:shd w:val="clear" w:color="auto" w:fill="auto"/>
            <w:noWrap/>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25,025,000</w:t>
            </w:r>
          </w:p>
        </w:tc>
      </w:tr>
      <w:tr w:rsidR="005A506E" w:rsidRPr="00567F29" w:rsidTr="00E02766">
        <w:trPr>
          <w:trHeight w:val="20"/>
          <w:jc w:val="center"/>
        </w:trPr>
        <w:tc>
          <w:tcPr>
            <w:tcW w:w="3516" w:type="pct"/>
            <w:shd w:val="clear" w:color="auto" w:fill="auto"/>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 xml:space="preserve">Component 2. Smart Energy Solutions </w:t>
            </w:r>
          </w:p>
        </w:tc>
        <w:tc>
          <w:tcPr>
            <w:tcW w:w="1484" w:type="pct"/>
            <w:shd w:val="clear" w:color="auto" w:fill="auto"/>
            <w:noWrap/>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3,350,000</w:t>
            </w:r>
          </w:p>
        </w:tc>
      </w:tr>
      <w:tr w:rsidR="005A506E" w:rsidRPr="00567F29" w:rsidTr="00E02766">
        <w:trPr>
          <w:trHeight w:val="20"/>
          <w:jc w:val="center"/>
        </w:trPr>
        <w:tc>
          <w:tcPr>
            <w:tcW w:w="3516" w:type="pct"/>
            <w:shd w:val="clear" w:color="auto" w:fill="auto"/>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 xml:space="preserve">Component 3. Technical Advisory Services </w:t>
            </w:r>
          </w:p>
        </w:tc>
        <w:tc>
          <w:tcPr>
            <w:tcW w:w="1484" w:type="pct"/>
            <w:shd w:val="clear" w:color="auto" w:fill="auto"/>
            <w:noWrap/>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4,050,000</w:t>
            </w:r>
          </w:p>
        </w:tc>
      </w:tr>
      <w:tr w:rsidR="005A506E" w:rsidRPr="00567F29" w:rsidTr="00E02766">
        <w:trPr>
          <w:trHeight w:val="20"/>
          <w:jc w:val="center"/>
        </w:trPr>
        <w:tc>
          <w:tcPr>
            <w:tcW w:w="3516" w:type="pct"/>
            <w:shd w:val="clear" w:color="auto" w:fill="auto"/>
            <w:vAlign w:val="center"/>
            <w:hideMark/>
          </w:tcPr>
          <w:p w:rsidR="005A506E" w:rsidRPr="00567F29" w:rsidRDefault="00E02766" w:rsidP="005F7D46">
            <w:pPr>
              <w:spacing w:after="0" w:line="240" w:lineRule="auto"/>
              <w:jc w:val="both"/>
              <w:rPr>
                <w:rFonts w:ascii="Arial" w:eastAsia="Times New Roman" w:hAnsi="Arial" w:cs="Arial"/>
                <w:color w:val="000000"/>
                <w:sz w:val="18"/>
                <w:szCs w:val="20"/>
              </w:rPr>
            </w:pPr>
            <w:r>
              <w:rPr>
                <w:rFonts w:ascii="Arial" w:eastAsia="Times New Roman" w:hAnsi="Arial" w:cs="Arial"/>
                <w:color w:val="000000"/>
                <w:sz w:val="18"/>
                <w:szCs w:val="20"/>
              </w:rPr>
              <w:t>Program</w:t>
            </w:r>
            <w:r w:rsidR="005A506E" w:rsidRPr="00567F29">
              <w:rPr>
                <w:rFonts w:ascii="Arial" w:eastAsia="Times New Roman" w:hAnsi="Arial" w:cs="Arial"/>
                <w:color w:val="000000"/>
                <w:sz w:val="18"/>
                <w:szCs w:val="20"/>
              </w:rPr>
              <w:t xml:space="preserve"> evaluation </w:t>
            </w:r>
          </w:p>
        </w:tc>
        <w:tc>
          <w:tcPr>
            <w:tcW w:w="1484" w:type="pct"/>
            <w:shd w:val="clear" w:color="auto" w:fill="auto"/>
            <w:noWrap/>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75,000</w:t>
            </w:r>
          </w:p>
        </w:tc>
      </w:tr>
      <w:tr w:rsidR="005A506E" w:rsidRPr="00567F29" w:rsidTr="00E02766">
        <w:trPr>
          <w:trHeight w:val="20"/>
          <w:jc w:val="center"/>
        </w:trPr>
        <w:tc>
          <w:tcPr>
            <w:tcW w:w="3516" w:type="pct"/>
            <w:shd w:val="clear" w:color="auto" w:fill="auto"/>
            <w:vAlign w:val="center"/>
            <w:hideMark/>
          </w:tcPr>
          <w:p w:rsidR="005A506E" w:rsidRPr="00567F29" w:rsidRDefault="005A506E" w:rsidP="00E0276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Project Management</w:t>
            </w:r>
            <w:r w:rsidR="00E02766">
              <w:rPr>
                <w:rFonts w:ascii="Arial" w:eastAsia="Times New Roman" w:hAnsi="Arial" w:cs="Arial"/>
                <w:color w:val="000000"/>
                <w:sz w:val="18"/>
                <w:szCs w:val="20"/>
              </w:rPr>
              <w:t xml:space="preserve"> and Monitoring</w:t>
            </w:r>
            <w:r w:rsidR="00E02766" w:rsidRPr="00567F29">
              <w:rPr>
                <w:rStyle w:val="FootnoteReference"/>
                <w:rFonts w:eastAsia="Times New Roman" w:cs="Arial"/>
                <w:color w:val="000000"/>
                <w:sz w:val="18"/>
                <w:szCs w:val="20"/>
              </w:rPr>
              <w:t xml:space="preserve"> </w:t>
            </w:r>
            <w:r w:rsidR="00897EAB" w:rsidRPr="00567F29">
              <w:rPr>
                <w:rStyle w:val="FootnoteReference"/>
                <w:rFonts w:eastAsia="Times New Roman" w:cs="Arial"/>
                <w:color w:val="000000"/>
                <w:sz w:val="18"/>
                <w:szCs w:val="20"/>
              </w:rPr>
              <w:footnoteReference w:id="6"/>
            </w:r>
          </w:p>
        </w:tc>
        <w:tc>
          <w:tcPr>
            <w:tcW w:w="1484" w:type="pct"/>
            <w:shd w:val="clear" w:color="auto" w:fill="auto"/>
            <w:noWrap/>
            <w:vAlign w:val="center"/>
            <w:hideMark/>
          </w:tcPr>
          <w:p w:rsidR="005A506E" w:rsidRPr="00567F29" w:rsidRDefault="005A506E" w:rsidP="005F7D46">
            <w:pPr>
              <w:spacing w:after="0" w:line="240" w:lineRule="auto"/>
              <w:jc w:val="both"/>
              <w:rPr>
                <w:rFonts w:ascii="Arial" w:eastAsia="Times New Roman" w:hAnsi="Arial" w:cs="Arial"/>
                <w:color w:val="000000"/>
                <w:sz w:val="18"/>
                <w:szCs w:val="20"/>
              </w:rPr>
            </w:pPr>
            <w:r w:rsidRPr="00567F29">
              <w:rPr>
                <w:rFonts w:ascii="Arial" w:eastAsia="Times New Roman" w:hAnsi="Arial" w:cs="Arial"/>
                <w:color w:val="000000"/>
                <w:sz w:val="18"/>
                <w:szCs w:val="20"/>
              </w:rPr>
              <w:t>1,500,000</w:t>
            </w:r>
          </w:p>
        </w:tc>
      </w:tr>
      <w:tr w:rsidR="005A506E" w:rsidRPr="00567F29" w:rsidTr="00E02766">
        <w:trPr>
          <w:trHeight w:val="20"/>
          <w:jc w:val="center"/>
        </w:trPr>
        <w:tc>
          <w:tcPr>
            <w:tcW w:w="3516" w:type="pct"/>
            <w:shd w:val="clear" w:color="auto" w:fill="auto"/>
            <w:noWrap/>
            <w:vAlign w:val="center"/>
            <w:hideMark/>
          </w:tcPr>
          <w:p w:rsidR="005A506E" w:rsidRPr="00567F29" w:rsidRDefault="005A506E" w:rsidP="005F7D46">
            <w:pPr>
              <w:spacing w:after="0" w:line="240" w:lineRule="auto"/>
              <w:jc w:val="both"/>
              <w:rPr>
                <w:rFonts w:ascii="Arial" w:eastAsia="Times New Roman" w:hAnsi="Arial" w:cs="Arial"/>
                <w:b/>
                <w:bCs/>
                <w:color w:val="000000"/>
                <w:sz w:val="18"/>
                <w:szCs w:val="20"/>
              </w:rPr>
            </w:pPr>
            <w:r w:rsidRPr="00567F29">
              <w:rPr>
                <w:rFonts w:ascii="Arial" w:eastAsia="Times New Roman" w:hAnsi="Arial" w:cs="Arial"/>
                <w:b/>
                <w:bCs/>
                <w:color w:val="000000"/>
                <w:sz w:val="18"/>
                <w:szCs w:val="20"/>
              </w:rPr>
              <w:t>Total</w:t>
            </w:r>
          </w:p>
        </w:tc>
        <w:tc>
          <w:tcPr>
            <w:tcW w:w="1484" w:type="pct"/>
            <w:shd w:val="clear" w:color="auto" w:fill="auto"/>
            <w:noWrap/>
            <w:vAlign w:val="center"/>
            <w:hideMark/>
          </w:tcPr>
          <w:p w:rsidR="005A506E" w:rsidRPr="00567F29" w:rsidRDefault="005A506E" w:rsidP="005F7D46">
            <w:pPr>
              <w:spacing w:after="0" w:line="240" w:lineRule="auto"/>
              <w:jc w:val="both"/>
              <w:rPr>
                <w:rFonts w:ascii="Arial" w:eastAsia="Times New Roman" w:hAnsi="Arial" w:cs="Arial"/>
                <w:b/>
                <w:color w:val="000000"/>
                <w:sz w:val="18"/>
                <w:szCs w:val="20"/>
              </w:rPr>
            </w:pPr>
            <w:r w:rsidRPr="00567F29">
              <w:rPr>
                <w:rFonts w:ascii="Arial" w:eastAsia="Times New Roman" w:hAnsi="Arial" w:cs="Arial"/>
                <w:b/>
                <w:color w:val="000000"/>
                <w:sz w:val="18"/>
                <w:szCs w:val="20"/>
              </w:rPr>
              <w:t>34,000,000</w:t>
            </w:r>
          </w:p>
        </w:tc>
      </w:tr>
    </w:tbl>
    <w:p w:rsidR="005A506E" w:rsidRPr="00567F29" w:rsidRDefault="005A506E" w:rsidP="005F7D46">
      <w:pPr>
        <w:jc w:val="both"/>
        <w:rPr>
          <w:rFonts w:ascii="Arial" w:hAnsi="Arial" w:cs="Arial"/>
          <w:sz w:val="22"/>
        </w:rPr>
      </w:pPr>
    </w:p>
    <w:p w:rsidR="00A8193F" w:rsidRPr="00567F29" w:rsidRDefault="00A8193F" w:rsidP="005F7D46">
      <w:pPr>
        <w:jc w:val="both"/>
        <w:rPr>
          <w:rFonts w:ascii="Arial" w:hAnsi="Arial" w:cs="Arial"/>
          <w:sz w:val="22"/>
        </w:rPr>
      </w:pPr>
      <w:r w:rsidRPr="00567F29">
        <w:rPr>
          <w:rFonts w:ascii="Arial" w:hAnsi="Arial" w:cs="Arial"/>
          <w:sz w:val="22"/>
        </w:rPr>
        <w:t>The following table shows the financial plan for the operation. It details the total annual expected costs associated to each of the project’s outputs organized by component.</w:t>
      </w:r>
    </w:p>
    <w:p w:rsidR="005A506E" w:rsidRPr="00567F29" w:rsidRDefault="005A506E" w:rsidP="005F7D46">
      <w:pPr>
        <w:pStyle w:val="Caption"/>
        <w:jc w:val="both"/>
        <w:rPr>
          <w:rFonts w:ascii="Arial" w:hAnsi="Arial" w:cs="Arial"/>
          <w:sz w:val="22"/>
        </w:rPr>
      </w:pPr>
      <w:r w:rsidRPr="00567F29">
        <w:rPr>
          <w:rFonts w:ascii="Arial" w:hAnsi="Arial" w:cs="Arial"/>
          <w:sz w:val="22"/>
        </w:rPr>
        <w:t xml:space="preserve">Table </w:t>
      </w:r>
      <w:r w:rsidR="00521E19" w:rsidRPr="00567F29">
        <w:rPr>
          <w:rFonts w:ascii="Arial" w:hAnsi="Arial" w:cs="Arial"/>
          <w:sz w:val="22"/>
        </w:rPr>
        <w:t>5</w:t>
      </w:r>
      <w:r w:rsidRPr="00567F29">
        <w:rPr>
          <w:rFonts w:ascii="Arial" w:hAnsi="Arial" w:cs="Arial"/>
          <w:sz w:val="22"/>
        </w:rPr>
        <w:t xml:space="preserve">: </w:t>
      </w:r>
      <w:r w:rsidR="00521E19" w:rsidRPr="00567F29">
        <w:rPr>
          <w:rFonts w:ascii="Arial" w:hAnsi="Arial" w:cs="Arial"/>
          <w:sz w:val="22"/>
        </w:rPr>
        <w:t>Financial</w:t>
      </w:r>
      <w:r w:rsidRPr="00567F29">
        <w:rPr>
          <w:rFonts w:ascii="Arial" w:hAnsi="Arial" w:cs="Arial"/>
          <w:sz w:val="22"/>
        </w:rPr>
        <w:t xml:space="preserve"> Timeline by Output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783"/>
        <w:gridCol w:w="1254"/>
        <w:gridCol w:w="1254"/>
        <w:gridCol w:w="1328"/>
        <w:gridCol w:w="1328"/>
        <w:gridCol w:w="1254"/>
        <w:gridCol w:w="1254"/>
        <w:gridCol w:w="1381"/>
      </w:tblGrid>
      <w:tr w:rsidR="00CA7689" w:rsidRPr="00CA7689" w:rsidTr="00CA7689">
        <w:trPr>
          <w:trHeight w:val="510"/>
          <w:tblHeader/>
        </w:trPr>
        <w:tc>
          <w:tcPr>
            <w:tcW w:w="1267"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Indicator</w:t>
            </w:r>
          </w:p>
        </w:tc>
        <w:tc>
          <w:tcPr>
            <w:tcW w:w="297"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Unit</w:t>
            </w:r>
          </w:p>
        </w:tc>
        <w:tc>
          <w:tcPr>
            <w:tcW w:w="476"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Year 1</w:t>
            </w:r>
          </w:p>
        </w:tc>
        <w:tc>
          <w:tcPr>
            <w:tcW w:w="476"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Year 2</w:t>
            </w:r>
          </w:p>
        </w:tc>
        <w:tc>
          <w:tcPr>
            <w:tcW w:w="504"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Year 3</w:t>
            </w:r>
          </w:p>
        </w:tc>
        <w:tc>
          <w:tcPr>
            <w:tcW w:w="504"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Year 4</w:t>
            </w:r>
          </w:p>
        </w:tc>
        <w:tc>
          <w:tcPr>
            <w:tcW w:w="476"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Year 5</w:t>
            </w:r>
          </w:p>
        </w:tc>
        <w:tc>
          <w:tcPr>
            <w:tcW w:w="476"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Year 6</w:t>
            </w:r>
          </w:p>
        </w:tc>
        <w:tc>
          <w:tcPr>
            <w:tcW w:w="524" w:type="pct"/>
            <w:shd w:val="clear" w:color="000000" w:fill="262626"/>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Final Target (EOP)</w:t>
            </w:r>
          </w:p>
        </w:tc>
      </w:tr>
      <w:tr w:rsidR="00CA7689" w:rsidRPr="00CA7689" w:rsidTr="00CA7689">
        <w:trPr>
          <w:trHeight w:val="255"/>
        </w:trPr>
        <w:tc>
          <w:tcPr>
            <w:tcW w:w="5000" w:type="pct"/>
            <w:gridSpan w:val="9"/>
            <w:shd w:val="clear" w:color="000000" w:fill="215967"/>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Component 1: Natural Gas Infrastructure</w:t>
            </w:r>
          </w:p>
        </w:tc>
      </w:tr>
      <w:tr w:rsidR="00CA7689" w:rsidRPr="00CA7689" w:rsidTr="00CA7689">
        <w:trPr>
          <w:trHeight w:val="255"/>
        </w:trPr>
        <w:tc>
          <w:tcPr>
            <w:tcW w:w="5000" w:type="pct"/>
            <w:gridSpan w:val="9"/>
            <w:shd w:val="clear" w:color="000000" w:fill="DAEEF3"/>
            <w:vAlign w:val="center"/>
            <w:hideMark/>
          </w:tcPr>
          <w:p w:rsidR="00CA7689" w:rsidRPr="00CA7689" w:rsidRDefault="00CA7689" w:rsidP="00CA7689">
            <w:pPr>
              <w:spacing w:after="0" w:line="240" w:lineRule="auto"/>
              <w:jc w:val="center"/>
              <w:rPr>
                <w:rFonts w:ascii="Arial" w:eastAsia="Times New Roman" w:hAnsi="Arial" w:cs="Arial"/>
                <w:b/>
                <w:bCs/>
                <w:color w:val="auto"/>
                <w:sz w:val="20"/>
                <w:szCs w:val="20"/>
              </w:rPr>
            </w:pPr>
            <w:r w:rsidRPr="00CA7689">
              <w:rPr>
                <w:rFonts w:ascii="Arial" w:eastAsia="Times New Roman" w:hAnsi="Arial" w:cs="Arial"/>
                <w:b/>
                <w:bCs/>
                <w:color w:val="auto"/>
                <w:sz w:val="20"/>
                <w:szCs w:val="20"/>
              </w:rPr>
              <w:t>Outputs (Expected Result 1: Ensure NG service continuity)</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Monitoring and control systems upgraded/replaced</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2,295,000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2,295,000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3,060,000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7,650,000 </w:t>
            </w:r>
          </w:p>
        </w:tc>
      </w:tr>
      <w:tr w:rsidR="00CA7689" w:rsidRPr="00CA7689" w:rsidTr="00CA7689">
        <w:trPr>
          <w:trHeight w:val="76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Pipelines for transmission and distribution replaced, realigned and/or installed</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1,660,000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3,320,000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3,320,000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8,300,000 </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lastRenderedPageBreak/>
              <w:t>NG distribution stations upgraded</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1,124,000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1,124,000 </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On-road NG distribution fleet acquired or modernized</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1,530,000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1,530,000 </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Micro LNG Plant at Woodbourne expanded</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642,100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1,284,200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1,926,300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2,568,400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6,421,000 </w:t>
            </w:r>
          </w:p>
        </w:tc>
      </w:tr>
      <w:tr w:rsidR="00CA7689" w:rsidRPr="00CA7689" w:rsidTr="00CA7689">
        <w:trPr>
          <w:trHeight w:val="255"/>
        </w:trPr>
        <w:tc>
          <w:tcPr>
            <w:tcW w:w="5000" w:type="pct"/>
            <w:gridSpan w:val="9"/>
            <w:shd w:val="clear" w:color="000000" w:fill="215967"/>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Component 2: Smart Energy Solutions</w:t>
            </w:r>
          </w:p>
        </w:tc>
      </w:tr>
      <w:tr w:rsidR="00CA7689" w:rsidRPr="00CA7689" w:rsidTr="00CA7689">
        <w:trPr>
          <w:trHeight w:val="255"/>
        </w:trPr>
        <w:tc>
          <w:tcPr>
            <w:tcW w:w="5000" w:type="pct"/>
            <w:gridSpan w:val="9"/>
            <w:shd w:val="clear" w:color="000000" w:fill="DAEEF3"/>
            <w:vAlign w:val="center"/>
            <w:hideMark/>
          </w:tcPr>
          <w:p w:rsidR="00CA7689" w:rsidRPr="00CA7689" w:rsidRDefault="00CA7689" w:rsidP="00CA7689">
            <w:pPr>
              <w:spacing w:after="0" w:line="240" w:lineRule="auto"/>
              <w:jc w:val="center"/>
              <w:rPr>
                <w:rFonts w:ascii="Arial" w:eastAsia="Times New Roman" w:hAnsi="Arial" w:cs="Arial"/>
                <w:b/>
                <w:bCs/>
                <w:color w:val="auto"/>
                <w:sz w:val="20"/>
                <w:szCs w:val="20"/>
              </w:rPr>
            </w:pPr>
            <w:r w:rsidRPr="00CA7689">
              <w:rPr>
                <w:rFonts w:ascii="Arial" w:eastAsia="Times New Roman" w:hAnsi="Arial" w:cs="Arial"/>
                <w:b/>
                <w:bCs/>
                <w:color w:val="auto"/>
                <w:sz w:val="20"/>
                <w:szCs w:val="20"/>
              </w:rPr>
              <w:t>Outputs (Expected Result 3: Reduce CO2 emission reductions from NPC/BNOCL operational and administrative facilities)</w:t>
            </w:r>
          </w:p>
        </w:tc>
      </w:tr>
      <w:tr w:rsidR="00CA7689" w:rsidRPr="00CA7689" w:rsidTr="00CA7689">
        <w:trPr>
          <w:trHeight w:val="76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RE capacity installed in NPC/BNOCL/newly created entity facilities</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504,828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967,586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967,586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2,440,000 </w:t>
            </w:r>
          </w:p>
        </w:tc>
      </w:tr>
      <w:tr w:rsidR="00CA7689" w:rsidRPr="00CA7689" w:rsidTr="00CA7689">
        <w:trPr>
          <w:trHeight w:val="127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Energy Efficiency and/or RE equipment installed in NPC/BNOCL/newly created entity’s operational and administrative facilities</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91,000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182,000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637,000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910,000 </w:t>
            </w:r>
          </w:p>
        </w:tc>
      </w:tr>
      <w:tr w:rsidR="00CA7689" w:rsidRPr="00CA7689" w:rsidTr="00CA7689">
        <w:trPr>
          <w:trHeight w:val="255"/>
        </w:trPr>
        <w:tc>
          <w:tcPr>
            <w:tcW w:w="5000" w:type="pct"/>
            <w:gridSpan w:val="9"/>
            <w:shd w:val="clear" w:color="000000" w:fill="215967"/>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Component 3: Technical Advisory Services</w:t>
            </w:r>
          </w:p>
        </w:tc>
      </w:tr>
      <w:tr w:rsidR="00CA7689" w:rsidRPr="00CA7689" w:rsidTr="00CA7689">
        <w:trPr>
          <w:trHeight w:val="255"/>
        </w:trPr>
        <w:tc>
          <w:tcPr>
            <w:tcW w:w="5000" w:type="pct"/>
            <w:gridSpan w:val="9"/>
            <w:shd w:val="clear" w:color="000000" w:fill="DAEEF3"/>
            <w:vAlign w:val="center"/>
            <w:hideMark/>
          </w:tcPr>
          <w:p w:rsidR="00CA7689" w:rsidRPr="00CA7689" w:rsidRDefault="00CA7689" w:rsidP="00CA7689">
            <w:pPr>
              <w:spacing w:after="0" w:line="240" w:lineRule="auto"/>
              <w:jc w:val="center"/>
              <w:rPr>
                <w:rFonts w:ascii="Arial" w:eastAsia="Times New Roman" w:hAnsi="Arial" w:cs="Arial"/>
                <w:b/>
                <w:bCs/>
                <w:color w:val="auto"/>
                <w:sz w:val="20"/>
                <w:szCs w:val="20"/>
              </w:rPr>
            </w:pPr>
            <w:r w:rsidRPr="00CA7689">
              <w:rPr>
                <w:rFonts w:ascii="Arial" w:eastAsia="Times New Roman" w:hAnsi="Arial" w:cs="Arial"/>
                <w:b/>
                <w:bCs/>
                <w:color w:val="auto"/>
                <w:sz w:val="20"/>
                <w:szCs w:val="20"/>
              </w:rPr>
              <w:t>Outputs (Expected Result 4: Increased operational efficiency in NG transmission and distribution)</w:t>
            </w:r>
          </w:p>
        </w:tc>
      </w:tr>
      <w:tr w:rsidR="00CA7689" w:rsidRPr="00CA7689" w:rsidTr="00CA7689">
        <w:trPr>
          <w:trHeight w:val="178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Studies developed to improve NPC/BNOCL/newly created entity’s corporate governance, environmental, legal and regulatory functions, quality management systems, and information technology</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180,000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540,000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540,000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540,000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1,800,000 </w:t>
            </w:r>
          </w:p>
        </w:tc>
      </w:tr>
      <w:tr w:rsidR="00CA7689" w:rsidRPr="00CA7689" w:rsidTr="00CA7689">
        <w:trPr>
          <w:trHeight w:val="102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NPC/BNOCL/newly created entity personnel trained in technical and management areas to support NG expansion.</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40,000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60,000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70,000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70,000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250,000 </w:t>
            </w:r>
          </w:p>
        </w:tc>
      </w:tr>
      <w:tr w:rsidR="00CA7689" w:rsidRPr="00CA7689" w:rsidTr="00CA7689">
        <w:trPr>
          <w:trHeight w:val="76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Bidding documents developed to secure 18 </w:t>
            </w:r>
            <w:proofErr w:type="spellStart"/>
            <w:r w:rsidRPr="00CA7689">
              <w:rPr>
                <w:rFonts w:ascii="Arial" w:eastAsia="Times New Roman" w:hAnsi="Arial" w:cs="Arial"/>
                <w:color w:val="262626"/>
                <w:sz w:val="20"/>
                <w:szCs w:val="20"/>
              </w:rPr>
              <w:t>mmcfd</w:t>
            </w:r>
            <w:proofErr w:type="spellEnd"/>
            <w:r w:rsidRPr="00CA7689">
              <w:rPr>
                <w:rFonts w:ascii="Arial" w:eastAsia="Times New Roman" w:hAnsi="Arial" w:cs="Arial"/>
                <w:color w:val="262626"/>
                <w:sz w:val="20"/>
                <w:szCs w:val="20"/>
              </w:rPr>
              <w:t xml:space="preserve"> supply of LNG using a PPP scheme</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700,000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1,000,000 </w:t>
            </w:r>
          </w:p>
        </w:tc>
      </w:tr>
      <w:tr w:rsidR="00CA7689" w:rsidRPr="00CA7689" w:rsidTr="00CA7689">
        <w:trPr>
          <w:trHeight w:val="76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lastRenderedPageBreak/>
              <w:t>Bidding documents developed to select a private sector partner for a PPP LNG project</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100,000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1,000,000 </w:t>
            </w:r>
          </w:p>
        </w:tc>
      </w:tr>
      <w:tr w:rsidR="00CA7689" w:rsidRPr="00CA7689" w:rsidTr="00CA7689">
        <w:trPr>
          <w:trHeight w:val="255"/>
        </w:trPr>
        <w:tc>
          <w:tcPr>
            <w:tcW w:w="5000" w:type="pct"/>
            <w:gridSpan w:val="9"/>
            <w:shd w:val="clear" w:color="000000" w:fill="215967"/>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Evaluation</w:t>
            </w:r>
          </w:p>
        </w:tc>
      </w:tr>
      <w:tr w:rsidR="00CA7689" w:rsidRPr="00CA7689" w:rsidTr="00CA7689">
        <w:trPr>
          <w:trHeight w:val="25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Mid-term evaluation</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30,000 </w:t>
            </w:r>
          </w:p>
        </w:tc>
      </w:tr>
      <w:tr w:rsidR="00CA7689" w:rsidRPr="00CA7689" w:rsidTr="00CA7689">
        <w:trPr>
          <w:trHeight w:val="25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Final Evaluation </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45,000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45,000 </w:t>
            </w:r>
          </w:p>
        </w:tc>
      </w:tr>
      <w:tr w:rsidR="00CA7689" w:rsidRPr="00CA7689" w:rsidTr="00CA7689">
        <w:trPr>
          <w:trHeight w:val="255"/>
        </w:trPr>
        <w:tc>
          <w:tcPr>
            <w:tcW w:w="5000" w:type="pct"/>
            <w:gridSpan w:val="9"/>
            <w:shd w:val="clear" w:color="000000" w:fill="215967"/>
            <w:vAlign w:val="center"/>
            <w:hideMark/>
          </w:tcPr>
          <w:p w:rsidR="00CA7689" w:rsidRPr="00CA7689" w:rsidRDefault="00CA7689" w:rsidP="00CA7689">
            <w:pPr>
              <w:spacing w:after="0" w:line="240" w:lineRule="auto"/>
              <w:jc w:val="center"/>
              <w:rPr>
                <w:rFonts w:ascii="Arial" w:eastAsia="Times New Roman" w:hAnsi="Arial" w:cs="Arial"/>
                <w:color w:val="FFFFFF"/>
                <w:sz w:val="20"/>
                <w:szCs w:val="20"/>
              </w:rPr>
            </w:pPr>
            <w:r w:rsidRPr="00CA7689">
              <w:rPr>
                <w:rFonts w:ascii="Arial" w:eastAsia="Times New Roman" w:hAnsi="Arial" w:cs="Arial"/>
                <w:color w:val="FFFFFF"/>
                <w:sz w:val="20"/>
                <w:szCs w:val="20"/>
              </w:rPr>
              <w:t>Project management</w:t>
            </w:r>
          </w:p>
        </w:tc>
      </w:tr>
      <w:tr w:rsidR="00CA7689" w:rsidRPr="00CA7689" w:rsidTr="00CA7689">
        <w:trPr>
          <w:trHeight w:val="25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Consultants to support PEU</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224,167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224,167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224,167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224,167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224,167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224,167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1,345,000 </w:t>
            </w:r>
          </w:p>
        </w:tc>
      </w:tr>
      <w:tr w:rsidR="00CA7689" w:rsidRPr="00CA7689" w:rsidTr="00CA7689">
        <w:trPr>
          <w:trHeight w:val="25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Monitoring and reporting</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25,833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25,833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25,833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25,833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25,833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25,833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155,000 </w:t>
            </w:r>
          </w:p>
        </w:tc>
      </w:tr>
      <w:tr w:rsidR="00CA7689" w:rsidRPr="00CA7689" w:rsidTr="00CA7689">
        <w:trPr>
          <w:trHeight w:val="255"/>
        </w:trPr>
        <w:tc>
          <w:tcPr>
            <w:tcW w:w="5000" w:type="pct"/>
            <w:gridSpan w:val="9"/>
            <w:shd w:val="clear" w:color="000000" w:fill="FFC000"/>
            <w:vAlign w:val="center"/>
            <w:hideMark/>
          </w:tcPr>
          <w:p w:rsidR="00CA7689" w:rsidRPr="00CA7689" w:rsidRDefault="00CA7689" w:rsidP="00CA7689">
            <w:pPr>
              <w:spacing w:after="0" w:line="240" w:lineRule="auto"/>
              <w:jc w:val="center"/>
              <w:rPr>
                <w:rFonts w:ascii="Arial" w:eastAsia="Times New Roman" w:hAnsi="Arial" w:cs="Arial"/>
                <w:color w:val="auto"/>
                <w:sz w:val="20"/>
                <w:szCs w:val="20"/>
              </w:rPr>
            </w:pPr>
            <w:r w:rsidRPr="00CA7689">
              <w:rPr>
                <w:rFonts w:ascii="Arial" w:eastAsia="Times New Roman" w:hAnsi="Arial" w:cs="Arial"/>
                <w:color w:val="auto"/>
                <w:sz w:val="20"/>
                <w:szCs w:val="20"/>
              </w:rPr>
              <w:t>Total Project</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Component 1: Natural Gas Infrastructure</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4,956,100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6,899,200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5,246,300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4,863,400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3,060,000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25,025,000 </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Component 2: Smart Energy Solutions</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91,000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182,000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1,141,828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967,586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967,586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3,350,000 </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Component 3: Technical Advisory Services</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520,000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900,000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1,210,000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1,410,000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4,050,000 </w:t>
            </w:r>
          </w:p>
        </w:tc>
      </w:tr>
      <w:tr w:rsidR="00CA7689" w:rsidRPr="00CA7689" w:rsidTr="00CA7689">
        <w:trPr>
          <w:trHeight w:val="25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Program evaluation</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30,000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45,000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75,000 </w:t>
            </w:r>
          </w:p>
        </w:tc>
      </w:tr>
      <w:tr w:rsidR="00CA7689" w:rsidRPr="00CA7689" w:rsidTr="00CA7689">
        <w:trPr>
          <w:trHeight w:val="510"/>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color w:val="262626"/>
                <w:sz w:val="20"/>
                <w:szCs w:val="20"/>
              </w:rPr>
            </w:pPr>
            <w:r w:rsidRPr="00CA7689">
              <w:rPr>
                <w:rFonts w:ascii="Arial" w:eastAsia="Times New Roman" w:hAnsi="Arial" w:cs="Arial"/>
                <w:color w:val="262626"/>
                <w:sz w:val="20"/>
                <w:szCs w:val="20"/>
              </w:rPr>
              <w:t>Project management and monitoring</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250,000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250,000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250,000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color w:val="262626"/>
                <w:sz w:val="20"/>
                <w:szCs w:val="20"/>
              </w:rPr>
            </w:pPr>
            <w:r w:rsidRPr="00CA7689">
              <w:rPr>
                <w:rFonts w:ascii="Arial" w:eastAsia="Times New Roman" w:hAnsi="Arial" w:cs="Arial"/>
                <w:color w:val="262626"/>
                <w:sz w:val="20"/>
                <w:szCs w:val="20"/>
              </w:rPr>
              <w:t xml:space="preserve">   1,500,000 </w:t>
            </w:r>
          </w:p>
        </w:tc>
      </w:tr>
      <w:tr w:rsidR="00CA7689" w:rsidRPr="00CA7689" w:rsidTr="00CA7689">
        <w:trPr>
          <w:trHeight w:val="255"/>
        </w:trPr>
        <w:tc>
          <w:tcPr>
            <w:tcW w:w="1267" w:type="pct"/>
            <w:shd w:val="clear" w:color="auto" w:fill="auto"/>
            <w:vAlign w:val="center"/>
            <w:hideMark/>
          </w:tcPr>
          <w:p w:rsidR="00CA7689" w:rsidRPr="00CA7689" w:rsidRDefault="00CA7689" w:rsidP="00CA7689">
            <w:pPr>
              <w:spacing w:after="0" w:line="240" w:lineRule="auto"/>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Total Project</w:t>
            </w:r>
          </w:p>
        </w:tc>
        <w:tc>
          <w:tcPr>
            <w:tcW w:w="297"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US$</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 xml:space="preserve"> 5,726,100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 xml:space="preserve"> 8,140,200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 xml:space="preserve">   6,888,300 </w:t>
            </w:r>
          </w:p>
        </w:tc>
        <w:tc>
          <w:tcPr>
            <w:tcW w:w="50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 xml:space="preserve">   7,695,228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 xml:space="preserve"> 1,227,586 </w:t>
            </w:r>
          </w:p>
        </w:tc>
        <w:tc>
          <w:tcPr>
            <w:tcW w:w="476"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 xml:space="preserve"> 4,322,586 </w:t>
            </w:r>
          </w:p>
        </w:tc>
        <w:tc>
          <w:tcPr>
            <w:tcW w:w="524" w:type="pct"/>
            <w:shd w:val="clear" w:color="auto" w:fill="auto"/>
            <w:vAlign w:val="center"/>
            <w:hideMark/>
          </w:tcPr>
          <w:p w:rsidR="00CA7689" w:rsidRPr="00CA7689" w:rsidRDefault="00CA7689" w:rsidP="00CA7689">
            <w:pPr>
              <w:spacing w:after="0" w:line="240" w:lineRule="auto"/>
              <w:jc w:val="center"/>
              <w:rPr>
                <w:rFonts w:ascii="Arial" w:eastAsia="Times New Roman" w:hAnsi="Arial" w:cs="Arial"/>
                <w:b/>
                <w:bCs/>
                <w:color w:val="262626"/>
                <w:sz w:val="20"/>
                <w:szCs w:val="20"/>
              </w:rPr>
            </w:pPr>
            <w:r w:rsidRPr="00CA7689">
              <w:rPr>
                <w:rFonts w:ascii="Arial" w:eastAsia="Times New Roman" w:hAnsi="Arial" w:cs="Arial"/>
                <w:b/>
                <w:bCs/>
                <w:color w:val="262626"/>
                <w:sz w:val="20"/>
                <w:szCs w:val="20"/>
              </w:rPr>
              <w:t xml:space="preserve"> 34,000,000 </w:t>
            </w:r>
          </w:p>
        </w:tc>
      </w:tr>
    </w:tbl>
    <w:p w:rsidR="00804F05" w:rsidRPr="001B6CDF" w:rsidRDefault="00804F05" w:rsidP="001B6CDF">
      <w:pPr>
        <w:sectPr w:rsidR="00804F05" w:rsidRPr="001B6CDF" w:rsidSect="004B6BEB">
          <w:pgSz w:w="15840" w:h="12240" w:orient="landscape"/>
          <w:pgMar w:top="1440" w:right="1440" w:bottom="1440" w:left="1440" w:header="720" w:footer="720" w:gutter="0"/>
          <w:cols w:space="720"/>
          <w:docGrid w:linePitch="360"/>
        </w:sectPr>
      </w:pPr>
    </w:p>
    <w:p w:rsidR="00BD376C" w:rsidRPr="00567F29" w:rsidRDefault="00BD376C" w:rsidP="005F7D46">
      <w:pPr>
        <w:pStyle w:val="Heading1"/>
        <w:jc w:val="both"/>
        <w:rPr>
          <w:rFonts w:ascii="Arial" w:hAnsi="Arial" w:cs="Arial"/>
          <w:sz w:val="24"/>
        </w:rPr>
      </w:pPr>
      <w:bookmarkStart w:id="6" w:name="_Toc464207164"/>
      <w:r w:rsidRPr="00567F29">
        <w:rPr>
          <w:rFonts w:ascii="Arial" w:hAnsi="Arial" w:cs="Arial"/>
          <w:sz w:val="24"/>
        </w:rPr>
        <w:lastRenderedPageBreak/>
        <w:t>Evaluation</w:t>
      </w:r>
      <w:bookmarkEnd w:id="6"/>
    </w:p>
    <w:p w:rsidR="00BD376C" w:rsidRDefault="00BD376C" w:rsidP="005F7D46">
      <w:pPr>
        <w:jc w:val="both"/>
        <w:rPr>
          <w:rFonts w:ascii="Arial" w:hAnsi="Arial" w:cs="Arial"/>
          <w:sz w:val="22"/>
        </w:rPr>
      </w:pPr>
      <w:r w:rsidRPr="00567F29">
        <w:rPr>
          <w:rFonts w:ascii="Arial" w:hAnsi="Arial" w:cs="Arial"/>
          <w:sz w:val="22"/>
        </w:rPr>
        <w:t xml:space="preserve">The purpose of this section is to detail the evaluation methodology </w:t>
      </w:r>
      <w:r w:rsidR="00E448C1" w:rsidRPr="00567F29">
        <w:rPr>
          <w:rFonts w:ascii="Arial" w:hAnsi="Arial" w:cs="Arial"/>
          <w:sz w:val="22"/>
        </w:rPr>
        <w:t xml:space="preserve">that will be used for the Project </w:t>
      </w:r>
      <w:r w:rsidRPr="00567F29">
        <w:rPr>
          <w:rFonts w:ascii="Arial" w:hAnsi="Arial" w:cs="Arial"/>
          <w:sz w:val="22"/>
        </w:rPr>
        <w:t>and the implementation of the</w:t>
      </w:r>
      <w:r w:rsidR="00865C22" w:rsidRPr="00567F29">
        <w:rPr>
          <w:rFonts w:ascii="Arial" w:hAnsi="Arial" w:cs="Arial"/>
          <w:sz w:val="22"/>
        </w:rPr>
        <w:t xml:space="preserve"> </w:t>
      </w:r>
      <w:r w:rsidR="00CB16FB" w:rsidRPr="00567F29">
        <w:rPr>
          <w:rFonts w:ascii="Arial" w:hAnsi="Arial" w:cs="Arial"/>
          <w:sz w:val="22"/>
        </w:rPr>
        <w:t>P</w:t>
      </w:r>
      <w:r w:rsidR="00E448C1" w:rsidRPr="00567F29">
        <w:rPr>
          <w:rFonts w:ascii="Arial" w:hAnsi="Arial" w:cs="Arial"/>
          <w:sz w:val="22"/>
        </w:rPr>
        <w:t xml:space="preserve">roject </w:t>
      </w:r>
      <w:r w:rsidRPr="00567F29">
        <w:rPr>
          <w:rFonts w:ascii="Arial" w:hAnsi="Arial" w:cs="Arial"/>
          <w:sz w:val="22"/>
        </w:rPr>
        <w:t>evaluation.</w:t>
      </w:r>
      <w:r w:rsidR="00081639" w:rsidRPr="00567F29">
        <w:rPr>
          <w:rFonts w:ascii="Arial" w:hAnsi="Arial" w:cs="Arial"/>
          <w:sz w:val="22"/>
        </w:rPr>
        <w:t xml:space="preserve"> The evaluation will be based on the information gathered through the project monitoring and will consist of a mid-project interim evaluation and a final evaluation </w:t>
      </w:r>
      <w:r w:rsidR="00603F9C" w:rsidRPr="00567F29">
        <w:rPr>
          <w:rFonts w:ascii="Arial" w:hAnsi="Arial" w:cs="Arial"/>
          <w:sz w:val="22"/>
        </w:rPr>
        <w:t>no later than 120 days after the final disbursement justification</w:t>
      </w:r>
      <w:r w:rsidR="00081639" w:rsidRPr="00567F29">
        <w:rPr>
          <w:rFonts w:ascii="Arial" w:hAnsi="Arial" w:cs="Arial"/>
          <w:sz w:val="22"/>
        </w:rPr>
        <w:t xml:space="preserve">. </w:t>
      </w:r>
    </w:p>
    <w:p w:rsidR="00BD376C" w:rsidRPr="00567F29" w:rsidRDefault="00BD376C" w:rsidP="005F7D46">
      <w:pPr>
        <w:pStyle w:val="Heading2"/>
        <w:jc w:val="both"/>
        <w:rPr>
          <w:rFonts w:ascii="Arial" w:hAnsi="Arial" w:cs="Arial"/>
          <w:sz w:val="24"/>
        </w:rPr>
      </w:pPr>
      <w:bookmarkStart w:id="7" w:name="_Toc464207166"/>
      <w:r w:rsidRPr="00567F29">
        <w:rPr>
          <w:rFonts w:ascii="Arial" w:hAnsi="Arial" w:cs="Arial"/>
          <w:sz w:val="24"/>
        </w:rPr>
        <w:t>Main Evaluation Questio</w:t>
      </w:r>
      <w:r w:rsidR="000302EA" w:rsidRPr="00567F29">
        <w:rPr>
          <w:rFonts w:ascii="Arial" w:hAnsi="Arial" w:cs="Arial"/>
          <w:sz w:val="24"/>
        </w:rPr>
        <w:t>ns</w:t>
      </w:r>
      <w:bookmarkEnd w:id="7"/>
    </w:p>
    <w:p w:rsidR="00BD376C" w:rsidRPr="001419E2" w:rsidRDefault="00E448C1" w:rsidP="005F7D46">
      <w:pPr>
        <w:jc w:val="both"/>
        <w:rPr>
          <w:rFonts w:ascii="Arial" w:hAnsi="Arial" w:cs="Arial"/>
          <w:sz w:val="22"/>
        </w:rPr>
      </w:pPr>
      <w:r w:rsidRPr="00567F29">
        <w:rPr>
          <w:rFonts w:ascii="Arial" w:hAnsi="Arial" w:cs="Arial"/>
          <w:sz w:val="22"/>
        </w:rPr>
        <w:t xml:space="preserve">The evaluation will </w:t>
      </w:r>
      <w:r w:rsidR="000302EA" w:rsidRPr="00567F29">
        <w:rPr>
          <w:rFonts w:ascii="Arial" w:hAnsi="Arial" w:cs="Arial"/>
          <w:sz w:val="22"/>
        </w:rPr>
        <w:t xml:space="preserve">seek to answer </w:t>
      </w:r>
      <w:r w:rsidR="001419E2">
        <w:rPr>
          <w:rFonts w:ascii="Arial" w:hAnsi="Arial" w:cs="Arial"/>
          <w:sz w:val="22"/>
        </w:rPr>
        <w:t>questions regarding the project’s results and impacts. T</w:t>
      </w:r>
      <w:r w:rsidR="001419E2" w:rsidRPr="00567F29">
        <w:rPr>
          <w:rFonts w:ascii="Arial" w:hAnsi="Arial" w:cs="Arial"/>
          <w:sz w:val="22"/>
        </w:rPr>
        <w:t xml:space="preserve">wo </w:t>
      </w:r>
      <w:r w:rsidR="000302EA" w:rsidRPr="00567F29">
        <w:rPr>
          <w:rFonts w:ascii="Arial" w:hAnsi="Arial" w:cs="Arial"/>
          <w:sz w:val="22"/>
        </w:rPr>
        <w:t>specific questions regarding the impact of the Project: (</w:t>
      </w:r>
      <w:proofErr w:type="spellStart"/>
      <w:r w:rsidR="000302EA" w:rsidRPr="00567F29">
        <w:rPr>
          <w:rFonts w:ascii="Arial" w:hAnsi="Arial" w:cs="Arial"/>
          <w:sz w:val="22"/>
        </w:rPr>
        <w:t>i</w:t>
      </w:r>
      <w:proofErr w:type="spellEnd"/>
      <w:r w:rsidR="000302EA" w:rsidRPr="00567F29">
        <w:rPr>
          <w:rFonts w:ascii="Arial" w:hAnsi="Arial" w:cs="Arial"/>
          <w:sz w:val="22"/>
        </w:rPr>
        <w:t xml:space="preserve">) did the various investments that were financed by the Project reduce Barbados’ total greenhouse gas (GHG) emissions resulting from power generation; and, (ii) did they result in a reduction in Barbados’ average national electricity tariff. </w:t>
      </w:r>
      <w:r w:rsidR="001419E2" w:rsidRPr="001419E2">
        <w:rPr>
          <w:rFonts w:ascii="Arial" w:hAnsi="Arial" w:cs="Arial"/>
          <w:sz w:val="22"/>
        </w:rPr>
        <w:t xml:space="preserve"> T</w:t>
      </w:r>
      <w:r w:rsidR="001419E2">
        <w:rPr>
          <w:rFonts w:ascii="Arial" w:hAnsi="Arial" w:cs="Arial"/>
          <w:sz w:val="22"/>
        </w:rPr>
        <w:t>he following are the questions regarding the project’s results: (</w:t>
      </w:r>
      <w:proofErr w:type="spellStart"/>
      <w:r w:rsidR="001419E2">
        <w:rPr>
          <w:rFonts w:ascii="Arial" w:hAnsi="Arial" w:cs="Arial"/>
          <w:sz w:val="22"/>
        </w:rPr>
        <w:t>i</w:t>
      </w:r>
      <w:proofErr w:type="spellEnd"/>
      <w:r w:rsidR="001419E2">
        <w:rPr>
          <w:rFonts w:ascii="Arial" w:hAnsi="Arial" w:cs="Arial"/>
          <w:sz w:val="22"/>
        </w:rPr>
        <w:t>)</w:t>
      </w:r>
      <w:r w:rsidR="001C3494">
        <w:rPr>
          <w:rFonts w:ascii="Arial" w:hAnsi="Arial" w:cs="Arial"/>
          <w:sz w:val="22"/>
        </w:rPr>
        <w:t xml:space="preserve"> did </w:t>
      </w:r>
      <w:r w:rsidR="001C3494" w:rsidRPr="00567F29">
        <w:rPr>
          <w:rFonts w:ascii="Arial" w:hAnsi="Arial" w:cs="Arial"/>
          <w:sz w:val="22"/>
        </w:rPr>
        <w:t>the various investments that were financed by the Project</w:t>
      </w:r>
      <w:r w:rsidR="001C3494">
        <w:rPr>
          <w:rFonts w:ascii="Arial" w:hAnsi="Arial" w:cs="Arial"/>
          <w:sz w:val="22"/>
        </w:rPr>
        <w:t xml:space="preserve"> ensure NG service continuity; (ii) did they increase</w:t>
      </w:r>
      <w:r w:rsidR="001C3494" w:rsidRPr="00567F29">
        <w:rPr>
          <w:rFonts w:ascii="Arial" w:hAnsi="Arial" w:cs="Arial"/>
          <w:sz w:val="22"/>
        </w:rPr>
        <w:t xml:space="preserve"> </w:t>
      </w:r>
      <w:r w:rsidR="001C3494">
        <w:rPr>
          <w:rFonts w:ascii="Arial" w:hAnsi="Arial" w:cs="Arial"/>
          <w:sz w:val="22"/>
        </w:rPr>
        <w:t xml:space="preserve">the </w:t>
      </w:r>
      <w:r w:rsidR="001C3494" w:rsidRPr="00567F29">
        <w:rPr>
          <w:rFonts w:ascii="Arial" w:hAnsi="Arial" w:cs="Arial"/>
          <w:sz w:val="22"/>
        </w:rPr>
        <w:t>number of LNG suppliers to Barbados</w:t>
      </w:r>
      <w:r w:rsidR="001C3494">
        <w:rPr>
          <w:rFonts w:ascii="Arial" w:hAnsi="Arial" w:cs="Arial"/>
          <w:sz w:val="22"/>
        </w:rPr>
        <w:t xml:space="preserve"> to enhance energy security; (iii) did they reduce</w:t>
      </w:r>
      <w:r w:rsidR="001C3494" w:rsidRPr="00567F29">
        <w:rPr>
          <w:rFonts w:ascii="Arial" w:hAnsi="Arial" w:cs="Arial"/>
          <w:sz w:val="22"/>
        </w:rPr>
        <w:t xml:space="preserve"> </w:t>
      </w:r>
      <w:r w:rsidR="001C3494">
        <w:rPr>
          <w:rFonts w:ascii="Arial" w:hAnsi="Arial" w:cs="Arial"/>
          <w:sz w:val="22"/>
        </w:rPr>
        <w:t>CO2</w:t>
      </w:r>
      <w:r w:rsidR="001C3494" w:rsidRPr="00567F29">
        <w:rPr>
          <w:rFonts w:ascii="Arial" w:hAnsi="Arial" w:cs="Arial"/>
          <w:sz w:val="22"/>
        </w:rPr>
        <w:t xml:space="preserve"> emissions from </w:t>
      </w:r>
      <w:r w:rsidR="001C3494">
        <w:rPr>
          <w:rFonts w:ascii="Arial" w:hAnsi="Arial" w:cs="Arial"/>
          <w:sz w:val="22"/>
        </w:rPr>
        <w:t xml:space="preserve">NPC/BNOCL operational and administrative facilities; (iv) did they </w:t>
      </w:r>
      <w:r w:rsidR="001C3494" w:rsidRPr="00567F29">
        <w:rPr>
          <w:rFonts w:ascii="Arial" w:hAnsi="Arial" w:cs="Arial"/>
          <w:sz w:val="22"/>
        </w:rPr>
        <w:t>increase operational efficiency in N</w:t>
      </w:r>
      <w:r w:rsidR="001C3494">
        <w:rPr>
          <w:rFonts w:ascii="Arial" w:hAnsi="Arial" w:cs="Arial"/>
          <w:sz w:val="22"/>
        </w:rPr>
        <w:t>G transmission and distribution;</w:t>
      </w:r>
      <w:r w:rsidR="001C3494" w:rsidRPr="00567F29">
        <w:rPr>
          <w:rFonts w:ascii="Arial" w:hAnsi="Arial" w:cs="Arial"/>
          <w:sz w:val="22"/>
        </w:rPr>
        <w:t xml:space="preserve"> </w:t>
      </w:r>
      <w:r w:rsidR="001C3494">
        <w:rPr>
          <w:rFonts w:ascii="Arial" w:hAnsi="Arial" w:cs="Arial"/>
          <w:sz w:val="22"/>
        </w:rPr>
        <w:t xml:space="preserve">and, </w:t>
      </w:r>
      <w:r w:rsidR="001C3494" w:rsidRPr="00567F29">
        <w:rPr>
          <w:rFonts w:ascii="Arial" w:hAnsi="Arial" w:cs="Arial"/>
          <w:sz w:val="22"/>
        </w:rPr>
        <w:t>(</w:t>
      </w:r>
      <w:r w:rsidR="001C3494">
        <w:rPr>
          <w:rFonts w:ascii="Arial" w:hAnsi="Arial" w:cs="Arial"/>
          <w:sz w:val="22"/>
        </w:rPr>
        <w:t>v</w:t>
      </w:r>
      <w:r w:rsidR="001C3494" w:rsidRPr="00567F29">
        <w:rPr>
          <w:rFonts w:ascii="Arial" w:hAnsi="Arial" w:cs="Arial"/>
          <w:sz w:val="22"/>
        </w:rPr>
        <w:t xml:space="preserve">) </w:t>
      </w:r>
      <w:r w:rsidR="001C3494">
        <w:rPr>
          <w:rFonts w:ascii="Arial" w:hAnsi="Arial" w:cs="Arial"/>
          <w:sz w:val="22"/>
        </w:rPr>
        <w:t xml:space="preserve">did they increase </w:t>
      </w:r>
      <w:r w:rsidR="001C3494" w:rsidRPr="00567F29">
        <w:rPr>
          <w:rFonts w:ascii="Arial" w:hAnsi="Arial" w:cs="Arial"/>
          <w:sz w:val="22"/>
        </w:rPr>
        <w:t>private sector part</w:t>
      </w:r>
      <w:r w:rsidR="001C3494">
        <w:rPr>
          <w:rFonts w:ascii="Arial" w:hAnsi="Arial" w:cs="Arial"/>
          <w:sz w:val="22"/>
        </w:rPr>
        <w:t xml:space="preserve">icipation to develop </w:t>
      </w:r>
      <w:r w:rsidR="001C3494" w:rsidRPr="00567F29">
        <w:rPr>
          <w:rFonts w:ascii="Arial" w:hAnsi="Arial" w:cs="Arial"/>
          <w:sz w:val="22"/>
        </w:rPr>
        <w:t>a</w:t>
      </w:r>
      <w:r w:rsidR="001C3494">
        <w:rPr>
          <w:rFonts w:ascii="Arial" w:hAnsi="Arial" w:cs="Arial"/>
          <w:sz w:val="22"/>
        </w:rPr>
        <w:t>n</w:t>
      </w:r>
      <w:r w:rsidR="001C3494" w:rsidRPr="00567F29">
        <w:rPr>
          <w:rFonts w:ascii="Arial" w:hAnsi="Arial" w:cs="Arial"/>
          <w:sz w:val="22"/>
        </w:rPr>
        <w:t xml:space="preserve"> LNG project</w:t>
      </w:r>
      <w:r w:rsidR="001C3494">
        <w:rPr>
          <w:rFonts w:ascii="Arial" w:hAnsi="Arial" w:cs="Arial"/>
          <w:sz w:val="22"/>
        </w:rPr>
        <w:t xml:space="preserve">. </w:t>
      </w:r>
      <w:r w:rsidR="001419E2">
        <w:rPr>
          <w:rFonts w:ascii="Arial" w:hAnsi="Arial" w:cs="Arial"/>
          <w:sz w:val="22"/>
        </w:rPr>
        <w:t xml:space="preserve">  </w:t>
      </w:r>
    </w:p>
    <w:p w:rsidR="00BD376C" w:rsidRPr="00567F29" w:rsidRDefault="000302EA" w:rsidP="005F7D46">
      <w:pPr>
        <w:pStyle w:val="Heading2"/>
        <w:jc w:val="both"/>
        <w:rPr>
          <w:rFonts w:ascii="Arial" w:hAnsi="Arial" w:cs="Arial"/>
          <w:sz w:val="24"/>
        </w:rPr>
      </w:pPr>
      <w:bookmarkStart w:id="8" w:name="_Toc464207167"/>
      <w:r w:rsidRPr="00567F29">
        <w:rPr>
          <w:rFonts w:ascii="Arial" w:hAnsi="Arial" w:cs="Arial"/>
          <w:sz w:val="24"/>
        </w:rPr>
        <w:t>Existing Knowledge</w:t>
      </w:r>
      <w:bookmarkEnd w:id="8"/>
    </w:p>
    <w:p w:rsidR="00455733" w:rsidRPr="00567F29" w:rsidRDefault="00455733" w:rsidP="005F7D46">
      <w:pPr>
        <w:jc w:val="both"/>
        <w:rPr>
          <w:rFonts w:ascii="Arial" w:hAnsi="Arial" w:cs="Arial"/>
          <w:sz w:val="22"/>
        </w:rPr>
      </w:pPr>
      <w:r w:rsidRPr="00567F29">
        <w:rPr>
          <w:rFonts w:ascii="Arial" w:hAnsi="Arial" w:cs="Arial"/>
          <w:sz w:val="22"/>
        </w:rPr>
        <w:t xml:space="preserve">Several recent IDB supported studies and investment programs have demonstrated the potential for investments in renewable energy, energy efficiency, and natural gas imports to reduce GHG emissions from electricity generation and reduce the cost of electricity in Barbados. </w:t>
      </w:r>
    </w:p>
    <w:p w:rsidR="00455733" w:rsidRPr="00567F29" w:rsidRDefault="000302EA" w:rsidP="005F7D46">
      <w:pPr>
        <w:jc w:val="both"/>
        <w:rPr>
          <w:rFonts w:ascii="Arial" w:hAnsi="Arial" w:cs="Arial"/>
          <w:sz w:val="22"/>
        </w:rPr>
      </w:pPr>
      <w:r w:rsidRPr="00567F29">
        <w:rPr>
          <w:rFonts w:ascii="Arial" w:hAnsi="Arial" w:cs="Arial"/>
          <w:sz w:val="22"/>
        </w:rPr>
        <w:t xml:space="preserve">The IDB has played an active role in supporting the energy sector transformation in Barbados since 2009. Through two Policy Based Loans (BA-L1022/2410/OC-BA and BA-L1021/2609/OC/BA) the Bank assisted the process of drafting and enacting policy and regulation to promote RE and EE. The </w:t>
      </w:r>
      <w:r w:rsidR="00455733" w:rsidRPr="00567F29">
        <w:rPr>
          <w:rFonts w:ascii="Arial" w:hAnsi="Arial" w:cs="Arial"/>
          <w:sz w:val="22"/>
        </w:rPr>
        <w:t>Electric Light and Power Act, 2013 (</w:t>
      </w:r>
      <w:r w:rsidRPr="00567F29">
        <w:rPr>
          <w:rFonts w:ascii="Arial" w:hAnsi="Arial" w:cs="Arial"/>
          <w:sz w:val="22"/>
        </w:rPr>
        <w:t>ELPA</w:t>
      </w:r>
      <w:r w:rsidR="00455733" w:rsidRPr="00567F29">
        <w:rPr>
          <w:rFonts w:ascii="Arial" w:hAnsi="Arial" w:cs="Arial"/>
          <w:sz w:val="22"/>
        </w:rPr>
        <w:t xml:space="preserve">), which </w:t>
      </w:r>
      <w:r w:rsidR="002C0634" w:rsidRPr="00567F29">
        <w:rPr>
          <w:rFonts w:ascii="Arial" w:hAnsi="Arial" w:cs="Arial"/>
          <w:sz w:val="22"/>
        </w:rPr>
        <w:t xml:space="preserve">defines the government of Barbados’ priorities </w:t>
      </w:r>
      <w:r w:rsidR="00455733" w:rsidRPr="00567F29">
        <w:rPr>
          <w:rFonts w:ascii="Arial" w:hAnsi="Arial" w:cs="Arial"/>
          <w:sz w:val="22"/>
        </w:rPr>
        <w:t>to reduce electricity prices, increase energy security, increase the use of cleaner fuels and reduce negative environmental impacts,</w:t>
      </w:r>
      <w:r w:rsidRPr="00567F29">
        <w:rPr>
          <w:rFonts w:ascii="Arial" w:hAnsi="Arial" w:cs="Arial"/>
          <w:sz w:val="22"/>
        </w:rPr>
        <w:t xml:space="preserve"> is to a large extent a result of this work</w:t>
      </w:r>
      <w:r w:rsidR="00455733" w:rsidRPr="00567F29">
        <w:rPr>
          <w:rFonts w:ascii="Arial" w:hAnsi="Arial" w:cs="Arial"/>
          <w:sz w:val="22"/>
        </w:rPr>
        <w:t xml:space="preserve">. </w:t>
      </w:r>
    </w:p>
    <w:p w:rsidR="000D427D" w:rsidRPr="00567F29" w:rsidRDefault="00455733" w:rsidP="005F7D46">
      <w:pPr>
        <w:jc w:val="both"/>
        <w:rPr>
          <w:rFonts w:ascii="Arial" w:hAnsi="Arial" w:cs="Arial"/>
          <w:sz w:val="22"/>
        </w:rPr>
      </w:pPr>
      <w:r w:rsidRPr="00567F29">
        <w:rPr>
          <w:rFonts w:ascii="Arial" w:hAnsi="Arial" w:cs="Arial"/>
          <w:sz w:val="22"/>
        </w:rPr>
        <w:t>The IDB also supported the identification of viable investments in RE and EE</w:t>
      </w:r>
      <w:r w:rsidR="000302EA" w:rsidRPr="00567F29">
        <w:rPr>
          <w:rFonts w:ascii="Arial" w:hAnsi="Arial" w:cs="Arial"/>
          <w:sz w:val="22"/>
        </w:rPr>
        <w:t xml:space="preserve"> under an IDB-financed study titled ‘Sustainable Energy</w:t>
      </w:r>
      <w:r w:rsidRPr="00567F29">
        <w:rPr>
          <w:rFonts w:ascii="Arial" w:hAnsi="Arial" w:cs="Arial"/>
          <w:sz w:val="22"/>
        </w:rPr>
        <w:t xml:space="preserve"> Framework for Barbados’ (SEFB)</w:t>
      </w:r>
      <w:r w:rsidR="000302EA" w:rsidRPr="00567F29">
        <w:rPr>
          <w:rFonts w:ascii="Arial" w:hAnsi="Arial" w:cs="Arial"/>
          <w:sz w:val="22"/>
        </w:rPr>
        <w:t xml:space="preserve">. </w:t>
      </w:r>
      <w:r w:rsidR="000D427D" w:rsidRPr="00567F29">
        <w:rPr>
          <w:rFonts w:ascii="Arial" w:hAnsi="Arial" w:cs="Arial"/>
          <w:sz w:val="22"/>
        </w:rPr>
        <w:t xml:space="preserve"> This report, completed in June, 2010, concluded that </w:t>
      </w:r>
      <w:r w:rsidR="002C0634" w:rsidRPr="00567F29">
        <w:rPr>
          <w:rFonts w:ascii="Arial" w:hAnsi="Arial" w:cs="Arial"/>
          <w:sz w:val="22"/>
        </w:rPr>
        <w:t>a 20-year program of investment in renewable energy (adding 40 MW of utility scale wind capacity, 20 MW of biomass cogeneration, 13.5 MW of solid-to-waste energy, and 20 MW of solar PV), and energy efficiency measures (including efficient lighting, air conditioners, premium electric motors, chillers, variable frequency drives, and power monitors) would result in a reduction in total electricity costs of US$283.5 million ( in net present value terms) relative to a “business as usual” base case, cut CO2 emissions by 4.5 million tons</w:t>
      </w:r>
      <w:r w:rsidR="0014709C" w:rsidRPr="00567F29">
        <w:rPr>
          <w:rFonts w:ascii="Arial" w:hAnsi="Arial" w:cs="Arial"/>
          <w:sz w:val="22"/>
        </w:rPr>
        <w:t xml:space="preserve"> over the life of the project</w:t>
      </w:r>
      <w:r w:rsidR="002C0634" w:rsidRPr="00567F29">
        <w:rPr>
          <w:rFonts w:ascii="Arial" w:hAnsi="Arial" w:cs="Arial"/>
          <w:sz w:val="22"/>
        </w:rPr>
        <w:t>, and reduce reliance on fossil fuels to about 71 percent.</w:t>
      </w:r>
      <w:r w:rsidR="002C0634" w:rsidRPr="00567F29">
        <w:rPr>
          <w:rStyle w:val="FootnoteReference"/>
          <w:rFonts w:cs="Arial"/>
          <w:sz w:val="22"/>
        </w:rPr>
        <w:footnoteReference w:id="7"/>
      </w:r>
    </w:p>
    <w:p w:rsidR="000302EA" w:rsidRPr="00567F29" w:rsidRDefault="000302EA" w:rsidP="005F7D46">
      <w:pPr>
        <w:jc w:val="both"/>
        <w:rPr>
          <w:rFonts w:ascii="Arial" w:hAnsi="Arial" w:cs="Arial"/>
          <w:sz w:val="22"/>
        </w:rPr>
      </w:pPr>
      <w:r w:rsidRPr="00567F29">
        <w:rPr>
          <w:rFonts w:ascii="Arial" w:hAnsi="Arial" w:cs="Arial"/>
          <w:sz w:val="22"/>
        </w:rPr>
        <w:lastRenderedPageBreak/>
        <w:t>As a result of this effort, the Bank subsequently approved two investment loans, the Energy Smart Fund (2485/OC-BA) and the Public Sector Smart Energy Project (2748/OC-BA). The former developed financial instruments to support Small and Medium Enterprises adoption of RE and the latter allows for the retrofitting with EE and RE technologies of public buildings and street lights.</w:t>
      </w:r>
    </w:p>
    <w:p w:rsidR="00126666" w:rsidRPr="00567F29" w:rsidRDefault="002D34ED" w:rsidP="005F7D46">
      <w:pPr>
        <w:jc w:val="both"/>
        <w:rPr>
          <w:rFonts w:ascii="Arial" w:hAnsi="Arial" w:cs="Arial"/>
          <w:sz w:val="22"/>
        </w:rPr>
      </w:pPr>
      <w:r w:rsidRPr="00567F29">
        <w:rPr>
          <w:rFonts w:ascii="Arial" w:hAnsi="Arial" w:cs="Arial"/>
          <w:sz w:val="22"/>
        </w:rPr>
        <w:t>A 2014</w:t>
      </w:r>
      <w:r w:rsidR="00820904" w:rsidRPr="00567F29">
        <w:rPr>
          <w:rFonts w:ascii="Arial" w:hAnsi="Arial" w:cs="Arial"/>
          <w:sz w:val="22"/>
        </w:rPr>
        <w:t xml:space="preserve"> Action Plan to Import Natural Gas to Barbados by Castalia Advisors examined the comparative costs to import natural gas using different technologies (such as CNG, LNG and pipelines) and </w:t>
      </w:r>
      <w:r w:rsidR="00126666" w:rsidRPr="00567F29">
        <w:rPr>
          <w:rFonts w:ascii="Arial" w:hAnsi="Arial" w:cs="Arial"/>
          <w:sz w:val="22"/>
        </w:rPr>
        <w:t xml:space="preserve">determined that the most cost effective option to deliver natural gas in the volumes proposed by NPC was likely LNG through ISO containers or a very small LNG terminal.  The study estimated that </w:t>
      </w:r>
      <w:r w:rsidR="0014709C" w:rsidRPr="00567F29">
        <w:rPr>
          <w:rFonts w:ascii="Arial" w:hAnsi="Arial" w:cs="Arial"/>
          <w:sz w:val="22"/>
        </w:rPr>
        <w:t xml:space="preserve">direct costs to deliver </w:t>
      </w:r>
      <w:r w:rsidR="00126666" w:rsidRPr="00567F29">
        <w:rPr>
          <w:rFonts w:ascii="Arial" w:hAnsi="Arial" w:cs="Arial"/>
          <w:sz w:val="22"/>
        </w:rPr>
        <w:t xml:space="preserve">LNG to Barbados </w:t>
      </w:r>
      <w:r w:rsidR="0014709C" w:rsidRPr="00567F29">
        <w:rPr>
          <w:rFonts w:ascii="Arial" w:hAnsi="Arial" w:cs="Arial"/>
          <w:sz w:val="22"/>
        </w:rPr>
        <w:t xml:space="preserve">could be as low as </w:t>
      </w:r>
      <w:r w:rsidR="00126666" w:rsidRPr="00567F29">
        <w:rPr>
          <w:rFonts w:ascii="Arial" w:hAnsi="Arial" w:cs="Arial"/>
          <w:sz w:val="22"/>
        </w:rPr>
        <w:t xml:space="preserve">US$11-12 per </w:t>
      </w:r>
      <w:proofErr w:type="spellStart"/>
      <w:r w:rsidR="00126666" w:rsidRPr="00567F29">
        <w:rPr>
          <w:rFonts w:ascii="Arial" w:hAnsi="Arial" w:cs="Arial"/>
          <w:sz w:val="22"/>
        </w:rPr>
        <w:t>MMBtu</w:t>
      </w:r>
      <w:proofErr w:type="spellEnd"/>
      <w:r w:rsidR="00126666" w:rsidRPr="00567F29">
        <w:rPr>
          <w:rFonts w:ascii="Arial" w:hAnsi="Arial" w:cs="Arial"/>
          <w:sz w:val="22"/>
        </w:rPr>
        <w:t xml:space="preserve">.  The Action Plan then </w:t>
      </w:r>
      <w:r w:rsidR="00820904" w:rsidRPr="00567F29">
        <w:rPr>
          <w:rFonts w:ascii="Arial" w:hAnsi="Arial" w:cs="Arial"/>
          <w:sz w:val="22"/>
        </w:rPr>
        <w:t xml:space="preserve">proposed a development program to prepare and issue a competitive tender for natural gas supply.  </w:t>
      </w:r>
    </w:p>
    <w:p w:rsidR="00820904" w:rsidRPr="00567F29" w:rsidRDefault="00524713" w:rsidP="005F7D46">
      <w:pPr>
        <w:jc w:val="both"/>
        <w:rPr>
          <w:rFonts w:ascii="Arial" w:hAnsi="Arial" w:cs="Arial"/>
          <w:sz w:val="22"/>
        </w:rPr>
      </w:pPr>
      <w:r w:rsidRPr="00567F29">
        <w:rPr>
          <w:rFonts w:ascii="Arial" w:hAnsi="Arial" w:cs="Arial"/>
          <w:sz w:val="22"/>
        </w:rPr>
        <w:t>The</w:t>
      </w:r>
      <w:r w:rsidR="00820904" w:rsidRPr="00567F29">
        <w:rPr>
          <w:rFonts w:ascii="Arial" w:hAnsi="Arial" w:cs="Arial"/>
          <w:sz w:val="22"/>
        </w:rPr>
        <w:t xml:space="preserve"> revised final report of the Natural Gas in the Caribbean – Feasibility Studies was completed in June, 2015. This report determined the feasibility of importing natural gas in Barbados, among other Caribbean countries, and estimated the likely cost and benefit to do so under various natural gas price regimes and technology options. </w:t>
      </w:r>
      <w:r w:rsidRPr="00567F29">
        <w:rPr>
          <w:rFonts w:ascii="Arial" w:hAnsi="Arial" w:cs="Arial"/>
          <w:sz w:val="22"/>
        </w:rPr>
        <w:t xml:space="preserve">The study concluded that importing LNG to Barbados could reduce the cost of electricity generation in 2023 </w:t>
      </w:r>
      <w:r w:rsidR="0014709C" w:rsidRPr="00567F29">
        <w:rPr>
          <w:rFonts w:ascii="Arial" w:hAnsi="Arial" w:cs="Arial"/>
          <w:sz w:val="22"/>
        </w:rPr>
        <w:t xml:space="preserve">by as much as </w:t>
      </w:r>
      <w:r w:rsidRPr="00567F29">
        <w:rPr>
          <w:rFonts w:ascii="Arial" w:hAnsi="Arial" w:cs="Arial"/>
          <w:sz w:val="22"/>
        </w:rPr>
        <w:t xml:space="preserve">one-third from the business as usual case. The study found </w:t>
      </w:r>
      <w:r w:rsidR="00373473" w:rsidRPr="00567F29">
        <w:rPr>
          <w:rFonts w:ascii="Arial" w:hAnsi="Arial" w:cs="Arial"/>
          <w:sz w:val="22"/>
        </w:rPr>
        <w:t xml:space="preserve">importing LNG to </w:t>
      </w:r>
      <w:r w:rsidRPr="00567F29">
        <w:rPr>
          <w:rFonts w:ascii="Arial" w:hAnsi="Arial" w:cs="Arial"/>
          <w:sz w:val="22"/>
        </w:rPr>
        <w:t xml:space="preserve">Barbados would </w:t>
      </w:r>
      <w:r w:rsidR="00373473" w:rsidRPr="00567F29">
        <w:rPr>
          <w:rFonts w:ascii="Arial" w:hAnsi="Arial" w:cs="Arial"/>
          <w:sz w:val="22"/>
        </w:rPr>
        <w:t xml:space="preserve">generate a net economic benefit of between </w:t>
      </w:r>
      <w:r w:rsidRPr="00567F29">
        <w:rPr>
          <w:rFonts w:ascii="Arial" w:hAnsi="Arial" w:cs="Arial"/>
          <w:sz w:val="22"/>
        </w:rPr>
        <w:t xml:space="preserve">US$321 </w:t>
      </w:r>
      <w:r w:rsidR="00373473" w:rsidRPr="00567F29">
        <w:rPr>
          <w:rFonts w:ascii="Arial" w:hAnsi="Arial" w:cs="Arial"/>
          <w:sz w:val="22"/>
        </w:rPr>
        <w:t>million and</w:t>
      </w:r>
      <w:r w:rsidRPr="00567F29">
        <w:rPr>
          <w:rFonts w:ascii="Arial" w:hAnsi="Arial" w:cs="Arial"/>
          <w:sz w:val="22"/>
        </w:rPr>
        <w:t xml:space="preserve"> US$462 million</w:t>
      </w:r>
      <w:r w:rsidR="00373473" w:rsidRPr="00567F29">
        <w:rPr>
          <w:rFonts w:ascii="Arial" w:hAnsi="Arial" w:cs="Arial"/>
          <w:sz w:val="22"/>
        </w:rPr>
        <w:t xml:space="preserve">, and net financial savings of between US$217 million and US$357 million.  </w:t>
      </w:r>
    </w:p>
    <w:p w:rsidR="00623EF9" w:rsidRPr="00567F29" w:rsidRDefault="00623EF9" w:rsidP="00942DE4">
      <w:pPr>
        <w:pStyle w:val="Heading3"/>
      </w:pPr>
      <w:bookmarkStart w:id="9" w:name="_Toc464207168"/>
      <w:r w:rsidRPr="00567F29">
        <w:t>Ex-Ante Cost-Benefit Analysis</w:t>
      </w:r>
      <w:bookmarkEnd w:id="9"/>
    </w:p>
    <w:p w:rsidR="00373473" w:rsidRPr="00567F29" w:rsidRDefault="00524713" w:rsidP="005F7D46">
      <w:pPr>
        <w:jc w:val="both"/>
        <w:rPr>
          <w:rFonts w:ascii="Arial" w:hAnsi="Arial" w:cs="Arial"/>
          <w:sz w:val="22"/>
        </w:rPr>
      </w:pPr>
      <w:r w:rsidRPr="00567F29">
        <w:rPr>
          <w:rFonts w:ascii="Arial" w:hAnsi="Arial" w:cs="Arial"/>
          <w:sz w:val="22"/>
        </w:rPr>
        <w:t xml:space="preserve">In addition to the previous studies noted above, an </w:t>
      </w:r>
      <w:r w:rsidR="000302EA" w:rsidRPr="00567F29">
        <w:rPr>
          <w:rFonts w:ascii="Arial" w:hAnsi="Arial" w:cs="Arial"/>
          <w:sz w:val="22"/>
        </w:rPr>
        <w:t xml:space="preserve">ex-ante economic analysis </w:t>
      </w:r>
      <w:r w:rsidRPr="00567F29">
        <w:rPr>
          <w:rFonts w:ascii="Arial" w:hAnsi="Arial" w:cs="Arial"/>
          <w:sz w:val="22"/>
        </w:rPr>
        <w:t>was performed in preparation for the Project. This cost-benefit analysis</w:t>
      </w:r>
      <w:r w:rsidR="00623EF9" w:rsidRPr="00567F29">
        <w:rPr>
          <w:rFonts w:ascii="Arial" w:hAnsi="Arial" w:cs="Arial"/>
          <w:sz w:val="22"/>
        </w:rPr>
        <w:t xml:space="preserve"> (CBA)</w:t>
      </w:r>
      <w:r w:rsidRPr="00567F29">
        <w:rPr>
          <w:rFonts w:ascii="Arial" w:hAnsi="Arial" w:cs="Arial"/>
          <w:sz w:val="22"/>
        </w:rPr>
        <w:t xml:space="preserve"> </w:t>
      </w:r>
      <w:r w:rsidR="00623EF9" w:rsidRPr="00567F29">
        <w:rPr>
          <w:rFonts w:ascii="Arial" w:hAnsi="Arial" w:cs="Arial"/>
          <w:sz w:val="22"/>
        </w:rPr>
        <w:t>included four</w:t>
      </w:r>
      <w:r w:rsidR="00373473" w:rsidRPr="00567F29">
        <w:rPr>
          <w:rFonts w:ascii="Arial" w:hAnsi="Arial" w:cs="Arial"/>
          <w:sz w:val="22"/>
        </w:rPr>
        <w:t xml:space="preserve"> sub-projects that the loan operation will finance: expansion of the micro-LNG facility at Woodbourne, replacement of natural gas fired compressors with high efficiency electric compressors, installation of an 850 kW wind turbine, and installation of a 300 kW PV and smart energy system. The CBA also examine</w:t>
      </w:r>
      <w:r w:rsidR="00623EF9" w:rsidRPr="00567F29">
        <w:rPr>
          <w:rFonts w:ascii="Arial" w:hAnsi="Arial" w:cs="Arial"/>
          <w:sz w:val="22"/>
        </w:rPr>
        <w:t>d</w:t>
      </w:r>
      <w:r w:rsidR="00373473" w:rsidRPr="00567F29">
        <w:rPr>
          <w:rFonts w:ascii="Arial" w:hAnsi="Arial" w:cs="Arial"/>
          <w:sz w:val="22"/>
        </w:rPr>
        <w:t xml:space="preserve"> the possible very small (VS) LNG terminal that may be supported through a Public-Private Partnership, although the loan operation will not fund the construction of the terminal itself. </w:t>
      </w:r>
    </w:p>
    <w:p w:rsidR="00373473" w:rsidRPr="00567F29" w:rsidRDefault="00373473" w:rsidP="005F7D46">
      <w:pPr>
        <w:jc w:val="both"/>
        <w:rPr>
          <w:rFonts w:ascii="Arial" w:eastAsia="MS Mincho" w:hAnsi="Arial" w:cs="Arial"/>
          <w:sz w:val="22"/>
          <w:szCs w:val="24"/>
          <w:lang w:eastAsia="ja-JP"/>
        </w:rPr>
      </w:pPr>
      <w:r w:rsidRPr="00567F29">
        <w:rPr>
          <w:rFonts w:ascii="Arial" w:eastAsia="MS Mincho" w:hAnsi="Arial" w:cs="Arial"/>
          <w:sz w:val="22"/>
          <w:szCs w:val="24"/>
          <w:lang w:eastAsia="ja-JP"/>
        </w:rPr>
        <w:t xml:space="preserve">The </w:t>
      </w:r>
      <w:r w:rsidR="00623EF9" w:rsidRPr="00567F29">
        <w:rPr>
          <w:rFonts w:ascii="Arial" w:eastAsia="MS Mincho" w:hAnsi="Arial" w:cs="Arial"/>
          <w:sz w:val="22"/>
          <w:szCs w:val="24"/>
          <w:lang w:eastAsia="ja-JP"/>
        </w:rPr>
        <w:t xml:space="preserve">economic </w:t>
      </w:r>
      <w:r w:rsidRPr="00567F29">
        <w:rPr>
          <w:rFonts w:ascii="Arial" w:eastAsia="MS Mincho" w:hAnsi="Arial" w:cs="Arial"/>
          <w:sz w:val="22"/>
          <w:szCs w:val="24"/>
          <w:lang w:eastAsia="ja-JP"/>
        </w:rPr>
        <w:t>N</w:t>
      </w:r>
      <w:r w:rsidRPr="00567F29">
        <w:rPr>
          <w:rFonts w:ascii="Arial" w:hAnsi="Arial" w:cs="Arial"/>
          <w:sz w:val="22"/>
          <w:szCs w:val="24"/>
        </w:rPr>
        <w:t xml:space="preserve">PV </w:t>
      </w:r>
      <w:r w:rsidR="00623EF9" w:rsidRPr="00567F29">
        <w:rPr>
          <w:rFonts w:ascii="Arial" w:hAnsi="Arial" w:cs="Arial"/>
          <w:sz w:val="22"/>
          <w:szCs w:val="24"/>
        </w:rPr>
        <w:t>wa</w:t>
      </w:r>
      <w:r w:rsidRPr="00567F29">
        <w:rPr>
          <w:rFonts w:ascii="Arial" w:hAnsi="Arial" w:cs="Arial"/>
          <w:sz w:val="22"/>
          <w:szCs w:val="24"/>
        </w:rPr>
        <w:t>s calculated from the present value of the sub-projects’ estimated benefits and costs. For example, the benefit of expanding the micro LNG facility</w:t>
      </w:r>
      <w:r w:rsidR="00623EF9" w:rsidRPr="00567F29">
        <w:rPr>
          <w:rFonts w:ascii="Arial" w:hAnsi="Arial" w:cs="Arial"/>
          <w:sz w:val="22"/>
          <w:szCs w:val="24"/>
        </w:rPr>
        <w:t xml:space="preserve"> was calculated from</w:t>
      </w:r>
      <w:r w:rsidRPr="00567F29">
        <w:rPr>
          <w:rFonts w:ascii="Arial" w:hAnsi="Arial" w:cs="Arial"/>
          <w:sz w:val="22"/>
          <w:szCs w:val="24"/>
        </w:rPr>
        <w:t xml:space="preserve"> the s</w:t>
      </w:r>
      <w:r w:rsidRPr="00567F29">
        <w:rPr>
          <w:rFonts w:ascii="Arial" w:eastAsia="MS Mincho" w:hAnsi="Arial" w:cs="Arial"/>
          <w:sz w:val="22"/>
          <w:szCs w:val="24"/>
          <w:lang w:eastAsia="ja-JP"/>
        </w:rPr>
        <w:t xml:space="preserve">avings in fuel expenditures and the monetary value of the reduction in greenhouse gas emissions that result from consuming natural gas instead of liquid fuels. </w:t>
      </w:r>
      <w:r w:rsidR="00623EF9" w:rsidRPr="00567F29">
        <w:rPr>
          <w:rFonts w:ascii="Arial" w:eastAsia="MS Mincho" w:hAnsi="Arial" w:cs="Arial"/>
          <w:sz w:val="22"/>
          <w:szCs w:val="24"/>
          <w:lang w:eastAsia="ja-JP"/>
        </w:rPr>
        <w:t>T</w:t>
      </w:r>
      <w:r w:rsidRPr="00567F29">
        <w:rPr>
          <w:rFonts w:ascii="Arial" w:eastAsia="MS Mincho" w:hAnsi="Arial" w:cs="Arial"/>
          <w:sz w:val="22"/>
          <w:szCs w:val="24"/>
          <w:lang w:eastAsia="ja-JP"/>
        </w:rPr>
        <w:t>he cost of expanding the micro LNG facility</w:t>
      </w:r>
      <w:r w:rsidR="00623EF9" w:rsidRPr="00567F29">
        <w:rPr>
          <w:rFonts w:ascii="Arial" w:eastAsia="MS Mincho" w:hAnsi="Arial" w:cs="Arial"/>
          <w:sz w:val="22"/>
          <w:szCs w:val="24"/>
          <w:lang w:eastAsia="ja-JP"/>
        </w:rPr>
        <w:t xml:space="preserve"> was </w:t>
      </w:r>
      <w:r w:rsidRPr="00567F29">
        <w:rPr>
          <w:rFonts w:ascii="Arial" w:eastAsia="MS Mincho" w:hAnsi="Arial" w:cs="Arial"/>
          <w:sz w:val="22"/>
          <w:szCs w:val="24"/>
          <w:lang w:eastAsia="ja-JP"/>
        </w:rPr>
        <w:t xml:space="preserve">estimated </w:t>
      </w:r>
      <w:r w:rsidR="00623EF9" w:rsidRPr="00567F29">
        <w:rPr>
          <w:rFonts w:ascii="Arial" w:eastAsia="MS Mincho" w:hAnsi="Arial" w:cs="Arial"/>
          <w:sz w:val="22"/>
          <w:szCs w:val="24"/>
          <w:lang w:eastAsia="ja-JP"/>
        </w:rPr>
        <w:t xml:space="preserve">from </w:t>
      </w:r>
      <w:r w:rsidRPr="00567F29">
        <w:rPr>
          <w:rFonts w:ascii="Arial" w:eastAsia="MS Mincho" w:hAnsi="Arial" w:cs="Arial"/>
          <w:sz w:val="22"/>
          <w:szCs w:val="24"/>
          <w:lang w:eastAsia="ja-JP"/>
        </w:rPr>
        <w:t xml:space="preserve">the full economic costs of implementing the project, including the costs not financed by the IDB. </w:t>
      </w:r>
      <w:r w:rsidR="00623EF9" w:rsidRPr="00567F29">
        <w:rPr>
          <w:rFonts w:ascii="Arial" w:eastAsia="MS Mincho" w:hAnsi="Arial" w:cs="Arial"/>
          <w:sz w:val="22"/>
          <w:szCs w:val="24"/>
          <w:lang w:eastAsia="ja-JP"/>
        </w:rPr>
        <w:t>T</w:t>
      </w:r>
      <w:r w:rsidRPr="00567F29">
        <w:rPr>
          <w:rFonts w:ascii="Arial" w:eastAsia="MS Mincho" w:hAnsi="Arial" w:cs="Arial"/>
          <w:sz w:val="22"/>
          <w:szCs w:val="24"/>
          <w:lang w:eastAsia="ja-JP"/>
        </w:rPr>
        <w:t xml:space="preserve">he difference between these two values for each year of the project period </w:t>
      </w:r>
      <w:r w:rsidR="00623EF9" w:rsidRPr="00567F29">
        <w:rPr>
          <w:rFonts w:ascii="Arial" w:eastAsia="MS Mincho" w:hAnsi="Arial" w:cs="Arial"/>
          <w:sz w:val="22"/>
          <w:szCs w:val="24"/>
          <w:lang w:eastAsia="ja-JP"/>
        </w:rPr>
        <w:t>was</w:t>
      </w:r>
      <w:r w:rsidRPr="00567F29">
        <w:rPr>
          <w:rFonts w:ascii="Arial" w:eastAsia="MS Mincho" w:hAnsi="Arial" w:cs="Arial"/>
          <w:sz w:val="22"/>
          <w:szCs w:val="24"/>
          <w:lang w:eastAsia="ja-JP"/>
        </w:rPr>
        <w:t xml:space="preserve"> then calculated</w:t>
      </w:r>
      <w:r w:rsidR="00623EF9" w:rsidRPr="00567F29">
        <w:rPr>
          <w:rFonts w:ascii="Arial" w:eastAsia="MS Mincho" w:hAnsi="Arial" w:cs="Arial"/>
          <w:sz w:val="22"/>
          <w:szCs w:val="24"/>
          <w:lang w:eastAsia="ja-JP"/>
        </w:rPr>
        <w:t xml:space="preserve">, and then </w:t>
      </w:r>
      <w:r w:rsidRPr="00567F29">
        <w:rPr>
          <w:rFonts w:ascii="Arial" w:eastAsia="MS Mincho" w:hAnsi="Arial" w:cs="Arial"/>
          <w:sz w:val="22"/>
          <w:szCs w:val="24"/>
          <w:lang w:eastAsia="ja-JP"/>
        </w:rPr>
        <w:t>the present value of that difference</w:t>
      </w:r>
      <w:r w:rsidR="00623EF9" w:rsidRPr="00567F29">
        <w:rPr>
          <w:rFonts w:ascii="Arial" w:eastAsia="MS Mincho" w:hAnsi="Arial" w:cs="Arial"/>
          <w:sz w:val="22"/>
          <w:szCs w:val="24"/>
          <w:lang w:eastAsia="ja-JP"/>
        </w:rPr>
        <w:t xml:space="preserve"> was calculated using a 12 percent discount rate</w:t>
      </w:r>
      <w:r w:rsidRPr="00567F29">
        <w:rPr>
          <w:rFonts w:ascii="Arial" w:eastAsia="MS Mincho" w:hAnsi="Arial" w:cs="Arial"/>
          <w:sz w:val="22"/>
          <w:szCs w:val="24"/>
          <w:lang w:eastAsia="ja-JP"/>
        </w:rPr>
        <w:t xml:space="preserve">. </w:t>
      </w:r>
    </w:p>
    <w:p w:rsidR="00623EF9" w:rsidRPr="00567F29" w:rsidRDefault="00BA2B80" w:rsidP="005F7D46">
      <w:pPr>
        <w:jc w:val="both"/>
        <w:rPr>
          <w:rFonts w:ascii="Arial" w:hAnsi="Arial" w:cs="Arial"/>
          <w:sz w:val="22"/>
        </w:rPr>
      </w:pPr>
      <w:r w:rsidRPr="00567F29">
        <w:rPr>
          <w:rFonts w:ascii="Arial" w:hAnsi="Arial" w:cs="Arial"/>
          <w:sz w:val="22"/>
        </w:rPr>
        <w:t>The</w:t>
      </w:r>
      <w:r w:rsidR="00373473" w:rsidRPr="00567F29">
        <w:rPr>
          <w:rFonts w:ascii="Arial" w:hAnsi="Arial" w:cs="Arial"/>
          <w:sz w:val="22"/>
        </w:rPr>
        <w:t xml:space="preserve"> CBA </w:t>
      </w:r>
      <w:r w:rsidRPr="00567F29">
        <w:rPr>
          <w:rFonts w:ascii="Arial" w:hAnsi="Arial" w:cs="Arial"/>
          <w:sz w:val="22"/>
        </w:rPr>
        <w:t>concluded</w:t>
      </w:r>
      <w:r w:rsidR="00373473" w:rsidRPr="00567F29">
        <w:rPr>
          <w:rFonts w:ascii="Arial" w:hAnsi="Arial" w:cs="Arial"/>
          <w:sz w:val="22"/>
        </w:rPr>
        <w:t xml:space="preserve"> that the sub-projects noted above generate an aggregate Net Present Value of US$6.9 million</w:t>
      </w:r>
      <w:r w:rsidR="00373473" w:rsidRPr="00567F29">
        <w:rPr>
          <w:rFonts w:ascii="Arial" w:hAnsi="Arial" w:cs="Arial"/>
          <w:sz w:val="20"/>
          <w:vertAlign w:val="superscript"/>
        </w:rPr>
        <w:footnoteReference w:id="8"/>
      </w:r>
      <w:r w:rsidR="00373473" w:rsidRPr="00567F29">
        <w:rPr>
          <w:rFonts w:ascii="Arial" w:hAnsi="Arial" w:cs="Arial"/>
          <w:sz w:val="22"/>
        </w:rPr>
        <w:t xml:space="preserve"> and an internal rate of return of 21 percent over a 25 year period. If the </w:t>
      </w:r>
      <w:r w:rsidR="00373473" w:rsidRPr="00567F29">
        <w:rPr>
          <w:rFonts w:ascii="Arial" w:hAnsi="Arial" w:cs="Arial"/>
          <w:sz w:val="22"/>
        </w:rPr>
        <w:lastRenderedPageBreak/>
        <w:t>VS LNG terminal is included in the analysis, the aggregate Net Present Value is US$39 million and the economic internal rate of return is 18 percent. Both figures represent the NPV of the project sub-projects compared to a business-as-usual (BAU) scenario without the planned investments. The benefits of the sub-projects will stem from avoided economic losses from natural gas shortages, savings on liquid fuel expenditures, and the monetary value of avoided greenhouse gas emissions related to the displaced consumption of liquid fuels for electricity generation and commercial/industrial uses.</w:t>
      </w:r>
      <w:r w:rsidR="00623EF9" w:rsidRPr="00567F29">
        <w:rPr>
          <w:rFonts w:ascii="Arial" w:hAnsi="Arial" w:cs="Arial"/>
          <w:sz w:val="22"/>
        </w:rPr>
        <w:t xml:space="preserve"> Figure </w:t>
      </w:r>
      <w:r w:rsidRPr="00567F29">
        <w:rPr>
          <w:rFonts w:ascii="Arial" w:hAnsi="Arial" w:cs="Arial"/>
          <w:sz w:val="22"/>
        </w:rPr>
        <w:t>3.1</w:t>
      </w:r>
      <w:r w:rsidR="00623EF9" w:rsidRPr="00567F29">
        <w:rPr>
          <w:rFonts w:ascii="Arial" w:hAnsi="Arial" w:cs="Arial"/>
          <w:sz w:val="22"/>
        </w:rPr>
        <w:t xml:space="preserve"> shows the aggregate present value benefits, costs and net present value of the sub-projects </w:t>
      </w:r>
      <w:r w:rsidRPr="00567F29">
        <w:rPr>
          <w:rFonts w:ascii="Arial" w:hAnsi="Arial" w:cs="Arial"/>
          <w:sz w:val="22"/>
        </w:rPr>
        <w:t>financed by the Project</w:t>
      </w:r>
      <w:r w:rsidR="00623EF9" w:rsidRPr="00567F29">
        <w:rPr>
          <w:rFonts w:ascii="Arial" w:hAnsi="Arial" w:cs="Arial"/>
          <w:sz w:val="22"/>
        </w:rPr>
        <w:t>.</w:t>
      </w:r>
    </w:p>
    <w:p w:rsidR="00623EF9" w:rsidRPr="00567F29" w:rsidRDefault="00623EF9" w:rsidP="005F7D46">
      <w:pPr>
        <w:pStyle w:val="Caption"/>
        <w:jc w:val="both"/>
        <w:rPr>
          <w:rFonts w:ascii="Arial" w:hAnsi="Arial" w:cs="Arial"/>
          <w:sz w:val="22"/>
        </w:rPr>
      </w:pPr>
      <w:bookmarkStart w:id="10" w:name="_Toc428351549"/>
      <w:bookmarkStart w:id="11" w:name="_Toc459492518"/>
      <w:proofErr w:type="gramStart"/>
      <w:r w:rsidRPr="00567F29">
        <w:rPr>
          <w:rFonts w:ascii="Arial" w:hAnsi="Arial" w:cs="Arial"/>
          <w:sz w:val="22"/>
        </w:rPr>
        <w:t xml:space="preserve">Figure </w:t>
      </w:r>
      <w:r w:rsidR="00BA2B80" w:rsidRPr="00567F29">
        <w:rPr>
          <w:rFonts w:ascii="Arial" w:hAnsi="Arial" w:cs="Arial"/>
          <w:sz w:val="22"/>
        </w:rPr>
        <w:t>3</w:t>
      </w:r>
      <w:r w:rsidRPr="00567F29">
        <w:rPr>
          <w:rFonts w:ascii="Arial" w:hAnsi="Arial" w:cs="Arial"/>
          <w:sz w:val="22"/>
        </w:rPr>
        <w:t>.</w:t>
      </w:r>
      <w:proofErr w:type="gramEnd"/>
      <w:r w:rsidRPr="00567F29">
        <w:rPr>
          <w:rFonts w:ascii="Arial" w:hAnsi="Arial" w:cs="Arial"/>
          <w:sz w:val="22"/>
        </w:rPr>
        <w:fldChar w:fldCharType="begin"/>
      </w:r>
      <w:r w:rsidRPr="00567F29">
        <w:rPr>
          <w:rFonts w:ascii="Arial" w:hAnsi="Arial" w:cs="Arial"/>
          <w:sz w:val="22"/>
        </w:rPr>
        <w:instrText xml:space="preserve"> SEQ Figure \* ARABIC \s 1 </w:instrText>
      </w:r>
      <w:r w:rsidRPr="00567F29">
        <w:rPr>
          <w:rFonts w:ascii="Arial" w:hAnsi="Arial" w:cs="Arial"/>
          <w:sz w:val="22"/>
        </w:rPr>
        <w:fldChar w:fldCharType="separate"/>
      </w:r>
      <w:r w:rsidR="00CB16FB" w:rsidRPr="00567F29">
        <w:rPr>
          <w:rFonts w:ascii="Arial" w:hAnsi="Arial" w:cs="Arial"/>
          <w:noProof/>
          <w:sz w:val="22"/>
        </w:rPr>
        <w:t>1</w:t>
      </w:r>
      <w:r w:rsidRPr="00567F29">
        <w:rPr>
          <w:rFonts w:ascii="Arial" w:hAnsi="Arial" w:cs="Arial"/>
          <w:sz w:val="22"/>
        </w:rPr>
        <w:fldChar w:fldCharType="end"/>
      </w:r>
      <w:r w:rsidRPr="00567F29">
        <w:rPr>
          <w:rFonts w:ascii="Arial" w:hAnsi="Arial" w:cs="Arial"/>
          <w:sz w:val="22"/>
        </w:rPr>
        <w:t xml:space="preserve">: Net Economic Benefits of the </w:t>
      </w:r>
      <w:bookmarkEnd w:id="10"/>
      <w:r w:rsidRPr="00567F29">
        <w:rPr>
          <w:rFonts w:ascii="Arial" w:hAnsi="Arial" w:cs="Arial"/>
          <w:sz w:val="22"/>
        </w:rPr>
        <w:t>Sub-Projects (not including the VS LNG terminal) (US$ ‘000)</w:t>
      </w:r>
      <w:bookmarkEnd w:id="11"/>
    </w:p>
    <w:p w:rsidR="00623EF9" w:rsidRPr="00567F29" w:rsidRDefault="00623EF9" w:rsidP="005F7D46">
      <w:pPr>
        <w:jc w:val="both"/>
        <w:rPr>
          <w:rFonts w:ascii="Arial" w:hAnsi="Arial" w:cs="Arial"/>
          <w:sz w:val="22"/>
        </w:rPr>
      </w:pPr>
      <w:r w:rsidRPr="00567F29">
        <w:rPr>
          <w:rFonts w:ascii="Arial" w:hAnsi="Arial" w:cs="Arial"/>
          <w:noProof/>
          <w:sz w:val="22"/>
        </w:rPr>
        <w:drawing>
          <wp:inline distT="0" distB="0" distL="0" distR="0" wp14:anchorId="4C00EBC3" wp14:editId="5A617A4B">
            <wp:extent cx="3771900" cy="2263140"/>
            <wp:effectExtent l="0" t="0" r="19050" b="2286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2B80" w:rsidRPr="00567F29" w:rsidRDefault="00BA2B80" w:rsidP="005F7D46">
      <w:pPr>
        <w:jc w:val="both"/>
        <w:rPr>
          <w:rFonts w:ascii="Arial" w:hAnsi="Arial" w:cs="Arial"/>
          <w:sz w:val="22"/>
        </w:rPr>
      </w:pPr>
      <w:r w:rsidRPr="00567F29">
        <w:rPr>
          <w:rFonts w:ascii="Arial" w:hAnsi="Arial" w:cs="Arial"/>
          <w:sz w:val="22"/>
        </w:rPr>
        <w:t xml:space="preserve">Figure 3.2 shows the aggregate present value benefits, costs, and net present value for the aggregate sub-projects including the VS LNG terminal. </w:t>
      </w:r>
    </w:p>
    <w:p w:rsidR="00BA2B80" w:rsidRPr="00567F29" w:rsidRDefault="00BA2B80" w:rsidP="005F7D46">
      <w:pPr>
        <w:pBdr>
          <w:bottom w:val="single" w:sz="8" w:space="1" w:color="FFC000"/>
        </w:pBdr>
        <w:spacing w:line="240" w:lineRule="auto"/>
        <w:jc w:val="both"/>
        <w:rPr>
          <w:rFonts w:ascii="Arial" w:hAnsi="Arial" w:cs="Arial"/>
          <w:b/>
          <w:bCs/>
          <w:sz w:val="22"/>
          <w:szCs w:val="18"/>
        </w:rPr>
      </w:pPr>
      <w:r w:rsidRPr="00567F29">
        <w:rPr>
          <w:rFonts w:ascii="Arial" w:hAnsi="Arial" w:cs="Arial"/>
          <w:b/>
          <w:bCs/>
          <w:sz w:val="22"/>
          <w:szCs w:val="18"/>
        </w:rPr>
        <w:t>Figure 3.2: Net Economic Benefits of the Sub-Projects (including the VS LNG terminal) (US$ ‘000)</w:t>
      </w:r>
    </w:p>
    <w:p w:rsidR="00BA2B80" w:rsidRPr="00567F29" w:rsidRDefault="00BA2B80" w:rsidP="005F7D46">
      <w:pPr>
        <w:jc w:val="both"/>
        <w:rPr>
          <w:rFonts w:ascii="Arial" w:hAnsi="Arial" w:cs="Arial"/>
          <w:sz w:val="22"/>
        </w:rPr>
      </w:pPr>
      <w:r w:rsidRPr="00567F29">
        <w:rPr>
          <w:rFonts w:ascii="Arial" w:hAnsi="Arial" w:cs="Arial"/>
          <w:noProof/>
          <w:sz w:val="22"/>
        </w:rPr>
        <w:drawing>
          <wp:inline distT="0" distB="0" distL="0" distR="0" wp14:anchorId="689D8302" wp14:editId="7DB7D5EA">
            <wp:extent cx="3771900" cy="2263140"/>
            <wp:effectExtent l="0" t="0" r="19050" b="2286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A2B80" w:rsidRPr="00567F29" w:rsidRDefault="00BA2B80" w:rsidP="005F7D46">
      <w:pPr>
        <w:jc w:val="both"/>
        <w:rPr>
          <w:rFonts w:ascii="Arial" w:hAnsi="Arial" w:cs="Arial"/>
          <w:sz w:val="22"/>
        </w:rPr>
      </w:pPr>
      <w:r w:rsidRPr="00567F29">
        <w:rPr>
          <w:rFonts w:ascii="Arial" w:hAnsi="Arial" w:cs="Arial"/>
          <w:sz w:val="22"/>
        </w:rPr>
        <w:lastRenderedPageBreak/>
        <w:t>The robustness of the estimated economic benefit was tested under unfavorable conditions through a sensitivity analysis of key input variables, including: (</w:t>
      </w:r>
      <w:proofErr w:type="spellStart"/>
      <w:r w:rsidRPr="00567F29">
        <w:rPr>
          <w:rFonts w:ascii="Arial" w:hAnsi="Arial" w:cs="Arial"/>
          <w:sz w:val="22"/>
        </w:rPr>
        <w:t>i</w:t>
      </w:r>
      <w:proofErr w:type="spellEnd"/>
      <w:r w:rsidRPr="00567F29">
        <w:rPr>
          <w:rFonts w:ascii="Arial" w:hAnsi="Arial" w:cs="Arial"/>
          <w:sz w:val="22"/>
        </w:rPr>
        <w:t xml:space="preserve">) </w:t>
      </w:r>
      <w:r w:rsidR="0091554D" w:rsidRPr="00567F29">
        <w:rPr>
          <w:rFonts w:ascii="Arial" w:hAnsi="Arial" w:cs="Arial"/>
          <w:sz w:val="22"/>
        </w:rPr>
        <w:t xml:space="preserve">a 10% decrease in the projected oil price; (ii) a 10% increase in the projected price of natural gas at the source; (iii) a 40% decrease in the price of CO2; and, (iv) a 10% reduction in the capacity factor of the renewable energy components (wind turbine and solar panels).  The analysis found that the Project remained viable even when subjected to all four unfavorable adjustments simultaneously.  </w:t>
      </w:r>
    </w:p>
    <w:p w:rsidR="00BD376C" w:rsidRPr="00567F29" w:rsidRDefault="00BD376C" w:rsidP="005F7D46">
      <w:pPr>
        <w:pStyle w:val="Heading2"/>
        <w:jc w:val="both"/>
        <w:rPr>
          <w:rFonts w:ascii="Arial" w:hAnsi="Arial" w:cs="Arial"/>
          <w:sz w:val="24"/>
        </w:rPr>
      </w:pPr>
      <w:bookmarkStart w:id="12" w:name="_Toc464207169"/>
      <w:r w:rsidRPr="00567F29">
        <w:rPr>
          <w:rFonts w:ascii="Arial" w:hAnsi="Arial" w:cs="Arial"/>
          <w:sz w:val="24"/>
        </w:rPr>
        <w:t xml:space="preserve">Key </w:t>
      </w:r>
      <w:r w:rsidR="00FE15BB" w:rsidRPr="00567F29">
        <w:rPr>
          <w:rFonts w:ascii="Arial" w:hAnsi="Arial" w:cs="Arial"/>
          <w:sz w:val="24"/>
        </w:rPr>
        <w:t>Impact</w:t>
      </w:r>
      <w:r w:rsidRPr="00567F29">
        <w:rPr>
          <w:rFonts w:ascii="Arial" w:hAnsi="Arial" w:cs="Arial"/>
          <w:sz w:val="24"/>
        </w:rPr>
        <w:t xml:space="preserve"> Indicators</w:t>
      </w:r>
      <w:r w:rsidR="0031657C" w:rsidRPr="00567F29">
        <w:rPr>
          <w:rFonts w:ascii="Arial" w:hAnsi="Arial" w:cs="Arial"/>
          <w:sz w:val="24"/>
        </w:rPr>
        <w:t xml:space="preserve"> and Methodology</w:t>
      </w:r>
      <w:bookmarkEnd w:id="12"/>
    </w:p>
    <w:p w:rsidR="00BD376C" w:rsidRPr="00567F29" w:rsidRDefault="00A43347" w:rsidP="005F7D46">
      <w:pPr>
        <w:jc w:val="both"/>
        <w:rPr>
          <w:rFonts w:ascii="Arial" w:hAnsi="Arial" w:cs="Arial"/>
          <w:sz w:val="22"/>
        </w:rPr>
      </w:pPr>
      <w:r w:rsidRPr="00567F29">
        <w:rPr>
          <w:rFonts w:ascii="Arial" w:hAnsi="Arial" w:cs="Arial"/>
          <w:sz w:val="22"/>
        </w:rPr>
        <w:t>This section describes the Project’s</w:t>
      </w:r>
      <w:r w:rsidR="00681871" w:rsidRPr="00567F29">
        <w:rPr>
          <w:rFonts w:ascii="Arial" w:hAnsi="Arial" w:cs="Arial"/>
          <w:sz w:val="22"/>
        </w:rPr>
        <w:t xml:space="preserve"> key </w:t>
      </w:r>
      <w:r w:rsidRPr="00567F29">
        <w:rPr>
          <w:rFonts w:ascii="Arial" w:hAnsi="Arial" w:cs="Arial"/>
          <w:sz w:val="22"/>
        </w:rPr>
        <w:t xml:space="preserve">impact </w:t>
      </w:r>
      <w:r w:rsidR="00BD376C" w:rsidRPr="00567F29">
        <w:rPr>
          <w:rFonts w:ascii="Arial" w:hAnsi="Arial" w:cs="Arial"/>
          <w:sz w:val="22"/>
        </w:rPr>
        <w:t>indicators</w:t>
      </w:r>
      <w:r w:rsidR="00681871" w:rsidRPr="00567F29">
        <w:rPr>
          <w:rFonts w:ascii="Arial" w:hAnsi="Arial" w:cs="Arial"/>
          <w:sz w:val="22"/>
        </w:rPr>
        <w:t xml:space="preserve">, including the related </w:t>
      </w:r>
      <w:r w:rsidR="00BD376C" w:rsidRPr="00567F29">
        <w:rPr>
          <w:rFonts w:ascii="Arial" w:hAnsi="Arial" w:cs="Arial"/>
          <w:sz w:val="22"/>
        </w:rPr>
        <w:t>formula</w:t>
      </w:r>
      <w:r w:rsidR="00681871" w:rsidRPr="00567F29">
        <w:rPr>
          <w:rFonts w:ascii="Arial" w:hAnsi="Arial" w:cs="Arial"/>
          <w:sz w:val="22"/>
        </w:rPr>
        <w:t xml:space="preserve">s, </w:t>
      </w:r>
      <w:r w:rsidR="00BD376C" w:rsidRPr="00567F29">
        <w:rPr>
          <w:rFonts w:ascii="Arial" w:hAnsi="Arial" w:cs="Arial"/>
          <w:sz w:val="22"/>
        </w:rPr>
        <w:t xml:space="preserve">frequency of measurement, and </w:t>
      </w:r>
      <w:r w:rsidR="00E448C1" w:rsidRPr="00567F29">
        <w:rPr>
          <w:rFonts w:ascii="Arial" w:hAnsi="Arial" w:cs="Arial"/>
          <w:sz w:val="22"/>
        </w:rPr>
        <w:t>data source</w:t>
      </w:r>
      <w:r w:rsidRPr="00567F29">
        <w:rPr>
          <w:rFonts w:ascii="Arial" w:hAnsi="Arial" w:cs="Arial"/>
          <w:sz w:val="22"/>
        </w:rPr>
        <w:t xml:space="preserve">. </w:t>
      </w:r>
      <w:proofErr w:type="gramStart"/>
      <w:r w:rsidR="00681871" w:rsidRPr="00567F29">
        <w:rPr>
          <w:rFonts w:ascii="Arial" w:hAnsi="Arial" w:cs="Arial"/>
          <w:sz w:val="22"/>
        </w:rPr>
        <w:t xml:space="preserve">Table </w:t>
      </w:r>
      <w:r w:rsidR="00E02766">
        <w:rPr>
          <w:rFonts w:ascii="Arial" w:hAnsi="Arial" w:cs="Arial"/>
          <w:sz w:val="22"/>
        </w:rPr>
        <w:t>7</w:t>
      </w:r>
      <w:r w:rsidR="00681871" w:rsidRPr="00567F29">
        <w:rPr>
          <w:rFonts w:ascii="Arial" w:hAnsi="Arial" w:cs="Arial"/>
          <w:sz w:val="22"/>
        </w:rPr>
        <w:t xml:space="preserve"> below</w:t>
      </w:r>
      <w:r w:rsidRPr="00567F29">
        <w:rPr>
          <w:rFonts w:ascii="Arial" w:hAnsi="Arial" w:cs="Arial"/>
          <w:sz w:val="22"/>
        </w:rPr>
        <w:t xml:space="preserve"> shows the two impact indicators that were identified for the Project: total GHG emissions resulting from power generation in Barbados, and the average national electricity tariff</w:t>
      </w:r>
      <w:r w:rsidR="00BD376C" w:rsidRPr="00567F29">
        <w:rPr>
          <w:rFonts w:ascii="Arial" w:hAnsi="Arial" w:cs="Arial"/>
          <w:sz w:val="22"/>
        </w:rPr>
        <w:t>.</w:t>
      </w:r>
      <w:proofErr w:type="gramEnd"/>
    </w:p>
    <w:p w:rsidR="00BD376C" w:rsidRPr="00567F29" w:rsidRDefault="00BD376C" w:rsidP="005F7D46">
      <w:pPr>
        <w:pStyle w:val="Caption"/>
        <w:jc w:val="both"/>
        <w:rPr>
          <w:rFonts w:ascii="Arial" w:hAnsi="Arial" w:cs="Arial"/>
          <w:sz w:val="22"/>
        </w:rPr>
      </w:pPr>
      <w:r w:rsidRPr="00567F29">
        <w:rPr>
          <w:rFonts w:ascii="Arial" w:hAnsi="Arial" w:cs="Arial"/>
          <w:sz w:val="22"/>
        </w:rPr>
        <w:t xml:space="preserve">Table </w:t>
      </w:r>
      <w:r w:rsidR="00E02766">
        <w:rPr>
          <w:rFonts w:ascii="Arial" w:hAnsi="Arial" w:cs="Arial"/>
          <w:sz w:val="22"/>
        </w:rPr>
        <w:t>7</w:t>
      </w:r>
      <w:r w:rsidR="00A43347" w:rsidRPr="00567F29">
        <w:rPr>
          <w:rFonts w:ascii="Arial" w:hAnsi="Arial" w:cs="Arial"/>
          <w:sz w:val="22"/>
        </w:rPr>
        <w:t>: Project Impact Indicators</w:t>
      </w:r>
    </w:p>
    <w:p w:rsidR="000B0DBB" w:rsidRPr="00567F29" w:rsidRDefault="00A43347" w:rsidP="005F7D46">
      <w:pPr>
        <w:jc w:val="both"/>
        <w:rPr>
          <w:rFonts w:ascii="Arial" w:hAnsi="Arial" w:cs="Arial"/>
          <w:b/>
          <w:bCs/>
          <w:sz w:val="22"/>
        </w:rPr>
      </w:pPr>
      <w:r w:rsidRPr="00567F29">
        <w:rPr>
          <w:rFonts w:ascii="Arial" w:hAnsi="Arial" w:cs="Arial"/>
          <w:noProof/>
          <w:sz w:val="22"/>
        </w:rPr>
        <w:drawing>
          <wp:inline distT="0" distB="0" distL="0" distR="0" wp14:anchorId="10966B52" wp14:editId="759FDF42">
            <wp:extent cx="5943600" cy="9592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959272"/>
                    </a:xfrm>
                    <a:prstGeom prst="rect">
                      <a:avLst/>
                    </a:prstGeom>
                    <a:noFill/>
                    <a:ln>
                      <a:noFill/>
                    </a:ln>
                  </pic:spPr>
                </pic:pic>
              </a:graphicData>
            </a:graphic>
          </wp:inline>
        </w:drawing>
      </w:r>
    </w:p>
    <w:p w:rsidR="00BD376C" w:rsidRPr="00567F29" w:rsidRDefault="000252F8" w:rsidP="00942DE4">
      <w:pPr>
        <w:pStyle w:val="Heading3"/>
      </w:pPr>
      <w:bookmarkStart w:id="13" w:name="_Toc464207170"/>
      <w:r w:rsidRPr="00567F29">
        <w:t xml:space="preserve">Impact Indicator </w:t>
      </w:r>
      <w:r w:rsidR="0031657C" w:rsidRPr="00567F29">
        <w:t>Calculation</w:t>
      </w:r>
      <w:r w:rsidR="00BD376C" w:rsidRPr="00567F29">
        <w:t xml:space="preserve"> Methodology</w:t>
      </w:r>
      <w:bookmarkEnd w:id="13"/>
    </w:p>
    <w:p w:rsidR="0031657C" w:rsidRPr="00567F29" w:rsidRDefault="00BC2BF5" w:rsidP="005F7D46">
      <w:pPr>
        <w:jc w:val="both"/>
        <w:rPr>
          <w:rFonts w:ascii="Arial" w:hAnsi="Arial" w:cs="Arial"/>
          <w:sz w:val="22"/>
        </w:rPr>
      </w:pPr>
      <w:r w:rsidRPr="00567F29">
        <w:rPr>
          <w:rFonts w:ascii="Arial" w:hAnsi="Arial" w:cs="Arial"/>
          <w:sz w:val="22"/>
        </w:rPr>
        <w:t xml:space="preserve">The reduction in total GHG emissions resulting from power generation in Barbados succinctly captures the broad environmental benefits that are expected to come from increasing RE capacity, improving EE, and replacing liquid fuels with natural gas.  This impact indicator </w:t>
      </w:r>
      <w:r w:rsidR="00CB16FB" w:rsidRPr="00567F29">
        <w:rPr>
          <w:rFonts w:ascii="Arial" w:hAnsi="Arial" w:cs="Arial"/>
          <w:sz w:val="22"/>
        </w:rPr>
        <w:t>is</w:t>
      </w:r>
      <w:r w:rsidRPr="00567F29">
        <w:rPr>
          <w:rFonts w:ascii="Arial" w:hAnsi="Arial" w:cs="Arial"/>
          <w:sz w:val="22"/>
        </w:rPr>
        <w:t xml:space="preserve"> measured and reported through a separate</w:t>
      </w:r>
      <w:r w:rsidR="00CB16FB" w:rsidRPr="00567F29">
        <w:rPr>
          <w:rFonts w:ascii="Arial" w:hAnsi="Arial" w:cs="Arial"/>
          <w:sz w:val="22"/>
        </w:rPr>
        <w:t xml:space="preserve"> </w:t>
      </w:r>
      <w:r w:rsidRPr="00567F29">
        <w:rPr>
          <w:rFonts w:ascii="Arial" w:hAnsi="Arial" w:cs="Arial"/>
          <w:sz w:val="22"/>
        </w:rPr>
        <w:t xml:space="preserve">government entity that is not involved in the Project implementation. </w:t>
      </w:r>
    </w:p>
    <w:p w:rsidR="00AC54C9" w:rsidRPr="00567F29" w:rsidRDefault="00AC54C9" w:rsidP="005F7D46">
      <w:pPr>
        <w:jc w:val="both"/>
        <w:rPr>
          <w:rFonts w:ascii="Arial" w:hAnsi="Arial" w:cs="Arial"/>
          <w:sz w:val="22"/>
        </w:rPr>
      </w:pPr>
      <w:r w:rsidRPr="00567F29">
        <w:rPr>
          <w:rFonts w:ascii="Arial" w:hAnsi="Arial" w:cs="Arial"/>
          <w:sz w:val="22"/>
        </w:rPr>
        <w:t>Total GHG emissions from power generation are affected by the total amount of electricity that is consumed (EE measures help reduce or slow the growth in electricity consumption), the mix of technologies that are used to generate electricity (RE investments increase the share of carbon-free technologies in the mix), the efficiency at which fuels are converted to electricity (converting generators from liquid fuels to NG can slightly improve unit efficiency), and the carbon content of the fuels that are consumed (NG has less carbon per unit than HFO or diesel).</w:t>
      </w:r>
    </w:p>
    <w:p w:rsidR="00BC2BF5" w:rsidRPr="00567F29" w:rsidRDefault="00BC2BF5" w:rsidP="005F7D46">
      <w:pPr>
        <w:jc w:val="both"/>
        <w:rPr>
          <w:rFonts w:ascii="Arial" w:hAnsi="Arial" w:cs="Arial"/>
          <w:sz w:val="22"/>
        </w:rPr>
      </w:pPr>
      <w:r w:rsidRPr="00567F29">
        <w:rPr>
          <w:rFonts w:ascii="Arial" w:hAnsi="Arial" w:cs="Arial"/>
          <w:sz w:val="22"/>
        </w:rPr>
        <w:t xml:space="preserve">GHG emissions from power generation are calculated by multiplying the volume of carbon-based fuels (including NG, HFO, and diesel) that </w:t>
      </w:r>
      <w:r w:rsidR="00176B67" w:rsidRPr="00567F29">
        <w:rPr>
          <w:rFonts w:ascii="Arial" w:hAnsi="Arial" w:cs="Arial"/>
          <w:sz w:val="22"/>
        </w:rPr>
        <w:t>is</w:t>
      </w:r>
      <w:r w:rsidRPr="00567F29">
        <w:rPr>
          <w:rFonts w:ascii="Arial" w:hAnsi="Arial" w:cs="Arial"/>
          <w:sz w:val="22"/>
        </w:rPr>
        <w:t xml:space="preserve"> consumed for electricity generation by the carbon content </w:t>
      </w:r>
      <w:r w:rsidR="00AC54C9" w:rsidRPr="00567F29">
        <w:rPr>
          <w:rFonts w:ascii="Arial" w:hAnsi="Arial" w:cs="Arial"/>
          <w:sz w:val="22"/>
        </w:rPr>
        <w:t xml:space="preserve">per unit </w:t>
      </w:r>
      <w:r w:rsidRPr="00567F29">
        <w:rPr>
          <w:rFonts w:ascii="Arial" w:hAnsi="Arial" w:cs="Arial"/>
          <w:sz w:val="22"/>
        </w:rPr>
        <w:t xml:space="preserve">of each fuel.  The calculation relies on fuel consumption data that is gathered and maintained by </w:t>
      </w:r>
      <w:r w:rsidR="00CB16FB" w:rsidRPr="00567F29">
        <w:rPr>
          <w:rFonts w:ascii="Arial" w:hAnsi="Arial" w:cs="Arial"/>
          <w:sz w:val="22"/>
        </w:rPr>
        <w:t>BL&amp;P</w:t>
      </w:r>
      <w:r w:rsidRPr="00567F29">
        <w:rPr>
          <w:rFonts w:ascii="Arial" w:hAnsi="Arial" w:cs="Arial"/>
          <w:sz w:val="22"/>
        </w:rPr>
        <w:t xml:space="preserve"> and standardized values for fuel carbon content</w:t>
      </w:r>
      <w:r w:rsidR="00AC54C9" w:rsidRPr="00567F29">
        <w:rPr>
          <w:rFonts w:ascii="Arial" w:hAnsi="Arial" w:cs="Arial"/>
          <w:sz w:val="22"/>
        </w:rPr>
        <w:t xml:space="preserve">. </w:t>
      </w:r>
    </w:p>
    <w:p w:rsidR="00AC54C9" w:rsidRPr="00567F29" w:rsidRDefault="00AC54C9" w:rsidP="005F7D46">
      <w:pPr>
        <w:jc w:val="both"/>
        <w:rPr>
          <w:rFonts w:ascii="Arial" w:hAnsi="Arial" w:cs="Arial"/>
          <w:sz w:val="22"/>
        </w:rPr>
      </w:pPr>
      <w:r w:rsidRPr="00567F29">
        <w:rPr>
          <w:rFonts w:ascii="Arial" w:hAnsi="Arial" w:cs="Arial"/>
          <w:sz w:val="22"/>
        </w:rPr>
        <w:t xml:space="preserve">National average electricity tariffs reflect the cost providing electricity, including the cost of electricity generation. Under the current scheme, Barbados electricity tariffs are calculated based on the non-fuel costs incurred by </w:t>
      </w:r>
      <w:r w:rsidR="00CB16FB" w:rsidRPr="00567F29">
        <w:rPr>
          <w:rFonts w:ascii="Arial" w:hAnsi="Arial" w:cs="Arial"/>
          <w:sz w:val="22"/>
        </w:rPr>
        <w:t>BL&amp;P</w:t>
      </w:r>
      <w:r w:rsidRPr="00567F29">
        <w:rPr>
          <w:rFonts w:ascii="Arial" w:hAnsi="Arial" w:cs="Arial"/>
          <w:sz w:val="22"/>
        </w:rPr>
        <w:t xml:space="preserve"> to provide electricity (including generation, transmission, distribution, and administrative expenses), a regulated rate of return on the </w:t>
      </w:r>
      <w:r w:rsidRPr="00567F29">
        <w:rPr>
          <w:rFonts w:ascii="Arial" w:hAnsi="Arial" w:cs="Arial"/>
          <w:sz w:val="22"/>
        </w:rPr>
        <w:lastRenderedPageBreak/>
        <w:t>company’s asset base, and a separate fuel charge that reflects the current costs to purchase fuels for electricity generation.  Electricity tariffs are differentiated across consumer classes, but at the national average level mu</w:t>
      </w:r>
      <w:r w:rsidR="00176B67" w:rsidRPr="00567F29">
        <w:rPr>
          <w:rFonts w:ascii="Arial" w:hAnsi="Arial" w:cs="Arial"/>
          <w:sz w:val="22"/>
        </w:rPr>
        <w:t>st</w:t>
      </w:r>
      <w:r w:rsidRPr="00567F29">
        <w:rPr>
          <w:rFonts w:ascii="Arial" w:hAnsi="Arial" w:cs="Arial"/>
          <w:sz w:val="22"/>
        </w:rPr>
        <w:t xml:space="preserve"> reflect the total cost to provide electricity service.</w:t>
      </w:r>
    </w:p>
    <w:p w:rsidR="00AC54C9" w:rsidRPr="00567F29" w:rsidRDefault="00AC54C9" w:rsidP="005F7D46">
      <w:pPr>
        <w:jc w:val="both"/>
        <w:rPr>
          <w:rFonts w:ascii="Arial" w:hAnsi="Arial" w:cs="Arial"/>
          <w:sz w:val="22"/>
        </w:rPr>
      </w:pPr>
      <w:r w:rsidRPr="00567F29">
        <w:rPr>
          <w:rFonts w:ascii="Arial" w:hAnsi="Arial" w:cs="Arial"/>
          <w:sz w:val="22"/>
        </w:rPr>
        <w:t xml:space="preserve">Evaluating the reduction in average national tariffs captures the economic impacts of switching from HFO to lower cost NG. This impact indicator is also easy to measure and compare across multiple years, and is gathered and maintained by </w:t>
      </w:r>
      <w:r w:rsidR="00CB16FB" w:rsidRPr="00567F29">
        <w:rPr>
          <w:rFonts w:ascii="Arial" w:hAnsi="Arial" w:cs="Arial"/>
          <w:sz w:val="22"/>
        </w:rPr>
        <w:t>BL&amp;P</w:t>
      </w:r>
      <w:r w:rsidRPr="00567F29">
        <w:rPr>
          <w:rFonts w:ascii="Arial" w:hAnsi="Arial" w:cs="Arial"/>
          <w:sz w:val="22"/>
        </w:rPr>
        <w:t xml:space="preserve">, a separate private company with no direct involvement in the Project implementation. </w:t>
      </w:r>
    </w:p>
    <w:p w:rsidR="009B1279" w:rsidRPr="00567F29" w:rsidRDefault="009B1279" w:rsidP="005F7D46">
      <w:pPr>
        <w:jc w:val="both"/>
        <w:rPr>
          <w:rFonts w:ascii="Arial" w:hAnsi="Arial" w:cs="Arial"/>
          <w:sz w:val="22"/>
        </w:rPr>
      </w:pPr>
      <w:r w:rsidRPr="00567F29">
        <w:rPr>
          <w:rFonts w:ascii="Arial" w:hAnsi="Arial" w:cs="Arial"/>
          <w:sz w:val="22"/>
        </w:rPr>
        <w:t xml:space="preserve">Average national electricity tariffs are calculated by dividing </w:t>
      </w:r>
      <w:r w:rsidR="00CB16FB" w:rsidRPr="00567F29">
        <w:rPr>
          <w:rFonts w:ascii="Arial" w:hAnsi="Arial" w:cs="Arial"/>
          <w:sz w:val="22"/>
        </w:rPr>
        <w:t>BL&amp;P</w:t>
      </w:r>
      <w:r w:rsidRPr="00567F29">
        <w:rPr>
          <w:rFonts w:ascii="Arial" w:hAnsi="Arial" w:cs="Arial"/>
          <w:sz w:val="22"/>
        </w:rPr>
        <w:t xml:space="preserve">’s total income from electricity sales (in US$) by the total volume of electricity that it sold (in kWh). This country-wide total provides the annual average tariff level across all customer classes and tariff schedules and across any monthly variations in the fuel surcharge. The calculation relies on </w:t>
      </w:r>
      <w:r w:rsidR="00CB16FB" w:rsidRPr="00567F29">
        <w:rPr>
          <w:rFonts w:ascii="Arial" w:hAnsi="Arial" w:cs="Arial"/>
          <w:sz w:val="22"/>
        </w:rPr>
        <w:t>BL&amp;P</w:t>
      </w:r>
      <w:r w:rsidRPr="00567F29">
        <w:rPr>
          <w:rFonts w:ascii="Arial" w:hAnsi="Arial" w:cs="Arial"/>
          <w:sz w:val="22"/>
        </w:rPr>
        <w:t>s data on income and sales that is contained in its annual report to shareholders.</w:t>
      </w:r>
    </w:p>
    <w:p w:rsidR="000252F8" w:rsidRPr="00567F29" w:rsidRDefault="000252F8" w:rsidP="005F7D46">
      <w:pPr>
        <w:pStyle w:val="Heading2"/>
        <w:jc w:val="both"/>
        <w:rPr>
          <w:rFonts w:ascii="Arial" w:hAnsi="Arial" w:cs="Arial"/>
          <w:sz w:val="24"/>
        </w:rPr>
      </w:pPr>
      <w:bookmarkStart w:id="14" w:name="_Toc464207171"/>
      <w:r w:rsidRPr="00567F29">
        <w:rPr>
          <w:rFonts w:ascii="Arial" w:hAnsi="Arial" w:cs="Arial"/>
          <w:sz w:val="24"/>
        </w:rPr>
        <w:t>Key Outcome Indicators</w:t>
      </w:r>
      <w:bookmarkEnd w:id="14"/>
    </w:p>
    <w:p w:rsidR="000252F8" w:rsidRPr="00567F29" w:rsidRDefault="000252F8" w:rsidP="005F7D46">
      <w:pPr>
        <w:jc w:val="both"/>
        <w:rPr>
          <w:rFonts w:ascii="Arial" w:hAnsi="Arial" w:cs="Arial"/>
          <w:sz w:val="22"/>
        </w:rPr>
      </w:pPr>
      <w:r w:rsidRPr="00567F29">
        <w:rPr>
          <w:rFonts w:ascii="Arial" w:hAnsi="Arial" w:cs="Arial"/>
          <w:sz w:val="22"/>
        </w:rPr>
        <w:t xml:space="preserve">This section describes the Project’s key </w:t>
      </w:r>
      <w:r w:rsidR="004736A5" w:rsidRPr="00567F29">
        <w:rPr>
          <w:rFonts w:ascii="Arial" w:hAnsi="Arial" w:cs="Arial"/>
          <w:sz w:val="22"/>
        </w:rPr>
        <w:t>outcome</w:t>
      </w:r>
      <w:r w:rsidRPr="00567F29">
        <w:rPr>
          <w:rFonts w:ascii="Arial" w:hAnsi="Arial" w:cs="Arial"/>
          <w:sz w:val="22"/>
        </w:rPr>
        <w:t xml:space="preserve"> indicators, including the related formulas, frequency of measurement, and data source. Table </w:t>
      </w:r>
      <w:r w:rsidR="00E02766">
        <w:rPr>
          <w:rFonts w:ascii="Arial" w:hAnsi="Arial" w:cs="Arial"/>
          <w:sz w:val="22"/>
        </w:rPr>
        <w:t>8</w:t>
      </w:r>
      <w:r w:rsidRPr="00567F29">
        <w:rPr>
          <w:rFonts w:ascii="Arial" w:hAnsi="Arial" w:cs="Arial"/>
          <w:sz w:val="22"/>
        </w:rPr>
        <w:t xml:space="preserve"> below shows the </w:t>
      </w:r>
      <w:r w:rsidR="004736A5" w:rsidRPr="00567F29">
        <w:rPr>
          <w:rFonts w:ascii="Arial" w:hAnsi="Arial" w:cs="Arial"/>
          <w:sz w:val="22"/>
        </w:rPr>
        <w:t>six outcome</w:t>
      </w:r>
      <w:r w:rsidRPr="00567F29">
        <w:rPr>
          <w:rFonts w:ascii="Arial" w:hAnsi="Arial" w:cs="Arial"/>
          <w:sz w:val="22"/>
        </w:rPr>
        <w:t xml:space="preserve"> indicators that were identified for the Project.</w:t>
      </w:r>
    </w:p>
    <w:p w:rsidR="008B325D" w:rsidRPr="00567F29" w:rsidRDefault="008B325D" w:rsidP="008B325D">
      <w:pPr>
        <w:pStyle w:val="Caption"/>
        <w:jc w:val="both"/>
        <w:rPr>
          <w:rFonts w:ascii="Arial" w:hAnsi="Arial" w:cs="Arial"/>
          <w:sz w:val="22"/>
        </w:rPr>
      </w:pPr>
      <w:r w:rsidRPr="00567F29">
        <w:rPr>
          <w:rFonts w:ascii="Arial" w:hAnsi="Arial" w:cs="Arial"/>
          <w:sz w:val="22"/>
        </w:rPr>
        <w:t xml:space="preserve">Table </w:t>
      </w:r>
      <w:r w:rsidR="00E02766">
        <w:rPr>
          <w:rFonts w:ascii="Arial" w:hAnsi="Arial" w:cs="Arial"/>
          <w:sz w:val="22"/>
        </w:rPr>
        <w:t>8</w:t>
      </w:r>
      <w:r w:rsidRPr="00567F29">
        <w:rPr>
          <w:rFonts w:ascii="Arial" w:hAnsi="Arial" w:cs="Arial"/>
          <w:sz w:val="22"/>
        </w:rPr>
        <w:t>: Project Result/Outcome Indicators</w:t>
      </w:r>
    </w:p>
    <w:tbl>
      <w:tblPr>
        <w:tblW w:w="5000" w:type="pct"/>
        <w:tblLook w:val="04A0" w:firstRow="1" w:lastRow="0" w:firstColumn="1" w:lastColumn="0" w:noHBand="0" w:noVBand="1"/>
      </w:tblPr>
      <w:tblGrid>
        <w:gridCol w:w="2792"/>
        <w:gridCol w:w="2015"/>
        <w:gridCol w:w="1793"/>
        <w:gridCol w:w="2976"/>
      </w:tblGrid>
      <w:tr w:rsidR="001178F8" w:rsidRPr="003F7AAF" w:rsidTr="004B6BEB">
        <w:trPr>
          <w:trHeight w:val="615"/>
          <w:tblHeader/>
        </w:trPr>
        <w:tc>
          <w:tcPr>
            <w:tcW w:w="1458" w:type="pct"/>
            <w:tcBorders>
              <w:top w:val="single" w:sz="4" w:space="0" w:color="auto"/>
              <w:left w:val="single" w:sz="4" w:space="0" w:color="auto"/>
              <w:bottom w:val="single" w:sz="4" w:space="0" w:color="auto"/>
              <w:right w:val="single" w:sz="4" w:space="0" w:color="auto"/>
            </w:tcBorders>
            <w:shd w:val="clear" w:color="000000" w:fill="262626"/>
            <w:vAlign w:val="center"/>
            <w:hideMark/>
          </w:tcPr>
          <w:p w:rsidR="001178F8" w:rsidRPr="003F7AAF" w:rsidRDefault="001178F8" w:rsidP="001178F8">
            <w:pPr>
              <w:spacing w:after="0" w:line="240" w:lineRule="auto"/>
              <w:jc w:val="center"/>
              <w:rPr>
                <w:rFonts w:ascii="Arial" w:eastAsia="Times New Roman" w:hAnsi="Arial" w:cs="Arial"/>
                <w:color w:val="FFFFFF"/>
                <w:sz w:val="18"/>
                <w:szCs w:val="20"/>
              </w:rPr>
            </w:pPr>
            <w:r w:rsidRPr="003F7AAF">
              <w:rPr>
                <w:rFonts w:ascii="Arial" w:eastAsia="Times New Roman" w:hAnsi="Arial" w:cs="Arial"/>
                <w:color w:val="FFFFFF"/>
                <w:sz w:val="18"/>
                <w:szCs w:val="20"/>
              </w:rPr>
              <w:t>Indicator</w:t>
            </w:r>
          </w:p>
        </w:tc>
        <w:tc>
          <w:tcPr>
            <w:tcW w:w="1052" w:type="pct"/>
            <w:tcBorders>
              <w:top w:val="single" w:sz="4" w:space="0" w:color="auto"/>
              <w:left w:val="nil"/>
              <w:bottom w:val="single" w:sz="4" w:space="0" w:color="auto"/>
              <w:right w:val="single" w:sz="4" w:space="0" w:color="auto"/>
            </w:tcBorders>
            <w:shd w:val="clear" w:color="000000" w:fill="262626"/>
            <w:vAlign w:val="center"/>
            <w:hideMark/>
          </w:tcPr>
          <w:p w:rsidR="001178F8" w:rsidRPr="003F7AAF" w:rsidRDefault="001178F8" w:rsidP="001178F8">
            <w:pPr>
              <w:spacing w:after="0" w:line="240" w:lineRule="auto"/>
              <w:jc w:val="center"/>
              <w:rPr>
                <w:rFonts w:ascii="Arial" w:eastAsia="Times New Roman" w:hAnsi="Arial" w:cs="Arial"/>
                <w:color w:val="FFFFFF"/>
                <w:sz w:val="18"/>
                <w:szCs w:val="20"/>
              </w:rPr>
            </w:pPr>
            <w:r w:rsidRPr="003F7AAF">
              <w:rPr>
                <w:rFonts w:ascii="Arial" w:eastAsia="Times New Roman" w:hAnsi="Arial" w:cs="Arial"/>
                <w:color w:val="FFFFFF"/>
                <w:sz w:val="18"/>
                <w:szCs w:val="20"/>
              </w:rPr>
              <w:t>Formula</w:t>
            </w:r>
          </w:p>
        </w:tc>
        <w:tc>
          <w:tcPr>
            <w:tcW w:w="936" w:type="pct"/>
            <w:tcBorders>
              <w:top w:val="single" w:sz="4" w:space="0" w:color="auto"/>
              <w:left w:val="nil"/>
              <w:bottom w:val="single" w:sz="4" w:space="0" w:color="auto"/>
              <w:right w:val="single" w:sz="4" w:space="0" w:color="auto"/>
            </w:tcBorders>
            <w:shd w:val="clear" w:color="000000" w:fill="262626"/>
            <w:vAlign w:val="center"/>
            <w:hideMark/>
          </w:tcPr>
          <w:p w:rsidR="001178F8" w:rsidRPr="003F7AAF" w:rsidRDefault="001178F8" w:rsidP="001178F8">
            <w:pPr>
              <w:spacing w:after="0" w:line="240" w:lineRule="auto"/>
              <w:jc w:val="center"/>
              <w:rPr>
                <w:rFonts w:ascii="Arial" w:eastAsia="Times New Roman" w:hAnsi="Arial" w:cs="Arial"/>
                <w:color w:val="FFFFFF"/>
                <w:sz w:val="18"/>
                <w:szCs w:val="20"/>
              </w:rPr>
            </w:pPr>
            <w:r w:rsidRPr="003F7AAF">
              <w:rPr>
                <w:rFonts w:ascii="Arial" w:eastAsia="Times New Roman" w:hAnsi="Arial" w:cs="Arial"/>
                <w:color w:val="FFFFFF"/>
                <w:sz w:val="18"/>
                <w:szCs w:val="20"/>
              </w:rPr>
              <w:t>Frequency of Measurement</w:t>
            </w:r>
          </w:p>
        </w:tc>
        <w:tc>
          <w:tcPr>
            <w:tcW w:w="1554" w:type="pct"/>
            <w:tcBorders>
              <w:top w:val="single" w:sz="4" w:space="0" w:color="auto"/>
              <w:left w:val="nil"/>
              <w:bottom w:val="single" w:sz="4" w:space="0" w:color="auto"/>
              <w:right w:val="single" w:sz="4" w:space="0" w:color="auto"/>
            </w:tcBorders>
            <w:shd w:val="clear" w:color="000000" w:fill="262626"/>
            <w:vAlign w:val="center"/>
            <w:hideMark/>
          </w:tcPr>
          <w:p w:rsidR="001178F8" w:rsidRPr="003F7AAF" w:rsidRDefault="001178F8" w:rsidP="001178F8">
            <w:pPr>
              <w:spacing w:after="0" w:line="240" w:lineRule="auto"/>
              <w:jc w:val="center"/>
              <w:rPr>
                <w:rFonts w:ascii="Arial" w:eastAsia="Times New Roman" w:hAnsi="Arial" w:cs="Arial"/>
                <w:color w:val="FFFFFF"/>
                <w:sz w:val="18"/>
                <w:szCs w:val="20"/>
              </w:rPr>
            </w:pPr>
            <w:r w:rsidRPr="003F7AAF">
              <w:rPr>
                <w:rFonts w:ascii="Arial" w:eastAsia="Times New Roman" w:hAnsi="Arial" w:cs="Arial"/>
                <w:color w:val="FFFFFF"/>
                <w:sz w:val="18"/>
                <w:szCs w:val="20"/>
              </w:rPr>
              <w:t>Source of Verification</w:t>
            </w:r>
          </w:p>
        </w:tc>
      </w:tr>
      <w:tr w:rsidR="001178F8" w:rsidRPr="003F7AAF" w:rsidTr="004B6BEB">
        <w:trPr>
          <w:trHeight w:val="255"/>
          <w:tblHeader/>
        </w:trPr>
        <w:tc>
          <w:tcPr>
            <w:tcW w:w="5000" w:type="pct"/>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1178F8" w:rsidRPr="003F7AAF" w:rsidRDefault="001178F8" w:rsidP="001178F8">
            <w:pPr>
              <w:spacing w:after="0" w:line="240" w:lineRule="auto"/>
              <w:jc w:val="center"/>
              <w:rPr>
                <w:rFonts w:ascii="Arial" w:eastAsia="Times New Roman" w:hAnsi="Arial" w:cs="Arial"/>
                <w:b/>
                <w:bCs/>
                <w:color w:val="auto"/>
                <w:sz w:val="18"/>
                <w:szCs w:val="20"/>
              </w:rPr>
            </w:pPr>
            <w:r w:rsidRPr="003F7AAF">
              <w:rPr>
                <w:rFonts w:ascii="Arial" w:eastAsia="Times New Roman" w:hAnsi="Arial" w:cs="Arial"/>
                <w:b/>
                <w:bCs/>
                <w:color w:val="auto"/>
                <w:sz w:val="18"/>
                <w:szCs w:val="20"/>
              </w:rPr>
              <w:t>Results Indicators</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rsidR="001178F8" w:rsidRPr="003F7AAF" w:rsidRDefault="001178F8" w:rsidP="001178F8">
            <w:pPr>
              <w:spacing w:after="0" w:line="240" w:lineRule="auto"/>
              <w:jc w:val="center"/>
              <w:rPr>
                <w:rFonts w:ascii="Arial" w:eastAsia="Times New Roman" w:hAnsi="Arial" w:cs="Arial"/>
                <w:color w:val="FFFFFF"/>
                <w:sz w:val="18"/>
                <w:szCs w:val="20"/>
              </w:rPr>
            </w:pPr>
            <w:r w:rsidRPr="003F7AAF">
              <w:rPr>
                <w:rFonts w:ascii="Arial" w:eastAsia="Times New Roman" w:hAnsi="Arial" w:cs="Arial"/>
                <w:color w:val="FFFFFF"/>
                <w:sz w:val="18"/>
                <w:szCs w:val="20"/>
              </w:rPr>
              <w:t>Component 1: Natural Gas Infrastructure</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rsidR="001178F8" w:rsidRPr="003F7AAF" w:rsidRDefault="001178F8" w:rsidP="001178F8">
            <w:pPr>
              <w:spacing w:after="0" w:line="240" w:lineRule="auto"/>
              <w:rPr>
                <w:rFonts w:ascii="Arial" w:eastAsia="Times New Roman" w:hAnsi="Arial" w:cs="Arial"/>
                <w:b/>
                <w:bCs/>
                <w:color w:val="auto"/>
                <w:sz w:val="18"/>
                <w:szCs w:val="20"/>
              </w:rPr>
            </w:pPr>
            <w:r w:rsidRPr="003F7AAF">
              <w:rPr>
                <w:rFonts w:ascii="Arial" w:eastAsia="Times New Roman" w:hAnsi="Arial" w:cs="Arial"/>
                <w:b/>
                <w:bCs/>
                <w:color w:val="auto"/>
                <w:sz w:val="18"/>
                <w:szCs w:val="20"/>
              </w:rPr>
              <w:t xml:space="preserve">Expected Result 1: Ensure NG service continuity </w:t>
            </w:r>
          </w:p>
        </w:tc>
      </w:tr>
      <w:tr w:rsidR="001178F8" w:rsidRPr="003F7AAF" w:rsidTr="004B6BEB">
        <w:trPr>
          <w:trHeight w:val="765"/>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rPr>
                <w:rFonts w:ascii="Arial" w:eastAsia="Times New Roman" w:hAnsi="Arial" w:cs="Arial"/>
                <w:color w:val="262626"/>
                <w:sz w:val="18"/>
                <w:szCs w:val="20"/>
              </w:rPr>
            </w:pPr>
            <w:r w:rsidRPr="003F7AAF">
              <w:rPr>
                <w:rFonts w:ascii="Arial" w:eastAsia="Times New Roman" w:hAnsi="Arial" w:cs="Arial"/>
                <w:color w:val="262626"/>
                <w:sz w:val="18"/>
                <w:szCs w:val="20"/>
              </w:rPr>
              <w:t>Annual NG sales by NPC to residential, commercial and industrial clients</w:t>
            </w:r>
          </w:p>
        </w:tc>
        <w:tc>
          <w:tcPr>
            <w:tcW w:w="1052"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Million cubic feet (</w:t>
            </w:r>
            <w:proofErr w:type="spellStart"/>
            <w:r w:rsidRPr="003F7AAF">
              <w:rPr>
                <w:rFonts w:ascii="Arial" w:eastAsia="Times New Roman" w:hAnsi="Arial" w:cs="Arial"/>
                <w:color w:val="262626"/>
                <w:sz w:val="18"/>
                <w:szCs w:val="20"/>
              </w:rPr>
              <w:t>mmcf</w:t>
            </w:r>
            <w:proofErr w:type="spellEnd"/>
            <w:r w:rsidRPr="003F7AAF">
              <w:rPr>
                <w:rFonts w:ascii="Arial" w:eastAsia="Times New Roman" w:hAnsi="Arial" w:cs="Arial"/>
                <w:color w:val="262626"/>
                <w:sz w:val="18"/>
                <w:szCs w:val="20"/>
              </w:rPr>
              <w:t>)</w:t>
            </w:r>
          </w:p>
        </w:tc>
        <w:tc>
          <w:tcPr>
            <w:tcW w:w="936"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Semi-annual reports from NPC/BNOCL</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rsidR="001178F8" w:rsidRPr="003F7AAF" w:rsidRDefault="001178F8" w:rsidP="001178F8">
            <w:pPr>
              <w:spacing w:after="0" w:line="240" w:lineRule="auto"/>
              <w:rPr>
                <w:rFonts w:ascii="Arial" w:eastAsia="Times New Roman" w:hAnsi="Arial" w:cs="Arial"/>
                <w:b/>
                <w:bCs/>
                <w:color w:val="auto"/>
                <w:sz w:val="18"/>
                <w:szCs w:val="20"/>
              </w:rPr>
            </w:pPr>
            <w:r w:rsidRPr="003F7AAF">
              <w:rPr>
                <w:rFonts w:ascii="Arial" w:eastAsia="Times New Roman" w:hAnsi="Arial" w:cs="Arial"/>
                <w:b/>
                <w:bCs/>
                <w:color w:val="auto"/>
                <w:sz w:val="18"/>
                <w:szCs w:val="20"/>
              </w:rPr>
              <w:t>Expected Results 2: Increase the number of LNG suppliers to Barbados to enhance energy security</w:t>
            </w:r>
          </w:p>
        </w:tc>
      </w:tr>
      <w:tr w:rsidR="001178F8" w:rsidRPr="003F7AAF" w:rsidTr="004B6BEB">
        <w:trPr>
          <w:trHeight w:val="69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rPr>
                <w:rFonts w:ascii="Arial" w:eastAsia="Times New Roman" w:hAnsi="Arial" w:cs="Arial"/>
                <w:color w:val="262626"/>
                <w:sz w:val="18"/>
                <w:szCs w:val="20"/>
              </w:rPr>
            </w:pPr>
            <w:r w:rsidRPr="003F7AAF">
              <w:rPr>
                <w:rFonts w:ascii="Arial" w:eastAsia="Times New Roman" w:hAnsi="Arial" w:cs="Arial"/>
                <w:color w:val="262626"/>
                <w:sz w:val="18"/>
                <w:szCs w:val="20"/>
              </w:rPr>
              <w:t>Number of international/regional LNG suppliers to Barbados</w:t>
            </w:r>
          </w:p>
        </w:tc>
        <w:tc>
          <w:tcPr>
            <w:tcW w:w="1052"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 of LNG suppliers</w:t>
            </w:r>
          </w:p>
        </w:tc>
        <w:tc>
          <w:tcPr>
            <w:tcW w:w="936"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Semi-annual reports from NPC/BNOCL</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rsidR="001178F8" w:rsidRPr="003F7AAF" w:rsidRDefault="001178F8" w:rsidP="001178F8">
            <w:pPr>
              <w:spacing w:after="0" w:line="240" w:lineRule="auto"/>
              <w:jc w:val="center"/>
              <w:rPr>
                <w:rFonts w:ascii="Arial" w:eastAsia="Times New Roman" w:hAnsi="Arial" w:cs="Arial"/>
                <w:color w:val="FFFFFF"/>
                <w:sz w:val="18"/>
                <w:szCs w:val="20"/>
              </w:rPr>
            </w:pPr>
            <w:r w:rsidRPr="003F7AAF">
              <w:rPr>
                <w:rFonts w:ascii="Arial" w:eastAsia="Times New Roman" w:hAnsi="Arial" w:cs="Arial"/>
                <w:color w:val="FFFFFF"/>
                <w:sz w:val="18"/>
                <w:szCs w:val="20"/>
              </w:rPr>
              <w:t>Component 2: Smart Energy Solutions</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rsidR="001178F8" w:rsidRPr="003F7AAF" w:rsidRDefault="001178F8" w:rsidP="001178F8">
            <w:pPr>
              <w:spacing w:after="0" w:line="240" w:lineRule="auto"/>
              <w:rPr>
                <w:rFonts w:ascii="Arial" w:eastAsia="Times New Roman" w:hAnsi="Arial" w:cs="Arial"/>
                <w:b/>
                <w:bCs/>
                <w:color w:val="auto"/>
                <w:sz w:val="18"/>
                <w:szCs w:val="20"/>
              </w:rPr>
            </w:pPr>
            <w:r w:rsidRPr="003F7AAF">
              <w:rPr>
                <w:rFonts w:ascii="Arial" w:eastAsia="Times New Roman" w:hAnsi="Arial" w:cs="Arial"/>
                <w:b/>
                <w:bCs/>
                <w:color w:val="auto"/>
                <w:sz w:val="18"/>
                <w:szCs w:val="20"/>
              </w:rPr>
              <w:t>Expected Result 3: Reduce CO2 emission reductions from NPC/BNOCL operational and administrative facilities</w:t>
            </w:r>
          </w:p>
        </w:tc>
      </w:tr>
      <w:tr w:rsidR="001178F8" w:rsidRPr="003F7AAF" w:rsidTr="004B6BEB">
        <w:trPr>
          <w:trHeight w:val="153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Annual CO2 emission reductions from implementing smart energy solutions in NPC/BNOCL operational and administrative facilities</w:t>
            </w:r>
          </w:p>
        </w:tc>
        <w:tc>
          <w:tcPr>
            <w:tcW w:w="1052"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Tons CO2</w:t>
            </w:r>
            <w:r w:rsidRPr="003F7AAF">
              <w:rPr>
                <w:rFonts w:ascii="Arial" w:eastAsia="Times New Roman" w:hAnsi="Arial" w:cs="Arial"/>
                <w:color w:val="262626"/>
                <w:sz w:val="18"/>
                <w:szCs w:val="20"/>
              </w:rPr>
              <w:br/>
              <w:t>equivalent/year</w:t>
            </w:r>
          </w:p>
        </w:tc>
        <w:tc>
          <w:tcPr>
            <w:tcW w:w="936"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Semi-annual reports from NPC/BNOCL</w:t>
            </w:r>
            <w:r w:rsidRPr="003F7AAF">
              <w:rPr>
                <w:rFonts w:ascii="Arial" w:eastAsia="Times New Roman" w:hAnsi="Arial" w:cs="Arial"/>
                <w:color w:val="262626"/>
                <w:sz w:val="18"/>
                <w:szCs w:val="20"/>
              </w:rPr>
              <w:br/>
              <w:t>[CO2 eq. reduction = kWh generated with natural gas * CO2 emissions ratio1 (NG/HFO) (Tons CO2 eq. per year)]</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000000"/>
            </w:tcBorders>
            <w:shd w:val="clear" w:color="000000" w:fill="215967"/>
            <w:vAlign w:val="center"/>
            <w:hideMark/>
          </w:tcPr>
          <w:p w:rsidR="001178F8" w:rsidRPr="003F7AAF" w:rsidRDefault="001178F8" w:rsidP="001178F8">
            <w:pPr>
              <w:spacing w:after="0" w:line="240" w:lineRule="auto"/>
              <w:jc w:val="center"/>
              <w:rPr>
                <w:rFonts w:ascii="Arial" w:eastAsia="Times New Roman" w:hAnsi="Arial" w:cs="Arial"/>
                <w:color w:val="FFFFFF"/>
                <w:sz w:val="18"/>
                <w:szCs w:val="20"/>
              </w:rPr>
            </w:pPr>
            <w:r w:rsidRPr="003F7AAF">
              <w:rPr>
                <w:rFonts w:ascii="Arial" w:eastAsia="Times New Roman" w:hAnsi="Arial" w:cs="Arial"/>
                <w:color w:val="FFFFFF"/>
                <w:sz w:val="18"/>
                <w:szCs w:val="20"/>
              </w:rPr>
              <w:t>Component 3: Technical Advisory Services</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rsidR="001178F8" w:rsidRPr="003F7AAF" w:rsidRDefault="001178F8" w:rsidP="001178F8">
            <w:pPr>
              <w:spacing w:after="0" w:line="240" w:lineRule="auto"/>
              <w:rPr>
                <w:rFonts w:ascii="Arial" w:eastAsia="Times New Roman" w:hAnsi="Arial" w:cs="Arial"/>
                <w:b/>
                <w:bCs/>
                <w:color w:val="auto"/>
                <w:sz w:val="18"/>
                <w:szCs w:val="20"/>
              </w:rPr>
            </w:pPr>
            <w:r w:rsidRPr="003F7AAF">
              <w:rPr>
                <w:rFonts w:ascii="Arial" w:eastAsia="Times New Roman" w:hAnsi="Arial" w:cs="Arial"/>
                <w:b/>
                <w:bCs/>
                <w:color w:val="auto"/>
                <w:sz w:val="18"/>
                <w:szCs w:val="20"/>
              </w:rPr>
              <w:t>Expected Result 4: Increased operational efficiency in NG transmission and distribution</w:t>
            </w:r>
          </w:p>
        </w:tc>
      </w:tr>
      <w:tr w:rsidR="001178F8" w:rsidRPr="003F7AAF" w:rsidTr="004B6BEB">
        <w:trPr>
          <w:trHeight w:val="51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NPC’s Annual Operational cost per customer</w:t>
            </w:r>
          </w:p>
        </w:tc>
        <w:tc>
          <w:tcPr>
            <w:tcW w:w="1052"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US$/ customer</w:t>
            </w:r>
          </w:p>
        </w:tc>
        <w:tc>
          <w:tcPr>
            <w:tcW w:w="936"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Annually</w:t>
            </w:r>
          </w:p>
        </w:tc>
        <w:tc>
          <w:tcPr>
            <w:tcW w:w="1554"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 xml:space="preserve">Semi-annual reports from NPC/BNOCL </w:t>
            </w:r>
          </w:p>
        </w:tc>
      </w:tr>
      <w:tr w:rsidR="001178F8" w:rsidRPr="003F7AAF" w:rsidTr="004B6BEB">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rsidR="001178F8" w:rsidRPr="003F7AAF" w:rsidRDefault="001178F8" w:rsidP="001178F8">
            <w:pPr>
              <w:spacing w:after="0" w:line="240" w:lineRule="auto"/>
              <w:rPr>
                <w:rFonts w:ascii="Arial" w:eastAsia="Times New Roman" w:hAnsi="Arial" w:cs="Arial"/>
                <w:b/>
                <w:bCs/>
                <w:color w:val="auto"/>
                <w:sz w:val="18"/>
                <w:szCs w:val="20"/>
              </w:rPr>
            </w:pPr>
            <w:r w:rsidRPr="003F7AAF">
              <w:rPr>
                <w:rFonts w:ascii="Arial" w:eastAsia="Times New Roman" w:hAnsi="Arial" w:cs="Arial"/>
                <w:b/>
                <w:bCs/>
                <w:color w:val="auto"/>
                <w:sz w:val="18"/>
                <w:szCs w:val="20"/>
              </w:rPr>
              <w:t>Expected Result 5: Increase private sector participation to develop an LNG project</w:t>
            </w:r>
          </w:p>
        </w:tc>
      </w:tr>
      <w:tr w:rsidR="001178F8" w:rsidRPr="003F7AAF" w:rsidTr="004B6BEB">
        <w:trPr>
          <w:trHeight w:val="1020"/>
        </w:trPr>
        <w:tc>
          <w:tcPr>
            <w:tcW w:w="1458" w:type="pct"/>
            <w:tcBorders>
              <w:top w:val="nil"/>
              <w:left w:val="single" w:sz="4" w:space="0" w:color="auto"/>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lastRenderedPageBreak/>
              <w:t>Number of private sector partners with a contract awarded to implement the VS G Plant under a PPP scheme</w:t>
            </w:r>
          </w:p>
        </w:tc>
        <w:tc>
          <w:tcPr>
            <w:tcW w:w="1052"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 of private sector partners</w:t>
            </w:r>
          </w:p>
        </w:tc>
        <w:tc>
          <w:tcPr>
            <w:tcW w:w="936"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End of project</w:t>
            </w:r>
          </w:p>
        </w:tc>
        <w:tc>
          <w:tcPr>
            <w:tcW w:w="1554" w:type="pct"/>
            <w:tcBorders>
              <w:top w:val="nil"/>
              <w:left w:val="nil"/>
              <w:bottom w:val="single" w:sz="4" w:space="0" w:color="auto"/>
              <w:right w:val="single" w:sz="4" w:space="0" w:color="auto"/>
            </w:tcBorders>
            <w:shd w:val="clear" w:color="auto" w:fill="auto"/>
            <w:vAlign w:val="center"/>
            <w:hideMark/>
          </w:tcPr>
          <w:p w:rsidR="001178F8" w:rsidRPr="003F7AAF" w:rsidRDefault="001178F8" w:rsidP="001178F8">
            <w:pPr>
              <w:spacing w:after="0" w:line="240" w:lineRule="auto"/>
              <w:jc w:val="center"/>
              <w:rPr>
                <w:rFonts w:ascii="Arial" w:eastAsia="Times New Roman" w:hAnsi="Arial" w:cs="Arial"/>
                <w:color w:val="262626"/>
                <w:sz w:val="18"/>
                <w:szCs w:val="20"/>
              </w:rPr>
            </w:pPr>
            <w:r w:rsidRPr="003F7AAF">
              <w:rPr>
                <w:rFonts w:ascii="Arial" w:eastAsia="Times New Roman" w:hAnsi="Arial" w:cs="Arial"/>
                <w:color w:val="262626"/>
                <w:sz w:val="18"/>
                <w:szCs w:val="20"/>
              </w:rPr>
              <w:t>Contract with winning proponent which will be attached to the Semi-annual reports from NPC/BNOCL.</w:t>
            </w:r>
          </w:p>
        </w:tc>
      </w:tr>
    </w:tbl>
    <w:p w:rsidR="004F1EAC" w:rsidRPr="00567F29" w:rsidRDefault="004F1EAC" w:rsidP="005F7D46">
      <w:pPr>
        <w:jc w:val="both"/>
        <w:rPr>
          <w:rFonts w:ascii="Arial" w:hAnsi="Arial" w:cs="Arial"/>
          <w:sz w:val="22"/>
        </w:rPr>
      </w:pPr>
    </w:p>
    <w:p w:rsidR="000252F8" w:rsidRPr="00567F29" w:rsidRDefault="0031657C" w:rsidP="00942DE4">
      <w:pPr>
        <w:pStyle w:val="Heading3"/>
      </w:pPr>
      <w:bookmarkStart w:id="15" w:name="_Toc464207172"/>
      <w:r w:rsidRPr="00567F29">
        <w:t>Outcome</w:t>
      </w:r>
      <w:r w:rsidR="000252F8" w:rsidRPr="00567F29">
        <w:t xml:space="preserve"> Indicator </w:t>
      </w:r>
      <w:r w:rsidRPr="00567F29">
        <w:t>Calculation</w:t>
      </w:r>
      <w:r w:rsidR="000252F8" w:rsidRPr="00567F29">
        <w:t xml:space="preserve"> Methodology</w:t>
      </w:r>
      <w:bookmarkEnd w:id="15"/>
    </w:p>
    <w:p w:rsidR="000252F8" w:rsidRPr="00567F29" w:rsidRDefault="004736A5" w:rsidP="005F7D46">
      <w:pPr>
        <w:jc w:val="both"/>
        <w:rPr>
          <w:rFonts w:ascii="Arial" w:hAnsi="Arial" w:cs="Arial"/>
          <w:sz w:val="22"/>
        </w:rPr>
      </w:pPr>
      <w:r w:rsidRPr="00567F29">
        <w:rPr>
          <w:rFonts w:ascii="Arial" w:hAnsi="Arial" w:cs="Arial"/>
          <w:sz w:val="22"/>
        </w:rPr>
        <w:t>The methodology used to calculate each outcome indicator is described below.</w:t>
      </w:r>
    </w:p>
    <w:p w:rsidR="006F565A" w:rsidRPr="00567F29" w:rsidRDefault="00354D6E" w:rsidP="005F7D46">
      <w:pPr>
        <w:jc w:val="both"/>
        <w:rPr>
          <w:rFonts w:ascii="Arial" w:hAnsi="Arial" w:cs="Arial"/>
          <w:sz w:val="22"/>
        </w:rPr>
      </w:pPr>
      <w:proofErr w:type="gramStart"/>
      <w:r w:rsidRPr="00567F29">
        <w:rPr>
          <w:rFonts w:ascii="Arial" w:hAnsi="Arial" w:cs="Arial"/>
          <w:b/>
          <w:sz w:val="22"/>
        </w:rPr>
        <w:t>A</w:t>
      </w:r>
      <w:r w:rsidR="006F565A" w:rsidRPr="00567F29">
        <w:rPr>
          <w:rFonts w:ascii="Arial" w:hAnsi="Arial" w:cs="Arial"/>
          <w:b/>
          <w:sz w:val="22"/>
        </w:rPr>
        <w:t>nnual NG sales by NPC to residential, commercial, and industrial customers.</w:t>
      </w:r>
      <w:proofErr w:type="gramEnd"/>
      <w:r w:rsidR="00526690" w:rsidRPr="00567F29">
        <w:rPr>
          <w:rFonts w:ascii="Arial" w:hAnsi="Arial" w:cs="Arial"/>
          <w:b/>
          <w:sz w:val="22"/>
        </w:rPr>
        <w:t xml:space="preserve"> </w:t>
      </w:r>
      <w:r w:rsidR="00526690" w:rsidRPr="00567F29">
        <w:rPr>
          <w:rFonts w:ascii="Arial" w:hAnsi="Arial" w:cs="Arial"/>
          <w:sz w:val="22"/>
        </w:rPr>
        <w:t xml:space="preserve"> </w:t>
      </w:r>
      <w:proofErr w:type="gramStart"/>
      <w:r w:rsidR="00F17D76" w:rsidRPr="00567F29">
        <w:rPr>
          <w:rFonts w:ascii="Arial" w:hAnsi="Arial" w:cs="Arial"/>
          <w:sz w:val="22"/>
        </w:rPr>
        <w:t>NG sales for each major customer and each customer class is</w:t>
      </w:r>
      <w:proofErr w:type="gramEnd"/>
      <w:r w:rsidR="00F17D76" w:rsidRPr="00567F29">
        <w:rPr>
          <w:rFonts w:ascii="Arial" w:hAnsi="Arial" w:cs="Arial"/>
          <w:sz w:val="22"/>
        </w:rPr>
        <w:t xml:space="preserve"> recorded by NPC through the normal course of managing its business. </w:t>
      </w:r>
    </w:p>
    <w:p w:rsidR="00354D6E" w:rsidRPr="00567F29" w:rsidRDefault="00354D6E" w:rsidP="005F7D46">
      <w:pPr>
        <w:jc w:val="both"/>
        <w:rPr>
          <w:rFonts w:ascii="Arial" w:hAnsi="Arial" w:cs="Arial"/>
          <w:sz w:val="22"/>
        </w:rPr>
      </w:pPr>
      <w:r w:rsidRPr="00567F29">
        <w:rPr>
          <w:rFonts w:ascii="Arial" w:hAnsi="Arial" w:cs="Arial"/>
          <w:b/>
          <w:sz w:val="22"/>
        </w:rPr>
        <w:t>N</w:t>
      </w:r>
      <w:r w:rsidR="00526690" w:rsidRPr="00567F29">
        <w:rPr>
          <w:rFonts w:ascii="Arial" w:hAnsi="Arial" w:cs="Arial"/>
          <w:b/>
          <w:sz w:val="22"/>
        </w:rPr>
        <w:t xml:space="preserve">umber of international or regional LNG suppliers to Barbados. </w:t>
      </w:r>
      <w:r w:rsidR="00F17D76" w:rsidRPr="00567F29">
        <w:rPr>
          <w:rFonts w:ascii="Arial" w:hAnsi="Arial" w:cs="Arial"/>
          <w:sz w:val="22"/>
        </w:rPr>
        <w:t xml:space="preserve">NPC records its LNG purchase agreements, including information on the LNG supplier, through the normal course of managing its business. </w:t>
      </w:r>
    </w:p>
    <w:p w:rsidR="00526690" w:rsidRPr="00567F29" w:rsidRDefault="00526690" w:rsidP="005F7D46">
      <w:pPr>
        <w:jc w:val="both"/>
        <w:rPr>
          <w:rFonts w:ascii="Arial" w:hAnsi="Arial" w:cs="Arial"/>
          <w:sz w:val="22"/>
        </w:rPr>
      </w:pPr>
      <w:proofErr w:type="gramStart"/>
      <w:r w:rsidRPr="00567F29">
        <w:rPr>
          <w:rFonts w:ascii="Arial" w:hAnsi="Arial" w:cs="Arial"/>
          <w:b/>
          <w:sz w:val="22"/>
        </w:rPr>
        <w:t>Annual CO2 emission reductions from implementing smart energy solutions for electricity generation</w:t>
      </w:r>
      <w:r w:rsidR="004F1EAC" w:rsidRPr="00567F29">
        <w:rPr>
          <w:rFonts w:ascii="Arial" w:hAnsi="Arial" w:cs="Arial"/>
          <w:b/>
          <w:sz w:val="22"/>
        </w:rPr>
        <w:t xml:space="preserve"> for own-consumption</w:t>
      </w:r>
      <w:r w:rsidRPr="00567F29">
        <w:rPr>
          <w:rFonts w:ascii="Arial" w:hAnsi="Arial" w:cs="Arial"/>
          <w:b/>
          <w:sz w:val="22"/>
        </w:rPr>
        <w:t>.</w:t>
      </w:r>
      <w:proofErr w:type="gramEnd"/>
      <w:r w:rsidRPr="00567F29">
        <w:rPr>
          <w:rFonts w:ascii="Arial" w:hAnsi="Arial" w:cs="Arial"/>
          <w:b/>
          <w:sz w:val="22"/>
        </w:rPr>
        <w:t xml:space="preserve"> </w:t>
      </w:r>
      <w:r w:rsidR="009C32B6" w:rsidRPr="00567F29">
        <w:rPr>
          <w:rFonts w:ascii="Arial" w:hAnsi="Arial" w:cs="Arial"/>
          <w:sz w:val="22"/>
        </w:rPr>
        <w:t xml:space="preserve"> The annual reduction in CO2 emissions is calculated as the amount of CO2 emissions that are avoided through RE and EE investments</w:t>
      </w:r>
      <w:r w:rsidRPr="00567F29">
        <w:rPr>
          <w:rFonts w:ascii="Arial" w:hAnsi="Arial" w:cs="Arial"/>
          <w:sz w:val="22"/>
        </w:rPr>
        <w:t>.</w:t>
      </w:r>
      <w:r w:rsidR="009C32B6" w:rsidRPr="00567F29">
        <w:rPr>
          <w:rFonts w:ascii="Arial" w:hAnsi="Arial" w:cs="Arial"/>
          <w:sz w:val="22"/>
        </w:rPr>
        <w:t xml:space="preserve"> For RE investments, the CO2 emissions reduction is calculated by multiplying the volume of electricity generated by the RE investments (wind turbine and solar panels) by efficiency of Barbados’ HFO generators (that is, the volume of fuel consumed per unit of electricity generated) and by the carbon content per unit of HFO. This calculation results the volume of CO2 that would have been emitted if the same amount of electricity had been generated with HFO instead of with RE technologies.</w:t>
      </w:r>
    </w:p>
    <w:p w:rsidR="009C32B6" w:rsidRPr="00567F29" w:rsidRDefault="00511D0E" w:rsidP="005F7D46">
      <w:pPr>
        <w:jc w:val="both"/>
        <w:rPr>
          <w:rFonts w:ascii="Arial" w:hAnsi="Arial" w:cs="Arial"/>
          <w:sz w:val="22"/>
        </w:rPr>
      </w:pPr>
      <w:r w:rsidRPr="00567F29">
        <w:rPr>
          <w:rFonts w:ascii="Arial" w:hAnsi="Arial" w:cs="Arial"/>
          <w:sz w:val="22"/>
        </w:rPr>
        <w:t xml:space="preserve">For EE investments, the reduction in CO2 emissions is calculated by first </w:t>
      </w:r>
      <w:r w:rsidR="00176B67" w:rsidRPr="00567F29">
        <w:rPr>
          <w:rFonts w:ascii="Arial" w:hAnsi="Arial" w:cs="Arial"/>
          <w:sz w:val="22"/>
        </w:rPr>
        <w:t>determinin</w:t>
      </w:r>
      <w:r w:rsidRPr="00567F29">
        <w:rPr>
          <w:rFonts w:ascii="Arial" w:hAnsi="Arial" w:cs="Arial"/>
          <w:sz w:val="22"/>
        </w:rPr>
        <w:t xml:space="preserve">g the amount of electricity consumption that was reduced as a result of the EE investment.  This reduction is calculated by subtracting the current annual electricity consumption for the relevant building, equipment, or process, from the annual electricity consumed by the same unit prior to the EE investment. This reduction (in </w:t>
      </w:r>
      <w:proofErr w:type="spellStart"/>
      <w:r w:rsidRPr="00567F29">
        <w:rPr>
          <w:rFonts w:ascii="Arial" w:hAnsi="Arial" w:cs="Arial"/>
          <w:sz w:val="22"/>
        </w:rPr>
        <w:t>MWh</w:t>
      </w:r>
      <w:proofErr w:type="spellEnd"/>
      <w:r w:rsidRPr="00567F29">
        <w:rPr>
          <w:rFonts w:ascii="Arial" w:hAnsi="Arial" w:cs="Arial"/>
          <w:sz w:val="22"/>
        </w:rPr>
        <w:t xml:space="preserve">) is then applied to the same methodology noted above </w:t>
      </w:r>
      <w:r w:rsidR="00176B67" w:rsidRPr="00567F29">
        <w:rPr>
          <w:rFonts w:ascii="Arial" w:hAnsi="Arial" w:cs="Arial"/>
          <w:sz w:val="22"/>
        </w:rPr>
        <w:t xml:space="preserve">for RE </w:t>
      </w:r>
      <w:r w:rsidRPr="00567F29">
        <w:rPr>
          <w:rFonts w:ascii="Arial" w:hAnsi="Arial" w:cs="Arial"/>
          <w:sz w:val="22"/>
        </w:rPr>
        <w:t xml:space="preserve">to calculate the volume of CO2 emissions that were avoided relative to a base case where the </w:t>
      </w:r>
      <w:r w:rsidR="00826E4A" w:rsidRPr="00567F29">
        <w:rPr>
          <w:rFonts w:ascii="Arial" w:hAnsi="Arial" w:cs="Arial"/>
          <w:sz w:val="22"/>
        </w:rPr>
        <w:t>same volume of el</w:t>
      </w:r>
      <w:r w:rsidRPr="00567F29">
        <w:rPr>
          <w:rFonts w:ascii="Arial" w:hAnsi="Arial" w:cs="Arial"/>
          <w:sz w:val="22"/>
        </w:rPr>
        <w:t>ectricity w</w:t>
      </w:r>
      <w:r w:rsidR="00826E4A" w:rsidRPr="00567F29">
        <w:rPr>
          <w:rFonts w:ascii="Arial" w:hAnsi="Arial" w:cs="Arial"/>
          <w:sz w:val="22"/>
        </w:rPr>
        <w:t xml:space="preserve">ould have been </w:t>
      </w:r>
      <w:r w:rsidRPr="00567F29">
        <w:rPr>
          <w:rFonts w:ascii="Arial" w:hAnsi="Arial" w:cs="Arial"/>
          <w:sz w:val="22"/>
        </w:rPr>
        <w:t>generated from HFO.</w:t>
      </w:r>
    </w:p>
    <w:p w:rsidR="00526690" w:rsidRPr="00567F29" w:rsidRDefault="00526690" w:rsidP="005F7D46">
      <w:pPr>
        <w:jc w:val="both"/>
        <w:rPr>
          <w:rFonts w:ascii="Arial" w:hAnsi="Arial" w:cs="Arial"/>
          <w:sz w:val="22"/>
        </w:rPr>
      </w:pPr>
      <w:proofErr w:type="gramStart"/>
      <w:r w:rsidRPr="00567F29">
        <w:rPr>
          <w:rFonts w:ascii="Arial" w:hAnsi="Arial" w:cs="Arial"/>
          <w:b/>
          <w:sz w:val="22"/>
        </w:rPr>
        <w:t>Average NG operational cost per customer.</w:t>
      </w:r>
      <w:proofErr w:type="gramEnd"/>
      <w:r w:rsidRPr="00567F29">
        <w:rPr>
          <w:rFonts w:ascii="Arial" w:hAnsi="Arial" w:cs="Arial"/>
          <w:b/>
          <w:sz w:val="22"/>
        </w:rPr>
        <w:t xml:space="preserve"> </w:t>
      </w:r>
      <w:r w:rsidR="00176B67" w:rsidRPr="00567F29">
        <w:rPr>
          <w:rFonts w:ascii="Arial" w:hAnsi="Arial" w:cs="Arial"/>
          <w:sz w:val="22"/>
        </w:rPr>
        <w:t>The average operational cost</w:t>
      </w:r>
      <w:r w:rsidR="00826E4A" w:rsidRPr="00567F29">
        <w:rPr>
          <w:rFonts w:ascii="Arial" w:hAnsi="Arial" w:cs="Arial"/>
          <w:sz w:val="22"/>
        </w:rPr>
        <w:t xml:space="preserve"> per NG customer is calculated from NPCs annual financial statements</w:t>
      </w:r>
      <w:r w:rsidR="00E02766">
        <w:rPr>
          <w:rFonts w:ascii="Arial" w:hAnsi="Arial" w:cs="Arial"/>
          <w:sz w:val="22"/>
        </w:rPr>
        <w:t xml:space="preserve"> taking into consideration only the operational costs associated to the activities of transmission and distribution of NG </w:t>
      </w:r>
      <w:r w:rsidR="00E02766" w:rsidRPr="00567F29">
        <w:rPr>
          <w:rFonts w:ascii="Arial" w:hAnsi="Arial" w:cs="Arial"/>
          <w:sz w:val="22"/>
        </w:rPr>
        <w:t>(not including the cost to purchase NG)</w:t>
      </w:r>
      <w:r w:rsidR="00826E4A" w:rsidRPr="00567F29">
        <w:rPr>
          <w:rFonts w:ascii="Arial" w:hAnsi="Arial" w:cs="Arial"/>
          <w:sz w:val="22"/>
        </w:rPr>
        <w:t xml:space="preserve">. NPC’s total operational </w:t>
      </w:r>
      <w:proofErr w:type="gramStart"/>
      <w:r w:rsidR="00826E4A" w:rsidRPr="00567F29">
        <w:rPr>
          <w:rFonts w:ascii="Arial" w:hAnsi="Arial" w:cs="Arial"/>
          <w:sz w:val="22"/>
        </w:rPr>
        <w:t>cost</w:t>
      </w:r>
      <w:r w:rsidR="00176B67" w:rsidRPr="00567F29">
        <w:rPr>
          <w:rFonts w:ascii="Arial" w:hAnsi="Arial" w:cs="Arial"/>
          <w:sz w:val="22"/>
        </w:rPr>
        <w:t>s</w:t>
      </w:r>
      <w:r w:rsidR="00826E4A" w:rsidRPr="00567F29">
        <w:rPr>
          <w:rFonts w:ascii="Arial" w:hAnsi="Arial" w:cs="Arial"/>
          <w:sz w:val="22"/>
        </w:rPr>
        <w:t xml:space="preserve">  </w:t>
      </w:r>
      <w:r w:rsidR="00176B67" w:rsidRPr="00567F29">
        <w:rPr>
          <w:rFonts w:ascii="Arial" w:hAnsi="Arial" w:cs="Arial"/>
          <w:sz w:val="22"/>
        </w:rPr>
        <w:t>are</w:t>
      </w:r>
      <w:proofErr w:type="gramEnd"/>
      <w:r w:rsidR="00826E4A" w:rsidRPr="00567F29">
        <w:rPr>
          <w:rFonts w:ascii="Arial" w:hAnsi="Arial" w:cs="Arial"/>
          <w:sz w:val="22"/>
        </w:rPr>
        <w:t xml:space="preserve"> divided by the total number of customers to obtain the average operational cost per customer. </w:t>
      </w:r>
      <w:r w:rsidR="004F1EAC" w:rsidRPr="00567F29">
        <w:rPr>
          <w:rFonts w:ascii="Arial" w:hAnsi="Arial" w:cs="Arial"/>
          <w:b/>
          <w:sz w:val="22"/>
        </w:rPr>
        <w:t>Bidding process completed to select a private sector partner for a PPP LNG project</w:t>
      </w:r>
      <w:r w:rsidRPr="00567F29">
        <w:rPr>
          <w:rFonts w:ascii="Arial" w:hAnsi="Arial" w:cs="Arial"/>
          <w:b/>
          <w:sz w:val="22"/>
        </w:rPr>
        <w:t xml:space="preserve">. </w:t>
      </w:r>
      <w:r w:rsidR="00826E4A" w:rsidRPr="00567F29">
        <w:rPr>
          <w:rFonts w:ascii="Arial" w:hAnsi="Arial" w:cs="Arial"/>
          <w:sz w:val="22"/>
        </w:rPr>
        <w:t xml:space="preserve">NPC will prepare a bidding process for a PPP to support the construction of a VS LNG terminal. NPC internal </w:t>
      </w:r>
      <w:r w:rsidR="00826E4A" w:rsidRPr="00567F29">
        <w:rPr>
          <w:rFonts w:ascii="Arial" w:hAnsi="Arial" w:cs="Arial"/>
          <w:sz w:val="22"/>
        </w:rPr>
        <w:lastRenderedPageBreak/>
        <w:t xml:space="preserve">documents and annual report will be used to verify the status and completion of the bidding process. </w:t>
      </w:r>
    </w:p>
    <w:p w:rsidR="000252F8" w:rsidRPr="00567F29" w:rsidRDefault="000252F8" w:rsidP="005F7D46">
      <w:pPr>
        <w:pStyle w:val="Heading2"/>
        <w:jc w:val="both"/>
        <w:rPr>
          <w:rFonts w:ascii="Arial" w:hAnsi="Arial" w:cs="Arial"/>
          <w:sz w:val="24"/>
        </w:rPr>
      </w:pPr>
      <w:bookmarkStart w:id="16" w:name="_Toc464207173"/>
      <w:r w:rsidRPr="00567F29">
        <w:rPr>
          <w:rFonts w:ascii="Arial" w:hAnsi="Arial" w:cs="Arial"/>
          <w:sz w:val="24"/>
        </w:rPr>
        <w:t>Mid-project Evaluation</w:t>
      </w:r>
      <w:bookmarkEnd w:id="16"/>
    </w:p>
    <w:p w:rsidR="00EC4C81" w:rsidRPr="00567F29" w:rsidRDefault="00EC4C81" w:rsidP="005F7D46">
      <w:pPr>
        <w:jc w:val="both"/>
        <w:rPr>
          <w:rFonts w:ascii="Arial" w:hAnsi="Arial" w:cs="Arial"/>
          <w:sz w:val="22"/>
        </w:rPr>
      </w:pPr>
      <w:r w:rsidRPr="00567F29">
        <w:rPr>
          <w:rFonts w:ascii="Arial" w:hAnsi="Arial" w:cs="Arial"/>
          <w:sz w:val="22"/>
        </w:rPr>
        <w:t>The mid-project evaluation will be initiated after the earliest of three years after the project initiation or once 50% of the Project resources have been disbursed. This mid-project evaluation will assess the level of completion of the project output indicators (see Table 1) in order to determine the project implementation status. This evaluation will be used to propose any changes in the project scope or process that may be required in order to reach the project’s targets.</w:t>
      </w:r>
    </w:p>
    <w:p w:rsidR="00474E65" w:rsidRPr="00567F29" w:rsidRDefault="0031657C" w:rsidP="005F7D46">
      <w:pPr>
        <w:jc w:val="both"/>
        <w:rPr>
          <w:rFonts w:ascii="Arial" w:hAnsi="Arial" w:cs="Arial"/>
          <w:sz w:val="22"/>
        </w:rPr>
      </w:pPr>
      <w:r w:rsidRPr="00567F29">
        <w:rPr>
          <w:rFonts w:ascii="Arial" w:hAnsi="Arial" w:cs="Arial"/>
          <w:sz w:val="22"/>
        </w:rPr>
        <w:t xml:space="preserve">The mid-project evaluation will use a before and after methodology to evaluate the </w:t>
      </w:r>
      <w:r w:rsidR="00EC4C81" w:rsidRPr="00567F29">
        <w:rPr>
          <w:rFonts w:ascii="Arial" w:hAnsi="Arial" w:cs="Arial"/>
          <w:sz w:val="22"/>
        </w:rPr>
        <w:t>annual results of the six outcome indicator</w:t>
      </w:r>
      <w:r w:rsidRPr="00567F29">
        <w:rPr>
          <w:rFonts w:ascii="Arial" w:hAnsi="Arial" w:cs="Arial"/>
          <w:sz w:val="22"/>
        </w:rPr>
        <w:t xml:space="preserve">s noted above. The before and after methodology is the most appropriate methodology to assess the change in the identified key outcome indicators after the investments that are funded by the Project are implemented. </w:t>
      </w:r>
    </w:p>
    <w:p w:rsidR="00474E65" w:rsidRPr="00567F29" w:rsidRDefault="00474E65" w:rsidP="005F7D46">
      <w:pPr>
        <w:jc w:val="both"/>
        <w:rPr>
          <w:rFonts w:ascii="Arial" w:hAnsi="Arial" w:cs="Arial"/>
          <w:sz w:val="22"/>
        </w:rPr>
      </w:pPr>
      <w:r w:rsidRPr="00567F29">
        <w:rPr>
          <w:rFonts w:ascii="Arial" w:hAnsi="Arial" w:cs="Arial"/>
          <w:sz w:val="22"/>
        </w:rPr>
        <w:t xml:space="preserve">This evaluation will also examine aspects of coordination and execution, and recommend any needed adjustments that may be required to improve progress toward the proposed targets and increase coordination and execution efficiency.  </w:t>
      </w:r>
    </w:p>
    <w:p w:rsidR="00EC4C81" w:rsidRPr="00567F29" w:rsidRDefault="00EC4C81" w:rsidP="005F7D46">
      <w:pPr>
        <w:jc w:val="both"/>
        <w:rPr>
          <w:rFonts w:ascii="Arial" w:hAnsi="Arial" w:cs="Arial"/>
          <w:sz w:val="22"/>
        </w:rPr>
      </w:pPr>
      <w:r w:rsidRPr="00567F29">
        <w:rPr>
          <w:rFonts w:ascii="Arial" w:hAnsi="Arial" w:cs="Arial"/>
          <w:sz w:val="22"/>
        </w:rPr>
        <w:t>This analysis will be based on the reports and data gathered through the project monitoring as noted above</w:t>
      </w:r>
      <w:r w:rsidR="00474E65" w:rsidRPr="00567F29">
        <w:rPr>
          <w:rFonts w:ascii="Arial" w:hAnsi="Arial" w:cs="Arial"/>
          <w:sz w:val="22"/>
        </w:rPr>
        <w:t>, in particular the semi-annual progress reports, the AOPs for each prior year, and the PP</w:t>
      </w:r>
      <w:r w:rsidRPr="00567F29">
        <w:rPr>
          <w:rFonts w:ascii="Arial" w:hAnsi="Arial" w:cs="Arial"/>
          <w:sz w:val="22"/>
        </w:rPr>
        <w:t xml:space="preserve">.  </w:t>
      </w:r>
    </w:p>
    <w:p w:rsidR="000252F8" w:rsidRPr="00567F29" w:rsidRDefault="000252F8" w:rsidP="005F7D46">
      <w:pPr>
        <w:pStyle w:val="Heading2"/>
        <w:jc w:val="both"/>
        <w:rPr>
          <w:rFonts w:ascii="Arial" w:hAnsi="Arial" w:cs="Arial"/>
          <w:sz w:val="24"/>
        </w:rPr>
      </w:pPr>
      <w:bookmarkStart w:id="17" w:name="_Toc464207174"/>
      <w:r w:rsidRPr="00567F29">
        <w:rPr>
          <w:rFonts w:ascii="Arial" w:hAnsi="Arial" w:cs="Arial"/>
          <w:sz w:val="24"/>
        </w:rPr>
        <w:t>Final Project Evaluation</w:t>
      </w:r>
      <w:bookmarkEnd w:id="17"/>
    </w:p>
    <w:p w:rsidR="00474E65" w:rsidRPr="00567F29" w:rsidRDefault="00474E65" w:rsidP="005F7D46">
      <w:pPr>
        <w:jc w:val="both"/>
        <w:rPr>
          <w:rFonts w:ascii="Arial" w:hAnsi="Arial" w:cs="Arial"/>
          <w:sz w:val="22"/>
        </w:rPr>
      </w:pPr>
      <w:r w:rsidRPr="00567F29">
        <w:rPr>
          <w:rFonts w:ascii="Arial" w:hAnsi="Arial" w:cs="Arial"/>
          <w:sz w:val="22"/>
        </w:rPr>
        <w:t xml:space="preserve">The final evaluation will be completed </w:t>
      </w:r>
      <w:r w:rsidR="00300315" w:rsidRPr="00567F29">
        <w:rPr>
          <w:rFonts w:ascii="Arial" w:hAnsi="Arial" w:cs="Arial"/>
          <w:sz w:val="22"/>
        </w:rPr>
        <w:t xml:space="preserve">by the </w:t>
      </w:r>
      <w:r w:rsidR="0040641B" w:rsidRPr="00567F29">
        <w:rPr>
          <w:rFonts w:ascii="Arial" w:hAnsi="Arial" w:cs="Arial"/>
          <w:sz w:val="22"/>
        </w:rPr>
        <w:t>PEU</w:t>
      </w:r>
      <w:r w:rsidR="00300315" w:rsidRPr="00567F29">
        <w:rPr>
          <w:rFonts w:ascii="Arial" w:hAnsi="Arial" w:cs="Arial"/>
          <w:sz w:val="22"/>
        </w:rPr>
        <w:t xml:space="preserve"> </w:t>
      </w:r>
      <w:r w:rsidRPr="00567F29">
        <w:rPr>
          <w:rFonts w:ascii="Arial" w:hAnsi="Arial" w:cs="Arial"/>
          <w:sz w:val="22"/>
        </w:rPr>
        <w:t>no later than 120 days after the final disbursement justification. The final evaluation include: (a) the degree of fulfillment of the targets specified in the Results Matrix; (b) an ex-post CBA; (c) an assessment of the performance of the EA; (d) factors affecting implementation; and (e) lessons learned and recommendations for the design of future operations. The Final Evaluation will allow the Bank to finalize the Project Completion report (PCR).</w:t>
      </w:r>
    </w:p>
    <w:p w:rsidR="00474E65" w:rsidRPr="00567F29" w:rsidRDefault="0031657C" w:rsidP="005F7D46">
      <w:pPr>
        <w:jc w:val="both"/>
        <w:rPr>
          <w:rFonts w:ascii="Arial" w:hAnsi="Arial" w:cs="Arial"/>
          <w:sz w:val="22"/>
        </w:rPr>
      </w:pPr>
      <w:r w:rsidRPr="00567F29">
        <w:rPr>
          <w:rFonts w:ascii="Arial" w:hAnsi="Arial" w:cs="Arial"/>
          <w:sz w:val="22"/>
        </w:rPr>
        <w:t xml:space="preserve">The final evaluation will evaluate the </w:t>
      </w:r>
      <w:r w:rsidR="00474E65" w:rsidRPr="00567F29">
        <w:rPr>
          <w:rFonts w:ascii="Arial" w:hAnsi="Arial" w:cs="Arial"/>
          <w:sz w:val="22"/>
        </w:rPr>
        <w:t>two impact indicators described in Section 3.3</w:t>
      </w:r>
      <w:r w:rsidR="00BB006A" w:rsidRPr="00567F29">
        <w:rPr>
          <w:rFonts w:ascii="Arial" w:hAnsi="Arial" w:cs="Arial"/>
          <w:sz w:val="22"/>
        </w:rPr>
        <w:t xml:space="preserve">, </w:t>
      </w:r>
      <w:r w:rsidR="00474E65" w:rsidRPr="00567F29">
        <w:rPr>
          <w:rFonts w:ascii="Arial" w:hAnsi="Arial" w:cs="Arial"/>
          <w:sz w:val="22"/>
        </w:rPr>
        <w:t>the six outcome indicators described in Section 3.4</w:t>
      </w:r>
      <w:r w:rsidR="00BB006A" w:rsidRPr="00567F29">
        <w:rPr>
          <w:rFonts w:ascii="Arial" w:hAnsi="Arial" w:cs="Arial"/>
          <w:sz w:val="22"/>
        </w:rPr>
        <w:t>, and the eight output indicators noted in Table 1</w:t>
      </w:r>
      <w:r w:rsidRPr="00567F29">
        <w:rPr>
          <w:rFonts w:ascii="Arial" w:hAnsi="Arial" w:cs="Arial"/>
          <w:sz w:val="22"/>
        </w:rPr>
        <w:t xml:space="preserve">. </w:t>
      </w:r>
      <w:r w:rsidR="00BB006A" w:rsidRPr="00567F29">
        <w:rPr>
          <w:rFonts w:ascii="Arial" w:hAnsi="Arial" w:cs="Arial"/>
          <w:sz w:val="22"/>
        </w:rPr>
        <w:t xml:space="preserve"> It will be based upon the reports and data gathered through the project monitoring as noted above, in particular the semi-annual progress reports, the AOPs for each prior year, and the PP.  </w:t>
      </w:r>
    </w:p>
    <w:p w:rsidR="00EC4C81" w:rsidRPr="00567F29" w:rsidRDefault="00EC4C81" w:rsidP="005F7D46">
      <w:pPr>
        <w:jc w:val="both"/>
        <w:rPr>
          <w:rFonts w:ascii="Arial" w:hAnsi="Arial" w:cs="Arial"/>
          <w:sz w:val="22"/>
        </w:rPr>
      </w:pPr>
      <w:r w:rsidRPr="00567F29">
        <w:rPr>
          <w:rFonts w:ascii="Arial" w:hAnsi="Arial" w:cs="Arial"/>
          <w:sz w:val="22"/>
        </w:rPr>
        <w:t xml:space="preserve">Performing an ex-poste </w:t>
      </w:r>
      <w:r w:rsidR="00BB006A" w:rsidRPr="00567F29">
        <w:rPr>
          <w:rFonts w:ascii="Arial" w:hAnsi="Arial" w:cs="Arial"/>
          <w:sz w:val="22"/>
        </w:rPr>
        <w:t>CBA</w:t>
      </w:r>
      <w:r w:rsidRPr="00567F29">
        <w:rPr>
          <w:rFonts w:ascii="Arial" w:hAnsi="Arial" w:cs="Arial"/>
          <w:sz w:val="22"/>
        </w:rPr>
        <w:t xml:space="preserve"> </w:t>
      </w:r>
      <w:r w:rsidR="00BB006A" w:rsidRPr="00567F29">
        <w:rPr>
          <w:rFonts w:ascii="Arial" w:hAnsi="Arial" w:cs="Arial"/>
          <w:sz w:val="22"/>
        </w:rPr>
        <w:t>will</w:t>
      </w:r>
      <w:r w:rsidRPr="00567F29">
        <w:rPr>
          <w:rFonts w:ascii="Arial" w:hAnsi="Arial" w:cs="Arial"/>
          <w:sz w:val="22"/>
        </w:rPr>
        <w:t xml:space="preserve"> determine the accuracy of the ex-ante </w:t>
      </w:r>
      <w:r w:rsidR="00BB006A" w:rsidRPr="00567F29">
        <w:rPr>
          <w:rFonts w:ascii="Arial" w:hAnsi="Arial" w:cs="Arial"/>
          <w:sz w:val="22"/>
        </w:rPr>
        <w:t>CBA</w:t>
      </w:r>
      <w:r w:rsidRPr="00567F29">
        <w:rPr>
          <w:rFonts w:ascii="Arial" w:hAnsi="Arial" w:cs="Arial"/>
          <w:sz w:val="22"/>
        </w:rPr>
        <w:t xml:space="preserve"> and the root cause of any differences between the two.  This comparison will identify specific factors in the project implementation that resulted in higher or lower costs and benefits than were anticipated, helping to improve the design and implementation of similar projects in the future.</w:t>
      </w:r>
    </w:p>
    <w:p w:rsidR="0031657C" w:rsidRPr="00567F29" w:rsidRDefault="0031657C" w:rsidP="005F7D46">
      <w:pPr>
        <w:jc w:val="both"/>
        <w:rPr>
          <w:rFonts w:ascii="Arial" w:hAnsi="Arial" w:cs="Arial"/>
          <w:sz w:val="22"/>
        </w:rPr>
      </w:pPr>
      <w:r w:rsidRPr="00567F29">
        <w:rPr>
          <w:rFonts w:ascii="Arial" w:hAnsi="Arial" w:cs="Arial"/>
          <w:sz w:val="22"/>
        </w:rPr>
        <w:t>The analysis will compare assumed and actual costs for procurement, operations and maintenance of new infrastructure, as well as key outcome indicators</w:t>
      </w:r>
      <w:r w:rsidR="00BB006A" w:rsidRPr="00567F29">
        <w:rPr>
          <w:rFonts w:ascii="Arial" w:hAnsi="Arial" w:cs="Arial"/>
          <w:sz w:val="22"/>
        </w:rPr>
        <w:t>,</w:t>
      </w:r>
      <w:r w:rsidRPr="00567F29">
        <w:rPr>
          <w:rFonts w:ascii="Arial" w:hAnsi="Arial" w:cs="Arial"/>
          <w:sz w:val="22"/>
        </w:rPr>
        <w:t xml:space="preserve"> such as the number of new customers and the volume of NG sold.</w:t>
      </w:r>
    </w:p>
    <w:p w:rsidR="00BB006A" w:rsidRPr="00567F29" w:rsidRDefault="00BB006A" w:rsidP="005F7D46">
      <w:pPr>
        <w:jc w:val="both"/>
        <w:rPr>
          <w:rFonts w:ascii="Arial" w:hAnsi="Arial" w:cs="Arial"/>
          <w:sz w:val="22"/>
        </w:rPr>
      </w:pPr>
      <w:r w:rsidRPr="00567F29">
        <w:rPr>
          <w:rFonts w:ascii="Arial" w:hAnsi="Arial" w:cs="Arial"/>
          <w:sz w:val="22"/>
        </w:rPr>
        <w:lastRenderedPageBreak/>
        <w:t>The ex-poste CBA will use the same methodology as the ex-ante CBA. It will be performed using three separate price inputs: (</w:t>
      </w:r>
      <w:proofErr w:type="spellStart"/>
      <w:r w:rsidRPr="00567F29">
        <w:rPr>
          <w:rFonts w:ascii="Arial" w:hAnsi="Arial" w:cs="Arial"/>
          <w:sz w:val="22"/>
        </w:rPr>
        <w:t>i</w:t>
      </w:r>
      <w:proofErr w:type="spellEnd"/>
      <w:r w:rsidRPr="00567F29">
        <w:rPr>
          <w:rFonts w:ascii="Arial" w:hAnsi="Arial" w:cs="Arial"/>
          <w:sz w:val="22"/>
        </w:rPr>
        <w:t>) the original assumed price for NG and HFO; (ii) the actual observed NG and HFO prices; and, (iii) the estimated shadow prices for NG and HFO. Applying all three price inputs will allow the analysis to distinguish between the impact on the cost-benefit results from changes in natural gas volumes or the timing of project implementation, from the changes in external factors such as commodity prices, or from any changes in government subsidies that may distort the actual observed price.</w:t>
      </w:r>
    </w:p>
    <w:p w:rsidR="00300315" w:rsidRDefault="00300315" w:rsidP="005F7D46">
      <w:pPr>
        <w:jc w:val="both"/>
        <w:rPr>
          <w:rFonts w:ascii="Arial" w:hAnsi="Arial" w:cs="Arial"/>
          <w:sz w:val="22"/>
        </w:rPr>
      </w:pPr>
      <w:r w:rsidRPr="00567F29">
        <w:rPr>
          <w:rFonts w:ascii="Arial" w:hAnsi="Arial" w:cs="Arial"/>
          <w:sz w:val="22"/>
        </w:rPr>
        <w:t xml:space="preserve">At the end of the Project, the IDB Barbados country office, with support from ENE/INE specialists, will prepare the PCR, using input from the Final Project Evaluation provided by the </w:t>
      </w:r>
      <w:r w:rsidR="0040641B" w:rsidRPr="00567F29">
        <w:rPr>
          <w:rFonts w:ascii="Arial" w:hAnsi="Arial" w:cs="Arial"/>
          <w:sz w:val="22"/>
        </w:rPr>
        <w:t>PEU</w:t>
      </w:r>
      <w:r w:rsidRPr="00567F29">
        <w:rPr>
          <w:rFonts w:ascii="Arial" w:hAnsi="Arial" w:cs="Arial"/>
          <w:sz w:val="22"/>
        </w:rPr>
        <w:t>.</w:t>
      </w:r>
    </w:p>
    <w:p w:rsidR="00942DE4" w:rsidRPr="00567F29" w:rsidRDefault="00942DE4" w:rsidP="00942DE4">
      <w:pPr>
        <w:pStyle w:val="Heading3"/>
      </w:pPr>
      <w:bookmarkStart w:id="18" w:name="_Toc464207175"/>
      <w:bookmarkStart w:id="19" w:name="_GoBack"/>
      <w:r w:rsidRPr="00567F29">
        <w:t>Ex-poste CBA methodology</w:t>
      </w:r>
      <w:bookmarkEnd w:id="18"/>
    </w:p>
    <w:p w:rsidR="001553D5" w:rsidRPr="00567F29" w:rsidRDefault="001553D5" w:rsidP="00567F29">
      <w:pPr>
        <w:ind w:left="720"/>
        <w:rPr>
          <w:rFonts w:ascii="Arial" w:hAnsi="Arial" w:cs="Arial"/>
          <w:sz w:val="22"/>
        </w:rPr>
      </w:pPr>
    </w:p>
    <w:p w:rsidR="001553D5" w:rsidRPr="00567F29" w:rsidRDefault="001553D5" w:rsidP="00567F29">
      <w:pPr>
        <w:rPr>
          <w:rFonts w:ascii="Arial" w:hAnsi="Arial" w:cs="Arial"/>
          <w:sz w:val="22"/>
        </w:rPr>
      </w:pPr>
      <w:r w:rsidRPr="00567F29">
        <w:rPr>
          <w:rFonts w:ascii="Arial" w:hAnsi="Arial" w:cs="Arial"/>
          <w:sz w:val="22"/>
        </w:rPr>
        <w:t xml:space="preserve">The ex-poste cost-benefit analysis (CBA) will mirror the methodology used in the ex-ante CBA in order to produce results that can be directly compared with the outcomes that were predicted in the ex-ante CBA. The ex-poste CBA will include four sub-projects that the loan operation will finance: expansion of the micro-LNG facility at Woodbourne, replacement of natural gas fired compressors with high efficiency electric compressors, installation of an 850 kW wind turbine, and installation of a 300 kW PV and smart energy system. The ex-poste CBA will also examine the very small (VS) LNG terminal if that project moves forward under subsequent loan operations. </w:t>
      </w:r>
    </w:p>
    <w:p w:rsidR="009D6BA4" w:rsidRPr="00567F29" w:rsidRDefault="001553D5" w:rsidP="00567F29">
      <w:pPr>
        <w:rPr>
          <w:rFonts w:ascii="Arial" w:hAnsi="Arial" w:cs="Arial"/>
          <w:sz w:val="22"/>
        </w:rPr>
      </w:pPr>
      <w:r w:rsidRPr="00567F29">
        <w:rPr>
          <w:rFonts w:ascii="Arial" w:eastAsia="MS Mincho" w:hAnsi="Arial" w:cs="Arial"/>
          <w:sz w:val="22"/>
          <w:lang w:eastAsia="ja-JP"/>
        </w:rPr>
        <w:t>The ex-poste CBA will calculate the economic N</w:t>
      </w:r>
      <w:r w:rsidRPr="00567F29">
        <w:rPr>
          <w:rFonts w:ascii="Arial" w:hAnsi="Arial" w:cs="Arial"/>
          <w:sz w:val="22"/>
        </w:rPr>
        <w:t xml:space="preserve">PV of each sub-project based on the present value of the sub-projects’ actual benefits and costs to date and the projected costs and benefits at the time of the ex-poste analysis. </w:t>
      </w:r>
      <w:r w:rsidR="009D6BA4" w:rsidRPr="00567F29">
        <w:rPr>
          <w:rFonts w:ascii="Arial" w:hAnsi="Arial" w:cs="Arial"/>
          <w:sz w:val="22"/>
        </w:rPr>
        <w:t xml:space="preserve">Historical data for the ex-poste CBA will come from the project reporting documents, including the semi-annual progress reports, the AOPs for each prior year, and the PP. </w:t>
      </w:r>
    </w:p>
    <w:p w:rsidR="001553D5" w:rsidRPr="00567F29" w:rsidRDefault="001553D5" w:rsidP="00567F29">
      <w:pPr>
        <w:rPr>
          <w:rFonts w:ascii="Arial" w:eastAsia="MS Mincho" w:hAnsi="Arial" w:cs="Arial"/>
          <w:sz w:val="22"/>
          <w:lang w:eastAsia="ja-JP"/>
        </w:rPr>
      </w:pPr>
      <w:r w:rsidRPr="00567F29">
        <w:rPr>
          <w:rFonts w:ascii="Arial" w:hAnsi="Arial" w:cs="Arial"/>
          <w:sz w:val="22"/>
        </w:rPr>
        <w:t>For example, the benefit of expanding the micro LNG facility will be calculated from the s</w:t>
      </w:r>
      <w:r w:rsidRPr="00567F29">
        <w:rPr>
          <w:rFonts w:ascii="Arial" w:eastAsia="MS Mincho" w:hAnsi="Arial" w:cs="Arial"/>
          <w:sz w:val="22"/>
          <w:lang w:eastAsia="ja-JP"/>
        </w:rPr>
        <w:t xml:space="preserve">avings in fuel expenditures and the monetary value of the reduction in greenhouse gas emissions that result from consuming natural gas instead of liquid fuels. The cost of expanding the micro LNG facility will be based on the actual economic costs of implementing the project, including the costs not financed by the IDB, and the actual historical and projected future costs of operating the expanded micro LNG facility. The difference between these two values for each year of the project period (both historical and projected) will then be calculated, and the present value of that difference will be calculated using a 12 percent discount rate. </w:t>
      </w:r>
    </w:p>
    <w:p w:rsidR="001553D5" w:rsidRPr="00567F29" w:rsidRDefault="001553D5" w:rsidP="00567F29">
      <w:pPr>
        <w:rPr>
          <w:rFonts w:ascii="Arial" w:hAnsi="Arial" w:cs="Arial"/>
          <w:sz w:val="22"/>
        </w:rPr>
      </w:pPr>
      <w:r w:rsidRPr="00567F29">
        <w:rPr>
          <w:rFonts w:ascii="Arial" w:hAnsi="Arial" w:cs="Arial"/>
          <w:sz w:val="22"/>
        </w:rPr>
        <w:t xml:space="preserve">The ex-poste CBA will compare the aggregate </w:t>
      </w:r>
      <w:r w:rsidR="009D6BA4" w:rsidRPr="00567F29">
        <w:rPr>
          <w:rFonts w:ascii="Arial" w:hAnsi="Arial" w:cs="Arial"/>
          <w:sz w:val="22"/>
        </w:rPr>
        <w:t xml:space="preserve">economic </w:t>
      </w:r>
      <w:r w:rsidRPr="00567F29">
        <w:rPr>
          <w:rFonts w:ascii="Arial" w:hAnsi="Arial" w:cs="Arial"/>
          <w:sz w:val="22"/>
        </w:rPr>
        <w:t xml:space="preserve">Net Present Value </w:t>
      </w:r>
      <w:r w:rsidR="009D6BA4" w:rsidRPr="00567F29">
        <w:rPr>
          <w:rFonts w:ascii="Arial" w:hAnsi="Arial" w:cs="Arial"/>
          <w:sz w:val="22"/>
        </w:rPr>
        <w:t>and economic</w:t>
      </w:r>
      <w:r w:rsidRPr="00567F29">
        <w:rPr>
          <w:rFonts w:ascii="Arial" w:hAnsi="Arial" w:cs="Arial"/>
          <w:sz w:val="22"/>
        </w:rPr>
        <w:t xml:space="preserve"> internal rate of return </w:t>
      </w:r>
      <w:r w:rsidR="009D6BA4" w:rsidRPr="00567F29">
        <w:rPr>
          <w:rFonts w:ascii="Arial" w:hAnsi="Arial" w:cs="Arial"/>
          <w:sz w:val="22"/>
        </w:rPr>
        <w:t xml:space="preserve">of the four sub-projects and compare them with the ex-ante results as well as </w:t>
      </w:r>
      <w:r w:rsidRPr="00567F29">
        <w:rPr>
          <w:rFonts w:ascii="Arial" w:hAnsi="Arial" w:cs="Arial"/>
          <w:sz w:val="22"/>
        </w:rPr>
        <w:t xml:space="preserve">a business-as-usual (BAU) scenario without the </w:t>
      </w:r>
      <w:r w:rsidR="009D6BA4" w:rsidRPr="00567F29">
        <w:rPr>
          <w:rFonts w:ascii="Arial" w:hAnsi="Arial" w:cs="Arial"/>
          <w:sz w:val="22"/>
        </w:rPr>
        <w:t>actual</w:t>
      </w:r>
      <w:r w:rsidRPr="00567F29">
        <w:rPr>
          <w:rFonts w:ascii="Arial" w:hAnsi="Arial" w:cs="Arial"/>
          <w:sz w:val="22"/>
        </w:rPr>
        <w:t xml:space="preserve"> investments. The benefits of the sub-projects</w:t>
      </w:r>
      <w:r w:rsidR="009D6BA4" w:rsidRPr="00567F29">
        <w:rPr>
          <w:rFonts w:ascii="Arial" w:hAnsi="Arial" w:cs="Arial"/>
          <w:sz w:val="22"/>
        </w:rPr>
        <w:t xml:space="preserve">, including estimated </w:t>
      </w:r>
      <w:r w:rsidRPr="00567F29">
        <w:rPr>
          <w:rFonts w:ascii="Arial" w:hAnsi="Arial" w:cs="Arial"/>
          <w:sz w:val="22"/>
        </w:rPr>
        <w:t xml:space="preserve">avoided economic losses from natural gas shortages, savings on liquid fuel expenditures, and the monetary value of avoided greenhouse gas emissions related to the displaced consumption of liquid fuels for electricity generation and commercial/industrial </w:t>
      </w:r>
      <w:r w:rsidRPr="00567F29">
        <w:rPr>
          <w:rFonts w:ascii="Arial" w:hAnsi="Arial" w:cs="Arial"/>
          <w:sz w:val="22"/>
        </w:rPr>
        <w:lastRenderedPageBreak/>
        <w:t>uses</w:t>
      </w:r>
      <w:r w:rsidR="009D6BA4" w:rsidRPr="00567F29">
        <w:rPr>
          <w:rFonts w:ascii="Arial" w:hAnsi="Arial" w:cs="Arial"/>
          <w:sz w:val="22"/>
        </w:rPr>
        <w:t>, will be compared with both the anticipated benefits as calculated in the ex-ante CBA and the actual benefits against the BAU scenario without the investments</w:t>
      </w:r>
      <w:r w:rsidRPr="00567F29">
        <w:rPr>
          <w:rFonts w:ascii="Arial" w:hAnsi="Arial" w:cs="Arial"/>
          <w:sz w:val="22"/>
        </w:rPr>
        <w:t xml:space="preserve">. </w:t>
      </w:r>
    </w:p>
    <w:p w:rsidR="001553D5" w:rsidRPr="00567F29" w:rsidRDefault="009D6BA4" w:rsidP="00567F29">
      <w:pPr>
        <w:rPr>
          <w:rFonts w:ascii="Arial" w:hAnsi="Arial" w:cs="Arial"/>
          <w:sz w:val="22"/>
        </w:rPr>
      </w:pPr>
      <w:r w:rsidRPr="00567F29">
        <w:rPr>
          <w:rFonts w:ascii="Arial" w:hAnsi="Arial" w:cs="Arial"/>
          <w:sz w:val="22"/>
        </w:rPr>
        <w:t xml:space="preserve">The ex-poste CBA will highlight differences in the actual investment program, including scale, timing, and cost; differences in external factors, such as natural gas and oil prices and Barbados’ energy demand growth; and, any challenges or lessons learned from the project implementation. This assessment will help to identify root causes of any variation in the results of the ex-poste CBA and the ex-ante CBA analysis. </w:t>
      </w:r>
    </w:p>
    <w:p w:rsidR="00BD376C" w:rsidRPr="00567F29" w:rsidRDefault="00BD376C" w:rsidP="005F7D46">
      <w:pPr>
        <w:pStyle w:val="Heading2"/>
        <w:jc w:val="both"/>
        <w:rPr>
          <w:rFonts w:ascii="Arial" w:hAnsi="Arial" w:cs="Arial"/>
          <w:sz w:val="24"/>
        </w:rPr>
      </w:pPr>
      <w:bookmarkStart w:id="20" w:name="_Toc464207176"/>
      <w:bookmarkEnd w:id="19"/>
      <w:r w:rsidRPr="00567F29">
        <w:rPr>
          <w:rFonts w:ascii="Arial" w:hAnsi="Arial" w:cs="Arial"/>
          <w:sz w:val="24"/>
        </w:rPr>
        <w:t>Evaluation Coordination, Work Plan and Budget</w:t>
      </w:r>
      <w:bookmarkEnd w:id="20"/>
    </w:p>
    <w:p w:rsidR="00300315" w:rsidRPr="00567F29" w:rsidRDefault="00176B67" w:rsidP="005F7D46">
      <w:pPr>
        <w:jc w:val="both"/>
        <w:rPr>
          <w:rFonts w:ascii="Arial" w:hAnsi="Arial" w:cs="Arial"/>
          <w:sz w:val="22"/>
        </w:rPr>
      </w:pPr>
      <w:r w:rsidRPr="00567F29">
        <w:rPr>
          <w:rFonts w:ascii="Arial" w:hAnsi="Arial" w:cs="Arial"/>
          <w:sz w:val="22"/>
        </w:rPr>
        <w:t xml:space="preserve">The </w:t>
      </w:r>
      <w:r w:rsidR="0040641B" w:rsidRPr="00567F29">
        <w:rPr>
          <w:rFonts w:ascii="Arial" w:hAnsi="Arial" w:cs="Arial"/>
          <w:sz w:val="22"/>
        </w:rPr>
        <w:t>PEU</w:t>
      </w:r>
      <w:r w:rsidRPr="00567F29">
        <w:rPr>
          <w:rFonts w:ascii="Arial" w:hAnsi="Arial" w:cs="Arial"/>
          <w:sz w:val="22"/>
        </w:rPr>
        <w:t xml:space="preserve"> will be responsible for coordinating</w:t>
      </w:r>
      <w:r w:rsidR="00300315" w:rsidRPr="00567F29">
        <w:rPr>
          <w:rFonts w:ascii="Arial" w:hAnsi="Arial" w:cs="Arial"/>
          <w:sz w:val="22"/>
        </w:rPr>
        <w:t xml:space="preserve"> and carry</w:t>
      </w:r>
      <w:r w:rsidRPr="00567F29">
        <w:rPr>
          <w:rFonts w:ascii="Arial" w:hAnsi="Arial" w:cs="Arial"/>
          <w:sz w:val="22"/>
        </w:rPr>
        <w:t>ing</w:t>
      </w:r>
      <w:r w:rsidR="00300315" w:rsidRPr="00567F29">
        <w:rPr>
          <w:rFonts w:ascii="Arial" w:hAnsi="Arial" w:cs="Arial"/>
          <w:sz w:val="22"/>
        </w:rPr>
        <w:t xml:space="preserve"> out the mid-project and final project evaluations, including: (</w:t>
      </w:r>
      <w:proofErr w:type="spellStart"/>
      <w:r w:rsidR="00300315" w:rsidRPr="00567F29">
        <w:rPr>
          <w:rFonts w:ascii="Arial" w:hAnsi="Arial" w:cs="Arial"/>
          <w:sz w:val="22"/>
        </w:rPr>
        <w:t>i</w:t>
      </w:r>
      <w:proofErr w:type="spellEnd"/>
      <w:r w:rsidR="00300315" w:rsidRPr="00567F29">
        <w:rPr>
          <w:rFonts w:ascii="Arial" w:hAnsi="Arial" w:cs="Arial"/>
          <w:sz w:val="22"/>
        </w:rPr>
        <w:t xml:space="preserve">) gathering the necessary data and prior reports; (ii) hiring an independent consultant to process and analyze the data and prepare the evaluations reports; and, (iii) overseeing the consultant’s work. </w:t>
      </w:r>
      <w:r w:rsidR="00AD5C5D" w:rsidRPr="00567F29">
        <w:rPr>
          <w:rFonts w:ascii="Arial" w:hAnsi="Arial" w:cs="Arial"/>
          <w:sz w:val="22"/>
        </w:rPr>
        <w:t>The consultant will rely upon information from the monitoring program and related reports</w:t>
      </w:r>
      <w:r w:rsidR="00300315" w:rsidRPr="00567F29">
        <w:rPr>
          <w:rFonts w:ascii="Arial" w:hAnsi="Arial" w:cs="Arial"/>
          <w:sz w:val="22"/>
        </w:rPr>
        <w:t xml:space="preserve">, and </w:t>
      </w:r>
      <w:r w:rsidR="00AD5C5D" w:rsidRPr="00567F29">
        <w:rPr>
          <w:rFonts w:ascii="Arial" w:hAnsi="Arial" w:cs="Arial"/>
          <w:sz w:val="22"/>
        </w:rPr>
        <w:t>will also require active cooperation and input from the EA</w:t>
      </w:r>
      <w:r w:rsidR="00300315" w:rsidRPr="00567F29">
        <w:rPr>
          <w:rFonts w:ascii="Arial" w:hAnsi="Arial" w:cs="Arial"/>
          <w:sz w:val="22"/>
        </w:rPr>
        <w:t>, BL&amp;P, and the IDB project team.</w:t>
      </w:r>
    </w:p>
    <w:p w:rsidR="00300315" w:rsidRPr="00567F29" w:rsidRDefault="00300315" w:rsidP="005F7D46">
      <w:pPr>
        <w:jc w:val="both"/>
        <w:rPr>
          <w:rFonts w:ascii="Arial" w:hAnsi="Arial" w:cs="Arial"/>
          <w:sz w:val="22"/>
        </w:rPr>
      </w:pPr>
      <w:r w:rsidRPr="00567F29">
        <w:rPr>
          <w:rFonts w:ascii="Arial" w:hAnsi="Arial" w:cs="Arial"/>
          <w:sz w:val="22"/>
        </w:rPr>
        <w:t xml:space="preserve">The IDB, through the Project Team Leaders, is responsible for coordinating and assuring that the mid-project and final evaluations comply with all technical and quality requirements and are completed on schedule.  The IDB team will achieve this through periodic meetings with the EA and the consultants responsible for conducting the evaluations in order to review progress of works and, if required, request progress reports or additional presentations of the results </w:t>
      </w:r>
    </w:p>
    <w:p w:rsidR="004B6BEB" w:rsidRDefault="00AD5C5D" w:rsidP="005F7D46">
      <w:pPr>
        <w:jc w:val="both"/>
        <w:rPr>
          <w:rFonts w:ascii="Arial" w:hAnsi="Arial" w:cs="Arial"/>
          <w:sz w:val="22"/>
        </w:rPr>
      </w:pPr>
      <w:r w:rsidRPr="00567F29">
        <w:rPr>
          <w:rFonts w:ascii="Arial" w:hAnsi="Arial" w:cs="Arial"/>
          <w:sz w:val="22"/>
        </w:rPr>
        <w:t>The mid-project project evaluation is estimated to cost US$30,000 while the more extensive final evaluation report is estimated to cost US45</w:t>
      </w:r>
      <w:proofErr w:type="gramStart"/>
      <w:r w:rsidRPr="00567F29">
        <w:rPr>
          <w:rFonts w:ascii="Arial" w:hAnsi="Arial" w:cs="Arial"/>
          <w:sz w:val="22"/>
        </w:rPr>
        <w:t>,000</w:t>
      </w:r>
      <w:proofErr w:type="gramEnd"/>
      <w:r w:rsidRPr="00567F29">
        <w:rPr>
          <w:rFonts w:ascii="Arial" w:hAnsi="Arial" w:cs="Arial"/>
          <w:sz w:val="22"/>
        </w:rPr>
        <w:t xml:space="preserve">. Both reports will be financed through </w:t>
      </w:r>
      <w:r w:rsidR="00E716C0" w:rsidRPr="00567F29">
        <w:rPr>
          <w:rFonts w:ascii="Arial" w:hAnsi="Arial" w:cs="Arial"/>
          <w:sz w:val="22"/>
        </w:rPr>
        <w:t xml:space="preserve">the proceeds of the loan. </w:t>
      </w:r>
      <w:r w:rsidR="00354D6E" w:rsidRPr="00567F29">
        <w:rPr>
          <w:rFonts w:ascii="Arial" w:hAnsi="Arial" w:cs="Arial"/>
          <w:sz w:val="22"/>
        </w:rPr>
        <w:t>T</w:t>
      </w:r>
      <w:r w:rsidR="00E02766">
        <w:rPr>
          <w:rFonts w:ascii="Arial" w:hAnsi="Arial" w:cs="Arial"/>
          <w:sz w:val="22"/>
        </w:rPr>
        <w:t xml:space="preserve">able 9 below shows the Evaluation work plan and budget. </w:t>
      </w:r>
    </w:p>
    <w:p w:rsidR="004B6BEB" w:rsidRDefault="004B6BEB">
      <w:pPr>
        <w:rPr>
          <w:rFonts w:ascii="Arial" w:hAnsi="Arial" w:cs="Arial"/>
          <w:sz w:val="22"/>
        </w:rPr>
      </w:pPr>
      <w:r>
        <w:rPr>
          <w:rFonts w:ascii="Arial" w:hAnsi="Arial" w:cs="Arial"/>
          <w:sz w:val="22"/>
        </w:rPr>
        <w:br w:type="page"/>
      </w:r>
    </w:p>
    <w:p w:rsidR="004B6BEB" w:rsidRDefault="004B6BEB" w:rsidP="003F7AAF">
      <w:pPr>
        <w:pStyle w:val="Caption"/>
        <w:jc w:val="both"/>
        <w:rPr>
          <w:rFonts w:ascii="Arial" w:hAnsi="Arial" w:cs="Arial"/>
          <w:sz w:val="22"/>
        </w:rPr>
        <w:sectPr w:rsidR="004B6BEB" w:rsidSect="004B6BEB">
          <w:pgSz w:w="12240" w:h="15840"/>
          <w:pgMar w:top="1440" w:right="1440" w:bottom="1440" w:left="1440" w:header="720" w:footer="720" w:gutter="0"/>
          <w:cols w:space="720"/>
          <w:docGrid w:linePitch="360"/>
        </w:sectPr>
      </w:pPr>
    </w:p>
    <w:p w:rsidR="003F7AAF" w:rsidRPr="00567F29" w:rsidRDefault="003F7AAF" w:rsidP="003F7AAF">
      <w:pPr>
        <w:pStyle w:val="Caption"/>
        <w:jc w:val="both"/>
        <w:rPr>
          <w:rFonts w:ascii="Arial" w:hAnsi="Arial" w:cs="Arial"/>
          <w:sz w:val="22"/>
        </w:rPr>
      </w:pPr>
      <w:r w:rsidRPr="00567F29">
        <w:rPr>
          <w:rFonts w:ascii="Arial" w:hAnsi="Arial" w:cs="Arial"/>
          <w:sz w:val="22"/>
        </w:rPr>
        <w:lastRenderedPageBreak/>
        <w:t xml:space="preserve">Table </w:t>
      </w:r>
      <w:r w:rsidR="00E02766">
        <w:rPr>
          <w:rFonts w:ascii="Arial" w:hAnsi="Arial" w:cs="Arial"/>
          <w:sz w:val="22"/>
        </w:rPr>
        <w:t>9</w:t>
      </w:r>
      <w:r>
        <w:rPr>
          <w:rFonts w:ascii="Arial" w:hAnsi="Arial" w:cs="Arial"/>
          <w:sz w:val="22"/>
        </w:rPr>
        <w:t>: Evaluation</w:t>
      </w:r>
      <w:r w:rsidRPr="00567F29">
        <w:rPr>
          <w:rFonts w:ascii="Arial" w:hAnsi="Arial" w:cs="Arial"/>
          <w:sz w:val="22"/>
        </w:rPr>
        <w:t xml:space="preserve"> Work Plan</w:t>
      </w:r>
    </w:p>
    <w:tbl>
      <w:tblPr>
        <w:tblW w:w="5016" w:type="pct"/>
        <w:tblLook w:val="04A0" w:firstRow="1" w:lastRow="0" w:firstColumn="1" w:lastColumn="0" w:noHBand="0" w:noVBand="1"/>
      </w:tblPr>
      <w:tblGrid>
        <w:gridCol w:w="1863"/>
        <w:gridCol w:w="285"/>
        <w:gridCol w:w="345"/>
        <w:gridCol w:w="401"/>
        <w:gridCol w:w="425"/>
        <w:gridCol w:w="287"/>
        <w:gridCol w:w="225"/>
        <w:gridCol w:w="103"/>
        <w:gridCol w:w="262"/>
        <w:gridCol w:w="121"/>
        <w:gridCol w:w="244"/>
        <w:gridCol w:w="161"/>
        <w:gridCol w:w="206"/>
        <w:gridCol w:w="66"/>
        <w:gridCol w:w="328"/>
        <w:gridCol w:w="368"/>
        <w:gridCol w:w="15"/>
        <w:gridCol w:w="345"/>
        <w:gridCol w:w="66"/>
        <w:gridCol w:w="273"/>
        <w:gridCol w:w="32"/>
        <w:gridCol w:w="296"/>
        <w:gridCol w:w="72"/>
        <w:gridCol w:w="312"/>
        <w:gridCol w:w="56"/>
        <w:gridCol w:w="362"/>
        <w:gridCol w:w="7"/>
        <w:gridCol w:w="267"/>
        <w:gridCol w:w="101"/>
        <w:gridCol w:w="227"/>
        <w:gridCol w:w="140"/>
        <w:gridCol w:w="243"/>
        <w:gridCol w:w="124"/>
        <w:gridCol w:w="296"/>
        <w:gridCol w:w="72"/>
        <w:gridCol w:w="201"/>
        <w:gridCol w:w="167"/>
        <w:gridCol w:w="161"/>
        <w:gridCol w:w="207"/>
        <w:gridCol w:w="177"/>
        <w:gridCol w:w="190"/>
        <w:gridCol w:w="270"/>
        <w:gridCol w:w="98"/>
        <w:gridCol w:w="368"/>
        <w:gridCol w:w="196"/>
        <w:gridCol w:w="169"/>
        <w:gridCol w:w="365"/>
        <w:gridCol w:w="140"/>
        <w:gridCol w:w="180"/>
        <w:gridCol w:w="304"/>
        <w:gridCol w:w="273"/>
        <w:gridCol w:w="756"/>
      </w:tblGrid>
      <w:tr w:rsidR="00C46CA5" w:rsidRPr="00E02766" w:rsidTr="00AA7C32">
        <w:trPr>
          <w:cantSplit/>
          <w:trHeight w:val="255"/>
          <w:tblHeader/>
        </w:trPr>
        <w:tc>
          <w:tcPr>
            <w:tcW w:w="5000" w:type="pct"/>
            <w:gridSpan w:val="52"/>
            <w:tcBorders>
              <w:top w:val="nil"/>
              <w:left w:val="nil"/>
              <w:bottom w:val="single" w:sz="4" w:space="0" w:color="auto"/>
              <w:right w:val="nil"/>
            </w:tcBorders>
            <w:shd w:val="clear" w:color="auto" w:fill="auto"/>
            <w:noWrap/>
            <w:vAlign w:val="bottom"/>
            <w:hideMark/>
          </w:tcPr>
          <w:p w:rsidR="00C46CA5" w:rsidRPr="00E02766" w:rsidRDefault="00C46CA5" w:rsidP="00BD50CD">
            <w:pPr>
              <w:spacing w:after="0" w:line="240" w:lineRule="auto"/>
              <w:jc w:val="center"/>
              <w:rPr>
                <w:rFonts w:ascii="Arial" w:eastAsia="Times New Roman" w:hAnsi="Arial" w:cs="Arial"/>
                <w:b/>
                <w:bCs/>
                <w:color w:val="auto"/>
                <w:sz w:val="20"/>
                <w:szCs w:val="20"/>
              </w:rPr>
            </w:pPr>
            <w:r w:rsidRPr="00E02766">
              <w:rPr>
                <w:rFonts w:ascii="Arial" w:eastAsia="Times New Roman" w:hAnsi="Arial" w:cs="Arial"/>
                <w:b/>
                <w:bCs/>
                <w:color w:val="auto"/>
                <w:sz w:val="20"/>
                <w:szCs w:val="20"/>
              </w:rPr>
              <w:t>BA-L1012 Evaluation Work Plan</w:t>
            </w:r>
          </w:p>
        </w:tc>
      </w:tr>
      <w:tr w:rsidR="00C46CA5" w:rsidRPr="00E02766" w:rsidTr="002C5C17">
        <w:trPr>
          <w:cantSplit/>
          <w:trHeight w:val="510"/>
          <w:tblHeader/>
        </w:trPr>
        <w:tc>
          <w:tcPr>
            <w:tcW w:w="705" w:type="pct"/>
            <w:tcBorders>
              <w:top w:val="nil"/>
              <w:left w:val="single" w:sz="4" w:space="0" w:color="auto"/>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b/>
                <w:bCs/>
                <w:color w:val="auto"/>
                <w:sz w:val="20"/>
                <w:szCs w:val="20"/>
              </w:rPr>
            </w:pPr>
            <w:r w:rsidRPr="00E02766">
              <w:rPr>
                <w:rFonts w:ascii="Arial" w:eastAsia="Times New Roman" w:hAnsi="Arial" w:cs="Arial"/>
                <w:b/>
                <w:bCs/>
                <w:color w:val="auto"/>
                <w:sz w:val="20"/>
                <w:szCs w:val="20"/>
              </w:rPr>
              <w:t>Monitoring and Evaluation Plan</w:t>
            </w:r>
          </w:p>
        </w:tc>
        <w:tc>
          <w:tcPr>
            <w:tcW w:w="551" w:type="pct"/>
            <w:gridSpan w:val="4"/>
            <w:tcBorders>
              <w:top w:val="single" w:sz="4" w:space="0" w:color="auto"/>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Year 1</w:t>
            </w:r>
          </w:p>
        </w:tc>
        <w:tc>
          <w:tcPr>
            <w:tcW w:w="531" w:type="pct"/>
            <w:gridSpan w:val="7"/>
            <w:tcBorders>
              <w:top w:val="single" w:sz="4" w:space="0" w:color="auto"/>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Year 2</w:t>
            </w:r>
          </w:p>
        </w:tc>
        <w:tc>
          <w:tcPr>
            <w:tcW w:w="528" w:type="pct"/>
            <w:gridSpan w:val="7"/>
            <w:tcBorders>
              <w:top w:val="single" w:sz="4" w:space="0" w:color="auto"/>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Year 3</w:t>
            </w:r>
          </w:p>
        </w:tc>
        <w:tc>
          <w:tcPr>
            <w:tcW w:w="530" w:type="pct"/>
            <w:gridSpan w:val="7"/>
            <w:tcBorders>
              <w:top w:val="single" w:sz="4" w:space="0" w:color="auto"/>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Year 4</w:t>
            </w:r>
          </w:p>
        </w:tc>
        <w:tc>
          <w:tcPr>
            <w:tcW w:w="531" w:type="pct"/>
            <w:gridSpan w:val="8"/>
            <w:tcBorders>
              <w:top w:val="single" w:sz="4" w:space="0" w:color="auto"/>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Year 5</w:t>
            </w:r>
          </w:p>
        </w:tc>
        <w:tc>
          <w:tcPr>
            <w:tcW w:w="546" w:type="pct"/>
            <w:gridSpan w:val="8"/>
            <w:tcBorders>
              <w:top w:val="single" w:sz="4" w:space="0" w:color="auto"/>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Year 6</w:t>
            </w:r>
          </w:p>
        </w:tc>
        <w:tc>
          <w:tcPr>
            <w:tcW w:w="250" w:type="pct"/>
            <w:gridSpan w:val="3"/>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Lead</w:t>
            </w:r>
          </w:p>
        </w:tc>
        <w:tc>
          <w:tcPr>
            <w:tcW w:w="255" w:type="pct"/>
            <w:gridSpan w:val="3"/>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 xml:space="preserve">Cost </w:t>
            </w:r>
            <w:r w:rsidRPr="00E02766">
              <w:rPr>
                <w:rFonts w:ascii="Arial" w:eastAsia="Times New Roman" w:hAnsi="Arial" w:cs="Arial"/>
                <w:color w:val="auto"/>
                <w:sz w:val="20"/>
                <w:szCs w:val="20"/>
              </w:rPr>
              <w:br/>
              <w:t>(US$ '000)</w:t>
            </w:r>
          </w:p>
        </w:tc>
        <w:tc>
          <w:tcPr>
            <w:tcW w:w="573" w:type="pct"/>
            <w:gridSpan w:val="4"/>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Financing</w:t>
            </w:r>
          </w:p>
        </w:tc>
      </w:tr>
      <w:tr w:rsidR="00AA7C32" w:rsidRPr="00E02766" w:rsidTr="002C5C17">
        <w:trPr>
          <w:cantSplit/>
          <w:trHeight w:val="255"/>
          <w:tblHeader/>
        </w:trPr>
        <w:tc>
          <w:tcPr>
            <w:tcW w:w="705" w:type="pct"/>
            <w:tcBorders>
              <w:top w:val="nil"/>
              <w:left w:val="single" w:sz="4" w:space="0" w:color="auto"/>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 </w:t>
            </w:r>
          </w:p>
        </w:tc>
        <w:tc>
          <w:tcPr>
            <w:tcW w:w="108"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w:t>
            </w:r>
          </w:p>
        </w:tc>
        <w:tc>
          <w:tcPr>
            <w:tcW w:w="13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w:t>
            </w:r>
          </w:p>
        </w:tc>
        <w:tc>
          <w:tcPr>
            <w:tcW w:w="152"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III</w:t>
            </w:r>
          </w:p>
        </w:tc>
        <w:tc>
          <w:tcPr>
            <w:tcW w:w="16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IV</w:t>
            </w:r>
          </w:p>
        </w:tc>
        <w:tc>
          <w:tcPr>
            <w:tcW w:w="109"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III</w:t>
            </w:r>
          </w:p>
        </w:tc>
        <w:tc>
          <w:tcPr>
            <w:tcW w:w="15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IV</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w:t>
            </w:r>
          </w:p>
        </w:tc>
        <w:tc>
          <w:tcPr>
            <w:tcW w:w="124"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III</w:t>
            </w:r>
          </w:p>
        </w:tc>
        <w:tc>
          <w:tcPr>
            <w:tcW w:w="156"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IV</w:t>
            </w:r>
          </w:p>
        </w:tc>
        <w:tc>
          <w:tcPr>
            <w:tcW w:w="103"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III</w:t>
            </w:r>
          </w:p>
        </w:tc>
        <w:tc>
          <w:tcPr>
            <w:tcW w:w="157"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IV</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III</w:t>
            </w:r>
          </w:p>
        </w:tc>
        <w:tc>
          <w:tcPr>
            <w:tcW w:w="158"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IV</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III</w:t>
            </w:r>
          </w:p>
        </w:tc>
        <w:tc>
          <w:tcPr>
            <w:tcW w:w="17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IV</w:t>
            </w:r>
          </w:p>
        </w:tc>
        <w:tc>
          <w:tcPr>
            <w:tcW w:w="250" w:type="pct"/>
            <w:gridSpan w:val="3"/>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 </w:t>
            </w:r>
          </w:p>
        </w:tc>
        <w:tc>
          <w:tcPr>
            <w:tcW w:w="255" w:type="pct"/>
            <w:gridSpan w:val="3"/>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 </w:t>
            </w:r>
          </w:p>
        </w:tc>
        <w:tc>
          <w:tcPr>
            <w:tcW w:w="573" w:type="pct"/>
            <w:gridSpan w:val="4"/>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auto"/>
                <w:sz w:val="20"/>
                <w:szCs w:val="20"/>
              </w:rPr>
            </w:pPr>
            <w:r w:rsidRPr="00E02766">
              <w:rPr>
                <w:rFonts w:ascii="Arial" w:eastAsia="Times New Roman" w:hAnsi="Arial" w:cs="Arial"/>
                <w:color w:val="auto"/>
                <w:sz w:val="20"/>
                <w:szCs w:val="20"/>
              </w:rPr>
              <w:t> </w:t>
            </w:r>
          </w:p>
        </w:tc>
      </w:tr>
      <w:tr w:rsidR="00C46CA5" w:rsidRPr="00E02766" w:rsidTr="00AA7C32">
        <w:trPr>
          <w:cantSplit/>
          <w:trHeight w:val="255"/>
        </w:trPr>
        <w:tc>
          <w:tcPr>
            <w:tcW w:w="5000" w:type="pct"/>
            <w:gridSpan w:val="52"/>
            <w:tcBorders>
              <w:top w:val="single" w:sz="4" w:space="0" w:color="auto"/>
              <w:left w:val="single" w:sz="4" w:space="0" w:color="auto"/>
              <w:bottom w:val="single" w:sz="4" w:space="0" w:color="auto"/>
              <w:right w:val="nil"/>
            </w:tcBorders>
            <w:shd w:val="clear" w:color="000000" w:fill="0D0D0D"/>
            <w:vAlign w:val="center"/>
            <w:hideMark/>
          </w:tcPr>
          <w:p w:rsidR="00C46CA5" w:rsidRPr="00E02766" w:rsidRDefault="00C46CA5" w:rsidP="00BD50CD">
            <w:pPr>
              <w:spacing w:after="0" w:line="240" w:lineRule="auto"/>
              <w:rPr>
                <w:rFonts w:ascii="Arial" w:eastAsia="Times New Roman" w:hAnsi="Arial" w:cs="Arial"/>
                <w:color w:val="FFFFFF"/>
                <w:sz w:val="20"/>
                <w:szCs w:val="20"/>
              </w:rPr>
            </w:pPr>
            <w:r w:rsidRPr="00E02766">
              <w:rPr>
                <w:rFonts w:ascii="Arial" w:eastAsia="Times New Roman" w:hAnsi="Arial" w:cs="Arial"/>
                <w:color w:val="FFFFFF"/>
                <w:sz w:val="20"/>
                <w:szCs w:val="20"/>
              </w:rPr>
              <w:t>Evaluation Activities</w:t>
            </w:r>
          </w:p>
        </w:tc>
      </w:tr>
      <w:tr w:rsidR="00AA7C32" w:rsidRPr="00E02766" w:rsidTr="002C5C17">
        <w:trPr>
          <w:cantSplit/>
          <w:trHeight w:val="255"/>
        </w:trPr>
        <w:tc>
          <w:tcPr>
            <w:tcW w:w="705" w:type="pct"/>
            <w:tcBorders>
              <w:top w:val="nil"/>
              <w:left w:val="single" w:sz="4" w:space="0" w:color="auto"/>
              <w:bottom w:val="nil"/>
              <w:right w:val="nil"/>
            </w:tcBorders>
            <w:shd w:val="clear" w:color="auto" w:fill="auto"/>
            <w:vAlign w:val="center"/>
            <w:hideMark/>
          </w:tcPr>
          <w:p w:rsidR="00C46CA5" w:rsidRPr="00E02766" w:rsidRDefault="00C46CA5" w:rsidP="00BD50CD">
            <w:pPr>
              <w:spacing w:after="0" w:line="240" w:lineRule="auto"/>
              <w:rPr>
                <w:rFonts w:ascii="Arial" w:eastAsia="Times New Roman" w:hAnsi="Arial" w:cs="Arial"/>
                <w:color w:val="262626"/>
                <w:sz w:val="20"/>
                <w:szCs w:val="20"/>
              </w:rPr>
            </w:pPr>
            <w:r w:rsidRPr="00E02766">
              <w:rPr>
                <w:rFonts w:ascii="Arial" w:eastAsia="Times New Roman" w:hAnsi="Arial" w:cs="Arial"/>
                <w:color w:val="262626"/>
                <w:sz w:val="20"/>
                <w:szCs w:val="20"/>
              </w:rPr>
              <w:t>Mid-term evaluation</w:t>
            </w:r>
          </w:p>
        </w:tc>
        <w:tc>
          <w:tcPr>
            <w:tcW w:w="108" w:type="pct"/>
            <w:tcBorders>
              <w:top w:val="nil"/>
              <w:left w:val="single" w:sz="4" w:space="0" w:color="auto"/>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3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2"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6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9"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6"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45"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57"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8"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7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250" w:type="pct"/>
            <w:gridSpan w:val="3"/>
            <w:tcBorders>
              <w:top w:val="nil"/>
              <w:left w:val="nil"/>
              <w:bottom w:val="single" w:sz="4" w:space="0" w:color="auto"/>
              <w:right w:val="single" w:sz="4" w:space="0" w:color="auto"/>
            </w:tcBorders>
            <w:shd w:val="clear" w:color="auto" w:fill="auto"/>
            <w:noWrap/>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PEU</w:t>
            </w:r>
          </w:p>
        </w:tc>
        <w:tc>
          <w:tcPr>
            <w:tcW w:w="255" w:type="pct"/>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75</w:t>
            </w:r>
          </w:p>
        </w:tc>
        <w:tc>
          <w:tcPr>
            <w:tcW w:w="573" w:type="pct"/>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Included in Evaluation Project cost</w:t>
            </w:r>
          </w:p>
        </w:tc>
      </w:tr>
      <w:tr w:rsidR="00AA7C32" w:rsidRPr="00E02766" w:rsidTr="002C5C17">
        <w:trPr>
          <w:cantSplit/>
          <w:trHeight w:val="1020"/>
        </w:trPr>
        <w:tc>
          <w:tcPr>
            <w:tcW w:w="705" w:type="pct"/>
            <w:tcBorders>
              <w:top w:val="single" w:sz="4" w:space="0" w:color="auto"/>
              <w:left w:val="single" w:sz="4" w:space="0" w:color="auto"/>
              <w:bottom w:val="nil"/>
              <w:right w:val="nil"/>
            </w:tcBorders>
            <w:shd w:val="clear" w:color="auto" w:fill="auto"/>
            <w:vAlign w:val="center"/>
            <w:hideMark/>
          </w:tcPr>
          <w:p w:rsidR="00C46CA5" w:rsidRPr="00E02766" w:rsidRDefault="00C46CA5" w:rsidP="00BD50CD">
            <w:pPr>
              <w:spacing w:after="0" w:line="240" w:lineRule="auto"/>
              <w:rPr>
                <w:rFonts w:ascii="Arial" w:eastAsia="Times New Roman" w:hAnsi="Arial" w:cs="Arial"/>
                <w:color w:val="262626"/>
                <w:sz w:val="20"/>
                <w:szCs w:val="20"/>
              </w:rPr>
            </w:pPr>
            <w:r w:rsidRPr="00E02766">
              <w:rPr>
                <w:rFonts w:ascii="Arial" w:eastAsia="Times New Roman" w:hAnsi="Arial" w:cs="Arial"/>
                <w:color w:val="262626"/>
                <w:sz w:val="20"/>
                <w:szCs w:val="20"/>
              </w:rPr>
              <w:t>Final Evaluation (*** to be submitted to the Bank no later than 120 days after the final disbursement justification)</w:t>
            </w:r>
          </w:p>
        </w:tc>
        <w:tc>
          <w:tcPr>
            <w:tcW w:w="108" w:type="pct"/>
            <w:tcBorders>
              <w:top w:val="nil"/>
              <w:left w:val="single" w:sz="4" w:space="0" w:color="auto"/>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3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2"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6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9"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6"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7"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8"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73" w:type="pct"/>
            <w:gridSpan w:val="2"/>
            <w:tcBorders>
              <w:top w:val="nil"/>
              <w:left w:val="nil"/>
              <w:bottom w:val="single" w:sz="4" w:space="0" w:color="auto"/>
              <w:right w:val="single" w:sz="4" w:space="0" w:color="auto"/>
            </w:tcBorders>
            <w:shd w:val="clear" w:color="000000" w:fill="92D050"/>
            <w:noWrap/>
            <w:vAlign w:val="center"/>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w:t>
            </w:r>
          </w:p>
        </w:tc>
        <w:tc>
          <w:tcPr>
            <w:tcW w:w="250" w:type="pct"/>
            <w:gridSpan w:val="3"/>
            <w:tcBorders>
              <w:top w:val="nil"/>
              <w:left w:val="nil"/>
              <w:bottom w:val="single" w:sz="4" w:space="0" w:color="auto"/>
              <w:right w:val="single" w:sz="4" w:space="0" w:color="auto"/>
            </w:tcBorders>
            <w:shd w:val="clear" w:color="auto" w:fill="auto"/>
            <w:noWrap/>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PEU</w:t>
            </w:r>
          </w:p>
        </w:tc>
        <w:tc>
          <w:tcPr>
            <w:tcW w:w="255" w:type="pct"/>
            <w:gridSpan w:val="3"/>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rPr>
                <w:rFonts w:ascii="Arial" w:eastAsia="Times New Roman" w:hAnsi="Arial" w:cs="Arial"/>
                <w:color w:val="000000"/>
                <w:sz w:val="20"/>
                <w:szCs w:val="20"/>
              </w:rPr>
            </w:pPr>
          </w:p>
        </w:tc>
        <w:tc>
          <w:tcPr>
            <w:tcW w:w="573" w:type="pct"/>
            <w:gridSpan w:val="4"/>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rPr>
                <w:rFonts w:ascii="Arial" w:eastAsia="Times New Roman" w:hAnsi="Arial" w:cs="Arial"/>
                <w:color w:val="000000"/>
                <w:sz w:val="20"/>
                <w:szCs w:val="20"/>
              </w:rPr>
            </w:pPr>
          </w:p>
        </w:tc>
      </w:tr>
      <w:tr w:rsidR="00C46CA5" w:rsidRPr="00E02766" w:rsidTr="00AA7C32">
        <w:trPr>
          <w:cantSplit/>
          <w:trHeight w:val="255"/>
        </w:trPr>
        <w:tc>
          <w:tcPr>
            <w:tcW w:w="5000" w:type="pct"/>
            <w:gridSpan w:val="52"/>
            <w:tcBorders>
              <w:top w:val="single" w:sz="4" w:space="0" w:color="auto"/>
              <w:left w:val="single" w:sz="4" w:space="0" w:color="auto"/>
              <w:bottom w:val="single" w:sz="4" w:space="0" w:color="auto"/>
              <w:right w:val="nil"/>
            </w:tcBorders>
            <w:shd w:val="clear" w:color="000000" w:fill="0D0D0D"/>
            <w:vAlign w:val="center"/>
            <w:hideMark/>
          </w:tcPr>
          <w:p w:rsidR="00C46CA5" w:rsidRPr="00E02766" w:rsidRDefault="00C46CA5" w:rsidP="00BD50CD">
            <w:pPr>
              <w:spacing w:after="0" w:line="240" w:lineRule="auto"/>
              <w:rPr>
                <w:rFonts w:ascii="Arial" w:eastAsia="Times New Roman" w:hAnsi="Arial" w:cs="Arial"/>
                <w:color w:val="FFFFFF"/>
                <w:sz w:val="20"/>
                <w:szCs w:val="20"/>
              </w:rPr>
            </w:pPr>
            <w:r w:rsidRPr="00E02766">
              <w:rPr>
                <w:rFonts w:ascii="Arial" w:eastAsia="Times New Roman" w:hAnsi="Arial" w:cs="Arial"/>
                <w:color w:val="FFFFFF"/>
                <w:sz w:val="20"/>
                <w:szCs w:val="20"/>
              </w:rPr>
              <w:t>Data Collection Activities</w:t>
            </w:r>
          </w:p>
        </w:tc>
      </w:tr>
      <w:tr w:rsidR="002C5C17" w:rsidRPr="00E02766" w:rsidTr="002C5C17">
        <w:trPr>
          <w:cantSplit/>
          <w:trHeight w:val="510"/>
        </w:trPr>
        <w:tc>
          <w:tcPr>
            <w:tcW w:w="705" w:type="pct"/>
            <w:tcBorders>
              <w:top w:val="nil"/>
              <w:left w:val="single" w:sz="4" w:space="0" w:color="auto"/>
              <w:bottom w:val="single" w:sz="4" w:space="0" w:color="auto"/>
              <w:right w:val="single" w:sz="4" w:space="0" w:color="auto"/>
            </w:tcBorders>
            <w:shd w:val="clear" w:color="auto" w:fill="auto"/>
            <w:vAlign w:val="center"/>
            <w:hideMark/>
          </w:tcPr>
          <w:p w:rsidR="002C5C17" w:rsidRPr="00E02766" w:rsidRDefault="002C5C17" w:rsidP="00BD50CD">
            <w:pPr>
              <w:spacing w:after="0" w:line="240" w:lineRule="auto"/>
              <w:rPr>
                <w:rFonts w:ascii="Arial" w:eastAsia="Times New Roman" w:hAnsi="Arial" w:cs="Arial"/>
                <w:color w:val="262626"/>
                <w:sz w:val="20"/>
                <w:szCs w:val="20"/>
              </w:rPr>
            </w:pPr>
            <w:r w:rsidRPr="00E02766">
              <w:rPr>
                <w:rFonts w:ascii="Arial" w:eastAsia="Times New Roman" w:hAnsi="Arial" w:cs="Arial"/>
                <w:color w:val="262626"/>
                <w:sz w:val="20"/>
                <w:szCs w:val="20"/>
              </w:rPr>
              <w:t xml:space="preserve">Expected Result 1: Ensure NG service continuity </w:t>
            </w:r>
          </w:p>
        </w:tc>
        <w:tc>
          <w:tcPr>
            <w:tcW w:w="108"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31"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2"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61"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9" w:type="pct"/>
            <w:tcBorders>
              <w:top w:val="nil"/>
              <w:left w:val="nil"/>
              <w:bottom w:val="single" w:sz="4" w:space="0" w:color="auto"/>
              <w:right w:val="single" w:sz="4" w:space="0" w:color="auto"/>
            </w:tcBorders>
            <w:shd w:val="clear" w:color="auto" w:fill="92D050"/>
            <w:noWrap/>
            <w:vAlign w:val="bottom"/>
            <w:hideMark/>
          </w:tcPr>
          <w:p w:rsidR="002C5C17" w:rsidRPr="00E02766" w:rsidRDefault="002C5C17" w:rsidP="00AE5E5A">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3"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92D050"/>
            <w:noWrap/>
            <w:vAlign w:val="bottom"/>
            <w:hideMark/>
          </w:tcPr>
          <w:p w:rsidR="002C5C17" w:rsidRPr="00E02766" w:rsidRDefault="002C5C17" w:rsidP="00AE5E5A">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6"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tcBorders>
              <w:top w:val="nil"/>
              <w:left w:val="nil"/>
              <w:bottom w:val="single" w:sz="4" w:space="0" w:color="auto"/>
              <w:right w:val="single" w:sz="4" w:space="0" w:color="auto"/>
            </w:tcBorders>
            <w:shd w:val="clear" w:color="auto" w:fill="92D050"/>
            <w:noWrap/>
            <w:vAlign w:val="bottom"/>
            <w:hideMark/>
          </w:tcPr>
          <w:p w:rsidR="002C5C17" w:rsidRPr="00E02766" w:rsidRDefault="002C5C17" w:rsidP="00AE5E5A">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7"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92D050"/>
            <w:noWrap/>
            <w:vAlign w:val="bottom"/>
            <w:hideMark/>
          </w:tcPr>
          <w:p w:rsidR="002C5C17" w:rsidRPr="00E02766" w:rsidRDefault="002C5C17" w:rsidP="00AE5E5A">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8"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92D050"/>
            <w:noWrap/>
            <w:vAlign w:val="bottom"/>
            <w:hideMark/>
          </w:tcPr>
          <w:p w:rsidR="002C5C17" w:rsidRPr="00E02766" w:rsidRDefault="002C5C17" w:rsidP="00AE5E5A">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73" w:type="pct"/>
            <w:gridSpan w:val="2"/>
            <w:tcBorders>
              <w:top w:val="nil"/>
              <w:left w:val="nil"/>
              <w:bottom w:val="single" w:sz="4" w:space="0" w:color="auto"/>
              <w:right w:val="single" w:sz="4" w:space="0" w:color="auto"/>
            </w:tcBorders>
            <w:shd w:val="clear" w:color="000000" w:fill="92D050"/>
            <w:noWrap/>
            <w:vAlign w:val="bottom"/>
            <w:hideMark/>
          </w:tcPr>
          <w:p w:rsidR="002C5C17" w:rsidRPr="00E02766" w:rsidRDefault="002C5C17" w:rsidP="00AE5E5A">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250" w:type="pct"/>
            <w:gridSpan w:val="3"/>
            <w:tcBorders>
              <w:top w:val="nil"/>
              <w:left w:val="nil"/>
              <w:bottom w:val="single" w:sz="4" w:space="0" w:color="auto"/>
              <w:right w:val="single" w:sz="4" w:space="0" w:color="auto"/>
            </w:tcBorders>
            <w:shd w:val="clear" w:color="auto" w:fill="auto"/>
            <w:noWrap/>
            <w:vAlign w:val="center"/>
            <w:hideMark/>
          </w:tcPr>
          <w:p w:rsidR="002C5C17" w:rsidRPr="00E02766" w:rsidRDefault="002C5C17"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PEU</w:t>
            </w:r>
          </w:p>
        </w:tc>
        <w:tc>
          <w:tcPr>
            <w:tcW w:w="255" w:type="pct"/>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2C5C17" w:rsidRPr="00E02766" w:rsidRDefault="002C5C17"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30</w:t>
            </w:r>
          </w:p>
        </w:tc>
        <w:tc>
          <w:tcPr>
            <w:tcW w:w="573" w:type="pct"/>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2C5C17" w:rsidRPr="00E02766" w:rsidRDefault="002C5C17"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Included in Project Management cost</w:t>
            </w:r>
          </w:p>
        </w:tc>
      </w:tr>
      <w:tr w:rsidR="00AA7C32" w:rsidRPr="00E02766" w:rsidTr="002C5C17">
        <w:trPr>
          <w:cantSplit/>
          <w:trHeight w:val="1020"/>
        </w:trPr>
        <w:tc>
          <w:tcPr>
            <w:tcW w:w="705" w:type="pct"/>
            <w:tcBorders>
              <w:top w:val="nil"/>
              <w:left w:val="single" w:sz="4" w:space="0" w:color="auto"/>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rPr>
                <w:rFonts w:ascii="Arial" w:eastAsia="Times New Roman" w:hAnsi="Arial" w:cs="Arial"/>
                <w:color w:val="262626"/>
                <w:sz w:val="20"/>
                <w:szCs w:val="20"/>
              </w:rPr>
            </w:pPr>
            <w:r w:rsidRPr="00E02766">
              <w:rPr>
                <w:rFonts w:ascii="Arial" w:eastAsia="Times New Roman" w:hAnsi="Arial" w:cs="Arial"/>
                <w:color w:val="262626"/>
                <w:sz w:val="20"/>
                <w:szCs w:val="20"/>
              </w:rPr>
              <w:t>Expected Results 2: Increase the number of LNG suppliers to Barbados to enhance energy security</w:t>
            </w:r>
          </w:p>
        </w:tc>
        <w:tc>
          <w:tcPr>
            <w:tcW w:w="108"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3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2"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6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9" w:type="pct"/>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6"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7"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8"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7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250" w:type="pct"/>
            <w:gridSpan w:val="3"/>
            <w:tcBorders>
              <w:top w:val="nil"/>
              <w:left w:val="nil"/>
              <w:bottom w:val="single" w:sz="4" w:space="0" w:color="auto"/>
              <w:right w:val="single" w:sz="4" w:space="0" w:color="auto"/>
            </w:tcBorders>
            <w:shd w:val="clear" w:color="auto" w:fill="auto"/>
            <w:noWrap/>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PEU</w:t>
            </w:r>
          </w:p>
        </w:tc>
        <w:tc>
          <w:tcPr>
            <w:tcW w:w="255" w:type="pct"/>
            <w:gridSpan w:val="3"/>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p>
        </w:tc>
        <w:tc>
          <w:tcPr>
            <w:tcW w:w="573" w:type="pct"/>
            <w:gridSpan w:val="4"/>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p>
        </w:tc>
      </w:tr>
      <w:tr w:rsidR="00AA7C32" w:rsidRPr="00E02766" w:rsidTr="002C5C17">
        <w:trPr>
          <w:cantSplit/>
          <w:trHeight w:val="1020"/>
        </w:trPr>
        <w:tc>
          <w:tcPr>
            <w:tcW w:w="705" w:type="pct"/>
            <w:tcBorders>
              <w:top w:val="nil"/>
              <w:left w:val="single" w:sz="4" w:space="0" w:color="auto"/>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rPr>
                <w:rFonts w:ascii="Arial" w:eastAsia="Times New Roman" w:hAnsi="Arial" w:cs="Arial"/>
                <w:color w:val="262626"/>
                <w:sz w:val="20"/>
                <w:szCs w:val="20"/>
              </w:rPr>
            </w:pPr>
            <w:r w:rsidRPr="00E02766">
              <w:rPr>
                <w:rFonts w:ascii="Arial" w:eastAsia="Times New Roman" w:hAnsi="Arial" w:cs="Arial"/>
                <w:color w:val="262626"/>
                <w:sz w:val="20"/>
                <w:szCs w:val="20"/>
              </w:rPr>
              <w:t>Expected Result 3: Reduce CO2 emission reductions from NPC/BNOCL operational and administrative facilities</w:t>
            </w:r>
          </w:p>
        </w:tc>
        <w:tc>
          <w:tcPr>
            <w:tcW w:w="108"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3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2"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6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9" w:type="pct"/>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6"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7"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8"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7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250" w:type="pct"/>
            <w:gridSpan w:val="3"/>
            <w:tcBorders>
              <w:top w:val="nil"/>
              <w:left w:val="nil"/>
              <w:bottom w:val="single" w:sz="4" w:space="0" w:color="auto"/>
              <w:right w:val="single" w:sz="4" w:space="0" w:color="auto"/>
            </w:tcBorders>
            <w:shd w:val="clear" w:color="auto" w:fill="auto"/>
            <w:noWrap/>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PEU</w:t>
            </w:r>
          </w:p>
        </w:tc>
        <w:tc>
          <w:tcPr>
            <w:tcW w:w="255" w:type="pct"/>
            <w:gridSpan w:val="3"/>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rPr>
                <w:rFonts w:ascii="Arial" w:eastAsia="Times New Roman" w:hAnsi="Arial" w:cs="Arial"/>
                <w:color w:val="000000"/>
                <w:sz w:val="20"/>
                <w:szCs w:val="20"/>
              </w:rPr>
            </w:pPr>
          </w:p>
        </w:tc>
        <w:tc>
          <w:tcPr>
            <w:tcW w:w="573" w:type="pct"/>
            <w:gridSpan w:val="4"/>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rPr>
                <w:rFonts w:ascii="Arial" w:eastAsia="Times New Roman" w:hAnsi="Arial" w:cs="Arial"/>
                <w:color w:val="000000"/>
                <w:sz w:val="20"/>
                <w:szCs w:val="20"/>
              </w:rPr>
            </w:pPr>
          </w:p>
        </w:tc>
      </w:tr>
      <w:tr w:rsidR="002C5C17" w:rsidRPr="00E02766" w:rsidTr="002C5C17">
        <w:trPr>
          <w:cantSplit/>
          <w:trHeight w:val="765"/>
        </w:trPr>
        <w:tc>
          <w:tcPr>
            <w:tcW w:w="705" w:type="pct"/>
            <w:tcBorders>
              <w:top w:val="nil"/>
              <w:left w:val="single" w:sz="4" w:space="0" w:color="auto"/>
              <w:bottom w:val="single" w:sz="4" w:space="0" w:color="auto"/>
              <w:right w:val="single" w:sz="4" w:space="0" w:color="auto"/>
            </w:tcBorders>
            <w:shd w:val="clear" w:color="auto" w:fill="auto"/>
            <w:vAlign w:val="center"/>
            <w:hideMark/>
          </w:tcPr>
          <w:p w:rsidR="002C5C17" w:rsidRPr="00E02766" w:rsidRDefault="002C5C17" w:rsidP="00BD50CD">
            <w:pPr>
              <w:spacing w:after="0" w:line="240" w:lineRule="auto"/>
              <w:rPr>
                <w:rFonts w:ascii="Arial" w:eastAsia="Times New Roman" w:hAnsi="Arial" w:cs="Arial"/>
                <w:color w:val="262626"/>
                <w:sz w:val="20"/>
                <w:szCs w:val="20"/>
              </w:rPr>
            </w:pPr>
            <w:r w:rsidRPr="00E02766">
              <w:rPr>
                <w:rFonts w:ascii="Arial" w:eastAsia="Times New Roman" w:hAnsi="Arial" w:cs="Arial"/>
                <w:color w:val="262626"/>
                <w:sz w:val="20"/>
                <w:szCs w:val="20"/>
              </w:rPr>
              <w:lastRenderedPageBreak/>
              <w:t>Expected Result 4: Increased operational efficiency in NG transmission and distribution</w:t>
            </w:r>
          </w:p>
        </w:tc>
        <w:tc>
          <w:tcPr>
            <w:tcW w:w="108"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31"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2"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61"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9" w:type="pct"/>
            <w:tcBorders>
              <w:top w:val="nil"/>
              <w:left w:val="nil"/>
              <w:bottom w:val="single" w:sz="4" w:space="0" w:color="auto"/>
              <w:right w:val="single" w:sz="4" w:space="0" w:color="auto"/>
            </w:tcBorders>
            <w:shd w:val="clear" w:color="auto" w:fill="auto"/>
            <w:noWrap/>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3"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noWrap/>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6"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tcBorders>
              <w:top w:val="nil"/>
              <w:left w:val="nil"/>
              <w:bottom w:val="single" w:sz="4" w:space="0" w:color="auto"/>
              <w:right w:val="single" w:sz="4" w:space="0" w:color="auto"/>
            </w:tcBorders>
            <w:shd w:val="clear" w:color="auto" w:fill="auto"/>
            <w:noWrap/>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7"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noWrap/>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8"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noWrap/>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2C5C17" w:rsidRPr="00E02766" w:rsidRDefault="002C5C17" w:rsidP="00AE5E5A">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73" w:type="pct"/>
            <w:gridSpan w:val="2"/>
            <w:tcBorders>
              <w:top w:val="nil"/>
              <w:left w:val="nil"/>
              <w:bottom w:val="single" w:sz="4" w:space="0" w:color="auto"/>
              <w:right w:val="single" w:sz="4" w:space="0" w:color="auto"/>
            </w:tcBorders>
            <w:shd w:val="clear" w:color="000000" w:fill="92D050"/>
            <w:noWrap/>
            <w:vAlign w:val="bottom"/>
            <w:hideMark/>
          </w:tcPr>
          <w:p w:rsidR="002C5C17" w:rsidRPr="00E02766" w:rsidRDefault="002C5C17" w:rsidP="00AE5E5A">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250" w:type="pct"/>
            <w:gridSpan w:val="3"/>
            <w:tcBorders>
              <w:top w:val="nil"/>
              <w:left w:val="nil"/>
              <w:bottom w:val="single" w:sz="4" w:space="0" w:color="auto"/>
              <w:right w:val="single" w:sz="4" w:space="0" w:color="auto"/>
            </w:tcBorders>
            <w:shd w:val="clear" w:color="auto" w:fill="auto"/>
            <w:noWrap/>
            <w:vAlign w:val="center"/>
            <w:hideMark/>
          </w:tcPr>
          <w:p w:rsidR="002C5C17" w:rsidRPr="00E02766" w:rsidRDefault="002C5C17"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PEU</w:t>
            </w:r>
          </w:p>
        </w:tc>
        <w:tc>
          <w:tcPr>
            <w:tcW w:w="255" w:type="pct"/>
            <w:gridSpan w:val="3"/>
            <w:vMerge/>
            <w:tcBorders>
              <w:top w:val="nil"/>
              <w:left w:val="single" w:sz="4" w:space="0" w:color="auto"/>
              <w:bottom w:val="single" w:sz="4" w:space="0" w:color="000000"/>
              <w:right w:val="single" w:sz="4" w:space="0" w:color="auto"/>
            </w:tcBorders>
            <w:vAlign w:val="center"/>
            <w:hideMark/>
          </w:tcPr>
          <w:p w:rsidR="002C5C17" w:rsidRPr="00E02766" w:rsidRDefault="002C5C17" w:rsidP="00BD50CD">
            <w:pPr>
              <w:spacing w:after="0" w:line="240" w:lineRule="auto"/>
              <w:rPr>
                <w:rFonts w:ascii="Arial" w:eastAsia="Times New Roman" w:hAnsi="Arial" w:cs="Arial"/>
                <w:color w:val="000000"/>
                <w:sz w:val="20"/>
                <w:szCs w:val="20"/>
              </w:rPr>
            </w:pPr>
          </w:p>
        </w:tc>
        <w:tc>
          <w:tcPr>
            <w:tcW w:w="573" w:type="pct"/>
            <w:gridSpan w:val="4"/>
            <w:vMerge/>
            <w:tcBorders>
              <w:top w:val="nil"/>
              <w:left w:val="single" w:sz="4" w:space="0" w:color="auto"/>
              <w:bottom w:val="single" w:sz="4" w:space="0" w:color="000000"/>
              <w:right w:val="single" w:sz="4" w:space="0" w:color="auto"/>
            </w:tcBorders>
            <w:vAlign w:val="center"/>
            <w:hideMark/>
          </w:tcPr>
          <w:p w:rsidR="002C5C17" w:rsidRPr="00E02766" w:rsidRDefault="002C5C17" w:rsidP="00BD50CD">
            <w:pPr>
              <w:spacing w:after="0" w:line="240" w:lineRule="auto"/>
              <w:rPr>
                <w:rFonts w:ascii="Arial" w:eastAsia="Times New Roman" w:hAnsi="Arial" w:cs="Arial"/>
                <w:color w:val="000000"/>
                <w:sz w:val="20"/>
                <w:szCs w:val="20"/>
              </w:rPr>
            </w:pPr>
          </w:p>
        </w:tc>
      </w:tr>
      <w:tr w:rsidR="00AA7C32" w:rsidRPr="00E02766" w:rsidTr="002C5C17">
        <w:trPr>
          <w:cantSplit/>
          <w:trHeight w:val="765"/>
        </w:trPr>
        <w:tc>
          <w:tcPr>
            <w:tcW w:w="705" w:type="pct"/>
            <w:tcBorders>
              <w:top w:val="nil"/>
              <w:left w:val="single" w:sz="4" w:space="0" w:color="auto"/>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rPr>
                <w:rFonts w:ascii="Arial" w:eastAsia="Times New Roman" w:hAnsi="Arial" w:cs="Arial"/>
                <w:color w:val="262626"/>
                <w:sz w:val="20"/>
                <w:szCs w:val="20"/>
              </w:rPr>
            </w:pPr>
            <w:r w:rsidRPr="00E02766">
              <w:rPr>
                <w:rFonts w:ascii="Arial" w:eastAsia="Times New Roman" w:hAnsi="Arial" w:cs="Arial"/>
                <w:color w:val="262626"/>
                <w:sz w:val="20"/>
                <w:szCs w:val="20"/>
              </w:rPr>
              <w:t>Expected Result 5: Increase private sector participation to develop an LNG project</w:t>
            </w:r>
          </w:p>
        </w:tc>
        <w:tc>
          <w:tcPr>
            <w:tcW w:w="108"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3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2"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61"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9"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6"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7"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58"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03"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24"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45" w:type="pct"/>
            <w:gridSpan w:val="2"/>
            <w:tcBorders>
              <w:top w:val="nil"/>
              <w:left w:val="nil"/>
              <w:bottom w:val="single" w:sz="4" w:space="0" w:color="auto"/>
              <w:right w:val="single" w:sz="4" w:space="0" w:color="auto"/>
            </w:tcBorders>
            <w:shd w:val="clear" w:color="auto" w:fill="auto"/>
            <w:vAlign w:val="center"/>
            <w:hideMark/>
          </w:tcPr>
          <w:p w:rsidR="00C46CA5" w:rsidRPr="00E02766" w:rsidRDefault="00C46CA5" w:rsidP="00BD50CD">
            <w:pPr>
              <w:spacing w:after="0" w:line="240" w:lineRule="auto"/>
              <w:jc w:val="center"/>
              <w:rPr>
                <w:rFonts w:ascii="Arial" w:eastAsia="Times New Roman" w:hAnsi="Arial" w:cs="Arial"/>
                <w:color w:val="262626"/>
                <w:sz w:val="20"/>
                <w:szCs w:val="20"/>
              </w:rPr>
            </w:pPr>
            <w:r w:rsidRPr="00E02766">
              <w:rPr>
                <w:rFonts w:ascii="Arial" w:eastAsia="Times New Roman" w:hAnsi="Arial" w:cs="Arial"/>
                <w:color w:val="262626"/>
                <w:sz w:val="20"/>
                <w:szCs w:val="20"/>
              </w:rPr>
              <w:t> </w:t>
            </w:r>
          </w:p>
        </w:tc>
        <w:tc>
          <w:tcPr>
            <w:tcW w:w="173" w:type="pct"/>
            <w:gridSpan w:val="2"/>
            <w:tcBorders>
              <w:top w:val="nil"/>
              <w:left w:val="nil"/>
              <w:bottom w:val="single" w:sz="4" w:space="0" w:color="auto"/>
              <w:right w:val="single" w:sz="4" w:space="0" w:color="auto"/>
            </w:tcBorders>
            <w:shd w:val="clear" w:color="000000" w:fill="92D050"/>
            <w:noWrap/>
            <w:vAlign w:val="bottom"/>
            <w:hideMark/>
          </w:tcPr>
          <w:p w:rsidR="00C46CA5" w:rsidRPr="00E02766" w:rsidRDefault="00C46CA5" w:rsidP="00BD50CD">
            <w:pPr>
              <w:spacing w:after="0" w:line="240" w:lineRule="auto"/>
              <w:rPr>
                <w:rFonts w:ascii="Arial" w:eastAsia="Times New Roman" w:hAnsi="Arial" w:cs="Arial"/>
                <w:color w:val="000000"/>
                <w:sz w:val="20"/>
                <w:szCs w:val="20"/>
              </w:rPr>
            </w:pPr>
            <w:r w:rsidRPr="00E02766">
              <w:rPr>
                <w:rFonts w:ascii="Arial" w:eastAsia="Times New Roman" w:hAnsi="Arial" w:cs="Arial"/>
                <w:color w:val="000000"/>
                <w:sz w:val="20"/>
                <w:szCs w:val="20"/>
              </w:rPr>
              <w:t> </w:t>
            </w:r>
          </w:p>
        </w:tc>
        <w:tc>
          <w:tcPr>
            <w:tcW w:w="250" w:type="pct"/>
            <w:gridSpan w:val="3"/>
            <w:tcBorders>
              <w:top w:val="nil"/>
              <w:left w:val="nil"/>
              <w:bottom w:val="single" w:sz="4" w:space="0" w:color="auto"/>
              <w:right w:val="single" w:sz="4" w:space="0" w:color="auto"/>
            </w:tcBorders>
            <w:shd w:val="clear" w:color="auto" w:fill="auto"/>
            <w:noWrap/>
            <w:vAlign w:val="center"/>
            <w:hideMark/>
          </w:tcPr>
          <w:p w:rsidR="00C46CA5" w:rsidRPr="00E02766" w:rsidRDefault="00C46CA5" w:rsidP="00BD50CD">
            <w:pPr>
              <w:spacing w:after="0" w:line="240" w:lineRule="auto"/>
              <w:jc w:val="center"/>
              <w:rPr>
                <w:rFonts w:ascii="Arial" w:eastAsia="Times New Roman" w:hAnsi="Arial" w:cs="Arial"/>
                <w:color w:val="000000"/>
                <w:sz w:val="20"/>
                <w:szCs w:val="20"/>
              </w:rPr>
            </w:pPr>
            <w:r w:rsidRPr="00E02766">
              <w:rPr>
                <w:rFonts w:ascii="Arial" w:eastAsia="Times New Roman" w:hAnsi="Arial" w:cs="Arial"/>
                <w:color w:val="000000"/>
                <w:sz w:val="20"/>
                <w:szCs w:val="20"/>
              </w:rPr>
              <w:t>PEU</w:t>
            </w:r>
          </w:p>
        </w:tc>
        <w:tc>
          <w:tcPr>
            <w:tcW w:w="255" w:type="pct"/>
            <w:gridSpan w:val="3"/>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rPr>
                <w:rFonts w:ascii="Arial" w:eastAsia="Times New Roman" w:hAnsi="Arial" w:cs="Arial"/>
                <w:color w:val="000000"/>
                <w:sz w:val="20"/>
                <w:szCs w:val="20"/>
              </w:rPr>
            </w:pPr>
          </w:p>
        </w:tc>
        <w:tc>
          <w:tcPr>
            <w:tcW w:w="573" w:type="pct"/>
            <w:gridSpan w:val="4"/>
            <w:vMerge/>
            <w:tcBorders>
              <w:top w:val="nil"/>
              <w:left w:val="single" w:sz="4" w:space="0" w:color="auto"/>
              <w:bottom w:val="single" w:sz="4" w:space="0" w:color="000000"/>
              <w:right w:val="single" w:sz="4" w:space="0" w:color="auto"/>
            </w:tcBorders>
            <w:vAlign w:val="center"/>
            <w:hideMark/>
          </w:tcPr>
          <w:p w:rsidR="00C46CA5" w:rsidRPr="00E02766" w:rsidRDefault="00C46CA5" w:rsidP="00BD50CD">
            <w:pPr>
              <w:spacing w:after="0" w:line="240" w:lineRule="auto"/>
              <w:rPr>
                <w:rFonts w:ascii="Arial" w:eastAsia="Times New Roman" w:hAnsi="Arial" w:cs="Arial"/>
                <w:color w:val="000000"/>
                <w:sz w:val="20"/>
                <w:szCs w:val="20"/>
              </w:rPr>
            </w:pPr>
          </w:p>
        </w:tc>
      </w:tr>
      <w:tr w:rsidR="00AA7C32" w:rsidRPr="00AA7C32" w:rsidTr="002C5C17">
        <w:trPr>
          <w:trHeight w:val="255"/>
        </w:trPr>
        <w:tc>
          <w:tcPr>
            <w:tcW w:w="1451" w:type="pct"/>
            <w:gridSpan w:val="7"/>
            <w:tcBorders>
              <w:top w:val="single" w:sz="4" w:space="0" w:color="auto"/>
              <w:left w:val="single" w:sz="4" w:space="0" w:color="auto"/>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Total Budget for Evaluation Activities</w:t>
            </w:r>
          </w:p>
        </w:tc>
        <w:tc>
          <w:tcPr>
            <w:tcW w:w="138"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8"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48"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7"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40" w:type="pct"/>
            <w:gridSpan w:val="3"/>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9" w:type="pct"/>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8"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38" w:type="pct"/>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21" w:type="pct"/>
            <w:gridSpan w:val="2"/>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15" w:type="pct"/>
            <w:tcBorders>
              <w:top w:val="single" w:sz="4" w:space="0" w:color="auto"/>
              <w:left w:val="nil"/>
              <w:bottom w:val="single" w:sz="4" w:space="0" w:color="auto"/>
              <w:right w:val="nil"/>
            </w:tcBorders>
            <w:shd w:val="clear" w:color="auto" w:fill="auto"/>
            <w:noWrap/>
            <w:vAlign w:val="bottom"/>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103" w:type="pct"/>
            <w:tcBorders>
              <w:top w:val="single" w:sz="4" w:space="0" w:color="auto"/>
              <w:left w:val="nil"/>
              <w:bottom w:val="single" w:sz="4" w:space="0" w:color="auto"/>
              <w:right w:val="single" w:sz="4" w:space="0" w:color="auto"/>
            </w:tcBorders>
            <w:shd w:val="clear" w:color="auto" w:fill="auto"/>
            <w:noWrap/>
            <w:vAlign w:val="center"/>
            <w:hideMark/>
          </w:tcPr>
          <w:p w:rsidR="00AA7C32" w:rsidRPr="00AA7C32" w:rsidRDefault="00AA7C32" w:rsidP="00AA7C32">
            <w:pPr>
              <w:spacing w:after="0" w:line="240" w:lineRule="auto"/>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 </w:t>
            </w:r>
          </w:p>
        </w:tc>
        <w:tc>
          <w:tcPr>
            <w:tcW w:w="284" w:type="pct"/>
            <w:tcBorders>
              <w:top w:val="single" w:sz="4" w:space="0" w:color="auto"/>
              <w:left w:val="nil"/>
              <w:bottom w:val="single" w:sz="4" w:space="0" w:color="auto"/>
              <w:right w:val="single" w:sz="4" w:space="0" w:color="auto"/>
            </w:tcBorders>
            <w:shd w:val="clear" w:color="auto" w:fill="auto"/>
            <w:noWrap/>
            <w:vAlign w:val="bottom"/>
            <w:hideMark/>
          </w:tcPr>
          <w:p w:rsidR="00AA7C32" w:rsidRPr="00AA7C32" w:rsidRDefault="00AA7C32" w:rsidP="00AA7C32">
            <w:pPr>
              <w:spacing w:after="0" w:line="240" w:lineRule="auto"/>
              <w:jc w:val="right"/>
              <w:rPr>
                <w:rFonts w:ascii="Arial" w:eastAsia="Times New Roman" w:hAnsi="Arial" w:cs="Arial"/>
                <w:b/>
                <w:bCs/>
                <w:color w:val="000000"/>
                <w:sz w:val="20"/>
                <w:szCs w:val="20"/>
              </w:rPr>
            </w:pPr>
            <w:r w:rsidRPr="00AA7C32">
              <w:rPr>
                <w:rFonts w:ascii="Arial" w:eastAsia="Times New Roman" w:hAnsi="Arial" w:cs="Arial"/>
                <w:b/>
                <w:bCs/>
                <w:color w:val="000000"/>
                <w:sz w:val="20"/>
                <w:szCs w:val="20"/>
              </w:rPr>
              <w:t>105</w:t>
            </w:r>
          </w:p>
        </w:tc>
      </w:tr>
    </w:tbl>
    <w:p w:rsidR="003F7AAF" w:rsidRPr="00567F29" w:rsidRDefault="003F7AAF" w:rsidP="005F7D46">
      <w:pPr>
        <w:jc w:val="both"/>
        <w:rPr>
          <w:rFonts w:ascii="Arial" w:hAnsi="Arial" w:cs="Arial"/>
          <w:sz w:val="22"/>
        </w:rPr>
      </w:pPr>
    </w:p>
    <w:sectPr w:rsidR="003F7AAF" w:rsidRPr="00567F29" w:rsidSect="004B6BE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564" w:rsidRDefault="009F6564" w:rsidP="00F13883">
      <w:pPr>
        <w:spacing w:after="0" w:line="240" w:lineRule="auto"/>
      </w:pPr>
      <w:r>
        <w:separator/>
      </w:r>
    </w:p>
  </w:endnote>
  <w:endnote w:type="continuationSeparator" w:id="0">
    <w:p w:rsidR="009F6564" w:rsidRDefault="009F6564" w:rsidP="00F13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564" w:rsidRDefault="009F6564" w:rsidP="00F13883">
      <w:pPr>
        <w:spacing w:after="0" w:line="240" w:lineRule="auto"/>
      </w:pPr>
      <w:r>
        <w:separator/>
      </w:r>
    </w:p>
  </w:footnote>
  <w:footnote w:type="continuationSeparator" w:id="0">
    <w:p w:rsidR="009F6564" w:rsidRDefault="009F6564" w:rsidP="00F13883">
      <w:pPr>
        <w:spacing w:after="0" w:line="240" w:lineRule="auto"/>
      </w:pPr>
      <w:r>
        <w:continuationSeparator/>
      </w:r>
    </w:p>
  </w:footnote>
  <w:footnote w:id="1">
    <w:p w:rsidR="009F6564" w:rsidRPr="00571FED" w:rsidRDefault="009F6564" w:rsidP="00DC6619">
      <w:pPr>
        <w:pStyle w:val="FootnoteText"/>
        <w:rPr>
          <w:lang w:val="en-US"/>
        </w:rPr>
      </w:pPr>
      <w:r>
        <w:rPr>
          <w:rStyle w:val="FootnoteReference"/>
        </w:rPr>
        <w:footnoteRef/>
      </w:r>
      <w:r w:rsidRPr="00571FED">
        <w:rPr>
          <w:lang w:val="en-US"/>
        </w:rPr>
        <w:t xml:space="preserve"> </w:t>
      </w:r>
      <w:r w:rsidRPr="0067056B">
        <w:rPr>
          <w:lang w:val="en-US"/>
        </w:rPr>
        <w:t>Systems may include upgraded mapping (Geographic Information System), automated data gathering systems, and improved meters for commercial / industrial customers.</w:t>
      </w:r>
    </w:p>
  </w:footnote>
  <w:footnote w:id="2">
    <w:p w:rsidR="009F6564" w:rsidRPr="00571FED" w:rsidRDefault="009F6564" w:rsidP="00DC6619">
      <w:pPr>
        <w:pStyle w:val="FootnoteText"/>
        <w:rPr>
          <w:lang w:val="en-US"/>
        </w:rPr>
      </w:pPr>
      <w:r>
        <w:rPr>
          <w:rStyle w:val="FootnoteReference"/>
        </w:rPr>
        <w:footnoteRef/>
      </w:r>
      <w:r w:rsidRPr="00571FED">
        <w:rPr>
          <w:lang w:val="en-US"/>
        </w:rPr>
        <w:t xml:space="preserve"> </w:t>
      </w:r>
      <w:proofErr w:type="gramStart"/>
      <w:r w:rsidRPr="0067056B">
        <w:rPr>
          <w:lang w:val="en-US"/>
        </w:rPr>
        <w:t>Can include conversion of existing vehicles to use compressed NG as fuel.</w:t>
      </w:r>
      <w:proofErr w:type="gramEnd"/>
    </w:p>
  </w:footnote>
  <w:footnote w:id="3">
    <w:p w:rsidR="009F6564" w:rsidRPr="00571FED" w:rsidRDefault="009F6564" w:rsidP="00DC6619">
      <w:pPr>
        <w:pStyle w:val="FootnoteText"/>
        <w:rPr>
          <w:lang w:val="en-US"/>
        </w:rPr>
      </w:pPr>
      <w:r>
        <w:rPr>
          <w:rStyle w:val="FootnoteReference"/>
        </w:rPr>
        <w:footnoteRef/>
      </w:r>
      <w:r w:rsidRPr="00571FED">
        <w:rPr>
          <w:lang w:val="en-US"/>
        </w:rPr>
        <w:t xml:space="preserve"> </w:t>
      </w:r>
      <w:r w:rsidRPr="0067056B">
        <w:rPr>
          <w:lang w:val="en-US"/>
        </w:rPr>
        <w:t xml:space="preserve">Capacity added should be at least 0.3 </w:t>
      </w:r>
      <w:proofErr w:type="spellStart"/>
      <w:r w:rsidRPr="0067056B">
        <w:rPr>
          <w:lang w:val="en-US"/>
        </w:rPr>
        <w:t>mmcfpd</w:t>
      </w:r>
      <w:proofErr w:type="spellEnd"/>
      <w:r w:rsidRPr="0067056B">
        <w:rPr>
          <w:lang w:val="en-US"/>
        </w:rPr>
        <w:t>.</w:t>
      </w:r>
    </w:p>
  </w:footnote>
  <w:footnote w:id="4">
    <w:p w:rsidR="009F6564" w:rsidRPr="00571FED" w:rsidRDefault="009F6564" w:rsidP="00DC6619">
      <w:pPr>
        <w:pStyle w:val="FootnoteText"/>
        <w:rPr>
          <w:lang w:val="en-US"/>
        </w:rPr>
      </w:pPr>
      <w:r>
        <w:rPr>
          <w:rStyle w:val="FootnoteReference"/>
        </w:rPr>
        <w:footnoteRef/>
      </w:r>
      <w:r w:rsidRPr="00571FED">
        <w:rPr>
          <w:lang w:val="en-US"/>
        </w:rPr>
        <w:t xml:space="preserve"> </w:t>
      </w:r>
      <w:r>
        <w:rPr>
          <w:lang w:val="en-US"/>
        </w:rPr>
        <w:t>I</w:t>
      </w:r>
      <w:r w:rsidRPr="0067056B">
        <w:rPr>
          <w:lang w:val="en-US"/>
        </w:rPr>
        <w:t>ndicating RE capacity installed which may include RE sources in NPC-BNOCL facilities: solar photovoltaic or wind turbine.</w:t>
      </w:r>
    </w:p>
  </w:footnote>
  <w:footnote w:id="5">
    <w:p w:rsidR="009F6564" w:rsidRPr="00571FED" w:rsidRDefault="009F6564" w:rsidP="00DC6619">
      <w:pPr>
        <w:pStyle w:val="FootnoteText"/>
        <w:rPr>
          <w:lang w:val="en-US"/>
        </w:rPr>
      </w:pPr>
      <w:r>
        <w:rPr>
          <w:rStyle w:val="FootnoteReference"/>
        </w:rPr>
        <w:footnoteRef/>
      </w:r>
      <w:r w:rsidRPr="00571FED">
        <w:rPr>
          <w:lang w:val="en-US"/>
        </w:rPr>
        <w:t xml:space="preserve"> </w:t>
      </w:r>
      <w:r>
        <w:rPr>
          <w:lang w:val="en-US"/>
        </w:rPr>
        <w:t>I</w:t>
      </w:r>
      <w:r w:rsidRPr="0067056B">
        <w:rPr>
          <w:lang w:val="en-US"/>
        </w:rPr>
        <w:t>ndicating the EE measures implemented in NPC-BNOCL facilities.</w:t>
      </w:r>
    </w:p>
  </w:footnote>
  <w:footnote w:id="6">
    <w:p w:rsidR="009F6564" w:rsidRPr="00567F29" w:rsidRDefault="009F6564">
      <w:pPr>
        <w:pStyle w:val="FootnoteText"/>
        <w:rPr>
          <w:rFonts w:ascii="Arial" w:hAnsi="Arial" w:cs="Arial"/>
          <w:lang w:val="en-US"/>
        </w:rPr>
      </w:pPr>
      <w:r w:rsidRPr="00567F29">
        <w:rPr>
          <w:rStyle w:val="FootnoteReference"/>
          <w:rFonts w:cs="Arial"/>
        </w:rPr>
        <w:footnoteRef/>
      </w:r>
      <w:r w:rsidRPr="00567F29">
        <w:rPr>
          <w:rFonts w:ascii="Arial" w:hAnsi="Arial" w:cs="Arial"/>
          <w:lang w:val="en-US"/>
        </w:rPr>
        <w:t xml:space="preserve"> Project management costs include the cost of individual consultants to set up and bolster capacity of the Project Management Unit during project implementation as well as the cost of monitoring and reporting activities including data collection</w:t>
      </w:r>
    </w:p>
  </w:footnote>
  <w:footnote w:id="7">
    <w:p w:rsidR="009F6564" w:rsidRPr="002C0634" w:rsidRDefault="009F6564">
      <w:pPr>
        <w:pStyle w:val="FootnoteText"/>
        <w:rPr>
          <w:lang w:val="en-US"/>
        </w:rPr>
      </w:pPr>
      <w:r>
        <w:rPr>
          <w:rStyle w:val="FootnoteReference"/>
        </w:rPr>
        <w:footnoteRef/>
      </w:r>
      <w:r w:rsidRPr="005F7D46">
        <w:rPr>
          <w:lang w:val="en-US"/>
        </w:rPr>
        <w:t xml:space="preserve"> IDB report </w:t>
      </w:r>
      <w:r>
        <w:rPr>
          <w:lang w:val="en-US"/>
        </w:rPr>
        <w:t>ATN/OC-11473-BA, prepared by Castalia, June 2010.</w:t>
      </w:r>
    </w:p>
  </w:footnote>
  <w:footnote w:id="8">
    <w:p w:rsidR="009F6564" w:rsidRPr="00BE2CA4" w:rsidRDefault="009F6564" w:rsidP="00373473">
      <w:pPr>
        <w:pStyle w:val="FootnoteText"/>
        <w:rPr>
          <w:rFonts w:ascii="Arial" w:hAnsi="Arial" w:cs="Arial"/>
          <w:szCs w:val="18"/>
          <w:lang w:val="en-NZ"/>
        </w:rPr>
      </w:pPr>
      <w:r w:rsidRPr="00BE2CA4">
        <w:rPr>
          <w:rStyle w:val="FootnoteReference"/>
          <w:rFonts w:eastAsiaTheme="majorEastAsia" w:cs="Arial"/>
        </w:rPr>
        <w:footnoteRef/>
      </w:r>
      <w:r w:rsidRPr="005F7D46">
        <w:rPr>
          <w:rFonts w:ascii="Arial" w:hAnsi="Arial" w:cs="Arial"/>
          <w:szCs w:val="18"/>
          <w:lang w:val="en-US"/>
        </w:rPr>
        <w:t xml:space="preserve"> </w:t>
      </w:r>
      <w:proofErr w:type="gramStart"/>
      <w:r w:rsidRPr="00BE2CA4">
        <w:rPr>
          <w:rFonts w:ascii="Arial" w:hAnsi="Arial" w:cs="Arial"/>
          <w:szCs w:val="18"/>
          <w:lang w:val="en-NZ"/>
        </w:rPr>
        <w:t xml:space="preserve">Assuming a </w:t>
      </w:r>
      <w:r>
        <w:rPr>
          <w:rFonts w:ascii="Arial" w:hAnsi="Arial" w:cs="Arial"/>
          <w:szCs w:val="18"/>
          <w:lang w:val="en-NZ"/>
        </w:rPr>
        <w:t xml:space="preserve">real </w:t>
      </w:r>
      <w:r w:rsidRPr="00BE2CA4">
        <w:rPr>
          <w:rFonts w:ascii="Arial" w:hAnsi="Arial" w:cs="Arial"/>
          <w:szCs w:val="18"/>
          <w:lang w:val="en-NZ"/>
        </w:rPr>
        <w:t>discount rate of 1</w:t>
      </w:r>
      <w:r>
        <w:rPr>
          <w:rFonts w:ascii="Arial" w:hAnsi="Arial" w:cs="Arial"/>
          <w:szCs w:val="18"/>
          <w:lang w:val="en-NZ"/>
        </w:rPr>
        <w:t>2</w:t>
      </w:r>
      <w:r w:rsidRPr="00BE2CA4">
        <w:rPr>
          <w:rFonts w:ascii="Arial" w:hAnsi="Arial" w:cs="Arial"/>
          <w:szCs w:val="18"/>
          <w:lang w:val="en-NZ"/>
        </w:rPr>
        <w:t xml:space="preserve"> percent.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D67"/>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8E11FE0"/>
    <w:multiLevelType w:val="hybridMultilevel"/>
    <w:tmpl w:val="12744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EBF3276"/>
    <w:multiLevelType w:val="hybridMultilevel"/>
    <w:tmpl w:val="23DAC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3B4D69"/>
    <w:multiLevelType w:val="hybridMultilevel"/>
    <w:tmpl w:val="E5B6265A"/>
    <w:lvl w:ilvl="0" w:tplc="369C5D88">
      <w:start w:val="1"/>
      <w:numFmt w:val="upperRoman"/>
      <w:lvlText w:val="%1."/>
      <w:lvlJc w:val="left"/>
      <w:pPr>
        <w:ind w:left="1080" w:hanging="720"/>
      </w:pPr>
      <w:rPr>
        <w:rFonts w:hint="default"/>
      </w:rPr>
    </w:lvl>
    <w:lvl w:ilvl="1" w:tplc="C9C29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2514A0"/>
    <w:multiLevelType w:val="multilevel"/>
    <w:tmpl w:val="15B4DCE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nsid w:val="26D918F8"/>
    <w:multiLevelType w:val="hybridMultilevel"/>
    <w:tmpl w:val="34A4EFF0"/>
    <w:lvl w:ilvl="0" w:tplc="D36C94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A4324D"/>
    <w:multiLevelType w:val="hybridMultilevel"/>
    <w:tmpl w:val="C7F2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E353EC"/>
    <w:multiLevelType w:val="hybridMultilevel"/>
    <w:tmpl w:val="D97AA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F26D4C"/>
    <w:multiLevelType w:val="hybridMultilevel"/>
    <w:tmpl w:val="7820D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60451A"/>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41ED5E2A"/>
    <w:multiLevelType w:val="hybridMultilevel"/>
    <w:tmpl w:val="525E4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9231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5F02E73"/>
    <w:multiLevelType w:val="hybridMultilevel"/>
    <w:tmpl w:val="41083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EB567E"/>
    <w:multiLevelType w:val="multilevel"/>
    <w:tmpl w:val="71A43362"/>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B2279E0"/>
    <w:multiLevelType w:val="hybridMultilevel"/>
    <w:tmpl w:val="AB78CF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EB50DF"/>
    <w:multiLevelType w:val="hybridMultilevel"/>
    <w:tmpl w:val="4F70C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7B6495"/>
    <w:multiLevelType w:val="multilevel"/>
    <w:tmpl w:val="B20058D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EEC34E3"/>
    <w:multiLevelType w:val="hybridMultilevel"/>
    <w:tmpl w:val="51B862A8"/>
    <w:lvl w:ilvl="0" w:tplc="AD447F38">
      <w:start w:val="1"/>
      <w:numFmt w:val="bullet"/>
      <w:pStyle w:val="Bullet1"/>
      <w:lvlText w:val=""/>
      <w:lvlJc w:val="left"/>
      <w:pPr>
        <w:ind w:left="720" w:hanging="360"/>
      </w:pPr>
      <w:rPr>
        <w:rFonts w:ascii="Wingdings 3" w:hAnsi="Wingdings 3" w:hint="default"/>
        <w:sz w:val="20"/>
      </w:rPr>
    </w:lvl>
    <w:lvl w:ilvl="1" w:tplc="B93485CA">
      <w:start w:val="1"/>
      <w:numFmt w:val="bullet"/>
      <w:pStyle w:val="Bullet2"/>
      <w:lvlText w:val=""/>
      <w:lvlJc w:val="left"/>
      <w:pPr>
        <w:ind w:left="1440" w:hanging="360"/>
      </w:pPr>
      <w:rPr>
        <w:rFonts w:ascii="Wingdings 3" w:hAnsi="Wingdings 3"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333C61"/>
    <w:multiLevelType w:val="multilevel"/>
    <w:tmpl w:val="E9A04C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7CCA339F"/>
    <w:multiLevelType w:val="hybridMultilevel"/>
    <w:tmpl w:val="3FB8E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CC3927"/>
    <w:multiLevelType w:val="multilevel"/>
    <w:tmpl w:val="AABC9D7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num>
  <w:num w:numId="2">
    <w:abstractNumId w:val="17"/>
  </w:num>
  <w:num w:numId="3">
    <w:abstractNumId w:val="4"/>
  </w:num>
  <w:num w:numId="4">
    <w:abstractNumId w:val="3"/>
  </w:num>
  <w:num w:numId="5">
    <w:abstractNumId w:val="0"/>
  </w:num>
  <w:num w:numId="6">
    <w:abstractNumId w:val="1"/>
  </w:num>
  <w:num w:numId="7">
    <w:abstractNumId w:val="19"/>
  </w:num>
  <w:num w:numId="8">
    <w:abstractNumId w:val="2"/>
  </w:num>
  <w:num w:numId="9">
    <w:abstractNumId w:val="17"/>
  </w:num>
  <w:num w:numId="10">
    <w:abstractNumId w:val="17"/>
  </w:num>
  <w:num w:numId="11">
    <w:abstractNumId w:val="18"/>
  </w:num>
  <w:num w:numId="12">
    <w:abstractNumId w:val="5"/>
  </w:num>
  <w:num w:numId="13">
    <w:abstractNumId w:val="6"/>
  </w:num>
  <w:num w:numId="14">
    <w:abstractNumId w:val="12"/>
  </w:num>
  <w:num w:numId="15">
    <w:abstractNumId w:val="16"/>
  </w:num>
  <w:num w:numId="16">
    <w:abstractNumId w:val="14"/>
  </w:num>
  <w:num w:numId="17">
    <w:abstractNumId w:val="10"/>
  </w:num>
  <w:num w:numId="18">
    <w:abstractNumId w:val="8"/>
  </w:num>
  <w:num w:numId="19">
    <w:abstractNumId w:val="11"/>
  </w:num>
  <w:num w:numId="20">
    <w:abstractNumId w:val="13"/>
  </w:num>
  <w:num w:numId="21">
    <w:abstractNumId w:val="7"/>
  </w:num>
  <w:num w:numId="22">
    <w:abstractNumId w:val="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76C"/>
    <w:rsid w:val="00016A83"/>
    <w:rsid w:val="000252F8"/>
    <w:rsid w:val="000302EA"/>
    <w:rsid w:val="000347DF"/>
    <w:rsid w:val="00060DAC"/>
    <w:rsid w:val="00081639"/>
    <w:rsid w:val="000B0DBB"/>
    <w:rsid w:val="000D427D"/>
    <w:rsid w:val="00106969"/>
    <w:rsid w:val="001100AE"/>
    <w:rsid w:val="001178F8"/>
    <w:rsid w:val="00126666"/>
    <w:rsid w:val="001339BD"/>
    <w:rsid w:val="001419E2"/>
    <w:rsid w:val="00142DCB"/>
    <w:rsid w:val="0014709C"/>
    <w:rsid w:val="00147B3B"/>
    <w:rsid w:val="001553D5"/>
    <w:rsid w:val="001566E0"/>
    <w:rsid w:val="00166256"/>
    <w:rsid w:val="0016708E"/>
    <w:rsid w:val="00176B67"/>
    <w:rsid w:val="001B16C2"/>
    <w:rsid w:val="001B6CDF"/>
    <w:rsid w:val="001C02CD"/>
    <w:rsid w:val="001C3494"/>
    <w:rsid w:val="001D33A9"/>
    <w:rsid w:val="001D3E3B"/>
    <w:rsid w:val="001F6300"/>
    <w:rsid w:val="00253518"/>
    <w:rsid w:val="0027214B"/>
    <w:rsid w:val="00283C84"/>
    <w:rsid w:val="002B0D3C"/>
    <w:rsid w:val="002C0634"/>
    <w:rsid w:val="002C5C17"/>
    <w:rsid w:val="002D34ED"/>
    <w:rsid w:val="002F557A"/>
    <w:rsid w:val="002F7479"/>
    <w:rsid w:val="00300315"/>
    <w:rsid w:val="003147E8"/>
    <w:rsid w:val="0031657C"/>
    <w:rsid w:val="00325E20"/>
    <w:rsid w:val="003316C0"/>
    <w:rsid w:val="00342AC3"/>
    <w:rsid w:val="00350442"/>
    <w:rsid w:val="0035387E"/>
    <w:rsid w:val="00354A25"/>
    <w:rsid w:val="00354D6E"/>
    <w:rsid w:val="00362411"/>
    <w:rsid w:val="00367227"/>
    <w:rsid w:val="00373473"/>
    <w:rsid w:val="00394F58"/>
    <w:rsid w:val="00395902"/>
    <w:rsid w:val="003A4D42"/>
    <w:rsid w:val="003B2097"/>
    <w:rsid w:val="003C5E2A"/>
    <w:rsid w:val="003D745F"/>
    <w:rsid w:val="003D77FA"/>
    <w:rsid w:val="003E066C"/>
    <w:rsid w:val="003F7AAF"/>
    <w:rsid w:val="0040641B"/>
    <w:rsid w:val="00421E84"/>
    <w:rsid w:val="00441409"/>
    <w:rsid w:val="00455733"/>
    <w:rsid w:val="004630F5"/>
    <w:rsid w:val="004736A5"/>
    <w:rsid w:val="00474E65"/>
    <w:rsid w:val="004756EC"/>
    <w:rsid w:val="004A3744"/>
    <w:rsid w:val="004B6BEB"/>
    <w:rsid w:val="004F0CA8"/>
    <w:rsid w:val="004F1C89"/>
    <w:rsid w:val="004F1EAC"/>
    <w:rsid w:val="004F5AC2"/>
    <w:rsid w:val="00505D05"/>
    <w:rsid w:val="00511D0E"/>
    <w:rsid w:val="00514171"/>
    <w:rsid w:val="00521E19"/>
    <w:rsid w:val="005243AE"/>
    <w:rsid w:val="00524713"/>
    <w:rsid w:val="00526690"/>
    <w:rsid w:val="00531F6F"/>
    <w:rsid w:val="00551649"/>
    <w:rsid w:val="00554D01"/>
    <w:rsid w:val="00567F29"/>
    <w:rsid w:val="005720A1"/>
    <w:rsid w:val="005A506E"/>
    <w:rsid w:val="005D0C61"/>
    <w:rsid w:val="005E123A"/>
    <w:rsid w:val="005F7D46"/>
    <w:rsid w:val="00603F9C"/>
    <w:rsid w:val="00623EF9"/>
    <w:rsid w:val="00647419"/>
    <w:rsid w:val="00664E2C"/>
    <w:rsid w:val="00681871"/>
    <w:rsid w:val="00686753"/>
    <w:rsid w:val="006A0838"/>
    <w:rsid w:val="006B4997"/>
    <w:rsid w:val="006D6C60"/>
    <w:rsid w:val="006F02AF"/>
    <w:rsid w:val="006F565A"/>
    <w:rsid w:val="00702CD5"/>
    <w:rsid w:val="00713B66"/>
    <w:rsid w:val="00761CA9"/>
    <w:rsid w:val="0076590B"/>
    <w:rsid w:val="007872AD"/>
    <w:rsid w:val="00792019"/>
    <w:rsid w:val="007D295B"/>
    <w:rsid w:val="007D569C"/>
    <w:rsid w:val="007F7CF0"/>
    <w:rsid w:val="00800169"/>
    <w:rsid w:val="00804F05"/>
    <w:rsid w:val="00810DE1"/>
    <w:rsid w:val="008131A6"/>
    <w:rsid w:val="00820904"/>
    <w:rsid w:val="00825B94"/>
    <w:rsid w:val="00826E4A"/>
    <w:rsid w:val="00834426"/>
    <w:rsid w:val="00851E71"/>
    <w:rsid w:val="00865C22"/>
    <w:rsid w:val="0087550B"/>
    <w:rsid w:val="00882C71"/>
    <w:rsid w:val="00886C15"/>
    <w:rsid w:val="00897EAB"/>
    <w:rsid w:val="008A00E8"/>
    <w:rsid w:val="008B325D"/>
    <w:rsid w:val="008C7364"/>
    <w:rsid w:val="008D5E46"/>
    <w:rsid w:val="008E4E7F"/>
    <w:rsid w:val="00903934"/>
    <w:rsid w:val="00905254"/>
    <w:rsid w:val="00913256"/>
    <w:rsid w:val="0091554D"/>
    <w:rsid w:val="00923555"/>
    <w:rsid w:val="00924781"/>
    <w:rsid w:val="00933045"/>
    <w:rsid w:val="00936F16"/>
    <w:rsid w:val="00942DE4"/>
    <w:rsid w:val="00947DF6"/>
    <w:rsid w:val="00951AAB"/>
    <w:rsid w:val="00966D67"/>
    <w:rsid w:val="00971127"/>
    <w:rsid w:val="00980C34"/>
    <w:rsid w:val="009A0CD8"/>
    <w:rsid w:val="009B1279"/>
    <w:rsid w:val="009B6044"/>
    <w:rsid w:val="009C32B6"/>
    <w:rsid w:val="009D6BA4"/>
    <w:rsid w:val="009F3DE6"/>
    <w:rsid w:val="009F6564"/>
    <w:rsid w:val="00A07516"/>
    <w:rsid w:val="00A23B9C"/>
    <w:rsid w:val="00A25CF8"/>
    <w:rsid w:val="00A43347"/>
    <w:rsid w:val="00A63FF6"/>
    <w:rsid w:val="00A8193F"/>
    <w:rsid w:val="00AA7C32"/>
    <w:rsid w:val="00AC54C9"/>
    <w:rsid w:val="00AD5C5D"/>
    <w:rsid w:val="00AE5E5A"/>
    <w:rsid w:val="00AF3AE0"/>
    <w:rsid w:val="00B26DA5"/>
    <w:rsid w:val="00B476EE"/>
    <w:rsid w:val="00B67D6F"/>
    <w:rsid w:val="00BA2B80"/>
    <w:rsid w:val="00BB006A"/>
    <w:rsid w:val="00BC2BF5"/>
    <w:rsid w:val="00BD376C"/>
    <w:rsid w:val="00BD50CD"/>
    <w:rsid w:val="00BD7826"/>
    <w:rsid w:val="00BF6804"/>
    <w:rsid w:val="00BF6BF1"/>
    <w:rsid w:val="00C44DEF"/>
    <w:rsid w:val="00C46CA5"/>
    <w:rsid w:val="00C847CC"/>
    <w:rsid w:val="00C84C42"/>
    <w:rsid w:val="00C85CA0"/>
    <w:rsid w:val="00CA23FE"/>
    <w:rsid w:val="00CA3A02"/>
    <w:rsid w:val="00CA7689"/>
    <w:rsid w:val="00CB16FB"/>
    <w:rsid w:val="00CD0629"/>
    <w:rsid w:val="00CE0B17"/>
    <w:rsid w:val="00CE447E"/>
    <w:rsid w:val="00D1536A"/>
    <w:rsid w:val="00D2768A"/>
    <w:rsid w:val="00D34E3F"/>
    <w:rsid w:val="00D37EDC"/>
    <w:rsid w:val="00D57783"/>
    <w:rsid w:val="00D71420"/>
    <w:rsid w:val="00D754A2"/>
    <w:rsid w:val="00D76C9A"/>
    <w:rsid w:val="00D85277"/>
    <w:rsid w:val="00D937ED"/>
    <w:rsid w:val="00DC6619"/>
    <w:rsid w:val="00DF531D"/>
    <w:rsid w:val="00E01E7B"/>
    <w:rsid w:val="00E02766"/>
    <w:rsid w:val="00E076BF"/>
    <w:rsid w:val="00E316C8"/>
    <w:rsid w:val="00E448C1"/>
    <w:rsid w:val="00E572C9"/>
    <w:rsid w:val="00E6102F"/>
    <w:rsid w:val="00E70175"/>
    <w:rsid w:val="00E716C0"/>
    <w:rsid w:val="00E72B26"/>
    <w:rsid w:val="00E901B2"/>
    <w:rsid w:val="00E9236C"/>
    <w:rsid w:val="00EC4C81"/>
    <w:rsid w:val="00EF4E98"/>
    <w:rsid w:val="00EF5E95"/>
    <w:rsid w:val="00F063E0"/>
    <w:rsid w:val="00F13883"/>
    <w:rsid w:val="00F17D76"/>
    <w:rsid w:val="00F52278"/>
    <w:rsid w:val="00F67625"/>
    <w:rsid w:val="00F93388"/>
    <w:rsid w:val="00FA51F1"/>
    <w:rsid w:val="00FE15BB"/>
    <w:rsid w:val="00FF2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3D5"/>
    <w:rPr>
      <w:rFonts w:ascii="Garamond" w:hAnsi="Garamond"/>
      <w:color w:val="262626" w:themeColor="text1" w:themeTint="D9"/>
      <w:sz w:val="24"/>
    </w:rPr>
  </w:style>
  <w:style w:type="paragraph" w:styleId="Heading1">
    <w:name w:val="heading 1"/>
    <w:basedOn w:val="Normal"/>
    <w:next w:val="Normal"/>
    <w:link w:val="Heading1Char"/>
    <w:uiPriority w:val="9"/>
    <w:qFormat/>
    <w:rsid w:val="009F3DE6"/>
    <w:pPr>
      <w:keepNext/>
      <w:keepLines/>
      <w:numPr>
        <w:numId w:val="23"/>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9F3DE6"/>
    <w:pPr>
      <w:keepNext/>
      <w:keepLines/>
      <w:numPr>
        <w:ilvl w:val="1"/>
        <w:numId w:val="23"/>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942DE4"/>
    <w:pPr>
      <w:keepNext/>
      <w:keepLines/>
      <w:numPr>
        <w:ilvl w:val="2"/>
        <w:numId w:val="23"/>
      </w:numPr>
      <w:spacing w:before="200" w:after="0"/>
      <w:outlineLvl w:val="2"/>
    </w:pPr>
    <w:rPr>
      <w:rFonts w:ascii="Arial" w:eastAsiaTheme="majorEastAsia" w:hAnsi="Arial" w:cs="Arial"/>
      <w:b/>
      <w:bCs/>
    </w:rPr>
  </w:style>
  <w:style w:type="paragraph" w:styleId="Heading4">
    <w:name w:val="heading 4"/>
    <w:basedOn w:val="Normal"/>
    <w:next w:val="Normal"/>
    <w:link w:val="Heading4Char"/>
    <w:uiPriority w:val="9"/>
    <w:semiHidden/>
    <w:unhideWhenUsed/>
    <w:qFormat/>
    <w:rsid w:val="00BD376C"/>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D376C"/>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D376C"/>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D376C"/>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D376C"/>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D376C"/>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DE6"/>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uiPriority w:val="9"/>
    <w:rsid w:val="009F3DE6"/>
    <w:rPr>
      <w:rFonts w:ascii="Garamond" w:eastAsiaTheme="majorEastAsia" w:hAnsi="Garamond" w:cstheme="majorBidi"/>
      <w:b/>
      <w:bCs/>
      <w:color w:val="262626" w:themeColor="text1" w:themeTint="D9"/>
      <w:sz w:val="26"/>
      <w:szCs w:val="26"/>
    </w:rPr>
  </w:style>
  <w:style w:type="paragraph" w:styleId="Title">
    <w:name w:val="Title"/>
    <w:basedOn w:val="Normal"/>
    <w:next w:val="Normal"/>
    <w:link w:val="TitleChar"/>
    <w:uiPriority w:val="10"/>
    <w:qFormat/>
    <w:rsid w:val="009F3DE6"/>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9F3DE6"/>
    <w:rPr>
      <w:rFonts w:ascii="Garamond" w:eastAsiaTheme="majorEastAsia" w:hAnsi="Garamond" w:cstheme="majorBidi"/>
      <w:color w:val="262626" w:themeColor="text1" w:themeTint="D9"/>
      <w:spacing w:val="5"/>
      <w:kern w:val="28"/>
      <w:sz w:val="48"/>
      <w:szCs w:val="52"/>
    </w:rPr>
  </w:style>
  <w:style w:type="paragraph" w:customStyle="1" w:styleId="Bullet2">
    <w:name w:val="Bullet 2"/>
    <w:basedOn w:val="Bullet1"/>
    <w:link w:val="Bullet2Char"/>
    <w:qFormat/>
    <w:rsid w:val="009F3DE6"/>
    <w:pPr>
      <w:numPr>
        <w:ilvl w:val="1"/>
        <w:numId w:val="2"/>
      </w:numPr>
    </w:pPr>
    <w:rPr>
      <w:color w:val="262626" w:themeColor="text1" w:themeTint="D9"/>
    </w:rPr>
  </w:style>
  <w:style w:type="character" w:customStyle="1" w:styleId="Bullet2Char">
    <w:name w:val="Bullet 2 Char"/>
    <w:basedOn w:val="Bullet1Char"/>
    <w:link w:val="Bullet2"/>
    <w:rsid w:val="009F3DE6"/>
    <w:rPr>
      <w:rFonts w:ascii="Garamond" w:hAnsi="Garamond"/>
      <w:color w:val="262626" w:themeColor="text1" w:themeTint="D9"/>
      <w:sz w:val="24"/>
    </w:rPr>
  </w:style>
  <w:style w:type="paragraph" w:customStyle="1" w:styleId="Bullet1">
    <w:name w:val="Bullet 1"/>
    <w:basedOn w:val="ListParagraph"/>
    <w:link w:val="Bullet1Char"/>
    <w:qFormat/>
    <w:rsid w:val="009F3DE6"/>
    <w:pPr>
      <w:numPr>
        <w:numId w:val="10"/>
      </w:numPr>
      <w:contextualSpacing w:val="0"/>
    </w:pPr>
    <w:rPr>
      <w:color w:val="FFC000"/>
    </w:rPr>
  </w:style>
  <w:style w:type="character" w:customStyle="1" w:styleId="Bullet1Char">
    <w:name w:val="Bullet 1 Char"/>
    <w:basedOn w:val="ListParagraphChar"/>
    <w:link w:val="Bullet1"/>
    <w:rsid w:val="009F3DE6"/>
    <w:rPr>
      <w:rFonts w:ascii="Garamond" w:hAnsi="Garamond"/>
      <w:color w:val="FFC000"/>
      <w:sz w:val="24"/>
    </w:rPr>
  </w:style>
  <w:style w:type="paragraph" w:styleId="ListParagraph">
    <w:name w:val="List Paragraph"/>
    <w:basedOn w:val="Normal"/>
    <w:link w:val="ListParagraphChar"/>
    <w:uiPriority w:val="34"/>
    <w:qFormat/>
    <w:rsid w:val="009F3DE6"/>
    <w:pPr>
      <w:ind w:left="720"/>
      <w:contextualSpacing/>
    </w:pPr>
  </w:style>
  <w:style w:type="paragraph" w:styleId="Caption">
    <w:name w:val="caption"/>
    <w:basedOn w:val="Normal"/>
    <w:next w:val="Normal"/>
    <w:link w:val="CaptionChar"/>
    <w:unhideWhenUsed/>
    <w:qFormat/>
    <w:rsid w:val="009F3DE6"/>
    <w:pPr>
      <w:pBdr>
        <w:bottom w:val="single" w:sz="8" w:space="1" w:color="FFC000"/>
      </w:pBdr>
      <w:spacing w:line="240" w:lineRule="auto"/>
    </w:pPr>
    <w:rPr>
      <w:b/>
      <w:bCs/>
      <w:szCs w:val="18"/>
    </w:rPr>
  </w:style>
  <w:style w:type="paragraph" w:customStyle="1" w:styleId="Source">
    <w:name w:val="Source"/>
    <w:basedOn w:val="Normal"/>
    <w:link w:val="SourceChar"/>
    <w:qFormat/>
    <w:rsid w:val="009F3DE6"/>
    <w:pPr>
      <w:pBdr>
        <w:top w:val="single" w:sz="8" w:space="1" w:color="FFC000"/>
      </w:pBdr>
    </w:pPr>
    <w:rPr>
      <w:sz w:val="20"/>
      <w:szCs w:val="20"/>
    </w:rPr>
  </w:style>
  <w:style w:type="character" w:customStyle="1" w:styleId="SourceChar">
    <w:name w:val="Source Char"/>
    <w:basedOn w:val="DefaultParagraphFont"/>
    <w:link w:val="Source"/>
    <w:rsid w:val="009F3DE6"/>
    <w:rPr>
      <w:rFonts w:ascii="Garamond" w:hAnsi="Garamond"/>
      <w:color w:val="262626" w:themeColor="text1" w:themeTint="D9"/>
      <w:sz w:val="20"/>
      <w:szCs w:val="20"/>
    </w:rPr>
  </w:style>
  <w:style w:type="character" w:customStyle="1" w:styleId="Heading3Char">
    <w:name w:val="Heading 3 Char"/>
    <w:basedOn w:val="DefaultParagraphFont"/>
    <w:link w:val="Heading3"/>
    <w:uiPriority w:val="9"/>
    <w:rsid w:val="00942DE4"/>
    <w:rPr>
      <w:rFonts w:ascii="Arial" w:eastAsiaTheme="majorEastAsia" w:hAnsi="Arial" w:cs="Arial"/>
      <w:b/>
      <w:bCs/>
      <w:color w:val="262626" w:themeColor="text1" w:themeTint="D9"/>
      <w:sz w:val="24"/>
    </w:rPr>
  </w:style>
  <w:style w:type="character" w:customStyle="1" w:styleId="Heading4Char">
    <w:name w:val="Heading 4 Char"/>
    <w:basedOn w:val="DefaultParagraphFont"/>
    <w:link w:val="Heading4"/>
    <w:uiPriority w:val="9"/>
    <w:semiHidden/>
    <w:rsid w:val="00BD376C"/>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BD376C"/>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BD376C"/>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BD376C"/>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BD376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D376C"/>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BD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9F3DE6"/>
    <w:rPr>
      <w:rFonts w:ascii="Garamond" w:hAnsi="Garamond"/>
      <w:color w:val="262626" w:themeColor="text1" w:themeTint="D9"/>
      <w:sz w:val="24"/>
    </w:rPr>
  </w:style>
  <w:style w:type="paragraph" w:styleId="BalloonText">
    <w:name w:val="Balloon Text"/>
    <w:basedOn w:val="Normal"/>
    <w:link w:val="BalloonTextChar"/>
    <w:uiPriority w:val="99"/>
    <w:semiHidden/>
    <w:unhideWhenUsed/>
    <w:rsid w:val="00B67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D6F"/>
    <w:rPr>
      <w:rFonts w:ascii="Tahoma" w:hAnsi="Tahoma" w:cs="Tahoma"/>
      <w:color w:val="262626" w:themeColor="text1" w:themeTint="D9"/>
      <w:sz w:val="16"/>
      <w:szCs w:val="16"/>
    </w:rPr>
  </w:style>
  <w:style w:type="character" w:styleId="CommentReference">
    <w:name w:val="annotation reference"/>
    <w:basedOn w:val="DefaultParagraphFont"/>
    <w:unhideWhenUsed/>
    <w:rsid w:val="0035387E"/>
    <w:rPr>
      <w:sz w:val="16"/>
      <w:szCs w:val="16"/>
    </w:rPr>
  </w:style>
  <w:style w:type="paragraph" w:styleId="CommentText">
    <w:name w:val="annotation text"/>
    <w:basedOn w:val="Normal"/>
    <w:link w:val="CommentTextChar"/>
    <w:uiPriority w:val="99"/>
    <w:unhideWhenUsed/>
    <w:rsid w:val="0035387E"/>
    <w:pPr>
      <w:spacing w:line="240" w:lineRule="auto"/>
    </w:pPr>
    <w:rPr>
      <w:rFonts w:asciiTheme="minorHAnsi" w:hAnsiTheme="minorHAnsi"/>
      <w:color w:val="auto"/>
      <w:sz w:val="20"/>
      <w:szCs w:val="20"/>
      <w:lang w:val="es-ES"/>
    </w:rPr>
  </w:style>
  <w:style w:type="character" w:customStyle="1" w:styleId="CommentTextChar">
    <w:name w:val="Comment Text Char"/>
    <w:basedOn w:val="DefaultParagraphFont"/>
    <w:link w:val="CommentText"/>
    <w:uiPriority w:val="99"/>
    <w:rsid w:val="0035387E"/>
    <w:rPr>
      <w:sz w:val="20"/>
      <w:szCs w:val="20"/>
      <w:lang w:val="es-ES"/>
    </w:rPr>
  </w:style>
  <w:style w:type="table" w:customStyle="1" w:styleId="TableGrid1">
    <w:name w:val="Table Grid1"/>
    <w:basedOn w:val="TableNormal"/>
    <w:next w:val="TableGrid"/>
    <w:uiPriority w:val="59"/>
    <w:rsid w:val="005E123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NECG) Footnote Reference,Ref,de nota al pie,Style 24,16 Point,Superscript 6 Point,Comment Text Char1,Fußnotenzeichen DISS"/>
    <w:rsid w:val="00F13883"/>
    <w:rPr>
      <w:rFonts w:ascii="Arial" w:hAnsi="Arial"/>
      <w:vertAlign w:val="superscript"/>
    </w:rPr>
  </w:style>
  <w:style w:type="paragraph" w:styleId="FootnoteText">
    <w:name w:val="footnote text"/>
    <w:basedOn w:val="Normal"/>
    <w:link w:val="FootnoteTextChar"/>
    <w:uiPriority w:val="99"/>
    <w:semiHidden/>
    <w:unhideWhenUsed/>
    <w:rsid w:val="00F13883"/>
    <w:pPr>
      <w:spacing w:after="0" w:line="240" w:lineRule="auto"/>
    </w:pPr>
    <w:rPr>
      <w:rFonts w:asciiTheme="minorHAnsi" w:hAnsiTheme="minorHAnsi"/>
      <w:color w:val="auto"/>
      <w:sz w:val="20"/>
      <w:szCs w:val="20"/>
      <w:lang w:val="es-ES"/>
    </w:rPr>
  </w:style>
  <w:style w:type="character" w:customStyle="1" w:styleId="FootnoteTextChar">
    <w:name w:val="Footnote Text Char"/>
    <w:basedOn w:val="DefaultParagraphFont"/>
    <w:link w:val="FootnoteText"/>
    <w:uiPriority w:val="99"/>
    <w:semiHidden/>
    <w:rsid w:val="00F13883"/>
    <w:rPr>
      <w:sz w:val="20"/>
      <w:szCs w:val="20"/>
      <w:lang w:val="es-ES"/>
    </w:rPr>
  </w:style>
  <w:style w:type="character" w:customStyle="1" w:styleId="CaptionChar">
    <w:name w:val="Caption Char"/>
    <w:link w:val="Caption"/>
    <w:locked/>
    <w:rsid w:val="00623EF9"/>
    <w:rPr>
      <w:rFonts w:ascii="Garamond" w:hAnsi="Garamond"/>
      <w:b/>
      <w:bCs/>
      <w:color w:val="262626" w:themeColor="text1" w:themeTint="D9"/>
      <w:sz w:val="24"/>
      <w:szCs w:val="18"/>
    </w:rPr>
  </w:style>
  <w:style w:type="paragraph" w:styleId="CommentSubject">
    <w:name w:val="annotation subject"/>
    <w:basedOn w:val="CommentText"/>
    <w:next w:val="CommentText"/>
    <w:link w:val="CommentSubjectChar"/>
    <w:uiPriority w:val="99"/>
    <w:semiHidden/>
    <w:unhideWhenUsed/>
    <w:rsid w:val="00942DE4"/>
    <w:rPr>
      <w:rFonts w:ascii="Garamond" w:hAnsi="Garamond"/>
      <w:b/>
      <w:bCs/>
      <w:color w:val="262626" w:themeColor="text1" w:themeTint="D9"/>
      <w:lang w:val="en-US"/>
    </w:rPr>
  </w:style>
  <w:style w:type="character" w:customStyle="1" w:styleId="CommentSubjectChar">
    <w:name w:val="Comment Subject Char"/>
    <w:basedOn w:val="CommentTextChar"/>
    <w:link w:val="CommentSubject"/>
    <w:uiPriority w:val="99"/>
    <w:semiHidden/>
    <w:rsid w:val="00942DE4"/>
    <w:rPr>
      <w:rFonts w:ascii="Garamond" w:hAnsi="Garamond"/>
      <w:b/>
      <w:bCs/>
      <w:color w:val="262626" w:themeColor="text1" w:themeTint="D9"/>
      <w:sz w:val="20"/>
      <w:szCs w:val="20"/>
      <w:lang w:val="es-ES"/>
    </w:rPr>
  </w:style>
  <w:style w:type="paragraph" w:styleId="TOCHeading">
    <w:name w:val="TOC Heading"/>
    <w:basedOn w:val="Heading1"/>
    <w:next w:val="Normal"/>
    <w:uiPriority w:val="39"/>
    <w:semiHidden/>
    <w:unhideWhenUsed/>
    <w:qFormat/>
    <w:rsid w:val="009D6BA4"/>
    <w:pPr>
      <w:numPr>
        <w:numId w:val="0"/>
      </w:numPr>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9D6BA4"/>
    <w:pPr>
      <w:spacing w:after="100"/>
    </w:pPr>
  </w:style>
  <w:style w:type="paragraph" w:styleId="TOC2">
    <w:name w:val="toc 2"/>
    <w:basedOn w:val="Normal"/>
    <w:next w:val="Normal"/>
    <w:autoRedefine/>
    <w:uiPriority w:val="39"/>
    <w:unhideWhenUsed/>
    <w:rsid w:val="009D6BA4"/>
    <w:pPr>
      <w:spacing w:after="100"/>
      <w:ind w:left="240"/>
    </w:pPr>
  </w:style>
  <w:style w:type="paragraph" w:styleId="TOC3">
    <w:name w:val="toc 3"/>
    <w:basedOn w:val="Normal"/>
    <w:next w:val="Normal"/>
    <w:autoRedefine/>
    <w:uiPriority w:val="39"/>
    <w:unhideWhenUsed/>
    <w:rsid w:val="009D6BA4"/>
    <w:pPr>
      <w:spacing w:after="100"/>
      <w:ind w:left="480"/>
    </w:pPr>
  </w:style>
  <w:style w:type="character" w:styleId="Hyperlink">
    <w:name w:val="Hyperlink"/>
    <w:basedOn w:val="DefaultParagraphFont"/>
    <w:uiPriority w:val="99"/>
    <w:unhideWhenUsed/>
    <w:rsid w:val="009D6B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3D5"/>
    <w:rPr>
      <w:rFonts w:ascii="Garamond" w:hAnsi="Garamond"/>
      <w:color w:val="262626" w:themeColor="text1" w:themeTint="D9"/>
      <w:sz w:val="24"/>
    </w:rPr>
  </w:style>
  <w:style w:type="paragraph" w:styleId="Heading1">
    <w:name w:val="heading 1"/>
    <w:basedOn w:val="Normal"/>
    <w:next w:val="Normal"/>
    <w:link w:val="Heading1Char"/>
    <w:uiPriority w:val="9"/>
    <w:qFormat/>
    <w:rsid w:val="009F3DE6"/>
    <w:pPr>
      <w:keepNext/>
      <w:keepLines/>
      <w:numPr>
        <w:numId w:val="23"/>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9F3DE6"/>
    <w:pPr>
      <w:keepNext/>
      <w:keepLines/>
      <w:numPr>
        <w:ilvl w:val="1"/>
        <w:numId w:val="23"/>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942DE4"/>
    <w:pPr>
      <w:keepNext/>
      <w:keepLines/>
      <w:numPr>
        <w:ilvl w:val="2"/>
        <w:numId w:val="23"/>
      </w:numPr>
      <w:spacing w:before="200" w:after="0"/>
      <w:outlineLvl w:val="2"/>
    </w:pPr>
    <w:rPr>
      <w:rFonts w:ascii="Arial" w:eastAsiaTheme="majorEastAsia" w:hAnsi="Arial" w:cs="Arial"/>
      <w:b/>
      <w:bCs/>
    </w:rPr>
  </w:style>
  <w:style w:type="paragraph" w:styleId="Heading4">
    <w:name w:val="heading 4"/>
    <w:basedOn w:val="Normal"/>
    <w:next w:val="Normal"/>
    <w:link w:val="Heading4Char"/>
    <w:uiPriority w:val="9"/>
    <w:semiHidden/>
    <w:unhideWhenUsed/>
    <w:qFormat/>
    <w:rsid w:val="00BD376C"/>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D376C"/>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D376C"/>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D376C"/>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D376C"/>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D376C"/>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DE6"/>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uiPriority w:val="9"/>
    <w:rsid w:val="009F3DE6"/>
    <w:rPr>
      <w:rFonts w:ascii="Garamond" w:eastAsiaTheme="majorEastAsia" w:hAnsi="Garamond" w:cstheme="majorBidi"/>
      <w:b/>
      <w:bCs/>
      <w:color w:val="262626" w:themeColor="text1" w:themeTint="D9"/>
      <w:sz w:val="26"/>
      <w:szCs w:val="26"/>
    </w:rPr>
  </w:style>
  <w:style w:type="paragraph" w:styleId="Title">
    <w:name w:val="Title"/>
    <w:basedOn w:val="Normal"/>
    <w:next w:val="Normal"/>
    <w:link w:val="TitleChar"/>
    <w:uiPriority w:val="10"/>
    <w:qFormat/>
    <w:rsid w:val="009F3DE6"/>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9F3DE6"/>
    <w:rPr>
      <w:rFonts w:ascii="Garamond" w:eastAsiaTheme="majorEastAsia" w:hAnsi="Garamond" w:cstheme="majorBidi"/>
      <w:color w:val="262626" w:themeColor="text1" w:themeTint="D9"/>
      <w:spacing w:val="5"/>
      <w:kern w:val="28"/>
      <w:sz w:val="48"/>
      <w:szCs w:val="52"/>
    </w:rPr>
  </w:style>
  <w:style w:type="paragraph" w:customStyle="1" w:styleId="Bullet2">
    <w:name w:val="Bullet 2"/>
    <w:basedOn w:val="Bullet1"/>
    <w:link w:val="Bullet2Char"/>
    <w:qFormat/>
    <w:rsid w:val="009F3DE6"/>
    <w:pPr>
      <w:numPr>
        <w:ilvl w:val="1"/>
        <w:numId w:val="2"/>
      </w:numPr>
    </w:pPr>
    <w:rPr>
      <w:color w:val="262626" w:themeColor="text1" w:themeTint="D9"/>
    </w:rPr>
  </w:style>
  <w:style w:type="character" w:customStyle="1" w:styleId="Bullet2Char">
    <w:name w:val="Bullet 2 Char"/>
    <w:basedOn w:val="Bullet1Char"/>
    <w:link w:val="Bullet2"/>
    <w:rsid w:val="009F3DE6"/>
    <w:rPr>
      <w:rFonts w:ascii="Garamond" w:hAnsi="Garamond"/>
      <w:color w:val="262626" w:themeColor="text1" w:themeTint="D9"/>
      <w:sz w:val="24"/>
    </w:rPr>
  </w:style>
  <w:style w:type="paragraph" w:customStyle="1" w:styleId="Bullet1">
    <w:name w:val="Bullet 1"/>
    <w:basedOn w:val="ListParagraph"/>
    <w:link w:val="Bullet1Char"/>
    <w:qFormat/>
    <w:rsid w:val="009F3DE6"/>
    <w:pPr>
      <w:numPr>
        <w:numId w:val="10"/>
      </w:numPr>
      <w:contextualSpacing w:val="0"/>
    </w:pPr>
    <w:rPr>
      <w:color w:val="FFC000"/>
    </w:rPr>
  </w:style>
  <w:style w:type="character" w:customStyle="1" w:styleId="Bullet1Char">
    <w:name w:val="Bullet 1 Char"/>
    <w:basedOn w:val="ListParagraphChar"/>
    <w:link w:val="Bullet1"/>
    <w:rsid w:val="009F3DE6"/>
    <w:rPr>
      <w:rFonts w:ascii="Garamond" w:hAnsi="Garamond"/>
      <w:color w:val="FFC000"/>
      <w:sz w:val="24"/>
    </w:rPr>
  </w:style>
  <w:style w:type="paragraph" w:styleId="ListParagraph">
    <w:name w:val="List Paragraph"/>
    <w:basedOn w:val="Normal"/>
    <w:link w:val="ListParagraphChar"/>
    <w:uiPriority w:val="34"/>
    <w:qFormat/>
    <w:rsid w:val="009F3DE6"/>
    <w:pPr>
      <w:ind w:left="720"/>
      <w:contextualSpacing/>
    </w:pPr>
  </w:style>
  <w:style w:type="paragraph" w:styleId="Caption">
    <w:name w:val="caption"/>
    <w:basedOn w:val="Normal"/>
    <w:next w:val="Normal"/>
    <w:link w:val="CaptionChar"/>
    <w:unhideWhenUsed/>
    <w:qFormat/>
    <w:rsid w:val="009F3DE6"/>
    <w:pPr>
      <w:pBdr>
        <w:bottom w:val="single" w:sz="8" w:space="1" w:color="FFC000"/>
      </w:pBdr>
      <w:spacing w:line="240" w:lineRule="auto"/>
    </w:pPr>
    <w:rPr>
      <w:b/>
      <w:bCs/>
      <w:szCs w:val="18"/>
    </w:rPr>
  </w:style>
  <w:style w:type="paragraph" w:customStyle="1" w:styleId="Source">
    <w:name w:val="Source"/>
    <w:basedOn w:val="Normal"/>
    <w:link w:val="SourceChar"/>
    <w:qFormat/>
    <w:rsid w:val="009F3DE6"/>
    <w:pPr>
      <w:pBdr>
        <w:top w:val="single" w:sz="8" w:space="1" w:color="FFC000"/>
      </w:pBdr>
    </w:pPr>
    <w:rPr>
      <w:sz w:val="20"/>
      <w:szCs w:val="20"/>
    </w:rPr>
  </w:style>
  <w:style w:type="character" w:customStyle="1" w:styleId="SourceChar">
    <w:name w:val="Source Char"/>
    <w:basedOn w:val="DefaultParagraphFont"/>
    <w:link w:val="Source"/>
    <w:rsid w:val="009F3DE6"/>
    <w:rPr>
      <w:rFonts w:ascii="Garamond" w:hAnsi="Garamond"/>
      <w:color w:val="262626" w:themeColor="text1" w:themeTint="D9"/>
      <w:sz w:val="20"/>
      <w:szCs w:val="20"/>
    </w:rPr>
  </w:style>
  <w:style w:type="character" w:customStyle="1" w:styleId="Heading3Char">
    <w:name w:val="Heading 3 Char"/>
    <w:basedOn w:val="DefaultParagraphFont"/>
    <w:link w:val="Heading3"/>
    <w:uiPriority w:val="9"/>
    <w:rsid w:val="00942DE4"/>
    <w:rPr>
      <w:rFonts w:ascii="Arial" w:eastAsiaTheme="majorEastAsia" w:hAnsi="Arial" w:cs="Arial"/>
      <w:b/>
      <w:bCs/>
      <w:color w:val="262626" w:themeColor="text1" w:themeTint="D9"/>
      <w:sz w:val="24"/>
    </w:rPr>
  </w:style>
  <w:style w:type="character" w:customStyle="1" w:styleId="Heading4Char">
    <w:name w:val="Heading 4 Char"/>
    <w:basedOn w:val="DefaultParagraphFont"/>
    <w:link w:val="Heading4"/>
    <w:uiPriority w:val="9"/>
    <w:semiHidden/>
    <w:rsid w:val="00BD376C"/>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BD376C"/>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BD376C"/>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BD376C"/>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BD376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D376C"/>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BD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9F3DE6"/>
    <w:rPr>
      <w:rFonts w:ascii="Garamond" w:hAnsi="Garamond"/>
      <w:color w:val="262626" w:themeColor="text1" w:themeTint="D9"/>
      <w:sz w:val="24"/>
    </w:rPr>
  </w:style>
  <w:style w:type="paragraph" w:styleId="BalloonText">
    <w:name w:val="Balloon Text"/>
    <w:basedOn w:val="Normal"/>
    <w:link w:val="BalloonTextChar"/>
    <w:uiPriority w:val="99"/>
    <w:semiHidden/>
    <w:unhideWhenUsed/>
    <w:rsid w:val="00B67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D6F"/>
    <w:rPr>
      <w:rFonts w:ascii="Tahoma" w:hAnsi="Tahoma" w:cs="Tahoma"/>
      <w:color w:val="262626" w:themeColor="text1" w:themeTint="D9"/>
      <w:sz w:val="16"/>
      <w:szCs w:val="16"/>
    </w:rPr>
  </w:style>
  <w:style w:type="character" w:styleId="CommentReference">
    <w:name w:val="annotation reference"/>
    <w:basedOn w:val="DefaultParagraphFont"/>
    <w:unhideWhenUsed/>
    <w:rsid w:val="0035387E"/>
    <w:rPr>
      <w:sz w:val="16"/>
      <w:szCs w:val="16"/>
    </w:rPr>
  </w:style>
  <w:style w:type="paragraph" w:styleId="CommentText">
    <w:name w:val="annotation text"/>
    <w:basedOn w:val="Normal"/>
    <w:link w:val="CommentTextChar"/>
    <w:uiPriority w:val="99"/>
    <w:unhideWhenUsed/>
    <w:rsid w:val="0035387E"/>
    <w:pPr>
      <w:spacing w:line="240" w:lineRule="auto"/>
    </w:pPr>
    <w:rPr>
      <w:rFonts w:asciiTheme="minorHAnsi" w:hAnsiTheme="minorHAnsi"/>
      <w:color w:val="auto"/>
      <w:sz w:val="20"/>
      <w:szCs w:val="20"/>
      <w:lang w:val="es-ES"/>
    </w:rPr>
  </w:style>
  <w:style w:type="character" w:customStyle="1" w:styleId="CommentTextChar">
    <w:name w:val="Comment Text Char"/>
    <w:basedOn w:val="DefaultParagraphFont"/>
    <w:link w:val="CommentText"/>
    <w:uiPriority w:val="99"/>
    <w:rsid w:val="0035387E"/>
    <w:rPr>
      <w:sz w:val="20"/>
      <w:szCs w:val="20"/>
      <w:lang w:val="es-ES"/>
    </w:rPr>
  </w:style>
  <w:style w:type="table" w:customStyle="1" w:styleId="TableGrid1">
    <w:name w:val="Table Grid1"/>
    <w:basedOn w:val="TableNormal"/>
    <w:next w:val="TableGrid"/>
    <w:uiPriority w:val="59"/>
    <w:rsid w:val="005E123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NECG) Footnote Reference,Ref,de nota al pie,Style 24,16 Point,Superscript 6 Point,Comment Text Char1,Fußnotenzeichen DISS"/>
    <w:rsid w:val="00F13883"/>
    <w:rPr>
      <w:rFonts w:ascii="Arial" w:hAnsi="Arial"/>
      <w:vertAlign w:val="superscript"/>
    </w:rPr>
  </w:style>
  <w:style w:type="paragraph" w:styleId="FootnoteText">
    <w:name w:val="footnote text"/>
    <w:basedOn w:val="Normal"/>
    <w:link w:val="FootnoteTextChar"/>
    <w:uiPriority w:val="99"/>
    <w:semiHidden/>
    <w:unhideWhenUsed/>
    <w:rsid w:val="00F13883"/>
    <w:pPr>
      <w:spacing w:after="0" w:line="240" w:lineRule="auto"/>
    </w:pPr>
    <w:rPr>
      <w:rFonts w:asciiTheme="minorHAnsi" w:hAnsiTheme="minorHAnsi"/>
      <w:color w:val="auto"/>
      <w:sz w:val="20"/>
      <w:szCs w:val="20"/>
      <w:lang w:val="es-ES"/>
    </w:rPr>
  </w:style>
  <w:style w:type="character" w:customStyle="1" w:styleId="FootnoteTextChar">
    <w:name w:val="Footnote Text Char"/>
    <w:basedOn w:val="DefaultParagraphFont"/>
    <w:link w:val="FootnoteText"/>
    <w:uiPriority w:val="99"/>
    <w:semiHidden/>
    <w:rsid w:val="00F13883"/>
    <w:rPr>
      <w:sz w:val="20"/>
      <w:szCs w:val="20"/>
      <w:lang w:val="es-ES"/>
    </w:rPr>
  </w:style>
  <w:style w:type="character" w:customStyle="1" w:styleId="CaptionChar">
    <w:name w:val="Caption Char"/>
    <w:link w:val="Caption"/>
    <w:locked/>
    <w:rsid w:val="00623EF9"/>
    <w:rPr>
      <w:rFonts w:ascii="Garamond" w:hAnsi="Garamond"/>
      <w:b/>
      <w:bCs/>
      <w:color w:val="262626" w:themeColor="text1" w:themeTint="D9"/>
      <w:sz w:val="24"/>
      <w:szCs w:val="18"/>
    </w:rPr>
  </w:style>
  <w:style w:type="paragraph" w:styleId="CommentSubject">
    <w:name w:val="annotation subject"/>
    <w:basedOn w:val="CommentText"/>
    <w:next w:val="CommentText"/>
    <w:link w:val="CommentSubjectChar"/>
    <w:uiPriority w:val="99"/>
    <w:semiHidden/>
    <w:unhideWhenUsed/>
    <w:rsid w:val="00942DE4"/>
    <w:rPr>
      <w:rFonts w:ascii="Garamond" w:hAnsi="Garamond"/>
      <w:b/>
      <w:bCs/>
      <w:color w:val="262626" w:themeColor="text1" w:themeTint="D9"/>
      <w:lang w:val="en-US"/>
    </w:rPr>
  </w:style>
  <w:style w:type="character" w:customStyle="1" w:styleId="CommentSubjectChar">
    <w:name w:val="Comment Subject Char"/>
    <w:basedOn w:val="CommentTextChar"/>
    <w:link w:val="CommentSubject"/>
    <w:uiPriority w:val="99"/>
    <w:semiHidden/>
    <w:rsid w:val="00942DE4"/>
    <w:rPr>
      <w:rFonts w:ascii="Garamond" w:hAnsi="Garamond"/>
      <w:b/>
      <w:bCs/>
      <w:color w:val="262626" w:themeColor="text1" w:themeTint="D9"/>
      <w:sz w:val="20"/>
      <w:szCs w:val="20"/>
      <w:lang w:val="es-ES"/>
    </w:rPr>
  </w:style>
  <w:style w:type="paragraph" w:styleId="TOCHeading">
    <w:name w:val="TOC Heading"/>
    <w:basedOn w:val="Heading1"/>
    <w:next w:val="Normal"/>
    <w:uiPriority w:val="39"/>
    <w:semiHidden/>
    <w:unhideWhenUsed/>
    <w:qFormat/>
    <w:rsid w:val="009D6BA4"/>
    <w:pPr>
      <w:numPr>
        <w:numId w:val="0"/>
      </w:numPr>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9D6BA4"/>
    <w:pPr>
      <w:spacing w:after="100"/>
    </w:pPr>
  </w:style>
  <w:style w:type="paragraph" w:styleId="TOC2">
    <w:name w:val="toc 2"/>
    <w:basedOn w:val="Normal"/>
    <w:next w:val="Normal"/>
    <w:autoRedefine/>
    <w:uiPriority w:val="39"/>
    <w:unhideWhenUsed/>
    <w:rsid w:val="009D6BA4"/>
    <w:pPr>
      <w:spacing w:after="100"/>
      <w:ind w:left="240"/>
    </w:pPr>
  </w:style>
  <w:style w:type="paragraph" w:styleId="TOC3">
    <w:name w:val="toc 3"/>
    <w:basedOn w:val="Normal"/>
    <w:next w:val="Normal"/>
    <w:autoRedefine/>
    <w:uiPriority w:val="39"/>
    <w:unhideWhenUsed/>
    <w:rsid w:val="009D6BA4"/>
    <w:pPr>
      <w:spacing w:after="100"/>
      <w:ind w:left="480"/>
    </w:pPr>
  </w:style>
  <w:style w:type="character" w:styleId="Hyperlink">
    <w:name w:val="Hyperlink"/>
    <w:basedOn w:val="DefaultParagraphFont"/>
    <w:uiPriority w:val="99"/>
    <w:unhideWhenUsed/>
    <w:rsid w:val="009D6B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7917">
      <w:bodyDiv w:val="1"/>
      <w:marLeft w:val="0"/>
      <w:marRight w:val="0"/>
      <w:marTop w:val="0"/>
      <w:marBottom w:val="0"/>
      <w:divBdr>
        <w:top w:val="none" w:sz="0" w:space="0" w:color="auto"/>
        <w:left w:val="none" w:sz="0" w:space="0" w:color="auto"/>
        <w:bottom w:val="none" w:sz="0" w:space="0" w:color="auto"/>
        <w:right w:val="none" w:sz="0" w:space="0" w:color="auto"/>
      </w:divBdr>
    </w:div>
    <w:div w:id="131757546">
      <w:bodyDiv w:val="1"/>
      <w:marLeft w:val="0"/>
      <w:marRight w:val="0"/>
      <w:marTop w:val="0"/>
      <w:marBottom w:val="0"/>
      <w:divBdr>
        <w:top w:val="none" w:sz="0" w:space="0" w:color="auto"/>
        <w:left w:val="none" w:sz="0" w:space="0" w:color="auto"/>
        <w:bottom w:val="none" w:sz="0" w:space="0" w:color="auto"/>
        <w:right w:val="none" w:sz="0" w:space="0" w:color="auto"/>
      </w:divBdr>
    </w:div>
    <w:div w:id="210850207">
      <w:bodyDiv w:val="1"/>
      <w:marLeft w:val="0"/>
      <w:marRight w:val="0"/>
      <w:marTop w:val="0"/>
      <w:marBottom w:val="0"/>
      <w:divBdr>
        <w:top w:val="none" w:sz="0" w:space="0" w:color="auto"/>
        <w:left w:val="none" w:sz="0" w:space="0" w:color="auto"/>
        <w:bottom w:val="none" w:sz="0" w:space="0" w:color="auto"/>
        <w:right w:val="none" w:sz="0" w:space="0" w:color="auto"/>
      </w:divBdr>
    </w:div>
    <w:div w:id="359479793">
      <w:bodyDiv w:val="1"/>
      <w:marLeft w:val="0"/>
      <w:marRight w:val="0"/>
      <w:marTop w:val="0"/>
      <w:marBottom w:val="0"/>
      <w:divBdr>
        <w:top w:val="none" w:sz="0" w:space="0" w:color="auto"/>
        <w:left w:val="none" w:sz="0" w:space="0" w:color="auto"/>
        <w:bottom w:val="none" w:sz="0" w:space="0" w:color="auto"/>
        <w:right w:val="none" w:sz="0" w:space="0" w:color="auto"/>
      </w:divBdr>
    </w:div>
    <w:div w:id="466552601">
      <w:bodyDiv w:val="1"/>
      <w:marLeft w:val="0"/>
      <w:marRight w:val="0"/>
      <w:marTop w:val="0"/>
      <w:marBottom w:val="0"/>
      <w:divBdr>
        <w:top w:val="none" w:sz="0" w:space="0" w:color="auto"/>
        <w:left w:val="none" w:sz="0" w:space="0" w:color="auto"/>
        <w:bottom w:val="none" w:sz="0" w:space="0" w:color="auto"/>
        <w:right w:val="none" w:sz="0" w:space="0" w:color="auto"/>
      </w:divBdr>
    </w:div>
    <w:div w:id="774398351">
      <w:bodyDiv w:val="1"/>
      <w:marLeft w:val="0"/>
      <w:marRight w:val="0"/>
      <w:marTop w:val="0"/>
      <w:marBottom w:val="0"/>
      <w:divBdr>
        <w:top w:val="none" w:sz="0" w:space="0" w:color="auto"/>
        <w:left w:val="none" w:sz="0" w:space="0" w:color="auto"/>
        <w:bottom w:val="none" w:sz="0" w:space="0" w:color="auto"/>
        <w:right w:val="none" w:sz="0" w:space="0" w:color="auto"/>
      </w:divBdr>
    </w:div>
    <w:div w:id="902369158">
      <w:bodyDiv w:val="1"/>
      <w:marLeft w:val="0"/>
      <w:marRight w:val="0"/>
      <w:marTop w:val="0"/>
      <w:marBottom w:val="0"/>
      <w:divBdr>
        <w:top w:val="none" w:sz="0" w:space="0" w:color="auto"/>
        <w:left w:val="none" w:sz="0" w:space="0" w:color="auto"/>
        <w:bottom w:val="none" w:sz="0" w:space="0" w:color="auto"/>
        <w:right w:val="none" w:sz="0" w:space="0" w:color="auto"/>
      </w:divBdr>
    </w:div>
    <w:div w:id="963074114">
      <w:bodyDiv w:val="1"/>
      <w:marLeft w:val="0"/>
      <w:marRight w:val="0"/>
      <w:marTop w:val="0"/>
      <w:marBottom w:val="0"/>
      <w:divBdr>
        <w:top w:val="none" w:sz="0" w:space="0" w:color="auto"/>
        <w:left w:val="none" w:sz="0" w:space="0" w:color="auto"/>
        <w:bottom w:val="none" w:sz="0" w:space="0" w:color="auto"/>
        <w:right w:val="none" w:sz="0" w:space="0" w:color="auto"/>
      </w:divBdr>
    </w:div>
    <w:div w:id="984354929">
      <w:bodyDiv w:val="1"/>
      <w:marLeft w:val="0"/>
      <w:marRight w:val="0"/>
      <w:marTop w:val="0"/>
      <w:marBottom w:val="0"/>
      <w:divBdr>
        <w:top w:val="none" w:sz="0" w:space="0" w:color="auto"/>
        <w:left w:val="none" w:sz="0" w:space="0" w:color="auto"/>
        <w:bottom w:val="none" w:sz="0" w:space="0" w:color="auto"/>
        <w:right w:val="none" w:sz="0" w:space="0" w:color="auto"/>
      </w:divBdr>
    </w:div>
    <w:div w:id="1214544680">
      <w:bodyDiv w:val="1"/>
      <w:marLeft w:val="0"/>
      <w:marRight w:val="0"/>
      <w:marTop w:val="0"/>
      <w:marBottom w:val="0"/>
      <w:divBdr>
        <w:top w:val="none" w:sz="0" w:space="0" w:color="auto"/>
        <w:left w:val="none" w:sz="0" w:space="0" w:color="auto"/>
        <w:bottom w:val="none" w:sz="0" w:space="0" w:color="auto"/>
        <w:right w:val="none" w:sz="0" w:space="0" w:color="auto"/>
      </w:divBdr>
    </w:div>
    <w:div w:id="1367752160">
      <w:bodyDiv w:val="1"/>
      <w:marLeft w:val="0"/>
      <w:marRight w:val="0"/>
      <w:marTop w:val="0"/>
      <w:marBottom w:val="0"/>
      <w:divBdr>
        <w:top w:val="none" w:sz="0" w:space="0" w:color="auto"/>
        <w:left w:val="none" w:sz="0" w:space="0" w:color="auto"/>
        <w:bottom w:val="none" w:sz="0" w:space="0" w:color="auto"/>
        <w:right w:val="none" w:sz="0" w:space="0" w:color="auto"/>
      </w:divBdr>
    </w:div>
    <w:div w:id="1406956886">
      <w:bodyDiv w:val="1"/>
      <w:marLeft w:val="0"/>
      <w:marRight w:val="0"/>
      <w:marTop w:val="0"/>
      <w:marBottom w:val="0"/>
      <w:divBdr>
        <w:top w:val="none" w:sz="0" w:space="0" w:color="auto"/>
        <w:left w:val="none" w:sz="0" w:space="0" w:color="auto"/>
        <w:bottom w:val="none" w:sz="0" w:space="0" w:color="auto"/>
        <w:right w:val="none" w:sz="0" w:space="0" w:color="auto"/>
      </w:divBdr>
    </w:div>
    <w:div w:id="1409770392">
      <w:bodyDiv w:val="1"/>
      <w:marLeft w:val="0"/>
      <w:marRight w:val="0"/>
      <w:marTop w:val="0"/>
      <w:marBottom w:val="0"/>
      <w:divBdr>
        <w:top w:val="none" w:sz="0" w:space="0" w:color="auto"/>
        <w:left w:val="none" w:sz="0" w:space="0" w:color="auto"/>
        <w:bottom w:val="none" w:sz="0" w:space="0" w:color="auto"/>
        <w:right w:val="none" w:sz="0" w:space="0" w:color="auto"/>
      </w:divBdr>
    </w:div>
    <w:div w:id="1648585158">
      <w:bodyDiv w:val="1"/>
      <w:marLeft w:val="0"/>
      <w:marRight w:val="0"/>
      <w:marTop w:val="0"/>
      <w:marBottom w:val="0"/>
      <w:divBdr>
        <w:top w:val="none" w:sz="0" w:space="0" w:color="auto"/>
        <w:left w:val="none" w:sz="0" w:space="0" w:color="auto"/>
        <w:bottom w:val="none" w:sz="0" w:space="0" w:color="auto"/>
        <w:right w:val="none" w:sz="0" w:space="0" w:color="auto"/>
      </w:divBdr>
    </w:div>
    <w:div w:id="1798379022">
      <w:bodyDiv w:val="1"/>
      <w:marLeft w:val="0"/>
      <w:marRight w:val="0"/>
      <w:marTop w:val="0"/>
      <w:marBottom w:val="0"/>
      <w:divBdr>
        <w:top w:val="none" w:sz="0" w:space="0" w:color="auto"/>
        <w:left w:val="none" w:sz="0" w:space="0" w:color="auto"/>
        <w:bottom w:val="none" w:sz="0" w:space="0" w:color="auto"/>
        <w:right w:val="none" w:sz="0" w:space="0" w:color="auto"/>
      </w:divBdr>
    </w:div>
    <w:div w:id="1879586006">
      <w:bodyDiv w:val="1"/>
      <w:marLeft w:val="0"/>
      <w:marRight w:val="0"/>
      <w:marTop w:val="0"/>
      <w:marBottom w:val="0"/>
      <w:divBdr>
        <w:top w:val="none" w:sz="0" w:space="0" w:color="auto"/>
        <w:left w:val="none" w:sz="0" w:space="0" w:color="auto"/>
        <w:bottom w:val="none" w:sz="0" w:space="0" w:color="auto"/>
        <w:right w:val="none" w:sz="0" w:space="0" w:color="auto"/>
      </w:divBdr>
    </w:div>
    <w:div w:id="1940486238">
      <w:bodyDiv w:val="1"/>
      <w:marLeft w:val="0"/>
      <w:marRight w:val="0"/>
      <w:marTop w:val="0"/>
      <w:marBottom w:val="0"/>
      <w:divBdr>
        <w:top w:val="none" w:sz="0" w:space="0" w:color="auto"/>
        <w:left w:val="none" w:sz="0" w:space="0" w:color="auto"/>
        <w:bottom w:val="none" w:sz="0" w:space="0" w:color="auto"/>
        <w:right w:val="none" w:sz="0" w:space="0" w:color="auto"/>
      </w:divBdr>
    </w:div>
    <w:div w:id="198188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Lbls>
            <c:showLegendKey val="0"/>
            <c:showVal val="1"/>
            <c:showCatName val="0"/>
            <c:showSerName val="0"/>
            <c:showPercent val="0"/>
            <c:showBubbleSize val="0"/>
            <c:showLeaderLines val="0"/>
          </c:dLbls>
          <c:cat>
            <c:strRef>
              <c:f>'Total no VS'!$A$4:$A$6</c:f>
              <c:strCache>
                <c:ptCount val="3"/>
                <c:pt idx="0">
                  <c:v>Present Value - Benefits</c:v>
                </c:pt>
                <c:pt idx="1">
                  <c:v>Present Value  - Costs</c:v>
                </c:pt>
                <c:pt idx="2">
                  <c:v>Net Present Value</c:v>
                </c:pt>
              </c:strCache>
            </c:strRef>
          </c:cat>
          <c:val>
            <c:numRef>
              <c:f>'Total no VS'!$B$4:$B$6</c:f>
              <c:numCache>
                <c:formatCode>"$"#,##0_);[Red]\("$"#,##0\)</c:formatCode>
                <c:ptCount val="3"/>
                <c:pt idx="0">
                  <c:v>36279.324554655024</c:v>
                </c:pt>
                <c:pt idx="1">
                  <c:v>-29332.65458736596</c:v>
                </c:pt>
                <c:pt idx="2">
                  <c:v>6946.6699672890645</c:v>
                </c:pt>
              </c:numCache>
            </c:numRef>
          </c:val>
        </c:ser>
        <c:dLbls>
          <c:showLegendKey val="0"/>
          <c:showVal val="0"/>
          <c:showCatName val="0"/>
          <c:showSerName val="0"/>
          <c:showPercent val="0"/>
          <c:showBubbleSize val="0"/>
        </c:dLbls>
        <c:gapWidth val="150"/>
        <c:axId val="240366336"/>
        <c:axId val="359381248"/>
      </c:barChart>
      <c:catAx>
        <c:axId val="240366336"/>
        <c:scaling>
          <c:orientation val="minMax"/>
        </c:scaling>
        <c:delete val="0"/>
        <c:axPos val="b"/>
        <c:majorTickMark val="out"/>
        <c:minorTickMark val="none"/>
        <c:tickLblPos val="nextTo"/>
        <c:crossAx val="359381248"/>
        <c:crosses val="autoZero"/>
        <c:auto val="1"/>
        <c:lblAlgn val="ctr"/>
        <c:lblOffset val="100"/>
        <c:noMultiLvlLbl val="0"/>
      </c:catAx>
      <c:valAx>
        <c:axId val="359381248"/>
        <c:scaling>
          <c:orientation val="minMax"/>
        </c:scaling>
        <c:delete val="0"/>
        <c:axPos val="l"/>
        <c:majorGridlines/>
        <c:numFmt formatCode="&quot;$&quot;#,##0_);[Red]\(&quot;$&quot;#,##0\)" sourceLinked="1"/>
        <c:majorTickMark val="out"/>
        <c:minorTickMark val="none"/>
        <c:tickLblPos val="nextTo"/>
        <c:crossAx val="240366336"/>
        <c:crosses val="autoZero"/>
        <c:crossBetween val="between"/>
      </c:valAx>
    </c:plotArea>
    <c:plotVisOnly val="1"/>
    <c:dispBlanksAs val="gap"/>
    <c:showDLblsOverMax val="0"/>
  </c:chart>
  <c:txPr>
    <a:bodyPr/>
    <a:lstStyle/>
    <a:p>
      <a:pPr>
        <a:defRPr sz="1200">
          <a:latin typeface="Garamond" panose="02020404030301010803" pitchFamily="18"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Lbls>
            <c:showLegendKey val="0"/>
            <c:showVal val="1"/>
            <c:showCatName val="0"/>
            <c:showSerName val="0"/>
            <c:showPercent val="0"/>
            <c:showBubbleSize val="0"/>
            <c:showLeaderLines val="0"/>
          </c:dLbls>
          <c:cat>
            <c:strRef>
              <c:f>Total!$A$4:$A$6</c:f>
              <c:strCache>
                <c:ptCount val="3"/>
                <c:pt idx="0">
                  <c:v>Present Value - Benefits</c:v>
                </c:pt>
                <c:pt idx="1">
                  <c:v>Present Value  - Costs</c:v>
                </c:pt>
                <c:pt idx="2">
                  <c:v>Net Present Value</c:v>
                </c:pt>
              </c:strCache>
            </c:strRef>
          </c:cat>
          <c:val>
            <c:numRef>
              <c:f>Total!$B$4:$B$6</c:f>
              <c:numCache>
                <c:formatCode>"$"#,##0_);[Red]\("$"#,##0\)</c:formatCode>
                <c:ptCount val="3"/>
                <c:pt idx="0">
                  <c:v>424077.12077274092</c:v>
                </c:pt>
                <c:pt idx="1">
                  <c:v>-397047.12971760496</c:v>
                </c:pt>
                <c:pt idx="2">
                  <c:v>38952.798576149115</c:v>
                </c:pt>
              </c:numCache>
            </c:numRef>
          </c:val>
        </c:ser>
        <c:dLbls>
          <c:showLegendKey val="0"/>
          <c:showVal val="0"/>
          <c:showCatName val="0"/>
          <c:showSerName val="0"/>
          <c:showPercent val="0"/>
          <c:showBubbleSize val="0"/>
        </c:dLbls>
        <c:gapWidth val="150"/>
        <c:axId val="445086336"/>
        <c:axId val="451813760"/>
      </c:barChart>
      <c:catAx>
        <c:axId val="445086336"/>
        <c:scaling>
          <c:orientation val="minMax"/>
        </c:scaling>
        <c:delete val="0"/>
        <c:axPos val="b"/>
        <c:majorTickMark val="out"/>
        <c:minorTickMark val="none"/>
        <c:tickLblPos val="nextTo"/>
        <c:crossAx val="451813760"/>
        <c:crosses val="autoZero"/>
        <c:auto val="1"/>
        <c:lblAlgn val="ctr"/>
        <c:lblOffset val="100"/>
        <c:noMultiLvlLbl val="0"/>
      </c:catAx>
      <c:valAx>
        <c:axId val="451813760"/>
        <c:scaling>
          <c:orientation val="minMax"/>
        </c:scaling>
        <c:delete val="0"/>
        <c:axPos val="l"/>
        <c:majorGridlines/>
        <c:numFmt formatCode="&quot;$&quot;#,##0_);[Red]\(&quot;$&quot;#,##0\)" sourceLinked="1"/>
        <c:majorTickMark val="out"/>
        <c:minorTickMark val="none"/>
        <c:tickLblPos val="nextTo"/>
        <c:crossAx val="445086336"/>
        <c:crosses val="autoZero"/>
        <c:crossBetween val="between"/>
      </c:valAx>
    </c:plotArea>
    <c:plotVisOnly val="1"/>
    <c:dispBlanksAs val="gap"/>
    <c:showDLblsOverMax val="0"/>
  </c:chart>
  <c:txPr>
    <a:bodyPr/>
    <a:lstStyle/>
    <a:p>
      <a:pPr>
        <a:defRPr sz="1200">
          <a:latin typeface="Garamond" panose="02020404030301010803"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2B426C0FE0044990EFC0F50AD13FDD" ma:contentTypeVersion="0" ma:contentTypeDescription="A content type to manage public (operations) IDB documents" ma:contentTypeScope="" ma:versionID="83758f88369d30cdce5a046c2e2b95d1">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40715117</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Gischler Blanco, Christiaan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BA-L1012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6A7D6823-11A8-4633-978A-E550E6D55CDE}"/>
</file>

<file path=customXml/itemProps2.xml><?xml version="1.0" encoding="utf-8"?>
<ds:datastoreItem xmlns:ds="http://schemas.openxmlformats.org/officeDocument/2006/customXml" ds:itemID="{936C7CB1-F848-4F01-8311-149406C8E829}"/>
</file>

<file path=customXml/itemProps3.xml><?xml version="1.0" encoding="utf-8"?>
<ds:datastoreItem xmlns:ds="http://schemas.openxmlformats.org/officeDocument/2006/customXml" ds:itemID="{656CC2B4-844C-4D3B-97A1-78DE69CED137}"/>
</file>

<file path=customXml/itemProps4.xml><?xml version="1.0" encoding="utf-8"?>
<ds:datastoreItem xmlns:ds="http://schemas.openxmlformats.org/officeDocument/2006/customXml" ds:itemID="{5ECB704E-0BB3-407C-8F2A-7D1C9FC27BF0}"/>
</file>

<file path=customXml/itemProps5.xml><?xml version="1.0" encoding="utf-8"?>
<ds:datastoreItem xmlns:ds="http://schemas.openxmlformats.org/officeDocument/2006/customXml" ds:itemID="{913A2A44-8032-49B6-8356-EEE12E5FD3DB}"/>
</file>

<file path=customXml/itemProps6.xml><?xml version="1.0" encoding="utf-8"?>
<ds:datastoreItem xmlns:ds="http://schemas.openxmlformats.org/officeDocument/2006/customXml" ds:itemID="{9E28B585-89E1-43E6-B1DD-5E7C82E10D52}"/>
</file>

<file path=docProps/app.xml><?xml version="1.0" encoding="utf-8"?>
<Properties xmlns="http://schemas.openxmlformats.org/officeDocument/2006/extended-properties" xmlns:vt="http://schemas.openxmlformats.org/officeDocument/2006/docPropsVTypes">
  <Template>Normal.dotm</Template>
  <TotalTime>49</TotalTime>
  <Pages>32</Pages>
  <Words>9178</Words>
  <Characters>52317</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BA-L1012_POD_Link IV_M_EP</dc:title>
  <dc:creator>Microsoft</dc:creator>
  <cp:lastModifiedBy>Hernandez-Santoyo, Joel</cp:lastModifiedBy>
  <cp:revision>8</cp:revision>
  <cp:lastPrinted>2016-10-02T14:54:00Z</cp:lastPrinted>
  <dcterms:created xsi:type="dcterms:W3CDTF">2016-10-17T21:21:00Z</dcterms:created>
  <dcterms:modified xsi:type="dcterms:W3CDTF">2016-10-31T20:51:00Z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0x01010046CF21643EE8D14686A648AA6DAD0892009F2B426C0FE0044990EFC0F50AD13FDD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