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footer.xml" ContentType="application/vnd.openxmlformats-officedocument.wordprocessingml.footer+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7D1286" w:rsidR="00DF15A7" w:rsidP="007D1286" w:rsidRDefault="00D071C9" w14:paraId="11760BA5" w14:textId="0D02D782">
      <w:pPr>
        <w:jc w:val="center"/>
        <w:rPr>
          <w:b/>
        </w:rPr>
      </w:pPr>
      <w:proofErr w:type="spellStart"/>
      <w:r w:rsidRPr="007D1286">
        <w:rPr>
          <w:b/>
        </w:rPr>
        <w:t>Presupuesto</w:t>
      </w:r>
      <w:proofErr w:type="spellEnd"/>
      <w:r w:rsidRPr="007D1286">
        <w:rPr>
          <w:b/>
        </w:rPr>
        <w:t xml:space="preserve"> </w:t>
      </w:r>
      <w:proofErr w:type="spellStart"/>
      <w:r w:rsidRPr="007D1286" w:rsidR="00157EF3">
        <w:rPr>
          <w:b/>
        </w:rPr>
        <w:t>D</w:t>
      </w:r>
      <w:r w:rsidRPr="007D1286">
        <w:rPr>
          <w:b/>
        </w:rPr>
        <w:t>etallado</w:t>
      </w:r>
      <w:bookmarkStart w:name="_GoBack" w:id="0"/>
      <w:bookmarkEnd w:id="0"/>
      <w:proofErr w:type="spellEnd"/>
    </w:p>
    <w:tbl>
      <w:tblPr>
        <w:tblStyle w:val="TableGrid"/>
        <w:tblW w:w="10131" w:type="dxa"/>
        <w:jc w:val="center"/>
        <w:tblLayout w:type="fixed"/>
        <w:tblLook w:val="04A0" w:firstRow="1" w:lastRow="0" w:firstColumn="1" w:lastColumn="0" w:noHBand="0" w:noVBand="1"/>
      </w:tblPr>
      <w:tblGrid>
        <w:gridCol w:w="4433"/>
        <w:gridCol w:w="4053"/>
        <w:gridCol w:w="1645"/>
      </w:tblGrid>
      <w:tr w:rsidRPr="00D071C9" w:rsidR="00D071C9" w:rsidTr="0020670E" w14:paraId="0A7BC23F" w14:textId="77777777">
        <w:trPr>
          <w:trHeight w:val="332"/>
          <w:tblHeader/>
          <w:jc w:val="center"/>
        </w:trPr>
        <w:tc>
          <w:tcPr>
            <w:tcW w:w="4433" w:type="dxa"/>
            <w:shd w:val="clear" w:color="auto" w:fill="F2F2F2" w:themeFill="background1" w:themeFillShade="F2"/>
            <w:vAlign w:val="center"/>
          </w:tcPr>
          <w:p w:rsidRPr="00D071C9" w:rsidR="00D071C9" w:rsidP="0020670E" w:rsidRDefault="00D071C9" w14:paraId="78A98451" w14:textId="77777777">
            <w:pPr>
              <w:spacing w:before="120" w:after="120"/>
              <w:ind w:right="-29"/>
              <w:jc w:val="center"/>
              <w:rPr>
                <w:rFonts w:ascii="Arial" w:hAnsi="Arial" w:eastAsia="Times New Roman" w:cs="Arial"/>
                <w:b/>
                <w:sz w:val="18"/>
                <w:szCs w:val="18"/>
              </w:rPr>
            </w:pPr>
            <w:proofErr w:type="spellStart"/>
            <w:r w:rsidRPr="00D071C9">
              <w:rPr>
                <w:rFonts w:ascii="Arial" w:hAnsi="Arial" w:eastAsia="Times New Roman" w:cs="Arial"/>
                <w:b/>
                <w:sz w:val="18"/>
                <w:szCs w:val="18"/>
              </w:rPr>
              <w:t>Componente</w:t>
            </w:r>
            <w:proofErr w:type="spellEnd"/>
          </w:p>
        </w:tc>
        <w:tc>
          <w:tcPr>
            <w:tcW w:w="4053" w:type="dxa"/>
            <w:shd w:val="clear" w:color="auto" w:fill="F2F2F2" w:themeFill="background1" w:themeFillShade="F2"/>
            <w:vAlign w:val="center"/>
          </w:tcPr>
          <w:p w:rsidRPr="00D071C9" w:rsidR="00D071C9" w:rsidP="0020670E" w:rsidRDefault="00D071C9" w14:paraId="1A460D4A" w14:textId="77777777">
            <w:pPr>
              <w:spacing w:before="120" w:after="120"/>
              <w:ind w:right="-29"/>
              <w:jc w:val="center"/>
              <w:rPr>
                <w:rFonts w:ascii="Arial" w:hAnsi="Arial" w:eastAsia="Times New Roman" w:cs="Arial"/>
                <w:b/>
                <w:sz w:val="18"/>
                <w:szCs w:val="18"/>
              </w:rPr>
            </w:pPr>
            <w:proofErr w:type="spellStart"/>
            <w:r w:rsidRPr="00D071C9">
              <w:rPr>
                <w:rFonts w:ascii="Arial" w:hAnsi="Arial" w:eastAsia="Times New Roman" w:cs="Arial"/>
                <w:b/>
                <w:sz w:val="18"/>
                <w:szCs w:val="18"/>
              </w:rPr>
              <w:t>Actividades</w:t>
            </w:r>
            <w:proofErr w:type="spellEnd"/>
          </w:p>
        </w:tc>
        <w:tc>
          <w:tcPr>
            <w:tcW w:w="1645" w:type="dxa"/>
            <w:shd w:val="clear" w:color="auto" w:fill="F2F2F2" w:themeFill="background1" w:themeFillShade="F2"/>
            <w:vAlign w:val="center"/>
          </w:tcPr>
          <w:p w:rsidRPr="00D071C9" w:rsidR="00D071C9" w:rsidP="0020670E" w:rsidRDefault="00D071C9" w14:paraId="0C789F16" w14:textId="77777777">
            <w:pPr>
              <w:spacing w:before="120" w:after="120"/>
              <w:ind w:right="-29"/>
              <w:jc w:val="center"/>
              <w:rPr>
                <w:rFonts w:ascii="Arial" w:hAnsi="Arial" w:eastAsia="Times New Roman" w:cs="Arial"/>
                <w:b/>
                <w:sz w:val="18"/>
                <w:szCs w:val="18"/>
              </w:rPr>
            </w:pPr>
            <w:r w:rsidRPr="00D071C9">
              <w:rPr>
                <w:rFonts w:ascii="Arial" w:hAnsi="Arial" w:eastAsia="Times New Roman" w:cs="Arial"/>
                <w:b/>
                <w:sz w:val="18"/>
                <w:szCs w:val="18"/>
              </w:rPr>
              <w:t xml:space="preserve">Monto </w:t>
            </w:r>
            <w:proofErr w:type="spellStart"/>
            <w:r w:rsidRPr="00D071C9">
              <w:rPr>
                <w:rFonts w:ascii="Arial" w:hAnsi="Arial" w:eastAsia="Times New Roman" w:cs="Arial"/>
                <w:b/>
                <w:sz w:val="18"/>
                <w:szCs w:val="18"/>
              </w:rPr>
              <w:t>en</w:t>
            </w:r>
            <w:proofErr w:type="spellEnd"/>
            <w:r w:rsidRPr="00D071C9">
              <w:rPr>
                <w:rFonts w:ascii="Arial" w:hAnsi="Arial" w:eastAsia="Times New Roman" w:cs="Arial"/>
                <w:b/>
                <w:sz w:val="18"/>
                <w:szCs w:val="18"/>
              </w:rPr>
              <w:t xml:space="preserve"> USD</w:t>
            </w:r>
          </w:p>
        </w:tc>
      </w:tr>
      <w:tr w:rsidRPr="00D071C9" w:rsidR="00D071C9" w:rsidTr="0020670E" w14:paraId="31B9D490" w14:textId="77777777">
        <w:trPr>
          <w:trHeight w:val="422"/>
          <w:jc w:val="center"/>
        </w:trPr>
        <w:tc>
          <w:tcPr>
            <w:tcW w:w="4433" w:type="dxa"/>
          </w:tcPr>
          <w:p w:rsidRPr="00D071C9" w:rsidR="00D071C9" w:rsidP="0020670E" w:rsidRDefault="00D071C9" w14:paraId="48D7A7A7" w14:textId="77777777">
            <w:pPr>
              <w:spacing w:before="120"/>
              <w:ind w:right="-29"/>
              <w:rPr>
                <w:rFonts w:ascii="Arial" w:hAnsi="Arial" w:cs="Arial"/>
                <w:b/>
                <w:color w:val="000000"/>
                <w:sz w:val="18"/>
                <w:szCs w:val="18"/>
                <w:lang w:val="es-ES_tradnl"/>
              </w:rPr>
            </w:pPr>
            <w:r w:rsidRPr="00D071C9">
              <w:rPr>
                <w:rFonts w:ascii="Arial" w:hAnsi="Arial" w:eastAsia="Times New Roman" w:cs="Arial"/>
                <w:b/>
                <w:sz w:val="18"/>
                <w:szCs w:val="18"/>
                <w:lang w:val="es-ES_tradnl"/>
              </w:rPr>
              <w:t>Componente 1</w:t>
            </w:r>
            <w:r w:rsidRPr="00D071C9">
              <w:rPr>
                <w:rFonts w:ascii="Arial" w:hAnsi="Arial" w:eastAsia="Times New Roman" w:cs="Arial"/>
                <w:sz w:val="18"/>
                <w:szCs w:val="18"/>
                <w:lang w:val="es-ES_tradnl"/>
              </w:rPr>
              <w:t xml:space="preserve"> </w:t>
            </w:r>
            <w:r w:rsidRPr="00D071C9">
              <w:rPr>
                <w:rFonts w:ascii="Arial" w:hAnsi="Arial" w:eastAsia="Times New Roman" w:cs="Arial"/>
                <w:b/>
                <w:sz w:val="18"/>
                <w:szCs w:val="18"/>
                <w:lang w:val="es-ES_tradnl"/>
              </w:rPr>
              <w:t>Desarrollo de estrategia financiera “a la medida” y “lista para usar”</w:t>
            </w:r>
          </w:p>
        </w:tc>
        <w:tc>
          <w:tcPr>
            <w:tcW w:w="4053" w:type="dxa"/>
          </w:tcPr>
          <w:p w:rsidRPr="00D071C9" w:rsidR="00D071C9" w:rsidP="0020670E" w:rsidRDefault="00D071C9" w14:paraId="1447976C" w14:textId="77777777">
            <w:pPr>
              <w:spacing w:before="120"/>
              <w:ind w:right="-29"/>
              <w:jc w:val="center"/>
              <w:rPr>
                <w:rFonts w:ascii="Arial" w:hAnsi="Arial" w:eastAsia="Times New Roman" w:cs="Arial"/>
                <w:b/>
                <w:sz w:val="18"/>
                <w:szCs w:val="18"/>
                <w:lang w:val="es-ES_tradnl"/>
              </w:rPr>
            </w:pPr>
          </w:p>
        </w:tc>
        <w:tc>
          <w:tcPr>
            <w:tcW w:w="1645" w:type="dxa"/>
          </w:tcPr>
          <w:p w:rsidRPr="00D071C9" w:rsidR="00D071C9" w:rsidP="0020670E" w:rsidRDefault="00D071C9" w14:paraId="1988D757" w14:textId="77777777">
            <w:pPr>
              <w:spacing w:before="120"/>
              <w:ind w:right="-29"/>
              <w:jc w:val="right"/>
              <w:rPr>
                <w:rFonts w:ascii="Arial" w:hAnsi="Arial" w:eastAsia="Times New Roman" w:cs="Arial"/>
                <w:b/>
                <w:sz w:val="18"/>
                <w:szCs w:val="18"/>
              </w:rPr>
            </w:pPr>
            <w:r w:rsidRPr="00D071C9">
              <w:rPr>
                <w:rFonts w:ascii="Arial" w:hAnsi="Arial" w:eastAsia="Times New Roman" w:cs="Arial"/>
                <w:b/>
                <w:sz w:val="18"/>
                <w:szCs w:val="18"/>
              </w:rPr>
              <w:t>680,000</w:t>
            </w:r>
          </w:p>
        </w:tc>
      </w:tr>
      <w:tr w:rsidRPr="00D071C9" w:rsidR="00D071C9" w:rsidTr="0020670E" w14:paraId="3D6958B5" w14:textId="77777777">
        <w:trPr>
          <w:trHeight w:val="422"/>
          <w:jc w:val="center"/>
        </w:trPr>
        <w:tc>
          <w:tcPr>
            <w:tcW w:w="4433" w:type="dxa"/>
          </w:tcPr>
          <w:p w:rsidRPr="00D071C9" w:rsidR="00D071C9" w:rsidP="0020670E" w:rsidRDefault="00D071C9" w14:paraId="411C5561"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Sub-componente 1.1</w:t>
            </w:r>
          </w:p>
          <w:p w:rsidRPr="00D071C9" w:rsidR="00D071C9" w:rsidP="0020670E" w:rsidRDefault="00D071C9" w14:paraId="7704457F" w14:textId="77777777">
            <w:pPr>
              <w:spacing w:before="120"/>
              <w:ind w:right="-29"/>
              <w:rPr>
                <w:rFonts w:ascii="Arial" w:hAnsi="Arial" w:eastAsia="Times New Roman" w:cs="Arial"/>
                <w:sz w:val="18"/>
                <w:szCs w:val="18"/>
                <w:lang w:val="es-ES_tradnl"/>
              </w:rPr>
            </w:pPr>
            <w:r w:rsidRPr="00D071C9">
              <w:rPr>
                <w:rFonts w:ascii="Arial" w:hAnsi="Arial" w:cs="Arial"/>
                <w:color w:val="000000"/>
                <w:sz w:val="18"/>
                <w:szCs w:val="18"/>
                <w:lang w:val="es-ES_tradnl"/>
              </w:rPr>
              <w:t>Estructuración de contrato de rendimiento estandarizado (Coordinación de consultor legal y partes interesadas claves)</w:t>
            </w:r>
          </w:p>
        </w:tc>
        <w:tc>
          <w:tcPr>
            <w:tcW w:w="4053" w:type="dxa"/>
          </w:tcPr>
          <w:p w:rsidRPr="00D071C9" w:rsidR="00D071C9" w:rsidP="0020670E" w:rsidRDefault="00D071C9" w14:paraId="79EB227A" w14:textId="77777777">
            <w:pPr>
              <w:pStyle w:val="ListParagraph"/>
              <w:numPr>
                <w:ilvl w:val="0"/>
                <w:numId w:val="1"/>
              </w:numPr>
              <w:rPr>
                <w:rFonts w:ascii="Arial" w:hAnsi="Arial" w:eastAsia="Times New Roman" w:cs="Arial"/>
                <w:sz w:val="18"/>
                <w:szCs w:val="18"/>
              </w:rPr>
            </w:pPr>
            <w:r w:rsidRPr="00D071C9">
              <w:rPr>
                <w:rFonts w:ascii="Arial" w:hAnsi="Arial" w:cs="Arial" w:eastAsiaTheme="minorHAnsi"/>
                <w:sz w:val="18"/>
                <w:szCs w:val="18"/>
              </w:rPr>
              <w:t>Consultor legal</w:t>
            </w:r>
          </w:p>
          <w:p w:rsidRPr="00D071C9" w:rsidR="00D071C9" w:rsidP="0020670E" w:rsidRDefault="00D071C9" w14:paraId="4C96A093" w14:textId="77777777">
            <w:pPr>
              <w:pStyle w:val="ListParagraph"/>
              <w:numPr>
                <w:ilvl w:val="0"/>
                <w:numId w:val="1"/>
              </w:numPr>
              <w:rPr>
                <w:rFonts w:ascii="Arial" w:hAnsi="Arial" w:eastAsia="Times New Roman" w:cs="Arial"/>
                <w:sz w:val="18"/>
                <w:szCs w:val="18"/>
                <w:lang w:val="es-ES_tradnl"/>
              </w:rPr>
            </w:pPr>
            <w:r w:rsidRPr="00D071C9">
              <w:rPr>
                <w:rFonts w:ascii="Arial" w:hAnsi="Arial" w:cs="Arial" w:eastAsiaTheme="minorHAnsi"/>
                <w:sz w:val="18"/>
                <w:szCs w:val="18"/>
                <w:lang w:val="es-ES_tradnl"/>
              </w:rPr>
              <w:t>Coordinación y eventos de consulta con partes interesadas relevantes dentro del sector público y privado</w:t>
            </w:r>
          </w:p>
        </w:tc>
        <w:tc>
          <w:tcPr>
            <w:tcW w:w="1645" w:type="dxa"/>
          </w:tcPr>
          <w:p w:rsidRPr="00D071C9" w:rsidR="00D071C9" w:rsidP="0020670E" w:rsidRDefault="00D071C9" w14:paraId="499B03CA"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50,000</w:t>
            </w:r>
          </w:p>
          <w:p w:rsidRPr="00D071C9" w:rsidR="00D071C9" w:rsidP="0020670E" w:rsidRDefault="00D071C9" w14:paraId="5AED34CC"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10,000</w:t>
            </w:r>
          </w:p>
          <w:p w:rsidRPr="00D071C9" w:rsidR="00D071C9" w:rsidP="0020670E" w:rsidRDefault="00D071C9" w14:paraId="590F5CD6" w14:textId="77777777">
            <w:pPr>
              <w:spacing w:before="120"/>
              <w:ind w:right="-29"/>
              <w:jc w:val="right"/>
              <w:rPr>
                <w:rFonts w:ascii="Arial" w:hAnsi="Arial" w:eastAsia="Times New Roman" w:cs="Arial"/>
                <w:sz w:val="18"/>
                <w:szCs w:val="18"/>
              </w:rPr>
            </w:pPr>
          </w:p>
        </w:tc>
      </w:tr>
      <w:tr w:rsidRPr="00D071C9" w:rsidR="00D071C9" w:rsidTr="0020670E" w14:paraId="2CDD9294" w14:textId="77777777">
        <w:trPr>
          <w:trHeight w:val="540"/>
          <w:jc w:val="center"/>
        </w:trPr>
        <w:tc>
          <w:tcPr>
            <w:tcW w:w="4433" w:type="dxa"/>
          </w:tcPr>
          <w:p w:rsidRPr="00D071C9" w:rsidR="00D071C9" w:rsidP="0020670E" w:rsidRDefault="00D071C9" w14:paraId="0D7CDEDD"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Sub-componente 1.2</w:t>
            </w:r>
          </w:p>
          <w:p w:rsidRPr="00D071C9" w:rsidR="00D071C9" w:rsidP="0020670E" w:rsidRDefault="00D071C9" w14:paraId="0A7E863A"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Diseño de sistema MRV (Metodología, procesos de validación, protocolos, formatos, procesos de reportes y monitoreo, y coordinación de partes interesadas claves)</w:t>
            </w:r>
          </w:p>
          <w:p w:rsidRPr="00D071C9" w:rsidR="00D071C9" w:rsidP="0020670E" w:rsidRDefault="00D071C9" w14:paraId="32F00C8E" w14:textId="77777777">
            <w:pPr>
              <w:spacing w:before="120"/>
              <w:ind w:right="-29"/>
              <w:rPr>
                <w:rFonts w:ascii="Arial" w:hAnsi="Arial" w:eastAsia="Times New Roman" w:cs="Arial"/>
                <w:sz w:val="18"/>
                <w:szCs w:val="18"/>
                <w:lang w:val="es-ES_tradnl"/>
              </w:rPr>
            </w:pPr>
          </w:p>
        </w:tc>
        <w:tc>
          <w:tcPr>
            <w:tcW w:w="4053" w:type="dxa"/>
          </w:tcPr>
          <w:p w:rsidRPr="00D071C9" w:rsidR="00D071C9" w:rsidP="0020670E" w:rsidRDefault="00D071C9" w14:paraId="3E1E60E1" w14:textId="77777777">
            <w:pPr>
              <w:pStyle w:val="ListParagraph"/>
              <w:numPr>
                <w:ilvl w:val="0"/>
                <w:numId w:val="1"/>
              </w:numPr>
              <w:rPr>
                <w:rFonts w:ascii="Arial" w:hAnsi="Arial" w:eastAsia="Times New Roman" w:cs="Arial"/>
                <w:sz w:val="18"/>
                <w:szCs w:val="18"/>
                <w:lang w:val="es-ES_tradnl"/>
              </w:rPr>
            </w:pPr>
            <w:r w:rsidRPr="00D071C9">
              <w:rPr>
                <w:rFonts w:ascii="Arial" w:hAnsi="Arial" w:cs="Arial" w:eastAsiaTheme="minorHAnsi"/>
                <w:sz w:val="18"/>
                <w:szCs w:val="18"/>
                <w:lang w:val="es-ES_tradnl"/>
              </w:rPr>
              <w:t>Consultor para apoyar:</w:t>
            </w:r>
            <w:r w:rsidRPr="00D071C9">
              <w:rPr>
                <w:rFonts w:ascii="Arial" w:hAnsi="Arial" w:cs="Arial"/>
                <w:sz w:val="18"/>
                <w:szCs w:val="18"/>
                <w:lang w:val="es-ES_tradnl"/>
              </w:rPr>
              <w:t>(</w:t>
            </w:r>
            <w:r w:rsidRPr="00D071C9">
              <w:rPr>
                <w:rFonts w:ascii="Arial" w:hAnsi="Arial" w:cs="Arial" w:eastAsiaTheme="minorHAnsi"/>
                <w:sz w:val="18"/>
                <w:szCs w:val="18"/>
                <w:lang w:val="es-ES_tradnl"/>
              </w:rPr>
              <w:t xml:space="preserve"> i) el desarrollo de metodologías/procesos/protocolos para la presentación y validación técnica de propuestas de proyecto; y </w:t>
            </w:r>
            <w:r w:rsidRPr="00D071C9">
              <w:rPr>
                <w:rFonts w:ascii="Arial" w:hAnsi="Arial" w:cs="Arial"/>
                <w:sz w:val="18"/>
                <w:szCs w:val="18"/>
                <w:lang w:val="es-ES_tradnl"/>
              </w:rPr>
              <w:t>(</w:t>
            </w:r>
            <w:r w:rsidRPr="00D071C9">
              <w:rPr>
                <w:rFonts w:ascii="Arial" w:hAnsi="Arial" w:cs="Arial" w:eastAsiaTheme="minorHAnsi"/>
                <w:sz w:val="18"/>
                <w:szCs w:val="18"/>
                <w:lang w:val="es-ES_tradnl"/>
              </w:rPr>
              <w:t>ii) la identificación de validadores</w:t>
            </w:r>
          </w:p>
          <w:p w:rsidRPr="00D071C9" w:rsidR="00D071C9" w:rsidP="0020670E" w:rsidRDefault="00D071C9" w14:paraId="2E77618B" w14:textId="77777777">
            <w:pPr>
              <w:pStyle w:val="ListParagraph"/>
              <w:numPr>
                <w:ilvl w:val="0"/>
                <w:numId w:val="1"/>
              </w:numPr>
              <w:rPr>
                <w:rFonts w:ascii="Arial" w:hAnsi="Arial" w:eastAsia="Times New Roman" w:cs="Arial"/>
                <w:sz w:val="18"/>
                <w:szCs w:val="18"/>
                <w:lang w:val="es-ES_tradnl"/>
              </w:rPr>
            </w:pPr>
            <w:r w:rsidRPr="00D071C9">
              <w:rPr>
                <w:rFonts w:ascii="Arial" w:hAnsi="Arial" w:cs="Arial" w:eastAsiaTheme="minorHAnsi"/>
                <w:sz w:val="18"/>
                <w:szCs w:val="18"/>
                <w:lang w:val="es-ES_tradnl"/>
              </w:rPr>
              <w:t>Coordinación y eventos de consulta con partes interesadas relevantes dentro del sector público y privado</w:t>
            </w:r>
          </w:p>
        </w:tc>
        <w:tc>
          <w:tcPr>
            <w:tcW w:w="1645" w:type="dxa"/>
          </w:tcPr>
          <w:p w:rsidRPr="00D071C9" w:rsidR="00D071C9" w:rsidP="0020670E" w:rsidRDefault="00D071C9" w14:paraId="34E5E81D"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100,000</w:t>
            </w:r>
          </w:p>
          <w:p w:rsidRPr="00D071C9" w:rsidR="00D071C9" w:rsidP="0020670E" w:rsidRDefault="00D071C9" w14:paraId="73067979" w14:textId="77777777">
            <w:pPr>
              <w:spacing w:before="120"/>
              <w:ind w:right="-29"/>
              <w:jc w:val="right"/>
              <w:rPr>
                <w:rFonts w:ascii="Arial" w:hAnsi="Arial" w:eastAsia="Times New Roman" w:cs="Arial"/>
                <w:sz w:val="18"/>
                <w:szCs w:val="18"/>
              </w:rPr>
            </w:pPr>
          </w:p>
          <w:p w:rsidRPr="00D071C9" w:rsidR="00D071C9" w:rsidP="0020670E" w:rsidRDefault="00D071C9" w14:paraId="5A6F0819" w14:textId="77777777">
            <w:pPr>
              <w:spacing w:before="120"/>
              <w:ind w:right="-29"/>
              <w:jc w:val="right"/>
              <w:rPr>
                <w:rFonts w:ascii="Arial" w:hAnsi="Arial" w:eastAsia="Times New Roman" w:cs="Arial"/>
                <w:sz w:val="18"/>
                <w:szCs w:val="18"/>
              </w:rPr>
            </w:pPr>
          </w:p>
          <w:p w:rsidRPr="00D071C9" w:rsidR="00D071C9" w:rsidP="0020670E" w:rsidRDefault="00D071C9" w14:paraId="70968BB5"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10,000</w:t>
            </w:r>
          </w:p>
          <w:p w:rsidRPr="00D071C9" w:rsidR="00D071C9" w:rsidP="0020670E" w:rsidRDefault="00D071C9" w14:paraId="5A7A9CC8" w14:textId="77777777">
            <w:pPr>
              <w:spacing w:before="120"/>
              <w:ind w:right="-29"/>
              <w:jc w:val="right"/>
              <w:rPr>
                <w:rFonts w:ascii="Arial" w:hAnsi="Arial" w:eastAsia="Times New Roman" w:cs="Arial"/>
                <w:sz w:val="18"/>
                <w:szCs w:val="18"/>
              </w:rPr>
            </w:pPr>
          </w:p>
        </w:tc>
      </w:tr>
      <w:tr w:rsidRPr="00D071C9" w:rsidR="00D071C9" w:rsidTr="0020670E" w14:paraId="3FD06778" w14:textId="77777777">
        <w:trPr>
          <w:trHeight w:val="540"/>
          <w:jc w:val="center"/>
        </w:trPr>
        <w:tc>
          <w:tcPr>
            <w:tcW w:w="4433" w:type="dxa"/>
          </w:tcPr>
          <w:p w:rsidRPr="00D071C9" w:rsidR="00D071C9" w:rsidP="0020670E" w:rsidRDefault="00D071C9" w14:paraId="4B4CFD26"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Sub-componente 1.3</w:t>
            </w:r>
          </w:p>
          <w:p w:rsidRPr="00D071C9" w:rsidR="00D071C9" w:rsidDel="004B725E" w:rsidP="0020670E" w:rsidRDefault="00D071C9" w14:paraId="63987C49"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 xml:space="preserve">Instrumento para mitigación de riesgo financiero (Coordinación de consultor legal y partes interesadas claves en el producto de seguro/garantía) </w:t>
            </w:r>
          </w:p>
        </w:tc>
        <w:tc>
          <w:tcPr>
            <w:tcW w:w="4053" w:type="dxa"/>
          </w:tcPr>
          <w:p w:rsidRPr="00D071C9" w:rsidR="00D071C9" w:rsidP="0020670E" w:rsidRDefault="00D071C9" w14:paraId="6BE4E26B"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Consultor para apoyar el desarrollo de metodologías/procesos/protocolos para la participación de IFIs, la Afianzadora y la validación de proveedores de tecnología</w:t>
            </w:r>
          </w:p>
          <w:p w:rsidRPr="00D071C9" w:rsidR="00D071C9" w:rsidP="0020670E" w:rsidRDefault="00D071C9" w14:paraId="46CF2446"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cs="Arial" w:eastAsiaTheme="minorHAnsi"/>
                <w:sz w:val="18"/>
                <w:szCs w:val="18"/>
                <w:lang w:val="es-ES_tradnl"/>
              </w:rPr>
              <w:t>Coordinación y eventos de consulta con partes interesadas relevantes del sector público y privado</w:t>
            </w:r>
          </w:p>
        </w:tc>
        <w:tc>
          <w:tcPr>
            <w:tcW w:w="1645" w:type="dxa"/>
          </w:tcPr>
          <w:p w:rsidRPr="00D071C9" w:rsidR="00D071C9" w:rsidP="0020670E" w:rsidRDefault="00D071C9" w14:paraId="13AF5F95"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35,000</w:t>
            </w:r>
          </w:p>
          <w:p w:rsidRPr="00D071C9" w:rsidR="00D071C9" w:rsidP="0020670E" w:rsidRDefault="00D071C9" w14:paraId="49F29BEA" w14:textId="77777777">
            <w:pPr>
              <w:spacing w:before="120"/>
              <w:ind w:right="-29"/>
              <w:jc w:val="right"/>
              <w:rPr>
                <w:rFonts w:ascii="Arial" w:hAnsi="Arial" w:eastAsia="Times New Roman" w:cs="Arial"/>
                <w:sz w:val="18"/>
                <w:szCs w:val="18"/>
              </w:rPr>
            </w:pPr>
          </w:p>
          <w:p w:rsidRPr="00D071C9" w:rsidR="00D071C9" w:rsidP="0020670E" w:rsidRDefault="00D071C9" w14:paraId="7B54301A" w14:textId="77777777">
            <w:pPr>
              <w:spacing w:before="120"/>
              <w:ind w:right="-29"/>
              <w:jc w:val="right"/>
              <w:rPr>
                <w:rFonts w:ascii="Arial" w:hAnsi="Arial" w:eastAsia="Times New Roman" w:cs="Arial"/>
                <w:sz w:val="18"/>
                <w:szCs w:val="18"/>
              </w:rPr>
            </w:pPr>
          </w:p>
          <w:p w:rsidRPr="00D071C9" w:rsidR="00D071C9" w:rsidP="0020670E" w:rsidRDefault="00D071C9" w14:paraId="67C65C50"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5,000</w:t>
            </w:r>
          </w:p>
        </w:tc>
      </w:tr>
      <w:tr w:rsidRPr="00D071C9" w:rsidR="00D071C9" w:rsidTr="0020670E" w14:paraId="55B2EF78" w14:textId="77777777">
        <w:trPr>
          <w:trHeight w:val="540"/>
          <w:jc w:val="center"/>
        </w:trPr>
        <w:tc>
          <w:tcPr>
            <w:tcW w:w="4433" w:type="dxa"/>
          </w:tcPr>
          <w:p w:rsidRPr="00D071C9" w:rsidR="00D071C9" w:rsidP="0020670E" w:rsidRDefault="00D071C9" w14:paraId="391E2A7B"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Sub-componente 1.4</w:t>
            </w:r>
          </w:p>
          <w:p w:rsidRPr="00D071C9" w:rsidR="00D071C9" w:rsidDel="004B725E" w:rsidP="0020670E" w:rsidRDefault="00D071C9" w14:paraId="555079E3"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 xml:space="preserve">Desarrollo de capacidades (Programa para </w:t>
            </w:r>
            <w:r w:rsidRPr="00932415" w:rsidR="00932415">
              <w:rPr>
                <w:rFonts w:ascii="Arial" w:hAnsi="Arial" w:eastAsia="Times New Roman" w:cs="Arial"/>
                <w:sz w:val="18"/>
                <w:szCs w:val="18"/>
                <w:lang w:val="es-ES_tradnl"/>
              </w:rPr>
              <w:t>proveedores de servicios y tecnología</w:t>
            </w:r>
            <w:r w:rsidRPr="00D071C9">
              <w:rPr>
                <w:rFonts w:ascii="Arial" w:hAnsi="Arial" w:eastAsia="Times New Roman" w:cs="Arial"/>
                <w:sz w:val="18"/>
                <w:szCs w:val="18"/>
                <w:lang w:val="es-ES_tradnl"/>
              </w:rPr>
              <w:t>, conocimiento para IFI locales, capacitación para funcionarios de BANDESAL)</w:t>
            </w:r>
          </w:p>
        </w:tc>
        <w:tc>
          <w:tcPr>
            <w:tcW w:w="4053" w:type="dxa"/>
          </w:tcPr>
          <w:p w:rsidRPr="00D071C9" w:rsidR="00D071C9" w:rsidP="0020670E" w:rsidRDefault="00D071C9" w14:paraId="0B60E511" w14:textId="77777777">
            <w:pPr>
              <w:pStyle w:val="ListParagraph"/>
              <w:numPr>
                <w:ilvl w:val="0"/>
                <w:numId w:val="1"/>
              </w:numPr>
              <w:spacing w:before="120"/>
              <w:ind w:right="-29"/>
              <w:rPr>
                <w:rFonts w:ascii="Arial" w:hAnsi="Arial" w:eastAsia="Times New Roman" w:cs="Arial"/>
                <w:sz w:val="18"/>
                <w:szCs w:val="18"/>
              </w:rPr>
            </w:pPr>
            <w:r w:rsidRPr="00D071C9">
              <w:rPr>
                <w:rFonts w:ascii="Arial" w:hAnsi="Arial" w:eastAsia="Times New Roman" w:cs="Arial"/>
                <w:sz w:val="18"/>
                <w:szCs w:val="18"/>
              </w:rPr>
              <w:t xml:space="preserve">Consultor individual para </w:t>
            </w:r>
            <w:proofErr w:type="spellStart"/>
            <w:r w:rsidRPr="00D071C9">
              <w:rPr>
                <w:rFonts w:ascii="Arial" w:hAnsi="Arial" w:eastAsia="Times New Roman" w:cs="Arial"/>
                <w:sz w:val="18"/>
                <w:szCs w:val="18"/>
              </w:rPr>
              <w:t>desarrollo</w:t>
            </w:r>
            <w:proofErr w:type="spellEnd"/>
            <w:r w:rsidRPr="00D071C9">
              <w:rPr>
                <w:rFonts w:ascii="Arial" w:hAnsi="Arial" w:eastAsia="Times New Roman" w:cs="Arial"/>
                <w:sz w:val="18"/>
                <w:szCs w:val="18"/>
              </w:rPr>
              <w:t xml:space="preserve"> de </w:t>
            </w:r>
            <w:proofErr w:type="spellStart"/>
            <w:r w:rsidRPr="00D071C9">
              <w:rPr>
                <w:rFonts w:ascii="Arial" w:hAnsi="Arial" w:eastAsia="Times New Roman" w:cs="Arial"/>
                <w:sz w:val="18"/>
                <w:szCs w:val="18"/>
              </w:rPr>
              <w:t>capacidades</w:t>
            </w:r>
            <w:proofErr w:type="spellEnd"/>
          </w:p>
          <w:p w:rsidRPr="00D071C9" w:rsidR="00D071C9" w:rsidP="0020670E" w:rsidRDefault="00D071C9" w14:paraId="1F406A5C" w14:textId="77777777">
            <w:pPr>
              <w:pStyle w:val="ListParagraph"/>
              <w:spacing w:before="120"/>
              <w:ind w:left="360" w:right="-29"/>
              <w:rPr>
                <w:rFonts w:ascii="Arial" w:hAnsi="Arial" w:eastAsia="Times New Roman" w:cs="Arial"/>
                <w:sz w:val="18"/>
                <w:szCs w:val="18"/>
              </w:rPr>
            </w:pPr>
          </w:p>
          <w:p w:rsidRPr="00D071C9" w:rsidR="00D071C9" w:rsidP="0020670E" w:rsidRDefault="00D071C9" w14:paraId="053D1335"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 xml:space="preserve">Viajes y logística para capacitaciones y concientización </w:t>
            </w:r>
          </w:p>
        </w:tc>
        <w:tc>
          <w:tcPr>
            <w:tcW w:w="1645" w:type="dxa"/>
          </w:tcPr>
          <w:p w:rsidRPr="00D071C9" w:rsidR="00D071C9" w:rsidP="0020670E" w:rsidRDefault="00D071C9" w14:paraId="13168C2F"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105,000</w:t>
            </w:r>
          </w:p>
          <w:p w:rsidRPr="00D071C9" w:rsidR="00D071C9" w:rsidP="0020670E" w:rsidRDefault="00D071C9" w14:paraId="630C95D4" w14:textId="77777777">
            <w:pPr>
              <w:spacing w:before="120"/>
              <w:ind w:right="-29"/>
              <w:jc w:val="right"/>
              <w:rPr>
                <w:rFonts w:ascii="Arial" w:hAnsi="Arial" w:eastAsia="Times New Roman" w:cs="Arial"/>
                <w:sz w:val="18"/>
                <w:szCs w:val="18"/>
              </w:rPr>
            </w:pPr>
          </w:p>
          <w:p w:rsidRPr="00D071C9" w:rsidR="00D071C9" w:rsidP="0020670E" w:rsidRDefault="00D071C9" w14:paraId="74DCCD0A"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15,000</w:t>
            </w:r>
          </w:p>
        </w:tc>
      </w:tr>
      <w:tr w:rsidRPr="00D071C9" w:rsidR="00D071C9" w:rsidTr="0020670E" w14:paraId="73A6298A" w14:textId="77777777">
        <w:trPr>
          <w:trHeight w:val="540"/>
          <w:jc w:val="center"/>
        </w:trPr>
        <w:tc>
          <w:tcPr>
            <w:tcW w:w="4433" w:type="dxa"/>
          </w:tcPr>
          <w:p w:rsidRPr="00D071C9" w:rsidR="00D071C9" w:rsidP="0020670E" w:rsidRDefault="00D071C9" w14:paraId="4C99ABBB"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Sub-componente 1.5</w:t>
            </w:r>
          </w:p>
          <w:p w:rsidRPr="00D071C9" w:rsidR="00D071C9" w:rsidDel="004B725E" w:rsidP="0020670E" w:rsidRDefault="00D071C9" w14:paraId="3E5DF64E"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Estrategia comercial (Fuente inicial de proyectos/pilotos rentables, incentivos para pilotos, información y eventos para concientización)</w:t>
            </w:r>
          </w:p>
        </w:tc>
        <w:tc>
          <w:tcPr>
            <w:tcW w:w="4053" w:type="dxa"/>
          </w:tcPr>
          <w:p w:rsidRPr="00D071C9" w:rsidR="00D071C9" w:rsidP="0020670E" w:rsidRDefault="00D071C9" w14:paraId="35BEF237" w14:textId="755B5942">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Firma de consultora de validación</w:t>
            </w:r>
            <w:r w:rsidRPr="00324D3A" w:rsidR="001B1AFA">
              <w:rPr>
                <w:rStyle w:val="FootnoteReference"/>
                <w:rFonts w:ascii="Arial" w:hAnsi="Arial" w:cs="Arial"/>
                <w:lang w:val="es-ES_tradnl"/>
              </w:rPr>
              <w:footnoteReference w:id="1"/>
            </w:r>
          </w:p>
        </w:tc>
        <w:tc>
          <w:tcPr>
            <w:tcW w:w="1645" w:type="dxa"/>
          </w:tcPr>
          <w:p w:rsidRPr="00D071C9" w:rsidR="00D071C9" w:rsidP="0020670E" w:rsidRDefault="00D071C9" w14:paraId="3B53E7BA"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180.000</w:t>
            </w:r>
          </w:p>
          <w:p w:rsidRPr="00D071C9" w:rsidR="00D071C9" w:rsidP="0020670E" w:rsidRDefault="00D071C9" w14:paraId="1CED91C1" w14:textId="77777777">
            <w:pPr>
              <w:spacing w:before="120"/>
              <w:ind w:right="-29"/>
              <w:jc w:val="right"/>
              <w:rPr>
                <w:rFonts w:ascii="Arial" w:hAnsi="Arial" w:eastAsia="Times New Roman" w:cs="Arial"/>
                <w:sz w:val="18"/>
                <w:szCs w:val="18"/>
              </w:rPr>
            </w:pPr>
          </w:p>
          <w:p w:rsidRPr="00D071C9" w:rsidR="00D071C9" w:rsidP="0020670E" w:rsidRDefault="00D071C9" w14:paraId="60FD6204" w14:textId="77777777">
            <w:pPr>
              <w:spacing w:before="120"/>
              <w:ind w:right="-29"/>
              <w:jc w:val="center"/>
              <w:rPr>
                <w:rFonts w:ascii="Arial" w:hAnsi="Arial" w:eastAsia="Times New Roman" w:cs="Arial"/>
                <w:sz w:val="18"/>
                <w:szCs w:val="18"/>
              </w:rPr>
            </w:pPr>
          </w:p>
        </w:tc>
      </w:tr>
      <w:tr w:rsidRPr="00D071C9" w:rsidR="00D071C9" w:rsidTr="0020670E" w14:paraId="15B84660" w14:textId="77777777">
        <w:trPr>
          <w:trHeight w:val="540"/>
          <w:jc w:val="center"/>
        </w:trPr>
        <w:tc>
          <w:tcPr>
            <w:tcW w:w="4433" w:type="dxa"/>
          </w:tcPr>
          <w:p w:rsidRPr="00D071C9" w:rsidR="00D071C9" w:rsidP="0020670E" w:rsidRDefault="00D071C9" w14:paraId="48947729"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Sub-componente 1.6</w:t>
            </w:r>
          </w:p>
          <w:p w:rsidRPr="00D071C9" w:rsidR="00D071C9" w:rsidDel="004B725E" w:rsidP="0020670E" w:rsidRDefault="00D071C9" w14:paraId="02AC4C9F"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Sistema de manejo de información (Informática, flujos de trabajo, diseño web, enlace con el sistema de TI de BANDESAL)</w:t>
            </w:r>
          </w:p>
        </w:tc>
        <w:tc>
          <w:tcPr>
            <w:tcW w:w="4053" w:type="dxa"/>
          </w:tcPr>
          <w:p w:rsidRPr="00D071C9" w:rsidR="00D071C9" w:rsidP="0020670E" w:rsidRDefault="00D071C9" w14:paraId="27041261"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Consultor de TI para apoyar el diseño web del proyecto; flujos de trabajo; bases de datos; y su integración con los sistemas actuales de TI e información de BANDESAL, al igual que con los sistemas de otros participantes</w:t>
            </w:r>
          </w:p>
        </w:tc>
        <w:tc>
          <w:tcPr>
            <w:tcW w:w="1645" w:type="dxa"/>
          </w:tcPr>
          <w:p w:rsidRPr="00D071C9" w:rsidR="00D071C9" w:rsidP="0020670E" w:rsidRDefault="00D071C9" w14:paraId="6241E9EE"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80,000</w:t>
            </w:r>
          </w:p>
        </w:tc>
      </w:tr>
      <w:tr w:rsidRPr="00D071C9" w:rsidR="00D071C9" w:rsidTr="0020670E" w14:paraId="118224FE" w14:textId="77777777">
        <w:trPr>
          <w:trHeight w:val="540"/>
          <w:jc w:val="center"/>
        </w:trPr>
        <w:tc>
          <w:tcPr>
            <w:tcW w:w="4433" w:type="dxa"/>
          </w:tcPr>
          <w:p w:rsidRPr="00D071C9" w:rsidR="00D071C9" w:rsidP="0020670E" w:rsidRDefault="00D071C9" w14:paraId="59708E77"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Sub-componente 1.7</w:t>
            </w:r>
          </w:p>
          <w:p w:rsidRPr="00D071C9" w:rsidR="00D071C9" w:rsidDel="004B725E" w:rsidP="0020670E" w:rsidRDefault="00D071C9" w14:paraId="4E1650E8"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Sistematización del monitoreo y evaluación de la línea de crédito de BANDESAL (Estrategia detallada de implementación para monitorear impactos)</w:t>
            </w:r>
          </w:p>
        </w:tc>
        <w:tc>
          <w:tcPr>
            <w:tcW w:w="4053" w:type="dxa"/>
          </w:tcPr>
          <w:p w:rsidRPr="00D071C9" w:rsidR="00D071C9" w:rsidP="0020670E" w:rsidRDefault="00D071C9" w14:paraId="492AC0C7"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Consultor individual local para el diseño de una estrategia detallada de implementación para monitorear impactos</w:t>
            </w:r>
          </w:p>
        </w:tc>
        <w:tc>
          <w:tcPr>
            <w:tcW w:w="1645" w:type="dxa"/>
          </w:tcPr>
          <w:p w:rsidRPr="00D071C9" w:rsidR="00D071C9" w:rsidP="0020670E" w:rsidRDefault="00D071C9" w14:paraId="08326CBC"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10,000</w:t>
            </w:r>
          </w:p>
        </w:tc>
      </w:tr>
      <w:tr w:rsidRPr="00D071C9" w:rsidR="00D071C9" w:rsidTr="0020670E" w14:paraId="0EEB38CE" w14:textId="77777777">
        <w:trPr>
          <w:trHeight w:val="540"/>
          <w:jc w:val="center"/>
        </w:trPr>
        <w:tc>
          <w:tcPr>
            <w:tcW w:w="4433" w:type="dxa"/>
          </w:tcPr>
          <w:p w:rsidRPr="00D071C9" w:rsidR="00D071C9" w:rsidP="0020670E" w:rsidRDefault="00D071C9" w14:paraId="48D1DCB2"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lastRenderedPageBreak/>
              <w:t>Sub-componente 1.8</w:t>
            </w:r>
          </w:p>
          <w:p w:rsidRPr="00D071C9" w:rsidR="00D071C9" w:rsidDel="004B725E" w:rsidP="0020670E" w:rsidRDefault="00D071C9" w14:paraId="360C69E3"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Apoyo técnico institucional (Experto en EE local – facilitando la implementación)</w:t>
            </w:r>
          </w:p>
        </w:tc>
        <w:tc>
          <w:tcPr>
            <w:tcW w:w="4053" w:type="dxa"/>
          </w:tcPr>
          <w:p w:rsidRPr="00D071C9" w:rsidR="00D071C9" w:rsidP="0020670E" w:rsidRDefault="00D071C9" w14:paraId="1546FF69"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Experto técnico en EE individual y local para facilitar la implementación por BANDESAL</w:t>
            </w:r>
          </w:p>
        </w:tc>
        <w:tc>
          <w:tcPr>
            <w:tcW w:w="1645" w:type="dxa"/>
          </w:tcPr>
          <w:p w:rsidRPr="00D071C9" w:rsidR="00D071C9" w:rsidP="0020670E" w:rsidRDefault="00D071C9" w14:paraId="5FC11FBB"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80,000</w:t>
            </w:r>
          </w:p>
        </w:tc>
      </w:tr>
      <w:tr w:rsidRPr="00D071C9" w:rsidR="00D071C9" w:rsidTr="0020670E" w14:paraId="51C392B3" w14:textId="77777777">
        <w:trPr>
          <w:trHeight w:val="540"/>
          <w:jc w:val="center"/>
        </w:trPr>
        <w:tc>
          <w:tcPr>
            <w:tcW w:w="4433" w:type="dxa"/>
          </w:tcPr>
          <w:p w:rsidRPr="00D071C9" w:rsidR="00D071C9" w:rsidP="0020670E" w:rsidRDefault="00D071C9" w14:paraId="70EEF194" w14:textId="77777777">
            <w:pPr>
              <w:spacing w:before="120"/>
              <w:ind w:right="-29"/>
              <w:rPr>
                <w:rFonts w:ascii="Arial" w:hAnsi="Arial" w:eastAsia="Times New Roman" w:cs="Arial"/>
                <w:b/>
                <w:sz w:val="18"/>
                <w:szCs w:val="18"/>
                <w:lang w:val="es-ES_tradnl"/>
              </w:rPr>
            </w:pPr>
            <w:r w:rsidRPr="00D071C9">
              <w:rPr>
                <w:rFonts w:ascii="Arial" w:hAnsi="Arial" w:eastAsia="Times New Roman" w:cs="Arial"/>
                <w:b/>
                <w:sz w:val="18"/>
                <w:szCs w:val="18"/>
                <w:lang w:val="es-ES_tradnl"/>
              </w:rPr>
              <w:t>Componente 2</w:t>
            </w:r>
            <w:r w:rsidRPr="00D071C9">
              <w:rPr>
                <w:rFonts w:ascii="Arial" w:hAnsi="Arial" w:eastAsia="Times New Roman" w:cs="Arial"/>
                <w:sz w:val="18"/>
                <w:szCs w:val="18"/>
                <w:lang w:val="es-ES_tradnl"/>
              </w:rPr>
              <w:t xml:space="preserve"> </w:t>
            </w:r>
            <w:r w:rsidRPr="00D071C9">
              <w:rPr>
                <w:rFonts w:ascii="Arial" w:hAnsi="Arial" w:eastAsia="Times New Roman" w:cs="Arial"/>
                <w:b/>
                <w:sz w:val="18"/>
                <w:szCs w:val="18"/>
                <w:lang w:val="es-ES_tradnl"/>
              </w:rPr>
              <w:t>Apoyo a la implementación de la estrategia financiera</w:t>
            </w:r>
          </w:p>
        </w:tc>
        <w:tc>
          <w:tcPr>
            <w:tcW w:w="4053" w:type="dxa"/>
          </w:tcPr>
          <w:p w:rsidRPr="00D071C9" w:rsidR="00D071C9" w:rsidP="0020670E" w:rsidRDefault="00D071C9" w14:paraId="19B6A431" w14:textId="77777777">
            <w:pPr>
              <w:spacing w:before="120"/>
              <w:ind w:right="-29"/>
              <w:jc w:val="center"/>
              <w:rPr>
                <w:rFonts w:ascii="Arial" w:hAnsi="Arial" w:eastAsia="Times New Roman" w:cs="Arial"/>
                <w:b/>
                <w:sz w:val="18"/>
                <w:szCs w:val="18"/>
                <w:lang w:val="es-ES_tradnl"/>
              </w:rPr>
            </w:pPr>
          </w:p>
        </w:tc>
        <w:tc>
          <w:tcPr>
            <w:tcW w:w="1645" w:type="dxa"/>
          </w:tcPr>
          <w:p w:rsidRPr="00D071C9" w:rsidR="00D071C9" w:rsidP="0020670E" w:rsidRDefault="00D071C9" w14:paraId="0EC5B529" w14:textId="77777777">
            <w:pPr>
              <w:spacing w:before="120"/>
              <w:ind w:right="-29"/>
              <w:jc w:val="right"/>
              <w:rPr>
                <w:rFonts w:ascii="Arial" w:hAnsi="Arial" w:eastAsia="Times New Roman" w:cs="Arial"/>
                <w:b/>
                <w:sz w:val="18"/>
                <w:szCs w:val="18"/>
              </w:rPr>
            </w:pPr>
            <w:r w:rsidRPr="00D071C9">
              <w:rPr>
                <w:rFonts w:ascii="Arial" w:hAnsi="Arial" w:eastAsia="Times New Roman" w:cs="Arial"/>
                <w:b/>
                <w:sz w:val="18"/>
                <w:szCs w:val="18"/>
              </w:rPr>
              <w:t>1,020,000</w:t>
            </w:r>
          </w:p>
        </w:tc>
      </w:tr>
      <w:tr w:rsidRPr="00D071C9" w:rsidR="00D071C9" w:rsidTr="0020670E" w14:paraId="44CA1D92" w14:textId="77777777">
        <w:trPr>
          <w:trHeight w:val="540"/>
          <w:jc w:val="center"/>
        </w:trPr>
        <w:tc>
          <w:tcPr>
            <w:tcW w:w="4433" w:type="dxa"/>
          </w:tcPr>
          <w:p w:rsidRPr="00D071C9" w:rsidR="00D071C9" w:rsidP="0020670E" w:rsidRDefault="00D071C9" w14:paraId="56DFCEB1"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Sub-componente 2.1</w:t>
            </w:r>
          </w:p>
          <w:p w:rsidRPr="00D071C9" w:rsidR="00D071C9" w:rsidP="0020670E" w:rsidRDefault="00D071C9" w14:paraId="63094B31"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Apoyo a esfuerzos de concientización y desarrollo de capacidades para beneficiarios, y apoyo técnico institucional (Capacitación, Eventos y Experto Local en EE)</w:t>
            </w:r>
          </w:p>
        </w:tc>
        <w:tc>
          <w:tcPr>
            <w:tcW w:w="4053" w:type="dxa"/>
          </w:tcPr>
          <w:p w:rsidRPr="00D071C9" w:rsidR="00D071C9" w:rsidP="0020670E" w:rsidRDefault="00D071C9" w14:paraId="76969068"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Consultor individual experto en EE para concientización y desarrollo de capacidades</w:t>
            </w:r>
          </w:p>
          <w:p w:rsidRPr="00D071C9" w:rsidR="00D071C9" w:rsidP="0020670E" w:rsidRDefault="00D071C9" w14:paraId="092EDE6B" w14:textId="77777777">
            <w:pPr>
              <w:pStyle w:val="ListParagraph"/>
              <w:numPr>
                <w:ilvl w:val="0"/>
                <w:numId w:val="1"/>
              </w:numPr>
              <w:spacing w:before="120"/>
              <w:ind w:right="-29"/>
              <w:rPr>
                <w:rFonts w:ascii="Arial" w:hAnsi="Arial" w:eastAsia="Times New Roman" w:cs="Arial"/>
                <w:sz w:val="18"/>
                <w:szCs w:val="18"/>
              </w:rPr>
            </w:pPr>
            <w:proofErr w:type="spellStart"/>
            <w:r w:rsidRPr="00D071C9">
              <w:rPr>
                <w:rFonts w:ascii="Arial" w:hAnsi="Arial" w:eastAsia="Times New Roman" w:cs="Arial"/>
                <w:sz w:val="18"/>
                <w:szCs w:val="18"/>
              </w:rPr>
              <w:t>Coordinación</w:t>
            </w:r>
            <w:proofErr w:type="spellEnd"/>
            <w:r w:rsidRPr="00D071C9">
              <w:rPr>
                <w:rFonts w:ascii="Arial" w:hAnsi="Arial" w:eastAsia="Times New Roman" w:cs="Arial"/>
                <w:sz w:val="18"/>
                <w:szCs w:val="18"/>
              </w:rPr>
              <w:t>/</w:t>
            </w:r>
            <w:proofErr w:type="spellStart"/>
            <w:r w:rsidRPr="00D071C9">
              <w:rPr>
                <w:rFonts w:ascii="Arial" w:hAnsi="Arial" w:eastAsia="Times New Roman" w:cs="Arial"/>
                <w:sz w:val="18"/>
                <w:szCs w:val="18"/>
              </w:rPr>
              <w:t>Viajes</w:t>
            </w:r>
            <w:proofErr w:type="spellEnd"/>
          </w:p>
        </w:tc>
        <w:tc>
          <w:tcPr>
            <w:tcW w:w="1645" w:type="dxa"/>
          </w:tcPr>
          <w:p w:rsidRPr="00D071C9" w:rsidR="00D071C9" w:rsidP="0020670E" w:rsidRDefault="00D071C9" w14:paraId="6617736E"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100,000</w:t>
            </w:r>
          </w:p>
          <w:p w:rsidRPr="00D071C9" w:rsidR="00D071C9" w:rsidP="0020670E" w:rsidRDefault="00D071C9" w14:paraId="2CB42485" w14:textId="77777777">
            <w:pPr>
              <w:spacing w:before="120"/>
              <w:ind w:right="-29"/>
              <w:jc w:val="right"/>
              <w:rPr>
                <w:rFonts w:ascii="Arial" w:hAnsi="Arial" w:eastAsia="Times New Roman" w:cs="Arial"/>
                <w:sz w:val="18"/>
                <w:szCs w:val="18"/>
              </w:rPr>
            </w:pPr>
          </w:p>
          <w:p w:rsidRPr="00D071C9" w:rsidR="00D071C9" w:rsidP="0020670E" w:rsidRDefault="00D071C9" w14:paraId="15E9C8D4"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30,000</w:t>
            </w:r>
          </w:p>
        </w:tc>
      </w:tr>
      <w:tr w:rsidRPr="00D071C9" w:rsidR="00D071C9" w:rsidTr="0020670E" w14:paraId="086B402D" w14:textId="77777777">
        <w:trPr>
          <w:trHeight w:val="540"/>
          <w:jc w:val="center"/>
        </w:trPr>
        <w:tc>
          <w:tcPr>
            <w:tcW w:w="4433" w:type="dxa"/>
          </w:tcPr>
          <w:p w:rsidRPr="00D071C9" w:rsidR="00D071C9" w:rsidP="0020670E" w:rsidRDefault="00D071C9" w14:paraId="18DD387E" w14:textId="77777777">
            <w:pPr>
              <w:spacing w:before="120"/>
              <w:ind w:right="-29"/>
              <w:rPr>
                <w:rFonts w:ascii="Arial" w:hAnsi="Arial" w:eastAsia="Times New Roman" w:cs="Arial"/>
                <w:sz w:val="18"/>
                <w:szCs w:val="18"/>
              </w:rPr>
            </w:pPr>
            <w:r w:rsidRPr="00D071C9">
              <w:rPr>
                <w:rFonts w:ascii="Arial" w:hAnsi="Arial" w:eastAsia="Times New Roman" w:cs="Arial"/>
                <w:sz w:val="18"/>
                <w:szCs w:val="18"/>
              </w:rPr>
              <w:t>Sub-</w:t>
            </w:r>
            <w:proofErr w:type="spellStart"/>
            <w:r w:rsidRPr="00D071C9">
              <w:rPr>
                <w:rFonts w:ascii="Arial" w:hAnsi="Arial" w:eastAsia="Times New Roman" w:cs="Arial"/>
                <w:sz w:val="18"/>
                <w:szCs w:val="18"/>
              </w:rPr>
              <w:t>componente</w:t>
            </w:r>
            <w:proofErr w:type="spellEnd"/>
            <w:r w:rsidRPr="00D071C9">
              <w:rPr>
                <w:rFonts w:ascii="Arial" w:hAnsi="Arial" w:eastAsia="Times New Roman" w:cs="Arial"/>
                <w:sz w:val="18"/>
                <w:szCs w:val="18"/>
              </w:rPr>
              <w:t xml:space="preserve"> 2.2</w:t>
            </w:r>
          </w:p>
          <w:p w:rsidRPr="00D071C9" w:rsidR="00D071C9" w:rsidP="0020670E" w:rsidRDefault="00D071C9" w14:paraId="79CCF410"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 xml:space="preserve">Apoyo en la selección y lanzamiento de proyectos piloto, incluyendo la promoción de tasas de interés reducidas para MIPYME que hayan comprobado la instalación de tecnologías y ahorro de energía </w:t>
            </w:r>
          </w:p>
        </w:tc>
        <w:tc>
          <w:tcPr>
            <w:tcW w:w="4053" w:type="dxa"/>
          </w:tcPr>
          <w:p w:rsidRPr="00D071C9" w:rsidR="00D071C9" w:rsidP="0020670E" w:rsidRDefault="00D071C9" w14:paraId="46BC1627"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Tasas de interés reducidas para proyectos piloto</w:t>
            </w:r>
          </w:p>
        </w:tc>
        <w:tc>
          <w:tcPr>
            <w:tcW w:w="1645" w:type="dxa"/>
          </w:tcPr>
          <w:p w:rsidRPr="00D071C9" w:rsidR="00D071C9" w:rsidP="0020670E" w:rsidRDefault="00D071C9" w14:paraId="38AAB840"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500,000</w:t>
            </w:r>
          </w:p>
        </w:tc>
      </w:tr>
      <w:tr w:rsidRPr="00D071C9" w:rsidR="00D071C9" w:rsidTr="0020670E" w14:paraId="0C45BBD7" w14:textId="77777777">
        <w:trPr>
          <w:trHeight w:val="540"/>
          <w:jc w:val="center"/>
        </w:trPr>
        <w:tc>
          <w:tcPr>
            <w:tcW w:w="4433" w:type="dxa"/>
          </w:tcPr>
          <w:p w:rsidRPr="00D071C9" w:rsidR="00D071C9" w:rsidP="0020670E" w:rsidRDefault="00D071C9" w14:paraId="1589B86C"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Sub-componente 2.3</w:t>
            </w:r>
          </w:p>
          <w:p w:rsidRPr="00D071C9" w:rsidR="00D071C9" w:rsidP="0020670E" w:rsidRDefault="00D071C9" w14:paraId="5F74B1F1"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Monitoreo y reportes del programa (Análisis de impacto a la mitad y final del programa, y lecciones aprendidas para expansión en el mismo país)</w:t>
            </w:r>
          </w:p>
        </w:tc>
        <w:tc>
          <w:tcPr>
            <w:tcW w:w="4053" w:type="dxa"/>
          </w:tcPr>
          <w:p w:rsidRPr="00D071C9" w:rsidR="00D071C9" w:rsidP="0020670E" w:rsidRDefault="00D071C9" w14:paraId="1ADB58EC"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Consultores expertos individuales – para el monitoreo y reportes del programa, y evaluación independiente (2 consultores)</w:t>
            </w:r>
          </w:p>
          <w:p w:rsidRPr="00D071C9" w:rsidR="00D071C9" w:rsidP="0020670E" w:rsidRDefault="00D071C9" w14:paraId="6BEF1E90" w14:textId="77777777">
            <w:pPr>
              <w:pStyle w:val="ListParagraph"/>
              <w:numPr>
                <w:ilvl w:val="0"/>
                <w:numId w:val="1"/>
              </w:numPr>
              <w:spacing w:before="120"/>
              <w:ind w:right="-29"/>
              <w:rPr>
                <w:rFonts w:ascii="Arial" w:hAnsi="Arial" w:eastAsia="Times New Roman" w:cs="Arial"/>
                <w:sz w:val="18"/>
                <w:szCs w:val="18"/>
              </w:rPr>
            </w:pPr>
            <w:proofErr w:type="spellStart"/>
            <w:r w:rsidRPr="00D071C9">
              <w:rPr>
                <w:rFonts w:ascii="Arial" w:hAnsi="Arial" w:eastAsia="Times New Roman" w:cs="Arial"/>
                <w:sz w:val="18"/>
                <w:szCs w:val="18"/>
              </w:rPr>
              <w:t>Coordinación</w:t>
            </w:r>
            <w:proofErr w:type="spellEnd"/>
            <w:r w:rsidRPr="00D071C9">
              <w:rPr>
                <w:rFonts w:ascii="Arial" w:hAnsi="Arial" w:eastAsia="Times New Roman" w:cs="Arial"/>
                <w:sz w:val="18"/>
                <w:szCs w:val="18"/>
              </w:rPr>
              <w:t>/</w:t>
            </w:r>
            <w:proofErr w:type="spellStart"/>
            <w:r w:rsidRPr="00D071C9">
              <w:rPr>
                <w:rFonts w:ascii="Arial" w:hAnsi="Arial" w:eastAsia="Times New Roman" w:cs="Arial"/>
                <w:sz w:val="18"/>
                <w:szCs w:val="18"/>
              </w:rPr>
              <w:t>Viajes</w:t>
            </w:r>
            <w:proofErr w:type="spellEnd"/>
          </w:p>
        </w:tc>
        <w:tc>
          <w:tcPr>
            <w:tcW w:w="1645" w:type="dxa"/>
          </w:tcPr>
          <w:p w:rsidRPr="00D071C9" w:rsidR="00D071C9" w:rsidP="0020670E" w:rsidRDefault="00D071C9" w14:paraId="4F74696E"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90,000</w:t>
            </w:r>
          </w:p>
          <w:p w:rsidRPr="00D071C9" w:rsidR="00D071C9" w:rsidP="0020670E" w:rsidRDefault="00D071C9" w14:paraId="3FFD8930" w14:textId="77777777">
            <w:pPr>
              <w:spacing w:before="120"/>
              <w:ind w:right="-29"/>
              <w:jc w:val="right"/>
              <w:rPr>
                <w:rFonts w:ascii="Arial" w:hAnsi="Arial" w:eastAsia="Times New Roman" w:cs="Arial"/>
                <w:sz w:val="18"/>
                <w:szCs w:val="18"/>
              </w:rPr>
            </w:pPr>
          </w:p>
          <w:p w:rsidRPr="00D071C9" w:rsidR="00D071C9" w:rsidP="0020670E" w:rsidRDefault="00D071C9" w14:paraId="7C84C350"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20,000</w:t>
            </w:r>
          </w:p>
        </w:tc>
      </w:tr>
      <w:tr w:rsidRPr="00D071C9" w:rsidR="00D071C9" w:rsidTr="0020670E" w14:paraId="7F3DCBB6" w14:textId="77777777">
        <w:trPr>
          <w:trHeight w:val="413"/>
          <w:jc w:val="center"/>
        </w:trPr>
        <w:tc>
          <w:tcPr>
            <w:tcW w:w="4433" w:type="dxa"/>
          </w:tcPr>
          <w:p w:rsidRPr="00D071C9" w:rsidR="00D071C9" w:rsidP="0020670E" w:rsidRDefault="00D071C9" w14:paraId="6A43F09C" w14:textId="77777777">
            <w:pPr>
              <w:spacing w:before="120"/>
              <w:ind w:right="-29"/>
              <w:rPr>
                <w:rFonts w:ascii="Arial" w:hAnsi="Arial" w:eastAsia="Times New Roman" w:cs="Arial"/>
                <w:sz w:val="18"/>
                <w:szCs w:val="18"/>
              </w:rPr>
            </w:pPr>
            <w:r w:rsidRPr="00D071C9">
              <w:rPr>
                <w:rFonts w:ascii="Arial" w:hAnsi="Arial" w:eastAsia="Times New Roman" w:cs="Arial"/>
                <w:sz w:val="18"/>
                <w:szCs w:val="18"/>
              </w:rPr>
              <w:t>Sub-</w:t>
            </w:r>
            <w:proofErr w:type="spellStart"/>
            <w:r w:rsidRPr="00D071C9">
              <w:rPr>
                <w:rFonts w:ascii="Arial" w:hAnsi="Arial" w:eastAsia="Times New Roman" w:cs="Arial"/>
                <w:sz w:val="18"/>
                <w:szCs w:val="18"/>
              </w:rPr>
              <w:t>componente</w:t>
            </w:r>
            <w:proofErr w:type="spellEnd"/>
            <w:r w:rsidRPr="00D071C9">
              <w:rPr>
                <w:rFonts w:ascii="Arial" w:hAnsi="Arial" w:eastAsia="Times New Roman" w:cs="Arial"/>
                <w:sz w:val="18"/>
                <w:szCs w:val="18"/>
              </w:rPr>
              <w:t xml:space="preserve"> 2.4</w:t>
            </w:r>
          </w:p>
          <w:p w:rsidRPr="00D071C9" w:rsidR="00D071C9" w:rsidDel="004A692D" w:rsidP="0020670E" w:rsidRDefault="00D071C9" w14:paraId="4B7271C7" w14:textId="77777777">
            <w:p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Insumos al marco regulatorio nacional para EE, basados en las experiencias y lecciones adquiridas mediante la estructuración e implementación del Proyecto</w:t>
            </w:r>
          </w:p>
        </w:tc>
        <w:tc>
          <w:tcPr>
            <w:tcW w:w="4053" w:type="dxa"/>
          </w:tcPr>
          <w:p w:rsidRPr="00D071C9" w:rsidR="00D071C9" w:rsidP="0020670E" w:rsidRDefault="00D071C9" w14:paraId="0083C8B9" w14:textId="77777777">
            <w:pPr>
              <w:pStyle w:val="ListParagraph"/>
              <w:numPr>
                <w:ilvl w:val="0"/>
                <w:numId w:val="1"/>
              </w:numPr>
              <w:spacing w:before="120"/>
              <w:ind w:right="-29"/>
              <w:rPr>
                <w:rFonts w:ascii="Arial" w:hAnsi="Arial" w:eastAsia="Times New Roman" w:cs="Arial"/>
                <w:sz w:val="18"/>
                <w:szCs w:val="18"/>
                <w:lang w:val="es-ES_tradnl"/>
              </w:rPr>
            </w:pPr>
            <w:r w:rsidRPr="00D071C9">
              <w:rPr>
                <w:rFonts w:ascii="Arial" w:hAnsi="Arial" w:eastAsia="Times New Roman" w:cs="Arial"/>
                <w:sz w:val="18"/>
                <w:szCs w:val="18"/>
                <w:lang w:val="es-ES_tradnl"/>
              </w:rPr>
              <w:t xml:space="preserve">Apoyo técnico/consultor individual para el CNE, para reportar cómo las experiencias y lecciones aprendidas del Proyecto pudieran brindar información para el marco regulatorio nacional de EE  </w:t>
            </w:r>
          </w:p>
          <w:p w:rsidRPr="00D071C9" w:rsidR="00D071C9" w:rsidP="0020670E" w:rsidRDefault="00D071C9" w14:paraId="5AB8041F" w14:textId="77777777">
            <w:pPr>
              <w:pStyle w:val="ListParagraph"/>
              <w:numPr>
                <w:ilvl w:val="0"/>
                <w:numId w:val="1"/>
              </w:numPr>
              <w:spacing w:before="120"/>
              <w:ind w:right="-29"/>
              <w:rPr>
                <w:rFonts w:ascii="Arial" w:hAnsi="Arial" w:eastAsia="Times New Roman" w:cs="Arial"/>
                <w:sz w:val="18"/>
                <w:szCs w:val="18"/>
              </w:rPr>
            </w:pPr>
            <w:proofErr w:type="spellStart"/>
            <w:r w:rsidRPr="00D071C9">
              <w:rPr>
                <w:rFonts w:ascii="Arial" w:hAnsi="Arial" w:eastAsia="Times New Roman" w:cs="Arial"/>
                <w:sz w:val="18"/>
                <w:szCs w:val="18"/>
              </w:rPr>
              <w:t>Coordinación</w:t>
            </w:r>
            <w:proofErr w:type="spellEnd"/>
            <w:r w:rsidRPr="00D071C9">
              <w:rPr>
                <w:rFonts w:ascii="Arial" w:hAnsi="Arial" w:eastAsia="Times New Roman" w:cs="Arial"/>
                <w:sz w:val="18"/>
                <w:szCs w:val="18"/>
              </w:rPr>
              <w:t>/</w:t>
            </w:r>
            <w:proofErr w:type="spellStart"/>
            <w:r w:rsidRPr="00D071C9">
              <w:rPr>
                <w:rFonts w:ascii="Arial" w:hAnsi="Arial" w:eastAsia="Times New Roman" w:cs="Arial"/>
                <w:sz w:val="18"/>
                <w:szCs w:val="18"/>
              </w:rPr>
              <w:t>Viajes</w:t>
            </w:r>
            <w:proofErr w:type="spellEnd"/>
          </w:p>
        </w:tc>
        <w:tc>
          <w:tcPr>
            <w:tcW w:w="1645" w:type="dxa"/>
          </w:tcPr>
          <w:p w:rsidRPr="00D071C9" w:rsidR="00D071C9" w:rsidP="0020670E" w:rsidRDefault="00D071C9" w14:paraId="60830BD4"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180,000</w:t>
            </w:r>
          </w:p>
          <w:p w:rsidRPr="00D071C9" w:rsidR="00D071C9" w:rsidP="0020670E" w:rsidRDefault="00D071C9" w14:paraId="1E699EE8" w14:textId="77777777">
            <w:pPr>
              <w:spacing w:before="120"/>
              <w:ind w:right="-29"/>
              <w:jc w:val="right"/>
              <w:rPr>
                <w:rFonts w:ascii="Arial" w:hAnsi="Arial" w:eastAsia="Times New Roman" w:cs="Arial"/>
                <w:sz w:val="18"/>
                <w:szCs w:val="18"/>
              </w:rPr>
            </w:pPr>
          </w:p>
          <w:p w:rsidRPr="00D071C9" w:rsidR="00D071C9" w:rsidP="0020670E" w:rsidRDefault="00D071C9" w14:paraId="5501EA6B" w14:textId="77777777">
            <w:pPr>
              <w:spacing w:before="120"/>
              <w:ind w:right="-29"/>
              <w:jc w:val="right"/>
              <w:rPr>
                <w:rFonts w:ascii="Arial" w:hAnsi="Arial" w:eastAsia="Times New Roman" w:cs="Arial"/>
                <w:sz w:val="18"/>
                <w:szCs w:val="18"/>
              </w:rPr>
            </w:pPr>
          </w:p>
          <w:p w:rsidRPr="00D071C9" w:rsidR="00D071C9" w:rsidP="0020670E" w:rsidRDefault="00D071C9" w14:paraId="458AF74B" w14:textId="77777777">
            <w:pPr>
              <w:spacing w:before="120"/>
              <w:ind w:right="-29"/>
              <w:jc w:val="right"/>
              <w:rPr>
                <w:rFonts w:ascii="Arial" w:hAnsi="Arial" w:eastAsia="Times New Roman" w:cs="Arial"/>
                <w:sz w:val="18"/>
                <w:szCs w:val="18"/>
              </w:rPr>
            </w:pPr>
            <w:r w:rsidRPr="00D071C9">
              <w:rPr>
                <w:rFonts w:ascii="Arial" w:hAnsi="Arial" w:eastAsia="Times New Roman" w:cs="Arial"/>
                <w:sz w:val="18"/>
                <w:szCs w:val="18"/>
              </w:rPr>
              <w:t>20,000</w:t>
            </w:r>
          </w:p>
        </w:tc>
      </w:tr>
      <w:tr w:rsidRPr="00D071C9" w:rsidR="00D071C9" w:rsidTr="0020670E" w14:paraId="79F29FB8" w14:textId="77777777">
        <w:trPr>
          <w:trHeight w:val="413"/>
          <w:jc w:val="center"/>
        </w:trPr>
        <w:tc>
          <w:tcPr>
            <w:tcW w:w="4433" w:type="dxa"/>
          </w:tcPr>
          <w:p w:rsidRPr="00D071C9" w:rsidR="00D071C9" w:rsidDel="004A692D" w:rsidP="0020670E" w:rsidRDefault="00D071C9" w14:paraId="00BD12A9" w14:textId="77777777">
            <w:pPr>
              <w:spacing w:before="120"/>
              <w:ind w:right="-29"/>
              <w:rPr>
                <w:rFonts w:ascii="Arial" w:hAnsi="Arial" w:eastAsia="Times New Roman" w:cs="Arial"/>
                <w:b/>
                <w:sz w:val="18"/>
                <w:szCs w:val="18"/>
              </w:rPr>
            </w:pPr>
            <w:proofErr w:type="spellStart"/>
            <w:r w:rsidRPr="00D071C9">
              <w:rPr>
                <w:rFonts w:ascii="Arial" w:hAnsi="Arial" w:eastAsia="Times New Roman" w:cs="Arial"/>
                <w:b/>
                <w:sz w:val="18"/>
                <w:szCs w:val="18"/>
              </w:rPr>
              <w:t>Contingencias</w:t>
            </w:r>
            <w:proofErr w:type="spellEnd"/>
          </w:p>
        </w:tc>
        <w:tc>
          <w:tcPr>
            <w:tcW w:w="4053" w:type="dxa"/>
          </w:tcPr>
          <w:p w:rsidRPr="00D071C9" w:rsidR="00D071C9" w:rsidP="0020670E" w:rsidRDefault="00D071C9" w14:paraId="70819583" w14:textId="77777777">
            <w:pPr>
              <w:spacing w:before="120"/>
              <w:ind w:right="-29"/>
              <w:rPr>
                <w:rFonts w:ascii="Arial" w:hAnsi="Arial" w:eastAsia="Times New Roman" w:cs="Arial"/>
                <w:b/>
                <w:sz w:val="18"/>
                <w:szCs w:val="18"/>
              </w:rPr>
            </w:pPr>
          </w:p>
        </w:tc>
        <w:tc>
          <w:tcPr>
            <w:tcW w:w="1645" w:type="dxa"/>
          </w:tcPr>
          <w:p w:rsidRPr="00D071C9" w:rsidR="00D071C9" w:rsidP="0020670E" w:rsidRDefault="00D071C9" w14:paraId="3651C4AB" w14:textId="77777777">
            <w:pPr>
              <w:spacing w:before="120"/>
              <w:ind w:right="-29"/>
              <w:jc w:val="right"/>
              <w:rPr>
                <w:rFonts w:ascii="Arial" w:hAnsi="Arial" w:eastAsia="Times New Roman" w:cs="Arial"/>
                <w:b/>
                <w:sz w:val="18"/>
                <w:szCs w:val="18"/>
              </w:rPr>
            </w:pPr>
            <w:r w:rsidRPr="00D071C9">
              <w:rPr>
                <w:rFonts w:ascii="Arial" w:hAnsi="Arial" w:eastAsia="Times New Roman" w:cs="Arial"/>
                <w:b/>
                <w:sz w:val="18"/>
                <w:szCs w:val="18"/>
              </w:rPr>
              <w:t>80,000</w:t>
            </w:r>
          </w:p>
        </w:tc>
      </w:tr>
      <w:tr w:rsidRPr="008A7C28" w:rsidR="00D071C9" w:rsidTr="0020670E" w14:paraId="46F14AF4" w14:textId="77777777">
        <w:trPr>
          <w:trHeight w:val="413"/>
          <w:jc w:val="center"/>
        </w:trPr>
        <w:tc>
          <w:tcPr>
            <w:tcW w:w="8486" w:type="dxa"/>
            <w:gridSpan w:val="2"/>
            <w:shd w:val="clear" w:color="auto" w:fill="F2F2F2" w:themeFill="background1" w:themeFillShade="F2"/>
          </w:tcPr>
          <w:p w:rsidRPr="00D071C9" w:rsidR="00D071C9" w:rsidP="0020670E" w:rsidRDefault="00D071C9" w14:paraId="6BE6609C" w14:textId="77777777">
            <w:pPr>
              <w:spacing w:before="120"/>
              <w:ind w:right="-29"/>
              <w:rPr>
                <w:rFonts w:ascii="Arial" w:hAnsi="Arial" w:eastAsia="Times New Roman" w:cs="Arial"/>
                <w:b/>
                <w:sz w:val="18"/>
                <w:szCs w:val="18"/>
              </w:rPr>
            </w:pPr>
            <w:r w:rsidRPr="00D071C9">
              <w:rPr>
                <w:rFonts w:ascii="Arial" w:hAnsi="Arial" w:eastAsia="Times New Roman" w:cs="Arial"/>
                <w:b/>
                <w:sz w:val="18"/>
                <w:szCs w:val="18"/>
              </w:rPr>
              <w:t>Total</w:t>
            </w:r>
          </w:p>
        </w:tc>
        <w:tc>
          <w:tcPr>
            <w:tcW w:w="1645" w:type="dxa"/>
            <w:shd w:val="clear" w:color="auto" w:fill="F2F2F2" w:themeFill="background1" w:themeFillShade="F2"/>
          </w:tcPr>
          <w:p w:rsidRPr="008A7C28" w:rsidR="00D071C9" w:rsidP="0020670E" w:rsidRDefault="00D071C9" w14:paraId="001529CD" w14:textId="77777777">
            <w:pPr>
              <w:spacing w:before="120"/>
              <w:ind w:right="-29"/>
              <w:jc w:val="right"/>
              <w:rPr>
                <w:rFonts w:ascii="Arial" w:hAnsi="Arial" w:eastAsia="Times New Roman" w:cs="Arial"/>
                <w:sz w:val="18"/>
                <w:szCs w:val="18"/>
              </w:rPr>
            </w:pPr>
            <w:r w:rsidRPr="00D071C9">
              <w:rPr>
                <w:rFonts w:ascii="Arial" w:hAnsi="Arial" w:eastAsia="Times New Roman" w:cs="Arial"/>
                <w:b/>
                <w:sz w:val="18"/>
                <w:szCs w:val="18"/>
              </w:rPr>
              <w:t>1,700,000</w:t>
            </w:r>
          </w:p>
        </w:tc>
      </w:tr>
    </w:tbl>
    <w:p w:rsidR="00D071C9" w:rsidP="00D071C9" w:rsidRDefault="00D071C9" w14:paraId="31D5564C" w14:textId="77777777"/>
    <w:sectPr w:rsidR="00D071C9">
      <w:headerReference w:type="default" r:id="rId11"/>
      <w:pgSz w:w="12240" w:h="15840" w:orient="portrait"/>
      <w:pgMar w:top="1440" w:right="1440" w:bottom="1440" w:left="1440" w:header="720" w:footer="720" w:gutter="0"/>
      <w:cols w:space="720"/>
      <w:docGrid w:linePitch="360"/>
      <w:footerReference w:type="default" r:id="Rd970e679318a40f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4BD7" w:rsidP="00D071C9" w:rsidRDefault="00A44BD7" w14:paraId="18D7C30F" w14:textId="77777777">
      <w:pPr>
        <w:spacing w:after="0" w:line="240" w:lineRule="auto"/>
      </w:pPr>
      <w:r>
        <w:separator/>
      </w:r>
    </w:p>
  </w:endnote>
  <w:endnote w:type="continuationSeparator" w:id="0">
    <w:p w:rsidR="00A44BD7" w:rsidP="00D071C9" w:rsidRDefault="00A44BD7" w14:paraId="70C11C9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079F1D39" w:rsidTr="079F1D39" w14:paraId="3D51A0E1">
      <w:tc>
        <w:tcPr>
          <w:tcW w:w="3120" w:type="dxa"/>
          <w:tcMar/>
        </w:tcPr>
        <w:p w:rsidR="079F1D39" w:rsidP="079F1D39" w:rsidRDefault="079F1D39" w14:paraId="08197E21" w14:textId="05090861">
          <w:pPr>
            <w:pStyle w:val="Header"/>
            <w:bidi w:val="0"/>
            <w:ind w:left="-115"/>
            <w:jc w:val="left"/>
            <w:pPrChange w:author="Lozano Miranda, Ana Lucia" w:date="2020-02-04T20:29:04.826Z">
              <w:pPr>
                <w:bidi w:val="0"/>
              </w:pPr>
            </w:pPrChange>
          </w:pPr>
        </w:p>
      </w:tc>
      <w:tc>
        <w:tcPr>
          <w:tcW w:w="3120" w:type="dxa"/>
          <w:tcMar/>
        </w:tcPr>
        <w:p w:rsidR="079F1D39" w:rsidP="079F1D39" w:rsidRDefault="079F1D39" w14:paraId="0406276F" w14:textId="2CEDFE3E">
          <w:pPr>
            <w:pStyle w:val="Header"/>
            <w:bidi w:val="0"/>
            <w:jc w:val="center"/>
            <w:pPrChange w:author="Lozano Miranda, Ana Lucia" w:date="2020-02-04T20:29:04.834Z">
              <w:pPr>
                <w:bidi w:val="0"/>
              </w:pPr>
            </w:pPrChange>
          </w:pPr>
        </w:p>
      </w:tc>
      <w:tc>
        <w:tcPr>
          <w:tcW w:w="3120" w:type="dxa"/>
          <w:tcMar/>
        </w:tcPr>
        <w:p w:rsidR="079F1D39" w:rsidP="079F1D39" w:rsidRDefault="079F1D39" w14:paraId="457C88FB" w14:textId="6D8C3079">
          <w:pPr>
            <w:pStyle w:val="Header"/>
            <w:bidi w:val="0"/>
            <w:ind w:right="-115"/>
            <w:jc w:val="right"/>
            <w:pPrChange w:author="Lozano Miranda, Ana Lucia" w:date="2020-02-04T20:29:04.844Z">
              <w:pPr>
                <w:bidi w:val="0"/>
              </w:pPr>
            </w:pPrChange>
          </w:pPr>
        </w:p>
      </w:tc>
    </w:tr>
  </w:tbl>
  <w:p w:rsidR="079F1D39" w:rsidP="079F1D39" w:rsidRDefault="079F1D39" w14:paraId="6BE6B282" w14:textId="45C70C7F">
    <w:pPr>
      <w:pStyle w:val="Footer"/>
      <w:bidi w:val="0"/>
      <w:pPrChange w:author="Lozano Miranda, Ana Lucia" w:date="2020-02-04T20:29:04.857Z">
        <w:pPr>
          <w:bidi w:val="0"/>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4BD7" w:rsidP="00D071C9" w:rsidRDefault="00A44BD7" w14:paraId="427E1E92" w14:textId="77777777">
      <w:pPr>
        <w:spacing w:after="0" w:line="240" w:lineRule="auto"/>
      </w:pPr>
      <w:r>
        <w:separator/>
      </w:r>
    </w:p>
  </w:footnote>
  <w:footnote w:type="continuationSeparator" w:id="0">
    <w:p w:rsidR="00A44BD7" w:rsidP="00D071C9" w:rsidRDefault="00A44BD7" w14:paraId="53F7EDDD" w14:textId="77777777">
      <w:pPr>
        <w:spacing w:after="0" w:line="240" w:lineRule="auto"/>
      </w:pPr>
      <w:r>
        <w:continuationSeparator/>
      </w:r>
    </w:p>
  </w:footnote>
  <w:footnote w:id="1">
    <w:p w:rsidRPr="00C711A1" w:rsidR="001B1AFA" w:rsidP="001B1AFA" w:rsidRDefault="001B1AFA" w14:paraId="6A30D16D" w14:textId="77777777">
      <w:pPr>
        <w:pStyle w:val="FootnoteText"/>
        <w:tabs>
          <w:tab w:val="left" w:pos="270"/>
        </w:tabs>
        <w:ind w:left="270" w:hanging="270"/>
        <w:jc w:val="both"/>
        <w:rPr>
          <w:rFonts w:ascii="Arial" w:hAnsi="Arial" w:cs="Arial"/>
          <w:sz w:val="18"/>
          <w:szCs w:val="18"/>
          <w:lang w:val="es-BO"/>
        </w:rPr>
      </w:pPr>
      <w:r w:rsidRPr="00324D3A">
        <w:rPr>
          <w:rStyle w:val="FootnoteReference"/>
          <w:rFonts w:ascii="Arial" w:hAnsi="Arial" w:cs="Arial"/>
          <w:sz w:val="18"/>
          <w:szCs w:val="18"/>
        </w:rPr>
        <w:footnoteRef/>
      </w:r>
      <w:r w:rsidRPr="00324D3A">
        <w:rPr>
          <w:rFonts w:ascii="Arial" w:hAnsi="Arial" w:cs="Arial"/>
          <w:sz w:val="18"/>
          <w:szCs w:val="18"/>
          <w:lang w:val="es-BO"/>
        </w:rPr>
        <w:t xml:space="preserve"> </w:t>
      </w:r>
      <w:r w:rsidRPr="00324D3A">
        <w:rPr>
          <w:rFonts w:ascii="Arial" w:hAnsi="Arial" w:cs="Arial"/>
          <w:sz w:val="18"/>
          <w:szCs w:val="18"/>
          <w:lang w:val="es-BO"/>
        </w:rPr>
        <w:tab/>
      </w:r>
      <w:r w:rsidRPr="00324D3A">
        <w:rPr>
          <w:rFonts w:ascii="Arial" w:hAnsi="Arial" w:cs="Arial"/>
          <w:sz w:val="18"/>
          <w:szCs w:val="18"/>
          <w:lang w:val="es-BO"/>
        </w:rPr>
        <w:t xml:space="preserve">Como se menciona en el Plan de Adquisiciones esta consultoría será una contratación por el método de selección directa. </w:t>
      </w:r>
      <w:r w:rsidRPr="00324D3A">
        <w:rPr>
          <w:rFonts w:ascii="Arial" w:hAnsi="Arial" w:cs="Arial"/>
          <w:color w:val="222222"/>
          <w:sz w:val="18"/>
          <w:szCs w:val="18"/>
          <w:lang w:val="es-BO"/>
        </w:rPr>
        <w:t xml:space="preserve">DQS-UL </w:t>
      </w:r>
      <w:r w:rsidRPr="00324D3A">
        <w:rPr>
          <w:rFonts w:ascii="Arial" w:hAnsi="Arial" w:cs="Arial"/>
          <w:sz w:val="18"/>
          <w:szCs w:val="18"/>
          <w:lang w:val="es-BO"/>
        </w:rPr>
        <w:t>será la empresa contratada debido a que ofrece al Programa un paquete de servicios integral y de valor excepcional, merced a una larga trayectoria internacional y capacidades locales en certificación bajo parámetros que satisfacen los requerimientos de análisis para los proyectos de eficiencia energética, que se financiarán con el Programa, especialmente aquellos relativos a ISO 50001 que requieren para su puesta en práctica de un perfil de habilidades muy específi</w:t>
      </w:r>
      <w:r>
        <w:rPr>
          <w:rFonts w:ascii="Arial" w:hAnsi="Arial" w:cs="Arial"/>
          <w:sz w:val="18"/>
          <w:szCs w:val="18"/>
          <w:lang w:val="es-BO"/>
        </w:rPr>
        <w:t xml:space="preserve">co y con los que cuenta DQS-UL.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1C9" w:rsidRDefault="00D071C9" w14:paraId="6BB6939B" w14:textId="0DFEAACF">
    <w:pPr>
      <w:pStyle w:val="Header"/>
    </w:pPr>
    <w:r>
      <w:tab/>
    </w:r>
    <w:r>
      <w:tab/>
    </w:r>
    <w:r>
      <w:t>Anexo V – ES-</w:t>
    </w:r>
    <w:r w:rsidR="00052CC5">
      <w:t>T1</w:t>
    </w:r>
    <w:r w:rsidR="00052CC5">
      <w:t>324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6E694C"/>
    <w:multiLevelType w:val="hybridMultilevel"/>
    <w:tmpl w:val="CB28369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10"/>
  <w:proofState w:spelling="clean" w:grammar="dirty"/>
  <w:trackRevisions w:val="tru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1C9"/>
    <w:rsid w:val="00052CC5"/>
    <w:rsid w:val="00157EF3"/>
    <w:rsid w:val="001B1AFA"/>
    <w:rsid w:val="00422081"/>
    <w:rsid w:val="006E47A0"/>
    <w:rsid w:val="007D1286"/>
    <w:rsid w:val="00867AAC"/>
    <w:rsid w:val="00932415"/>
    <w:rsid w:val="00A44BD7"/>
    <w:rsid w:val="00CA2BFB"/>
    <w:rsid w:val="00D071C9"/>
    <w:rsid w:val="00DF15A7"/>
    <w:rsid w:val="079F1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8AEC7"/>
  <w15:docId w15:val="{D30C8E0E-F998-487B-A0F4-2506721ED0B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D071C9"/>
    <w:rPr>
      <w:rFonts w:eastAsiaTheme="minorEastAs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IFCL - List Paragraph"/>
    <w:basedOn w:val="Normal"/>
    <w:link w:val="ListParagraphChar"/>
    <w:uiPriority w:val="34"/>
    <w:qFormat/>
    <w:rsid w:val="00D071C9"/>
    <w:pPr>
      <w:ind w:left="720"/>
      <w:contextualSpacing/>
    </w:pPr>
  </w:style>
  <w:style w:type="table" w:styleId="TableGrid">
    <w:name w:val="Table Grid"/>
    <w:basedOn w:val="TableNormal"/>
    <w:uiPriority w:val="59"/>
    <w:rsid w:val="00D071C9"/>
    <w:pPr>
      <w:spacing w:after="0" w:line="240" w:lineRule="auto"/>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IFCL - List Paragraph Char"/>
    <w:basedOn w:val="DefaultParagraphFont"/>
    <w:link w:val="ListParagraph"/>
    <w:uiPriority w:val="34"/>
    <w:locked/>
    <w:rsid w:val="00D071C9"/>
    <w:rPr>
      <w:rFonts w:eastAsiaTheme="minorEastAsia"/>
    </w:rPr>
  </w:style>
  <w:style w:type="paragraph" w:styleId="Header">
    <w:name w:val="header"/>
    <w:basedOn w:val="Normal"/>
    <w:link w:val="HeaderChar"/>
    <w:uiPriority w:val="99"/>
    <w:unhideWhenUsed/>
    <w:rsid w:val="00D071C9"/>
    <w:pPr>
      <w:tabs>
        <w:tab w:val="center" w:pos="4680"/>
        <w:tab w:val="right" w:pos="9360"/>
      </w:tabs>
      <w:spacing w:after="0" w:line="240" w:lineRule="auto"/>
    </w:pPr>
  </w:style>
  <w:style w:type="character" w:styleId="HeaderChar" w:customStyle="1">
    <w:name w:val="Header Char"/>
    <w:basedOn w:val="DefaultParagraphFont"/>
    <w:link w:val="Header"/>
    <w:uiPriority w:val="99"/>
    <w:rsid w:val="00D071C9"/>
    <w:rPr>
      <w:rFonts w:eastAsiaTheme="minorEastAsia"/>
    </w:rPr>
  </w:style>
  <w:style w:type="paragraph" w:styleId="Footer">
    <w:name w:val="footer"/>
    <w:basedOn w:val="Normal"/>
    <w:link w:val="FooterChar"/>
    <w:uiPriority w:val="99"/>
    <w:unhideWhenUsed/>
    <w:rsid w:val="00D071C9"/>
    <w:pPr>
      <w:tabs>
        <w:tab w:val="center" w:pos="4680"/>
        <w:tab w:val="right" w:pos="9360"/>
      </w:tabs>
      <w:spacing w:after="0" w:line="240" w:lineRule="auto"/>
    </w:pPr>
  </w:style>
  <w:style w:type="character" w:styleId="FooterChar" w:customStyle="1">
    <w:name w:val="Footer Char"/>
    <w:basedOn w:val="DefaultParagraphFont"/>
    <w:link w:val="Footer"/>
    <w:uiPriority w:val="99"/>
    <w:rsid w:val="00D071C9"/>
    <w:rPr>
      <w:rFonts w:eastAsiaTheme="minorEastAsia"/>
    </w:rPr>
  </w:style>
  <w:style w:type="paragraph" w:styleId="BalloonText">
    <w:name w:val="Balloon Text"/>
    <w:basedOn w:val="Normal"/>
    <w:link w:val="BalloonTextChar"/>
    <w:uiPriority w:val="99"/>
    <w:semiHidden/>
    <w:unhideWhenUsed/>
    <w:rsid w:val="00157EF3"/>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57EF3"/>
    <w:rPr>
      <w:rFonts w:ascii="Segoe UI" w:hAnsi="Segoe UI" w:cs="Segoe UI" w:eastAsiaTheme="minorEastAsia"/>
      <w:sz w:val="18"/>
      <w:szCs w:val="18"/>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Car,single space"/>
    <w:basedOn w:val="Normal"/>
    <w:link w:val="FootnoteTextChar"/>
    <w:uiPriority w:val="99"/>
    <w:unhideWhenUsed/>
    <w:rsid w:val="001B1AFA"/>
    <w:pPr>
      <w:spacing w:after="0" w:line="240" w:lineRule="auto"/>
    </w:pPr>
    <w:rPr>
      <w:sz w:val="20"/>
      <w:szCs w:val="20"/>
    </w:rPr>
  </w:style>
  <w:style w:type="character" w:styleId="FootnoteTextChar" w:customStyle="1">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1B1AFA"/>
    <w:rPr>
      <w:rFonts w:eastAsiaTheme="minorEastAsia"/>
      <w:sz w:val="20"/>
      <w:szCs w:val="20"/>
    </w:rPr>
  </w:style>
  <w:style w:type="character" w:styleId="FootnoteReference">
    <w:name w:val="footnote reference"/>
    <w:aliases w:val="titulo 2,16 Point,Superscript 6 Point,ftref,Fußnotenzeichen DISS,BVI fnr,Знак сноски 1,referencia nota al pie,FC,Footnote Referencefra,Ref. de nota al pie., BVI fnr"/>
    <w:basedOn w:val="DefaultParagraphFont"/>
    <w:uiPriority w:val="99"/>
    <w:unhideWhenUsed/>
    <w:rsid w:val="001B1A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ntTable" Target="fontTable.xml"/><Relationship Id="rId17" Type="http://schemas.openxmlformats.org/officeDocument/2006/relationships/customXml" Target="../customXml/item4.xml"/><Relationship Id="rId16" Type="http://schemas.openxmlformats.org/officeDocument/2006/relationships/customXml" Target="../customXml/item3.xml"/><Relationship Id="rId20" Type="http://schemas.openxmlformats.org/officeDocument/2006/relationships/customXml" Target="../customXml/item7.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2.xml"/><Relationship Id="rId10" Type="http://schemas.openxmlformats.org/officeDocument/2006/relationships/endnotes" Target="endnotes.xml"/><Relationship Id="rId19" Type="http://schemas.openxmlformats.org/officeDocument/2006/relationships/customXml" Target="../customXml/item6.xml"/><Relationship Id="rId9" Type="http://schemas.openxmlformats.org/officeDocument/2006/relationships/footnotes" Target="footnotes.xml"/><Relationship Id="Rd970e679318a40ff" Type="http://schemas.openxmlformats.org/officeDocument/2006/relationships/footer" Target="/word/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C7AB07F2E77A6147824852F349B2FF3D" ma:contentTypeVersion="0" ma:contentTypeDescription="The base project type from which other project content types inherit their information." ma:contentTypeScope="" ma:versionID="9b826aefc7d1bdabfb225b00dc66a782">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9C4062FDEB8D34BBAB14501580617A8" ma:contentTypeVersion="0" ma:contentTypeDescription="A content type to manage public (operations) IDB documents" ma:contentTypeScope="" ma:versionID="6d5f0b0b8c79026d5ad0855584af1dda">
  <xsd:schema xmlns:xsd="http://www.w3.org/2001/XMLSchema" xmlns:xs="http://www.w3.org/2001/XMLSchema" xmlns:p="http://schemas.microsoft.com/office/2006/metadata/properties" xmlns:ns2="cdc7663a-08f0-4737-9e8c-148ce897a09c" targetNamespace="http://schemas.microsoft.com/office/2006/metadata/properties" ma:root="true" ma:fieldsID="01b743d01cb582aa00d4ee4a5a27e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S-T132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ATN/GN-17930-ES;</Approval_x0020_Number>
    <Phase xmlns="cdc7663a-08f0-4737-9e8c-148ce897a09c">ACTIVE</Phas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149</Value>
      <Value>67</Value>
      <Value>51</Value>
      <Value>1</Value>
      <Value>35</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ES-T1324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EZSHARE-1845578416-1</_dlc_DocId>
    <_dlc_DocIdUrl xmlns="cdc7663a-08f0-4737-9e8c-148ce897a09c">
      <Url>https://idbg.sharepoint.com/teams/EZ-ES-TCP/ES-T1324/_layouts/15/DocIdRedir.aspx?ID=EZSHARE-1845578416-1</Url>
      <Description>EZSHARE-1845578416-1</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9042065-B5AB-48C8-B516-6C41A148F501}"/>
</file>

<file path=customXml/itemProps2.xml><?xml version="1.0" encoding="utf-8"?>
<ds:datastoreItem xmlns:ds="http://schemas.openxmlformats.org/officeDocument/2006/customXml" ds:itemID="{89DD2DE7-3D0B-4297-ACED-E5A2608AE9BE}"/>
</file>

<file path=customXml/itemProps3.xml><?xml version="1.0" encoding="utf-8"?>
<ds:datastoreItem xmlns:ds="http://schemas.openxmlformats.org/officeDocument/2006/customXml" ds:itemID="{30580483-F6A7-4369-A8F6-C63A9C7C9FA8}"/>
</file>

<file path=customXml/itemProps4.xml><?xml version="1.0" encoding="utf-8"?>
<ds:datastoreItem xmlns:ds="http://schemas.openxmlformats.org/officeDocument/2006/customXml" ds:itemID="{D34B8611-8906-4ED3-B5C2-40352B7F320F}"/>
</file>

<file path=customXml/itemProps5.xml><?xml version="1.0" encoding="utf-8"?>
<ds:datastoreItem xmlns:ds="http://schemas.openxmlformats.org/officeDocument/2006/customXml" ds:itemID="{55768184-D4E1-4906-9D15-08727D0872DB}"/>
</file>

<file path=customXml/itemProps6.xml><?xml version="1.0" encoding="utf-8"?>
<ds:datastoreItem xmlns:ds="http://schemas.openxmlformats.org/officeDocument/2006/customXml" ds:itemID="{BE138CE8-469B-40AD-BC42-C418BD37F7EA}"/>
</file>

<file path=customXml/itemProps7.xml><?xml version="1.0" encoding="utf-8"?>
<ds:datastoreItem xmlns:ds="http://schemas.openxmlformats.org/officeDocument/2006/customXml" ds:itemID="{3E6C6BA1-C90A-4695-8694-BA6C9784978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Alexander Vasa</dc:creator>
  <cp:keywords/>
  <cp:lastModifiedBy>Lozano Miranda, Ana Lucia</cp:lastModifiedBy>
  <cp:revision>5</cp:revision>
  <dcterms:created xsi:type="dcterms:W3CDTF">2020-01-31T21:27:00Z</dcterms:created>
  <dcterms:modified xsi:type="dcterms:W3CDTF">2020-02-04T20:29:14Z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149;#FINANCING FOR ENVIRONMENTAL SUSTAINABILITY|dcc8718d-dd7c-4b5d-bcc4-86a6a708df42</vt:lpwstr>
  </property>
  <property fmtid="{D5CDD505-2E9C-101B-9397-08002B2CF9AE}" pid="7" name="Fund IDB">
    <vt:lpwstr>67;#TBD|d62f6e05-3e80-4abd-9bb4-5f10b4906ff6</vt:lpwstr>
  </property>
  <property fmtid="{D5CDD505-2E9C-101B-9397-08002B2CF9AE}" pid="8" name="Country">
    <vt:lpwstr>35;#El Salvador|057b77a9-2761-48a1-b9dc-78a115c002df</vt:lpwstr>
  </property>
  <property fmtid="{D5CDD505-2E9C-101B-9397-08002B2CF9AE}" pid="9" name="Sector IDB">
    <vt:lpwstr>51;#FINANCIAL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b64f8cad-df9d-472d-a466-a6d86e583a3d</vt:lpwstr>
  </property>
  <property fmtid="{D5CDD505-2E9C-101B-9397-08002B2CF9AE}" pid="12" name="Disclosure Activity">
    <vt:lpwstr>TC Document</vt:lpwstr>
  </property>
  <property fmtid="{D5CDD505-2E9C-101B-9397-08002B2CF9AE}" pid="13" name="ContentTypeId">
    <vt:lpwstr>0x0101001A458A224826124E8B45B1D613300CFC00B9C4062FDEB8D34BBAB14501580617A8</vt:lpwstr>
  </property>
</Properties>
</file>